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C4E62">
      <w:pPr>
        <w:rPr>
          <w:rFonts w:ascii="宋体" w:hAnsi="宋体" w:cs="宋体"/>
          <w:color w:val="000000" w:themeColor="text1"/>
          <w:highlight w:val="none"/>
          <w14:textFill>
            <w14:solidFill>
              <w14:schemeClr w14:val="tx1"/>
            </w14:solidFill>
          </w14:textFill>
        </w:rPr>
      </w:pPr>
    </w:p>
    <w:p w14:paraId="07A7C5BE">
      <w:pPr>
        <w:tabs>
          <w:tab w:val="left" w:pos="720"/>
          <w:tab w:val="left" w:pos="2160"/>
          <w:tab w:val="left" w:pos="2880"/>
          <w:tab w:val="left" w:pos="3600"/>
          <w:tab w:val="left" w:pos="4320"/>
          <w:tab w:val="left" w:pos="5040"/>
          <w:tab w:val="left" w:pos="5760"/>
        </w:tabs>
        <w:autoSpaceDE w:val="0"/>
        <w:autoSpaceDN w:val="0"/>
        <w:adjustRightInd w:val="0"/>
        <w:spacing w:line="360" w:lineRule="auto"/>
        <w:rPr>
          <w:rFonts w:ascii="宋体" w:hAnsi="宋体" w:cs="宋体"/>
          <w:b/>
          <w:color w:val="000000" w:themeColor="text1"/>
          <w:kern w:val="0"/>
          <w:sz w:val="52"/>
          <w:highlight w:val="none"/>
          <w14:textFill>
            <w14:solidFill>
              <w14:schemeClr w14:val="tx1"/>
            </w14:solidFill>
          </w14:textFill>
        </w:rPr>
      </w:pPr>
    </w:p>
    <w:p w14:paraId="4A59D015">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highlight w:val="none"/>
          <w14:textFill>
            <w14:solidFill>
              <w14:schemeClr w14:val="tx1"/>
            </w14:solidFill>
          </w14:textFill>
        </w:rPr>
        <w:t>玉环市政府采购</w:t>
      </w:r>
    </w:p>
    <w:p w14:paraId="72908919">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招标文件</w:t>
      </w:r>
    </w:p>
    <w:p w14:paraId="2DE86B4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b/>
          <w:bCs/>
          <w:color w:val="000000" w:themeColor="text1"/>
          <w:kern w:val="0"/>
          <w:sz w:val="32"/>
          <w:szCs w:val="32"/>
          <w:highlight w:val="none"/>
          <w14:textFill>
            <w14:solidFill>
              <w14:schemeClr w14:val="tx1"/>
            </w14:solidFill>
          </w14:textFill>
        </w:rPr>
      </w:pPr>
    </w:p>
    <w:p w14:paraId="4867A17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32"/>
          <w:highlight w:val="none"/>
          <w14:textFill>
            <w14:solidFill>
              <w14:schemeClr w14:val="tx1"/>
            </w14:solidFill>
          </w14:textFill>
        </w:rPr>
      </w:pPr>
    </w:p>
    <w:p w14:paraId="4AAA07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项目编号：</w:t>
      </w:r>
      <w:r>
        <w:rPr>
          <w:rFonts w:hint="eastAsia" w:ascii="宋体" w:hAnsi="宋体" w:cs="宋体"/>
          <w:color w:val="000000" w:themeColor="text1"/>
          <w:kern w:val="0"/>
          <w:sz w:val="32"/>
          <w:szCs w:val="32"/>
          <w:highlight w:val="none"/>
          <w:lang w:eastAsia="zh-CN"/>
          <w14:textFill>
            <w14:solidFill>
              <w14:schemeClr w14:val="tx1"/>
            </w14:solidFill>
          </w14:textFill>
        </w:rPr>
        <w:t>HQ-YHZFCG-2025-0103</w:t>
      </w:r>
    </w:p>
    <w:p w14:paraId="77F19F31">
      <w:pPr>
        <w:autoSpaceDE w:val="0"/>
        <w:autoSpaceDN w:val="0"/>
        <w:adjustRightInd w:val="0"/>
        <w:spacing w:line="360" w:lineRule="auto"/>
        <w:rPr>
          <w:rFonts w:ascii="宋体" w:hAnsi="宋体" w:cs="宋体"/>
          <w:b/>
          <w:color w:val="000000" w:themeColor="text1"/>
          <w:kern w:val="0"/>
          <w:sz w:val="52"/>
          <w:szCs w:val="52"/>
          <w:highlight w:val="none"/>
          <w14:textFill>
            <w14:solidFill>
              <w14:schemeClr w14:val="tx1"/>
            </w14:solidFill>
          </w14:textFill>
        </w:rPr>
      </w:pPr>
    </w:p>
    <w:p w14:paraId="0B750042">
      <w:pPr>
        <w:autoSpaceDE w:val="0"/>
        <w:autoSpaceDN w:val="0"/>
        <w:adjustRightInd w:val="0"/>
        <w:spacing w:line="360" w:lineRule="auto"/>
        <w:ind w:firstLine="1797" w:firstLineChars="642"/>
        <w:jc w:val="left"/>
        <w:rPr>
          <w:rFonts w:ascii="宋体" w:hAnsi="宋体" w:cs="宋体"/>
          <w:color w:val="000000" w:themeColor="text1"/>
          <w:kern w:val="0"/>
          <w:sz w:val="28"/>
          <w:highlight w:val="none"/>
          <w14:textFill>
            <w14:solidFill>
              <w14:schemeClr w14:val="tx1"/>
            </w14:solidFill>
          </w14:textFill>
        </w:rPr>
      </w:pPr>
    </w:p>
    <w:p w14:paraId="2297955B">
      <w:pP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highlight w:val="none"/>
          <w:lang w:eastAsia="zh-CN"/>
          <w14:textFill>
            <w14:solidFill>
              <w14:schemeClr w14:val="tx1"/>
            </w14:solidFill>
          </w14:textFill>
        </w:rPr>
        <w:t>350M数字集群基站运维</w:t>
      </w:r>
    </w:p>
    <w:p w14:paraId="2C49926F">
      <w:pP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 xml:space="preserve">采购人：玉环市公安局 </w:t>
      </w:r>
    </w:p>
    <w:p w14:paraId="1D838604">
      <w:pP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p>
    <w:p w14:paraId="59B90B3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2AEF121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30950A0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60AE0E3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14:paraId="10657C1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202</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01</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23</w:t>
      </w:r>
      <w:r>
        <w:rPr>
          <w:rFonts w:hint="eastAsia" w:ascii="宋体" w:hAnsi="宋体" w:cs="宋体"/>
          <w:color w:val="000000" w:themeColor="text1"/>
          <w:kern w:val="0"/>
          <w:sz w:val="28"/>
          <w:szCs w:val="28"/>
          <w:highlight w:val="none"/>
          <w14:textFill>
            <w14:solidFill>
              <w14:schemeClr w14:val="tx1"/>
            </w14:solidFill>
          </w14:textFill>
        </w:rPr>
        <w:t>日</w:t>
      </w:r>
    </w:p>
    <w:p w14:paraId="2055C20A">
      <w:pPr>
        <w:spacing w:line="360" w:lineRule="auto"/>
        <w:rPr>
          <w:rFonts w:ascii="宋体" w:hAnsi="宋体" w:cs="宋体"/>
          <w:color w:val="000000" w:themeColor="text1"/>
          <w:highlight w:val="none"/>
          <w14:textFill>
            <w14:solidFill>
              <w14:schemeClr w14:val="tx1"/>
            </w14:solidFill>
          </w14:textFill>
        </w:rPr>
      </w:pPr>
    </w:p>
    <w:p w14:paraId="1501CB02">
      <w:pPr>
        <w:spacing w:line="360" w:lineRule="auto"/>
        <w:rPr>
          <w:rFonts w:ascii="宋体" w:hAnsi="宋体" w:cs="宋体"/>
          <w:color w:val="000000" w:themeColor="text1"/>
          <w:highlight w:val="none"/>
          <w14:textFill>
            <w14:solidFill>
              <w14:schemeClr w14:val="tx1"/>
            </w14:solidFill>
          </w14:textFill>
        </w:rPr>
      </w:pPr>
    </w:p>
    <w:p w14:paraId="00D5C93F">
      <w:pPr>
        <w:pStyle w:val="2"/>
        <w:rPr>
          <w:rFonts w:ascii="宋体" w:hAnsi="宋体" w:cs="宋体"/>
          <w:color w:val="000000" w:themeColor="text1"/>
          <w:highlight w:val="none"/>
          <w14:textFill>
            <w14:solidFill>
              <w14:schemeClr w14:val="tx1"/>
            </w14:solidFill>
          </w14:textFill>
        </w:rPr>
      </w:pPr>
    </w:p>
    <w:p w14:paraId="24962E3C">
      <w:pPr>
        <w:pStyle w:val="2"/>
        <w:rPr>
          <w:rFonts w:ascii="宋体" w:hAnsi="宋体" w:cs="宋体"/>
          <w:color w:val="000000" w:themeColor="text1"/>
          <w:highlight w:val="none"/>
          <w14:textFill>
            <w14:solidFill>
              <w14:schemeClr w14:val="tx1"/>
            </w14:solidFill>
          </w14:textFill>
        </w:rPr>
      </w:pPr>
    </w:p>
    <w:p w14:paraId="30787E0E">
      <w:pPr>
        <w:jc w:val="center"/>
        <w:rPr>
          <w:rFonts w:ascii="宋体" w:hAnsi="宋体" w:cs="宋体"/>
          <w:b/>
          <w:bCs/>
          <w:color w:val="000000" w:themeColor="text1"/>
          <w:sz w:val="36"/>
          <w:szCs w:val="36"/>
          <w:highlight w:val="none"/>
          <w14:textFill>
            <w14:solidFill>
              <w14:schemeClr w14:val="tx1"/>
            </w14:solidFill>
          </w14:textFill>
        </w:rPr>
      </w:pPr>
    </w:p>
    <w:p w14:paraId="19889E4A">
      <w:pPr>
        <w:jc w:val="center"/>
        <w:rPr>
          <w:rFonts w:ascii="宋体" w:hAnsi="宋体" w:cs="宋体"/>
          <w:b/>
          <w:bCs/>
          <w:color w:val="000000" w:themeColor="text1"/>
          <w:sz w:val="36"/>
          <w:szCs w:val="36"/>
          <w:highlight w:val="none"/>
          <w14:textFill>
            <w14:solidFill>
              <w14:schemeClr w14:val="tx1"/>
            </w14:solidFill>
          </w14:textFill>
        </w:rPr>
      </w:pPr>
    </w:p>
    <w:p w14:paraId="292D4BBF">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49BFABD3">
      <w:pPr>
        <w:spacing w:line="360" w:lineRule="auto"/>
        <w:ind w:left="420" w:leftChars="200" w:right="199" w:rightChars="95" w:firstLine="604" w:firstLineChars="216"/>
        <w:rPr>
          <w:rFonts w:ascii="宋体" w:hAnsi="宋体" w:cs="宋体"/>
          <w:color w:val="000000" w:themeColor="text1"/>
          <w:sz w:val="28"/>
          <w:szCs w:val="28"/>
          <w:highlight w:val="none"/>
          <w14:textFill>
            <w14:solidFill>
              <w14:schemeClr w14:val="tx1"/>
            </w14:solidFill>
          </w14:textFill>
        </w:rPr>
      </w:pPr>
    </w:p>
    <w:p w14:paraId="592FA025">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公开招标采购公告</w:t>
      </w:r>
    </w:p>
    <w:p w14:paraId="131F8F8C">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投标人须知</w:t>
      </w:r>
    </w:p>
    <w:p w14:paraId="3CD2BB1C">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评标办法及评分标准</w:t>
      </w:r>
    </w:p>
    <w:p w14:paraId="7B61056C">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公开招标需求</w:t>
      </w:r>
    </w:p>
    <w:p w14:paraId="541A01C9">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政府采购合同主要条款指引</w:t>
      </w:r>
    </w:p>
    <w:p w14:paraId="04C3581C">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投标文件格式附件</w:t>
      </w:r>
    </w:p>
    <w:p w14:paraId="5517E6B7">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10FACB55">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00572EFC">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2BB22861">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6CC3D8DE">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3063BDC0">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7D734763">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4A869C99">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29326855">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0DD95B0D">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6686B0DA">
      <w:pPr>
        <w:pStyle w:val="3"/>
        <w:ind w:left="420"/>
        <w:rPr>
          <w:rFonts w:hAnsi="宋体" w:cs="宋体"/>
          <w:color w:val="000000" w:themeColor="text1"/>
          <w:highlight w:val="none"/>
          <w14:textFill>
            <w14:solidFill>
              <w14:schemeClr w14:val="tx1"/>
            </w14:solidFill>
          </w14:textFill>
        </w:rPr>
      </w:pPr>
    </w:p>
    <w:p w14:paraId="583B7EB3">
      <w:pPr>
        <w:pStyle w:val="2"/>
        <w:rPr>
          <w:rFonts w:ascii="宋体" w:hAnsi="宋体" w:cs="宋体"/>
          <w:color w:val="000000" w:themeColor="text1"/>
          <w:highlight w:val="none"/>
          <w14:textFill>
            <w14:solidFill>
              <w14:schemeClr w14:val="tx1"/>
            </w14:solidFill>
          </w14:textFill>
        </w:rPr>
      </w:pPr>
    </w:p>
    <w:p w14:paraId="7D787B41">
      <w:pPr>
        <w:pStyle w:val="2"/>
        <w:rPr>
          <w:rFonts w:ascii="宋体" w:hAnsi="宋体" w:cs="宋体"/>
          <w:color w:val="000000" w:themeColor="text1"/>
          <w:highlight w:val="none"/>
          <w14:textFill>
            <w14:solidFill>
              <w14:schemeClr w14:val="tx1"/>
            </w14:solidFill>
          </w14:textFill>
        </w:rPr>
      </w:pPr>
    </w:p>
    <w:p w14:paraId="121D71D7">
      <w:pPr>
        <w:pStyle w:val="2"/>
        <w:rPr>
          <w:rFonts w:ascii="宋体" w:hAnsi="宋体" w:cs="宋体"/>
          <w:color w:val="000000" w:themeColor="text1"/>
          <w:highlight w:val="none"/>
          <w14:textFill>
            <w14:solidFill>
              <w14:schemeClr w14:val="tx1"/>
            </w14:solidFill>
          </w14:textFill>
        </w:rPr>
      </w:pPr>
    </w:p>
    <w:p w14:paraId="0EA4F716">
      <w:pPr>
        <w:pStyle w:val="2"/>
        <w:rPr>
          <w:rFonts w:ascii="宋体" w:hAnsi="宋体" w:cs="宋体"/>
          <w:color w:val="000000" w:themeColor="text1"/>
          <w:highlight w:val="none"/>
          <w14:textFill>
            <w14:solidFill>
              <w14:schemeClr w14:val="tx1"/>
            </w14:solidFill>
          </w14:textFill>
        </w:rPr>
      </w:pPr>
    </w:p>
    <w:p w14:paraId="69A7C063">
      <w:pPr>
        <w:pStyle w:val="2"/>
        <w:rPr>
          <w:rFonts w:ascii="宋体" w:hAnsi="宋体" w:cs="宋体"/>
          <w:color w:val="000000" w:themeColor="text1"/>
          <w:highlight w:val="none"/>
          <w14:textFill>
            <w14:solidFill>
              <w14:schemeClr w14:val="tx1"/>
            </w14:solidFill>
          </w14:textFill>
        </w:rPr>
      </w:pPr>
    </w:p>
    <w:p w14:paraId="638C750C">
      <w:pPr>
        <w:pStyle w:val="2"/>
        <w:rPr>
          <w:rFonts w:ascii="宋体" w:hAnsi="宋体" w:cs="宋体"/>
          <w:color w:val="000000" w:themeColor="text1"/>
          <w:highlight w:val="none"/>
          <w14:textFill>
            <w14:solidFill>
              <w14:schemeClr w14:val="tx1"/>
            </w14:solidFill>
          </w14:textFill>
        </w:rPr>
      </w:pPr>
    </w:p>
    <w:p w14:paraId="1E733A75">
      <w:pPr>
        <w:pStyle w:val="2"/>
        <w:rPr>
          <w:rFonts w:ascii="宋体" w:hAnsi="宋体" w:cs="宋体"/>
          <w:color w:val="000000" w:themeColor="text1"/>
          <w:highlight w:val="none"/>
          <w14:textFill>
            <w14:solidFill>
              <w14:schemeClr w14:val="tx1"/>
            </w14:solidFill>
          </w14:textFill>
        </w:rPr>
      </w:pPr>
    </w:p>
    <w:p w14:paraId="45965FF6">
      <w:pPr>
        <w:pStyle w:val="4"/>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公开招标采购公告</w:t>
      </w:r>
    </w:p>
    <w:p w14:paraId="34EC48D1">
      <w:pPr>
        <w:pBdr>
          <w:top w:val="single" w:color="auto" w:sz="4" w:space="1"/>
          <w:left w:val="single" w:color="auto" w:sz="4" w:space="4"/>
          <w:bottom w:val="single" w:color="auto" w:sz="4" w:space="1"/>
          <w:right w:val="single" w:color="auto" w:sz="4" w:space="4"/>
        </w:pBdr>
        <w:spacing w:line="400" w:lineRule="exact"/>
        <w:ind w:left="-315" w:leftChars="-150" w:right="-313" w:rightChars="-149" w:firstLine="535" w:firstLineChars="223"/>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67B25BB5">
      <w:pPr>
        <w:pBdr>
          <w:top w:val="single" w:color="auto" w:sz="4" w:space="1"/>
          <w:left w:val="single" w:color="auto" w:sz="4" w:space="4"/>
          <w:bottom w:val="single" w:color="auto" w:sz="4" w:space="1"/>
          <w:right w:val="single" w:color="auto" w:sz="4" w:space="4"/>
        </w:pBdr>
        <w:spacing w:line="400" w:lineRule="exact"/>
        <w:ind w:left="-315" w:leftChars="-150" w:right="-313" w:rightChars="-149" w:firstLine="535" w:firstLineChars="223"/>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350M数字集群基站运维</w:t>
      </w:r>
      <w:r>
        <w:rPr>
          <w:rFonts w:hint="eastAsia" w:ascii="仿宋" w:hAnsi="仿宋" w:eastAsia="仿宋" w:cs="仿宋"/>
          <w:color w:val="000000" w:themeColor="text1"/>
          <w:sz w:val="24"/>
          <w:highlight w:val="none"/>
          <w14:textFill>
            <w14:solidFill>
              <w14:schemeClr w14:val="tx1"/>
            </w14:solidFill>
          </w14:textFill>
        </w:rPr>
        <w:t>采购项目的潜在供应商应在</w:t>
      </w:r>
      <w:r>
        <w:rPr>
          <w:rFonts w:hint="eastAsia" w:ascii="仿宋" w:hAnsi="仿宋" w:eastAsia="仿宋" w:cs="仿宋"/>
          <w:color w:val="000000" w:themeColor="text1"/>
          <w:sz w:val="24"/>
          <w:highlight w:val="none"/>
          <w:u w:val="single"/>
          <w14:textFill>
            <w14:solidFill>
              <w14:schemeClr w14:val="tx1"/>
            </w14:solidFill>
          </w14:textFill>
        </w:rPr>
        <w:t>政府采购云平台（https://zfcg.czt.zj.gov.cn/）</w:t>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u w:val="single"/>
          <w:lang w:eastAsia="zh-CN"/>
          <w14:textFill>
            <w14:solidFill>
              <w14:schemeClr w14:val="tx1"/>
            </w14:solidFill>
          </w14:textFill>
        </w:rPr>
        <w:t>2025年02月18日</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:00</w:t>
      </w:r>
      <w:r>
        <w:rPr>
          <w:rFonts w:hint="eastAsia" w:ascii="仿宋" w:hAnsi="仿宋" w:eastAsia="仿宋" w:cs="仿宋"/>
          <w:bCs/>
          <w:color w:val="000000" w:themeColor="text1"/>
          <w:sz w:val="24"/>
          <w:highlight w:val="none"/>
          <w14:textFill>
            <w14:solidFill>
              <w14:schemeClr w14:val="tx1"/>
            </w14:solidFill>
          </w14:textFill>
        </w:rPr>
        <w:t>（北京时间）前提交响应文件</w:t>
      </w:r>
      <w:r>
        <w:rPr>
          <w:rFonts w:hint="eastAsia" w:ascii="仿宋" w:hAnsi="仿宋" w:eastAsia="仿宋" w:cs="仿宋"/>
          <w:color w:val="000000" w:themeColor="text1"/>
          <w:sz w:val="24"/>
          <w:highlight w:val="none"/>
          <w14:textFill>
            <w14:solidFill>
              <w14:schemeClr w14:val="tx1"/>
            </w14:solidFill>
          </w14:textFill>
        </w:rPr>
        <w:t>。</w:t>
      </w:r>
    </w:p>
    <w:p w14:paraId="40750A2B">
      <w:pPr>
        <w:pStyle w:val="31"/>
        <w:numPr>
          <w:ilvl w:val="0"/>
          <w:numId w:val="8"/>
        </w:numPr>
        <w:spacing w:before="128" w:beforeAutospacing="0" w:after="128" w:afterAutospacing="0" w:line="150" w:lineRule="atLeast"/>
        <w:jc w:val="both"/>
        <w:rPr>
          <w:rStyle w:val="38"/>
          <w:rFonts w:hint="default" w:ascii="黑体" w:eastAsia="黑体" w:cs="黑体"/>
          <w:color w:val="000000" w:themeColor="text1"/>
          <w:highlight w:val="none"/>
          <w14:textFill>
            <w14:solidFill>
              <w14:schemeClr w14:val="tx1"/>
            </w14:solidFill>
          </w14:textFill>
        </w:rPr>
      </w:pPr>
      <w:bookmarkStart w:id="0" w:name="_Toc28359012"/>
      <w:bookmarkStart w:id="1" w:name="_Toc35393629"/>
      <w:bookmarkStart w:id="2" w:name="_Toc35393798"/>
      <w:bookmarkStart w:id="3" w:name="_Toc28359089"/>
      <w:r>
        <w:rPr>
          <w:rStyle w:val="38"/>
          <w:rFonts w:ascii="黑体" w:eastAsia="黑体" w:cs="黑体"/>
          <w:color w:val="000000" w:themeColor="text1"/>
          <w:highlight w:val="none"/>
          <w14:textFill>
            <w14:solidFill>
              <w14:schemeClr w14:val="tx1"/>
            </w14:solidFill>
          </w14:textFill>
        </w:rPr>
        <w:t>项目基本情况</w:t>
      </w:r>
    </w:p>
    <w:p w14:paraId="6513DE2C">
      <w:pPr>
        <w:pStyle w:val="31"/>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Fonts w:ascii="黑体" w:eastAsia="黑体" w:cs="黑体"/>
          <w:color w:val="000000" w:themeColor="text1"/>
          <w:highlight w:val="none"/>
          <w14:textFill>
            <w14:solidFill>
              <w14:schemeClr w14:val="tx1"/>
            </w14:solidFill>
          </w14:textFill>
        </w:rPr>
        <w:t>                                            </w:t>
      </w:r>
    </w:p>
    <w:p w14:paraId="463F33EC">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项目编号：</w:t>
      </w:r>
      <w:r>
        <w:rPr>
          <w:rFonts w:hint="eastAsia" w:ascii="仿宋" w:hAnsi="仿宋" w:eastAsia="仿宋" w:cs="仿宋"/>
          <w:color w:val="000000" w:themeColor="text1"/>
          <w:kern w:val="0"/>
          <w:sz w:val="24"/>
          <w:highlight w:val="none"/>
          <w:lang w:eastAsia="zh-CN" w:bidi="ar"/>
          <w14:textFill>
            <w14:solidFill>
              <w14:schemeClr w14:val="tx1"/>
            </w14:solidFill>
          </w14:textFill>
        </w:rPr>
        <w:t>HQ-YHZFCG-2025-0103</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01B7BAD5">
      <w:pPr>
        <w:widowControl/>
        <w:spacing w:line="380" w:lineRule="exact"/>
        <w:jc w:val="left"/>
        <w:rPr>
          <w:rFonts w:hint="eastAsia" w:ascii="仿宋" w:hAnsi="仿宋" w:eastAsia="仿宋" w:cs="仿宋"/>
          <w:color w:val="000000" w:themeColor="text1"/>
          <w:kern w:val="0"/>
          <w:sz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项目名称：</w:t>
      </w:r>
      <w:r>
        <w:rPr>
          <w:rFonts w:hint="eastAsia" w:ascii="仿宋" w:hAnsi="仿宋" w:eastAsia="仿宋" w:cs="仿宋"/>
          <w:color w:val="000000" w:themeColor="text1"/>
          <w:kern w:val="0"/>
          <w:sz w:val="24"/>
          <w:highlight w:val="none"/>
          <w:lang w:eastAsia="zh-CN" w:bidi="ar"/>
          <w14:textFill>
            <w14:solidFill>
              <w14:schemeClr w14:val="tx1"/>
            </w14:solidFill>
          </w14:textFill>
        </w:rPr>
        <w:t>350M数字集群基站运维</w:t>
      </w:r>
    </w:p>
    <w:p w14:paraId="0087258B">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预算金额（元）：</w:t>
      </w:r>
      <w:r>
        <w:rPr>
          <w:rFonts w:hint="eastAsia" w:ascii="仿宋" w:hAnsi="仿宋" w:eastAsia="仿宋" w:cs="仿宋"/>
          <w:color w:val="000000" w:themeColor="text1"/>
          <w:kern w:val="0"/>
          <w:sz w:val="24"/>
          <w:highlight w:val="none"/>
          <w:lang w:eastAsia="zh-CN" w:bidi="ar"/>
          <w14:textFill>
            <w14:solidFill>
              <w14:schemeClr w14:val="tx1"/>
            </w14:solidFill>
          </w14:textFill>
        </w:rPr>
        <w:t>306600</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5BB806C2">
      <w:pPr>
        <w:widowControl/>
        <w:spacing w:line="380" w:lineRule="exact"/>
        <w:jc w:val="left"/>
        <w:rPr>
          <w:rFonts w:hint="eastAsia" w:ascii="仿宋" w:hAnsi="仿宋" w:eastAsia="仿宋" w:cs="仿宋"/>
          <w:color w:val="000000" w:themeColor="text1"/>
          <w:kern w:val="0"/>
          <w:sz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最高限价（元）：</w:t>
      </w:r>
      <w:r>
        <w:rPr>
          <w:rFonts w:hint="eastAsia" w:ascii="仿宋" w:hAnsi="仿宋" w:eastAsia="仿宋" w:cs="仿宋"/>
          <w:color w:val="000000" w:themeColor="text1"/>
          <w:kern w:val="0"/>
          <w:sz w:val="24"/>
          <w:highlight w:val="none"/>
          <w:lang w:eastAsia="zh-CN" w:bidi="ar"/>
          <w14:textFill>
            <w14:solidFill>
              <w14:schemeClr w14:val="tx1"/>
            </w14:solidFill>
          </w14:textFill>
        </w:rPr>
        <w:t>306600</w:t>
      </w:r>
    </w:p>
    <w:p w14:paraId="3DE8395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采购需求：</w:t>
      </w:r>
    </w:p>
    <w:p w14:paraId="10EC3817">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51308566">
      <w:pPr>
        <w:widowControl/>
        <w:spacing w:line="380" w:lineRule="exact"/>
        <w:ind w:firstLine="240" w:firstLineChars="100"/>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标项名称: </w:t>
      </w:r>
      <w:r>
        <w:rPr>
          <w:rFonts w:hint="eastAsia" w:ascii="仿宋" w:hAnsi="仿宋" w:eastAsia="仿宋" w:cs="仿宋"/>
          <w:color w:val="000000" w:themeColor="text1"/>
          <w:kern w:val="0"/>
          <w:sz w:val="24"/>
          <w:highlight w:val="none"/>
          <w:lang w:eastAsia="zh-CN" w:bidi="ar"/>
          <w14:textFill>
            <w14:solidFill>
              <w14:schemeClr w14:val="tx1"/>
            </w14:solidFill>
          </w14:textFill>
        </w:rPr>
        <w:t>350M数字集群基站运维</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4D7A78FD">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数量: 1  </w:t>
      </w:r>
    </w:p>
    <w:p w14:paraId="6E806111">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预算金额（元）: </w:t>
      </w:r>
      <w:r>
        <w:rPr>
          <w:rFonts w:hint="eastAsia" w:ascii="仿宋" w:hAnsi="仿宋" w:eastAsia="仿宋" w:cs="仿宋"/>
          <w:color w:val="000000" w:themeColor="text1"/>
          <w:kern w:val="0"/>
          <w:sz w:val="24"/>
          <w:highlight w:val="none"/>
          <w:lang w:eastAsia="zh-CN" w:bidi="ar"/>
          <w14:textFill>
            <w14:solidFill>
              <w14:schemeClr w14:val="tx1"/>
            </w14:solidFill>
          </w14:textFill>
        </w:rPr>
        <w:t>306600</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4E18BD3D">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简要规格描述或项目基本概况介绍、用途：详见采购文件 </w:t>
      </w:r>
    </w:p>
    <w:p w14:paraId="2620B4F0">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备注： </w:t>
      </w:r>
    </w:p>
    <w:p w14:paraId="4FCA249E">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合同履约期限：标项 1，详见采购文件</w:t>
      </w:r>
    </w:p>
    <w:p w14:paraId="18EB9B8A">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本项目（否）接受联合体投标。</w:t>
      </w:r>
    </w:p>
    <w:p w14:paraId="21BAC451">
      <w:pPr>
        <w:pStyle w:val="31"/>
        <w:spacing w:before="113" w:beforeAutospacing="0" w:after="113" w:afterAutospacing="0" w:line="150" w:lineRule="atLeast"/>
        <w:rPr>
          <w:rFonts w:hint="default"/>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二、申请人的资格要求：</w:t>
      </w:r>
    </w:p>
    <w:p w14:paraId="150A205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1.满足《中华人民共和国政府采购法》第二十二条规定；未被“信用中国”（www.creditchina.gov.cn)、中国政府采购网（www.ccgp.gov.cn）列入失信被执行人、重大税收违法失信主体、政府采购严重违法失信行为记录名单。</w:t>
      </w:r>
    </w:p>
    <w:p w14:paraId="40872C9A">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2.落实政府采购政策需满足的资格要求：</w:t>
      </w:r>
      <w:r>
        <w:rPr>
          <w:rFonts w:hint="eastAsia" w:ascii="仿宋" w:hAnsi="仿宋" w:eastAsia="仿宋" w:cs="仿宋"/>
          <w:color w:val="000000" w:themeColor="text1"/>
          <w:sz w:val="22"/>
          <w:highlight w:val="none"/>
          <w:lang w:val="en-US" w:eastAsia="zh-CN"/>
          <w14:textFill>
            <w14:solidFill>
              <w14:schemeClr w14:val="tx1"/>
            </w14:solidFill>
          </w14:textFill>
        </w:rPr>
        <w:t>无</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1CC6F3FA">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3.本项目的特定资格要求：无。</w:t>
      </w:r>
    </w:p>
    <w:p w14:paraId="178A841B">
      <w:pPr>
        <w:pStyle w:val="31"/>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三、获取招标文件</w:t>
      </w:r>
      <w:r>
        <w:rPr>
          <w:rFonts w:ascii="黑体" w:eastAsia="黑体" w:cs="黑体"/>
          <w:color w:val="000000" w:themeColor="text1"/>
          <w:highlight w:val="none"/>
          <w14:textFill>
            <w14:solidFill>
              <w14:schemeClr w14:val="tx1"/>
            </w14:solidFill>
          </w14:textFill>
        </w:rPr>
        <w:t> </w:t>
      </w:r>
    </w:p>
    <w:p w14:paraId="37FAC1D2">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时间：/至</w:t>
      </w:r>
      <w:r>
        <w:rPr>
          <w:rFonts w:hint="eastAsia" w:ascii="仿宋" w:hAnsi="仿宋" w:eastAsia="仿宋" w:cs="仿宋"/>
          <w:color w:val="000000" w:themeColor="text1"/>
          <w:kern w:val="0"/>
          <w:sz w:val="24"/>
          <w:highlight w:val="none"/>
          <w:lang w:eastAsia="zh-CN" w:bidi="ar"/>
          <w14:textFill>
            <w14:solidFill>
              <w14:schemeClr w14:val="tx1"/>
            </w14:solidFill>
          </w14:textFill>
        </w:rPr>
        <w:t>2025年02月18日</w:t>
      </w:r>
      <w:r>
        <w:rPr>
          <w:rFonts w:hint="eastAsia" w:ascii="仿宋" w:hAnsi="仿宋" w:eastAsia="仿宋" w:cs="仿宋"/>
          <w:color w:val="000000" w:themeColor="text1"/>
          <w:kern w:val="0"/>
          <w:sz w:val="24"/>
          <w:highlight w:val="none"/>
          <w:lang w:bidi="ar"/>
          <w14:textFill>
            <w14:solidFill>
              <w14:schemeClr w14:val="tx1"/>
            </w14:solidFill>
          </w14:textFill>
        </w:rPr>
        <w:t> ，每天上午00:00至12:00 ，下午12:00至23:59（北京时间，线上获取法定节假日均可，线下获取文件法定节假日除外）</w:t>
      </w:r>
    </w:p>
    <w:p w14:paraId="29EA701B">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地点（网址）：“政采云”平台线上获取 </w:t>
      </w:r>
    </w:p>
    <w:p w14:paraId="21DB74FB">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方式：供应商登录“政采云”平台https://zfcg.czt.zj.gov.cn/在线申请获取采购文件（进入“项目采购”应用，在获取采购文件菜单中选择项目，申请获取采购文件） </w:t>
      </w:r>
    </w:p>
    <w:p w14:paraId="7B238B5C">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售价（元）：0 </w:t>
      </w:r>
    </w:p>
    <w:p w14:paraId="1DA641E2">
      <w:pPr>
        <w:pStyle w:val="31"/>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四、提交投标文件截止时间、开标时间和地点</w:t>
      </w:r>
    </w:p>
    <w:p w14:paraId="0E3A3F84">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提交投标文件截止时间：</w:t>
      </w:r>
      <w:r>
        <w:rPr>
          <w:rFonts w:hint="eastAsia" w:ascii="仿宋" w:hAnsi="仿宋" w:eastAsia="仿宋" w:cs="仿宋"/>
          <w:color w:val="000000" w:themeColor="text1"/>
          <w:kern w:val="0"/>
          <w:sz w:val="24"/>
          <w:highlight w:val="none"/>
          <w:lang w:eastAsia="zh-CN" w:bidi="ar"/>
          <w14:textFill>
            <w14:solidFill>
              <w14:schemeClr w14:val="tx1"/>
            </w14:solidFill>
          </w14:textFill>
        </w:rPr>
        <w:t>2025年02月18日</w:t>
      </w:r>
      <w:r>
        <w:rPr>
          <w:rFonts w:hint="eastAsia" w:ascii="仿宋" w:hAnsi="仿宋" w:eastAsia="仿宋" w:cs="仿宋"/>
          <w:color w:val="000000" w:themeColor="text1"/>
          <w:kern w:val="0"/>
          <w:sz w:val="24"/>
          <w:highlight w:val="none"/>
          <w:lang w:bidi="ar"/>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14</w:t>
      </w:r>
      <w:r>
        <w:rPr>
          <w:rFonts w:hint="eastAsia" w:ascii="仿宋" w:hAnsi="仿宋" w:eastAsia="仿宋" w:cs="仿宋"/>
          <w:color w:val="000000" w:themeColor="text1"/>
          <w:kern w:val="0"/>
          <w:sz w:val="24"/>
          <w:highlight w:val="none"/>
          <w:lang w:bidi="ar"/>
          <w14:textFill>
            <w14:solidFill>
              <w14:schemeClr w14:val="tx1"/>
            </w14:solidFill>
          </w14:textFill>
        </w:rPr>
        <w:t>:00（北京时间）</w:t>
      </w:r>
    </w:p>
    <w:p w14:paraId="6BA3583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投标地点（网址）：“政采云”平台（线上） </w:t>
      </w:r>
    </w:p>
    <w:p w14:paraId="747BDE5D">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开标时间：</w:t>
      </w:r>
      <w:r>
        <w:rPr>
          <w:rFonts w:hint="eastAsia" w:ascii="仿宋" w:hAnsi="仿宋" w:eastAsia="仿宋" w:cs="仿宋"/>
          <w:color w:val="000000" w:themeColor="text1"/>
          <w:kern w:val="0"/>
          <w:sz w:val="24"/>
          <w:highlight w:val="none"/>
          <w:lang w:eastAsia="zh-CN" w:bidi="ar"/>
          <w14:textFill>
            <w14:solidFill>
              <w14:schemeClr w14:val="tx1"/>
            </w14:solidFill>
          </w14:textFill>
        </w:rPr>
        <w:t>2025年02月18日</w:t>
      </w:r>
      <w:r>
        <w:rPr>
          <w:rFonts w:hint="eastAsia" w:ascii="仿宋" w:hAnsi="仿宋" w:eastAsia="仿宋" w:cs="仿宋"/>
          <w:color w:val="000000" w:themeColor="text1"/>
          <w:kern w:val="0"/>
          <w:sz w:val="24"/>
          <w:highlight w:val="none"/>
          <w:lang w:bidi="ar"/>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14</w:t>
      </w:r>
      <w:r>
        <w:rPr>
          <w:rFonts w:hint="eastAsia" w:ascii="仿宋" w:hAnsi="仿宋" w:eastAsia="仿宋" w:cs="仿宋"/>
          <w:color w:val="000000" w:themeColor="text1"/>
          <w:kern w:val="0"/>
          <w:sz w:val="24"/>
          <w:highlight w:val="none"/>
          <w:lang w:bidi="ar"/>
          <w14:textFill>
            <w14:solidFill>
              <w14:schemeClr w14:val="tx1"/>
            </w14:solidFill>
          </w14:textFill>
        </w:rPr>
        <w:t>:00 （北京时间）</w:t>
      </w:r>
    </w:p>
    <w:p w14:paraId="4F0E9264">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开标地点（网址）：“政采云”平台（线上）  </w:t>
      </w:r>
    </w:p>
    <w:p w14:paraId="7D12E2DC">
      <w:pPr>
        <w:pStyle w:val="31"/>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五、公告期限</w:t>
      </w:r>
      <w:r>
        <w:rPr>
          <w:rFonts w:ascii="黑体" w:eastAsia="黑体" w:cs="黑体"/>
          <w:color w:val="000000" w:themeColor="text1"/>
          <w:highlight w:val="none"/>
          <w14:textFill>
            <w14:solidFill>
              <w14:schemeClr w14:val="tx1"/>
            </w14:solidFill>
          </w14:textFill>
        </w:rPr>
        <w:t> </w:t>
      </w:r>
    </w:p>
    <w:p w14:paraId="58961EA3">
      <w:pPr>
        <w:widowControl/>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自本公告发布之日起5个工作日。</w:t>
      </w:r>
    </w:p>
    <w:p w14:paraId="122231DA">
      <w:pPr>
        <w:pStyle w:val="31"/>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六、其他补充事宜</w:t>
      </w:r>
    </w:p>
    <w:p w14:paraId="44DF3B7B">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2F9BBDE">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A919DB">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5190BE">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4.其他事项：无</w:t>
      </w:r>
    </w:p>
    <w:p w14:paraId="072AACFC">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0B3AE3F7">
      <w:pPr>
        <w:pStyle w:val="31"/>
        <w:spacing w:before="128" w:beforeAutospacing="0" w:after="128" w:afterAutospacing="0" w:line="24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七、对本次采购提出询问、质疑、投诉，请按以下方式联系</w:t>
      </w:r>
    </w:p>
    <w:p w14:paraId="6D4838D8">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1.采购人信息</w:t>
      </w:r>
    </w:p>
    <w:p w14:paraId="06B9A691">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名    称：玉环市公安局</w:t>
      </w:r>
    </w:p>
    <w:p w14:paraId="1B37B1F7">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地    址：浙江省玉环市玉城街道广陵南路58号</w:t>
      </w:r>
    </w:p>
    <w:p w14:paraId="42B3076E">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联系人：刘先生</w:t>
      </w:r>
    </w:p>
    <w:p w14:paraId="6930D15D">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联系方式：0576-89917650</w:t>
      </w:r>
    </w:p>
    <w:p w14:paraId="10DCC4CA">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质疑联系人：刘先生</w:t>
      </w:r>
    </w:p>
    <w:p w14:paraId="0076315C">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ascii="仿宋" w:hAnsi="仿宋" w:eastAsia="仿宋" w:cs="仿宋"/>
          <w:color w:val="000000" w:themeColor="text1"/>
          <w:kern w:val="0"/>
          <w:sz w:val="24"/>
          <w:highlight w:val="none"/>
          <w:lang w:bidi="ar"/>
          <w14:textFill>
            <w14:solidFill>
              <w14:schemeClr w14:val="tx1"/>
            </w14:solidFill>
          </w14:textFill>
        </w:rPr>
        <w:t>质疑联系方式</w:t>
      </w:r>
      <w:r>
        <w:rPr>
          <w:rFonts w:hint="eastAsia" w:ascii="仿宋" w:hAnsi="仿宋" w:eastAsia="仿宋" w:cs="仿宋"/>
          <w:color w:val="000000" w:themeColor="text1"/>
          <w:kern w:val="0"/>
          <w:sz w:val="24"/>
          <w:highlight w:val="none"/>
          <w:lang w:bidi="ar"/>
          <w14:textFill>
            <w14:solidFill>
              <w14:schemeClr w14:val="tx1"/>
            </w14:solidFill>
          </w14:textFill>
        </w:rPr>
        <w:t>：0576-89917650 </w:t>
      </w:r>
    </w:p>
    <w:p w14:paraId="51503DD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0E61030D">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2.采购代理机构信息            </w:t>
      </w:r>
    </w:p>
    <w:p w14:paraId="3ABED387">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名    称：杭州华旗招标代理有限公司             </w:t>
      </w:r>
    </w:p>
    <w:p w14:paraId="45C5B8A9">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地    址：台州市玉环市李家小区二期2号楼601室             </w:t>
      </w:r>
    </w:p>
    <w:p w14:paraId="4D4A045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传    真：             </w:t>
      </w:r>
    </w:p>
    <w:p w14:paraId="2B952206">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项目联系人（询问）：胡先生              </w:t>
      </w:r>
    </w:p>
    <w:p w14:paraId="1346FE4C">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项目联系方式（询问）： 15967041020 </w:t>
      </w:r>
    </w:p>
    <w:p w14:paraId="25967357">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质疑联系人：林先生             </w:t>
      </w:r>
    </w:p>
    <w:p w14:paraId="17D3A042">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质疑联系方式：18057685959 　　　　　　     </w:t>
      </w:r>
    </w:p>
    <w:p w14:paraId="2CB7BAAD">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1F814941">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3. 同级政府采购监督管理部门</w:t>
      </w:r>
    </w:p>
    <w:p w14:paraId="3DE40440">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名    称：玉环市财政局政府采购监督管理科</w:t>
      </w:r>
    </w:p>
    <w:p w14:paraId="6F83E99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地    址：玉环市广陵路130号财政大楼5楼</w:t>
      </w:r>
    </w:p>
    <w:p w14:paraId="32A4ED4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传    真：</w:t>
      </w:r>
    </w:p>
    <w:p w14:paraId="7C2F388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联 系 人：李主任</w:t>
      </w:r>
    </w:p>
    <w:p w14:paraId="3A9838F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监督投诉电话：0576-87250185</w:t>
      </w:r>
    </w:p>
    <w:p w14:paraId="7CCDE58B">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01EBFDD6">
      <w:pPr>
        <w:widowControl/>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若对项目采购电子交易系统操作有疑问，可登录政采云（https://zfcg.czt.zj.gov.cn/），点击右侧咨询小采，获取采小蜜智能服务管家帮助，或拨打政采云服务热线95763获取热线服务帮助。       </w:t>
      </w:r>
    </w:p>
    <w:p w14:paraId="5575A36D">
      <w:pPr>
        <w:widowControl/>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CA问题联系电话（人工）：汇信CA 400-888-4636；天谷CA 400-087-8198。</w:t>
      </w:r>
    </w:p>
    <w:p w14:paraId="1D0B7EA5">
      <w:pPr>
        <w:pStyle w:val="31"/>
        <w:rPr>
          <w:rFonts w:hint="default"/>
          <w:color w:val="000000" w:themeColor="text1"/>
          <w:highlight w:val="none"/>
          <w14:textFill>
            <w14:solidFill>
              <w14:schemeClr w14:val="tx1"/>
            </w14:solidFill>
          </w14:textFill>
        </w:rPr>
      </w:pPr>
    </w:p>
    <w:p w14:paraId="5D063597">
      <w:pPr>
        <w:pStyle w:val="31"/>
        <w:rPr>
          <w:rFonts w:hint="default"/>
          <w:color w:val="000000" w:themeColor="text1"/>
          <w:highlight w:val="none"/>
          <w14:textFill>
            <w14:solidFill>
              <w14:schemeClr w14:val="tx1"/>
            </w14:solidFill>
          </w14:textFill>
        </w:rPr>
      </w:pPr>
    </w:p>
    <w:p w14:paraId="5242BDCB">
      <w:pPr>
        <w:pStyle w:val="31"/>
        <w:rPr>
          <w:rFonts w:hint="default"/>
          <w:color w:val="000000" w:themeColor="text1"/>
          <w:highlight w:val="none"/>
          <w14:textFill>
            <w14:solidFill>
              <w14:schemeClr w14:val="tx1"/>
            </w14:solidFill>
          </w14:textFill>
        </w:rPr>
      </w:pPr>
    </w:p>
    <w:p w14:paraId="6577E9B6">
      <w:pPr>
        <w:pStyle w:val="31"/>
        <w:rPr>
          <w:rFonts w:hint="default"/>
          <w:color w:val="000000" w:themeColor="text1"/>
          <w:highlight w:val="none"/>
          <w14:textFill>
            <w14:solidFill>
              <w14:schemeClr w14:val="tx1"/>
            </w14:solidFill>
          </w14:textFill>
        </w:rPr>
      </w:pPr>
    </w:p>
    <w:p w14:paraId="444DEA92">
      <w:pPr>
        <w:pStyle w:val="31"/>
        <w:rPr>
          <w:rFonts w:hint="default"/>
          <w:color w:val="000000" w:themeColor="text1"/>
          <w:highlight w:val="none"/>
          <w14:textFill>
            <w14:solidFill>
              <w14:schemeClr w14:val="tx1"/>
            </w14:solidFill>
          </w14:textFill>
        </w:rPr>
      </w:pPr>
    </w:p>
    <w:p w14:paraId="7C2CBBC0">
      <w:pPr>
        <w:pStyle w:val="31"/>
        <w:rPr>
          <w:rFonts w:hint="default"/>
          <w:color w:val="000000" w:themeColor="text1"/>
          <w:highlight w:val="none"/>
          <w14:textFill>
            <w14:solidFill>
              <w14:schemeClr w14:val="tx1"/>
            </w14:solidFill>
          </w14:textFill>
        </w:rPr>
      </w:pPr>
    </w:p>
    <w:p w14:paraId="5B2BB759">
      <w:pPr>
        <w:pStyle w:val="31"/>
        <w:rPr>
          <w:rFonts w:hint="default"/>
          <w:color w:val="000000" w:themeColor="text1"/>
          <w:highlight w:val="none"/>
          <w14:textFill>
            <w14:solidFill>
              <w14:schemeClr w14:val="tx1"/>
            </w14:solidFill>
          </w14:textFill>
        </w:rPr>
      </w:pPr>
    </w:p>
    <w:p w14:paraId="1358D258">
      <w:pPr>
        <w:pStyle w:val="31"/>
        <w:rPr>
          <w:rFonts w:hint="default"/>
          <w:color w:val="000000" w:themeColor="text1"/>
          <w:highlight w:val="none"/>
          <w14:textFill>
            <w14:solidFill>
              <w14:schemeClr w14:val="tx1"/>
            </w14:solidFill>
          </w14:textFill>
        </w:rPr>
      </w:pPr>
    </w:p>
    <w:p w14:paraId="3725C240">
      <w:pPr>
        <w:pStyle w:val="31"/>
        <w:rPr>
          <w:rFonts w:hint="default"/>
          <w:color w:val="000000" w:themeColor="text1"/>
          <w:highlight w:val="none"/>
          <w14:textFill>
            <w14:solidFill>
              <w14:schemeClr w14:val="tx1"/>
            </w14:solidFill>
          </w14:textFill>
        </w:rPr>
      </w:pPr>
    </w:p>
    <w:p w14:paraId="3E99E0D3">
      <w:pPr>
        <w:pStyle w:val="31"/>
        <w:rPr>
          <w:rFonts w:hint="default"/>
          <w:color w:val="000000" w:themeColor="text1"/>
          <w:highlight w:val="none"/>
          <w14:textFill>
            <w14:solidFill>
              <w14:schemeClr w14:val="tx1"/>
            </w14:solidFill>
          </w14:textFill>
        </w:rPr>
      </w:pPr>
    </w:p>
    <w:bookmarkEnd w:id="0"/>
    <w:bookmarkEnd w:id="1"/>
    <w:bookmarkEnd w:id="2"/>
    <w:bookmarkEnd w:id="3"/>
    <w:p w14:paraId="3052D4BF">
      <w:pPr>
        <w:pStyle w:val="4"/>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投标人须知</w:t>
      </w:r>
    </w:p>
    <w:p w14:paraId="74B871E9">
      <w:pPr>
        <w:pStyle w:val="20"/>
        <w:spacing w:line="360" w:lineRule="auto"/>
        <w:jc w:val="center"/>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前附表1.</w:t>
      </w:r>
    </w:p>
    <w:tbl>
      <w:tblPr>
        <w:tblStyle w:val="35"/>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65"/>
        <w:gridCol w:w="1658"/>
        <w:gridCol w:w="6896"/>
      </w:tblGrid>
      <w:tr w14:paraId="5EFC4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tcBorders>
              <w:top w:val="single" w:color="auto" w:sz="12" w:space="0"/>
            </w:tcBorders>
            <w:vAlign w:val="center"/>
          </w:tcPr>
          <w:p w14:paraId="62F6DF45">
            <w:pPr>
              <w:tabs>
                <w:tab w:val="left" w:pos="420"/>
                <w:tab w:val="left" w:pos="640"/>
              </w:tabs>
              <w:spacing w:line="400" w:lineRule="exact"/>
              <w:ind w:right="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项号</w:t>
            </w:r>
          </w:p>
        </w:tc>
        <w:tc>
          <w:tcPr>
            <w:tcW w:w="1658" w:type="dxa"/>
            <w:tcBorders>
              <w:top w:val="single" w:color="auto" w:sz="12" w:space="0"/>
            </w:tcBorders>
            <w:vAlign w:val="center"/>
          </w:tcPr>
          <w:p w14:paraId="33E03C00">
            <w:pPr>
              <w:spacing w:line="400" w:lineRule="exact"/>
              <w:ind w:left="12" w:right="199" w:rightChars="95" w:hanging="12" w:hangingChars="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6896" w:type="dxa"/>
            <w:tcBorders>
              <w:top w:val="single" w:color="auto" w:sz="12" w:space="0"/>
            </w:tcBorders>
            <w:vAlign w:val="center"/>
          </w:tcPr>
          <w:p w14:paraId="3C6A8EFD">
            <w:pPr>
              <w:spacing w:line="400" w:lineRule="exact"/>
              <w:ind w:left="19" w:right="199" w:rightChars="95" w:hanging="19" w:hangingChars="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说明与要求</w:t>
            </w:r>
          </w:p>
        </w:tc>
      </w:tr>
      <w:tr w14:paraId="2B2DA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0E855509">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C1BE2F5">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896" w:type="dxa"/>
            <w:vAlign w:val="center"/>
          </w:tcPr>
          <w:p w14:paraId="44DE9CAE">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350M数字集群基站运维</w:t>
            </w:r>
          </w:p>
        </w:tc>
      </w:tr>
      <w:tr w14:paraId="28475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11F5FB23">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658" w:type="dxa"/>
            <w:vAlign w:val="center"/>
          </w:tcPr>
          <w:p w14:paraId="24B01B7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6896" w:type="dxa"/>
            <w:vAlign w:val="center"/>
          </w:tcPr>
          <w:p w14:paraId="131BB04E">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HQ-YHZFCG-2025-0103</w:t>
            </w:r>
          </w:p>
        </w:tc>
      </w:tr>
      <w:tr w14:paraId="1C4A0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54475A25">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505A2EA8">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w:t>
            </w:r>
          </w:p>
        </w:tc>
        <w:tc>
          <w:tcPr>
            <w:tcW w:w="6896" w:type="dxa"/>
            <w:vAlign w:val="center"/>
          </w:tcPr>
          <w:p w14:paraId="2EBCCE7B">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财政性资金</w:t>
            </w:r>
          </w:p>
        </w:tc>
      </w:tr>
      <w:tr w14:paraId="313BF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5F79AF45">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5A45C39B">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w:t>
            </w:r>
          </w:p>
        </w:tc>
        <w:tc>
          <w:tcPr>
            <w:tcW w:w="6896" w:type="dxa"/>
            <w:vAlign w:val="center"/>
          </w:tcPr>
          <w:p w14:paraId="416DED7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公开招标</w:t>
            </w:r>
          </w:p>
        </w:tc>
      </w:tr>
      <w:tr w14:paraId="6704A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659E0E51">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B9839A0">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w:t>
            </w:r>
          </w:p>
        </w:tc>
        <w:tc>
          <w:tcPr>
            <w:tcW w:w="6896" w:type="dxa"/>
            <w:vAlign w:val="center"/>
          </w:tcPr>
          <w:p w14:paraId="19E7A72A">
            <w:pPr>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306600</w:t>
            </w:r>
            <w:r>
              <w:rPr>
                <w:rFonts w:hint="eastAsia" w:ascii="宋体" w:hAnsi="宋体" w:cs="宋体"/>
                <w:color w:val="000000" w:themeColor="text1"/>
                <w:sz w:val="24"/>
                <w:highlight w:val="none"/>
                <w14:textFill>
                  <w14:solidFill>
                    <w14:schemeClr w14:val="tx1"/>
                  </w14:solidFill>
                </w14:textFill>
              </w:rPr>
              <w:t>元</w:t>
            </w:r>
          </w:p>
        </w:tc>
      </w:tr>
      <w:tr w14:paraId="366A2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38E4E37D">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FF7F5E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p>
        </w:tc>
        <w:tc>
          <w:tcPr>
            <w:tcW w:w="6896" w:type="dxa"/>
            <w:vAlign w:val="center"/>
          </w:tcPr>
          <w:p w14:paraId="26A22B76">
            <w:pPr>
              <w:tabs>
                <w:tab w:val="left" w:pos="6090"/>
              </w:tabs>
              <w:spacing w:line="400" w:lineRule="exact"/>
              <w:ind w:right="29" w:rightChars="1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306600</w:t>
            </w:r>
            <w:r>
              <w:rPr>
                <w:rFonts w:hint="eastAsia" w:ascii="宋体" w:hAnsi="宋体" w:cs="宋体"/>
                <w:color w:val="000000" w:themeColor="text1"/>
                <w:sz w:val="24"/>
                <w:highlight w:val="none"/>
                <w14:textFill>
                  <w14:solidFill>
                    <w14:schemeClr w14:val="tx1"/>
                  </w14:solidFill>
                </w14:textFill>
              </w:rPr>
              <w:t>元</w:t>
            </w:r>
          </w:p>
        </w:tc>
      </w:tr>
      <w:tr w14:paraId="0C188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21821C6E">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7895AFD">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tc>
        <w:tc>
          <w:tcPr>
            <w:tcW w:w="6896" w:type="dxa"/>
            <w:vAlign w:val="center"/>
          </w:tcPr>
          <w:p w14:paraId="0B746A24">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玉环市公安局</w:t>
            </w:r>
          </w:p>
        </w:tc>
      </w:tr>
      <w:tr w14:paraId="713B7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24D1A393">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658" w:type="dxa"/>
            <w:vAlign w:val="center"/>
          </w:tcPr>
          <w:p w14:paraId="197CF8ED">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招标代理机构</w:t>
            </w:r>
          </w:p>
        </w:tc>
        <w:tc>
          <w:tcPr>
            <w:tcW w:w="6896" w:type="dxa"/>
            <w:vAlign w:val="center"/>
          </w:tcPr>
          <w:p w14:paraId="6A664A40">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杭州华旗招标代理有限公司</w:t>
            </w:r>
          </w:p>
        </w:tc>
      </w:tr>
      <w:tr w14:paraId="319DD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110E300F">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856633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w:t>
            </w:r>
          </w:p>
        </w:tc>
        <w:tc>
          <w:tcPr>
            <w:tcW w:w="6896" w:type="dxa"/>
            <w:vAlign w:val="center"/>
          </w:tcPr>
          <w:p w14:paraId="55296F40">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w:t>
            </w:r>
          </w:p>
        </w:tc>
      </w:tr>
      <w:tr w14:paraId="3A174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0FAE930B">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74BCAAA">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招标内容</w:t>
            </w:r>
          </w:p>
        </w:tc>
        <w:tc>
          <w:tcPr>
            <w:tcW w:w="6896" w:type="dxa"/>
            <w:vAlign w:val="center"/>
          </w:tcPr>
          <w:p w14:paraId="71AAA20A">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具体内容见招标文件</w:t>
            </w:r>
          </w:p>
        </w:tc>
      </w:tr>
      <w:tr w14:paraId="6FCA8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294C219E">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8B26A8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投标供应商资格要求</w:t>
            </w:r>
          </w:p>
        </w:tc>
        <w:tc>
          <w:tcPr>
            <w:tcW w:w="6896" w:type="dxa"/>
            <w:vAlign w:val="center"/>
          </w:tcPr>
          <w:p w14:paraId="1FADF63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详见招标公告</w:t>
            </w:r>
          </w:p>
        </w:tc>
      </w:tr>
      <w:tr w14:paraId="5C2F7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4801033E">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9E64001">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是否接受联合体投标</w:t>
            </w:r>
          </w:p>
        </w:tc>
        <w:tc>
          <w:tcPr>
            <w:tcW w:w="6896" w:type="dxa"/>
            <w:vAlign w:val="center"/>
          </w:tcPr>
          <w:p w14:paraId="41326870">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☑不接受</w:t>
            </w:r>
          </w:p>
          <w:p w14:paraId="45DD771D">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w:t>
            </w:r>
          </w:p>
        </w:tc>
      </w:tr>
      <w:tr w14:paraId="16C41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24415981">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A136A4C">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w:t>
            </w:r>
          </w:p>
        </w:tc>
        <w:tc>
          <w:tcPr>
            <w:tcW w:w="6896" w:type="dxa"/>
            <w:vAlign w:val="center"/>
          </w:tcPr>
          <w:p w14:paraId="55E1EDE7">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☑不组织（如投标人认为有必要可自行前往现场踏勘）</w:t>
            </w:r>
          </w:p>
          <w:p w14:paraId="5770A057">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□组织   </w:t>
            </w:r>
          </w:p>
        </w:tc>
      </w:tr>
      <w:tr w14:paraId="7914E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6" w:hRule="atLeast"/>
          <w:jc w:val="center"/>
        </w:trPr>
        <w:tc>
          <w:tcPr>
            <w:tcW w:w="865" w:type="dxa"/>
            <w:vAlign w:val="center"/>
          </w:tcPr>
          <w:p w14:paraId="7C097873">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25EC991">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是否允许递交备选投标方案</w:t>
            </w:r>
          </w:p>
        </w:tc>
        <w:tc>
          <w:tcPr>
            <w:tcW w:w="6896" w:type="dxa"/>
            <w:vAlign w:val="center"/>
          </w:tcPr>
          <w:p w14:paraId="596787D5">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不允许</w:t>
            </w:r>
          </w:p>
          <w:p w14:paraId="73D2CD25">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允许</w:t>
            </w:r>
          </w:p>
        </w:tc>
      </w:tr>
      <w:tr w14:paraId="7FB1D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65" w:type="dxa"/>
            <w:vAlign w:val="center"/>
          </w:tcPr>
          <w:p w14:paraId="32946B67">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02E91455">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投标货币</w:t>
            </w:r>
          </w:p>
        </w:tc>
        <w:tc>
          <w:tcPr>
            <w:tcW w:w="6896" w:type="dxa"/>
            <w:vAlign w:val="center"/>
          </w:tcPr>
          <w:p w14:paraId="42BDA00D">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p>
        </w:tc>
      </w:tr>
      <w:tr w14:paraId="66D28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654955F4">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49736ACD">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投标语言</w:t>
            </w:r>
          </w:p>
        </w:tc>
        <w:tc>
          <w:tcPr>
            <w:tcW w:w="6896" w:type="dxa"/>
            <w:vAlign w:val="center"/>
          </w:tcPr>
          <w:p w14:paraId="6BD5094B">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中文</w:t>
            </w:r>
          </w:p>
        </w:tc>
      </w:tr>
      <w:tr w14:paraId="74E6C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65" w:type="dxa"/>
            <w:vAlign w:val="center"/>
          </w:tcPr>
          <w:p w14:paraId="3561C1D6">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0255F33B">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说明</w:t>
            </w:r>
          </w:p>
        </w:tc>
        <w:tc>
          <w:tcPr>
            <w:tcW w:w="6896" w:type="dxa"/>
            <w:vAlign w:val="center"/>
          </w:tcPr>
          <w:p w14:paraId="3660D2A9">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投标文件组成：</w:t>
            </w:r>
            <w:r>
              <w:rPr>
                <w:rFonts w:hint="eastAsia" w:ascii="宋体" w:hAnsi="宋体" w:cs="宋体"/>
                <w:color w:val="000000" w:themeColor="text1"/>
                <w:sz w:val="24"/>
                <w:highlight w:val="none"/>
                <w:lang w:val="zh-CN"/>
                <w14:textFill>
                  <w14:solidFill>
                    <w14:schemeClr w14:val="tx1"/>
                  </w14:solidFill>
                </w14:textFill>
              </w:rPr>
              <w:t>《资格文件》及《商务技术文件》和《报价文件》。</w:t>
            </w:r>
          </w:p>
          <w:p w14:paraId="3B7E680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投标文件编制：</w:t>
            </w:r>
            <w:r>
              <w:rPr>
                <w:rFonts w:hint="eastAsia" w:ascii="宋体" w:hAnsi="宋体" w:cs="宋体"/>
                <w:color w:val="000000" w:themeColor="text1"/>
                <w:sz w:val="24"/>
                <w:highlight w:val="none"/>
                <w14:textFill>
                  <w14:solidFill>
                    <w14:schemeClr w14:val="tx1"/>
                  </w14:solidFill>
                </w14:textFill>
              </w:rPr>
              <w:t>供应商应先安装“政采云电子交易客户端”，并按照本采购文件和“政采云”平台的要求，通过“政采云电子交易客户端”编制并加密投标文件。</w:t>
            </w:r>
          </w:p>
          <w:p w14:paraId="7B699BB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投标文件的签章：</w:t>
            </w:r>
            <w:r>
              <w:rPr>
                <w:rFonts w:hint="eastAsia" w:ascii="宋体" w:hAnsi="宋体" w:cs="宋体"/>
                <w:color w:val="000000" w:themeColor="text1"/>
                <w:sz w:val="24"/>
                <w:highlight w:val="none"/>
                <w14:textFill>
                  <w14:solidFill>
                    <w14:schemeClr w14:val="tx1"/>
                  </w14:solidFill>
                </w14:textFill>
              </w:rPr>
              <w:t>电子签章。</w:t>
            </w:r>
          </w:p>
          <w:p w14:paraId="1D87F77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投标文件的形式：</w:t>
            </w:r>
            <w:r>
              <w:rPr>
                <w:rFonts w:hint="eastAsia" w:ascii="宋体" w:hAnsi="宋体" w:cs="宋体"/>
                <w:color w:val="000000" w:themeColor="text1"/>
                <w:sz w:val="24"/>
                <w:highlight w:val="none"/>
                <w14:textFill>
                  <w14:solidFill>
                    <w14:schemeClr w14:val="tx1"/>
                  </w14:solidFill>
                </w14:textFill>
              </w:rPr>
              <w:t>☑电子投标文件（包括“电子加密投标文件”和“备份投标文件”，在投标文件编制完成后同时生成）；</w:t>
            </w:r>
          </w:p>
          <w:p w14:paraId="042DD31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（1）“电子加密投标文件”是指通过“政采云电子交易客户端”完成投标文件编制后生成并加密的数据电文形式的投标文件。</w:t>
            </w:r>
          </w:p>
          <w:p w14:paraId="6D0910E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p w14:paraId="0FDA09B8">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5、投标文件份数：</w:t>
            </w:r>
            <w:r>
              <w:rPr>
                <w:rFonts w:hint="eastAsia" w:ascii="宋体" w:hAnsi="宋体" w:cs="宋体"/>
                <w:color w:val="000000" w:themeColor="text1"/>
                <w:sz w:val="24"/>
                <w:highlight w:val="none"/>
                <w14:textFill>
                  <w14:solidFill>
                    <w14:schemeClr w14:val="tx1"/>
                  </w14:solidFill>
                </w14:textFill>
              </w:rPr>
              <w:t>（1）“电子加密投标文件”：在线上传递交。（2）“备份投标文件”：密封包装后投标截止时间前递交一份。</w:t>
            </w:r>
          </w:p>
          <w:p w14:paraId="3AB39A4E">
            <w:pPr>
              <w:spacing w:line="400" w:lineRule="exact"/>
              <w:ind w:left="19" w:right="199" w:rightChars="95" w:hanging="19" w:hangingChars="8"/>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投标文件的上传和递交：</w:t>
            </w:r>
          </w:p>
          <w:p w14:paraId="1733809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（1）“电子加密投标文件”的上传、递交：</w:t>
            </w:r>
          </w:p>
          <w:p w14:paraId="2DD9346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a.供应商应在投标截止时间前将“电子加密投标文件”成功上传递交至“政采云”平台，否则投标无效。</w:t>
            </w:r>
          </w:p>
          <w:p w14:paraId="00BBACC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b.“电子加密投标文件”成功上传递交后，供应商可自行打印投标文件接收回执。</w:t>
            </w:r>
          </w:p>
          <w:p w14:paraId="3ADF4C7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（2）“备份投标文件”的密封包装、递交：</w:t>
            </w:r>
          </w:p>
          <w:p w14:paraId="23846D36">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a.供应商在“政采云”平台完成“电子加密投标文件”的上传递交后， 投标供应商如需递交“备份投标文件”的，应在投标截止时间前将在政采云平台上最后生成的具备电子签章的备份加密投标文件压缩发送至153997632@qq.com。</w:t>
            </w:r>
          </w:p>
          <w:p w14:paraId="2A5E6D9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b.“备份投标文件”应当压缩文件形式，标注投标项目名称、投标单位名称。</w:t>
            </w:r>
          </w:p>
          <w:p w14:paraId="039FCDF8">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通过“政采云”平台成功上传递交的“电子加密投标文件”已按时解密的，“备份投标文件”自动失效。投标截止时间前，供应商仅递交了“备份投标文件”而未将“电子加密投标文件”成功上传至“政采云”平台的，投标无效。</w:t>
            </w:r>
          </w:p>
          <w:p w14:paraId="24AD63D5">
            <w:pPr>
              <w:spacing w:line="400" w:lineRule="exact"/>
              <w:ind w:left="19" w:right="199" w:rightChars="95" w:hanging="19" w:hangingChars="8"/>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7、电子加密投标文件的解密和异常情况处理：</w:t>
            </w:r>
          </w:p>
          <w:p w14:paraId="2ADBB9D2">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（1）开标后，采购组织机构将向各供应商发出“电子加密投标文件”的解密通知，各供应商代表应当在接到解密通知后30分钟内自行完成“电子加密投标文件”的在线解密。</w:t>
            </w:r>
          </w:p>
          <w:p w14:paraId="4A748627">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通过“政采云”平台成功上传递交的“电子加密投标文件”无法按时解密，供应商如按规定递交了“备份投标文件”的，以“备份投标文件”为依据（由采购组织机构按“政采云”平台操作规范将“备份投标文件”上传至“政采云”平台，上传成功后，“电子加密投标文件”自动失效），否则视为投标文件撤回。</w:t>
            </w:r>
          </w:p>
          <w:p w14:paraId="734B7057">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（3）投标截止时间前，供应商仅递交了“备份投标文件”而未将电子加密投标文件上传至“政采云”平台的，投标无效。</w:t>
            </w:r>
          </w:p>
          <w:p w14:paraId="3021A235">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8、投标截止后，在投标有效期内，供应商不能撤销投标文件。</w:t>
            </w:r>
          </w:p>
          <w:p w14:paraId="1558949D">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14:paraId="0249F7D9">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10、存在下列行为的，招标代理机构将其失信行为上报政府采购主管部门，由主管部门按有关规定对其违法失信行为记录进行公开：</w:t>
            </w:r>
          </w:p>
          <w:p w14:paraId="6AB5E4C5">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（1）中标或者成交后，拒绝签订政府采购合同的；</w:t>
            </w:r>
          </w:p>
          <w:p w14:paraId="5F16487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（2）投标有效期内撤销投标文件的</w:t>
            </w:r>
          </w:p>
        </w:tc>
      </w:tr>
      <w:tr w14:paraId="03800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65" w:type="dxa"/>
            <w:vAlign w:val="center"/>
          </w:tcPr>
          <w:p w14:paraId="538B651A">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5B2821F">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投标样品</w:t>
            </w:r>
          </w:p>
        </w:tc>
        <w:tc>
          <w:tcPr>
            <w:tcW w:w="6896" w:type="dxa"/>
            <w:vAlign w:val="center"/>
          </w:tcPr>
          <w:p w14:paraId="4C369369">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☑不需要</w:t>
            </w:r>
          </w:p>
          <w:p w14:paraId="64C20D2B">
            <w:pPr>
              <w:adjustRightInd w:val="0"/>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w:t>
            </w:r>
          </w:p>
        </w:tc>
      </w:tr>
      <w:tr w14:paraId="204CAE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865" w:type="dxa"/>
            <w:vAlign w:val="center"/>
          </w:tcPr>
          <w:p w14:paraId="6157931D">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7B3B85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6896" w:type="dxa"/>
            <w:vAlign w:val="center"/>
          </w:tcPr>
          <w:p w14:paraId="44B2F423">
            <w:pPr>
              <w:widowControl/>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08B09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65" w:type="dxa"/>
            <w:vAlign w:val="center"/>
          </w:tcPr>
          <w:p w14:paraId="38C27E17">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86C035D">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w:t>
            </w:r>
          </w:p>
        </w:tc>
        <w:tc>
          <w:tcPr>
            <w:tcW w:w="6896" w:type="dxa"/>
            <w:vAlign w:val="center"/>
          </w:tcPr>
          <w:p w14:paraId="02C9B37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☑不需要</w:t>
            </w:r>
          </w:p>
          <w:p w14:paraId="0EF5D9C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□需要。合同签订后，供应商应缴纳合同金额的1%的履约保证金至采购人账户，待项目最终验收合格后，无质量问题采购人采购人退还。履约保证金允许以银行、保险公司出具保函形式提交履约保证金。</w:t>
            </w:r>
          </w:p>
        </w:tc>
      </w:tr>
      <w:tr w14:paraId="64103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65" w:type="dxa"/>
            <w:vAlign w:val="center"/>
          </w:tcPr>
          <w:p w14:paraId="7ABACB75">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B1C3E1D">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招标文件获取方式</w:t>
            </w:r>
          </w:p>
        </w:tc>
        <w:tc>
          <w:tcPr>
            <w:tcW w:w="6896" w:type="dxa"/>
            <w:vAlign w:val="center"/>
          </w:tcPr>
          <w:p w14:paraId="3587CD0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登录浙江省政府采购网（网址：</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http://www.zjzfcg.gov.cn）查找本项目并获取采购文件。</w:t>
            </w:r>
          </w:p>
          <w:p w14:paraId="35D268E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采购文件获取截止时间：本项目开标时间。</w:t>
            </w:r>
          </w:p>
        </w:tc>
      </w:tr>
      <w:tr w14:paraId="70877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6" w:hRule="atLeast"/>
          <w:jc w:val="center"/>
        </w:trPr>
        <w:tc>
          <w:tcPr>
            <w:tcW w:w="865" w:type="dxa"/>
            <w:vAlign w:val="center"/>
          </w:tcPr>
          <w:p w14:paraId="5D8BB754">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5404F71E">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w:t>
            </w:r>
          </w:p>
        </w:tc>
        <w:tc>
          <w:tcPr>
            <w:tcW w:w="6896" w:type="dxa"/>
            <w:vAlign w:val="center"/>
          </w:tcPr>
          <w:p w14:paraId="5D891F6D">
            <w:pPr>
              <w:spacing w:line="400" w:lineRule="exact"/>
              <w:ind w:right="199" w:rightChars="95"/>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2025年02月18日</w:t>
            </w: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4"/>
                <w:highlight w:val="none"/>
                <w:lang w:val="en-US" w:eastAsia="zh-CN"/>
                <w14:textFill>
                  <w14:solidFill>
                    <w14:schemeClr w14:val="tx1"/>
                  </w14:solidFill>
                </w14:textFill>
              </w:rPr>
              <w:t>14</w:t>
            </w:r>
            <w:r>
              <w:rPr>
                <w:rFonts w:hint="eastAsia" w:ascii="宋体" w:hAnsi="宋体" w:cs="宋体"/>
                <w:b/>
                <w:bCs/>
                <w:color w:val="000000" w:themeColor="text1"/>
                <w:sz w:val="24"/>
                <w:highlight w:val="none"/>
                <w14:textFill>
                  <w14:solidFill>
                    <w14:schemeClr w14:val="tx1"/>
                  </w14:solidFill>
                </w14:textFill>
              </w:rPr>
              <w:t>:00（北京时间）</w:t>
            </w:r>
          </w:p>
        </w:tc>
      </w:tr>
      <w:tr w14:paraId="13CF3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65" w:type="dxa"/>
            <w:vAlign w:val="center"/>
          </w:tcPr>
          <w:p w14:paraId="17F31C37">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48E25F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投标文件递交地点</w:t>
            </w:r>
          </w:p>
        </w:tc>
        <w:tc>
          <w:tcPr>
            <w:tcW w:w="6896" w:type="dxa"/>
            <w:vAlign w:val="center"/>
          </w:tcPr>
          <w:p w14:paraId="3C54946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通过“政府采购云平台（https://zfcg.czt.zj.gov.cn/）”实行在线投标响应</w:t>
            </w:r>
          </w:p>
        </w:tc>
      </w:tr>
      <w:tr w14:paraId="56515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65" w:type="dxa"/>
            <w:vAlign w:val="center"/>
          </w:tcPr>
          <w:p w14:paraId="0F61EE01">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AF4564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p>
          <w:p w14:paraId="4A9EF1A8">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w:t>
            </w:r>
          </w:p>
        </w:tc>
        <w:tc>
          <w:tcPr>
            <w:tcW w:w="6896" w:type="dxa"/>
            <w:vAlign w:val="center"/>
          </w:tcPr>
          <w:p w14:paraId="4EA98A47">
            <w:pPr>
              <w:spacing w:line="400" w:lineRule="exact"/>
              <w:ind w:left="19" w:right="199" w:rightChars="95" w:hanging="19" w:hangingChars="8"/>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b/>
                <w:color w:val="000000" w:themeColor="text1"/>
                <w:sz w:val="24"/>
                <w:highlight w:val="none"/>
                <w14:textFill>
                  <w14:solidFill>
                    <w14:schemeClr w14:val="tx1"/>
                  </w14:solidFill>
                </w14:textFill>
              </w:rPr>
              <w:t>2025年0</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月</w:t>
            </w:r>
            <w:r>
              <w:rPr>
                <w:rFonts w:hint="eastAsia" w:ascii="宋体" w:hAnsi="宋体" w:cs="宋体"/>
                <w:b/>
                <w:color w:val="000000" w:themeColor="text1"/>
                <w:sz w:val="24"/>
                <w:highlight w:val="none"/>
                <w:lang w:val="en-US" w:eastAsia="zh-CN"/>
                <w14:textFill>
                  <w14:solidFill>
                    <w14:schemeClr w14:val="tx1"/>
                  </w14:solidFill>
                </w14:textFill>
              </w:rPr>
              <w:t>18</w:t>
            </w:r>
            <w:r>
              <w:rPr>
                <w:rFonts w:hint="eastAsia" w:ascii="宋体" w:hAnsi="宋体" w:cs="宋体"/>
                <w:b/>
                <w:color w:val="000000" w:themeColor="text1"/>
                <w:sz w:val="24"/>
                <w:highlight w:val="none"/>
                <w14:textFill>
                  <w14:solidFill>
                    <w14:schemeClr w14:val="tx1"/>
                  </w14:solidFill>
                </w14:textFill>
              </w:rPr>
              <w:t xml:space="preserve">日 </w:t>
            </w:r>
            <w:r>
              <w:rPr>
                <w:rFonts w:hint="eastAsia" w:ascii="宋体" w:hAnsi="宋体" w:cs="宋体"/>
                <w:b/>
                <w:color w:val="000000" w:themeColor="text1"/>
                <w:sz w:val="24"/>
                <w:highlight w:val="none"/>
                <w:lang w:val="en-US" w:eastAsia="zh-CN"/>
                <w14:textFill>
                  <w14:solidFill>
                    <w14:schemeClr w14:val="tx1"/>
                  </w14:solidFill>
                </w14:textFill>
              </w:rPr>
              <w:t>14</w:t>
            </w:r>
            <w:r>
              <w:rPr>
                <w:rFonts w:hint="eastAsia" w:ascii="宋体" w:hAnsi="宋体" w:cs="宋体"/>
                <w:b/>
                <w:color w:val="000000" w:themeColor="text1"/>
                <w:sz w:val="24"/>
                <w:highlight w:val="none"/>
                <w14:textFill>
                  <w14:solidFill>
                    <w14:schemeClr w14:val="tx1"/>
                  </w14:solidFill>
                </w14:textFill>
              </w:rPr>
              <w:t>:00（北京时间）</w:t>
            </w:r>
          </w:p>
          <w:p w14:paraId="592AB43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开标地点：“政采云”平台线上开标</w:t>
            </w:r>
          </w:p>
        </w:tc>
      </w:tr>
      <w:tr w14:paraId="1F029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865" w:type="dxa"/>
            <w:vAlign w:val="center"/>
          </w:tcPr>
          <w:p w14:paraId="09A83D01">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639118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评审委员会的组建</w:t>
            </w:r>
          </w:p>
        </w:tc>
        <w:tc>
          <w:tcPr>
            <w:tcW w:w="6896" w:type="dxa"/>
            <w:vAlign w:val="center"/>
          </w:tcPr>
          <w:p w14:paraId="26622A6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评审委员会构成： 由采购人代表以及有关技术、经济等方面的专家组成，成员为5人及以上单数，其中技术、经济类专家不得少于总人数的2/3；评标专家确定方式：按相关规定从专家库中抽取。</w:t>
            </w:r>
          </w:p>
        </w:tc>
      </w:tr>
      <w:tr w14:paraId="16FE2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4124A98B">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689058D">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w:t>
            </w:r>
          </w:p>
          <w:p w14:paraId="41A6B3B6">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扶持政策</w:t>
            </w:r>
          </w:p>
        </w:tc>
        <w:tc>
          <w:tcPr>
            <w:tcW w:w="6896" w:type="dxa"/>
            <w:vAlign w:val="center"/>
          </w:tcPr>
          <w:p w14:paraId="72DD76C4">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1.项目属性：服务类。</w:t>
            </w:r>
          </w:p>
          <w:p w14:paraId="6C8B4985">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2.中小企业划分标准所属行业（具体根据《中小企业划型标准规定》执行）：</w:t>
            </w:r>
          </w:p>
          <w:p w14:paraId="45AD86E7">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采购标的：350M数字集群基站运维，所属行业：其他未列明行业。</w:t>
            </w:r>
          </w:p>
          <w:p w14:paraId="679565A5">
            <w:pPr>
              <w:spacing w:line="400" w:lineRule="exact"/>
              <w:ind w:left="19" w:right="199" w:rightChars="95" w:hanging="19" w:hangingChars="8"/>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zh-CN"/>
                <w14:textFill>
                  <w14:solidFill>
                    <w14:schemeClr w14:val="tx1"/>
                  </w14:solidFill>
                </w14:textFill>
              </w:rPr>
              <w:t>小微企业投标是指符合《中小企业划型标准规定》的供应商，符合《政府采购促进中小企业发展管理办法》规定的享受优惠政策。</w:t>
            </w:r>
          </w:p>
          <w:p w14:paraId="2C9250B3">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4.属于享受政府采购支持政策的残疾人福利性单位，应符合财库〔2017〕141号文件规定，视同小型、微型企业，在响应文件中提供《残疾人福利性单位声明函》（见附件），享受评审中价格扣除政策。</w:t>
            </w:r>
          </w:p>
          <w:p w14:paraId="16C77CF7">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根据财库〔2014〕68号的相关规定，在政府采购活动中，监狱企业的视同小型、微型企业，享受评审中价格扣除政策，并在响应文件中提供由省级以上监狱管理局、戒毒管理局（含新疆生产建设兵团）出具的属于监狱企业的证明文件（格式自拟）。</w:t>
            </w:r>
          </w:p>
          <w:p w14:paraId="57485ED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(注：未提供以上材料的，均不给予价格扣除）</w:t>
            </w:r>
          </w:p>
        </w:tc>
      </w:tr>
      <w:tr w14:paraId="02B43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2F29E604">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569ECD5">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行业划分</w:t>
            </w:r>
          </w:p>
        </w:tc>
        <w:tc>
          <w:tcPr>
            <w:tcW w:w="6896" w:type="dxa"/>
            <w:vAlign w:val="center"/>
          </w:tcPr>
          <w:p w14:paraId="7BAFAF38">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p w14:paraId="79D33ED4">
            <w:pPr>
              <w:numPr>
                <w:ilvl w:val="0"/>
                <w:numId w:val="10"/>
              </w:numPr>
              <w:spacing w:line="400" w:lineRule="exact"/>
              <w:ind w:left="19" w:right="199" w:rightChars="95" w:hanging="19" w:hangingChars="8"/>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标的：</w:t>
            </w:r>
            <w:r>
              <w:rPr>
                <w:rFonts w:hint="eastAsia" w:ascii="宋体" w:hAnsi="宋体" w:cs="宋体"/>
                <w:color w:val="000000" w:themeColor="text1"/>
                <w:sz w:val="24"/>
                <w:highlight w:val="none"/>
                <w:u w:val="single"/>
                <w:lang w:eastAsia="zh-CN"/>
                <w14:textFill>
                  <w14:solidFill>
                    <w14:schemeClr w14:val="tx1"/>
                  </w14:solidFill>
                </w14:textFill>
              </w:rPr>
              <w:t>350M数字集群基站运维</w:t>
            </w:r>
            <w:r>
              <w:rPr>
                <w:rFonts w:hint="eastAsia" w:ascii="宋体" w:hAnsi="宋体" w:cs="宋体"/>
                <w:color w:val="000000" w:themeColor="text1"/>
                <w:sz w:val="24"/>
                <w:highlight w:val="none"/>
                <w:u w:val="single"/>
                <w14:textFill>
                  <w14:solidFill>
                    <w14:schemeClr w14:val="tx1"/>
                  </w14:solidFill>
                </w14:textFill>
              </w:rPr>
              <w:t>，属于硬件运维服务；</w:t>
            </w:r>
          </w:p>
          <w:p w14:paraId="1DE203B0">
            <w:pPr>
              <w:numPr>
                <w:ilvl w:val="0"/>
                <w:numId w:val="0"/>
              </w:numPr>
              <w:spacing w:line="400" w:lineRule="exact"/>
              <w:ind w:leftChars="-8" w:right="199" w:rightChars="95"/>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属于其他未列明行业。</w:t>
            </w:r>
          </w:p>
        </w:tc>
      </w:tr>
      <w:tr w14:paraId="214A9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560827F4">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1F19C14">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核心产品</w:t>
            </w:r>
          </w:p>
        </w:tc>
        <w:tc>
          <w:tcPr>
            <w:tcW w:w="6896" w:type="dxa"/>
            <w:vAlign w:val="center"/>
          </w:tcPr>
          <w:p w14:paraId="7CFD6CF9">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58543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65" w:type="dxa"/>
            <w:vAlign w:val="center"/>
          </w:tcPr>
          <w:p w14:paraId="45BACD48">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A620BD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供应商信用查询</w:t>
            </w:r>
          </w:p>
        </w:tc>
        <w:tc>
          <w:tcPr>
            <w:tcW w:w="6896" w:type="dxa"/>
            <w:vAlign w:val="center"/>
          </w:tcPr>
          <w:p w14:paraId="0E6CF1ED">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)；“中国政府采购网”（http://www.ccgp.gov.cn/）；</w:t>
            </w:r>
          </w:p>
          <w:p w14:paraId="0489DB2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2、投标供应商信用信息查询截止时点：本项目投标截止时间。</w:t>
            </w:r>
          </w:p>
          <w:p w14:paraId="37A8462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3、投标供应商信用信息查询记录和证据留存的具体方式：网页截图打印；</w:t>
            </w:r>
          </w:p>
          <w:p w14:paraId="4D97EC6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14:paraId="52D4F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65" w:type="dxa"/>
            <w:vAlign w:val="center"/>
          </w:tcPr>
          <w:p w14:paraId="31E229C7">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4C698FE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投标文件备案</w:t>
            </w:r>
          </w:p>
        </w:tc>
        <w:tc>
          <w:tcPr>
            <w:tcW w:w="6896" w:type="dxa"/>
            <w:vAlign w:val="center"/>
          </w:tcPr>
          <w:p w14:paraId="08C3991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成交供应商需在成交确认后7个工作日内，邮寄1套纸质投标资料至招标代理处。</w:t>
            </w:r>
          </w:p>
        </w:tc>
      </w:tr>
      <w:tr w14:paraId="78743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65" w:type="dxa"/>
            <w:vAlign w:val="center"/>
          </w:tcPr>
          <w:p w14:paraId="4FE09E05">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71B038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合同备案</w:t>
            </w:r>
          </w:p>
        </w:tc>
        <w:tc>
          <w:tcPr>
            <w:tcW w:w="6896" w:type="dxa"/>
            <w:vAlign w:val="center"/>
          </w:tcPr>
          <w:p w14:paraId="62641AF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1、中标方须在发出中标通知书之日起30日历天内与采购人签订合同。</w:t>
            </w:r>
          </w:p>
          <w:p w14:paraId="356BD23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2、中标方与采购人签订合同后，2日历天内将合同原件交给招标代理机构备案。</w:t>
            </w:r>
          </w:p>
          <w:p w14:paraId="046D842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3、本项目政府采购合同按规定在浙江政府采购网（http://www.zjzfcg.gov.cn/）予以公告。</w:t>
            </w:r>
          </w:p>
        </w:tc>
      </w:tr>
      <w:tr w14:paraId="402B7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65" w:type="dxa"/>
            <w:vAlign w:val="center"/>
          </w:tcPr>
          <w:p w14:paraId="1CA83B14">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CEF366B">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合同履约管理</w:t>
            </w:r>
          </w:p>
        </w:tc>
        <w:tc>
          <w:tcPr>
            <w:tcW w:w="6896" w:type="dxa"/>
            <w:vAlign w:val="center"/>
          </w:tcPr>
          <w:p w14:paraId="0007A40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合同签订后，采购人依法加强对合同履约进行管理，并在中标单位供货、项目验收等重要关节，如实填写《合同验收报告》（表附合同条款中），并及时向同级财政部门报告验收过程中遇到的问题。</w:t>
            </w:r>
          </w:p>
        </w:tc>
      </w:tr>
      <w:tr w14:paraId="07EB8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865" w:type="dxa"/>
            <w:vAlign w:val="center"/>
          </w:tcPr>
          <w:p w14:paraId="5F1B8C04">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ED76014">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免责声明</w:t>
            </w:r>
          </w:p>
        </w:tc>
        <w:tc>
          <w:tcPr>
            <w:tcW w:w="6896" w:type="dxa"/>
            <w:vAlign w:val="center"/>
          </w:tcPr>
          <w:p w14:paraId="678DA4F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14:paraId="3FFDD54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14:paraId="494EE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729FAA95">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25FFC7A">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896" w:type="dxa"/>
            <w:vAlign w:val="center"/>
          </w:tcPr>
          <w:p w14:paraId="6765D95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14:paraId="2EEC6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tcBorders>
              <w:bottom w:val="single" w:color="auto" w:sz="12" w:space="0"/>
            </w:tcBorders>
            <w:vAlign w:val="center"/>
          </w:tcPr>
          <w:p w14:paraId="7246B0F5">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tcBorders>
              <w:bottom w:val="single" w:color="auto" w:sz="12" w:space="0"/>
            </w:tcBorders>
            <w:vAlign w:val="center"/>
          </w:tcPr>
          <w:p w14:paraId="1CFF8916">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注意事项</w:t>
            </w:r>
          </w:p>
        </w:tc>
        <w:tc>
          <w:tcPr>
            <w:tcW w:w="6896" w:type="dxa"/>
            <w:tcBorders>
              <w:bottom w:val="single" w:color="auto" w:sz="12" w:space="0"/>
            </w:tcBorders>
            <w:vAlign w:val="center"/>
          </w:tcPr>
          <w:p w14:paraId="123AE1F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1.请务必确保投标文件制作客户端为最新版本，旧版本可能导致投标文件解密失败。</w:t>
            </w:r>
          </w:p>
          <w:p w14:paraId="77FC8E4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2.请务必确保投标文件制作时所用的 CA 锁与投标文件解密时的 CA 锁为同一把，否则可能导致投标文件解密失败。</w:t>
            </w:r>
          </w:p>
        </w:tc>
      </w:tr>
    </w:tbl>
    <w:p w14:paraId="65E953EB">
      <w:pPr>
        <w:pStyle w:val="20"/>
        <w:spacing w:line="360" w:lineRule="auto"/>
        <w:ind w:left="-559" w:leftChars="-266" w:right="-533" w:rightChars="-254" w:firstLine="561" w:firstLineChars="233"/>
        <w:jc w:val="center"/>
        <w:outlineLvl w:val="1"/>
        <w:rPr>
          <w:rFonts w:hAnsi="宋体" w:cs="宋体"/>
          <w:b/>
          <w:color w:val="000000" w:themeColor="text1"/>
          <w:sz w:val="24"/>
          <w:highlight w:val="none"/>
          <w:lang w:val="en-GB"/>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2、</w:t>
      </w:r>
      <w:r>
        <w:rPr>
          <w:rFonts w:hint="eastAsia" w:hAnsi="宋体" w:cs="宋体"/>
          <w:b/>
          <w:color w:val="000000" w:themeColor="text1"/>
          <w:sz w:val="24"/>
          <w:highlight w:val="none"/>
          <w:lang w:val="en-GB"/>
          <w14:textFill>
            <w14:solidFill>
              <w14:schemeClr w14:val="tx1"/>
            </w14:solidFill>
          </w14:textFill>
        </w:rPr>
        <w:t>关于支持中小企业政府采购信用融资</w:t>
      </w:r>
    </w:p>
    <w:p w14:paraId="43455B20">
      <w:pPr>
        <w:pStyle w:val="20"/>
        <w:snapToGrid w:val="0"/>
        <w:spacing w:line="400" w:lineRule="exact"/>
        <w:ind w:left="-199" w:leftChars="-95" w:right="199" w:rightChars="95" w:firstLine="679" w:firstLineChars="283"/>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14:paraId="7C244E51">
      <w:pPr>
        <w:pStyle w:val="20"/>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一 、总  则</w:t>
      </w:r>
    </w:p>
    <w:p w14:paraId="17DD8326">
      <w:pPr>
        <w:snapToGrid w:val="0"/>
        <w:spacing w:line="380" w:lineRule="exact"/>
        <w:ind w:left="-315" w:leftChars="-150" w:right="-399" w:rightChars="-190" w:firstLine="477" w:firstLineChars="198"/>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 适用范围</w:t>
      </w:r>
    </w:p>
    <w:p w14:paraId="27FCF6E3">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w:t>
      </w:r>
      <w:r>
        <w:rPr>
          <w:rFonts w:hint="eastAsia" w:ascii="宋体" w:hAnsi="宋体" w:cs="宋体"/>
          <w:bCs/>
          <w:color w:val="000000" w:themeColor="text1"/>
          <w:sz w:val="24"/>
          <w:highlight w:val="none"/>
          <w14:textFill>
            <w14:solidFill>
              <w14:schemeClr w14:val="tx1"/>
            </w14:solidFill>
          </w14:textFill>
        </w:rPr>
        <w:t>本次</w:t>
      </w:r>
      <w:r>
        <w:rPr>
          <w:rFonts w:hint="eastAsia" w:ascii="宋体" w:hAnsi="宋体" w:cs="宋体"/>
          <w:color w:val="000000" w:themeColor="text1"/>
          <w:sz w:val="24"/>
          <w:highlight w:val="none"/>
          <w14:textFill>
            <w14:solidFill>
              <w14:schemeClr w14:val="tx1"/>
            </w14:solidFill>
          </w14:textFill>
        </w:rPr>
        <w:t>项目的招标、投标、评标、定标、验收、合同履约、付款等行为（法律、法规另有规定的，从其规定）。</w:t>
      </w:r>
    </w:p>
    <w:p w14:paraId="2E983124">
      <w:pPr>
        <w:snapToGrid w:val="0"/>
        <w:spacing w:line="380" w:lineRule="exact"/>
        <w:ind w:left="-315" w:leftChars="-150" w:right="-399" w:rightChars="-190" w:firstLine="477" w:firstLineChars="198"/>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（二）定义</w:t>
      </w:r>
    </w:p>
    <w:p w14:paraId="1FA20148">
      <w:pPr>
        <w:snapToGri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1、采购组织机构：指采购人委托组织招标的采购代理机构。</w:t>
      </w:r>
    </w:p>
    <w:p w14:paraId="2517DA69">
      <w:pPr>
        <w:snapToGri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2、采购人：是指委托采购代理机构采购本次项目的国家机关、事业单位和团体组织。</w:t>
      </w:r>
    </w:p>
    <w:p w14:paraId="1F22AAEA">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3、投标人：是指向采购</w:t>
      </w:r>
      <w:r>
        <w:rPr>
          <w:rFonts w:hint="eastAsia" w:ascii="宋体" w:hAnsi="宋体" w:cs="宋体"/>
          <w:color w:val="000000" w:themeColor="text1"/>
          <w:sz w:val="24"/>
          <w:highlight w:val="none"/>
          <w:lang w:val="zh-CN"/>
          <w14:textFill>
            <w14:solidFill>
              <w14:schemeClr w14:val="tx1"/>
            </w14:solidFill>
          </w14:textFill>
        </w:rPr>
        <w:t>组织</w:t>
      </w:r>
      <w:r>
        <w:rPr>
          <w:rFonts w:hint="eastAsia" w:ascii="宋体" w:hAnsi="宋体" w:cs="宋体"/>
          <w:color w:val="000000" w:themeColor="text1"/>
          <w:sz w:val="24"/>
          <w:highlight w:val="none"/>
          <w14:textFill>
            <w14:solidFill>
              <w14:schemeClr w14:val="tx1"/>
            </w14:solidFill>
          </w14:textFill>
        </w:rPr>
        <w:t>机构提交投标文件的单位或个人。</w:t>
      </w:r>
    </w:p>
    <w:p w14:paraId="10039267">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4、货物：是指各种形态和种类的物品，包括原材料、燃料、设备、产品等。</w:t>
      </w:r>
    </w:p>
    <w:p w14:paraId="74142027">
      <w:pPr>
        <w:snapToGrid w:val="0"/>
        <w:spacing w:line="380" w:lineRule="exact"/>
        <w:ind w:left="-315" w:leftChars="-150" w:right="-399" w:rightChars="-190" w:firstLine="475" w:firstLineChars="198"/>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432274D9">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6、“书面形式”包括信函、传真等。</w:t>
      </w:r>
    </w:p>
    <w:p w14:paraId="1BE98C44">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”为重要指标，不可偏离。“</w:t>
      </w:r>
      <w:r>
        <w:rPr>
          <w:rFonts w:hint="eastAsia" w:ascii="宋体" w:hAnsi="宋体" w:cs="宋体"/>
          <w:color w:val="000000" w:themeColor="text1"/>
          <w:sz w:val="24"/>
          <w:highlight w:val="none"/>
          <w:lang w:eastAsia="zh-Hans"/>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”为重要指标。</w:t>
      </w:r>
    </w:p>
    <w:p w14:paraId="69B6C19A">
      <w:pPr>
        <w:snapToGrid w:val="0"/>
        <w:spacing w:line="380" w:lineRule="exact"/>
        <w:ind w:left="-315" w:leftChars="-150" w:right="-399" w:rightChars="-190" w:firstLine="477" w:firstLineChars="198"/>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（三）投标费用</w:t>
      </w:r>
    </w:p>
    <w:p w14:paraId="232E13ED">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14:paraId="39BF42EA">
      <w:pPr>
        <w:pStyle w:val="20"/>
        <w:snapToGrid w:val="0"/>
        <w:spacing w:line="380" w:lineRule="exact"/>
        <w:ind w:left="-315" w:leftChars="-150" w:right="-399" w:rightChars="-190" w:firstLine="477" w:firstLineChars="198"/>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（四）特别说明</w:t>
      </w:r>
    </w:p>
    <w:p w14:paraId="7976E059">
      <w:pPr>
        <w:pStyle w:val="20"/>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1、投标人投标所使用的资格、信誉、荣誉、业绩与企业认证必须为本法人所拥有。投标人投标所使用的采购项目实施人员必须为本法人员工（指本法人或控股公司正式员工）。</w:t>
      </w:r>
    </w:p>
    <w:p w14:paraId="6089B243">
      <w:pPr>
        <w:pStyle w:val="20"/>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hAnsi="宋体" w:cs="宋体"/>
          <w:color w:val="000000" w:themeColor="text1"/>
          <w:sz w:val="24"/>
          <w:highlight w:val="none"/>
          <w14:textFill>
            <w14:solidFill>
              <w14:schemeClr w14:val="tx1"/>
            </w14:solidFill>
          </w14:textFill>
        </w:rPr>
        <w:tab/>
      </w:r>
    </w:p>
    <w:p w14:paraId="1D889EF7">
      <w:pPr>
        <w:pStyle w:val="20"/>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472F6B">
      <w:pPr>
        <w:pStyle w:val="20"/>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14:paraId="4EF2CC80">
      <w:pPr>
        <w:pStyle w:val="20"/>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5、为采购项目提供整体设计、规范编制或者项目管理、监理、检测等服务的供应商，不得再参加该采购项目的其他采购活动。</w:t>
      </w:r>
    </w:p>
    <w:p w14:paraId="539C1FEB">
      <w:pPr>
        <w:pStyle w:val="20"/>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6、投标文件格式中的表格式样可以根据项目差别做适当调整,但应当保持表格样式基本形态不变。</w:t>
      </w:r>
    </w:p>
    <w:p w14:paraId="278156E9">
      <w:pPr>
        <w:pStyle w:val="20"/>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7、单位负责人为同一人或者存在直接控股、管理关系的不同供应商，不得参加同一合同项下的政府采购活动。</w:t>
      </w:r>
    </w:p>
    <w:p w14:paraId="752AAA2D">
      <w:pPr>
        <w:pStyle w:val="20"/>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8、本项目不允许分包。</w:t>
      </w:r>
    </w:p>
    <w:p w14:paraId="3A4A7FE2">
      <w:pPr>
        <w:pStyle w:val="20"/>
        <w:snapToGrid w:val="0"/>
        <w:spacing w:line="380" w:lineRule="exact"/>
        <w:ind w:left="-315" w:leftChars="-150" w:right="-399" w:rightChars="-190" w:firstLine="477" w:firstLineChars="198"/>
        <w:rPr>
          <w:rFonts w:hint="eastAsia" w:eastAsia="宋体"/>
          <w:b/>
          <w:bCs/>
          <w:color w:val="000000" w:themeColor="text1"/>
          <w:highlight w:val="none"/>
          <w:u w:val="single"/>
          <w:lang w:val="en-US" w:eastAsia="zh-CN"/>
          <w14:textFill>
            <w14:solidFill>
              <w14:schemeClr w14:val="tx1"/>
            </w14:solidFill>
          </w14:textFill>
        </w:rPr>
      </w:pPr>
      <w:r>
        <w:rPr>
          <w:rFonts w:hint="eastAsia" w:cs="宋体"/>
          <w:b/>
          <w:bCs/>
          <w:color w:val="000000" w:themeColor="text1"/>
          <w:sz w:val="24"/>
          <w:highlight w:val="none"/>
          <w:u w:val="single"/>
          <w:lang w:val="en-US" w:eastAsia="zh-CN"/>
          <w14:textFill>
            <w14:solidFill>
              <w14:schemeClr w14:val="tx1"/>
            </w14:solidFill>
          </w14:textFill>
        </w:rPr>
        <w:t>9、根据《浙江省财政厅关于规范政府采购供应商资格设定及资格审查的通知》（浙财采监[2013]24号）第六条规定，金融、保险、通讯等特定行业的全国性企业所设立的区域性分支机构，且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9BC6D56">
      <w:pPr>
        <w:pStyle w:val="92"/>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p>
    <w:p w14:paraId="0CBB57F5">
      <w:pPr>
        <w:pStyle w:val="20"/>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二、招标文件</w:t>
      </w:r>
    </w:p>
    <w:p w14:paraId="0A2A1212">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（一）招标文件由招标文件总目录所列内容组成。</w:t>
      </w:r>
    </w:p>
    <w:p w14:paraId="0B03FBA2">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（二）招标文件的澄清或修改</w:t>
      </w:r>
    </w:p>
    <w:p w14:paraId="32D92715">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4FBD1111">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3449B1C">
      <w:pPr>
        <w:pStyle w:val="20"/>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三、投标文件</w:t>
      </w:r>
    </w:p>
    <w:p w14:paraId="19FF4429">
      <w:pPr>
        <w:autoSpaceDE w:val="0"/>
        <w:autoSpaceDN w:val="0"/>
        <w:adjustRightInd w:val="0"/>
        <w:spacing w:line="380" w:lineRule="exact"/>
        <w:ind w:left="-315" w:leftChars="-150" w:right="-399" w:rightChars="-190" w:firstLine="477" w:firstLineChars="198"/>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（一）</w:t>
      </w:r>
      <w:r>
        <w:rPr>
          <w:rFonts w:hint="eastAsia" w:ascii="宋体" w:hAnsi="宋体" w:cs="宋体"/>
          <w:b/>
          <w:bCs/>
          <w:color w:val="000000" w:themeColor="text1"/>
          <w:kern w:val="0"/>
          <w:sz w:val="24"/>
          <w:highlight w:val="none"/>
          <w14:textFill>
            <w14:solidFill>
              <w14:schemeClr w14:val="tx1"/>
            </w14:solidFill>
          </w14:textFill>
        </w:rPr>
        <w:t>投标文件的组成</w:t>
      </w:r>
    </w:p>
    <w:p w14:paraId="70E69B34">
      <w:pPr>
        <w:snapToGrid w:val="0"/>
        <w:spacing w:line="380" w:lineRule="exact"/>
        <w:ind w:left="-315" w:leftChars="-150" w:right="-399" w:rightChars="-190" w:firstLine="475" w:firstLineChars="19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投标人接到招标文件后，按照采购组织机构的要求提供：资格文件、商务与技术文件和报价文件。</w:t>
      </w:r>
    </w:p>
    <w:p w14:paraId="59DD1093">
      <w:pPr>
        <w:snapToGrid w:val="0"/>
        <w:spacing w:line="380" w:lineRule="exact"/>
        <w:ind w:left="-315" w:leftChars="-150" w:right="-399" w:rightChars="-190" w:firstLine="477"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▲1、资格文件的组成：</w:t>
      </w:r>
    </w:p>
    <w:p w14:paraId="10D1CCD1">
      <w:pPr>
        <w:pStyle w:val="10"/>
        <w:widowControl/>
        <w:numPr>
          <w:ilvl w:val="0"/>
          <w:numId w:val="11"/>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投标声明书；</w:t>
      </w:r>
    </w:p>
    <w:p w14:paraId="5BAB399A">
      <w:pPr>
        <w:pStyle w:val="10"/>
        <w:widowControl/>
        <w:numPr>
          <w:ilvl w:val="0"/>
          <w:numId w:val="11"/>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授权委托书（法定代表人亲自办理投标事宜的，则无需提交)；</w:t>
      </w:r>
    </w:p>
    <w:p w14:paraId="52CDB451">
      <w:pPr>
        <w:pStyle w:val="10"/>
        <w:widowControl/>
        <w:numPr>
          <w:ilvl w:val="0"/>
          <w:numId w:val="11"/>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法人或者其他组织的营业执照等证明文件，自然人的身份证明；</w:t>
      </w:r>
    </w:p>
    <w:p w14:paraId="388B6C6E">
      <w:pPr>
        <w:pStyle w:val="10"/>
        <w:widowControl/>
        <w:numPr>
          <w:ilvl w:val="0"/>
          <w:numId w:val="11"/>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财务状况报告，依法缴纳税收和社会保障资金的相关材料（允许承诺函形式）；</w:t>
      </w:r>
    </w:p>
    <w:p w14:paraId="57CB8C1B">
      <w:pPr>
        <w:pStyle w:val="10"/>
        <w:widowControl/>
        <w:numPr>
          <w:ilvl w:val="0"/>
          <w:numId w:val="11"/>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具备履行合同所必需的设备和专业技术能力的证明材料（允许承诺函形式）；</w:t>
      </w:r>
    </w:p>
    <w:p w14:paraId="36CAC0F9">
      <w:pPr>
        <w:pStyle w:val="10"/>
        <w:widowControl/>
        <w:numPr>
          <w:ilvl w:val="0"/>
          <w:numId w:val="11"/>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14:paraId="1B59F025">
      <w:pPr>
        <w:snapToGrid w:val="0"/>
        <w:spacing w:line="380" w:lineRule="exact"/>
        <w:ind w:left="-315" w:leftChars="-150" w:right="-399" w:rightChars="-190" w:firstLine="477" w:firstLineChars="198"/>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2、商务与技术文件的组成：</w:t>
      </w:r>
    </w:p>
    <w:p w14:paraId="645E6D31">
      <w:pPr>
        <w:pStyle w:val="10"/>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（1）投标人基本情况表</w:t>
      </w:r>
    </w:p>
    <w:p w14:paraId="158FE205">
      <w:pPr>
        <w:pStyle w:val="10"/>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14:paraId="4BDE9EE6">
      <w:pPr>
        <w:pStyle w:val="10"/>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A.项目需求的理解与分析(投标人对项目现状及需求的理解情况，对项目现状和需求描述的全面性、准确性、针对性，对项目重点、难点的把握，解决方案及合理化建议)。</w:t>
      </w:r>
    </w:p>
    <w:p w14:paraId="3682C987">
      <w:pPr>
        <w:pStyle w:val="10"/>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B.项目组织实施方案（包括项目工期、确保项目的措施或方案、项目实施进度安排、项目实施人员及项目负责人的职称、类似经验及社保证明等）。</w:t>
      </w:r>
    </w:p>
    <w:p w14:paraId="527A1011">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 技术、服务、安全标准及验收方案（包括项目验收标准和验收方法等）和措施；</w:t>
      </w:r>
    </w:p>
    <w:p w14:paraId="2FC735B7">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（3）投标产品描述及相关资料（投入本项目的设备等）：</w:t>
      </w:r>
    </w:p>
    <w:p w14:paraId="086489A5">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A.设备配置清单（均不含报价）。</w:t>
      </w:r>
    </w:p>
    <w:p w14:paraId="14014274">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14:paraId="0F5F28DF">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C.技术需求响应表、资信及商务需求响应表。</w:t>
      </w:r>
    </w:p>
    <w:p w14:paraId="50AFA67D">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7D92DB14">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【特别提示：节能和环境标志产品最新一期政府采购清单，可在“中国政府采购网”中查看】</w:t>
      </w:r>
    </w:p>
    <w:p w14:paraId="05EB8E06">
      <w:pPr>
        <w:autoSpaceDE w:val="0"/>
        <w:autoSpaceDN w:val="0"/>
        <w:adjustRightIn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（4）投标人通过的质量管理和质量保证体系、环保体系、</w:t>
      </w:r>
      <w:r>
        <w:rPr>
          <w:rFonts w:hint="eastAsia" w:ascii="宋体" w:hAnsi="宋体" w:cs="宋体"/>
          <w:color w:val="000000" w:themeColor="text1"/>
          <w:sz w:val="24"/>
          <w:highlight w:val="none"/>
          <w14:textFill>
            <w14:solidFill>
              <w14:schemeClr w14:val="tx1"/>
            </w14:solidFill>
          </w14:textFill>
        </w:rPr>
        <w:t>自主创新相关证书、软件著作权证等与本项目相关</w:t>
      </w:r>
      <w:r>
        <w:rPr>
          <w:rFonts w:hint="eastAsia" w:ascii="宋体" w:hAnsi="宋体" w:cs="宋体"/>
          <w:color w:val="000000" w:themeColor="text1"/>
          <w:kern w:val="0"/>
          <w:sz w:val="24"/>
          <w:highlight w:val="none"/>
          <w14:textFill>
            <w14:solidFill>
              <w14:schemeClr w14:val="tx1"/>
            </w14:solidFill>
          </w14:textFill>
        </w:rPr>
        <w:t>的认证证书或文件（如有则提供）；</w:t>
      </w:r>
    </w:p>
    <w:p w14:paraId="38B4241E">
      <w:pPr>
        <w:pStyle w:val="10"/>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（5）近三年来类似项目的成功案例（投标人类似项目实施情况一览表、合同复印件等）；</w:t>
      </w:r>
    </w:p>
    <w:p w14:paraId="71DA659E">
      <w:pPr>
        <w:snapToGrid w:val="0"/>
        <w:spacing w:line="380" w:lineRule="exact"/>
        <w:ind w:left="-315" w:leftChars="-150" w:right="-399" w:rightChars="-190" w:firstLine="475" w:firstLineChars="19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14:paraId="62794C9E">
      <w:pPr>
        <w:pStyle w:val="10"/>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（7）售后服务描述及承诺：针对本项目的售后服务措施及承诺（售后技术服务方案、人员配备、故障响应时间等）。</w:t>
      </w:r>
    </w:p>
    <w:p w14:paraId="627D2ABA">
      <w:pPr>
        <w:autoSpaceDE w:val="0"/>
        <w:autoSpaceDN w:val="0"/>
        <w:adjustRightInd w:val="0"/>
        <w:spacing w:line="380" w:lineRule="exact"/>
        <w:ind w:left="-315" w:leftChars="-150" w:right="-399" w:rightChars="-190" w:firstLine="477" w:firstLineChars="198"/>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3、报价文件的组成</w:t>
      </w:r>
    </w:p>
    <w:p w14:paraId="76DD1FE5">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（1）报价文件由开标一览表、报价明细表，以及投标人认为其他需要说明的内容组成。</w:t>
      </w:r>
    </w:p>
    <w:p w14:paraId="1C1D9DD6">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14:paraId="373CE825">
      <w:pPr>
        <w:snapToGrid w:val="0"/>
        <w:spacing w:line="380" w:lineRule="exact"/>
        <w:ind w:left="-315" w:leftChars="-150" w:right="-399" w:rightChars="-190" w:firstLine="475" w:firstLineChars="198"/>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14:paraId="36A29F45">
      <w:pPr>
        <w:snapToGrid w:val="0"/>
        <w:spacing w:line="380" w:lineRule="exact"/>
        <w:ind w:left="-315" w:leftChars="-150" w:right="-399" w:rightChars="-190" w:firstLine="475" w:firstLineChars="198"/>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政府采购优惠政策相关资料、产品适用政府采购政策情况表（如有）。</w:t>
      </w:r>
    </w:p>
    <w:p w14:paraId="17C4ED04">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14:paraId="78C568D9">
      <w:pPr>
        <w:autoSpaceDE w:val="0"/>
        <w:autoSpaceDN w:val="0"/>
        <w:adjustRightIn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）投标报价应按招标文件中相关附表格式填写。</w:t>
      </w:r>
    </w:p>
    <w:p w14:paraId="48544817">
      <w:pPr>
        <w:numPr>
          <w:ilvl w:val="0"/>
          <w:numId w:val="12"/>
        </w:numPr>
        <w:spacing w:line="380" w:lineRule="exact"/>
        <w:ind w:left="-315" w:leftChars="-150" w:right="-399" w:rightChars="-190" w:firstLine="477" w:firstLineChars="198"/>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投标文件递交要求</w:t>
      </w:r>
    </w:p>
    <w:p w14:paraId="645E6C8D">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1.投标文件的上传、递交：见《前附表》。</w:t>
      </w:r>
    </w:p>
    <w:p w14:paraId="15774108">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2.“电子加密投标文件”解密和异常情况处理：见《前附表》。</w:t>
      </w:r>
    </w:p>
    <w:p w14:paraId="1B068149">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3.投标文件的补充、修改或撤回</w:t>
      </w:r>
    </w:p>
    <w:p w14:paraId="639A9BE5">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3D5B79E2">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3.2投标截止时间后，供应商不得撤回、修改《投标文件》。</w:t>
      </w:r>
    </w:p>
    <w:p w14:paraId="795F96D5">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4.投标文件的备选方案</w:t>
      </w:r>
    </w:p>
    <w:p w14:paraId="632A715F">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4.1供应商不得递交任何的投标备选（替代）方案，否则其投标文件将作无效标处理。与“电子加密投标文件”同时生成的“备份投标文件”不是投标备选（替代）方案。</w:t>
      </w:r>
    </w:p>
    <w:p w14:paraId="6E4C3D6C">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投标截止期</w:t>
      </w:r>
    </w:p>
    <w:p w14:paraId="7DDD585C">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5.1供应商应按前附表中规定的时间、地点将投标文件递交给采购人，采购人将拒绝接受逾期送达的投标文件。</w:t>
      </w:r>
    </w:p>
    <w:p w14:paraId="2F93B2A4">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5.2采购人可以按本须知规定以补充通知的方式，酌情延长递交投标文件的截止日期。在上述情况下，采购人与供应商以前在投标截止期方面的全部权利、责任和义务，将适用于延长至新的投标截止期。</w:t>
      </w:r>
    </w:p>
    <w:p w14:paraId="503902BC">
      <w:pPr>
        <w:tabs>
          <w:tab w:val="left" w:pos="1898"/>
        </w:tabs>
        <w:autoSpaceDE w:val="0"/>
        <w:autoSpaceDN w:val="0"/>
        <w:adjustRightInd w:val="0"/>
        <w:spacing w:line="380" w:lineRule="exact"/>
        <w:ind w:left="-315" w:leftChars="-150" w:right="-399" w:rightChars="-190" w:firstLine="477" w:firstLineChars="198"/>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（三）投标文件的有效期</w:t>
      </w:r>
    </w:p>
    <w:p w14:paraId="362AD93D">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1、自投标截止日起90天投标文件应保持有效。有效期不足的投标文件将被拒绝。</w:t>
      </w:r>
    </w:p>
    <w:p w14:paraId="24DCC511">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GB"/>
          <w14:textFill>
            <w14:solidFill>
              <w14:schemeClr w14:val="tx1"/>
            </w14:solidFill>
          </w14:textFill>
        </w:rPr>
        <w:t>在特殊情况下，采购人可与投标人协商延长投标文件的有效期，这种要求和答复均以书面形式进行。</w:t>
      </w:r>
    </w:p>
    <w:p w14:paraId="4480D0BA">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3、中标人的投标文件自开标之日起至合同履行完毕均应保持有效。</w:t>
      </w:r>
    </w:p>
    <w:p w14:paraId="1CD44837">
      <w:pPr>
        <w:pStyle w:val="20"/>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四、开标</w:t>
      </w:r>
    </w:p>
    <w:p w14:paraId="16E314E3">
      <w:pPr>
        <w:pStyle w:val="20"/>
        <w:snapToGrid w:val="0"/>
        <w:spacing w:line="380" w:lineRule="exact"/>
        <w:ind w:left="-315" w:leftChars="-150" w:right="-399" w:rightChars="-190" w:firstLine="475" w:firstLineChars="198"/>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1.开标</w:t>
      </w:r>
    </w:p>
    <w:p w14:paraId="20A51711">
      <w:pPr>
        <w:pStyle w:val="20"/>
        <w:snapToGrid w:val="0"/>
        <w:spacing w:line="380" w:lineRule="exact"/>
        <w:ind w:left="-315" w:leftChars="-150" w:right="-399" w:rightChars="-190" w:firstLine="475" w:firstLineChars="198"/>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（一）开标形式</w:t>
      </w:r>
    </w:p>
    <w:p w14:paraId="7872AF67">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 采购组织机构将按照采购文件规定的时间通过“政采云”平台组织开标、开启投标文件，所有供应商均应当准时在线参加。</w:t>
      </w:r>
    </w:p>
    <w:p w14:paraId="62C00684">
      <w:pPr>
        <w:pStyle w:val="20"/>
        <w:snapToGrid w:val="0"/>
        <w:spacing w:line="380" w:lineRule="exact"/>
        <w:ind w:left="-315" w:leftChars="-150" w:right="-399" w:rightChars="-190" w:firstLine="475" w:firstLineChars="198"/>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（二） 开标准备</w:t>
      </w:r>
    </w:p>
    <w:p w14:paraId="7BC6D8C8">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2.1开标的准备工作由采购组织机构负责落实；</w:t>
      </w:r>
    </w:p>
    <w:p w14:paraId="167760E7">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采购组织机构将按照采购文件规定的时间通过“政采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7CCD3549">
      <w:pPr>
        <w:pStyle w:val="20"/>
        <w:snapToGrid w:val="0"/>
        <w:spacing w:line="380" w:lineRule="exact"/>
        <w:ind w:left="-315" w:leftChars="-150" w:right="-399" w:rightChars="-190" w:firstLine="475" w:firstLineChars="198"/>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（三）开标流程（两阶段）</w:t>
      </w:r>
    </w:p>
    <w:p w14:paraId="67823AA3">
      <w:pPr>
        <w:pStyle w:val="20"/>
        <w:snapToGrid w:val="0"/>
        <w:spacing w:line="380" w:lineRule="exact"/>
        <w:ind w:left="-315" w:leftChars="-150" w:right="-399" w:rightChars="-190" w:firstLine="475" w:firstLineChars="198"/>
        <w:outlineLvl w:val="2"/>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3.1开标第一阶段</w:t>
      </w:r>
    </w:p>
    <w:p w14:paraId="0A1068A4">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采云”平台操作规范将备份投标文件上传至“政采云”平台，上传成功后，“电子加密投标文件”自动失效；</w:t>
      </w:r>
    </w:p>
    <w:p w14:paraId="328B24DC">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（2）投标文件解密结束，通过邮件形式发送各供应商组织签署《政府采购活动现场确认声明书》；</w:t>
      </w:r>
    </w:p>
    <w:p w14:paraId="1F11D820">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（3）开启投标文件，进入资格审查；</w:t>
      </w:r>
    </w:p>
    <w:p w14:paraId="0A9D130D">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（4）开启资格审查通过的供应商的商务技术文件进入符合性审查、商务技术评审；</w:t>
      </w:r>
    </w:p>
    <w:p w14:paraId="46F0A1E1">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（5）第一阶段开标结束。</w:t>
      </w:r>
    </w:p>
    <w:p w14:paraId="187F0B82">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备注：开标大会的第一阶段结束后，采购人或采购代理机构将对依法对供应商的资格进行审查，资格审查结束后进入符合性审查和商务技术的评审工作。</w:t>
      </w:r>
    </w:p>
    <w:p w14:paraId="5CE93ABD">
      <w:pPr>
        <w:pStyle w:val="20"/>
        <w:snapToGrid w:val="0"/>
        <w:spacing w:line="380" w:lineRule="exact"/>
        <w:ind w:left="-315" w:leftChars="-150" w:right="-399" w:rightChars="-190" w:firstLine="475" w:firstLineChars="198"/>
        <w:outlineLvl w:val="2"/>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3.2开标大会第二阶段</w:t>
      </w:r>
    </w:p>
    <w:p w14:paraId="7A7F4D8E">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符合性审查、商务技术评审结束后，举行开标大会第二阶段会议。首先通过“政采云”平台公布符合性审查、商务技术评审无效供应商名称及理由；公布经商务技术评审后有效供应商的名单，同时公布其商务技术得分情况。</w:t>
      </w:r>
    </w:p>
    <w:p w14:paraId="00CF4C2E">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开启符合性审查、商务技术评审有效供应商的《报价文件》，通过“政采云”平台公布开标一览表有关内容，同时当场制作开标记录表，供应商通过“政采云”平台签字确认（不予确认的应说明理由，否则视为无异议）。唱标结束后，由评标委员会对报价的合理性、准确性等进行审查核实。</w:t>
      </w:r>
    </w:p>
    <w:p w14:paraId="2BAA4379">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（3）评审结束后，通过“政采云”平台公布中标（成交）候选供应商名单，及采购人最终确定中标或成交供应商名单的时间和公告方式等。</w:t>
      </w:r>
    </w:p>
    <w:p w14:paraId="3DEB4CBA">
      <w:pPr>
        <w:pStyle w:val="9"/>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特别说明：如遇“政采云”平台电子化开标或评审程序调整的，按调整后程序执行。</w:t>
      </w:r>
    </w:p>
    <w:p w14:paraId="06EB63C3">
      <w:pPr>
        <w:pStyle w:val="20"/>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五、评标</w:t>
      </w:r>
    </w:p>
    <w:p w14:paraId="0F5EE617">
      <w:pPr>
        <w:pStyle w:val="20"/>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（一）组建评标委员会</w:t>
      </w:r>
    </w:p>
    <w:p w14:paraId="46ADC750">
      <w:pPr>
        <w:pStyle w:val="20"/>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本项目评标委员会由政府采购评审专家和采购单位评审代表组成。</w:t>
      </w:r>
    </w:p>
    <w:p w14:paraId="13C4226E">
      <w:pPr>
        <w:pStyle w:val="20"/>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（二）评标程序</w:t>
      </w:r>
    </w:p>
    <w:p w14:paraId="66698BAF">
      <w:pPr>
        <w:snapToGrid w:val="0"/>
        <w:spacing w:line="380" w:lineRule="exact"/>
        <w:ind w:left="-315" w:leftChars="-150" w:right="-399" w:rightChars="-190" w:firstLine="477" w:firstLineChars="198"/>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1、资格审查</w:t>
      </w:r>
    </w:p>
    <w:p w14:paraId="7A209B7A">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4FF98E88">
      <w:pPr>
        <w:pStyle w:val="31"/>
        <w:spacing w:before="0" w:beforeAutospacing="0" w:after="0" w:afterAutospacing="0" w:line="380" w:lineRule="exact"/>
        <w:ind w:left="-315" w:leftChars="-150" w:right="-399" w:rightChars="-190" w:firstLine="477" w:firstLineChars="198"/>
        <w:jc w:val="both"/>
        <w:rPr>
          <w:rFonts w:hint="default" w:cs="宋体"/>
          <w:b/>
          <w:bCs/>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2、符合性审查</w:t>
      </w:r>
    </w:p>
    <w:p w14:paraId="33DDD0F2">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5FA5B013">
      <w:pPr>
        <w:pStyle w:val="31"/>
        <w:spacing w:before="0" w:beforeAutospacing="0" w:after="0" w:afterAutospacing="0" w:line="380" w:lineRule="exact"/>
        <w:ind w:left="-315" w:leftChars="-150" w:right="-399" w:rightChars="-190" w:firstLine="477" w:firstLineChars="198"/>
        <w:jc w:val="both"/>
        <w:rPr>
          <w:rFonts w:hint="default" w:cs="宋体"/>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3、综合评价</w:t>
      </w:r>
    </w:p>
    <w:p w14:paraId="7260B2C6">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02B74906">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（2）评标委员会应当按照招标文件中规定的评标方法和标准，对符合性审查合格的投标文件进行商务和技术评估，综合评价。</w:t>
      </w:r>
    </w:p>
    <w:p w14:paraId="4C791EA8">
      <w:pPr>
        <w:snapToGri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14:paraId="5D99E4B4">
      <w:pPr>
        <w:snapToGrid w:val="0"/>
        <w:spacing w:line="380" w:lineRule="exact"/>
        <w:ind w:left="-315" w:leftChars="-150" w:right="-399" w:rightChars="-190" w:firstLine="477" w:firstLineChars="198"/>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4、得分确认及评审报告编写</w:t>
      </w:r>
    </w:p>
    <w:p w14:paraId="73E7BDC8">
      <w:pPr>
        <w:pStyle w:val="20"/>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（1）评标委员会对报价文件进行复核，对于系统计算出的价格分及总得分进行确认；</w:t>
      </w:r>
    </w:p>
    <w:p w14:paraId="1C688D2E">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（2）评标委员会应当按照招标文件中规定的评标方法和标准，对符合性审查合格的投标文件进行商务和技术评估，综合评价。</w:t>
      </w:r>
    </w:p>
    <w:p w14:paraId="71FCEA5C">
      <w:pPr>
        <w:snapToGrid w:val="0"/>
        <w:spacing w:line="380" w:lineRule="exact"/>
        <w:ind w:left="-315" w:leftChars="-150" w:right="-399" w:rightChars="-190" w:firstLine="475" w:firstLineChars="198"/>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评标委员会</w:t>
      </w:r>
      <w:r>
        <w:rPr>
          <w:rFonts w:hint="eastAsia" w:ascii="宋体" w:hAnsi="宋体" w:cs="宋体"/>
          <w:color w:val="000000" w:themeColor="text1"/>
          <w:sz w:val="24"/>
          <w:highlight w:val="none"/>
          <w14:textFill>
            <w14:solidFill>
              <w14:schemeClr w14:val="tx1"/>
            </w14:solidFill>
          </w14:textFill>
        </w:rPr>
        <w:t>按评标原则及得分情况编写评审报告。</w:t>
      </w:r>
    </w:p>
    <w:p w14:paraId="0EB7C4A9">
      <w:pPr>
        <w:snapToGrid w:val="0"/>
        <w:spacing w:line="380" w:lineRule="exact"/>
        <w:ind w:left="-315" w:leftChars="-150" w:right="-399" w:rightChars="-190" w:firstLine="477" w:firstLineChars="198"/>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5、评价</w:t>
      </w:r>
    </w:p>
    <w:p w14:paraId="3B0036FA">
      <w:pPr>
        <w:snapToGrid w:val="0"/>
        <w:spacing w:line="380" w:lineRule="exact"/>
        <w:ind w:left="-315" w:leftChars="-150" w:right="-399" w:rightChars="-190" w:firstLine="475" w:firstLineChars="198"/>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采购组织机构对评标委员会评审专家进行评价。</w:t>
      </w:r>
    </w:p>
    <w:p w14:paraId="1249D569">
      <w:pPr>
        <w:pStyle w:val="20"/>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（三）澄清问题的形式</w:t>
      </w:r>
    </w:p>
    <w:p w14:paraId="358CE6A6">
      <w:pPr>
        <w:snapToGri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14:paraId="79794F69">
      <w:pPr>
        <w:pStyle w:val="20"/>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（四）错误修正</w:t>
      </w:r>
    </w:p>
    <w:p w14:paraId="3DE85892">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投标文件报价出现前后不一致的，除招标文件另有规定外，按照下列规定修正：</w:t>
      </w:r>
    </w:p>
    <w:p w14:paraId="159AA266">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1、投标文件中开标一览表（报价表）内容与投标文件中相应内容不一致的，以开标一览表（报价表）为准；</w:t>
      </w:r>
    </w:p>
    <w:p w14:paraId="6854CFDC">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2、大写金额和小写金额不一致的，以大写金额为准；</w:t>
      </w:r>
    </w:p>
    <w:p w14:paraId="18B71C97">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3、单价金额小数点或者百分比有明显错位的，以开标一览表的总价为准，并修改单价；</w:t>
      </w:r>
    </w:p>
    <w:p w14:paraId="43D09563">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4、总价金额与按单价汇总金额不一致的，以单价金额计算结果为准。</w:t>
      </w:r>
    </w:p>
    <w:p w14:paraId="33FFCA36">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同时出现两种以上不一致的，按照前款规定的顺序修正。</w:t>
      </w:r>
    </w:p>
    <w:p w14:paraId="76FD4BE3">
      <w:pPr>
        <w:pStyle w:val="20"/>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Ansi="宋体" w:cs="宋体"/>
          <w:b/>
          <w:bCs/>
          <w:color w:val="000000" w:themeColor="text1"/>
          <w:kern w:val="0"/>
          <w:sz w:val="24"/>
          <w:highlight w:val="none"/>
          <w14:textFill>
            <w14:solidFill>
              <w14:schemeClr w14:val="tx1"/>
            </w14:solidFill>
          </w14:textFill>
        </w:rPr>
        <w:t>（五）投标人存在下列情况之一的，投标无效</w:t>
      </w:r>
    </w:p>
    <w:p w14:paraId="6E552E3C">
      <w:pPr>
        <w:adjustRightInd w:val="0"/>
        <w:snapToGrid w:val="0"/>
        <w:spacing w:line="380" w:lineRule="exact"/>
        <w:ind w:left="-315" w:leftChars="-150" w:right="-399" w:rightChars="-190" w:firstLine="475" w:firstLineChars="198"/>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1、资格文件或商务与技术文件跟报价文件出现混装或在资格文件或商务与技术文件中出现投标报价的，或者报价文件中报价的货物跟商务与技术文件中的投标货物出现重大偏差的；</w:t>
      </w:r>
    </w:p>
    <w:p w14:paraId="54DBADDB">
      <w:pPr>
        <w:pStyle w:val="31"/>
        <w:tabs>
          <w:tab w:val="left" w:pos="7380"/>
        </w:tabs>
        <w:adjustRightInd w:val="0"/>
        <w:snapToGrid w:val="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2、不具备招标文件中规定的资格要求的。</w:t>
      </w:r>
      <w:r>
        <w:rPr>
          <w:rFonts w:cs="宋体"/>
          <w:color w:val="000000" w:themeColor="text1"/>
          <w:highlight w:val="none"/>
          <w14:textFill>
            <w14:solidFill>
              <w14:schemeClr w14:val="tx1"/>
            </w14:solidFill>
          </w14:textFill>
        </w:rPr>
        <w:tab/>
      </w:r>
    </w:p>
    <w:p w14:paraId="0AA9805B">
      <w:pPr>
        <w:pStyle w:val="31"/>
        <w:adjustRightInd w:val="0"/>
        <w:snapToGrid w:val="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3、投标文件含有采购人不能接受的附加条件的。</w:t>
      </w:r>
    </w:p>
    <w:p w14:paraId="23ADD5B6">
      <w:pPr>
        <w:pStyle w:val="31"/>
        <w:adjustRightInd w:val="0"/>
        <w:snapToGrid w:val="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14:paraId="5EEC78DD">
      <w:pPr>
        <w:pStyle w:val="31"/>
        <w:adjustRightInd w:val="0"/>
        <w:snapToGrid w:val="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5、报价超过招标文件中规定的预算金额/最高限价。 </w:t>
      </w:r>
    </w:p>
    <w:p w14:paraId="02176AD8">
      <w:pPr>
        <w:tabs>
          <w:tab w:val="left" w:pos="1898"/>
        </w:tabs>
        <w:autoSpaceDE w:val="0"/>
        <w:autoSpaceDN w:val="0"/>
        <w:adjustRightInd w:val="0"/>
        <w:snapToGri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不同供应商的电子投标（响应）文件上传计算机的网卡MAC地址、CPU序列号和硬盘序列号等硬件信息相同的；</w:t>
      </w:r>
    </w:p>
    <w:p w14:paraId="04CB17FA">
      <w:pPr>
        <w:tabs>
          <w:tab w:val="left" w:pos="1898"/>
        </w:tabs>
        <w:autoSpaceDE w:val="0"/>
        <w:autoSpaceDN w:val="0"/>
        <w:adjustRightInd w:val="0"/>
        <w:snapToGri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上传的电子投标（响应）文件若出现使用本项目其他投标（响应）供应商的数字证书加密的，或者加盖本项目其他投标（响应）供应商的电子印章的；</w:t>
      </w:r>
    </w:p>
    <w:p w14:paraId="49A45B5C">
      <w:pPr>
        <w:tabs>
          <w:tab w:val="left" w:pos="1898"/>
        </w:tabs>
        <w:autoSpaceDE w:val="0"/>
        <w:autoSpaceDN w:val="0"/>
        <w:adjustRightInd w:val="0"/>
        <w:snapToGri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不同供应商的投标（响应）文件的内容存在三处（含）以上错误一致的；</w:t>
      </w:r>
    </w:p>
    <w:p w14:paraId="2B72F029">
      <w:pPr>
        <w:tabs>
          <w:tab w:val="left" w:pos="1898"/>
        </w:tabs>
        <w:autoSpaceDE w:val="0"/>
        <w:autoSpaceDN w:val="0"/>
        <w:adjustRightInd w:val="0"/>
        <w:snapToGri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不同供应商联系人为同一人或不同联系人的联系电话一致的。</w:t>
      </w:r>
    </w:p>
    <w:p w14:paraId="30E596A5">
      <w:pPr>
        <w:tabs>
          <w:tab w:val="left" w:pos="1898"/>
        </w:tabs>
        <w:autoSpaceDE w:val="0"/>
        <w:autoSpaceDN w:val="0"/>
        <w:adjustRightInd w:val="0"/>
        <w:snapToGri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 xml:space="preserve">、投标文件提供虚假材料的。 </w:t>
      </w:r>
    </w:p>
    <w:p w14:paraId="72D1020B">
      <w:pPr>
        <w:tabs>
          <w:tab w:val="left" w:pos="1898"/>
        </w:tabs>
        <w:autoSpaceDE w:val="0"/>
        <w:autoSpaceDN w:val="0"/>
        <w:adjustRightInd w:val="0"/>
        <w:snapToGri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、不符合中华人民共和国财政部令第87号《政府采购货物和服务招标投标管理办法》第三十七条情形之一的，视为投标人串通投标，其投标无效，并移送采购监管部门：</w:t>
      </w:r>
    </w:p>
    <w:p w14:paraId="5748527C">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（1）不同投标人的投标文件由同一单位或者个人编制；</w:t>
      </w:r>
    </w:p>
    <w:p w14:paraId="0C914DDF">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（2）不同投标人委托同一单位或者个人办理投标事宜；</w:t>
      </w:r>
    </w:p>
    <w:p w14:paraId="3D6509ED">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（3）不同投标人的投标文件载明的项目管理成员或者联系人员为同一人；</w:t>
      </w:r>
    </w:p>
    <w:p w14:paraId="683A9F7D">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（4）不同投标人的投标文件异常一致或者投标报价呈规律性差异；</w:t>
      </w:r>
    </w:p>
    <w:p w14:paraId="2C0568CF">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（5）不同投标人的投标文件相互混装；</w:t>
      </w:r>
    </w:p>
    <w:p w14:paraId="6692A457">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12</w:t>
      </w:r>
      <w:r>
        <w:rPr>
          <w:rFonts w:hint="eastAsia" w:ascii="宋体" w:hAnsi="宋体" w:cs="宋体"/>
          <w:color w:val="000000" w:themeColor="text1"/>
          <w:kern w:val="0"/>
          <w:sz w:val="24"/>
          <w:highlight w:val="none"/>
          <w14:textFill>
            <w14:solidFill>
              <w14:schemeClr w14:val="tx1"/>
            </w14:solidFill>
          </w14:textFill>
        </w:rPr>
        <w:t>、不符合法律、法规和招标文件中规定的其他实质性要求的。</w:t>
      </w:r>
    </w:p>
    <w:p w14:paraId="22B780F6">
      <w:pPr>
        <w:pStyle w:val="20"/>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（六）有下列情况之一的，本次招标作为废标处置</w:t>
      </w:r>
    </w:p>
    <w:p w14:paraId="74DB31A9">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1、出现影响采购公正的违法、违规行为的；</w:t>
      </w:r>
    </w:p>
    <w:p w14:paraId="180D0780">
      <w:pPr>
        <w:pStyle w:val="31"/>
        <w:spacing w:before="0" w:beforeAutospacing="0" w:after="0" w:afterAutospacing="0" w:line="380" w:lineRule="exact"/>
        <w:ind w:left="-315" w:leftChars="-150" w:right="-399" w:rightChars="-190" w:firstLine="475" w:firstLineChars="198"/>
        <w:jc w:val="both"/>
        <w:rPr>
          <w:rFonts w:hint="default" w:cs="宋体"/>
          <w:b/>
          <w:bCs/>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14:paraId="46E56A94">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3、因重大变故，采购任务取消的；</w:t>
      </w:r>
    </w:p>
    <w:p w14:paraId="6A3688A1">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4、法律、法规和招标文件规定的其他导致评标结果无效的。</w:t>
      </w:r>
    </w:p>
    <w:p w14:paraId="492472A9">
      <w:pPr>
        <w:pStyle w:val="20"/>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（七）评标原则和评标办法</w:t>
      </w:r>
    </w:p>
    <w:p w14:paraId="164FA5FF">
      <w:pPr>
        <w:pStyle w:val="20"/>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89FF0FF">
      <w:pPr>
        <w:pStyle w:val="20"/>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2、评标办法。具体评标内容及评分标准等详见《第三章：评标方法及评分标准》。</w:t>
      </w:r>
    </w:p>
    <w:p w14:paraId="7AED1371">
      <w:pPr>
        <w:pStyle w:val="20"/>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（八）评标过程的监控</w:t>
      </w:r>
    </w:p>
    <w:p w14:paraId="740FC7B7">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1C6DA674">
      <w:pPr>
        <w:pStyle w:val="20"/>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Ansi="宋体" w:cs="宋体"/>
          <w:b/>
          <w:color w:val="000000" w:themeColor="text1"/>
          <w:sz w:val="24"/>
          <w:highlight w:val="none"/>
          <w14:textFill>
            <w14:solidFill>
              <w14:schemeClr w14:val="tx1"/>
            </w14:solidFill>
          </w14:textFill>
        </w:rPr>
        <w:t>六、定标</w:t>
      </w:r>
    </w:p>
    <w:p w14:paraId="35976411">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BE6B54C">
      <w:pPr>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发布</w:t>
      </w:r>
      <w:r>
        <w:rPr>
          <w:rFonts w:hint="eastAsia" w:ascii="宋体" w:hAnsi="宋体" w:cs="宋体"/>
          <w:color w:val="000000" w:themeColor="text1"/>
          <w:sz w:val="24"/>
          <w:highlight w:val="none"/>
          <w14:textFill>
            <w14:solidFill>
              <w14:schemeClr w14:val="tx1"/>
            </w14:solidFill>
          </w14:textFill>
        </w:rPr>
        <w:t>中标</w:t>
      </w:r>
      <w:r>
        <w:rPr>
          <w:rFonts w:hint="eastAsia" w:ascii="宋体" w:hAnsi="宋体" w:cs="宋体"/>
          <w:color w:val="000000" w:themeColor="text1"/>
          <w:kern w:val="0"/>
          <w:sz w:val="24"/>
          <w:highlight w:val="none"/>
          <w14:textFill>
            <w14:solidFill>
              <w14:schemeClr w14:val="tx1"/>
            </w14:solidFill>
          </w14:textFill>
        </w:rPr>
        <w:t>结果公告。采购组织机构应当自中标人确定之日起2个工作日内，在省级以上财政部门指定的媒体及相关网站上公告中标结果，招标文件应当随中标结果同时公告。</w:t>
      </w:r>
    </w:p>
    <w:p w14:paraId="2CC5E546">
      <w:pPr>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14:paraId="3EF97EE7">
      <w:pPr>
        <w:pStyle w:val="20"/>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七、合同签订及公告</w:t>
      </w:r>
    </w:p>
    <w:p w14:paraId="048640E8">
      <w:pPr>
        <w:pStyle w:val="20"/>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（一）签订合同</w:t>
      </w:r>
    </w:p>
    <w:p w14:paraId="2D74C7B8">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741EA399">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2、采购人不得向中标人提出任何不合理的要求作为签订合同的条件。</w:t>
      </w:r>
    </w:p>
    <w:p w14:paraId="567728E8">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3、中标供应商无故拖延、拒签合同的,取消中标资格。</w:t>
      </w:r>
    </w:p>
    <w:p w14:paraId="34691DBB">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FA6536B">
      <w:pPr>
        <w:pStyle w:val="31"/>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6ADB0A75">
      <w:pPr>
        <w:pStyle w:val="31"/>
        <w:spacing w:before="0" w:beforeAutospacing="0" w:after="0" w:afterAutospacing="0" w:line="380" w:lineRule="exact"/>
        <w:ind w:left="-315" w:leftChars="-150" w:right="-399" w:rightChars="-190" w:firstLine="477" w:firstLineChars="198"/>
        <w:outlineLvl w:val="2"/>
        <w:rPr>
          <w:rFonts w:hint="default" w:cs="宋体"/>
          <w:b/>
          <w:color w:val="000000" w:themeColor="text1"/>
          <w:highlight w:val="none"/>
          <w14:textFill>
            <w14:solidFill>
              <w14:schemeClr w14:val="tx1"/>
            </w14:solidFill>
          </w14:textFill>
        </w:rPr>
      </w:pPr>
      <w:r>
        <w:rPr>
          <w:rFonts w:cs="宋体"/>
          <w:b/>
          <w:color w:val="000000" w:themeColor="text1"/>
          <w:highlight w:val="none"/>
          <w14:textFill>
            <w14:solidFill>
              <w14:schemeClr w14:val="tx1"/>
            </w14:solidFill>
          </w14:textFill>
        </w:rPr>
        <w:t>（二）合同公告及备案</w:t>
      </w:r>
    </w:p>
    <w:p w14:paraId="702D1B7E">
      <w:pPr>
        <w:pStyle w:val="3"/>
        <w:spacing w:line="380" w:lineRule="exact"/>
        <w:ind w:left="-315" w:leftChars="-150" w:right="-399" w:rightChars="-190" w:firstLine="475" w:firstLineChars="198"/>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0D84ADAF">
      <w:pPr>
        <w:pStyle w:val="3"/>
        <w:spacing w:line="380" w:lineRule="exact"/>
        <w:ind w:left="-315" w:leftChars="-150" w:right="-399" w:rightChars="-190" w:firstLine="475" w:firstLineChars="198"/>
        <w:rPr>
          <w:rFonts w:hAnsi="宋体" w:cs="宋体"/>
          <w:color w:val="000000" w:themeColor="text1"/>
          <w:highlight w:val="none"/>
          <w14:textFill>
            <w14:solidFill>
              <w14:schemeClr w14:val="tx1"/>
            </w14:solidFill>
          </w14:textFill>
        </w:rPr>
      </w:pPr>
      <w:bookmarkStart w:id="4" w:name="_Hlk147576847"/>
      <w:r>
        <w:rPr>
          <w:rFonts w:hint="eastAsia" w:hAnsi="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bookmarkEnd w:id="4"/>
    <w:p w14:paraId="3607BE42">
      <w:pPr>
        <w:pStyle w:val="20"/>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Ansi="宋体" w:cs="宋体"/>
          <w:b/>
          <w:color w:val="000000" w:themeColor="text1"/>
          <w:sz w:val="24"/>
          <w:highlight w:val="none"/>
          <w14:textFill>
            <w14:solidFill>
              <w14:schemeClr w14:val="tx1"/>
            </w14:solidFill>
          </w14:textFill>
        </w:rPr>
        <w:t>八、采购代理费</w:t>
      </w:r>
    </w:p>
    <w:p w14:paraId="621ABFD8">
      <w:pPr>
        <w:pStyle w:val="3"/>
        <w:spacing w:line="380" w:lineRule="exact"/>
        <w:ind w:left="-315" w:leftChars="-150" w:right="-399" w:rightChars="-190" w:firstLine="475" w:firstLineChars="198"/>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中标人在领取中标通知书同时向招标代理机构支付招标代理费</w:t>
      </w:r>
      <w:r>
        <w:rPr>
          <w:rFonts w:hint="eastAsia" w:hAnsi="宋体" w:cs="宋体"/>
          <w:color w:val="000000" w:themeColor="text1"/>
          <w:highlight w:val="none"/>
          <w:lang w:val="en-US" w:eastAsia="zh-CN"/>
          <w14:textFill>
            <w14:solidFill>
              <w14:schemeClr w14:val="tx1"/>
            </w14:solidFill>
          </w14:textFill>
        </w:rPr>
        <w:t>柒仟元</w:t>
      </w:r>
      <w:r>
        <w:rPr>
          <w:rFonts w:hAnsi="宋体"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招标代理服务费</w:t>
      </w:r>
      <w:r>
        <w:rPr>
          <w:rFonts w:hAnsi="宋体" w:cs="宋体"/>
          <w:color w:val="000000" w:themeColor="text1"/>
          <w:highlight w:val="none"/>
          <w14:textFill>
            <w14:solidFill>
              <w14:schemeClr w14:val="tx1"/>
            </w14:solidFill>
          </w14:textFill>
        </w:rPr>
        <w:t>包含在投标总价中。招标代理服务费汇入以下帐号：</w:t>
      </w:r>
    </w:p>
    <w:p w14:paraId="373EA174">
      <w:pPr>
        <w:spacing w:line="380" w:lineRule="exact"/>
        <w:ind w:left="-315" w:leftChars="-150" w:right="-399" w:rightChars="-190" w:firstLine="475" w:firstLineChars="198"/>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14:paraId="78C4ACC3">
      <w:pPr>
        <w:spacing w:line="380" w:lineRule="exact"/>
        <w:ind w:left="-315" w:leftChars="-150" w:right="-399" w:rightChars="-190" w:firstLine="475" w:firstLineChars="198"/>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开户银行：浙江玉环农村商业银行股份有限公司营业部</w:t>
      </w:r>
    </w:p>
    <w:p w14:paraId="2C24BBF0">
      <w:pPr>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开户账号：201000355923625</w:t>
      </w:r>
    </w:p>
    <w:p w14:paraId="184AACD9">
      <w:pPr>
        <w:pStyle w:val="16"/>
        <w:rPr>
          <w:color w:val="000000" w:themeColor="text1"/>
          <w:highlight w:val="none"/>
          <w14:textFill>
            <w14:solidFill>
              <w14:schemeClr w14:val="tx1"/>
            </w14:solidFill>
          </w14:textFill>
        </w:rPr>
      </w:pPr>
    </w:p>
    <w:p w14:paraId="03D5BF54">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A19995C">
      <w:pPr>
        <w:pStyle w:val="4"/>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评标办法及评分标准</w:t>
      </w:r>
    </w:p>
    <w:p w14:paraId="031D3FD5">
      <w:pPr>
        <w:autoSpaceDE w:val="0"/>
        <w:autoSpaceDN w:val="0"/>
        <w:spacing w:line="400" w:lineRule="exact"/>
        <w:ind w:left="-317" w:leftChars="-151" w:right="-334" w:rightChars="-159" w:firstLine="458" w:firstLineChars="191"/>
        <w:rPr>
          <w:rFonts w:ascii="宋体" w:hAnsi="宋体" w:cs="宋体"/>
          <w:b/>
          <w:i/>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一、采购组织机构将组织评标委员会，对投标人提供的投标文件进行综合评审。</w:t>
      </w:r>
    </w:p>
    <w:p w14:paraId="142686F4">
      <w:pPr>
        <w:autoSpaceDE w:val="0"/>
        <w:autoSpaceDN w:val="0"/>
        <w:adjustRightInd w:val="0"/>
        <w:spacing w:line="400" w:lineRule="exact"/>
        <w:ind w:left="-317" w:leftChars="-151" w:right="-334" w:rightChars="-159" w:firstLine="458" w:firstLineChars="191"/>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二、本次招标项目的评标方法为综合评分法，总计100分。报价评分30分，</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kern w:val="0"/>
          <w:sz w:val="24"/>
          <w:highlight w:val="none"/>
          <w14:textFill>
            <w14:solidFill>
              <w14:schemeClr w14:val="tx1"/>
            </w14:solidFill>
          </w14:textFill>
        </w:rPr>
        <w:t>评分70分。</w:t>
      </w:r>
    </w:p>
    <w:p w14:paraId="2513F771">
      <w:pPr>
        <w:autoSpaceDE w:val="0"/>
        <w:autoSpaceDN w:val="0"/>
        <w:adjustRightInd w:val="0"/>
        <w:spacing w:line="400" w:lineRule="exact"/>
        <w:ind w:left="-317" w:leftChars="-151" w:right="-334" w:rightChars="-159" w:firstLine="458" w:firstLineChars="191"/>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14:paraId="0A086865">
      <w:pPr>
        <w:autoSpaceDE w:val="0"/>
        <w:autoSpaceDN w:val="0"/>
        <w:adjustRightInd w:val="0"/>
        <w:spacing w:line="400" w:lineRule="exact"/>
        <w:ind w:left="-317" w:leftChars="-151" w:right="-334" w:rightChars="-159" w:firstLine="458" w:firstLineChars="191"/>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（二）各投标人商务与技术文件</w:t>
      </w:r>
      <w:r>
        <w:rPr>
          <w:rFonts w:hint="eastAsia" w:ascii="宋体" w:hAnsi="宋体" w:cs="宋体"/>
          <w:color w:val="000000" w:themeColor="text1"/>
          <w:kern w:val="0"/>
          <w:sz w:val="24"/>
          <w:highlight w:val="none"/>
          <w:lang w:val="zh-CN"/>
          <w14:textFill>
            <w14:solidFill>
              <w14:schemeClr w14:val="tx1"/>
            </w14:solidFill>
          </w14:textFill>
        </w:rPr>
        <w:t>得分按照评标委员会成</w:t>
      </w:r>
      <w:r>
        <w:rPr>
          <w:rFonts w:hint="eastAsia" w:ascii="宋体" w:hAnsi="宋体" w:cs="宋体"/>
          <w:bCs/>
          <w:color w:val="000000" w:themeColor="text1"/>
          <w:sz w:val="24"/>
          <w:highlight w:val="none"/>
          <w:lang w:val="zh-CN"/>
          <w14:textFill>
            <w14:solidFill>
              <w14:schemeClr w14:val="tx1"/>
            </w14:solidFill>
          </w14:textFill>
        </w:rPr>
        <w:t>员的独立评分结果汇总后的算术平均分计算，计算公式为：</w:t>
      </w:r>
    </w:p>
    <w:p w14:paraId="7F99A2F6">
      <w:pPr>
        <w:autoSpaceDE w:val="0"/>
        <w:autoSpaceDN w:val="0"/>
        <w:adjustRightInd w:val="0"/>
        <w:spacing w:line="400" w:lineRule="exact"/>
        <w:ind w:left="-317" w:leftChars="-151" w:right="-334" w:rightChars="-159" w:firstLine="458" w:firstLineChars="191"/>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商务与技术文件得分</w:t>
      </w:r>
      <w:r>
        <w:rPr>
          <w:rFonts w:hint="eastAsia" w:ascii="宋体" w:hAnsi="宋体" w:cs="宋体"/>
          <w:bCs/>
          <w:color w:val="000000" w:themeColor="text1"/>
          <w:sz w:val="24"/>
          <w:highlight w:val="none"/>
          <w:lang w:val="zh-CN"/>
          <w14:textFill>
            <w14:solidFill>
              <w14:schemeClr w14:val="tx1"/>
            </w14:solidFill>
          </w14:textFill>
        </w:rPr>
        <w:t>=评标委员会所有成员评分合计数/评标委员会组成人员数。</w:t>
      </w:r>
    </w:p>
    <w:p w14:paraId="440DA104">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（三）</w:t>
      </w:r>
      <w:r>
        <w:rPr>
          <w:rFonts w:hint="eastAsia" w:ascii="宋体" w:hAnsi="宋体" w:cs="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14:paraId="59E6F4C9">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投标报价得分=(评标基准价／投标报价)×30%×100。</w:t>
      </w:r>
    </w:p>
    <w:p w14:paraId="0C49B729">
      <w:pPr>
        <w:autoSpaceDE w:val="0"/>
        <w:autoSpaceDN w:val="0"/>
        <w:adjustRightInd w:val="0"/>
        <w:spacing w:line="400" w:lineRule="exact"/>
        <w:ind w:left="-317" w:leftChars="-151" w:right="-334" w:rightChars="-159" w:firstLine="460" w:firstLineChars="191"/>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注：得分以系统计算为准，保留2位小数。</w:t>
      </w:r>
    </w:p>
    <w:p w14:paraId="5CF24DF8">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（四）政府采购政策及优惠：关于小型、微型企业（简称小微企业）</w:t>
      </w: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lang w:val="zh-CN"/>
          <w14:textFill>
            <w14:solidFill>
              <w14:schemeClr w14:val="tx1"/>
            </w14:solidFill>
          </w14:textFill>
        </w:rPr>
        <w:t>：小微企业投标是指符合《中小企业划型标准规定》的供应商，符合《政府采购促进中小企业发展管理办法》规定的享受优惠政策。</w:t>
      </w:r>
    </w:p>
    <w:p w14:paraId="00E8FC2A">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小微企业投标应提供《中小企业声明函》，在报价文件中未提供完整有效《中小企业声明函》或填写不正确的，投标报价可不予扣减。</w:t>
      </w:r>
    </w:p>
    <w:p w14:paraId="625BD521">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对于符合《政府采购促进中小企业发展管理办法》规定的小微企业报价给予</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0%的扣除，用扣除后的价格参加评审。联合体各方均为小微企业的，联合体视同小微企业，其余情况不认定为小微企业，不享受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0%的扣除。</w:t>
      </w:r>
    </w:p>
    <w:p w14:paraId="2D79D925">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14:paraId="2F8CA5E3">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残疾人福利性单位在参加政府采购活动时，应提供《残疾人福利性单位声明函》（见附件）和《产品适用政府采购政策情况表》（见附件），视同小型、微型企业，享受小微企业政府采购优惠政策。</w:t>
      </w:r>
    </w:p>
    <w:p w14:paraId="71C6630C">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具体优惠：对于小型、微型企业产品的价格给予</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0%的扣除，用扣除后的价格计算评审基准价和</w:t>
      </w:r>
      <w:r>
        <w:rPr>
          <w:rFonts w:hint="eastAsia" w:ascii="宋体" w:hAnsi="宋体" w:eastAsia="宋体" w:cs="宋体"/>
          <w:color w:val="000000" w:themeColor="text1"/>
          <w:sz w:val="24"/>
          <w:highlight w:val="none"/>
          <w:lang w:val="en-US" w:eastAsia="zh-CN"/>
          <w14:textFill>
            <w14:solidFill>
              <w14:schemeClr w14:val="tx1"/>
            </w14:solidFill>
          </w14:textFill>
        </w:rPr>
        <w:t>价格得分</w:t>
      </w:r>
      <w:r>
        <w:rPr>
          <w:rFonts w:hint="eastAsia" w:ascii="宋体" w:hAnsi="宋体" w:eastAsia="宋体" w:cs="宋体"/>
          <w:color w:val="000000" w:themeColor="text1"/>
          <w:sz w:val="24"/>
          <w:highlight w:val="none"/>
          <w:lang w:val="zh-CN"/>
          <w14:textFill>
            <w14:solidFill>
              <w14:schemeClr w14:val="tx1"/>
            </w14:solidFill>
          </w14:textFill>
        </w:rPr>
        <w:t>。同一供应商（包括联合体），小微企业、监狱企业、残疾人福利性单位价格扣除优惠只享受一次，不得重复享受。</w:t>
      </w:r>
    </w:p>
    <w:p w14:paraId="3348D007">
      <w:pPr>
        <w:autoSpaceDE w:val="0"/>
        <w:autoSpaceDN w:val="0"/>
        <w:adjustRightInd w:val="0"/>
        <w:spacing w:line="400" w:lineRule="exact"/>
        <w:ind w:left="-317" w:leftChars="-151" w:right="-334" w:rightChars="-159" w:firstLine="458" w:firstLineChars="191"/>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注：得分以系统计算为准，保留2位小数。</w:t>
      </w:r>
    </w:p>
    <w:p w14:paraId="03046834">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三、在最大限度地满足招标文件实质性要求前提下，评标委员会按照招标文件中规定的各项因素进行综合评审后，以评标综合得分最高的投标人为中标候选人。</w:t>
      </w:r>
    </w:p>
    <w:p w14:paraId="5B1E513B">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四、如综合得分相同，投标报价低者为先；如综合得分且投标报价相同的，</w:t>
      </w:r>
      <w:r>
        <w:rPr>
          <w:rFonts w:hint="eastAsia" w:ascii="宋体" w:hAnsi="宋体" w:cs="宋体"/>
          <w:color w:val="000000" w:themeColor="text1"/>
          <w:sz w:val="24"/>
          <w:highlight w:val="none"/>
          <w14:textFill>
            <w14:solidFill>
              <w14:schemeClr w14:val="tx1"/>
            </w14:solidFill>
          </w14:textFill>
        </w:rPr>
        <w:t>以商务技术评分高者优先，若均相同者，则以采购人现场抽签决定，并编写评标报告</w:t>
      </w:r>
      <w:r>
        <w:rPr>
          <w:rFonts w:hint="eastAsia" w:ascii="宋体" w:hAnsi="宋体" w:cs="宋体"/>
          <w:color w:val="000000" w:themeColor="text1"/>
          <w:sz w:val="24"/>
          <w:highlight w:val="none"/>
          <w:lang w:val="zh-CN"/>
          <w14:textFill>
            <w14:solidFill>
              <w14:schemeClr w14:val="tx1"/>
            </w14:solidFill>
          </w14:textFill>
        </w:rPr>
        <w:t>。</w:t>
      </w:r>
    </w:p>
    <w:p w14:paraId="351F2312">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069143D5">
      <w:pPr>
        <w:autoSpaceDE w:val="0"/>
        <w:autoSpaceDN w:val="0"/>
        <w:adjustRightInd w:val="0"/>
        <w:spacing w:line="400" w:lineRule="exact"/>
        <w:ind w:left="-317" w:leftChars="-151" w:right="-334" w:rightChars="-159" w:firstLine="458" w:firstLineChars="19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六、本次</w:t>
      </w:r>
      <w:r>
        <w:rPr>
          <w:rFonts w:hint="eastAsia" w:ascii="宋体" w:hAnsi="宋体" w:cs="宋体"/>
          <w:color w:val="000000" w:themeColor="text1"/>
          <w:sz w:val="24"/>
          <w:highlight w:val="none"/>
          <w14:textFill>
            <w14:solidFill>
              <w14:schemeClr w14:val="tx1"/>
            </w14:solidFill>
          </w14:textFill>
        </w:rPr>
        <w:t>商务技术评分</w:t>
      </w:r>
      <w:r>
        <w:rPr>
          <w:rFonts w:hint="eastAsia" w:ascii="宋体" w:hAnsi="宋体" w:cs="宋体"/>
          <w:color w:val="000000" w:themeColor="text1"/>
          <w:kern w:val="0"/>
          <w:sz w:val="24"/>
          <w:highlight w:val="none"/>
          <w14:textFill>
            <w14:solidFill>
              <w14:schemeClr w14:val="tx1"/>
            </w14:solidFill>
          </w14:textFill>
        </w:rPr>
        <w:t>具体分值细化条款如下表：</w:t>
      </w:r>
    </w:p>
    <w:tbl>
      <w:tblPr>
        <w:tblStyle w:val="35"/>
        <w:tblW w:w="10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664"/>
        <w:gridCol w:w="7177"/>
        <w:gridCol w:w="817"/>
      </w:tblGrid>
      <w:tr w14:paraId="35F6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713" w:type="dxa"/>
            <w:noWrap w:val="0"/>
            <w:vAlign w:val="center"/>
          </w:tcPr>
          <w:p w14:paraId="36B03F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664" w:type="dxa"/>
            <w:noWrap w:val="0"/>
            <w:vAlign w:val="center"/>
          </w:tcPr>
          <w:p w14:paraId="2811D48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评审内容</w:t>
            </w:r>
          </w:p>
        </w:tc>
        <w:tc>
          <w:tcPr>
            <w:tcW w:w="7177" w:type="dxa"/>
            <w:noWrap w:val="0"/>
            <w:vAlign w:val="center"/>
          </w:tcPr>
          <w:p w14:paraId="593B0E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c>
          <w:tcPr>
            <w:tcW w:w="817" w:type="dxa"/>
            <w:noWrap w:val="0"/>
            <w:vAlign w:val="center"/>
          </w:tcPr>
          <w:p w14:paraId="0EEBA3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分值</w:t>
            </w:r>
          </w:p>
        </w:tc>
      </w:tr>
      <w:tr w14:paraId="0300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13" w:type="dxa"/>
            <w:noWrap w:val="0"/>
            <w:vAlign w:val="center"/>
          </w:tcPr>
          <w:p w14:paraId="568AFB4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664" w:type="dxa"/>
            <w:noWrap w:val="0"/>
            <w:vAlign w:val="center"/>
          </w:tcPr>
          <w:p w14:paraId="7CFC397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认证证书</w:t>
            </w:r>
          </w:p>
        </w:tc>
        <w:tc>
          <w:tcPr>
            <w:tcW w:w="7177" w:type="dxa"/>
            <w:noWrap w:val="0"/>
            <w:vAlign w:val="center"/>
          </w:tcPr>
          <w:p w14:paraId="14B2592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投标人提供ISO9001 质量管理体系、提供IS014001 环境管理体系，提供 </w:t>
            </w:r>
          </w:p>
          <w:p w14:paraId="28D1D56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ISO20000 信息技术服务管理体系、提供ISO 27001 信息安全管理体系认证证书，每个证书得1分，共4分。</w:t>
            </w:r>
            <w:r>
              <w:rPr>
                <w:rFonts w:hint="eastAsia" w:ascii="宋体" w:hAnsi="宋体" w:eastAsia="宋体" w:cs="宋体"/>
                <w:b/>
                <w:bCs/>
                <w:color w:val="000000" w:themeColor="text1"/>
                <w:sz w:val="24"/>
                <w:szCs w:val="24"/>
                <w:highlight w:val="none"/>
                <w14:textFill>
                  <w14:solidFill>
                    <w14:schemeClr w14:val="tx1"/>
                  </w14:solidFill>
                </w14:textFill>
              </w:rPr>
              <w:t>（商务技术文件中提供相应证书扫描件，不提供的不得分）</w:t>
            </w:r>
          </w:p>
        </w:tc>
        <w:tc>
          <w:tcPr>
            <w:tcW w:w="817" w:type="dxa"/>
            <w:noWrap w:val="0"/>
            <w:vAlign w:val="center"/>
          </w:tcPr>
          <w:p w14:paraId="2C7B486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1C83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13" w:type="dxa"/>
            <w:noWrap w:val="0"/>
            <w:vAlign w:val="center"/>
          </w:tcPr>
          <w:p w14:paraId="51D36DC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664" w:type="dxa"/>
            <w:noWrap w:val="0"/>
            <w:vAlign w:val="center"/>
          </w:tcPr>
          <w:p w14:paraId="67808D2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业绩</w:t>
            </w:r>
          </w:p>
        </w:tc>
        <w:tc>
          <w:tcPr>
            <w:tcW w:w="7177" w:type="dxa"/>
            <w:noWrap w:val="0"/>
            <w:vAlign w:val="center"/>
          </w:tcPr>
          <w:p w14:paraId="07F567E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投标人提供20</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年1月1日以来的类似案例服务业绩：每提供1个类似项目的服务业绩得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14:textFill>
                  <w14:solidFill>
                    <w14:schemeClr w14:val="tx1"/>
                  </w14:solidFill>
                </w14:textFill>
              </w:rPr>
              <w:t>（商务技术文件中提供合同扫描件，不提供的不得分）</w:t>
            </w:r>
          </w:p>
        </w:tc>
        <w:tc>
          <w:tcPr>
            <w:tcW w:w="817" w:type="dxa"/>
            <w:noWrap w:val="0"/>
            <w:vAlign w:val="center"/>
          </w:tcPr>
          <w:p w14:paraId="0E0531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r>
      <w:tr w14:paraId="2A59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713" w:type="dxa"/>
            <w:vMerge w:val="restart"/>
            <w:noWrap w:val="0"/>
            <w:vAlign w:val="center"/>
          </w:tcPr>
          <w:p w14:paraId="7BD5BA7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w:t>
            </w:r>
          </w:p>
        </w:tc>
        <w:tc>
          <w:tcPr>
            <w:tcW w:w="1664" w:type="dxa"/>
            <w:vMerge w:val="restart"/>
            <w:noWrap w:val="0"/>
            <w:vAlign w:val="center"/>
          </w:tcPr>
          <w:p w14:paraId="13BFC0A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维保技术方案</w:t>
            </w:r>
          </w:p>
        </w:tc>
        <w:tc>
          <w:tcPr>
            <w:tcW w:w="7177" w:type="dxa"/>
            <w:noWrap w:val="0"/>
            <w:vAlign w:val="center"/>
          </w:tcPr>
          <w:p w14:paraId="7A26D31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投标人提供具体详细的维保技术方案，主要包括维保内容、定期巡检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保修范围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、服</w:t>
            </w:r>
            <w:r>
              <w:rPr>
                <w:rFonts w:hint="eastAsia" w:ascii="宋体" w:hAnsi="宋体" w:eastAsia="宋体" w:cs="宋体"/>
                <w:color w:val="000000" w:themeColor="text1"/>
                <w:sz w:val="24"/>
                <w:szCs w:val="24"/>
                <w:highlight w:val="none"/>
                <w14:textFill>
                  <w14:solidFill>
                    <w14:schemeClr w14:val="tx1"/>
                  </w14:solidFill>
                </w14:textFill>
              </w:rPr>
              <w:t>务标准等</w:t>
            </w:r>
          </w:p>
          <w:p w14:paraId="14AE00B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方案详细且合理有实际可操作性，完全满足本项目采购需求要求的</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14:paraId="798565A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方案详细，基本满足本项目采购需求要求的，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得4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AD60D4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基本齐全，阐述不够具体，或有缺漏的，得3分；</w:t>
            </w:r>
          </w:p>
          <w:p w14:paraId="7AD24D8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方案简单或方案存在不合理、无实际操作性或严重缺陷的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得2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CEAAD7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未提及此项不得分。</w:t>
            </w:r>
          </w:p>
        </w:tc>
        <w:tc>
          <w:tcPr>
            <w:tcW w:w="817" w:type="dxa"/>
            <w:noWrap w:val="0"/>
            <w:vAlign w:val="center"/>
          </w:tcPr>
          <w:p w14:paraId="6621A9A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14:paraId="026A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713" w:type="dxa"/>
            <w:vMerge w:val="continue"/>
            <w:noWrap w:val="0"/>
            <w:vAlign w:val="center"/>
          </w:tcPr>
          <w:p w14:paraId="15714B8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664" w:type="dxa"/>
            <w:vMerge w:val="continue"/>
            <w:noWrap w:val="0"/>
            <w:vAlign w:val="center"/>
          </w:tcPr>
          <w:p w14:paraId="1261C1D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177" w:type="dxa"/>
            <w:noWrap w:val="0"/>
            <w:vAlign w:val="center"/>
          </w:tcPr>
          <w:p w14:paraId="23B978E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投标人提供故障响应修复时间方式及保障措施等</w:t>
            </w:r>
          </w:p>
          <w:p w14:paraId="71A8345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方案详细且合理有实际可操作性，完全满足本项目采购需求要求的</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14:paraId="6E9810E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方案详细，基本满足本项目采购需求要求的，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得3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E66605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基本齐全，阐述不够具体，或有缺漏的，得2分；</w:t>
            </w:r>
          </w:p>
          <w:p w14:paraId="73734F6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方案简单或方案存在不合理、无实际操作性或严重缺陷的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得1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1C08B9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未提及此项不得分。</w:t>
            </w:r>
          </w:p>
        </w:tc>
        <w:tc>
          <w:tcPr>
            <w:tcW w:w="817" w:type="dxa"/>
            <w:noWrap w:val="0"/>
            <w:vAlign w:val="center"/>
          </w:tcPr>
          <w:p w14:paraId="4A6DE20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r>
      <w:tr w14:paraId="1551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13" w:type="dxa"/>
            <w:noWrap w:val="0"/>
            <w:vAlign w:val="center"/>
          </w:tcPr>
          <w:p w14:paraId="4DBA2F4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w:t>
            </w:r>
          </w:p>
        </w:tc>
        <w:tc>
          <w:tcPr>
            <w:tcW w:w="1664" w:type="dxa"/>
            <w:noWrap w:val="0"/>
            <w:vAlign w:val="center"/>
          </w:tcPr>
          <w:p w14:paraId="6A5DB9C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理解程度</w:t>
            </w:r>
          </w:p>
        </w:tc>
        <w:tc>
          <w:tcPr>
            <w:tcW w:w="7177" w:type="dxa"/>
            <w:noWrap w:val="0"/>
            <w:vAlign w:val="center"/>
          </w:tcPr>
          <w:p w14:paraId="76145E3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根据投标人对项目理解程度、项目建设思路、关键技术指标符合程度、合理性、可扩充性，项目前期准备情况、以及优化方案进行综合评分。</w:t>
            </w:r>
          </w:p>
          <w:p w14:paraId="16EBC5C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对项目理解比较透彻，科学合理的，项目前期准备充分的</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14:paraId="04C9A7D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对项目理解较</w:t>
            </w:r>
            <w:r>
              <w:rPr>
                <w:rFonts w:hint="eastAsia" w:ascii="宋体" w:hAnsi="宋体" w:eastAsia="宋体" w:cs="宋体"/>
                <w:color w:val="000000" w:themeColor="text1"/>
                <w:sz w:val="24"/>
                <w:szCs w:val="24"/>
                <w:highlight w:val="none"/>
                <w:lang w:val="en-US" w:eastAsia="zh-CN"/>
                <w14:textFill>
                  <w14:solidFill>
                    <w14:schemeClr w14:val="tx1"/>
                  </w14:solidFill>
                </w14:textFill>
              </w:rPr>
              <w:t>透彻</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基本科学合理得</w:t>
            </w:r>
            <w:r>
              <w:rPr>
                <w:rFonts w:hint="eastAsia" w:ascii="宋体" w:hAnsi="宋体" w:eastAsia="宋体" w:cs="宋体"/>
                <w:color w:val="000000" w:themeColor="text1"/>
                <w:sz w:val="24"/>
                <w:szCs w:val="24"/>
                <w:highlight w:val="none"/>
                <w14:textFill>
                  <w14:solidFill>
                    <w14:schemeClr w14:val="tx1"/>
                  </w14:solidFill>
                </w14:textFill>
              </w:rPr>
              <w:t>，项目前期准备</w:t>
            </w:r>
            <w:r>
              <w:rPr>
                <w:rFonts w:hint="eastAsia" w:ascii="宋体" w:hAnsi="宋体" w:eastAsia="宋体" w:cs="宋体"/>
                <w:color w:val="000000" w:themeColor="text1"/>
                <w:sz w:val="24"/>
                <w:szCs w:val="24"/>
                <w:highlight w:val="none"/>
                <w:lang w:val="en-US" w:eastAsia="zh-CN"/>
                <w14:textFill>
                  <w14:solidFill>
                    <w14:schemeClr w14:val="tx1"/>
                  </w14:solidFill>
                </w14:textFill>
              </w:rPr>
              <w:t>比较</w:t>
            </w:r>
            <w:r>
              <w:rPr>
                <w:rFonts w:hint="eastAsia" w:ascii="宋体" w:hAnsi="宋体" w:eastAsia="宋体" w:cs="宋体"/>
                <w:color w:val="000000" w:themeColor="text1"/>
                <w:sz w:val="24"/>
                <w:szCs w:val="24"/>
                <w:highlight w:val="none"/>
                <w14:textFill>
                  <w14:solidFill>
                    <w14:schemeClr w14:val="tx1"/>
                  </w14:solidFill>
                </w14:textFill>
              </w:rPr>
              <w:t>充分的</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52F988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对项目理解</w:t>
            </w:r>
            <w:r>
              <w:rPr>
                <w:rFonts w:hint="eastAsia" w:ascii="宋体" w:hAnsi="宋体" w:eastAsia="宋体" w:cs="宋体"/>
                <w:color w:val="000000" w:themeColor="text1"/>
                <w:sz w:val="24"/>
                <w:szCs w:val="24"/>
                <w:highlight w:val="none"/>
                <w:lang w:val="en-US" w:eastAsia="zh-CN"/>
                <w14:textFill>
                  <w14:solidFill>
                    <w14:schemeClr w14:val="tx1"/>
                  </w14:solidFill>
                </w14:textFill>
              </w:rPr>
              <w:t>一般</w:t>
            </w:r>
            <w:r>
              <w:rPr>
                <w:rFonts w:hint="eastAsia" w:ascii="宋体" w:hAnsi="宋体" w:eastAsia="宋体" w:cs="宋体"/>
                <w:color w:val="000000" w:themeColor="text1"/>
                <w:sz w:val="24"/>
                <w:szCs w:val="24"/>
                <w:highlight w:val="none"/>
                <w14:textFill>
                  <w14:solidFill>
                    <w14:schemeClr w14:val="tx1"/>
                  </w14:solidFill>
                </w14:textFill>
              </w:rPr>
              <w:t>的，有欠缺的，项目前期准备</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w:t>
            </w:r>
            <w:r>
              <w:rPr>
                <w:rFonts w:hint="eastAsia" w:ascii="宋体" w:hAnsi="宋体" w:eastAsia="宋体" w:cs="宋体"/>
                <w:color w:val="000000" w:themeColor="text1"/>
                <w:sz w:val="24"/>
                <w:szCs w:val="24"/>
                <w:highlight w:val="none"/>
                <w14:textFill>
                  <w14:solidFill>
                    <w14:schemeClr w14:val="tx1"/>
                  </w14:solidFill>
                </w14:textFill>
              </w:rPr>
              <w:t>充分的</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787F85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对项目理解较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差</w:t>
            </w:r>
            <w:r>
              <w:rPr>
                <w:rFonts w:hint="eastAsia" w:ascii="宋体" w:hAnsi="宋体" w:eastAsia="宋体" w:cs="宋体"/>
                <w:color w:val="000000" w:themeColor="text1"/>
                <w:sz w:val="24"/>
                <w:szCs w:val="24"/>
                <w:highlight w:val="none"/>
                <w14:textFill>
                  <w14:solidFill>
                    <w14:schemeClr w14:val="tx1"/>
                  </w14:solidFill>
                </w14:textFill>
              </w:rPr>
              <w:t>的，有</w:t>
            </w:r>
            <w:r>
              <w:rPr>
                <w:rFonts w:hint="eastAsia" w:ascii="宋体" w:hAnsi="宋体" w:eastAsia="宋体" w:cs="宋体"/>
                <w:color w:val="000000" w:themeColor="text1"/>
                <w:sz w:val="24"/>
                <w:szCs w:val="24"/>
                <w:highlight w:val="none"/>
                <w:lang w:val="en-US" w:eastAsia="zh-CN"/>
                <w14:textFill>
                  <w14:solidFill>
                    <w14:schemeClr w14:val="tx1"/>
                  </w14:solidFill>
                </w14:textFill>
              </w:rPr>
              <w:t>较大</w:t>
            </w:r>
            <w:r>
              <w:rPr>
                <w:rFonts w:hint="eastAsia" w:ascii="宋体" w:hAnsi="宋体" w:eastAsia="宋体" w:cs="宋体"/>
                <w:color w:val="000000" w:themeColor="text1"/>
                <w:sz w:val="24"/>
                <w:szCs w:val="24"/>
                <w:highlight w:val="none"/>
                <w14:textFill>
                  <w14:solidFill>
                    <w14:schemeClr w14:val="tx1"/>
                  </w14:solidFill>
                </w14:textFill>
              </w:rPr>
              <w:t>欠缺的，项目前期准备不够充分的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715327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未提及此项不得分。</w:t>
            </w:r>
          </w:p>
        </w:tc>
        <w:tc>
          <w:tcPr>
            <w:tcW w:w="817" w:type="dxa"/>
            <w:noWrap w:val="0"/>
            <w:vAlign w:val="center"/>
          </w:tcPr>
          <w:p w14:paraId="015C7F7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r>
      <w:tr w14:paraId="4BC1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13" w:type="dxa"/>
            <w:noWrap w:val="0"/>
            <w:vAlign w:val="center"/>
          </w:tcPr>
          <w:p w14:paraId="1B6F882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5</w:t>
            </w:r>
          </w:p>
        </w:tc>
        <w:tc>
          <w:tcPr>
            <w:tcW w:w="1664" w:type="dxa"/>
            <w:noWrap w:val="0"/>
            <w:vAlign w:val="center"/>
          </w:tcPr>
          <w:p w14:paraId="79D7A62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软硬件维保服务</w:t>
            </w:r>
          </w:p>
        </w:tc>
        <w:tc>
          <w:tcPr>
            <w:tcW w:w="7177" w:type="dxa"/>
            <w:noWrap w:val="0"/>
            <w:vAlign w:val="center"/>
          </w:tcPr>
          <w:p w14:paraId="4EA4819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完全满足维保服务范围及技术要求计</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分；不满足维保服务范围及技术要求的每一项扣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分，扣完为止；</w:t>
            </w:r>
          </w:p>
        </w:tc>
        <w:tc>
          <w:tcPr>
            <w:tcW w:w="817" w:type="dxa"/>
            <w:noWrap w:val="0"/>
            <w:vAlign w:val="center"/>
          </w:tcPr>
          <w:p w14:paraId="5B3F61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tc>
      </w:tr>
      <w:tr w14:paraId="7FA5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13" w:type="dxa"/>
            <w:noWrap w:val="0"/>
            <w:vAlign w:val="center"/>
          </w:tcPr>
          <w:p w14:paraId="7317FD3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w:t>
            </w:r>
          </w:p>
        </w:tc>
        <w:tc>
          <w:tcPr>
            <w:tcW w:w="1664" w:type="dxa"/>
            <w:noWrap w:val="0"/>
            <w:vAlign w:val="center"/>
          </w:tcPr>
          <w:p w14:paraId="768637B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w:t>
            </w:r>
          </w:p>
        </w:tc>
        <w:tc>
          <w:tcPr>
            <w:tcW w:w="7177" w:type="dxa"/>
            <w:noWrap w:val="0"/>
            <w:vAlign w:val="center"/>
          </w:tcPr>
          <w:p w14:paraId="5E6DB54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根据投标人提出的合理化建议是否合理、是否可实施、是否体现出对本项目有充分了解和具备履约能力进行打分。</w:t>
            </w:r>
          </w:p>
          <w:p w14:paraId="59E3CDE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合理化建议合理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可操作性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的得3分；</w:t>
            </w:r>
          </w:p>
          <w:p w14:paraId="6D6C2A7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w:t>
            </w:r>
            <w:r>
              <w:rPr>
                <w:rFonts w:hint="eastAsia" w:ascii="宋体" w:hAnsi="宋体" w:eastAsia="宋体" w:cs="宋体"/>
                <w:color w:val="000000" w:themeColor="text1"/>
                <w:sz w:val="24"/>
                <w:szCs w:val="24"/>
                <w:highlight w:val="none"/>
                <w:lang w:val="en-US"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合理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基本</w:t>
            </w:r>
            <w:r>
              <w:rPr>
                <w:rFonts w:hint="eastAsia" w:ascii="宋体" w:hAnsi="宋体" w:eastAsia="宋体" w:cs="宋体"/>
                <w:color w:val="000000" w:themeColor="text1"/>
                <w:sz w:val="24"/>
                <w:szCs w:val="24"/>
                <w:highlight w:val="none"/>
                <w:lang w:val="en-US" w:eastAsia="zh-CN"/>
                <w14:textFill>
                  <w14:solidFill>
                    <w14:schemeClr w14:val="tx1"/>
                  </w14:solidFill>
                </w14:textFill>
              </w:rPr>
              <w:t>可行、</w:t>
            </w:r>
            <w:r>
              <w:rPr>
                <w:rFonts w:hint="eastAsia" w:ascii="宋体" w:hAnsi="宋体" w:eastAsia="宋体" w:cs="宋体"/>
                <w:color w:val="000000" w:themeColor="text1"/>
                <w:sz w:val="24"/>
                <w:szCs w:val="24"/>
                <w:highlight w:val="none"/>
                <w14:textFill>
                  <w14:solidFill>
                    <w14:schemeClr w14:val="tx1"/>
                  </w14:solidFill>
                </w14:textFill>
              </w:rPr>
              <w:t>可操作性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有欠缺的得2分；</w:t>
            </w:r>
          </w:p>
          <w:p w14:paraId="179976F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w:t>
            </w:r>
            <w:r>
              <w:rPr>
                <w:rFonts w:hint="eastAsia" w:ascii="宋体" w:hAnsi="宋体" w:eastAsia="宋体" w:cs="宋体"/>
                <w:color w:val="000000" w:themeColor="text1"/>
                <w:sz w:val="24"/>
                <w:szCs w:val="24"/>
                <w:highlight w:val="none"/>
                <w14:textFill>
                  <w14:solidFill>
                    <w14:schemeClr w14:val="tx1"/>
                  </w14:solidFill>
                </w14:textFill>
              </w:rPr>
              <w:t>合理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可行、</w:t>
            </w:r>
            <w:r>
              <w:rPr>
                <w:rFonts w:hint="eastAsia" w:ascii="宋体" w:hAnsi="宋体" w:eastAsia="宋体" w:cs="宋体"/>
                <w:color w:val="000000" w:themeColor="text1"/>
                <w:sz w:val="24"/>
                <w:szCs w:val="24"/>
                <w:highlight w:val="none"/>
                <w14:textFill>
                  <w14:solidFill>
                    <w14:schemeClr w14:val="tx1"/>
                  </w14:solidFill>
                </w14:textFill>
              </w:rPr>
              <w:t>可操作性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有较大欠缺的得1分；</w:t>
            </w:r>
          </w:p>
          <w:p w14:paraId="392B5E5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未提及此项不得分。</w:t>
            </w:r>
          </w:p>
        </w:tc>
        <w:tc>
          <w:tcPr>
            <w:tcW w:w="817" w:type="dxa"/>
            <w:noWrap w:val="0"/>
            <w:vAlign w:val="center"/>
          </w:tcPr>
          <w:p w14:paraId="1A6ABC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r>
      <w:tr w14:paraId="0E3D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13" w:type="dxa"/>
            <w:noWrap w:val="0"/>
            <w:vAlign w:val="center"/>
          </w:tcPr>
          <w:p w14:paraId="1356262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7</w:t>
            </w:r>
          </w:p>
        </w:tc>
        <w:tc>
          <w:tcPr>
            <w:tcW w:w="1664" w:type="dxa"/>
            <w:noWrap w:val="0"/>
            <w:vAlign w:val="center"/>
          </w:tcPr>
          <w:p w14:paraId="61E22B5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就近的服务网点及备件库介绍，备品备件（包括备机提供）方案</w:t>
            </w:r>
          </w:p>
        </w:tc>
        <w:tc>
          <w:tcPr>
            <w:tcW w:w="7177" w:type="dxa"/>
            <w:noWrap w:val="0"/>
            <w:vAlign w:val="center"/>
          </w:tcPr>
          <w:p w14:paraId="4BDAB8B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根据投标供应商对其针对本项目就近的服务网点及备件库介绍，备品备件（包括备机提供）方案等</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w:t>
            </w:r>
            <w:r>
              <w:rPr>
                <w:rFonts w:hint="eastAsia" w:ascii="宋体" w:hAnsi="宋体" w:eastAsia="宋体" w:cs="宋体"/>
                <w:color w:val="000000" w:themeColor="text1"/>
                <w:sz w:val="24"/>
                <w:szCs w:val="24"/>
                <w:highlight w:val="none"/>
                <w14:textFill>
                  <w14:solidFill>
                    <w14:schemeClr w14:val="tx1"/>
                  </w14:solidFill>
                </w14:textFill>
              </w:rPr>
              <w:t>评分：</w:t>
            </w:r>
          </w:p>
          <w:p w14:paraId="4F4FA73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服务网点设置合理，备品备件储备充足、调配及时的得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4分</w:t>
            </w:r>
            <w:r>
              <w:rPr>
                <w:rFonts w:hint="eastAsia" w:ascii="宋体" w:hAnsi="宋体" w:eastAsia="宋体" w:cs="宋体"/>
                <w:color w:val="000000" w:themeColor="text1"/>
                <w:sz w:val="24"/>
                <w:szCs w:val="24"/>
                <w:highlight w:val="none"/>
                <w14:textFill>
                  <w14:solidFill>
                    <w14:schemeClr w14:val="tx1"/>
                  </w14:solidFill>
                </w14:textFill>
              </w:rPr>
              <w:t>；</w:t>
            </w:r>
          </w:p>
          <w:p w14:paraId="4FD0349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服务网点设置较合理，备品备件有一定储备，可按需要调配的得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110D418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服务网点设置</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w:t>
            </w:r>
            <w:r>
              <w:rPr>
                <w:rFonts w:hint="eastAsia" w:ascii="宋体" w:hAnsi="宋体" w:eastAsia="宋体" w:cs="宋体"/>
                <w:color w:val="000000" w:themeColor="text1"/>
                <w:sz w:val="24"/>
                <w:szCs w:val="24"/>
                <w:highlight w:val="none"/>
                <w14:textFill>
                  <w14:solidFill>
                    <w14:schemeClr w14:val="tx1"/>
                  </w14:solidFill>
                </w14:textFill>
              </w:rPr>
              <w:t>合理，备品备件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color w:val="000000" w:themeColor="text1"/>
                <w:sz w:val="24"/>
                <w:szCs w:val="24"/>
                <w:highlight w:val="none"/>
                <w14:textFill>
                  <w14:solidFill>
                    <w14:schemeClr w14:val="tx1"/>
                  </w14:solidFill>
                </w14:textFill>
              </w:rPr>
              <w:t>储备，可按需要调配的得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14:paraId="0171A10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对服务网点设置、备品备件储备描述含糊、不具体的得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p w14:paraId="4430206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17" w:type="dxa"/>
            <w:noWrap w:val="0"/>
            <w:vAlign w:val="center"/>
          </w:tcPr>
          <w:p w14:paraId="5904168B">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r>
      <w:tr w14:paraId="3E91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13" w:type="dxa"/>
            <w:noWrap w:val="0"/>
            <w:vAlign w:val="center"/>
          </w:tcPr>
          <w:p w14:paraId="45A65CC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8</w:t>
            </w:r>
          </w:p>
        </w:tc>
        <w:tc>
          <w:tcPr>
            <w:tcW w:w="1664" w:type="dxa"/>
            <w:noWrap w:val="0"/>
            <w:vAlign w:val="center"/>
          </w:tcPr>
          <w:p w14:paraId="05C07EF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w:t>
            </w:r>
          </w:p>
        </w:tc>
        <w:tc>
          <w:tcPr>
            <w:tcW w:w="7177" w:type="dxa"/>
            <w:noWrap w:val="0"/>
            <w:vAlign w:val="center"/>
          </w:tcPr>
          <w:p w14:paraId="04B03D12">
            <w:pPr>
              <w:keepNext w:val="0"/>
              <w:keepLines w:val="0"/>
              <w:pageBreakBefore w:val="0"/>
              <w:widowControl w:val="0"/>
              <w:suppressLineNumbers w:val="0"/>
              <w:kinsoku/>
              <w:wordWrap/>
              <w:overflowPunct/>
              <w:topLinePunct w:val="0"/>
              <w:bidi w:val="0"/>
              <w:spacing w:before="0" w:beforeAutospacing="0" w:after="0" w:afterAutospacing="0" w:line="300" w:lineRule="exact"/>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根据投标人提供一整套的售后服务方案的合理性、具体性、完整性、可操作性进行评分。</w:t>
            </w:r>
          </w:p>
          <w:p w14:paraId="66A1170D">
            <w:pPr>
              <w:keepNext w:val="0"/>
              <w:keepLines w:val="0"/>
              <w:pageBreakBefore w:val="0"/>
              <w:widowControl w:val="0"/>
              <w:suppressLineNumbers w:val="0"/>
              <w:kinsoku/>
              <w:wordWrap/>
              <w:overflowPunct/>
              <w:topLinePunct w:val="0"/>
              <w:bidi w:val="0"/>
              <w:spacing w:before="0" w:beforeAutospacing="0" w:after="0" w:afterAutospacing="0" w:line="300" w:lineRule="exact"/>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售后服务方案和服务承诺落实的保障措施全面科学、合理可行的得4分；</w:t>
            </w:r>
          </w:p>
          <w:p w14:paraId="230497BE">
            <w:pPr>
              <w:keepNext w:val="0"/>
              <w:keepLines w:val="0"/>
              <w:pageBreakBefore w:val="0"/>
              <w:widowControl w:val="0"/>
              <w:suppressLineNumbers w:val="0"/>
              <w:kinsoku/>
              <w:wordWrap/>
              <w:overflowPunct/>
              <w:topLinePunct w:val="0"/>
              <w:bidi w:val="0"/>
              <w:spacing w:before="0" w:beforeAutospacing="0" w:after="0" w:afterAutospacing="0" w:line="300" w:lineRule="exact"/>
              <w:ind w:left="0"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售后服务方案和服务承诺落实的保障措施比较全面、基本可行的得3分；</w:t>
            </w:r>
          </w:p>
          <w:p w14:paraId="532E3E01">
            <w:pPr>
              <w:keepNext w:val="0"/>
              <w:keepLines w:val="0"/>
              <w:pageBreakBefore w:val="0"/>
              <w:widowControl w:val="0"/>
              <w:suppressLineNumbers w:val="0"/>
              <w:kinsoku/>
              <w:wordWrap/>
              <w:overflowPunct/>
              <w:topLinePunct w:val="0"/>
              <w:bidi w:val="0"/>
              <w:spacing w:before="0" w:beforeAutospacing="0" w:after="0" w:afterAutospacing="0" w:line="300" w:lineRule="exact"/>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售后服务方案和服务承诺落实的保障措施一般，有欠缺的得2分；</w:t>
            </w:r>
          </w:p>
          <w:p w14:paraId="110A1060">
            <w:pPr>
              <w:keepNext w:val="0"/>
              <w:keepLines w:val="0"/>
              <w:pageBreakBefore w:val="0"/>
              <w:widowControl w:val="0"/>
              <w:suppressLineNumbers w:val="0"/>
              <w:kinsoku/>
              <w:wordWrap/>
              <w:overflowPunct/>
              <w:topLinePunct w:val="0"/>
              <w:bidi w:val="0"/>
              <w:spacing w:before="0" w:beforeAutospacing="0" w:after="0" w:afterAutospacing="0" w:line="300" w:lineRule="exact"/>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售后服务方案和服务承诺落实的保障措施较差，有较大欠缺的得1分；</w:t>
            </w:r>
          </w:p>
          <w:p w14:paraId="6279004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未提及此项不得分。</w:t>
            </w:r>
          </w:p>
        </w:tc>
        <w:tc>
          <w:tcPr>
            <w:tcW w:w="817" w:type="dxa"/>
            <w:noWrap w:val="0"/>
            <w:vAlign w:val="center"/>
          </w:tcPr>
          <w:p w14:paraId="410B0002">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361B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3" w:type="dxa"/>
            <w:vMerge w:val="restart"/>
            <w:noWrap w:val="0"/>
            <w:vAlign w:val="center"/>
          </w:tcPr>
          <w:p w14:paraId="5C29639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9</w:t>
            </w:r>
          </w:p>
        </w:tc>
        <w:tc>
          <w:tcPr>
            <w:tcW w:w="1664" w:type="dxa"/>
            <w:vMerge w:val="restart"/>
            <w:noWrap w:val="0"/>
            <w:vAlign w:val="center"/>
          </w:tcPr>
          <w:p w14:paraId="1321255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项目人员</w:t>
            </w:r>
          </w:p>
        </w:tc>
        <w:tc>
          <w:tcPr>
            <w:tcW w:w="7177" w:type="dxa"/>
            <w:noWrap w:val="0"/>
            <w:vAlign w:val="center"/>
          </w:tcPr>
          <w:p w14:paraId="4A85830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根据项目成员的配备、工作经验、职称、学历、获奖情况、荣誉、业绩等情况进行综合打分。</w:t>
            </w:r>
          </w:p>
          <w:p w14:paraId="602A395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项目成员配置方案合理，经验丰富，岗位安排合理，能充分满足项目需求的得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14:paraId="4B911F5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项目成员配置方案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w:t>
            </w:r>
            <w:r>
              <w:rPr>
                <w:rFonts w:hint="eastAsia" w:ascii="宋体" w:hAnsi="宋体" w:eastAsia="宋体" w:cs="宋体"/>
                <w:color w:val="000000" w:themeColor="text1"/>
                <w:sz w:val="24"/>
                <w:szCs w:val="24"/>
                <w:highlight w:val="none"/>
                <w14:textFill>
                  <w14:solidFill>
                    <w14:schemeClr w14:val="tx1"/>
                  </w14:solidFill>
                </w14:textFill>
              </w:rPr>
              <w:t>合理，经验丰富，岗位安排</w:t>
            </w:r>
            <w:r>
              <w:rPr>
                <w:rFonts w:hint="eastAsia" w:ascii="宋体" w:hAnsi="宋体" w:eastAsia="宋体" w:cs="宋体"/>
                <w:color w:val="000000" w:themeColor="text1"/>
                <w:sz w:val="24"/>
                <w:szCs w:val="24"/>
                <w:highlight w:val="none"/>
                <w:lang w:val="en-US"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w:t>
            </w:r>
            <w:r>
              <w:rPr>
                <w:rFonts w:hint="eastAsia" w:ascii="宋体" w:hAnsi="宋体" w:eastAsia="宋体" w:cs="宋体"/>
                <w:color w:val="000000" w:themeColor="text1"/>
                <w:sz w:val="24"/>
                <w:szCs w:val="24"/>
                <w:highlight w:val="none"/>
                <w14:textFill>
                  <w14:solidFill>
                    <w14:schemeClr w14:val="tx1"/>
                  </w14:solidFill>
                </w14:textFill>
              </w:rPr>
              <w:t>满足项目需求的得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14:paraId="3EBF4DD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项目成员配置方案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color w:val="000000" w:themeColor="text1"/>
                <w:sz w:val="24"/>
                <w:szCs w:val="24"/>
                <w:highlight w:val="none"/>
                <w14:textFill>
                  <w14:solidFill>
                    <w14:schemeClr w14:val="tx1"/>
                  </w14:solidFill>
                </w14:textFill>
              </w:rPr>
              <w:t>合理，经验</w:t>
            </w:r>
            <w:r>
              <w:rPr>
                <w:rFonts w:hint="eastAsia" w:ascii="宋体" w:hAnsi="宋体" w:eastAsia="宋体" w:cs="宋体"/>
                <w:color w:val="000000" w:themeColor="text1"/>
                <w:sz w:val="24"/>
                <w:szCs w:val="24"/>
                <w:highlight w:val="none"/>
                <w:lang w:val="en-US" w:eastAsia="zh-CN"/>
                <w14:textFill>
                  <w14:solidFill>
                    <w14:schemeClr w14:val="tx1"/>
                  </w14:solidFill>
                </w14:textFill>
              </w:rPr>
              <w:t>一般</w:t>
            </w:r>
            <w:r>
              <w:rPr>
                <w:rFonts w:hint="eastAsia" w:ascii="宋体" w:hAnsi="宋体" w:eastAsia="宋体" w:cs="宋体"/>
                <w:color w:val="000000" w:themeColor="text1"/>
                <w:sz w:val="24"/>
                <w:szCs w:val="24"/>
                <w:highlight w:val="none"/>
                <w14:textFill>
                  <w14:solidFill>
                    <w14:schemeClr w14:val="tx1"/>
                  </w14:solidFill>
                </w14:textFill>
              </w:rPr>
              <w:t>，岗位安排</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color w:val="000000" w:themeColor="text1"/>
                <w:sz w:val="24"/>
                <w:szCs w:val="24"/>
                <w:highlight w:val="none"/>
                <w14:textFill>
                  <w14:solidFill>
                    <w14:schemeClr w14:val="tx1"/>
                  </w14:solidFill>
                </w14:textFill>
              </w:rPr>
              <w:t>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color w:val="000000" w:themeColor="text1"/>
                <w:sz w:val="24"/>
                <w:szCs w:val="24"/>
                <w:highlight w:val="none"/>
                <w14:textFill>
                  <w14:solidFill>
                    <w14:schemeClr w14:val="tx1"/>
                  </w14:solidFill>
                </w14:textFill>
              </w:rPr>
              <w:t>满足项目需求的得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1496467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项目成员配置方案较合理，岗位安排欠合理、项目成员缺乏相关工作经验的，不能完全满足项目需求的得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9BCCD7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未提及此项不得分。</w:t>
            </w:r>
          </w:p>
        </w:tc>
        <w:tc>
          <w:tcPr>
            <w:tcW w:w="817" w:type="dxa"/>
            <w:noWrap w:val="0"/>
            <w:vAlign w:val="center"/>
          </w:tcPr>
          <w:p w14:paraId="0DB0DB73">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14:paraId="138A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713" w:type="dxa"/>
            <w:vMerge w:val="continue"/>
            <w:noWrap w:val="0"/>
            <w:vAlign w:val="center"/>
          </w:tcPr>
          <w:p w14:paraId="5EF524B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664" w:type="dxa"/>
            <w:vMerge w:val="continue"/>
            <w:noWrap w:val="0"/>
            <w:vAlign w:val="center"/>
          </w:tcPr>
          <w:p w14:paraId="48A8ED3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177" w:type="dxa"/>
            <w:noWrap w:val="0"/>
            <w:vAlign w:val="center"/>
          </w:tcPr>
          <w:p w14:paraId="111FAD2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项目负责人具备网络工程类、信息安全类、项目管理类、信息系统项目管理类，每具备1类证书的得1分，最高得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14:textFill>
                  <w14:solidFill>
                    <w14:schemeClr w14:val="tx1"/>
                  </w14:solidFill>
                </w14:textFill>
              </w:rPr>
              <w:t>（投标文件中提供相应证书扫描件以及投标截止日前半年内任意两个月的社保缴纳证明材料，不提供或提供不全的不得分）</w:t>
            </w:r>
          </w:p>
        </w:tc>
        <w:tc>
          <w:tcPr>
            <w:tcW w:w="817" w:type="dxa"/>
            <w:noWrap w:val="0"/>
            <w:vAlign w:val="center"/>
          </w:tcPr>
          <w:p w14:paraId="6F07038A">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r>
    </w:tbl>
    <w:p w14:paraId="535AFC1E">
      <w:pPr>
        <w:pStyle w:val="4"/>
        <w:numPr>
          <w:ilvl w:val="0"/>
          <w:numId w:val="13"/>
        </w:numPr>
        <w:spacing w:before="0" w:after="0"/>
        <w:ind w:left="0" w:leftChars="0" w:firstLine="402" w:firstLineChars="0"/>
        <w:jc w:val="center"/>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r>
        <w:rPr>
          <w:rFonts w:hint="eastAsia" w:ascii="Times New Roman" w:hAnsi="Times New Roman" w:eastAsia="宋体" w:cs="Times New Roman"/>
          <w:bCs/>
          <w:color w:val="000000" w:themeColor="text1"/>
          <w:szCs w:val="44"/>
          <w:highlight w:val="none"/>
          <w14:textFill>
            <w14:solidFill>
              <w14:schemeClr w14:val="tx1"/>
            </w14:solidFill>
          </w14:textFill>
        </w:rPr>
        <w:t>项目需求</w:t>
      </w:r>
    </w:p>
    <w:p w14:paraId="2F4DEB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 w:name="_Toc11786"/>
      <w:bookmarkStart w:id="6" w:name="_Hlk80434249"/>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一、项目概况： </w:t>
      </w:r>
    </w:p>
    <w:p w14:paraId="10381340">
      <w:pPr>
        <w:pageBreakBefore w:val="0"/>
        <w:kinsoku/>
        <w:wordWrap/>
        <w:overflowPunct/>
        <w:topLinePunct w:val="0"/>
        <w:autoSpaceDE/>
        <w:autoSpaceDN/>
        <w:bidi w:val="0"/>
        <w:adjustRightInd/>
        <w:snapToGrid/>
        <w:spacing w:line="400" w:lineRule="exact"/>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玉环</w:t>
      </w:r>
      <w:r>
        <w:rPr>
          <w:rFonts w:hint="eastAsia" w:ascii="宋体" w:hAnsi="宋体" w:eastAsia="宋体" w:cs="宋体"/>
          <w:color w:val="000000" w:themeColor="text1"/>
          <w:sz w:val="24"/>
          <w:szCs w:val="24"/>
          <w:highlight w:val="none"/>
          <w14:textFill>
            <w14:solidFill>
              <w14:schemeClr w14:val="tx1"/>
            </w14:solidFill>
          </w14:textFill>
        </w:rPr>
        <w:t>市公安局350兆PDT系统为日常警务、指挥调度、应急处突和大型警保活动，提供了可靠的无线通信保障服务；此PDT无线通信维保服务即将到期，需重新采购以保障该系统的正常运行，减少因系统过保对日常通信使用的影响，故将基站、终端进行整体续保。</w:t>
      </w:r>
    </w:p>
    <w:tbl>
      <w:tblPr>
        <w:tblStyle w:val="36"/>
        <w:tblpPr w:leftFromText="180" w:rightFromText="180" w:vertAnchor="text" w:horzAnchor="page" w:tblpX="867" w:tblpY="160"/>
        <w:tblOverlap w:val="never"/>
        <w:tblW w:w="10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2"/>
        <w:gridCol w:w="1113"/>
        <w:gridCol w:w="1560"/>
        <w:gridCol w:w="1755"/>
        <w:gridCol w:w="2634"/>
      </w:tblGrid>
      <w:tr w14:paraId="3056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072" w:type="dxa"/>
            <w:noWrap w:val="0"/>
            <w:vAlign w:val="center"/>
          </w:tcPr>
          <w:p w14:paraId="237D2C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项目名称</w:t>
            </w:r>
          </w:p>
        </w:tc>
        <w:tc>
          <w:tcPr>
            <w:tcW w:w="1113" w:type="dxa"/>
            <w:noWrap w:val="0"/>
            <w:vAlign w:val="center"/>
          </w:tcPr>
          <w:p w14:paraId="717FD1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服务期限</w:t>
            </w:r>
          </w:p>
        </w:tc>
        <w:tc>
          <w:tcPr>
            <w:tcW w:w="1560" w:type="dxa"/>
            <w:noWrap w:val="0"/>
            <w:vAlign w:val="center"/>
          </w:tcPr>
          <w:p w14:paraId="072FE1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预算金额</w:t>
            </w:r>
          </w:p>
        </w:tc>
        <w:tc>
          <w:tcPr>
            <w:tcW w:w="1755" w:type="dxa"/>
            <w:noWrap w:val="0"/>
            <w:vAlign w:val="center"/>
          </w:tcPr>
          <w:p w14:paraId="0E31C0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最高限价</w:t>
            </w:r>
          </w:p>
        </w:tc>
        <w:tc>
          <w:tcPr>
            <w:tcW w:w="2634" w:type="dxa"/>
            <w:noWrap w:val="0"/>
            <w:vAlign w:val="center"/>
          </w:tcPr>
          <w:p w14:paraId="73FB25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简要工作内容</w:t>
            </w:r>
          </w:p>
        </w:tc>
      </w:tr>
      <w:tr w14:paraId="6E2F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3072" w:type="dxa"/>
            <w:noWrap w:val="0"/>
            <w:vAlign w:val="center"/>
          </w:tcPr>
          <w:p w14:paraId="59B97D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玉环市公安局350M数字集群基站运维</w:t>
            </w:r>
          </w:p>
        </w:tc>
        <w:tc>
          <w:tcPr>
            <w:tcW w:w="1113" w:type="dxa"/>
            <w:noWrap w:val="0"/>
            <w:vAlign w:val="center"/>
          </w:tcPr>
          <w:p w14:paraId="016C05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73E670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10个月</w:t>
            </w:r>
          </w:p>
          <w:p w14:paraId="34E66B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560" w:type="dxa"/>
            <w:noWrap w:val="0"/>
            <w:vAlign w:val="center"/>
          </w:tcPr>
          <w:p w14:paraId="784DDC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306600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p>
        </w:tc>
        <w:tc>
          <w:tcPr>
            <w:tcW w:w="1755" w:type="dxa"/>
            <w:noWrap w:val="0"/>
            <w:vAlign w:val="center"/>
          </w:tcPr>
          <w:p w14:paraId="33895F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306600元</w:t>
            </w:r>
          </w:p>
        </w:tc>
        <w:tc>
          <w:tcPr>
            <w:tcW w:w="2634" w:type="dxa"/>
            <w:noWrap w:val="0"/>
            <w:vAlign w:val="center"/>
          </w:tcPr>
          <w:p w14:paraId="72E155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为玉环市公安局提供350兆（PDT）无线数字集群系统运维服务，具体详见招标文件项目招标内容及要求。</w:t>
            </w:r>
          </w:p>
        </w:tc>
      </w:tr>
    </w:tbl>
    <w:p w14:paraId="10CAE1D0">
      <w:pPr>
        <w:pageBreakBefore w:val="0"/>
        <w:kinsoku/>
        <w:wordWrap/>
        <w:overflowPunct/>
        <w:topLinePunct w:val="0"/>
        <w:autoSpaceDE/>
        <w:autoSpaceDN/>
        <w:bidi w:val="0"/>
        <w:adjustRightInd/>
        <w:snapToGrid/>
        <w:spacing w:line="400" w:lineRule="exact"/>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p>
    <w:p w14:paraId="0513C5C3">
      <w:pPr>
        <w:pStyle w:val="6"/>
        <w:pageBreakBefore w:val="0"/>
        <w:numPr>
          <w:ilvl w:val="0"/>
          <w:numId w:val="14"/>
        </w:numPr>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服务范围：</w:t>
      </w:r>
      <w:r>
        <w:rPr>
          <w:rFonts w:hint="eastAsia" w:ascii="宋体" w:hAnsi="宋体" w:eastAsia="宋体" w:cs="宋体"/>
          <w:color w:val="000000" w:themeColor="text1"/>
          <w:sz w:val="24"/>
          <w:szCs w:val="24"/>
          <w:highlight w:val="none"/>
          <w:lang w:eastAsia="zh-CN"/>
          <w14:textFill>
            <w14:solidFill>
              <w14:schemeClr w14:val="tx1"/>
            </w14:solidFill>
          </w14:textFill>
        </w:rPr>
        <w:t>玉环</w:t>
      </w:r>
      <w:r>
        <w:rPr>
          <w:rFonts w:hint="eastAsia" w:ascii="宋体" w:hAnsi="宋体" w:eastAsia="宋体" w:cs="宋体"/>
          <w:color w:val="000000" w:themeColor="text1"/>
          <w:sz w:val="24"/>
          <w:szCs w:val="24"/>
          <w:highlight w:val="none"/>
          <w14:textFill>
            <w14:solidFill>
              <w14:schemeClr w14:val="tx1"/>
            </w14:solidFill>
          </w14:textFill>
        </w:rPr>
        <w:t>市公安局350兆PDT系统，包括如下设备的维护和服务。</w:t>
      </w:r>
    </w:p>
    <w:tbl>
      <w:tblPr>
        <w:tblStyle w:val="35"/>
        <w:tblW w:w="9638" w:type="dxa"/>
        <w:tblInd w:w="0" w:type="dxa"/>
        <w:tblLayout w:type="fixed"/>
        <w:tblCellMar>
          <w:top w:w="0" w:type="dxa"/>
          <w:left w:w="0" w:type="dxa"/>
          <w:bottom w:w="0" w:type="dxa"/>
          <w:right w:w="0" w:type="dxa"/>
        </w:tblCellMar>
      </w:tblPr>
      <w:tblGrid>
        <w:gridCol w:w="1257"/>
        <w:gridCol w:w="6423"/>
        <w:gridCol w:w="1958"/>
      </w:tblGrid>
      <w:tr w14:paraId="7D73B298">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E1E0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snapToGrid w:val="0"/>
                <w:color w:val="000000" w:themeColor="text1"/>
                <w:kern w:val="0"/>
                <w:sz w:val="24"/>
                <w:szCs w:val="24"/>
                <w:highlight w:val="none"/>
                <w:u w:val="none"/>
                <w:lang w:val="en-US" w:eastAsia="zh-CN" w:bidi="ar"/>
                <w14:textFill>
                  <w14:solidFill>
                    <w14:schemeClr w14:val="tx1"/>
                  </w14:solidFill>
                </w14:textFill>
              </w:rPr>
              <w:t>序号</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A905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snapToGrid w:val="0"/>
                <w:color w:val="000000" w:themeColor="text1"/>
                <w:kern w:val="0"/>
                <w:sz w:val="24"/>
                <w:szCs w:val="24"/>
                <w:highlight w:val="none"/>
                <w:u w:val="none"/>
                <w:lang w:val="en-US" w:eastAsia="zh-CN" w:bidi="ar"/>
                <w14:textFill>
                  <w14:solidFill>
                    <w14:schemeClr w14:val="tx1"/>
                  </w14:solidFill>
                </w14:textFill>
              </w:rPr>
              <w:t>基站点位</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E065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snapToGrid w:val="0"/>
                <w:color w:val="000000" w:themeColor="text1"/>
                <w:kern w:val="0"/>
                <w:sz w:val="24"/>
                <w:szCs w:val="24"/>
                <w:highlight w:val="none"/>
                <w:u w:val="none"/>
                <w:lang w:val="en-US" w:eastAsia="zh-CN" w:bidi="ar"/>
                <w14:textFill>
                  <w14:solidFill>
                    <w14:schemeClr w14:val="tx1"/>
                  </w14:solidFill>
                </w14:textFill>
              </w:rPr>
              <w:t>载频数量</w:t>
            </w:r>
            <w:r>
              <w:rPr>
                <w:rFonts w:hint="eastAsia" w:ascii="宋体" w:hAnsi="宋体" w:cs="宋体"/>
                <w:b/>
                <w:i w:val="0"/>
                <w:snapToGrid w:val="0"/>
                <w:color w:val="000000" w:themeColor="text1"/>
                <w:kern w:val="0"/>
                <w:sz w:val="24"/>
                <w:szCs w:val="24"/>
                <w:highlight w:val="none"/>
                <w:u w:val="none"/>
                <w:lang w:val="en-US" w:eastAsia="zh-CN" w:bidi="ar"/>
                <w14:textFill>
                  <w14:solidFill>
                    <w14:schemeClr w14:val="tx1"/>
                  </w14:solidFill>
                </w14:textFill>
              </w:rPr>
              <w:t>（套）</w:t>
            </w:r>
          </w:p>
        </w:tc>
      </w:tr>
      <w:tr w14:paraId="70C731DE">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19DF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1</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1FE6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Style w:val="109"/>
                <w:rFonts w:hint="eastAsia" w:ascii="宋体" w:hAnsi="宋体" w:eastAsia="宋体" w:cs="宋体"/>
                <w:snapToGrid w:val="0"/>
                <w:color w:val="000000" w:themeColor="text1"/>
                <w:sz w:val="24"/>
                <w:szCs w:val="24"/>
                <w:highlight w:val="none"/>
                <w:lang w:val="en-US" w:eastAsia="zh-CN" w:bidi="ar"/>
                <w14:textFill>
                  <w14:solidFill>
                    <w14:schemeClr w14:val="tx1"/>
                  </w14:solidFill>
                </w14:textFill>
              </w:rPr>
              <w:t>玉环陈屿古顺村隧道</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6492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4</w:t>
            </w:r>
          </w:p>
        </w:tc>
      </w:tr>
      <w:tr w14:paraId="1D05B584">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4CA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2</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EDC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Style w:val="109"/>
                <w:rFonts w:hint="eastAsia" w:ascii="宋体" w:hAnsi="宋体" w:eastAsia="宋体" w:cs="宋体"/>
                <w:snapToGrid w:val="0"/>
                <w:color w:val="000000" w:themeColor="text1"/>
                <w:sz w:val="24"/>
                <w:szCs w:val="24"/>
                <w:highlight w:val="none"/>
                <w:lang w:val="en-US" w:eastAsia="zh-CN" w:bidi="ar"/>
                <w14:textFill>
                  <w14:solidFill>
                    <w14:schemeClr w14:val="tx1"/>
                  </w14:solidFill>
                </w14:textFill>
              </w:rPr>
              <w:t>玉环坎门气象站</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6A11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3</w:t>
            </w:r>
          </w:p>
        </w:tc>
      </w:tr>
      <w:tr w14:paraId="4F778D7B">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324D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3</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D86D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Style w:val="109"/>
                <w:rFonts w:hint="eastAsia" w:ascii="宋体" w:hAnsi="宋体" w:eastAsia="宋体" w:cs="宋体"/>
                <w:snapToGrid w:val="0"/>
                <w:color w:val="000000" w:themeColor="text1"/>
                <w:sz w:val="24"/>
                <w:szCs w:val="24"/>
                <w:highlight w:val="none"/>
                <w:lang w:val="en-US" w:eastAsia="zh-CN" w:bidi="ar"/>
                <w14:textFill>
                  <w14:solidFill>
                    <w14:schemeClr w14:val="tx1"/>
                  </w14:solidFill>
                </w14:textFill>
              </w:rPr>
              <w:t>玉环新公安局大楼</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8AD4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6</w:t>
            </w:r>
          </w:p>
        </w:tc>
      </w:tr>
      <w:tr w14:paraId="5899C396">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7451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4</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9407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Style w:val="109"/>
                <w:rFonts w:hint="eastAsia" w:ascii="宋体" w:hAnsi="宋体" w:eastAsia="宋体" w:cs="宋体"/>
                <w:snapToGrid w:val="0"/>
                <w:color w:val="000000" w:themeColor="text1"/>
                <w:sz w:val="24"/>
                <w:szCs w:val="24"/>
                <w:highlight w:val="none"/>
                <w:lang w:val="en-US" w:eastAsia="zh-CN" w:bidi="ar"/>
                <w14:textFill>
                  <w14:solidFill>
                    <w14:schemeClr w14:val="tx1"/>
                  </w14:solidFill>
                </w14:textFill>
              </w:rPr>
              <w:t>玉环田螺基</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A7BC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6</w:t>
            </w:r>
          </w:p>
        </w:tc>
      </w:tr>
      <w:tr w14:paraId="6A3677D1">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3865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5</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5763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Style w:val="109"/>
                <w:rFonts w:hint="eastAsia" w:ascii="宋体" w:hAnsi="宋体" w:eastAsia="宋体" w:cs="宋体"/>
                <w:snapToGrid w:val="0"/>
                <w:color w:val="000000" w:themeColor="text1"/>
                <w:sz w:val="24"/>
                <w:szCs w:val="24"/>
                <w:highlight w:val="none"/>
                <w:lang w:val="en-US" w:eastAsia="zh-CN" w:bidi="ar"/>
                <w14:textFill>
                  <w14:solidFill>
                    <w14:schemeClr w14:val="tx1"/>
                  </w14:solidFill>
                </w14:textFill>
              </w:rPr>
              <w:t>玉环楚门一</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0D55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4</w:t>
            </w:r>
          </w:p>
        </w:tc>
      </w:tr>
      <w:tr w14:paraId="7DC04427">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247B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6</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E4B9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Style w:val="109"/>
                <w:rFonts w:hint="eastAsia" w:ascii="宋体" w:hAnsi="宋体" w:eastAsia="宋体" w:cs="宋体"/>
                <w:snapToGrid w:val="0"/>
                <w:color w:val="000000" w:themeColor="text1"/>
                <w:sz w:val="24"/>
                <w:szCs w:val="24"/>
                <w:highlight w:val="none"/>
                <w:lang w:val="en-US" w:eastAsia="zh-CN" w:bidi="ar"/>
                <w14:textFill>
                  <w14:solidFill>
                    <w14:schemeClr w14:val="tx1"/>
                  </w14:solidFill>
                </w14:textFill>
              </w:rPr>
              <w:t>玉环沙门都墩山头</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6820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3</w:t>
            </w:r>
          </w:p>
        </w:tc>
      </w:tr>
      <w:tr w14:paraId="52148AC8">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6072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7</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9BB4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Style w:val="109"/>
                <w:rFonts w:hint="eastAsia" w:ascii="宋体" w:hAnsi="宋体" w:eastAsia="宋体" w:cs="宋体"/>
                <w:snapToGrid w:val="0"/>
                <w:color w:val="000000" w:themeColor="text1"/>
                <w:sz w:val="24"/>
                <w:szCs w:val="24"/>
                <w:highlight w:val="none"/>
                <w:lang w:val="en-US" w:eastAsia="zh-CN" w:bidi="ar"/>
                <w14:textFill>
                  <w14:solidFill>
                    <w14:schemeClr w14:val="tx1"/>
                  </w14:solidFill>
                </w14:textFill>
              </w:rPr>
              <w:t>玉环县龙溪法山头</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2D6E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3</w:t>
            </w:r>
          </w:p>
        </w:tc>
      </w:tr>
      <w:tr w14:paraId="4C08F2D2">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DBD5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8</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4DC6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Style w:val="109"/>
                <w:rFonts w:hint="eastAsia" w:ascii="宋体" w:hAnsi="宋体" w:eastAsia="宋体" w:cs="宋体"/>
                <w:snapToGrid w:val="0"/>
                <w:color w:val="000000" w:themeColor="text1"/>
                <w:sz w:val="24"/>
                <w:szCs w:val="24"/>
                <w:highlight w:val="none"/>
                <w:lang w:val="en-US" w:eastAsia="zh-CN" w:bidi="ar"/>
                <w14:textFill>
                  <w14:solidFill>
                    <w14:schemeClr w14:val="tx1"/>
                  </w14:solidFill>
                </w14:textFill>
              </w:rPr>
              <w:t>玉环清港方度</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B727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2</w:t>
            </w:r>
          </w:p>
        </w:tc>
      </w:tr>
      <w:tr w14:paraId="6F43877F">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6805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9</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9476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Style w:val="109"/>
                <w:rFonts w:hint="eastAsia" w:ascii="宋体" w:hAnsi="宋体" w:eastAsia="宋体" w:cs="宋体"/>
                <w:snapToGrid w:val="0"/>
                <w:color w:val="000000" w:themeColor="text1"/>
                <w:sz w:val="24"/>
                <w:szCs w:val="24"/>
                <w:highlight w:val="none"/>
                <w:lang w:val="en-US" w:eastAsia="zh-CN" w:bidi="ar"/>
                <w14:textFill>
                  <w14:solidFill>
                    <w14:schemeClr w14:val="tx1"/>
                  </w14:solidFill>
                </w14:textFill>
              </w:rPr>
              <w:t>玉环海山岛</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F050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3</w:t>
            </w:r>
          </w:p>
        </w:tc>
      </w:tr>
      <w:tr w14:paraId="1C919304">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DFE1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10</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BB65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Style w:val="109"/>
                <w:rFonts w:hint="eastAsia" w:ascii="宋体" w:hAnsi="宋体" w:eastAsia="宋体" w:cs="宋体"/>
                <w:snapToGrid w:val="0"/>
                <w:color w:val="000000" w:themeColor="text1"/>
                <w:sz w:val="24"/>
                <w:szCs w:val="24"/>
                <w:highlight w:val="none"/>
                <w:lang w:val="en-US" w:eastAsia="zh-CN" w:bidi="ar"/>
                <w14:textFill>
                  <w14:solidFill>
                    <w14:schemeClr w14:val="tx1"/>
                  </w14:solidFill>
                </w14:textFill>
              </w:rPr>
              <w:t>玉环芦浦车站</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9B84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3</w:t>
            </w:r>
          </w:p>
        </w:tc>
      </w:tr>
      <w:tr w14:paraId="098D5208">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0FEA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11</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F68F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Style w:val="109"/>
                <w:rFonts w:hint="eastAsia" w:ascii="宋体" w:hAnsi="宋体" w:eastAsia="宋体" w:cs="宋体"/>
                <w:snapToGrid w:val="0"/>
                <w:color w:val="000000" w:themeColor="text1"/>
                <w:sz w:val="24"/>
                <w:szCs w:val="24"/>
                <w:highlight w:val="none"/>
                <w:lang w:val="en-US" w:eastAsia="zh-CN" w:bidi="ar"/>
                <w14:textFill>
                  <w14:solidFill>
                    <w14:schemeClr w14:val="tx1"/>
                  </w14:solidFill>
                </w14:textFill>
              </w:rPr>
              <w:t>玉环鸡山火车</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B18F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2</w:t>
            </w:r>
          </w:p>
        </w:tc>
      </w:tr>
      <w:tr w14:paraId="1D27A6A7">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E8EF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12</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8522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Style w:val="109"/>
                <w:rFonts w:hint="eastAsia" w:ascii="宋体" w:hAnsi="宋体" w:eastAsia="宋体" w:cs="宋体"/>
                <w:snapToGrid w:val="0"/>
                <w:color w:val="000000" w:themeColor="text1"/>
                <w:sz w:val="24"/>
                <w:szCs w:val="24"/>
                <w:highlight w:val="none"/>
                <w:lang w:val="en-US" w:eastAsia="zh-CN" w:bidi="ar"/>
                <w14:textFill>
                  <w14:solidFill>
                    <w14:schemeClr w14:val="tx1"/>
                  </w14:solidFill>
                </w14:textFill>
              </w:rPr>
              <w:t>玉环干江</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BB5B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4</w:t>
            </w:r>
          </w:p>
        </w:tc>
      </w:tr>
      <w:tr w14:paraId="0F9A927E">
        <w:tblPrEx>
          <w:tblCellMar>
            <w:top w:w="0" w:type="dxa"/>
            <w:left w:w="0" w:type="dxa"/>
            <w:bottom w:w="0" w:type="dxa"/>
            <w:right w:w="0" w:type="dxa"/>
          </w:tblCellMar>
        </w:tblPrEx>
        <w:trPr>
          <w:trHeight w:val="521" w:hRule="atLeast"/>
        </w:trPr>
        <w:tc>
          <w:tcPr>
            <w:tcW w:w="12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5FF0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13</w:t>
            </w:r>
          </w:p>
        </w:tc>
        <w:tc>
          <w:tcPr>
            <w:tcW w:w="64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B3D2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Style w:val="109"/>
                <w:rFonts w:hint="eastAsia" w:ascii="宋体" w:hAnsi="宋体" w:eastAsia="宋体" w:cs="宋体"/>
                <w:snapToGrid w:val="0"/>
                <w:color w:val="000000" w:themeColor="text1"/>
                <w:sz w:val="24"/>
                <w:szCs w:val="24"/>
                <w:highlight w:val="none"/>
                <w:lang w:val="en-US" w:eastAsia="zh-CN" w:bidi="ar"/>
                <w14:textFill>
                  <w14:solidFill>
                    <w14:schemeClr w14:val="tx1"/>
                  </w14:solidFill>
                </w14:textFill>
              </w:rPr>
              <w:t>合计</w:t>
            </w:r>
          </w:p>
        </w:tc>
        <w:tc>
          <w:tcPr>
            <w:tcW w:w="19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A3D7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snapToGrid w:val="0"/>
                <w:color w:val="000000" w:themeColor="text1"/>
                <w:kern w:val="0"/>
                <w:sz w:val="24"/>
                <w:szCs w:val="24"/>
                <w:highlight w:val="none"/>
                <w:u w:val="none"/>
                <w:lang w:val="en-US" w:eastAsia="zh-CN" w:bidi="ar"/>
                <w14:textFill>
                  <w14:solidFill>
                    <w14:schemeClr w14:val="tx1"/>
                  </w14:solidFill>
                </w14:textFill>
              </w:rPr>
              <w:t>43</w:t>
            </w:r>
          </w:p>
        </w:tc>
      </w:tr>
    </w:tbl>
    <w:p w14:paraId="5C2CB082">
      <w:pPr>
        <w:pStyle w:val="6"/>
        <w:pageBreakBefore w:val="0"/>
        <w:numPr>
          <w:ilvl w:val="0"/>
          <w:numId w:val="0"/>
        </w:numPr>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三、服务内容：</w:t>
      </w:r>
    </w:p>
    <w:p w14:paraId="7FA51D1F">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（一）设备续保及系统巡检：</w:t>
      </w:r>
    </w:p>
    <w:p w14:paraId="1DEB3C2F">
      <w:pPr>
        <w:keepNext w:val="0"/>
        <w:keepLines w:val="0"/>
        <w:pageBreakBefore w:val="0"/>
        <w:widowControl/>
        <w:kinsoku/>
        <w:wordWrap/>
        <w:overflowPunct/>
        <w:topLinePunct w:val="0"/>
        <w:autoSpaceDE/>
        <w:autoSpaceDN/>
        <w:bidi w:val="0"/>
        <w:adjustRightInd/>
        <w:snapToGrid/>
        <w:spacing w:line="400" w:lineRule="exact"/>
        <w:ind w:firstLine="44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 基站设备保修及维护服务</w:t>
      </w:r>
    </w:p>
    <w:p w14:paraId="5E697C96">
      <w:pPr>
        <w:keepNext w:val="0"/>
        <w:keepLines w:val="0"/>
        <w:pageBreakBefore w:val="0"/>
        <w:kinsoku/>
        <w:wordWrap/>
        <w:overflowPunct/>
        <w:topLinePunct w:val="0"/>
        <w:autoSpaceDE/>
        <w:autoSpaceDN/>
        <w:bidi w:val="0"/>
        <w:adjustRightInd/>
        <w:snapToGrid/>
        <w:spacing w:line="400" w:lineRule="exact"/>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提供</w:t>
      </w:r>
      <w:r>
        <w:rPr>
          <w:rFonts w:hint="eastAsia" w:ascii="宋体" w:hAnsi="宋体" w:eastAsia="宋体" w:cs="宋体"/>
          <w:color w:val="000000" w:themeColor="text1"/>
          <w:sz w:val="24"/>
          <w:szCs w:val="24"/>
          <w:highlight w:val="none"/>
          <w:lang w:eastAsia="zh-CN"/>
          <w14:textFill>
            <w14:solidFill>
              <w14:schemeClr w14:val="tx1"/>
            </w14:solidFill>
          </w14:textFill>
        </w:rPr>
        <w:t>玉环</w:t>
      </w:r>
      <w:r>
        <w:rPr>
          <w:rFonts w:hint="eastAsia" w:ascii="宋体" w:hAnsi="宋体" w:eastAsia="宋体" w:cs="宋体"/>
          <w:color w:val="000000" w:themeColor="text1"/>
          <w:sz w:val="24"/>
          <w:szCs w:val="24"/>
          <w:highlight w:val="none"/>
          <w14:textFill>
            <w14:solidFill>
              <w14:schemeClr w14:val="tx1"/>
            </w14:solidFill>
          </w14:textFill>
        </w:rPr>
        <w:t>市公安局350兆PDT系统</w:t>
      </w:r>
      <w:r>
        <w:rPr>
          <w:rFonts w:hint="eastAsia" w:ascii="宋体" w:hAnsi="宋体" w:eastAsia="宋体" w:cs="宋体"/>
          <w:bCs/>
          <w:color w:val="000000" w:themeColor="text1"/>
          <w:sz w:val="24"/>
          <w:szCs w:val="24"/>
          <w:highlight w:val="none"/>
          <w14:textFill>
            <w14:solidFill>
              <w14:schemeClr w14:val="tx1"/>
            </w14:solidFill>
          </w14:textFill>
        </w:rPr>
        <w:t>的硬件维护服务，因硬件导致的设备故障（包括信道机设备、控制交换路由设备、供电设备和其他配套设备等）免</w:t>
      </w:r>
      <w:r>
        <w:rPr>
          <w:rFonts w:hint="eastAsia" w:ascii="宋体" w:hAnsi="宋体" w:eastAsia="宋体" w:cs="宋体"/>
          <w:color w:val="000000" w:themeColor="text1"/>
          <w:sz w:val="24"/>
          <w:szCs w:val="24"/>
          <w:highlight w:val="none"/>
          <w14:textFill>
            <w14:solidFill>
              <w14:schemeClr w14:val="tx1"/>
            </w14:solidFill>
          </w14:textFill>
        </w:rPr>
        <w:t>费维修或更换（基站机房环境、人为损坏以及火灾、雷击、地震、台风、水灾等不可抗力因素除外）。因停电、病毒攻击等原因导致的通信服务中断，免费负责恢复服务。</w:t>
      </w:r>
    </w:p>
    <w:p w14:paraId="08C00385">
      <w:pPr>
        <w:keepNext w:val="0"/>
        <w:keepLines w:val="0"/>
        <w:pageBreakBefore w:val="0"/>
        <w:widowControl/>
        <w:kinsoku/>
        <w:wordWrap/>
        <w:overflowPunct/>
        <w:topLinePunct w:val="0"/>
        <w:autoSpaceDE/>
        <w:autoSpaceDN/>
        <w:bidi w:val="0"/>
        <w:adjustRightInd/>
        <w:snapToGrid/>
        <w:spacing w:line="400" w:lineRule="exact"/>
        <w:ind w:firstLine="4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提供基站定期巡检服务，</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每季度</w:t>
      </w:r>
      <w:r>
        <w:rPr>
          <w:rFonts w:hint="eastAsia" w:ascii="宋体" w:hAnsi="宋体" w:eastAsia="宋体" w:cs="宋体"/>
          <w:color w:val="000000" w:themeColor="text1"/>
          <w:sz w:val="24"/>
          <w:szCs w:val="24"/>
          <w:highlight w:val="none"/>
          <w:u w:val="none"/>
          <w14:textFill>
            <w14:solidFill>
              <w14:schemeClr w14:val="tx1"/>
            </w14:solidFill>
          </w14:textFill>
        </w:rPr>
        <w:t>保证所有基站巡检一遍，逢重大安保或者台风登陆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距</w:t>
      </w:r>
      <w:r>
        <w:rPr>
          <w:rFonts w:hint="eastAsia" w:ascii="宋体" w:hAnsi="宋体" w:eastAsia="宋体" w:cs="宋体"/>
          <w:color w:val="000000" w:themeColor="text1"/>
          <w:sz w:val="24"/>
          <w:szCs w:val="24"/>
          <w:highlight w:val="none"/>
          <w:lang w:val="en-US" w:eastAsia="zh-CN"/>
          <w14:textFill>
            <w14:solidFill>
              <w14:schemeClr w14:val="tx1"/>
            </w14:solidFill>
          </w14:textFill>
        </w:rPr>
        <w:t>上次巡检已超过1个月的增加一遍巡检，巡检要求</w:t>
      </w:r>
      <w:r>
        <w:rPr>
          <w:rFonts w:hint="eastAsia" w:ascii="宋体" w:hAnsi="宋体" w:eastAsia="宋体" w:cs="宋体"/>
          <w:color w:val="000000" w:themeColor="text1"/>
          <w:sz w:val="24"/>
          <w:szCs w:val="24"/>
          <w:highlight w:val="none"/>
          <w14:textFill>
            <w14:solidFill>
              <w14:schemeClr w14:val="tx1"/>
            </w14:solidFill>
          </w14:textFill>
        </w:rPr>
        <w:t>提供巡检报告。</w:t>
      </w:r>
    </w:p>
    <w:p w14:paraId="04CD95A4">
      <w:pPr>
        <w:keepNext w:val="0"/>
        <w:keepLines w:val="0"/>
        <w:pageBreakBefore w:val="0"/>
        <w:widowControl/>
        <w:kinsoku/>
        <w:wordWrap/>
        <w:overflowPunct/>
        <w:topLinePunct w:val="0"/>
        <w:autoSpaceDE/>
        <w:autoSpaceDN/>
        <w:bidi w:val="0"/>
        <w:adjustRightInd/>
        <w:snapToGrid/>
        <w:spacing w:line="400" w:lineRule="exact"/>
        <w:ind w:firstLine="44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 终端维护服务</w:t>
      </w:r>
    </w:p>
    <w:p w14:paraId="2C003A17">
      <w:pPr>
        <w:keepNext w:val="0"/>
        <w:keepLines w:val="0"/>
        <w:pageBreakBefore w:val="0"/>
        <w:kinsoku/>
        <w:wordWrap/>
        <w:overflowPunct/>
        <w:topLinePunct w:val="0"/>
        <w:autoSpaceDE/>
        <w:autoSpaceDN/>
        <w:bidi w:val="0"/>
        <w:adjustRightInd/>
        <w:snapToGrid/>
        <w:spacing w:line="400" w:lineRule="exact"/>
        <w:ind w:firstLine="44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提供各类型终端的硬</w:t>
      </w:r>
      <w:r>
        <w:rPr>
          <w:rFonts w:hint="eastAsia" w:ascii="宋体" w:hAnsi="宋体" w:eastAsia="宋体" w:cs="宋体"/>
          <w:color w:val="000000" w:themeColor="text1"/>
          <w:sz w:val="24"/>
          <w:szCs w:val="24"/>
          <w:highlight w:val="none"/>
          <w14:textFill>
            <w14:solidFill>
              <w14:schemeClr w14:val="tx1"/>
            </w14:solidFill>
          </w14:textFill>
        </w:rPr>
        <w:t>件维护服务，因硬件导致的设备故障（固定台、手持移动台）免费维修或更换（人为损坏和火灾、雷击、地震、水灾等不可抗力因素除外）。</w:t>
      </w:r>
    </w:p>
    <w:tbl>
      <w:tblPr>
        <w:tblStyle w:val="35"/>
        <w:tblW w:w="9864" w:type="dxa"/>
        <w:tblInd w:w="93" w:type="dxa"/>
        <w:tblLayout w:type="fixed"/>
        <w:tblCellMar>
          <w:top w:w="0" w:type="dxa"/>
          <w:left w:w="108" w:type="dxa"/>
          <w:bottom w:w="0" w:type="dxa"/>
          <w:right w:w="108" w:type="dxa"/>
        </w:tblCellMar>
      </w:tblPr>
      <w:tblGrid>
        <w:gridCol w:w="923"/>
        <w:gridCol w:w="1280"/>
        <w:gridCol w:w="2410"/>
        <w:gridCol w:w="1783"/>
        <w:gridCol w:w="915"/>
        <w:gridCol w:w="1020"/>
        <w:gridCol w:w="1533"/>
      </w:tblGrid>
      <w:tr w14:paraId="6FB8421C">
        <w:tblPrEx>
          <w:tblCellMar>
            <w:top w:w="0" w:type="dxa"/>
            <w:left w:w="108" w:type="dxa"/>
            <w:bottom w:w="0" w:type="dxa"/>
            <w:right w:w="108" w:type="dxa"/>
          </w:tblCellMar>
        </w:tblPrEx>
        <w:trPr>
          <w:trHeight w:val="213" w:hRule="atLeast"/>
        </w:trPr>
        <w:tc>
          <w:tcPr>
            <w:tcW w:w="9864" w:type="dxa"/>
            <w:gridSpan w:val="7"/>
            <w:tcBorders>
              <w:top w:val="single" w:color="000000" w:sz="4" w:space="0"/>
              <w:left w:val="single" w:color="000000" w:sz="4" w:space="0"/>
              <w:bottom w:val="single" w:color="000000" w:sz="4" w:space="0"/>
              <w:right w:val="single" w:color="000000" w:sz="4" w:space="0"/>
            </w:tcBorders>
            <w:noWrap w:val="0"/>
            <w:vAlign w:val="center"/>
          </w:tcPr>
          <w:p w14:paraId="4EC21363">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 设备续保、巡检</w:t>
            </w:r>
          </w:p>
        </w:tc>
      </w:tr>
      <w:tr w14:paraId="38887C5E">
        <w:tblPrEx>
          <w:tblCellMar>
            <w:top w:w="0" w:type="dxa"/>
            <w:left w:w="108" w:type="dxa"/>
            <w:bottom w:w="0" w:type="dxa"/>
            <w:right w:w="108" w:type="dxa"/>
          </w:tblCellMar>
        </w:tblPrEx>
        <w:trPr>
          <w:trHeight w:val="213" w:hRule="atLeast"/>
        </w:trPr>
        <w:tc>
          <w:tcPr>
            <w:tcW w:w="9864" w:type="dxa"/>
            <w:gridSpan w:val="7"/>
            <w:tcBorders>
              <w:top w:val="single" w:color="000000" w:sz="4" w:space="0"/>
              <w:left w:val="single" w:color="000000" w:sz="4" w:space="0"/>
              <w:bottom w:val="single" w:color="000000" w:sz="4" w:space="0"/>
              <w:right w:val="single" w:color="000000" w:sz="4" w:space="0"/>
            </w:tcBorders>
            <w:noWrap w:val="0"/>
            <w:vAlign w:val="center"/>
          </w:tcPr>
          <w:p w14:paraId="5B8056BE">
            <w:pPr>
              <w:keepNext w:val="0"/>
              <w:keepLines w:val="0"/>
              <w:pageBreakBefore w:val="0"/>
              <w:widowControl/>
              <w:kinsoku/>
              <w:wordWrap/>
              <w:overflowPunct/>
              <w:topLinePunct w:val="0"/>
              <w:autoSpaceDE/>
              <w:autoSpaceDN/>
              <w:bidi w:val="0"/>
              <w:adjustRightInd/>
              <w:snapToGrid/>
              <w:spacing w:line="400" w:lineRule="exact"/>
              <w:ind w:firstLine="32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系统、基站设备</w:t>
            </w:r>
          </w:p>
        </w:tc>
      </w:tr>
      <w:tr w14:paraId="3D123D79">
        <w:tblPrEx>
          <w:tblCellMar>
            <w:top w:w="0" w:type="dxa"/>
            <w:left w:w="108" w:type="dxa"/>
            <w:bottom w:w="0" w:type="dxa"/>
            <w:right w:w="108" w:type="dxa"/>
          </w:tblCellMar>
        </w:tblPrEx>
        <w:trPr>
          <w:trHeight w:val="419"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27CD37A">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5A441DC9">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系统名称</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483F0D10">
            <w:pPr>
              <w:keepNext w:val="0"/>
              <w:keepLines w:val="0"/>
              <w:pageBreakBefore w:val="0"/>
              <w:widowControl/>
              <w:kinsoku/>
              <w:wordWrap/>
              <w:overflowPunct/>
              <w:topLinePunct w:val="0"/>
              <w:autoSpaceDE/>
              <w:autoSpaceDN/>
              <w:bidi w:val="0"/>
              <w:adjustRightInd/>
              <w:snapToGrid/>
              <w:spacing w:line="400" w:lineRule="exact"/>
              <w:ind w:firstLine="32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服务描述</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690D183">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最高限价单价</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4CE5B83">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3D48217">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服务期（月数）</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208CED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最高限价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r>
      <w:tr w14:paraId="1E7BBA5F">
        <w:tblPrEx>
          <w:tblCellMar>
            <w:top w:w="0" w:type="dxa"/>
            <w:left w:w="108" w:type="dxa"/>
            <w:bottom w:w="0" w:type="dxa"/>
            <w:right w:w="108" w:type="dxa"/>
          </w:tblCellMar>
        </w:tblPrEx>
        <w:trPr>
          <w:trHeight w:val="213"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9FB4857">
            <w:pPr>
              <w:keepNext w:val="0"/>
              <w:keepLines w:val="0"/>
              <w:pageBreakBefore w:val="0"/>
              <w:widowControl/>
              <w:kinsoku/>
              <w:wordWrap/>
              <w:overflowPunct/>
              <w:topLinePunct w:val="0"/>
              <w:autoSpaceDE/>
              <w:autoSpaceDN/>
              <w:bidi w:val="0"/>
              <w:adjustRightInd/>
              <w:snapToGrid/>
              <w:spacing w:line="400" w:lineRule="exact"/>
              <w:ind w:firstLineChars="125"/>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177A6112">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基站载频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运维</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595BF2F9">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运行监控、故障处理、设备保修。对基站天馈、PD780 终端、MD780 车载台、MD780 固定台的设备维护</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A4FD1DE">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470</w:t>
            </w:r>
            <w:r>
              <w:rPr>
                <w:rFonts w:hint="eastAsia" w:ascii="宋体" w:hAnsi="宋体" w:eastAsia="宋体" w:cs="宋体"/>
                <w:color w:val="000000" w:themeColor="text1"/>
                <w:kern w:val="0"/>
                <w:sz w:val="24"/>
                <w:szCs w:val="24"/>
                <w:highlight w:val="none"/>
                <w14:textFill>
                  <w14:solidFill>
                    <w14:schemeClr w14:val="tx1"/>
                  </w14:solidFill>
                </w14:textFill>
              </w:rPr>
              <w:t>元/月/套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5C3B6F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43</w:t>
            </w: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4679ACD">
            <w:pPr>
              <w:keepNext w:val="0"/>
              <w:keepLines w:val="0"/>
              <w:pageBreakBefore w:val="0"/>
              <w:widowControl/>
              <w:kinsoku/>
              <w:wordWrap/>
              <w:overflowPunct/>
              <w:topLinePunct w:val="0"/>
              <w:autoSpaceDE/>
              <w:autoSpaceDN/>
              <w:bidi w:val="0"/>
              <w:adjustRightInd/>
              <w:snapToGrid/>
              <w:spacing w:line="400" w:lineRule="exact"/>
              <w:ind w:firstLine="32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443DD2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202100</w:t>
            </w:r>
          </w:p>
        </w:tc>
      </w:tr>
      <w:tr w14:paraId="48B9060D">
        <w:tblPrEx>
          <w:tblCellMar>
            <w:top w:w="0" w:type="dxa"/>
            <w:left w:w="108" w:type="dxa"/>
            <w:bottom w:w="0" w:type="dxa"/>
            <w:right w:w="108" w:type="dxa"/>
          </w:tblCellMar>
        </w:tblPrEx>
        <w:trPr>
          <w:trHeight w:val="419"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08D6390">
            <w:pPr>
              <w:keepNext w:val="0"/>
              <w:keepLines w:val="0"/>
              <w:pageBreakBefore w:val="0"/>
              <w:widowControl/>
              <w:kinsoku/>
              <w:wordWrap/>
              <w:overflowPunct/>
              <w:topLinePunct w:val="0"/>
              <w:autoSpaceDE/>
              <w:autoSpaceDN/>
              <w:bidi w:val="0"/>
              <w:adjustRightInd/>
              <w:snapToGrid/>
              <w:spacing w:line="400" w:lineRule="exact"/>
              <w:ind w:firstLineChars="125"/>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17B1271A">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机房租赁</w:t>
            </w:r>
            <w:r>
              <w:rPr>
                <w:rFonts w:hint="eastAsia" w:ascii="宋体" w:hAnsi="宋体" w:eastAsia="宋体" w:cs="宋体"/>
                <w:color w:val="000000" w:themeColor="text1"/>
                <w:kern w:val="0"/>
                <w:sz w:val="24"/>
                <w:szCs w:val="24"/>
                <w:highlight w:val="none"/>
                <w14:textFill>
                  <w14:solidFill>
                    <w14:schemeClr w14:val="tx1"/>
                  </w14:solidFill>
                </w14:textFill>
              </w:rPr>
              <w:t>费</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586771E7">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5FAC20B">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200</w:t>
            </w:r>
            <w:r>
              <w:rPr>
                <w:rFonts w:hint="eastAsia" w:ascii="宋体" w:hAnsi="宋体" w:eastAsia="宋体" w:cs="宋体"/>
                <w:color w:val="000000" w:themeColor="text1"/>
                <w:kern w:val="0"/>
                <w:sz w:val="24"/>
                <w:szCs w:val="24"/>
                <w:highlight w:val="none"/>
                <w14:textFill>
                  <w14:solidFill>
                    <w14:schemeClr w14:val="tx1"/>
                  </w14:solidFill>
                </w14:textFill>
              </w:rPr>
              <w:t>元/个/月</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B90831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4EAB711">
            <w:pPr>
              <w:keepNext w:val="0"/>
              <w:keepLines w:val="0"/>
              <w:pageBreakBefore w:val="0"/>
              <w:widowControl/>
              <w:kinsoku/>
              <w:wordWrap/>
              <w:overflowPunct/>
              <w:topLinePunct w:val="0"/>
              <w:autoSpaceDE/>
              <w:autoSpaceDN/>
              <w:bidi w:val="0"/>
              <w:adjustRightInd/>
              <w:snapToGrid/>
              <w:spacing w:line="400" w:lineRule="exact"/>
              <w:ind w:firstLine="32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1981D3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20000</w:t>
            </w:r>
          </w:p>
        </w:tc>
      </w:tr>
      <w:tr w14:paraId="55F06599">
        <w:tblPrEx>
          <w:tblCellMar>
            <w:top w:w="0" w:type="dxa"/>
            <w:left w:w="108" w:type="dxa"/>
            <w:bottom w:w="0" w:type="dxa"/>
            <w:right w:w="108" w:type="dxa"/>
          </w:tblCellMar>
        </w:tblPrEx>
        <w:trPr>
          <w:trHeight w:val="419"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61E35B4">
            <w:pPr>
              <w:keepNext w:val="0"/>
              <w:keepLines w:val="0"/>
              <w:pageBreakBefore w:val="0"/>
              <w:widowControl/>
              <w:kinsoku/>
              <w:wordWrap/>
              <w:overflowPunct/>
              <w:topLinePunct w:val="0"/>
              <w:autoSpaceDE/>
              <w:autoSpaceDN/>
              <w:bidi w:val="0"/>
              <w:adjustRightInd/>
              <w:snapToGrid/>
              <w:spacing w:line="400" w:lineRule="exact"/>
              <w:ind w:firstLineChars="125"/>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15BC1BD0">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电路租用费</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78C37D9C">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D3AA29D">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700 元/条/月</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A52EF0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B2D3DBE">
            <w:pPr>
              <w:keepNext w:val="0"/>
              <w:keepLines w:val="0"/>
              <w:pageBreakBefore w:val="0"/>
              <w:widowControl/>
              <w:kinsoku/>
              <w:wordWrap/>
              <w:overflowPunct/>
              <w:topLinePunct w:val="0"/>
              <w:autoSpaceDE/>
              <w:autoSpaceDN/>
              <w:bidi w:val="0"/>
              <w:adjustRightInd/>
              <w:snapToGrid/>
              <w:spacing w:line="400" w:lineRule="exact"/>
              <w:ind w:firstLine="32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34BA1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84000</w:t>
            </w:r>
          </w:p>
        </w:tc>
      </w:tr>
      <w:tr w14:paraId="653E0E47">
        <w:tblPrEx>
          <w:tblCellMar>
            <w:top w:w="0" w:type="dxa"/>
            <w:left w:w="108" w:type="dxa"/>
            <w:bottom w:w="0" w:type="dxa"/>
            <w:right w:w="108" w:type="dxa"/>
          </w:tblCellMar>
        </w:tblPrEx>
        <w:trPr>
          <w:trHeight w:val="419"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F9721B3">
            <w:pPr>
              <w:keepNext w:val="0"/>
              <w:keepLines w:val="0"/>
              <w:pageBreakBefore w:val="0"/>
              <w:widowControl/>
              <w:kinsoku/>
              <w:wordWrap/>
              <w:overflowPunct/>
              <w:topLinePunct w:val="0"/>
              <w:autoSpaceDE/>
              <w:autoSpaceDN/>
              <w:bidi w:val="0"/>
              <w:adjustRightInd/>
              <w:snapToGrid/>
              <w:spacing w:line="400" w:lineRule="exact"/>
              <w:ind w:firstLineChars="125"/>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5DE817DF">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移动基站流量</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5D3FAAD5">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0814B3B">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2F0A66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2F2E22E">
            <w:pPr>
              <w:keepNext w:val="0"/>
              <w:keepLines w:val="0"/>
              <w:pageBreakBefore w:val="0"/>
              <w:widowControl/>
              <w:kinsoku/>
              <w:wordWrap/>
              <w:overflowPunct/>
              <w:topLinePunct w:val="0"/>
              <w:autoSpaceDE/>
              <w:autoSpaceDN/>
              <w:bidi w:val="0"/>
              <w:adjustRightInd/>
              <w:snapToGrid/>
              <w:spacing w:line="400" w:lineRule="exact"/>
              <w:ind w:firstLine="32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1C69BD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500</w:t>
            </w:r>
          </w:p>
        </w:tc>
      </w:tr>
      <w:tr w14:paraId="7D057B18">
        <w:tblPrEx>
          <w:tblCellMar>
            <w:top w:w="0" w:type="dxa"/>
            <w:left w:w="108" w:type="dxa"/>
            <w:bottom w:w="0" w:type="dxa"/>
            <w:right w:w="108" w:type="dxa"/>
          </w:tblCellMar>
        </w:tblPrEx>
        <w:trPr>
          <w:trHeight w:val="220" w:hRule="atLeast"/>
        </w:trPr>
        <w:tc>
          <w:tcPr>
            <w:tcW w:w="8331" w:type="dxa"/>
            <w:gridSpan w:val="6"/>
            <w:tcBorders>
              <w:top w:val="single" w:color="000000" w:sz="4" w:space="0"/>
              <w:left w:val="single" w:color="000000" w:sz="4" w:space="0"/>
              <w:bottom w:val="single" w:color="000000" w:sz="4" w:space="0"/>
              <w:right w:val="single" w:color="000000" w:sz="4" w:space="0"/>
            </w:tcBorders>
            <w:noWrap/>
            <w:vAlign w:val="center"/>
          </w:tcPr>
          <w:p w14:paraId="71E98B69">
            <w:pPr>
              <w:keepNext w:val="0"/>
              <w:keepLines w:val="0"/>
              <w:pageBreakBefore w:val="0"/>
              <w:widowControl/>
              <w:kinsoku/>
              <w:wordWrap/>
              <w:overflowPunct/>
              <w:topLinePunct w:val="0"/>
              <w:autoSpaceDE/>
              <w:autoSpaceDN/>
              <w:bidi w:val="0"/>
              <w:adjustRightInd/>
              <w:snapToGrid/>
              <w:spacing w:line="400" w:lineRule="exact"/>
              <w:ind w:firstLine="32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6ADD86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306</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00</w:t>
            </w:r>
          </w:p>
        </w:tc>
      </w:tr>
    </w:tbl>
    <w:p w14:paraId="442FC654">
      <w:pPr>
        <w:pStyle w:val="6"/>
        <w:pageBreakBefore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整体售后运维服务：</w:t>
      </w:r>
    </w:p>
    <w:p w14:paraId="7D3E2793">
      <w:pPr>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（一）售后服务保障原则</w:t>
      </w:r>
    </w:p>
    <w:p w14:paraId="04FA5664">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1.业务为中心</w:t>
      </w:r>
    </w:p>
    <w:p w14:paraId="4A61B809">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售后服务保障的最终目标是保证业务系统安全和可靠</w:t>
      </w:r>
      <w:r>
        <w:rPr>
          <w:rFonts w:hint="eastAsia" w:ascii="宋体" w:hAnsi="宋体" w:eastAsia="宋体" w:cs="宋体"/>
          <w:color w:val="000000" w:themeColor="text1"/>
          <w:sz w:val="24"/>
          <w:szCs w:val="24"/>
          <w:highlight w:val="none"/>
          <w:lang w:val="en-US" w:eastAsia="zh-CN"/>
          <w14:textFill>
            <w14:solidFill>
              <w14:schemeClr w14:val="tx1"/>
            </w14:solidFill>
          </w14:textFill>
        </w:rPr>
        <w:t>地</w:t>
      </w:r>
      <w:r>
        <w:rPr>
          <w:rFonts w:hint="eastAsia" w:ascii="宋体" w:hAnsi="宋体" w:eastAsia="宋体" w:cs="宋体"/>
          <w:color w:val="000000" w:themeColor="text1"/>
          <w:sz w:val="24"/>
          <w:szCs w:val="24"/>
          <w:highlight w:val="none"/>
          <w14:textFill>
            <w14:solidFill>
              <w14:schemeClr w14:val="tx1"/>
            </w14:solidFill>
          </w14:textFill>
        </w:rPr>
        <w:t>运行，包括系统的可靠运行和业务数据的安全保证，动用一切有效的手段措施，力求业务系统万无一失。</w:t>
      </w:r>
    </w:p>
    <w:p w14:paraId="57330AD9">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2.重要措施</w:t>
      </w:r>
    </w:p>
    <w:p w14:paraId="0C6EFF58">
      <w:pPr>
        <w:pageBreakBefore w:val="0"/>
        <w:numPr>
          <w:ilvl w:val="0"/>
          <w:numId w:val="0"/>
        </w:numPr>
        <w:kinsoku/>
        <w:wordWrap/>
        <w:overflowPunct/>
        <w:topLinePunct w:val="0"/>
        <w:autoSpaceDE/>
        <w:autoSpaceDN/>
        <w:bidi w:val="0"/>
        <w:adjustRightInd/>
        <w:snapToGrid/>
        <w:spacing w:line="400" w:lineRule="exact"/>
        <w:ind w:left="0" w:leftChars="0" w:firstLine="44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注重预防。</w:t>
      </w:r>
    </w:p>
    <w:p w14:paraId="2603F48C">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在传统的被动式运维保养服务的基础上提供主动式的运维保养服务，一起做好系统的监控维护工作。采取以预防为主的策略，把故障隐患消灭在萌芽中。</w:t>
      </w:r>
    </w:p>
    <w:p w14:paraId="4FAA476A">
      <w:pPr>
        <w:pageBreakBefore w:val="0"/>
        <w:numPr>
          <w:ilvl w:val="0"/>
          <w:numId w:val="0"/>
        </w:numPr>
        <w:kinsoku/>
        <w:wordWrap/>
        <w:overflowPunct/>
        <w:topLinePunct w:val="0"/>
        <w:autoSpaceDE/>
        <w:autoSpaceDN/>
        <w:bidi w:val="0"/>
        <w:adjustRightInd/>
        <w:snapToGrid/>
        <w:spacing w:line="400" w:lineRule="exact"/>
        <w:ind w:left="0" w:leftChars="0" w:firstLine="44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服务组织。</w:t>
      </w:r>
    </w:p>
    <w:p w14:paraId="23CE1494">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服务组织管理和流程管理是服务成功</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eastAsia="宋体" w:cs="宋体"/>
          <w:color w:val="000000" w:themeColor="text1"/>
          <w:sz w:val="24"/>
          <w:szCs w:val="24"/>
          <w:highlight w:val="none"/>
          <w14:textFill>
            <w14:solidFill>
              <w14:schemeClr w14:val="tx1"/>
            </w14:solidFill>
          </w14:textFill>
        </w:rPr>
        <w:t>关键。在驻场两名服务工程师，指挥技术、应用、商务及服务监督人员，在服务实施、售后的各个环节紧密配合。</w:t>
      </w:r>
    </w:p>
    <w:p w14:paraId="3CCA2190">
      <w:pPr>
        <w:pageBreakBefore w:val="0"/>
        <w:numPr>
          <w:ilvl w:val="0"/>
          <w:numId w:val="0"/>
        </w:numPr>
        <w:kinsoku/>
        <w:wordWrap/>
        <w:overflowPunct/>
        <w:topLinePunct w:val="0"/>
        <w:autoSpaceDE/>
        <w:autoSpaceDN/>
        <w:bidi w:val="0"/>
        <w:adjustRightInd/>
        <w:snapToGrid/>
        <w:spacing w:line="400" w:lineRule="exact"/>
        <w:ind w:left="44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追求最佳性价比</w:t>
      </w:r>
    </w:p>
    <w:p w14:paraId="3F8C968C">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服务的级别意味着成本，在保障高标准运维保养服务的前提下，努力通过精心组织、精心实施来降低成本，同时提供更多的增值服务。</w:t>
      </w:r>
    </w:p>
    <w:p w14:paraId="760AA6A3">
      <w:pPr>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7" w:name="_Toc9318"/>
      <w:bookmarkStart w:id="8" w:name="_Toc15030"/>
      <w:bookmarkStart w:id="9" w:name="_Toc84179296"/>
      <w:bookmarkStart w:id="10" w:name="_Toc13600"/>
      <w:bookmarkStart w:id="11" w:name="_Toc493984254"/>
      <w:bookmarkStart w:id="12" w:name="_Toc7919"/>
      <w:bookmarkStart w:id="13" w:name="_Toc27121"/>
      <w:bookmarkStart w:id="14" w:name="_Toc24105"/>
      <w:bookmarkStart w:id="15" w:name="_Toc4113"/>
      <w:bookmarkStart w:id="16" w:name="_Toc91660893"/>
      <w:bookmarkStart w:id="17" w:name="_Toc19820"/>
      <w:bookmarkStart w:id="18" w:name="_Toc30209"/>
      <w:bookmarkStart w:id="19" w:name="_Toc30763"/>
      <w:bookmarkStart w:id="20" w:name="_Toc15469"/>
      <w:bookmarkStart w:id="21" w:name="_Toc13685"/>
      <w:bookmarkStart w:id="22" w:name="_Toc143417484"/>
      <w:bookmarkStart w:id="23" w:name="_Toc25913"/>
      <w:bookmarkStart w:id="24" w:name="_Toc19579"/>
      <w:bookmarkStart w:id="25" w:name="_Toc25566"/>
      <w:bookmarkStart w:id="26" w:name="_Toc25626"/>
      <w:bookmarkStart w:id="27" w:name="_Toc10709"/>
      <w:bookmarkStart w:id="28" w:name="_Toc4749"/>
      <w:bookmarkStart w:id="29" w:name="_Toc6250"/>
      <w:bookmarkStart w:id="30" w:name="_Toc5253"/>
      <w:bookmarkStart w:id="31" w:name="_Toc493983395"/>
      <w:bookmarkStart w:id="32" w:name="_Toc12075"/>
      <w:bookmarkStart w:id="33" w:name="_Toc110878155"/>
      <w:bookmarkStart w:id="34" w:name="_Toc9329"/>
      <w:bookmarkStart w:id="35" w:name="_Toc1174"/>
      <w:bookmarkStart w:id="36" w:name="_Toc29559"/>
      <w:bookmarkStart w:id="37" w:name="_Toc185763542"/>
      <w:r>
        <w:rPr>
          <w:rFonts w:hint="eastAsia" w:ascii="宋体" w:hAnsi="宋体" w:eastAsia="宋体" w:cs="宋体"/>
          <w:b/>
          <w:bCs/>
          <w:color w:val="000000" w:themeColor="text1"/>
          <w:sz w:val="24"/>
          <w:szCs w:val="24"/>
          <w:highlight w:val="none"/>
          <w14:textFill>
            <w14:solidFill>
              <w14:schemeClr w14:val="tx1"/>
            </w14:solidFill>
          </w14:textFill>
        </w:rPr>
        <w:t>（二）售后服务保障内容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6EE6938">
      <w:pPr>
        <w:pageBreakBefore w:val="0"/>
        <w:numPr>
          <w:ilvl w:val="0"/>
          <w:numId w:val="0"/>
        </w:numPr>
        <w:kinsoku/>
        <w:wordWrap/>
        <w:overflowPunct/>
        <w:topLinePunct w:val="0"/>
        <w:autoSpaceDE/>
        <w:autoSpaceDN/>
        <w:bidi w:val="0"/>
        <w:adjustRightInd/>
        <w:snapToGrid/>
        <w:spacing w:line="400" w:lineRule="exact"/>
        <w:ind w:left="44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8" w:name="_Toc17053"/>
      <w:bookmarkStart w:id="39" w:name="_Toc22752"/>
      <w:bookmarkStart w:id="40" w:name="_Toc27841"/>
      <w:bookmarkStart w:id="41" w:name="_Toc3564"/>
      <w:bookmarkStart w:id="42" w:name="_Toc16011"/>
      <w:bookmarkStart w:id="43" w:name="_Toc28817"/>
      <w:bookmarkStart w:id="44" w:name="_Toc13744"/>
      <w:bookmarkStart w:id="45" w:name="_Toc2862"/>
      <w:bookmarkStart w:id="46" w:name="_Toc1722"/>
      <w:bookmarkStart w:id="47" w:name="_Toc20221"/>
      <w:bookmarkStart w:id="48" w:name="_Toc27454"/>
      <w:bookmarkStart w:id="49" w:name="_Toc23567"/>
      <w:bookmarkStart w:id="50" w:name="_Toc28348"/>
      <w:bookmarkStart w:id="51" w:name="_Toc29056"/>
      <w:bookmarkStart w:id="52" w:name="_Toc110878156"/>
      <w:bookmarkStart w:id="53" w:name="_Toc7596"/>
      <w:bookmarkStart w:id="54" w:name="_Toc185763543"/>
      <w:bookmarkStart w:id="55" w:name="_Toc29081"/>
      <w:bookmarkStart w:id="56" w:name="_Toc26398"/>
      <w:bookmarkStart w:id="57" w:name="_Toc6395"/>
      <w:bookmarkStart w:id="58" w:name="_Toc17882"/>
      <w:bookmarkStart w:id="59" w:name="_Toc31613"/>
      <w:bookmarkStart w:id="60" w:name="_Toc143417485"/>
      <w:bookmarkStart w:id="61" w:name="_Toc19570"/>
      <w:bookmarkStart w:id="62" w:name="_Toc26628"/>
      <w:bookmarkStart w:id="63" w:name="_Toc13038"/>
      <w:bookmarkStart w:id="64" w:name="_Toc1862"/>
      <w:r>
        <w:rPr>
          <w:rFonts w:hint="eastAsia" w:ascii="宋体" w:hAnsi="宋体" w:eastAsia="宋体" w:cs="宋体"/>
          <w:color w:val="000000" w:themeColor="text1"/>
          <w:sz w:val="24"/>
          <w:szCs w:val="24"/>
          <w:highlight w:val="none"/>
          <w14:textFill>
            <w14:solidFill>
              <w14:schemeClr w14:val="tx1"/>
            </w14:solidFill>
          </w14:textFill>
        </w:rPr>
        <w:t>故障</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ascii="宋体" w:hAnsi="宋体" w:eastAsia="宋体" w:cs="宋体"/>
          <w:color w:val="000000" w:themeColor="text1"/>
          <w:sz w:val="24"/>
          <w:szCs w:val="24"/>
          <w:highlight w:val="none"/>
          <w14:textFill>
            <w14:solidFill>
              <w14:schemeClr w14:val="tx1"/>
            </w14:solidFill>
          </w14:textFill>
        </w:rPr>
        <w:t>类处理</w:t>
      </w:r>
    </w:p>
    <w:p w14:paraId="1FC43117">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为进一步提升系统的运行维护质量，及时响应用户多样化的服务需求，提供7*24小时值守热线电话，统一提供系统应用相关问题的咨询及故障报修服务。</w:t>
      </w:r>
    </w:p>
    <w:p w14:paraId="47945EDD">
      <w:pPr>
        <w:pageBreakBefore w:val="0"/>
        <w:numPr>
          <w:ilvl w:val="0"/>
          <w:numId w:val="0"/>
        </w:numPr>
        <w:kinsoku/>
        <w:wordWrap/>
        <w:overflowPunct/>
        <w:topLinePunct w:val="0"/>
        <w:autoSpaceDE/>
        <w:autoSpaceDN/>
        <w:bidi w:val="0"/>
        <w:adjustRightInd/>
        <w:snapToGrid/>
        <w:spacing w:line="400" w:lineRule="exact"/>
        <w:ind w:left="44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专项任务保障</w:t>
      </w:r>
    </w:p>
    <w:p w14:paraId="3E48ACFF">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根据提出的保障需求，积极响应保障准备，输出专项任务保障方案，提供全程服务和技术支持。</w:t>
      </w:r>
    </w:p>
    <w:p w14:paraId="02D9220F">
      <w:pPr>
        <w:pageBreakBefore w:val="0"/>
        <w:numPr>
          <w:ilvl w:val="0"/>
          <w:numId w:val="0"/>
        </w:numPr>
        <w:kinsoku/>
        <w:wordWrap/>
        <w:overflowPunct/>
        <w:topLinePunct w:val="0"/>
        <w:autoSpaceDE/>
        <w:autoSpaceDN/>
        <w:bidi w:val="0"/>
        <w:adjustRightInd/>
        <w:snapToGrid/>
        <w:spacing w:line="400" w:lineRule="exact"/>
        <w:ind w:left="44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系统巡检</w:t>
      </w:r>
    </w:p>
    <w:p w14:paraId="7E49CF89">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期对系统进行预防性维护巡检，包括检查系统状态、设备清洁、系统备份，以及与客户工程师的技术交流，对系统设备的保养方式和注意要点进行详细讲解，达到相关人员能够自主使用和维护运维保养系统的目标。</w:t>
      </w:r>
    </w:p>
    <w:p w14:paraId="00DC9517">
      <w:pPr>
        <w:pageBreakBefore w:val="0"/>
        <w:numPr>
          <w:ilvl w:val="0"/>
          <w:numId w:val="0"/>
        </w:numPr>
        <w:kinsoku/>
        <w:wordWrap/>
        <w:overflowPunct/>
        <w:topLinePunct w:val="0"/>
        <w:autoSpaceDE/>
        <w:autoSpaceDN/>
        <w:bidi w:val="0"/>
        <w:adjustRightInd/>
        <w:snapToGrid/>
        <w:spacing w:line="400" w:lineRule="exact"/>
        <w:ind w:left="44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日常维保</w:t>
      </w:r>
    </w:p>
    <w:p w14:paraId="73466697">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加强对系统稳定性服务需求，提高系统运行维护管理工作效率，提升系统维护工作质量，驻场工程师实行7*24小时人员热线电话值守制度。</w:t>
      </w:r>
    </w:p>
    <w:p w14:paraId="573DF337">
      <w:pPr>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65" w:name="_Toc143417490"/>
      <w:bookmarkStart w:id="66" w:name="_Toc28457"/>
      <w:bookmarkStart w:id="67" w:name="_Toc84179304"/>
      <w:bookmarkStart w:id="68" w:name="_Toc9354"/>
      <w:bookmarkStart w:id="69" w:name="_Toc21702"/>
      <w:bookmarkStart w:id="70" w:name="_Toc66073812"/>
      <w:bookmarkStart w:id="71" w:name="_Toc25365"/>
      <w:bookmarkStart w:id="72" w:name="_Toc30299"/>
      <w:bookmarkStart w:id="73" w:name="_Toc25955"/>
      <w:bookmarkStart w:id="74" w:name="_Toc19445"/>
      <w:bookmarkStart w:id="75" w:name="_Toc110878161"/>
      <w:bookmarkStart w:id="76" w:name="_Toc493983396"/>
      <w:bookmarkStart w:id="77" w:name="_Toc28243"/>
      <w:bookmarkStart w:id="78" w:name="_Toc6934"/>
      <w:bookmarkStart w:id="79" w:name="_Toc27541"/>
      <w:bookmarkStart w:id="80" w:name="_Toc25290"/>
      <w:bookmarkStart w:id="81" w:name="_Toc7955"/>
      <w:bookmarkStart w:id="82" w:name="_Toc26802"/>
      <w:bookmarkStart w:id="83" w:name="_Toc12926"/>
      <w:bookmarkStart w:id="84" w:name="_Toc13440"/>
      <w:bookmarkStart w:id="85" w:name="_Toc2081"/>
      <w:bookmarkStart w:id="86" w:name="_Toc24530"/>
      <w:bookmarkStart w:id="87" w:name="_Toc10122"/>
      <w:bookmarkStart w:id="88" w:name="_Toc185763548"/>
      <w:bookmarkStart w:id="89" w:name="_Toc91660894"/>
      <w:bookmarkStart w:id="90" w:name="_Toc32757"/>
      <w:bookmarkStart w:id="91" w:name="_Toc10346"/>
      <w:bookmarkStart w:id="92" w:name="_Toc493984255"/>
      <w:bookmarkStart w:id="93" w:name="_Toc14353"/>
      <w:bookmarkStart w:id="94" w:name="_Toc5548"/>
      <w:bookmarkStart w:id="95" w:name="_Toc21647"/>
      <w:bookmarkStart w:id="96" w:name="_Toc24309"/>
      <w:r>
        <w:rPr>
          <w:rFonts w:hint="eastAsia" w:ascii="宋体" w:hAnsi="宋体" w:eastAsia="宋体" w:cs="宋体"/>
          <w:b/>
          <w:bCs/>
          <w:color w:val="000000" w:themeColor="text1"/>
          <w:sz w:val="24"/>
          <w:szCs w:val="24"/>
          <w:highlight w:val="none"/>
          <w14:textFill>
            <w14:solidFill>
              <w14:schemeClr w14:val="tx1"/>
            </w14:solidFill>
          </w14:textFill>
        </w:rPr>
        <w:t>（三）售后服务保障</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ascii="宋体" w:hAnsi="宋体" w:eastAsia="宋体" w:cs="宋体"/>
          <w:b/>
          <w:bCs/>
          <w:color w:val="000000" w:themeColor="text1"/>
          <w:sz w:val="24"/>
          <w:szCs w:val="24"/>
          <w:highlight w:val="none"/>
          <w14:textFill>
            <w14:solidFill>
              <w14:schemeClr w14:val="tx1"/>
            </w14:solidFill>
          </w14:textFill>
        </w:rPr>
        <w:t>措施</w:t>
      </w:r>
    </w:p>
    <w:p w14:paraId="23C9E072">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为了加强警用数字集群系统运行维护管理工作，提升系统维护工作质量，确保数字系统的正常运行，满足用户对数字系统及终端的应用需求，以最快的响应速度和最优的解决方案，提供优质的无线通信服务。</w:t>
      </w:r>
      <w:bookmarkStart w:id="97" w:name="_Toc11766"/>
      <w:bookmarkEnd w:id="97"/>
      <w:bookmarkStart w:id="98" w:name="_Toc15104"/>
      <w:bookmarkEnd w:id="98"/>
    </w:p>
    <w:p w14:paraId="53C3DAA9">
      <w:pPr>
        <w:pageBreakBefore w:val="0"/>
        <w:numPr>
          <w:ilvl w:val="0"/>
          <w:numId w:val="0"/>
        </w:numPr>
        <w:kinsoku/>
        <w:wordWrap/>
        <w:overflowPunct/>
        <w:topLinePunct w:val="0"/>
        <w:autoSpaceDE/>
        <w:autoSpaceDN/>
        <w:bidi w:val="0"/>
        <w:adjustRightInd/>
        <w:snapToGrid/>
        <w:spacing w:line="400" w:lineRule="exact"/>
        <w:ind w:left="44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9" w:name="_Toc423880606"/>
      <w:bookmarkEnd w:id="99"/>
      <w:bookmarkStart w:id="100" w:name="_Toc27707"/>
      <w:bookmarkEnd w:id="100"/>
      <w:bookmarkStart w:id="101" w:name="_Toc19347"/>
      <w:bookmarkEnd w:id="101"/>
      <w:bookmarkStart w:id="102" w:name="_Toc482015941"/>
      <w:r>
        <w:rPr>
          <w:rFonts w:hint="eastAsia" w:ascii="宋体" w:hAnsi="宋体" w:eastAsia="宋体" w:cs="宋体"/>
          <w:color w:val="000000" w:themeColor="text1"/>
          <w:sz w:val="24"/>
          <w:szCs w:val="24"/>
          <w:highlight w:val="none"/>
          <w14:textFill>
            <w14:solidFill>
              <w14:schemeClr w14:val="tx1"/>
            </w14:solidFill>
          </w14:textFill>
        </w:rPr>
        <w:t>组织架构</w:t>
      </w:r>
      <w:bookmarkEnd w:id="102"/>
      <w:r>
        <w:rPr>
          <w:rFonts w:hint="eastAsia" w:ascii="宋体" w:hAnsi="宋体" w:eastAsia="宋体" w:cs="宋体"/>
          <w:color w:val="000000" w:themeColor="text1"/>
          <w:sz w:val="24"/>
          <w:szCs w:val="24"/>
          <w:highlight w:val="none"/>
          <w14:textFill>
            <w14:solidFill>
              <w14:schemeClr w14:val="tx1"/>
            </w14:solidFill>
          </w14:textFill>
        </w:rPr>
        <w:t>阐述</w:t>
      </w:r>
    </w:p>
    <w:p w14:paraId="2420FB0B">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运维总监：</w:t>
      </w:r>
    </w:p>
    <w:p w14:paraId="2642CE93">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负责整个运维服务工作的运维统筹管理；</w:t>
      </w:r>
    </w:p>
    <w:p w14:paraId="21A57E06">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负责运维服务重大问题的协调决策；</w:t>
      </w:r>
    </w:p>
    <w:p w14:paraId="6F0CD53B">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负责A类重大问题紧急决策处理；</w:t>
      </w:r>
    </w:p>
    <w:p w14:paraId="38A26350">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运维经理：</w:t>
      </w:r>
    </w:p>
    <w:p w14:paraId="5BD3DE0C">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负责运维服务工作保障资源协调，人员调动安排；</w:t>
      </w:r>
    </w:p>
    <w:p w14:paraId="0821AFF2">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负责运维服务工作重大问题现场决策；</w:t>
      </w:r>
    </w:p>
    <w:p w14:paraId="3AF5735A">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负责运维团队人员运维服务工作的质量考评；</w:t>
      </w:r>
    </w:p>
    <w:p w14:paraId="642EEC45">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客户接口人：</w:t>
      </w:r>
    </w:p>
    <w:p w14:paraId="19371243">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负责重大安保及重大事件的协调，决策；</w:t>
      </w:r>
    </w:p>
    <w:p w14:paraId="7EEBA9DB">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与运维经理一同参与运维服务工作的建议与评估。</w:t>
      </w:r>
    </w:p>
    <w:p w14:paraId="64985542">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24小时热线服务：</w:t>
      </w:r>
    </w:p>
    <w:p w14:paraId="75597DBA">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负责向运维总监及时汇报重大事件，让运维总监及时决策；</w:t>
      </w:r>
    </w:p>
    <w:p w14:paraId="43725902">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负责数字警用系统故障报修热线的接线、派单工作；</w:t>
      </w:r>
    </w:p>
    <w:p w14:paraId="1950AD46">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负责客户日常提出的数字警用系统相关问题帮助和解答；</w:t>
      </w:r>
    </w:p>
    <w:p w14:paraId="2BE052E5">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负责故障的简单判断和定位；</w:t>
      </w:r>
    </w:p>
    <w:p w14:paraId="03B7E159">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负责收集日常运维服务日志，处理记录存档，客户回访；</w:t>
      </w:r>
    </w:p>
    <w:p w14:paraId="12F9901F">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专项任务保障组：</w:t>
      </w:r>
    </w:p>
    <w:p w14:paraId="61F88153">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负责专项任务保障现场系统的正常运行；</w:t>
      </w:r>
    </w:p>
    <w:p w14:paraId="18591DB4">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负责专项任务保障现场系统客户提出的数字警用系统相关问题的帮助和解答；</w:t>
      </w:r>
    </w:p>
    <w:p w14:paraId="4CD65E36">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负责专项任务保障工作的业务沟通及需求保障；</w:t>
      </w:r>
    </w:p>
    <w:p w14:paraId="51BEFB53">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系统运维组：</w:t>
      </w:r>
    </w:p>
    <w:p w14:paraId="47F88D68">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负责客户驻地机房值守；</w:t>
      </w:r>
    </w:p>
    <w:p w14:paraId="7D4063AC">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负责核心网、基站日常巡检、记录；</w:t>
      </w:r>
    </w:p>
    <w:p w14:paraId="0C16E6DA">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负责系统的各项故障处理；</w:t>
      </w:r>
    </w:p>
    <w:p w14:paraId="6E20D3FB">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负责解答客户关于数字警用系统相关问题及系统培训工作；</w:t>
      </w:r>
    </w:p>
    <w:p w14:paraId="259CA175">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系统巡检组：</w:t>
      </w:r>
    </w:p>
    <w:p w14:paraId="40B8BBE7">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负责数字警用集群系统的例行巡检、记录；</w:t>
      </w:r>
    </w:p>
    <w:p w14:paraId="641EE25F">
      <w:pPr>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（四）故障类处理</w:t>
      </w:r>
    </w:p>
    <w:p w14:paraId="3AC5196E">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为进一步提升系统的运行维护质量，及时响应多样化的服务需求，提供7*24小时值守热线电话，统一提供系统应用相关问题的咨询及故障报修服务。</w:t>
      </w:r>
    </w:p>
    <w:p w14:paraId="5A9284F8">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3" w:name="_Toc26318"/>
      <w:bookmarkEnd w:id="103"/>
      <w:bookmarkStart w:id="104" w:name="_Toc19198"/>
      <w:bookmarkEnd w:id="104"/>
      <w:bookmarkStart w:id="105" w:name="_Toc9823"/>
      <w:bookmarkEnd w:id="105"/>
      <w:bookmarkStart w:id="106" w:name="_Toc482015943"/>
      <w:r>
        <w:rPr>
          <w:rFonts w:hint="eastAsia" w:ascii="宋体" w:hAnsi="宋体" w:eastAsia="宋体" w:cs="宋体"/>
          <w:color w:val="000000" w:themeColor="text1"/>
          <w:sz w:val="24"/>
          <w:szCs w:val="24"/>
          <w:highlight w:val="none"/>
          <w14:textFill>
            <w14:solidFill>
              <w14:schemeClr w14:val="tx1"/>
            </w14:solidFill>
          </w14:textFill>
        </w:rPr>
        <w:t>故障处理工作原则</w:t>
      </w:r>
      <w:bookmarkEnd w:id="106"/>
    </w:p>
    <w:p w14:paraId="7DE87587">
      <w:pPr>
        <w:pageBreakBefore w:val="0"/>
        <w:numPr>
          <w:ilvl w:val="0"/>
          <w:numId w:val="15"/>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为了方便对系统相关问题的咨询和故障的处理，拟定以24小时热线服务的方式进行问题咨询和故障派单处理，并由值班工程师统一保存记录相关信息档案；</w:t>
      </w:r>
    </w:p>
    <w:p w14:paraId="5C85504E">
      <w:pPr>
        <w:pageBreakBefore w:val="0"/>
        <w:numPr>
          <w:ilvl w:val="0"/>
          <w:numId w:val="15"/>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现场响应为未经过派单的现场客户故障处理，需在处理完毕后将处理的问题记录反馈到运维经理处，由值班工程师统一保存记录。</w:t>
      </w:r>
    </w:p>
    <w:p w14:paraId="6C6D458C">
      <w:pPr>
        <w:pageBreakBefore w:val="0"/>
        <w:numPr>
          <w:ilvl w:val="0"/>
          <w:numId w:val="15"/>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接到系统故障工作单或电话通知后，运维服务人员在最短时间内到达故障现场，故障问题在</w:t>
      </w:r>
      <w:r>
        <w:rPr>
          <w:rFonts w:hint="eastAsia" w:ascii="宋体" w:hAnsi="宋体" w:eastAsia="宋体" w:cs="宋体"/>
          <w:color w:val="000000" w:themeColor="text1"/>
          <w:sz w:val="24"/>
          <w:szCs w:val="24"/>
          <w:highlight w:val="none"/>
          <w:u w:val="single"/>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小时内完成处理。</w:t>
      </w:r>
    </w:p>
    <w:p w14:paraId="12B925A6">
      <w:pPr>
        <w:pageBreakBefore w:val="0"/>
        <w:numPr>
          <w:ilvl w:val="0"/>
          <w:numId w:val="15"/>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日常备勤工作，提供备勤人员（含紧急故障处理备件），7*24小时及时响应故障抢修需求。</w:t>
      </w:r>
      <w:bookmarkStart w:id="107" w:name="_Toc8096"/>
      <w:bookmarkEnd w:id="107"/>
    </w:p>
    <w:p w14:paraId="7DD44AE5">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8" w:name="_Toc482015944"/>
      <w:r>
        <w:rPr>
          <w:rFonts w:hint="eastAsia" w:ascii="宋体" w:hAnsi="宋体" w:eastAsia="宋体" w:cs="宋体"/>
          <w:color w:val="000000" w:themeColor="text1"/>
          <w:sz w:val="24"/>
          <w:szCs w:val="24"/>
          <w:highlight w:val="none"/>
          <w14:textFill>
            <w14:solidFill>
              <w14:schemeClr w14:val="tx1"/>
            </w14:solidFill>
          </w14:textFill>
        </w:rPr>
        <w:t>故障处理分级制度</w:t>
      </w:r>
      <w:bookmarkEnd w:id="108"/>
    </w:p>
    <w:p w14:paraId="6253EF7E">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按照事件的性质、严重程度、可控性和影响范围等因素将事件分为四级：I级（特别重大）、Ⅱ级（重大）、III级（较大）和</w:t>
      </w:r>
      <w:r>
        <w:rPr>
          <w:rFonts w:hint="eastAsia" w:ascii="宋体" w:hAnsi="宋体" w:eastAsia="宋体" w:cs="宋体"/>
          <w:color w:val="000000" w:themeColor="text1"/>
          <w:sz w:val="24"/>
          <w:szCs w:val="24"/>
          <w:highlight w:val="none"/>
          <w:lang w:eastAsia="zh-CN"/>
          <w14:textFill>
            <w14:solidFill>
              <w14:schemeClr w14:val="tx1"/>
            </w14:solidFill>
          </w14:textFill>
        </w:rPr>
        <w:t>Ⅳ</w:t>
      </w:r>
      <w:r>
        <w:rPr>
          <w:rFonts w:hint="eastAsia" w:ascii="宋体" w:hAnsi="宋体" w:eastAsia="宋体" w:cs="宋体"/>
          <w:color w:val="000000" w:themeColor="text1"/>
          <w:sz w:val="24"/>
          <w:szCs w:val="24"/>
          <w:highlight w:val="none"/>
          <w14:textFill>
            <w14:solidFill>
              <w14:schemeClr w14:val="tx1"/>
            </w14:solidFill>
          </w14:textFill>
        </w:rPr>
        <w:t>级（一般）。PDT数字集群系统技术类突发事件的分级标准如下：</w:t>
      </w:r>
    </w:p>
    <w:tbl>
      <w:tblPr>
        <w:tblStyle w:val="35"/>
        <w:tblW w:w="9938" w:type="dxa"/>
        <w:jc w:val="center"/>
        <w:tblLayout w:type="fixed"/>
        <w:tblCellMar>
          <w:top w:w="0" w:type="dxa"/>
          <w:left w:w="108" w:type="dxa"/>
          <w:bottom w:w="0" w:type="dxa"/>
          <w:right w:w="108" w:type="dxa"/>
        </w:tblCellMar>
      </w:tblPr>
      <w:tblGrid>
        <w:gridCol w:w="1294"/>
        <w:gridCol w:w="3906"/>
        <w:gridCol w:w="4738"/>
      </w:tblGrid>
      <w:tr w14:paraId="02D91F20">
        <w:tblPrEx>
          <w:tblCellMar>
            <w:top w:w="0" w:type="dxa"/>
            <w:left w:w="108" w:type="dxa"/>
            <w:bottom w:w="0" w:type="dxa"/>
            <w:right w:w="108" w:type="dxa"/>
          </w:tblCellMar>
        </w:tblPrEx>
        <w:trPr>
          <w:trHeight w:val="154" w:hRule="atLeast"/>
          <w:jc w:val="center"/>
        </w:trPr>
        <w:tc>
          <w:tcPr>
            <w:tcW w:w="129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14:paraId="7EFC0EDA">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事件级别</w:t>
            </w:r>
          </w:p>
        </w:tc>
        <w:tc>
          <w:tcPr>
            <w:tcW w:w="3906" w:type="dxa"/>
            <w:tcBorders>
              <w:top w:val="single" w:color="auto" w:sz="4" w:space="0"/>
              <w:left w:val="nil"/>
              <w:bottom w:val="single" w:color="auto" w:sz="4" w:space="0"/>
              <w:right w:val="single" w:color="auto" w:sz="4" w:space="0"/>
            </w:tcBorders>
            <w:shd w:val="clear" w:color="auto" w:fill="C0C0C0"/>
            <w:noWrap w:val="0"/>
            <w:vAlign w:val="center"/>
          </w:tcPr>
          <w:p w14:paraId="51B9148B">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影响程度</w:t>
            </w:r>
          </w:p>
        </w:tc>
        <w:tc>
          <w:tcPr>
            <w:tcW w:w="4738" w:type="dxa"/>
            <w:tcBorders>
              <w:top w:val="single" w:color="auto" w:sz="4" w:space="0"/>
              <w:left w:val="nil"/>
              <w:bottom w:val="single" w:color="auto" w:sz="4" w:space="0"/>
              <w:right w:val="single" w:color="auto" w:sz="4" w:space="0"/>
            </w:tcBorders>
            <w:shd w:val="clear" w:color="auto" w:fill="C0C0C0"/>
            <w:noWrap w:val="0"/>
            <w:vAlign w:val="center"/>
          </w:tcPr>
          <w:p w14:paraId="75A1B030">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说明</w:t>
            </w:r>
          </w:p>
        </w:tc>
      </w:tr>
      <w:tr w14:paraId="2D0325C3">
        <w:tblPrEx>
          <w:tblCellMar>
            <w:top w:w="0" w:type="dxa"/>
            <w:left w:w="108" w:type="dxa"/>
            <w:bottom w:w="0" w:type="dxa"/>
            <w:right w:w="108" w:type="dxa"/>
          </w:tblCellMar>
        </w:tblPrEx>
        <w:trPr>
          <w:trHeight w:val="154" w:hRule="atLeast"/>
          <w:jc w:val="center"/>
        </w:trPr>
        <w:tc>
          <w:tcPr>
            <w:tcW w:w="1294" w:type="dxa"/>
            <w:vMerge w:val="restart"/>
            <w:tcBorders>
              <w:top w:val="nil"/>
              <w:left w:val="single" w:color="auto" w:sz="4" w:space="0"/>
              <w:bottom w:val="single" w:color="auto" w:sz="4" w:space="0"/>
              <w:right w:val="single" w:color="auto" w:sz="4" w:space="0"/>
            </w:tcBorders>
            <w:noWrap w:val="0"/>
            <w:vAlign w:val="center"/>
          </w:tcPr>
          <w:p w14:paraId="7EEF0F0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一级</w:t>
            </w:r>
          </w:p>
        </w:tc>
        <w:tc>
          <w:tcPr>
            <w:tcW w:w="3906" w:type="dxa"/>
            <w:vMerge w:val="restart"/>
            <w:tcBorders>
              <w:top w:val="nil"/>
              <w:left w:val="nil"/>
              <w:bottom w:val="single" w:color="auto" w:sz="4" w:space="0"/>
              <w:right w:val="single" w:color="auto" w:sz="4" w:space="0"/>
            </w:tcBorders>
            <w:noWrap w:val="0"/>
            <w:vAlign w:val="center"/>
          </w:tcPr>
          <w:p w14:paraId="7F17662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某关键系统运行不正常，影响现场或大量用户的使用；用于现场或技术运行的某至关重要的应用发生故障或存在威胁公共安全的情况。</w:t>
            </w:r>
          </w:p>
        </w:tc>
        <w:tc>
          <w:tcPr>
            <w:tcW w:w="4738" w:type="dxa"/>
            <w:tcBorders>
              <w:top w:val="nil"/>
              <w:left w:val="nil"/>
              <w:bottom w:val="single" w:color="auto" w:sz="4" w:space="0"/>
              <w:right w:val="single" w:color="auto" w:sz="4" w:space="0"/>
            </w:tcBorders>
            <w:noWrap w:val="0"/>
            <w:vAlign w:val="center"/>
          </w:tcPr>
          <w:p w14:paraId="2C890204">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大量用户的使用受到影响；</w:t>
            </w:r>
          </w:p>
        </w:tc>
      </w:tr>
      <w:tr w14:paraId="7C26EB24">
        <w:tblPrEx>
          <w:tblCellMar>
            <w:top w:w="0" w:type="dxa"/>
            <w:left w:w="108" w:type="dxa"/>
            <w:bottom w:w="0" w:type="dxa"/>
            <w:right w:w="108" w:type="dxa"/>
          </w:tblCellMar>
        </w:tblPrEx>
        <w:trPr>
          <w:trHeight w:val="154" w:hRule="atLeast"/>
          <w:jc w:val="center"/>
        </w:trPr>
        <w:tc>
          <w:tcPr>
            <w:tcW w:w="1294" w:type="dxa"/>
            <w:vMerge w:val="continue"/>
            <w:tcBorders>
              <w:top w:val="nil"/>
              <w:left w:val="single" w:color="auto" w:sz="4" w:space="0"/>
              <w:bottom w:val="single" w:color="auto" w:sz="4" w:space="0"/>
              <w:right w:val="single" w:color="auto" w:sz="4" w:space="0"/>
            </w:tcBorders>
            <w:noWrap w:val="0"/>
            <w:vAlign w:val="center"/>
          </w:tcPr>
          <w:p w14:paraId="70B0BF29">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906" w:type="dxa"/>
            <w:vMerge w:val="continue"/>
            <w:tcBorders>
              <w:top w:val="nil"/>
              <w:left w:val="nil"/>
              <w:bottom w:val="single" w:color="auto" w:sz="4" w:space="0"/>
              <w:right w:val="single" w:color="auto" w:sz="4" w:space="0"/>
            </w:tcBorders>
            <w:noWrap w:val="0"/>
            <w:vAlign w:val="center"/>
          </w:tcPr>
          <w:p w14:paraId="4E41D34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38" w:type="dxa"/>
            <w:tcBorders>
              <w:top w:val="nil"/>
              <w:left w:val="nil"/>
              <w:bottom w:val="single" w:color="auto" w:sz="4" w:space="0"/>
              <w:right w:val="single" w:color="auto" w:sz="4" w:space="0"/>
            </w:tcBorders>
            <w:noWrap w:val="0"/>
            <w:vAlign w:val="center"/>
          </w:tcPr>
          <w:p w14:paraId="0CBEEE1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关键应用发生故障，现场无法指挥调度；</w:t>
            </w:r>
          </w:p>
        </w:tc>
      </w:tr>
      <w:tr w14:paraId="0D6055CD">
        <w:tblPrEx>
          <w:tblCellMar>
            <w:top w:w="0" w:type="dxa"/>
            <w:left w:w="108" w:type="dxa"/>
            <w:bottom w:w="0" w:type="dxa"/>
            <w:right w:w="108" w:type="dxa"/>
          </w:tblCellMar>
        </w:tblPrEx>
        <w:trPr>
          <w:trHeight w:val="296" w:hRule="atLeast"/>
          <w:jc w:val="center"/>
        </w:trPr>
        <w:tc>
          <w:tcPr>
            <w:tcW w:w="1294" w:type="dxa"/>
            <w:vMerge w:val="continue"/>
            <w:tcBorders>
              <w:top w:val="nil"/>
              <w:left w:val="single" w:color="auto" w:sz="4" w:space="0"/>
              <w:bottom w:val="single" w:color="auto" w:sz="4" w:space="0"/>
              <w:right w:val="single" w:color="auto" w:sz="4" w:space="0"/>
            </w:tcBorders>
            <w:noWrap w:val="0"/>
            <w:vAlign w:val="center"/>
          </w:tcPr>
          <w:p w14:paraId="72FD4E5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906" w:type="dxa"/>
            <w:vMerge w:val="continue"/>
            <w:tcBorders>
              <w:top w:val="nil"/>
              <w:left w:val="nil"/>
              <w:bottom w:val="single" w:color="auto" w:sz="4" w:space="0"/>
              <w:right w:val="single" w:color="auto" w:sz="4" w:space="0"/>
            </w:tcBorders>
            <w:noWrap w:val="0"/>
            <w:vAlign w:val="center"/>
          </w:tcPr>
          <w:p w14:paraId="6179435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38" w:type="dxa"/>
            <w:tcBorders>
              <w:top w:val="nil"/>
              <w:left w:val="nil"/>
              <w:bottom w:val="single" w:color="auto" w:sz="4" w:space="0"/>
              <w:right w:val="single" w:color="auto" w:sz="4" w:space="0"/>
            </w:tcBorders>
            <w:noWrap w:val="0"/>
            <w:vAlign w:val="center"/>
          </w:tcPr>
          <w:p w14:paraId="5228ECD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核心服务完全瘫痪，影响所有用户的使用；</w:t>
            </w:r>
          </w:p>
        </w:tc>
      </w:tr>
      <w:tr w14:paraId="20F5575A">
        <w:tblPrEx>
          <w:tblCellMar>
            <w:top w:w="0" w:type="dxa"/>
            <w:left w:w="108" w:type="dxa"/>
            <w:bottom w:w="0" w:type="dxa"/>
            <w:right w:w="108" w:type="dxa"/>
          </w:tblCellMar>
        </w:tblPrEx>
        <w:trPr>
          <w:trHeight w:val="154" w:hRule="atLeast"/>
          <w:jc w:val="center"/>
        </w:trPr>
        <w:tc>
          <w:tcPr>
            <w:tcW w:w="1294" w:type="dxa"/>
            <w:vMerge w:val="restart"/>
            <w:tcBorders>
              <w:top w:val="nil"/>
              <w:left w:val="single" w:color="auto" w:sz="4" w:space="0"/>
              <w:bottom w:val="single" w:color="auto" w:sz="4" w:space="0"/>
              <w:right w:val="single" w:color="auto" w:sz="4" w:space="0"/>
            </w:tcBorders>
            <w:noWrap w:val="0"/>
            <w:vAlign w:val="center"/>
          </w:tcPr>
          <w:p w14:paraId="3722F8C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二级</w:t>
            </w:r>
          </w:p>
        </w:tc>
        <w:tc>
          <w:tcPr>
            <w:tcW w:w="3906" w:type="dxa"/>
            <w:vMerge w:val="restart"/>
            <w:tcBorders>
              <w:top w:val="nil"/>
              <w:left w:val="nil"/>
              <w:bottom w:val="single" w:color="auto" w:sz="4" w:space="0"/>
              <w:right w:val="single" w:color="auto" w:sz="4" w:space="0"/>
            </w:tcBorders>
            <w:noWrap w:val="0"/>
            <w:vAlign w:val="center"/>
          </w:tcPr>
          <w:p w14:paraId="2AAB084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关键系统运行面临风险，当前并没有发生故障或产生影响，一旦发生，可能会影响大量用户使用；</w:t>
            </w:r>
          </w:p>
          <w:p w14:paraId="4127055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或者某系统存在故障，但此故障不是至关重要或已采取临时解决措施。</w:t>
            </w:r>
          </w:p>
        </w:tc>
        <w:tc>
          <w:tcPr>
            <w:tcW w:w="4738" w:type="dxa"/>
            <w:tcBorders>
              <w:top w:val="nil"/>
              <w:left w:val="nil"/>
              <w:bottom w:val="single" w:color="auto" w:sz="4" w:space="0"/>
              <w:right w:val="single" w:color="auto" w:sz="4" w:space="0"/>
            </w:tcBorders>
            <w:noWrap w:val="0"/>
            <w:vAlign w:val="center"/>
          </w:tcPr>
          <w:p w14:paraId="301C0DF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系统存在风险，但是当前没有产生影响；</w:t>
            </w:r>
          </w:p>
        </w:tc>
      </w:tr>
      <w:tr w14:paraId="2F6AC214">
        <w:tblPrEx>
          <w:tblCellMar>
            <w:top w:w="0" w:type="dxa"/>
            <w:left w:w="108" w:type="dxa"/>
            <w:bottom w:w="0" w:type="dxa"/>
            <w:right w:w="108" w:type="dxa"/>
          </w:tblCellMar>
        </w:tblPrEx>
        <w:trPr>
          <w:trHeight w:val="304" w:hRule="atLeast"/>
          <w:jc w:val="center"/>
        </w:trPr>
        <w:tc>
          <w:tcPr>
            <w:tcW w:w="1294" w:type="dxa"/>
            <w:vMerge w:val="continue"/>
            <w:tcBorders>
              <w:top w:val="nil"/>
              <w:left w:val="single" w:color="auto" w:sz="4" w:space="0"/>
              <w:bottom w:val="single" w:color="auto" w:sz="4" w:space="0"/>
              <w:right w:val="single" w:color="auto" w:sz="4" w:space="0"/>
            </w:tcBorders>
            <w:noWrap w:val="0"/>
            <w:vAlign w:val="center"/>
          </w:tcPr>
          <w:p w14:paraId="689C4580">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906" w:type="dxa"/>
            <w:vMerge w:val="continue"/>
            <w:tcBorders>
              <w:top w:val="nil"/>
              <w:left w:val="nil"/>
              <w:bottom w:val="single" w:color="auto" w:sz="4" w:space="0"/>
              <w:right w:val="single" w:color="auto" w:sz="4" w:space="0"/>
            </w:tcBorders>
            <w:noWrap w:val="0"/>
            <w:vAlign w:val="center"/>
          </w:tcPr>
          <w:p w14:paraId="1D25F722">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38" w:type="dxa"/>
            <w:tcBorders>
              <w:top w:val="nil"/>
              <w:left w:val="nil"/>
              <w:bottom w:val="single" w:color="auto" w:sz="4" w:space="0"/>
              <w:right w:val="single" w:color="auto" w:sz="4" w:space="0"/>
            </w:tcBorders>
            <w:noWrap w:val="0"/>
            <w:vAlign w:val="center"/>
          </w:tcPr>
          <w:p w14:paraId="7BC77119">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核心服务中存在问题，大于20%的用户使用受到影响；</w:t>
            </w:r>
          </w:p>
        </w:tc>
      </w:tr>
      <w:tr w14:paraId="554A5BEA">
        <w:tblPrEx>
          <w:tblCellMar>
            <w:top w:w="0" w:type="dxa"/>
            <w:left w:w="108" w:type="dxa"/>
            <w:bottom w:w="0" w:type="dxa"/>
            <w:right w:w="108" w:type="dxa"/>
          </w:tblCellMar>
        </w:tblPrEx>
        <w:trPr>
          <w:trHeight w:val="287" w:hRule="atLeast"/>
          <w:jc w:val="center"/>
        </w:trPr>
        <w:tc>
          <w:tcPr>
            <w:tcW w:w="1294" w:type="dxa"/>
            <w:vMerge w:val="continue"/>
            <w:tcBorders>
              <w:top w:val="nil"/>
              <w:left w:val="single" w:color="auto" w:sz="4" w:space="0"/>
              <w:bottom w:val="single" w:color="auto" w:sz="4" w:space="0"/>
              <w:right w:val="single" w:color="auto" w:sz="4" w:space="0"/>
            </w:tcBorders>
            <w:noWrap w:val="0"/>
            <w:vAlign w:val="center"/>
          </w:tcPr>
          <w:p w14:paraId="4C6BB2B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906" w:type="dxa"/>
            <w:vMerge w:val="continue"/>
            <w:tcBorders>
              <w:top w:val="nil"/>
              <w:left w:val="nil"/>
              <w:bottom w:val="single" w:color="auto" w:sz="4" w:space="0"/>
              <w:right w:val="single" w:color="auto" w:sz="4" w:space="0"/>
            </w:tcBorders>
            <w:noWrap w:val="0"/>
            <w:vAlign w:val="center"/>
          </w:tcPr>
          <w:p w14:paraId="7C6D1C6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38" w:type="dxa"/>
            <w:tcBorders>
              <w:top w:val="nil"/>
              <w:left w:val="nil"/>
              <w:bottom w:val="single" w:color="auto" w:sz="4" w:space="0"/>
              <w:right w:val="single" w:color="auto" w:sz="4" w:space="0"/>
            </w:tcBorders>
            <w:noWrap w:val="0"/>
            <w:vAlign w:val="center"/>
          </w:tcPr>
          <w:p w14:paraId="71A39F3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关键应用存在问题，但是目前系统仍在运行中；</w:t>
            </w:r>
          </w:p>
        </w:tc>
      </w:tr>
      <w:tr w14:paraId="62EE6594">
        <w:tblPrEx>
          <w:tblCellMar>
            <w:top w:w="0" w:type="dxa"/>
            <w:left w:w="108" w:type="dxa"/>
            <w:bottom w:w="0" w:type="dxa"/>
            <w:right w:w="108" w:type="dxa"/>
          </w:tblCellMar>
        </w:tblPrEx>
        <w:trPr>
          <w:trHeight w:val="258" w:hRule="atLeast"/>
          <w:jc w:val="center"/>
        </w:trPr>
        <w:tc>
          <w:tcPr>
            <w:tcW w:w="1294" w:type="dxa"/>
            <w:vMerge w:val="continue"/>
            <w:tcBorders>
              <w:top w:val="nil"/>
              <w:left w:val="single" w:color="auto" w:sz="4" w:space="0"/>
              <w:bottom w:val="single" w:color="auto" w:sz="4" w:space="0"/>
              <w:right w:val="single" w:color="auto" w:sz="4" w:space="0"/>
            </w:tcBorders>
            <w:noWrap w:val="0"/>
            <w:vAlign w:val="center"/>
          </w:tcPr>
          <w:p w14:paraId="3C29E6A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906" w:type="dxa"/>
            <w:vMerge w:val="continue"/>
            <w:tcBorders>
              <w:top w:val="nil"/>
              <w:left w:val="nil"/>
              <w:bottom w:val="single" w:color="auto" w:sz="4" w:space="0"/>
              <w:right w:val="single" w:color="auto" w:sz="4" w:space="0"/>
            </w:tcBorders>
            <w:noWrap w:val="0"/>
            <w:vAlign w:val="center"/>
          </w:tcPr>
          <w:p w14:paraId="3381C1B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38" w:type="dxa"/>
            <w:tcBorders>
              <w:top w:val="nil"/>
              <w:left w:val="nil"/>
              <w:bottom w:val="single" w:color="auto" w:sz="4" w:space="0"/>
              <w:right w:val="single" w:color="auto" w:sz="4" w:space="0"/>
            </w:tcBorders>
            <w:noWrap w:val="0"/>
            <w:vAlign w:val="center"/>
          </w:tcPr>
          <w:p w14:paraId="5F585F1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存在潜在的威胁公共安全的因素；</w:t>
            </w:r>
          </w:p>
        </w:tc>
      </w:tr>
      <w:tr w14:paraId="5B2C3C8B">
        <w:tblPrEx>
          <w:tblCellMar>
            <w:top w:w="0" w:type="dxa"/>
            <w:left w:w="108" w:type="dxa"/>
            <w:bottom w:w="0" w:type="dxa"/>
            <w:right w:w="108" w:type="dxa"/>
          </w:tblCellMar>
        </w:tblPrEx>
        <w:trPr>
          <w:trHeight w:val="304" w:hRule="atLeast"/>
          <w:jc w:val="center"/>
        </w:trPr>
        <w:tc>
          <w:tcPr>
            <w:tcW w:w="1294" w:type="dxa"/>
            <w:vMerge w:val="restart"/>
            <w:tcBorders>
              <w:top w:val="nil"/>
              <w:left w:val="single" w:color="auto" w:sz="4" w:space="0"/>
              <w:bottom w:val="single" w:color="auto" w:sz="4" w:space="0"/>
              <w:right w:val="single" w:color="auto" w:sz="4" w:space="0"/>
            </w:tcBorders>
            <w:noWrap w:val="0"/>
            <w:vAlign w:val="center"/>
          </w:tcPr>
          <w:p w14:paraId="53D8BF39">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三级</w:t>
            </w:r>
          </w:p>
        </w:tc>
        <w:tc>
          <w:tcPr>
            <w:tcW w:w="3906" w:type="dxa"/>
            <w:vMerge w:val="restart"/>
            <w:tcBorders>
              <w:top w:val="nil"/>
              <w:left w:val="nil"/>
              <w:bottom w:val="single" w:color="auto" w:sz="4" w:space="0"/>
              <w:right w:val="single" w:color="auto" w:sz="4" w:space="0"/>
            </w:tcBorders>
            <w:noWrap w:val="0"/>
            <w:vAlign w:val="center"/>
          </w:tcPr>
          <w:p w14:paraId="6C7E2CC9">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某系统中的某一部分运行不正常或存在问题，但不影响正常使用，需要及时调整和解决。</w:t>
            </w:r>
          </w:p>
        </w:tc>
        <w:tc>
          <w:tcPr>
            <w:tcW w:w="4738" w:type="dxa"/>
            <w:tcBorders>
              <w:top w:val="nil"/>
              <w:left w:val="nil"/>
              <w:bottom w:val="single" w:color="auto" w:sz="4" w:space="0"/>
              <w:right w:val="single" w:color="auto" w:sz="4" w:space="0"/>
            </w:tcBorders>
            <w:noWrap w:val="0"/>
            <w:vAlign w:val="center"/>
          </w:tcPr>
          <w:p w14:paraId="7EC8647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某系统中的某一部分存在问题，此问题不影响系统的进行，但是需要进行调整和解决；</w:t>
            </w:r>
          </w:p>
        </w:tc>
      </w:tr>
      <w:tr w14:paraId="5B2D3073">
        <w:tblPrEx>
          <w:tblCellMar>
            <w:top w:w="0" w:type="dxa"/>
            <w:left w:w="108" w:type="dxa"/>
            <w:bottom w:w="0" w:type="dxa"/>
            <w:right w:w="108" w:type="dxa"/>
          </w:tblCellMar>
        </w:tblPrEx>
        <w:trPr>
          <w:trHeight w:val="287" w:hRule="atLeast"/>
          <w:jc w:val="center"/>
        </w:trPr>
        <w:tc>
          <w:tcPr>
            <w:tcW w:w="1294" w:type="dxa"/>
            <w:vMerge w:val="continue"/>
            <w:tcBorders>
              <w:top w:val="nil"/>
              <w:left w:val="single" w:color="auto" w:sz="4" w:space="0"/>
              <w:bottom w:val="single" w:color="auto" w:sz="4" w:space="0"/>
              <w:right w:val="single" w:color="auto" w:sz="4" w:space="0"/>
            </w:tcBorders>
            <w:noWrap w:val="0"/>
            <w:vAlign w:val="center"/>
          </w:tcPr>
          <w:p w14:paraId="2090A35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906" w:type="dxa"/>
            <w:vMerge w:val="continue"/>
            <w:tcBorders>
              <w:top w:val="nil"/>
              <w:left w:val="nil"/>
              <w:bottom w:val="single" w:color="auto" w:sz="4" w:space="0"/>
              <w:right w:val="single" w:color="auto" w:sz="4" w:space="0"/>
            </w:tcBorders>
            <w:noWrap w:val="0"/>
            <w:vAlign w:val="center"/>
          </w:tcPr>
          <w:p w14:paraId="7B3C68B0">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38" w:type="dxa"/>
            <w:tcBorders>
              <w:top w:val="nil"/>
              <w:left w:val="nil"/>
              <w:bottom w:val="single" w:color="auto" w:sz="4" w:space="0"/>
              <w:right w:val="single" w:color="auto" w:sz="4" w:space="0"/>
            </w:tcBorders>
            <w:noWrap w:val="0"/>
            <w:vAlign w:val="center"/>
          </w:tcPr>
          <w:p w14:paraId="380F879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20%以下用户使用受到影响，工作无法继续。</w:t>
            </w:r>
          </w:p>
        </w:tc>
      </w:tr>
      <w:tr w14:paraId="03DB3FCF">
        <w:tblPrEx>
          <w:tblCellMar>
            <w:top w:w="0" w:type="dxa"/>
            <w:left w:w="108" w:type="dxa"/>
            <w:bottom w:w="0" w:type="dxa"/>
            <w:right w:w="108" w:type="dxa"/>
          </w:tblCellMar>
        </w:tblPrEx>
        <w:trPr>
          <w:trHeight w:val="308" w:hRule="atLeast"/>
          <w:jc w:val="center"/>
        </w:trPr>
        <w:tc>
          <w:tcPr>
            <w:tcW w:w="1294" w:type="dxa"/>
            <w:tcBorders>
              <w:top w:val="nil"/>
              <w:left w:val="single" w:color="auto" w:sz="4" w:space="0"/>
              <w:bottom w:val="single" w:color="auto" w:sz="4" w:space="0"/>
              <w:right w:val="single" w:color="auto" w:sz="4" w:space="0"/>
            </w:tcBorders>
            <w:noWrap w:val="0"/>
            <w:vAlign w:val="center"/>
          </w:tcPr>
          <w:p w14:paraId="3A43BCA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四级</w:t>
            </w:r>
          </w:p>
        </w:tc>
        <w:tc>
          <w:tcPr>
            <w:tcW w:w="3906" w:type="dxa"/>
            <w:tcBorders>
              <w:top w:val="nil"/>
              <w:left w:val="nil"/>
              <w:bottom w:val="single" w:color="auto" w:sz="4" w:space="0"/>
              <w:right w:val="single" w:color="auto" w:sz="4" w:space="0"/>
            </w:tcBorders>
            <w:noWrap w:val="0"/>
            <w:vAlign w:val="center"/>
          </w:tcPr>
          <w:p w14:paraId="63D22E8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单一用户的某一部分运行不正常或存在问题，需要及时调整和解决。</w:t>
            </w:r>
          </w:p>
        </w:tc>
        <w:tc>
          <w:tcPr>
            <w:tcW w:w="4738" w:type="dxa"/>
            <w:tcBorders>
              <w:top w:val="nil"/>
              <w:left w:val="nil"/>
              <w:bottom w:val="single" w:color="auto" w:sz="4" w:space="0"/>
              <w:right w:val="single" w:color="auto" w:sz="4" w:space="0"/>
            </w:tcBorders>
            <w:noWrap w:val="0"/>
            <w:vAlign w:val="center"/>
          </w:tcPr>
          <w:p w14:paraId="399252F4">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单一用户的使用受到影响。</w:t>
            </w:r>
          </w:p>
        </w:tc>
      </w:tr>
    </w:tbl>
    <w:p w14:paraId="7212C07B">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注：其中四级故障可在相关维护人员的电话指导下处理，其他三类故障请通过7*24小时服务热线与值班工程师联系，由运维经理指派专业维护人员处理。</w:t>
      </w:r>
    </w:p>
    <w:p w14:paraId="78FD4DED">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9" w:name="_Toc21740"/>
      <w:bookmarkEnd w:id="109"/>
      <w:bookmarkStart w:id="110" w:name="_Toc482015945"/>
      <w:r>
        <w:rPr>
          <w:rFonts w:hint="eastAsia" w:ascii="宋体" w:hAnsi="宋体" w:eastAsia="宋体" w:cs="宋体"/>
          <w:color w:val="000000" w:themeColor="text1"/>
          <w:sz w:val="24"/>
          <w:szCs w:val="24"/>
          <w:highlight w:val="none"/>
          <w14:textFill>
            <w14:solidFill>
              <w14:schemeClr w14:val="tx1"/>
            </w14:solidFill>
          </w14:textFill>
        </w:rPr>
        <w:t>故障处理分级响应要求</w:t>
      </w:r>
      <w:bookmarkEnd w:id="110"/>
    </w:p>
    <w:p w14:paraId="45E9F1C5">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对不同事件级别的技术类问题，运维团队将在规定时间内响应并解决。</w:t>
      </w:r>
    </w:p>
    <w:p w14:paraId="3503C0F5">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PDT系统故障修复响应要求如下： </w:t>
      </w:r>
    </w:p>
    <w:tbl>
      <w:tblPr>
        <w:tblStyle w:val="35"/>
        <w:tblW w:w="9987" w:type="dxa"/>
        <w:jc w:val="center"/>
        <w:tblLayout w:type="fixed"/>
        <w:tblCellMar>
          <w:top w:w="0" w:type="dxa"/>
          <w:left w:w="108" w:type="dxa"/>
          <w:bottom w:w="0" w:type="dxa"/>
          <w:right w:w="108" w:type="dxa"/>
        </w:tblCellMar>
      </w:tblPr>
      <w:tblGrid>
        <w:gridCol w:w="1813"/>
        <w:gridCol w:w="2580"/>
        <w:gridCol w:w="3049"/>
        <w:gridCol w:w="2545"/>
      </w:tblGrid>
      <w:tr w14:paraId="688BF6CF">
        <w:tblPrEx>
          <w:tblCellMar>
            <w:top w:w="0" w:type="dxa"/>
            <w:left w:w="108" w:type="dxa"/>
            <w:bottom w:w="0" w:type="dxa"/>
            <w:right w:w="108" w:type="dxa"/>
          </w:tblCellMar>
        </w:tblPrEx>
        <w:trPr>
          <w:trHeight w:val="375" w:hRule="atLeast"/>
          <w:jc w:val="center"/>
        </w:trPr>
        <w:tc>
          <w:tcPr>
            <w:tcW w:w="1813" w:type="dxa"/>
            <w:tcBorders>
              <w:top w:val="single" w:color="auto" w:sz="4" w:space="0"/>
              <w:left w:val="single" w:color="auto" w:sz="4" w:space="0"/>
              <w:bottom w:val="single" w:color="auto" w:sz="4" w:space="0"/>
              <w:right w:val="single" w:color="auto" w:sz="4" w:space="0"/>
            </w:tcBorders>
            <w:shd w:val="clear" w:color="auto" w:fill="B3B3B3"/>
            <w:noWrap w:val="0"/>
            <w:vAlign w:val="top"/>
          </w:tcPr>
          <w:p w14:paraId="01B5C19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时期</w:t>
            </w:r>
          </w:p>
        </w:tc>
        <w:tc>
          <w:tcPr>
            <w:tcW w:w="2580" w:type="dxa"/>
            <w:tcBorders>
              <w:top w:val="single" w:color="auto" w:sz="4" w:space="0"/>
              <w:left w:val="nil"/>
              <w:bottom w:val="single" w:color="auto" w:sz="4" w:space="0"/>
              <w:right w:val="single" w:color="auto" w:sz="4" w:space="0"/>
            </w:tcBorders>
            <w:shd w:val="clear" w:color="auto" w:fill="B3B3B3"/>
            <w:noWrap w:val="0"/>
            <w:vAlign w:val="top"/>
          </w:tcPr>
          <w:p w14:paraId="01F92B10">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事件级别</w:t>
            </w:r>
          </w:p>
        </w:tc>
        <w:tc>
          <w:tcPr>
            <w:tcW w:w="3049" w:type="dxa"/>
            <w:tcBorders>
              <w:top w:val="single" w:color="auto" w:sz="4" w:space="0"/>
              <w:left w:val="nil"/>
              <w:bottom w:val="single" w:color="auto" w:sz="4" w:space="0"/>
              <w:right w:val="single" w:color="auto" w:sz="4" w:space="0"/>
            </w:tcBorders>
            <w:shd w:val="clear" w:color="auto" w:fill="B3B3B3"/>
            <w:noWrap w:val="0"/>
            <w:vAlign w:val="top"/>
          </w:tcPr>
          <w:p w14:paraId="16C4665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响应时间时限规定</w:t>
            </w:r>
          </w:p>
        </w:tc>
        <w:tc>
          <w:tcPr>
            <w:tcW w:w="2545" w:type="dxa"/>
            <w:tcBorders>
              <w:top w:val="single" w:color="auto" w:sz="4" w:space="0"/>
              <w:left w:val="nil"/>
              <w:bottom w:val="single" w:color="auto" w:sz="4" w:space="0"/>
              <w:right w:val="single" w:color="auto" w:sz="4" w:space="0"/>
            </w:tcBorders>
            <w:shd w:val="clear" w:color="auto" w:fill="B3B3B3"/>
            <w:noWrap w:val="0"/>
            <w:vAlign w:val="top"/>
          </w:tcPr>
          <w:p w14:paraId="422EC16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解决时间时限规定</w:t>
            </w:r>
          </w:p>
        </w:tc>
      </w:tr>
      <w:tr w14:paraId="2F4039FA">
        <w:tblPrEx>
          <w:tblCellMar>
            <w:top w:w="0" w:type="dxa"/>
            <w:left w:w="108" w:type="dxa"/>
            <w:bottom w:w="0" w:type="dxa"/>
            <w:right w:w="108" w:type="dxa"/>
          </w:tblCellMar>
        </w:tblPrEx>
        <w:trPr>
          <w:trHeight w:val="375" w:hRule="atLeast"/>
          <w:jc w:val="center"/>
        </w:trPr>
        <w:tc>
          <w:tcPr>
            <w:tcW w:w="1813" w:type="dxa"/>
            <w:vMerge w:val="restart"/>
            <w:tcBorders>
              <w:top w:val="nil"/>
              <w:left w:val="single" w:color="auto" w:sz="4" w:space="0"/>
              <w:bottom w:val="single" w:color="auto" w:sz="4" w:space="0"/>
              <w:right w:val="single" w:color="auto" w:sz="4" w:space="0"/>
            </w:tcBorders>
            <w:noWrap w:val="0"/>
            <w:vAlign w:val="center"/>
          </w:tcPr>
          <w:p w14:paraId="42C98FC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故障处理期间</w:t>
            </w:r>
          </w:p>
        </w:tc>
        <w:tc>
          <w:tcPr>
            <w:tcW w:w="2580" w:type="dxa"/>
            <w:tcBorders>
              <w:top w:val="single" w:color="auto" w:sz="4" w:space="0"/>
              <w:left w:val="nil"/>
              <w:bottom w:val="single" w:color="auto" w:sz="4" w:space="0"/>
              <w:right w:val="single" w:color="auto" w:sz="4" w:space="0"/>
            </w:tcBorders>
            <w:noWrap w:val="0"/>
            <w:vAlign w:val="top"/>
          </w:tcPr>
          <w:p w14:paraId="3336192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一级事件</w:t>
            </w:r>
          </w:p>
        </w:tc>
        <w:tc>
          <w:tcPr>
            <w:tcW w:w="3049" w:type="dxa"/>
            <w:tcBorders>
              <w:top w:val="single" w:color="auto" w:sz="4" w:space="0"/>
              <w:left w:val="nil"/>
              <w:bottom w:val="single" w:color="auto" w:sz="4" w:space="0"/>
              <w:right w:val="single" w:color="auto" w:sz="4" w:space="0"/>
            </w:tcBorders>
            <w:noWrap w:val="0"/>
            <w:vAlign w:val="top"/>
          </w:tcPr>
          <w:p w14:paraId="7143FDC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30分钟</w:t>
            </w:r>
          </w:p>
        </w:tc>
        <w:tc>
          <w:tcPr>
            <w:tcW w:w="2545" w:type="dxa"/>
            <w:tcBorders>
              <w:top w:val="single" w:color="auto" w:sz="4" w:space="0"/>
              <w:left w:val="nil"/>
              <w:bottom w:val="single" w:color="auto" w:sz="4" w:space="0"/>
              <w:right w:val="single" w:color="auto" w:sz="4" w:space="0"/>
            </w:tcBorders>
            <w:noWrap w:val="0"/>
            <w:vAlign w:val="top"/>
          </w:tcPr>
          <w:p w14:paraId="373A299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24小时</w:t>
            </w:r>
          </w:p>
        </w:tc>
      </w:tr>
      <w:tr w14:paraId="745F7499">
        <w:tblPrEx>
          <w:tblCellMar>
            <w:top w:w="0" w:type="dxa"/>
            <w:left w:w="108" w:type="dxa"/>
            <w:bottom w:w="0" w:type="dxa"/>
            <w:right w:w="108" w:type="dxa"/>
          </w:tblCellMar>
        </w:tblPrEx>
        <w:trPr>
          <w:trHeight w:val="375" w:hRule="atLeast"/>
          <w:jc w:val="center"/>
        </w:trPr>
        <w:tc>
          <w:tcPr>
            <w:tcW w:w="1813" w:type="dxa"/>
            <w:vMerge w:val="continue"/>
            <w:tcBorders>
              <w:top w:val="nil"/>
              <w:left w:val="single" w:color="auto" w:sz="4" w:space="0"/>
              <w:bottom w:val="single" w:color="auto" w:sz="4" w:space="0"/>
              <w:right w:val="single" w:color="auto" w:sz="4" w:space="0"/>
            </w:tcBorders>
            <w:noWrap w:val="0"/>
            <w:vAlign w:val="center"/>
          </w:tcPr>
          <w:p w14:paraId="6E4B3FB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580" w:type="dxa"/>
            <w:tcBorders>
              <w:top w:val="single" w:color="auto" w:sz="4" w:space="0"/>
              <w:left w:val="nil"/>
              <w:bottom w:val="single" w:color="auto" w:sz="4" w:space="0"/>
              <w:right w:val="single" w:color="auto" w:sz="4" w:space="0"/>
            </w:tcBorders>
            <w:noWrap w:val="0"/>
            <w:vAlign w:val="top"/>
          </w:tcPr>
          <w:p w14:paraId="1127B06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二级事件</w:t>
            </w:r>
          </w:p>
        </w:tc>
        <w:tc>
          <w:tcPr>
            <w:tcW w:w="3049" w:type="dxa"/>
            <w:tcBorders>
              <w:top w:val="single" w:color="auto" w:sz="4" w:space="0"/>
              <w:left w:val="nil"/>
              <w:bottom w:val="single" w:color="auto" w:sz="4" w:space="0"/>
              <w:right w:val="single" w:color="auto" w:sz="4" w:space="0"/>
            </w:tcBorders>
            <w:noWrap w:val="0"/>
            <w:vAlign w:val="top"/>
          </w:tcPr>
          <w:p w14:paraId="51F5AA4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60分钟</w:t>
            </w:r>
          </w:p>
        </w:tc>
        <w:tc>
          <w:tcPr>
            <w:tcW w:w="2545" w:type="dxa"/>
            <w:tcBorders>
              <w:top w:val="single" w:color="auto" w:sz="4" w:space="0"/>
              <w:left w:val="nil"/>
              <w:bottom w:val="single" w:color="auto" w:sz="4" w:space="0"/>
              <w:right w:val="single" w:color="auto" w:sz="4" w:space="0"/>
            </w:tcBorders>
            <w:noWrap w:val="0"/>
            <w:vAlign w:val="top"/>
          </w:tcPr>
          <w:p w14:paraId="390537F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24小时</w:t>
            </w:r>
          </w:p>
        </w:tc>
      </w:tr>
      <w:tr w14:paraId="75B68C26">
        <w:tblPrEx>
          <w:tblCellMar>
            <w:top w:w="0" w:type="dxa"/>
            <w:left w:w="108" w:type="dxa"/>
            <w:bottom w:w="0" w:type="dxa"/>
            <w:right w:w="108" w:type="dxa"/>
          </w:tblCellMar>
        </w:tblPrEx>
        <w:trPr>
          <w:trHeight w:val="375" w:hRule="atLeast"/>
          <w:jc w:val="center"/>
        </w:trPr>
        <w:tc>
          <w:tcPr>
            <w:tcW w:w="1813" w:type="dxa"/>
            <w:vMerge w:val="continue"/>
            <w:tcBorders>
              <w:top w:val="nil"/>
              <w:left w:val="single" w:color="auto" w:sz="4" w:space="0"/>
              <w:bottom w:val="single" w:color="auto" w:sz="4" w:space="0"/>
              <w:right w:val="single" w:color="auto" w:sz="4" w:space="0"/>
            </w:tcBorders>
            <w:noWrap w:val="0"/>
            <w:vAlign w:val="center"/>
          </w:tcPr>
          <w:p w14:paraId="72D2D80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580" w:type="dxa"/>
            <w:tcBorders>
              <w:top w:val="single" w:color="auto" w:sz="4" w:space="0"/>
              <w:left w:val="nil"/>
              <w:bottom w:val="single" w:color="auto" w:sz="4" w:space="0"/>
              <w:right w:val="single" w:color="auto" w:sz="4" w:space="0"/>
            </w:tcBorders>
            <w:noWrap w:val="0"/>
            <w:vAlign w:val="top"/>
          </w:tcPr>
          <w:p w14:paraId="29DF445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三级事件</w:t>
            </w:r>
          </w:p>
        </w:tc>
        <w:tc>
          <w:tcPr>
            <w:tcW w:w="3049" w:type="dxa"/>
            <w:tcBorders>
              <w:top w:val="single" w:color="auto" w:sz="4" w:space="0"/>
              <w:left w:val="nil"/>
              <w:bottom w:val="single" w:color="auto" w:sz="4" w:space="0"/>
              <w:right w:val="single" w:color="auto" w:sz="4" w:space="0"/>
            </w:tcBorders>
            <w:noWrap w:val="0"/>
            <w:vAlign w:val="top"/>
          </w:tcPr>
          <w:p w14:paraId="12D9BCC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120分钟</w:t>
            </w:r>
          </w:p>
        </w:tc>
        <w:tc>
          <w:tcPr>
            <w:tcW w:w="2545" w:type="dxa"/>
            <w:tcBorders>
              <w:top w:val="single" w:color="auto" w:sz="4" w:space="0"/>
              <w:left w:val="nil"/>
              <w:bottom w:val="single" w:color="auto" w:sz="4" w:space="0"/>
              <w:right w:val="single" w:color="auto" w:sz="4" w:space="0"/>
            </w:tcBorders>
            <w:noWrap w:val="0"/>
            <w:vAlign w:val="top"/>
          </w:tcPr>
          <w:p w14:paraId="523E17E9">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48小时</w:t>
            </w:r>
          </w:p>
        </w:tc>
      </w:tr>
      <w:tr w14:paraId="2155CB27">
        <w:tblPrEx>
          <w:tblCellMar>
            <w:top w:w="0" w:type="dxa"/>
            <w:left w:w="108" w:type="dxa"/>
            <w:bottom w:w="0" w:type="dxa"/>
            <w:right w:w="108" w:type="dxa"/>
          </w:tblCellMar>
        </w:tblPrEx>
        <w:trPr>
          <w:trHeight w:val="386" w:hRule="atLeast"/>
          <w:jc w:val="center"/>
        </w:trPr>
        <w:tc>
          <w:tcPr>
            <w:tcW w:w="1813" w:type="dxa"/>
            <w:vMerge w:val="continue"/>
            <w:tcBorders>
              <w:top w:val="nil"/>
              <w:left w:val="single" w:color="auto" w:sz="4" w:space="0"/>
              <w:bottom w:val="single" w:color="auto" w:sz="4" w:space="0"/>
              <w:right w:val="single" w:color="auto" w:sz="4" w:space="0"/>
            </w:tcBorders>
            <w:noWrap w:val="0"/>
            <w:vAlign w:val="center"/>
          </w:tcPr>
          <w:p w14:paraId="6AFE47B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580" w:type="dxa"/>
            <w:tcBorders>
              <w:top w:val="single" w:color="auto" w:sz="4" w:space="0"/>
              <w:left w:val="nil"/>
              <w:bottom w:val="single" w:color="auto" w:sz="4" w:space="0"/>
              <w:right w:val="single" w:color="auto" w:sz="4" w:space="0"/>
            </w:tcBorders>
            <w:noWrap w:val="0"/>
            <w:vAlign w:val="top"/>
          </w:tcPr>
          <w:p w14:paraId="28BD8C6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四级事件</w:t>
            </w:r>
          </w:p>
        </w:tc>
        <w:tc>
          <w:tcPr>
            <w:tcW w:w="3049" w:type="dxa"/>
            <w:tcBorders>
              <w:top w:val="single" w:color="auto" w:sz="4" w:space="0"/>
              <w:left w:val="nil"/>
              <w:bottom w:val="single" w:color="auto" w:sz="4" w:space="0"/>
              <w:right w:val="single" w:color="auto" w:sz="4" w:space="0"/>
            </w:tcBorders>
            <w:noWrap w:val="0"/>
            <w:vAlign w:val="top"/>
          </w:tcPr>
          <w:p w14:paraId="39FABA4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240分钟</w:t>
            </w:r>
          </w:p>
        </w:tc>
        <w:tc>
          <w:tcPr>
            <w:tcW w:w="2545" w:type="dxa"/>
            <w:tcBorders>
              <w:top w:val="single" w:color="auto" w:sz="4" w:space="0"/>
              <w:left w:val="nil"/>
              <w:bottom w:val="single" w:color="auto" w:sz="4" w:space="0"/>
              <w:right w:val="single" w:color="auto" w:sz="4" w:space="0"/>
            </w:tcBorders>
            <w:noWrap w:val="0"/>
            <w:vAlign w:val="top"/>
          </w:tcPr>
          <w:p w14:paraId="593EC59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72小时</w:t>
            </w:r>
          </w:p>
        </w:tc>
      </w:tr>
    </w:tbl>
    <w:p w14:paraId="70CBAFF8">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如重大技术问题或设备故障，无法在24小时内修复的，中标供应商须在24小时内采取相应措施以确保设备可正常操作。无法在24小时内解决的提供解决时间表，提供替代用设备。</w:t>
      </w:r>
    </w:p>
    <w:p w14:paraId="2562ABC6">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1" w:name="_Toc27486"/>
      <w:bookmarkEnd w:id="111"/>
      <w:bookmarkStart w:id="112" w:name="_Toc482015946"/>
      <w:r>
        <w:rPr>
          <w:rFonts w:hint="eastAsia" w:ascii="宋体" w:hAnsi="宋体" w:eastAsia="宋体" w:cs="宋体"/>
          <w:color w:val="000000" w:themeColor="text1"/>
          <w:sz w:val="24"/>
          <w:szCs w:val="24"/>
          <w:highlight w:val="none"/>
          <w14:textFill>
            <w14:solidFill>
              <w14:schemeClr w14:val="tx1"/>
            </w14:solidFill>
          </w14:textFill>
        </w:rPr>
        <w:t>故障级别的汇报机制</w:t>
      </w:r>
      <w:bookmarkEnd w:id="112"/>
      <w:r>
        <w:rPr>
          <w:rFonts w:hint="eastAsia" w:ascii="宋体" w:hAnsi="宋体" w:eastAsia="宋体" w:cs="宋体"/>
          <w:color w:val="000000" w:themeColor="text1"/>
          <w:sz w:val="24"/>
          <w:szCs w:val="24"/>
          <w:highlight w:val="none"/>
          <w14:textFill>
            <w14:solidFill>
              <w14:schemeClr w14:val="tx1"/>
            </w14:solidFill>
          </w14:textFill>
        </w:rPr>
        <w:t>：</w:t>
      </w:r>
    </w:p>
    <w:tbl>
      <w:tblPr>
        <w:tblStyle w:val="35"/>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2391"/>
        <w:gridCol w:w="1877"/>
        <w:gridCol w:w="3748"/>
      </w:tblGrid>
      <w:tr w14:paraId="79D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2" w:type="dxa"/>
            <w:shd w:val="clear" w:color="auto" w:fill="BFBFBF"/>
            <w:noWrap w:val="0"/>
            <w:vAlign w:val="center"/>
          </w:tcPr>
          <w:p w14:paraId="3AFF376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事件级别</w:t>
            </w:r>
          </w:p>
        </w:tc>
        <w:tc>
          <w:tcPr>
            <w:tcW w:w="2391" w:type="dxa"/>
            <w:shd w:val="clear" w:color="auto" w:fill="BFBFBF"/>
            <w:noWrap w:val="0"/>
            <w:vAlign w:val="center"/>
          </w:tcPr>
          <w:p w14:paraId="168B0EF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汇报时限（事件发生）</w:t>
            </w:r>
          </w:p>
        </w:tc>
        <w:tc>
          <w:tcPr>
            <w:tcW w:w="1877" w:type="dxa"/>
            <w:shd w:val="clear" w:color="auto" w:fill="BFBFBF"/>
            <w:noWrap w:val="0"/>
            <w:vAlign w:val="center"/>
          </w:tcPr>
          <w:p w14:paraId="2A96F95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汇报人</w:t>
            </w:r>
          </w:p>
        </w:tc>
        <w:tc>
          <w:tcPr>
            <w:tcW w:w="3748" w:type="dxa"/>
            <w:shd w:val="clear" w:color="auto" w:fill="BFBFBF"/>
            <w:noWrap w:val="0"/>
            <w:vAlign w:val="center"/>
          </w:tcPr>
          <w:p w14:paraId="29A6E21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上报对象</w:t>
            </w:r>
          </w:p>
        </w:tc>
      </w:tr>
      <w:tr w14:paraId="4732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2" w:type="dxa"/>
            <w:noWrap w:val="0"/>
            <w:vAlign w:val="center"/>
          </w:tcPr>
          <w:p w14:paraId="1884B65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一级事件</w:t>
            </w:r>
          </w:p>
        </w:tc>
        <w:tc>
          <w:tcPr>
            <w:tcW w:w="2391" w:type="dxa"/>
            <w:noWrap w:val="0"/>
            <w:vAlign w:val="center"/>
          </w:tcPr>
          <w:p w14:paraId="5FCAEB6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30分钟</w:t>
            </w:r>
          </w:p>
        </w:tc>
        <w:tc>
          <w:tcPr>
            <w:tcW w:w="1877" w:type="dxa"/>
            <w:noWrap w:val="0"/>
            <w:vAlign w:val="center"/>
          </w:tcPr>
          <w:p w14:paraId="4E192DB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运维总监</w:t>
            </w:r>
          </w:p>
        </w:tc>
        <w:tc>
          <w:tcPr>
            <w:tcW w:w="3748" w:type="dxa"/>
            <w:noWrap w:val="0"/>
            <w:vAlign w:val="center"/>
          </w:tcPr>
          <w:p w14:paraId="0955D7A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客户接口人</w:t>
            </w:r>
          </w:p>
        </w:tc>
      </w:tr>
      <w:tr w14:paraId="047C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2" w:type="dxa"/>
            <w:noWrap w:val="0"/>
            <w:vAlign w:val="center"/>
          </w:tcPr>
          <w:p w14:paraId="61BAD914">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二级事件</w:t>
            </w:r>
          </w:p>
        </w:tc>
        <w:tc>
          <w:tcPr>
            <w:tcW w:w="2391" w:type="dxa"/>
            <w:noWrap w:val="0"/>
            <w:vAlign w:val="center"/>
          </w:tcPr>
          <w:p w14:paraId="7F7E404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60分钟</w:t>
            </w:r>
          </w:p>
        </w:tc>
        <w:tc>
          <w:tcPr>
            <w:tcW w:w="1877" w:type="dxa"/>
            <w:noWrap w:val="0"/>
            <w:vAlign w:val="center"/>
          </w:tcPr>
          <w:p w14:paraId="550416D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维护经理</w:t>
            </w:r>
          </w:p>
        </w:tc>
        <w:tc>
          <w:tcPr>
            <w:tcW w:w="3748" w:type="dxa"/>
            <w:noWrap w:val="0"/>
            <w:vAlign w:val="center"/>
          </w:tcPr>
          <w:p w14:paraId="6E511084">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运维总监</w:t>
            </w:r>
          </w:p>
        </w:tc>
      </w:tr>
      <w:tr w14:paraId="1272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2" w:type="dxa"/>
            <w:noWrap w:val="0"/>
            <w:vAlign w:val="center"/>
          </w:tcPr>
          <w:p w14:paraId="23BEB9E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三级事件</w:t>
            </w:r>
          </w:p>
        </w:tc>
        <w:tc>
          <w:tcPr>
            <w:tcW w:w="2391" w:type="dxa"/>
            <w:noWrap w:val="0"/>
            <w:vAlign w:val="center"/>
          </w:tcPr>
          <w:p w14:paraId="09FC00F2">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2小时</w:t>
            </w:r>
          </w:p>
        </w:tc>
        <w:tc>
          <w:tcPr>
            <w:tcW w:w="1877" w:type="dxa"/>
            <w:noWrap w:val="0"/>
            <w:vAlign w:val="center"/>
          </w:tcPr>
          <w:p w14:paraId="477FFE5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值班工程师</w:t>
            </w:r>
          </w:p>
        </w:tc>
        <w:tc>
          <w:tcPr>
            <w:tcW w:w="3748" w:type="dxa"/>
            <w:noWrap w:val="0"/>
            <w:vAlign w:val="center"/>
          </w:tcPr>
          <w:p w14:paraId="7C7FCAC4">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运维经理</w:t>
            </w:r>
          </w:p>
        </w:tc>
      </w:tr>
      <w:tr w14:paraId="608E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2" w:type="dxa"/>
            <w:noWrap w:val="0"/>
            <w:vAlign w:val="center"/>
          </w:tcPr>
          <w:p w14:paraId="18BCC60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四级事件</w:t>
            </w:r>
          </w:p>
        </w:tc>
        <w:tc>
          <w:tcPr>
            <w:tcW w:w="2391" w:type="dxa"/>
            <w:noWrap w:val="0"/>
            <w:vAlign w:val="center"/>
          </w:tcPr>
          <w:p w14:paraId="6CDBA1A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4小时</w:t>
            </w:r>
          </w:p>
        </w:tc>
        <w:tc>
          <w:tcPr>
            <w:tcW w:w="1877" w:type="dxa"/>
            <w:noWrap w:val="0"/>
            <w:vAlign w:val="center"/>
          </w:tcPr>
          <w:p w14:paraId="5AA48D4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值班工程师</w:t>
            </w:r>
          </w:p>
        </w:tc>
        <w:tc>
          <w:tcPr>
            <w:tcW w:w="3748" w:type="dxa"/>
            <w:noWrap w:val="0"/>
            <w:vAlign w:val="center"/>
          </w:tcPr>
          <w:p w14:paraId="07A8D384">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运维经理</w:t>
            </w:r>
          </w:p>
        </w:tc>
      </w:tr>
    </w:tbl>
    <w:p w14:paraId="3D684793">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事件关闭时，也需要按照上述汇报机制进行关闭事件汇报，其中一二级事件关闭后需要输出事件处理报告，提交予运维总监；三四级事件只需电话汇报即可，由值班工程师补充工单。报告及过程资料由值班工程师定期输出并统一保管存档。</w:t>
      </w:r>
    </w:p>
    <w:p w14:paraId="7B8B5936">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3" w:name="_Toc21814"/>
      <w:bookmarkEnd w:id="113"/>
      <w:bookmarkStart w:id="114" w:name="_Toc482015947"/>
      <w:r>
        <w:rPr>
          <w:rFonts w:hint="eastAsia" w:ascii="宋体" w:hAnsi="宋体" w:eastAsia="宋体" w:cs="宋体"/>
          <w:color w:val="000000" w:themeColor="text1"/>
          <w:sz w:val="24"/>
          <w:szCs w:val="24"/>
          <w:highlight w:val="none"/>
          <w14:textFill>
            <w14:solidFill>
              <w14:schemeClr w14:val="tx1"/>
            </w14:solidFill>
          </w14:textFill>
        </w:rPr>
        <w:t>故障响应流程</w:t>
      </w:r>
      <w:bookmarkEnd w:id="114"/>
    </w:p>
    <w:p w14:paraId="058C2EAC">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抢修时严格按照“故障抢修流程”组织抢修工作。接到发生故障的通知后，在T+120分钟内赶到现场，并在规定的时限内处理故障。</w:t>
      </w:r>
    </w:p>
    <w:p w14:paraId="3510CCEF">
      <w:pPr>
        <w:pStyle w:val="92"/>
        <w:pageBreakBefore w:val="0"/>
        <w:numPr>
          <w:ilvl w:val="0"/>
          <w:numId w:val="16"/>
        </w:numPr>
        <w:kinsoku/>
        <w:wordWrap/>
        <w:overflowPunct/>
        <w:topLinePunct w:val="0"/>
        <w:autoSpaceDE/>
        <w:autoSpaceDN/>
        <w:bidi w:val="0"/>
        <w:adjustRightInd/>
        <w:snapToGrid/>
        <w:spacing w:line="400" w:lineRule="exact"/>
        <w:ind w:left="426"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115" w:name="_Toc24471"/>
      <w:bookmarkEnd w:id="115"/>
      <w:bookmarkStart w:id="116" w:name="_Toc482015948"/>
      <w:r>
        <w:rPr>
          <w:rFonts w:hint="eastAsia" w:ascii="宋体" w:hAnsi="宋体" w:eastAsia="宋体" w:cs="宋体"/>
          <w:b/>
          <w:bCs/>
          <w:color w:val="000000" w:themeColor="text1"/>
          <w:sz w:val="24"/>
          <w:szCs w:val="24"/>
          <w:highlight w:val="none"/>
          <w14:textFill>
            <w14:solidFill>
              <w14:schemeClr w14:val="tx1"/>
            </w14:solidFill>
          </w14:textFill>
        </w:rPr>
        <w:t>专项保障</w:t>
      </w:r>
      <w:bookmarkEnd w:id="116"/>
      <w:r>
        <w:rPr>
          <w:rFonts w:hint="eastAsia" w:ascii="宋体" w:hAnsi="宋体" w:eastAsia="宋体" w:cs="宋体"/>
          <w:b/>
          <w:bCs/>
          <w:color w:val="000000" w:themeColor="text1"/>
          <w:sz w:val="24"/>
          <w:szCs w:val="24"/>
          <w:highlight w:val="none"/>
          <w14:textFill>
            <w14:solidFill>
              <w14:schemeClr w14:val="tx1"/>
            </w14:solidFill>
          </w14:textFill>
        </w:rPr>
        <w:t>服务</w:t>
      </w:r>
    </w:p>
    <w:p w14:paraId="0CCA1876">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7" w:name="_Toc14952"/>
      <w:bookmarkEnd w:id="117"/>
      <w:bookmarkStart w:id="118" w:name="_Toc482015949"/>
      <w:r>
        <w:rPr>
          <w:rFonts w:hint="eastAsia" w:ascii="宋体" w:hAnsi="宋体" w:eastAsia="宋体" w:cs="宋体"/>
          <w:color w:val="000000" w:themeColor="text1"/>
          <w:sz w:val="24"/>
          <w:szCs w:val="24"/>
          <w:highlight w:val="none"/>
          <w14:textFill>
            <w14:solidFill>
              <w14:schemeClr w14:val="tx1"/>
            </w14:solidFill>
          </w14:textFill>
        </w:rPr>
        <w:t>专项保障工作原则</w:t>
      </w:r>
      <w:bookmarkEnd w:id="118"/>
    </w:p>
    <w:p w14:paraId="415E3F1B">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根据提出的保障需求， 积极响应保障准备， 输出专项任务保障方案，并且提供全程服务和技术支持。</w:t>
      </w:r>
    </w:p>
    <w:p w14:paraId="7931B5C9">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成立专项任务保障组,按需求设置专职人员,全面协调各项事务，组织管理各类保障任务。</w:t>
      </w:r>
    </w:p>
    <w:p w14:paraId="46FCAF0B">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安保现场指派工程师全程值守，并提供备勤资源。</w:t>
      </w:r>
    </w:p>
    <w:p w14:paraId="5D6CA626">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设立技术服务热线，提供7×24小时技术咨询和保障服务。</w:t>
      </w:r>
    </w:p>
    <w:p w14:paraId="499B586D">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指定专人负责安保现场的相关设备系统进行联调测试。</w:t>
      </w:r>
    </w:p>
    <w:p w14:paraId="0657C4F6">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指定专人在保障期间和重点保障任务前检查所有PDT数字集群系统的性能是否正常，监控系统运行状况、统计各项数据，保障数字警用系统的正常运行，应对保障期间系统的各类突发事件。</w:t>
      </w:r>
    </w:p>
    <w:p w14:paraId="2DD6CA55">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确保链路故障能在最短时间内有效处理，拨打热线电话报维，确保各项业务可以及时恢复，避免和减少损失。执行应急方案时应做到“先抢通，再抢修”的原则。</w:t>
      </w:r>
    </w:p>
    <w:p w14:paraId="05EFA55B">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9" w:name="_Toc1795"/>
      <w:bookmarkEnd w:id="119"/>
      <w:bookmarkStart w:id="120" w:name="_Toc482015950"/>
      <w:r>
        <w:rPr>
          <w:rFonts w:hint="eastAsia" w:ascii="宋体" w:hAnsi="宋体" w:eastAsia="宋体" w:cs="宋体"/>
          <w:color w:val="000000" w:themeColor="text1"/>
          <w:sz w:val="24"/>
          <w:szCs w:val="24"/>
          <w:highlight w:val="none"/>
          <w14:textFill>
            <w14:solidFill>
              <w14:schemeClr w14:val="tx1"/>
            </w14:solidFill>
          </w14:textFill>
        </w:rPr>
        <w:t>专项任务保障期间行为规范</w:t>
      </w:r>
      <w:bookmarkEnd w:id="120"/>
    </w:p>
    <w:p w14:paraId="475009C6">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严格按照机房准入规范，按时持证到岗，并在到岗后向接口人报告到岗情况。运维经理不定期抽检各保障人员到岗及值守纪律。</w:t>
      </w:r>
    </w:p>
    <w:p w14:paraId="4B5739F8">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勤务期间系统封网，未经允许，无重大问题不得对系统做任何调试。若封网期间出现重大问题，及时上报最高主管部门，经得批准后按要求对系统做调试。</w:t>
      </w:r>
    </w:p>
    <w:p w14:paraId="4BB5390A">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根据安保任务具体需求，建立通信保障问题记录档案，对安保过程中出现的各种问题进行记录，</w:t>
      </w:r>
      <w:r>
        <w:rPr>
          <w:rFonts w:hint="eastAsia" w:ascii="宋体" w:hAnsi="宋体" w:eastAsia="宋体" w:cs="宋体"/>
          <w:color w:val="000000" w:themeColor="text1"/>
          <w:sz w:val="24"/>
          <w:szCs w:val="24"/>
          <w:highlight w:val="none"/>
          <w:lang w:val="en-US" w:eastAsia="zh-CN"/>
          <w14:textFill>
            <w14:solidFill>
              <w14:schemeClr w14:val="tx1"/>
            </w14:solidFill>
          </w14:textFill>
        </w:rPr>
        <w:t>作</w:t>
      </w:r>
      <w:r>
        <w:rPr>
          <w:rFonts w:hint="eastAsia" w:ascii="宋体" w:hAnsi="宋体" w:eastAsia="宋体" w:cs="宋体"/>
          <w:color w:val="000000" w:themeColor="text1"/>
          <w:sz w:val="24"/>
          <w:szCs w:val="24"/>
          <w:highlight w:val="none"/>
          <w14:textFill>
            <w14:solidFill>
              <w14:schemeClr w14:val="tx1"/>
            </w14:solidFill>
          </w14:textFill>
        </w:rPr>
        <w:t>为安保结束后问题追踪、分析与总结的参考依据。</w:t>
      </w:r>
    </w:p>
    <w:p w14:paraId="2E395F72">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专项任务保障组工程师应与客户接口人保持密切联动，实时通报安保过程中通信系统存在的问题以及针对出现的问题所采取的可选应急处置方式。</w:t>
      </w:r>
    </w:p>
    <w:p w14:paraId="749F2C24">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离岗规程，安保任务结束后，必须等接口人下达离岗指令后方可离岗，并在专项任务保障组工程师离岗前再次对系统进行巡检，对存在问题的信道向运维经理请示后酌情进行处理。</w:t>
      </w:r>
    </w:p>
    <w:p w14:paraId="276C0B9B">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专项任务安保期间，所有人员应按客户要求着装、佩戴出入证件，注意保持良好形象，不得在公共场所吸烟，严禁饮酒。</w:t>
      </w:r>
    </w:p>
    <w:p w14:paraId="4195151B">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1" w:name="_Toc26936"/>
      <w:bookmarkEnd w:id="121"/>
      <w:bookmarkStart w:id="122" w:name="_Toc482015951"/>
      <w:r>
        <w:rPr>
          <w:rFonts w:hint="eastAsia" w:ascii="宋体" w:hAnsi="宋体" w:eastAsia="宋体" w:cs="宋体"/>
          <w:color w:val="000000" w:themeColor="text1"/>
          <w:sz w:val="24"/>
          <w:szCs w:val="24"/>
          <w:highlight w:val="none"/>
          <w14:textFill>
            <w14:solidFill>
              <w14:schemeClr w14:val="tx1"/>
            </w14:solidFill>
          </w14:textFill>
        </w:rPr>
        <w:t>专项任务保障期间沟通机制</w:t>
      </w:r>
      <w:bookmarkEnd w:id="122"/>
    </w:p>
    <w:p w14:paraId="5568D575">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所有参加专项任务保障人员需手机24小时开机，第一时间接听电话。确保用户系统发生故障时能第一时间给出解决方案；</w:t>
      </w:r>
    </w:p>
    <w:p w14:paraId="4D110C2D">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运维经理每周向运维总监汇报当天保障情况；</w:t>
      </w:r>
    </w:p>
    <w:p w14:paraId="37BB5F35">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运维总监每周以邮件形式向公司相关干系人、接口人发送保障工作日志和当日问题汇总；</w:t>
      </w:r>
    </w:p>
    <w:p w14:paraId="336297FC">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保障组成员听从运维经理的工作安排与调配，当人员发生变动或调换时，保障组要及时将信息汇报给安保责任人。</w:t>
      </w:r>
    </w:p>
    <w:p w14:paraId="6BB30E2D">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3" w:name="_Toc3321"/>
      <w:bookmarkEnd w:id="123"/>
      <w:bookmarkStart w:id="124" w:name="_Toc482015952"/>
      <w:r>
        <w:rPr>
          <w:rFonts w:hint="eastAsia" w:ascii="宋体" w:hAnsi="宋体" w:eastAsia="宋体" w:cs="宋体"/>
          <w:color w:val="000000" w:themeColor="text1"/>
          <w:sz w:val="24"/>
          <w:szCs w:val="24"/>
          <w:highlight w:val="none"/>
          <w14:textFill>
            <w14:solidFill>
              <w14:schemeClr w14:val="tx1"/>
            </w14:solidFill>
          </w14:textFill>
        </w:rPr>
        <w:t>专项保障分级制度</w:t>
      </w:r>
      <w:bookmarkEnd w:id="124"/>
    </w:p>
    <w:p w14:paraId="14F38A5F">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逢重大节庆/赛事活动、重要安保活动、突发重大事件及重要节日提供专职人员现场安保保障，对警用数字系统保障任务的划分为以下几种类型：</w:t>
      </w:r>
    </w:p>
    <w:tbl>
      <w:tblPr>
        <w:tblStyle w:val="35"/>
        <w:tblW w:w="10039" w:type="dxa"/>
        <w:jc w:val="center"/>
        <w:tblLayout w:type="fixed"/>
        <w:tblCellMar>
          <w:top w:w="0" w:type="dxa"/>
          <w:left w:w="108" w:type="dxa"/>
          <w:bottom w:w="0" w:type="dxa"/>
          <w:right w:w="108" w:type="dxa"/>
        </w:tblCellMar>
      </w:tblPr>
      <w:tblGrid>
        <w:gridCol w:w="1389"/>
        <w:gridCol w:w="4530"/>
        <w:gridCol w:w="2070"/>
        <w:gridCol w:w="2050"/>
      </w:tblGrid>
      <w:tr w14:paraId="3B31FA04">
        <w:tblPrEx>
          <w:tblCellMar>
            <w:top w:w="0" w:type="dxa"/>
            <w:left w:w="108" w:type="dxa"/>
            <w:bottom w:w="0" w:type="dxa"/>
            <w:right w:w="108" w:type="dxa"/>
          </w:tblCellMar>
        </w:tblPrEx>
        <w:trPr>
          <w:trHeight w:val="356" w:hRule="atLeast"/>
          <w:jc w:val="center"/>
        </w:trPr>
        <w:tc>
          <w:tcPr>
            <w:tcW w:w="1389"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6793F6D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任务级别</w:t>
            </w:r>
          </w:p>
        </w:tc>
        <w:tc>
          <w:tcPr>
            <w:tcW w:w="4530" w:type="dxa"/>
            <w:tcBorders>
              <w:top w:val="single" w:color="auto" w:sz="4" w:space="0"/>
              <w:left w:val="nil"/>
              <w:bottom w:val="single" w:color="auto" w:sz="4" w:space="0"/>
              <w:right w:val="single" w:color="auto" w:sz="4" w:space="0"/>
            </w:tcBorders>
            <w:shd w:val="clear" w:color="auto" w:fill="A6A6A6"/>
            <w:noWrap w:val="0"/>
            <w:vAlign w:val="center"/>
          </w:tcPr>
          <w:p w14:paraId="54D5425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任务类别</w:t>
            </w:r>
          </w:p>
        </w:tc>
        <w:tc>
          <w:tcPr>
            <w:tcW w:w="4120" w:type="dxa"/>
            <w:gridSpan w:val="2"/>
            <w:tcBorders>
              <w:top w:val="single" w:color="auto" w:sz="4" w:space="0"/>
              <w:left w:val="nil"/>
              <w:bottom w:val="single" w:color="auto" w:sz="4" w:space="0"/>
              <w:right w:val="single" w:color="auto" w:sz="4" w:space="0"/>
            </w:tcBorders>
            <w:shd w:val="clear" w:color="auto" w:fill="A6A6A6"/>
            <w:noWrap w:val="0"/>
            <w:vAlign w:val="center"/>
          </w:tcPr>
          <w:p w14:paraId="02873AF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现场指挥人</w:t>
            </w:r>
          </w:p>
        </w:tc>
      </w:tr>
      <w:tr w14:paraId="79710685">
        <w:tblPrEx>
          <w:tblCellMar>
            <w:top w:w="0" w:type="dxa"/>
            <w:left w:w="108" w:type="dxa"/>
            <w:bottom w:w="0" w:type="dxa"/>
            <w:right w:w="108" w:type="dxa"/>
          </w:tblCellMar>
        </w:tblPrEx>
        <w:trPr>
          <w:trHeight w:val="356" w:hRule="atLeast"/>
          <w:jc w:val="center"/>
        </w:trPr>
        <w:tc>
          <w:tcPr>
            <w:tcW w:w="1389" w:type="dxa"/>
            <w:tcBorders>
              <w:top w:val="nil"/>
              <w:left w:val="single" w:color="auto" w:sz="4" w:space="0"/>
              <w:bottom w:val="single" w:color="auto" w:sz="4" w:space="0"/>
              <w:right w:val="single" w:color="auto" w:sz="4" w:space="0"/>
            </w:tcBorders>
            <w:noWrap w:val="0"/>
            <w:vAlign w:val="center"/>
          </w:tcPr>
          <w:p w14:paraId="47E61B16">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A类任务</w:t>
            </w:r>
          </w:p>
        </w:tc>
        <w:tc>
          <w:tcPr>
            <w:tcW w:w="4530" w:type="dxa"/>
            <w:tcBorders>
              <w:top w:val="nil"/>
              <w:left w:val="nil"/>
              <w:bottom w:val="single" w:color="auto" w:sz="4" w:space="0"/>
              <w:right w:val="single" w:color="auto" w:sz="4" w:space="0"/>
            </w:tcBorders>
            <w:noWrap w:val="0"/>
            <w:vAlign w:val="center"/>
          </w:tcPr>
          <w:p w14:paraId="144CEAF5">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重点要求保障</w:t>
            </w:r>
          </w:p>
        </w:tc>
        <w:tc>
          <w:tcPr>
            <w:tcW w:w="2070" w:type="dxa"/>
            <w:tcBorders>
              <w:top w:val="nil"/>
              <w:left w:val="nil"/>
              <w:bottom w:val="single" w:color="auto" w:sz="4" w:space="0"/>
              <w:right w:val="single" w:color="auto" w:sz="4" w:space="0"/>
            </w:tcBorders>
            <w:noWrap w:val="0"/>
            <w:vAlign w:val="center"/>
          </w:tcPr>
          <w:p w14:paraId="7DBCC9E6">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运维总监</w:t>
            </w:r>
          </w:p>
        </w:tc>
        <w:tc>
          <w:tcPr>
            <w:tcW w:w="2050" w:type="dxa"/>
            <w:tcBorders>
              <w:top w:val="nil"/>
              <w:left w:val="nil"/>
              <w:bottom w:val="single" w:color="auto" w:sz="4" w:space="0"/>
              <w:right w:val="single" w:color="auto" w:sz="4" w:space="0"/>
            </w:tcBorders>
            <w:noWrap w:val="0"/>
            <w:vAlign w:val="center"/>
          </w:tcPr>
          <w:p w14:paraId="5D7E7E96">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待定</w:t>
            </w:r>
          </w:p>
        </w:tc>
      </w:tr>
      <w:tr w14:paraId="6356A3A7">
        <w:tblPrEx>
          <w:tblCellMar>
            <w:top w:w="0" w:type="dxa"/>
            <w:left w:w="108" w:type="dxa"/>
            <w:bottom w:w="0" w:type="dxa"/>
            <w:right w:w="108" w:type="dxa"/>
          </w:tblCellMar>
        </w:tblPrEx>
        <w:trPr>
          <w:trHeight w:val="356" w:hRule="atLeast"/>
          <w:jc w:val="center"/>
        </w:trPr>
        <w:tc>
          <w:tcPr>
            <w:tcW w:w="1389" w:type="dxa"/>
            <w:tcBorders>
              <w:top w:val="nil"/>
              <w:left w:val="single" w:color="auto" w:sz="4" w:space="0"/>
              <w:bottom w:val="single" w:color="auto" w:sz="4" w:space="0"/>
              <w:right w:val="single" w:color="auto" w:sz="4" w:space="0"/>
            </w:tcBorders>
            <w:noWrap w:val="0"/>
            <w:vAlign w:val="center"/>
          </w:tcPr>
          <w:p w14:paraId="054ACB67">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B类任务</w:t>
            </w:r>
          </w:p>
        </w:tc>
        <w:tc>
          <w:tcPr>
            <w:tcW w:w="4530" w:type="dxa"/>
            <w:tcBorders>
              <w:top w:val="nil"/>
              <w:left w:val="nil"/>
              <w:bottom w:val="single" w:color="auto" w:sz="4" w:space="0"/>
              <w:right w:val="single" w:color="auto" w:sz="4" w:space="0"/>
            </w:tcBorders>
            <w:noWrap w:val="0"/>
            <w:vAlign w:val="center"/>
          </w:tcPr>
          <w:p w14:paraId="56DCB28E">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重大节日等保障</w:t>
            </w:r>
          </w:p>
        </w:tc>
        <w:tc>
          <w:tcPr>
            <w:tcW w:w="2070" w:type="dxa"/>
            <w:tcBorders>
              <w:top w:val="nil"/>
              <w:left w:val="nil"/>
              <w:bottom w:val="single" w:color="auto" w:sz="4" w:space="0"/>
              <w:right w:val="single" w:color="auto" w:sz="4" w:space="0"/>
            </w:tcBorders>
            <w:noWrap w:val="0"/>
            <w:vAlign w:val="center"/>
          </w:tcPr>
          <w:p w14:paraId="2E55E21A">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运维经理</w:t>
            </w:r>
          </w:p>
        </w:tc>
        <w:tc>
          <w:tcPr>
            <w:tcW w:w="2050" w:type="dxa"/>
            <w:tcBorders>
              <w:top w:val="nil"/>
              <w:left w:val="nil"/>
              <w:bottom w:val="single" w:color="auto" w:sz="4" w:space="0"/>
              <w:right w:val="single" w:color="auto" w:sz="4" w:space="0"/>
            </w:tcBorders>
            <w:noWrap w:val="0"/>
            <w:vAlign w:val="center"/>
          </w:tcPr>
          <w:p w14:paraId="235D59BC">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待定</w:t>
            </w:r>
          </w:p>
        </w:tc>
      </w:tr>
      <w:tr w14:paraId="52B9E0FD">
        <w:tblPrEx>
          <w:tblCellMar>
            <w:top w:w="0" w:type="dxa"/>
            <w:left w:w="108" w:type="dxa"/>
            <w:bottom w:w="0" w:type="dxa"/>
            <w:right w:w="108" w:type="dxa"/>
          </w:tblCellMar>
        </w:tblPrEx>
        <w:trPr>
          <w:trHeight w:val="365" w:hRule="atLeast"/>
          <w:jc w:val="center"/>
        </w:trPr>
        <w:tc>
          <w:tcPr>
            <w:tcW w:w="1389" w:type="dxa"/>
            <w:tcBorders>
              <w:top w:val="nil"/>
              <w:left w:val="single" w:color="auto" w:sz="4" w:space="0"/>
              <w:bottom w:val="single" w:color="auto" w:sz="4" w:space="0"/>
              <w:right w:val="single" w:color="auto" w:sz="4" w:space="0"/>
            </w:tcBorders>
            <w:noWrap w:val="0"/>
            <w:vAlign w:val="center"/>
          </w:tcPr>
          <w:p w14:paraId="5FF693C2">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C类任务</w:t>
            </w:r>
          </w:p>
        </w:tc>
        <w:tc>
          <w:tcPr>
            <w:tcW w:w="4530" w:type="dxa"/>
            <w:tcBorders>
              <w:top w:val="nil"/>
              <w:left w:val="nil"/>
              <w:bottom w:val="single" w:color="auto" w:sz="4" w:space="0"/>
              <w:right w:val="single" w:color="auto" w:sz="4" w:space="0"/>
            </w:tcBorders>
            <w:noWrap w:val="0"/>
            <w:vAlign w:val="center"/>
          </w:tcPr>
          <w:p w14:paraId="28ED9CC6">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日常工作保障</w:t>
            </w:r>
          </w:p>
        </w:tc>
        <w:tc>
          <w:tcPr>
            <w:tcW w:w="2070" w:type="dxa"/>
            <w:tcBorders>
              <w:top w:val="nil"/>
              <w:left w:val="nil"/>
              <w:bottom w:val="single" w:color="auto" w:sz="4" w:space="0"/>
              <w:right w:val="single" w:color="auto" w:sz="4" w:space="0"/>
            </w:tcBorders>
            <w:noWrap w:val="0"/>
            <w:vAlign w:val="center"/>
          </w:tcPr>
          <w:p w14:paraId="5D535DF5">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运维工程师</w:t>
            </w:r>
          </w:p>
        </w:tc>
        <w:tc>
          <w:tcPr>
            <w:tcW w:w="2050" w:type="dxa"/>
            <w:tcBorders>
              <w:top w:val="nil"/>
              <w:left w:val="nil"/>
              <w:bottom w:val="single" w:color="auto" w:sz="4" w:space="0"/>
              <w:right w:val="single" w:color="auto" w:sz="4" w:space="0"/>
            </w:tcBorders>
            <w:noWrap w:val="0"/>
            <w:vAlign w:val="center"/>
          </w:tcPr>
          <w:p w14:paraId="7E0C981D">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待定</w:t>
            </w:r>
          </w:p>
        </w:tc>
      </w:tr>
    </w:tbl>
    <w:p w14:paraId="452D68FC">
      <w:pPr>
        <w:pageBreakBefore w:val="0"/>
        <w:kinsoku/>
        <w:wordWrap/>
        <w:overflowPunct/>
        <w:topLinePunct w:val="0"/>
        <w:autoSpaceDE/>
        <w:autoSpaceDN/>
        <w:bidi w:val="0"/>
        <w:adjustRightInd/>
        <w:snapToGrid/>
        <w:spacing w:line="400" w:lineRule="exact"/>
        <w:ind w:right="84" w:rightChars="40"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对各类保障任务的人力计划：</w:t>
      </w:r>
    </w:p>
    <w:tbl>
      <w:tblPr>
        <w:tblStyle w:val="35"/>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432"/>
        <w:gridCol w:w="2110"/>
        <w:gridCol w:w="2084"/>
        <w:gridCol w:w="2084"/>
      </w:tblGrid>
      <w:tr w14:paraId="3B4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08" w:type="dxa"/>
            <w:shd w:val="clear" w:color="auto" w:fill="BFBFBF"/>
            <w:noWrap w:val="0"/>
            <w:vAlign w:val="center"/>
          </w:tcPr>
          <w:p w14:paraId="7B8F557E">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任务级别</w:t>
            </w:r>
          </w:p>
        </w:tc>
        <w:tc>
          <w:tcPr>
            <w:tcW w:w="2432" w:type="dxa"/>
            <w:shd w:val="clear" w:color="auto" w:fill="BFBFBF"/>
            <w:noWrap w:val="0"/>
            <w:vAlign w:val="center"/>
          </w:tcPr>
          <w:p w14:paraId="6E385118">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保障任务&amp;地点</w:t>
            </w:r>
          </w:p>
        </w:tc>
        <w:tc>
          <w:tcPr>
            <w:tcW w:w="2110" w:type="dxa"/>
            <w:shd w:val="clear" w:color="auto" w:fill="BFBFBF"/>
            <w:noWrap w:val="0"/>
            <w:vAlign w:val="center"/>
          </w:tcPr>
          <w:p w14:paraId="2F4ADD06">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保障人员投入</w:t>
            </w:r>
          </w:p>
        </w:tc>
        <w:tc>
          <w:tcPr>
            <w:tcW w:w="2084" w:type="dxa"/>
            <w:shd w:val="clear" w:color="auto" w:fill="BFBFBF"/>
            <w:noWrap w:val="0"/>
            <w:vAlign w:val="center"/>
          </w:tcPr>
          <w:p w14:paraId="7F324E84">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保障资源投入</w:t>
            </w:r>
          </w:p>
        </w:tc>
        <w:tc>
          <w:tcPr>
            <w:tcW w:w="2084" w:type="dxa"/>
            <w:shd w:val="clear" w:color="auto" w:fill="BFBFBF"/>
            <w:noWrap w:val="0"/>
            <w:vAlign w:val="center"/>
          </w:tcPr>
          <w:p w14:paraId="1FABACA0">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保障启动时间</w:t>
            </w:r>
          </w:p>
        </w:tc>
      </w:tr>
      <w:tr w14:paraId="01D8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08" w:type="dxa"/>
            <w:vMerge w:val="restart"/>
            <w:noWrap w:val="0"/>
            <w:vAlign w:val="center"/>
          </w:tcPr>
          <w:p w14:paraId="00275259">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A类</w:t>
            </w:r>
          </w:p>
          <w:p w14:paraId="77AAF09C">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任务</w:t>
            </w:r>
          </w:p>
        </w:tc>
        <w:tc>
          <w:tcPr>
            <w:tcW w:w="2432" w:type="dxa"/>
            <w:noWrap w:val="0"/>
            <w:vAlign w:val="center"/>
          </w:tcPr>
          <w:p w14:paraId="4F9AD327">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中心</w:t>
            </w:r>
          </w:p>
        </w:tc>
        <w:tc>
          <w:tcPr>
            <w:tcW w:w="2110" w:type="dxa"/>
            <w:noWrap w:val="0"/>
            <w:vAlign w:val="center"/>
          </w:tcPr>
          <w:p w14:paraId="6A97067A">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w:t>
            </w:r>
          </w:p>
        </w:tc>
        <w:tc>
          <w:tcPr>
            <w:tcW w:w="2084" w:type="dxa"/>
            <w:noWrap w:val="0"/>
            <w:vAlign w:val="center"/>
          </w:tcPr>
          <w:p w14:paraId="04CD4387">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系统备件</w:t>
            </w:r>
          </w:p>
        </w:tc>
        <w:tc>
          <w:tcPr>
            <w:tcW w:w="2084" w:type="dxa"/>
            <w:noWrap w:val="0"/>
            <w:vAlign w:val="center"/>
          </w:tcPr>
          <w:p w14:paraId="318BA27F">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安保前3小时</w:t>
            </w:r>
          </w:p>
        </w:tc>
      </w:tr>
      <w:tr w14:paraId="6F75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408" w:type="dxa"/>
            <w:vMerge w:val="continue"/>
            <w:noWrap w:val="0"/>
            <w:vAlign w:val="center"/>
          </w:tcPr>
          <w:p w14:paraId="72E8C510">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32" w:type="dxa"/>
            <w:noWrap w:val="0"/>
            <w:vAlign w:val="center"/>
          </w:tcPr>
          <w:p w14:paraId="237C3011">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基站</w:t>
            </w:r>
          </w:p>
        </w:tc>
        <w:tc>
          <w:tcPr>
            <w:tcW w:w="2110" w:type="dxa"/>
            <w:noWrap w:val="0"/>
            <w:vAlign w:val="center"/>
          </w:tcPr>
          <w:p w14:paraId="0307CF63">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w:t>
            </w:r>
          </w:p>
        </w:tc>
        <w:tc>
          <w:tcPr>
            <w:tcW w:w="2084" w:type="dxa"/>
            <w:noWrap w:val="0"/>
            <w:vAlign w:val="center"/>
          </w:tcPr>
          <w:p w14:paraId="5C599A63">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系统备件</w:t>
            </w:r>
          </w:p>
        </w:tc>
        <w:tc>
          <w:tcPr>
            <w:tcW w:w="2084" w:type="dxa"/>
            <w:noWrap w:val="0"/>
            <w:vAlign w:val="center"/>
          </w:tcPr>
          <w:p w14:paraId="60B28A7B">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安保前3小时</w:t>
            </w:r>
          </w:p>
        </w:tc>
      </w:tr>
      <w:tr w14:paraId="1CF8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08" w:type="dxa"/>
            <w:vMerge w:val="continue"/>
            <w:noWrap w:val="0"/>
            <w:vAlign w:val="center"/>
          </w:tcPr>
          <w:p w14:paraId="65410600">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32" w:type="dxa"/>
            <w:noWrap w:val="0"/>
            <w:vAlign w:val="center"/>
          </w:tcPr>
          <w:p w14:paraId="171E3C25">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客户机房</w:t>
            </w:r>
          </w:p>
        </w:tc>
        <w:tc>
          <w:tcPr>
            <w:tcW w:w="2110" w:type="dxa"/>
            <w:noWrap w:val="0"/>
            <w:vAlign w:val="center"/>
          </w:tcPr>
          <w:p w14:paraId="38340DAF">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w:t>
            </w:r>
          </w:p>
        </w:tc>
        <w:tc>
          <w:tcPr>
            <w:tcW w:w="2084" w:type="dxa"/>
            <w:noWrap w:val="0"/>
            <w:vAlign w:val="center"/>
          </w:tcPr>
          <w:p w14:paraId="64779FD3">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终端</w:t>
            </w:r>
          </w:p>
        </w:tc>
        <w:tc>
          <w:tcPr>
            <w:tcW w:w="2084" w:type="dxa"/>
            <w:noWrap w:val="0"/>
            <w:vAlign w:val="center"/>
          </w:tcPr>
          <w:p w14:paraId="76010B0E">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安保前2小时</w:t>
            </w:r>
          </w:p>
        </w:tc>
      </w:tr>
      <w:tr w14:paraId="2BFD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408" w:type="dxa"/>
            <w:vMerge w:val="continue"/>
            <w:noWrap w:val="0"/>
            <w:vAlign w:val="center"/>
          </w:tcPr>
          <w:p w14:paraId="3B5C42F8">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32" w:type="dxa"/>
            <w:noWrap w:val="0"/>
            <w:vAlign w:val="center"/>
          </w:tcPr>
          <w:p w14:paraId="5022A163">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客户指挥中心</w:t>
            </w:r>
          </w:p>
        </w:tc>
        <w:tc>
          <w:tcPr>
            <w:tcW w:w="2110" w:type="dxa"/>
            <w:noWrap w:val="0"/>
            <w:vAlign w:val="center"/>
          </w:tcPr>
          <w:p w14:paraId="5A129E45">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w:t>
            </w:r>
          </w:p>
        </w:tc>
        <w:tc>
          <w:tcPr>
            <w:tcW w:w="2084" w:type="dxa"/>
            <w:noWrap w:val="0"/>
            <w:vAlign w:val="center"/>
          </w:tcPr>
          <w:p w14:paraId="082F43D3">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终端</w:t>
            </w:r>
          </w:p>
        </w:tc>
        <w:tc>
          <w:tcPr>
            <w:tcW w:w="2084" w:type="dxa"/>
            <w:noWrap w:val="0"/>
            <w:vAlign w:val="center"/>
          </w:tcPr>
          <w:p w14:paraId="7AE95335">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同步客户</w:t>
            </w:r>
          </w:p>
        </w:tc>
      </w:tr>
    </w:tbl>
    <w:p w14:paraId="008F6BD2">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bl>
      <w:tblPr>
        <w:tblStyle w:val="35"/>
        <w:tblW w:w="10111" w:type="dxa"/>
        <w:jc w:val="center"/>
        <w:tblLayout w:type="fixed"/>
        <w:tblCellMar>
          <w:top w:w="0" w:type="dxa"/>
          <w:left w:w="108" w:type="dxa"/>
          <w:bottom w:w="0" w:type="dxa"/>
          <w:right w:w="108" w:type="dxa"/>
        </w:tblCellMar>
      </w:tblPr>
      <w:tblGrid>
        <w:gridCol w:w="1425"/>
        <w:gridCol w:w="2445"/>
        <w:gridCol w:w="2085"/>
        <w:gridCol w:w="2074"/>
        <w:gridCol w:w="2082"/>
      </w:tblGrid>
      <w:tr w14:paraId="19195B21">
        <w:tblPrEx>
          <w:tblCellMar>
            <w:top w:w="0" w:type="dxa"/>
            <w:left w:w="108" w:type="dxa"/>
            <w:bottom w:w="0" w:type="dxa"/>
            <w:right w:w="108" w:type="dxa"/>
          </w:tblCellMar>
        </w:tblPrEx>
        <w:trPr>
          <w:trHeight w:val="290" w:hRule="atLeast"/>
          <w:jc w:val="center"/>
        </w:trPr>
        <w:tc>
          <w:tcPr>
            <w:tcW w:w="1425"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32F68330">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任务级别</w:t>
            </w:r>
          </w:p>
        </w:tc>
        <w:tc>
          <w:tcPr>
            <w:tcW w:w="2445" w:type="dxa"/>
            <w:tcBorders>
              <w:top w:val="single" w:color="000000" w:sz="4" w:space="0"/>
              <w:left w:val="nil"/>
              <w:bottom w:val="single" w:color="000000" w:sz="4" w:space="0"/>
              <w:right w:val="single" w:color="000000" w:sz="4" w:space="0"/>
            </w:tcBorders>
            <w:shd w:val="clear" w:color="auto" w:fill="BFBFBF"/>
            <w:noWrap w:val="0"/>
            <w:vAlign w:val="top"/>
          </w:tcPr>
          <w:p w14:paraId="29D9A8CD">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保障任务&amp;地点</w:t>
            </w:r>
          </w:p>
        </w:tc>
        <w:tc>
          <w:tcPr>
            <w:tcW w:w="2085" w:type="dxa"/>
            <w:tcBorders>
              <w:top w:val="single" w:color="000000" w:sz="4" w:space="0"/>
              <w:left w:val="nil"/>
              <w:bottom w:val="single" w:color="000000" w:sz="4" w:space="0"/>
              <w:right w:val="single" w:color="000000" w:sz="4" w:space="0"/>
            </w:tcBorders>
            <w:shd w:val="clear" w:color="auto" w:fill="BFBFBF"/>
            <w:noWrap w:val="0"/>
            <w:vAlign w:val="top"/>
          </w:tcPr>
          <w:p w14:paraId="3C6CFA1C">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保障人员投入</w:t>
            </w:r>
          </w:p>
        </w:tc>
        <w:tc>
          <w:tcPr>
            <w:tcW w:w="2074" w:type="dxa"/>
            <w:tcBorders>
              <w:top w:val="single" w:color="000000" w:sz="4" w:space="0"/>
              <w:left w:val="nil"/>
              <w:bottom w:val="single" w:color="000000" w:sz="4" w:space="0"/>
              <w:right w:val="single" w:color="000000" w:sz="4" w:space="0"/>
            </w:tcBorders>
            <w:shd w:val="clear" w:color="auto" w:fill="BFBFBF"/>
            <w:noWrap w:val="0"/>
            <w:vAlign w:val="top"/>
          </w:tcPr>
          <w:p w14:paraId="2D410C67">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保障资源投入</w:t>
            </w:r>
          </w:p>
        </w:tc>
        <w:tc>
          <w:tcPr>
            <w:tcW w:w="2082" w:type="dxa"/>
            <w:tcBorders>
              <w:top w:val="single" w:color="000000" w:sz="4" w:space="0"/>
              <w:left w:val="nil"/>
              <w:bottom w:val="single" w:color="000000" w:sz="4" w:space="0"/>
              <w:right w:val="single" w:color="000000" w:sz="4" w:space="0"/>
            </w:tcBorders>
            <w:shd w:val="clear" w:color="auto" w:fill="BFBFBF"/>
            <w:noWrap w:val="0"/>
            <w:vAlign w:val="top"/>
          </w:tcPr>
          <w:p w14:paraId="1437D21A">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保障启动时间</w:t>
            </w:r>
          </w:p>
        </w:tc>
      </w:tr>
      <w:tr w14:paraId="7FED98A1">
        <w:tblPrEx>
          <w:tblCellMar>
            <w:top w:w="0" w:type="dxa"/>
            <w:left w:w="108" w:type="dxa"/>
            <w:bottom w:w="0" w:type="dxa"/>
            <w:right w:w="108" w:type="dxa"/>
          </w:tblCellMar>
        </w:tblPrEx>
        <w:trPr>
          <w:trHeight w:val="177" w:hRule="atLeast"/>
          <w:jc w:val="center"/>
        </w:trPr>
        <w:tc>
          <w:tcPr>
            <w:tcW w:w="1425" w:type="dxa"/>
            <w:vMerge w:val="restart"/>
            <w:tcBorders>
              <w:top w:val="nil"/>
              <w:left w:val="single" w:color="000000" w:sz="4" w:space="0"/>
              <w:bottom w:val="single" w:color="000000" w:sz="4" w:space="0"/>
              <w:right w:val="single" w:color="000000" w:sz="4" w:space="0"/>
            </w:tcBorders>
            <w:noWrap w:val="0"/>
            <w:vAlign w:val="center"/>
          </w:tcPr>
          <w:p w14:paraId="5752B69C">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B类</w:t>
            </w:r>
          </w:p>
          <w:p w14:paraId="1405119E">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任务</w:t>
            </w:r>
          </w:p>
        </w:tc>
        <w:tc>
          <w:tcPr>
            <w:tcW w:w="2445" w:type="dxa"/>
            <w:tcBorders>
              <w:top w:val="single" w:color="000000" w:sz="4" w:space="0"/>
              <w:left w:val="nil"/>
              <w:bottom w:val="single" w:color="000000" w:sz="4" w:space="0"/>
              <w:right w:val="single" w:color="000000" w:sz="4" w:space="0"/>
            </w:tcBorders>
            <w:noWrap w:val="0"/>
            <w:vAlign w:val="center"/>
          </w:tcPr>
          <w:p w14:paraId="2D4FF1CA">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中心</w:t>
            </w:r>
          </w:p>
        </w:tc>
        <w:tc>
          <w:tcPr>
            <w:tcW w:w="2085" w:type="dxa"/>
            <w:tcBorders>
              <w:top w:val="single" w:color="000000" w:sz="4" w:space="0"/>
              <w:left w:val="nil"/>
              <w:bottom w:val="single" w:color="000000" w:sz="4" w:space="0"/>
              <w:right w:val="single" w:color="000000" w:sz="4" w:space="0"/>
            </w:tcBorders>
            <w:noWrap w:val="0"/>
            <w:vAlign w:val="center"/>
          </w:tcPr>
          <w:p w14:paraId="0E073B7D">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w:t>
            </w:r>
          </w:p>
        </w:tc>
        <w:tc>
          <w:tcPr>
            <w:tcW w:w="2074" w:type="dxa"/>
            <w:tcBorders>
              <w:top w:val="single" w:color="000000" w:sz="4" w:space="0"/>
              <w:left w:val="nil"/>
              <w:bottom w:val="single" w:color="000000" w:sz="4" w:space="0"/>
              <w:right w:val="single" w:color="000000" w:sz="4" w:space="0"/>
            </w:tcBorders>
            <w:noWrap w:val="0"/>
            <w:vAlign w:val="center"/>
          </w:tcPr>
          <w:p w14:paraId="40E2D649">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系统备件</w:t>
            </w:r>
          </w:p>
        </w:tc>
        <w:tc>
          <w:tcPr>
            <w:tcW w:w="2082" w:type="dxa"/>
            <w:tcBorders>
              <w:top w:val="single" w:color="000000" w:sz="4" w:space="0"/>
              <w:left w:val="nil"/>
              <w:bottom w:val="single" w:color="000000" w:sz="4" w:space="0"/>
              <w:right w:val="single" w:color="000000" w:sz="4" w:space="0"/>
            </w:tcBorders>
            <w:noWrap w:val="0"/>
            <w:vAlign w:val="center"/>
          </w:tcPr>
          <w:p w14:paraId="599F40BA">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安保前2小时</w:t>
            </w:r>
          </w:p>
        </w:tc>
      </w:tr>
      <w:tr w14:paraId="1917F99F">
        <w:tblPrEx>
          <w:tblCellMar>
            <w:top w:w="0" w:type="dxa"/>
            <w:left w:w="108" w:type="dxa"/>
            <w:bottom w:w="0" w:type="dxa"/>
            <w:right w:w="108" w:type="dxa"/>
          </w:tblCellMar>
        </w:tblPrEx>
        <w:trPr>
          <w:trHeight w:val="153" w:hRule="atLeast"/>
          <w:jc w:val="center"/>
        </w:trPr>
        <w:tc>
          <w:tcPr>
            <w:tcW w:w="1425" w:type="dxa"/>
            <w:vMerge w:val="continue"/>
            <w:tcBorders>
              <w:top w:val="nil"/>
              <w:left w:val="single" w:color="000000" w:sz="4" w:space="0"/>
              <w:bottom w:val="single" w:color="000000" w:sz="4" w:space="0"/>
              <w:right w:val="single" w:color="000000" w:sz="4" w:space="0"/>
            </w:tcBorders>
            <w:noWrap w:val="0"/>
            <w:vAlign w:val="center"/>
          </w:tcPr>
          <w:p w14:paraId="33B3A4FC">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tcBorders>
              <w:top w:val="single" w:color="000000" w:sz="4" w:space="0"/>
              <w:left w:val="nil"/>
              <w:bottom w:val="single" w:color="000000" w:sz="4" w:space="0"/>
              <w:right w:val="single" w:color="000000" w:sz="4" w:space="0"/>
            </w:tcBorders>
            <w:noWrap w:val="0"/>
            <w:vAlign w:val="center"/>
          </w:tcPr>
          <w:p w14:paraId="04C39ADF">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客户机房</w:t>
            </w:r>
          </w:p>
        </w:tc>
        <w:tc>
          <w:tcPr>
            <w:tcW w:w="2085" w:type="dxa"/>
            <w:tcBorders>
              <w:top w:val="single" w:color="000000" w:sz="4" w:space="0"/>
              <w:left w:val="nil"/>
              <w:bottom w:val="single" w:color="000000" w:sz="4" w:space="0"/>
              <w:right w:val="single" w:color="000000" w:sz="4" w:space="0"/>
            </w:tcBorders>
            <w:noWrap w:val="0"/>
            <w:vAlign w:val="center"/>
          </w:tcPr>
          <w:p w14:paraId="4FC95D69">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w:t>
            </w:r>
          </w:p>
        </w:tc>
        <w:tc>
          <w:tcPr>
            <w:tcW w:w="2074" w:type="dxa"/>
            <w:tcBorders>
              <w:top w:val="single" w:color="000000" w:sz="4" w:space="0"/>
              <w:left w:val="nil"/>
              <w:bottom w:val="single" w:color="000000" w:sz="4" w:space="0"/>
              <w:right w:val="single" w:color="000000" w:sz="4" w:space="0"/>
            </w:tcBorders>
            <w:noWrap w:val="0"/>
            <w:vAlign w:val="center"/>
          </w:tcPr>
          <w:p w14:paraId="7CB568C4">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终端</w:t>
            </w:r>
          </w:p>
        </w:tc>
        <w:tc>
          <w:tcPr>
            <w:tcW w:w="2082" w:type="dxa"/>
            <w:tcBorders>
              <w:top w:val="single" w:color="000000" w:sz="4" w:space="0"/>
              <w:left w:val="nil"/>
              <w:bottom w:val="single" w:color="000000" w:sz="4" w:space="0"/>
              <w:right w:val="single" w:color="000000" w:sz="4" w:space="0"/>
            </w:tcBorders>
            <w:noWrap w:val="0"/>
            <w:vAlign w:val="center"/>
          </w:tcPr>
          <w:p w14:paraId="4AA922AC">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安保前1小时</w:t>
            </w:r>
          </w:p>
        </w:tc>
      </w:tr>
      <w:tr w14:paraId="7DE5BB3C">
        <w:tblPrEx>
          <w:tblCellMar>
            <w:top w:w="0" w:type="dxa"/>
            <w:left w:w="108" w:type="dxa"/>
            <w:bottom w:w="0" w:type="dxa"/>
            <w:right w:w="108" w:type="dxa"/>
          </w:tblCellMar>
        </w:tblPrEx>
        <w:trPr>
          <w:trHeight w:val="193" w:hRule="atLeast"/>
          <w:jc w:val="center"/>
        </w:trPr>
        <w:tc>
          <w:tcPr>
            <w:tcW w:w="1425" w:type="dxa"/>
            <w:vMerge w:val="continue"/>
            <w:tcBorders>
              <w:top w:val="nil"/>
              <w:left w:val="single" w:color="000000" w:sz="4" w:space="0"/>
              <w:bottom w:val="single" w:color="000000" w:sz="4" w:space="0"/>
              <w:right w:val="single" w:color="000000" w:sz="4" w:space="0"/>
            </w:tcBorders>
            <w:noWrap w:val="0"/>
            <w:vAlign w:val="center"/>
          </w:tcPr>
          <w:p w14:paraId="7A2E2332">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tcBorders>
              <w:top w:val="single" w:color="000000" w:sz="4" w:space="0"/>
              <w:left w:val="nil"/>
              <w:bottom w:val="single" w:color="000000" w:sz="4" w:space="0"/>
              <w:right w:val="single" w:color="000000" w:sz="4" w:space="0"/>
            </w:tcBorders>
            <w:noWrap w:val="0"/>
            <w:vAlign w:val="center"/>
          </w:tcPr>
          <w:p w14:paraId="27EADB68">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指挥中心</w:t>
            </w:r>
          </w:p>
        </w:tc>
        <w:tc>
          <w:tcPr>
            <w:tcW w:w="2085" w:type="dxa"/>
            <w:tcBorders>
              <w:top w:val="single" w:color="000000" w:sz="4" w:space="0"/>
              <w:left w:val="nil"/>
              <w:bottom w:val="single" w:color="000000" w:sz="4" w:space="0"/>
              <w:right w:val="single" w:color="000000" w:sz="4" w:space="0"/>
            </w:tcBorders>
            <w:noWrap w:val="0"/>
            <w:vAlign w:val="center"/>
          </w:tcPr>
          <w:p w14:paraId="5C81C18C">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w:t>
            </w:r>
          </w:p>
        </w:tc>
        <w:tc>
          <w:tcPr>
            <w:tcW w:w="2074" w:type="dxa"/>
            <w:tcBorders>
              <w:top w:val="single" w:color="000000" w:sz="4" w:space="0"/>
              <w:left w:val="nil"/>
              <w:bottom w:val="single" w:color="000000" w:sz="4" w:space="0"/>
              <w:right w:val="single" w:color="000000" w:sz="4" w:space="0"/>
            </w:tcBorders>
            <w:noWrap w:val="0"/>
            <w:vAlign w:val="center"/>
          </w:tcPr>
          <w:p w14:paraId="6A633ED5">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终端</w:t>
            </w:r>
          </w:p>
        </w:tc>
        <w:tc>
          <w:tcPr>
            <w:tcW w:w="2082" w:type="dxa"/>
            <w:tcBorders>
              <w:top w:val="single" w:color="000000" w:sz="4" w:space="0"/>
              <w:left w:val="nil"/>
              <w:bottom w:val="single" w:color="000000" w:sz="4" w:space="0"/>
              <w:right w:val="single" w:color="000000" w:sz="4" w:space="0"/>
            </w:tcBorders>
            <w:noWrap w:val="0"/>
            <w:vAlign w:val="center"/>
          </w:tcPr>
          <w:p w14:paraId="1E93C46F">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同步客户</w:t>
            </w:r>
          </w:p>
        </w:tc>
      </w:tr>
    </w:tbl>
    <w:p w14:paraId="4A32B236">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bl>
      <w:tblPr>
        <w:tblStyle w:val="35"/>
        <w:tblW w:w="10075" w:type="dxa"/>
        <w:jc w:val="center"/>
        <w:tblLayout w:type="fixed"/>
        <w:tblCellMar>
          <w:top w:w="0" w:type="dxa"/>
          <w:left w:w="108" w:type="dxa"/>
          <w:bottom w:w="0" w:type="dxa"/>
          <w:right w:w="108" w:type="dxa"/>
        </w:tblCellMar>
      </w:tblPr>
      <w:tblGrid>
        <w:gridCol w:w="1392"/>
        <w:gridCol w:w="2445"/>
        <w:gridCol w:w="2100"/>
        <w:gridCol w:w="2070"/>
        <w:gridCol w:w="2068"/>
      </w:tblGrid>
      <w:tr w14:paraId="6E6EFE88">
        <w:tblPrEx>
          <w:tblCellMar>
            <w:top w:w="0" w:type="dxa"/>
            <w:left w:w="108" w:type="dxa"/>
            <w:bottom w:w="0" w:type="dxa"/>
            <w:right w:w="108" w:type="dxa"/>
          </w:tblCellMar>
        </w:tblPrEx>
        <w:trPr>
          <w:trHeight w:val="116" w:hRule="atLeast"/>
          <w:jc w:val="center"/>
        </w:trPr>
        <w:tc>
          <w:tcPr>
            <w:tcW w:w="1392"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7022111B">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任务级别</w:t>
            </w:r>
          </w:p>
        </w:tc>
        <w:tc>
          <w:tcPr>
            <w:tcW w:w="2445" w:type="dxa"/>
            <w:tcBorders>
              <w:top w:val="single" w:color="000000" w:sz="4" w:space="0"/>
              <w:left w:val="nil"/>
              <w:bottom w:val="single" w:color="000000" w:sz="4" w:space="0"/>
              <w:right w:val="single" w:color="000000" w:sz="4" w:space="0"/>
            </w:tcBorders>
            <w:shd w:val="clear" w:color="auto" w:fill="BFBFBF"/>
            <w:noWrap w:val="0"/>
            <w:vAlign w:val="center"/>
          </w:tcPr>
          <w:p w14:paraId="532C106D">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保障地点</w:t>
            </w:r>
          </w:p>
        </w:tc>
        <w:tc>
          <w:tcPr>
            <w:tcW w:w="2100" w:type="dxa"/>
            <w:tcBorders>
              <w:top w:val="single" w:color="000000" w:sz="4" w:space="0"/>
              <w:left w:val="nil"/>
              <w:bottom w:val="single" w:color="000000" w:sz="4" w:space="0"/>
              <w:right w:val="single" w:color="000000" w:sz="4" w:space="0"/>
            </w:tcBorders>
            <w:shd w:val="clear" w:color="auto" w:fill="BFBFBF"/>
            <w:noWrap w:val="0"/>
            <w:vAlign w:val="center"/>
          </w:tcPr>
          <w:p w14:paraId="044E4696">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保障人员投入</w:t>
            </w:r>
          </w:p>
        </w:tc>
        <w:tc>
          <w:tcPr>
            <w:tcW w:w="2070" w:type="dxa"/>
            <w:tcBorders>
              <w:top w:val="single" w:color="000000" w:sz="4" w:space="0"/>
              <w:left w:val="nil"/>
              <w:bottom w:val="single" w:color="000000" w:sz="4" w:space="0"/>
              <w:right w:val="single" w:color="000000" w:sz="4" w:space="0"/>
            </w:tcBorders>
            <w:shd w:val="clear" w:color="auto" w:fill="BFBFBF"/>
            <w:noWrap w:val="0"/>
            <w:vAlign w:val="center"/>
          </w:tcPr>
          <w:p w14:paraId="2084BE82">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保障资源投入</w:t>
            </w:r>
          </w:p>
        </w:tc>
        <w:tc>
          <w:tcPr>
            <w:tcW w:w="2068" w:type="dxa"/>
            <w:tcBorders>
              <w:top w:val="single" w:color="000000" w:sz="4" w:space="0"/>
              <w:left w:val="nil"/>
              <w:bottom w:val="single" w:color="000000" w:sz="4" w:space="0"/>
              <w:right w:val="single" w:color="000000" w:sz="4" w:space="0"/>
            </w:tcBorders>
            <w:shd w:val="clear" w:color="auto" w:fill="BFBFBF"/>
            <w:noWrap w:val="0"/>
            <w:vAlign w:val="center"/>
          </w:tcPr>
          <w:p w14:paraId="3549442E">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保障启动时间</w:t>
            </w:r>
          </w:p>
        </w:tc>
      </w:tr>
      <w:tr w14:paraId="41661522">
        <w:tblPrEx>
          <w:tblCellMar>
            <w:top w:w="0" w:type="dxa"/>
            <w:left w:w="108" w:type="dxa"/>
            <w:bottom w:w="0" w:type="dxa"/>
            <w:right w:w="108" w:type="dxa"/>
          </w:tblCellMar>
        </w:tblPrEx>
        <w:trPr>
          <w:trHeight w:val="116" w:hRule="atLeast"/>
          <w:jc w:val="center"/>
        </w:trPr>
        <w:tc>
          <w:tcPr>
            <w:tcW w:w="1392" w:type="dxa"/>
            <w:vMerge w:val="restart"/>
            <w:tcBorders>
              <w:top w:val="nil"/>
              <w:left w:val="single" w:color="000000" w:sz="4" w:space="0"/>
              <w:bottom w:val="single" w:color="000000" w:sz="4" w:space="0"/>
              <w:right w:val="single" w:color="000000" w:sz="4" w:space="0"/>
            </w:tcBorders>
            <w:noWrap w:val="0"/>
            <w:vAlign w:val="center"/>
          </w:tcPr>
          <w:p w14:paraId="159C4B99">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C类</w:t>
            </w:r>
          </w:p>
          <w:p w14:paraId="3208C0B4">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任务</w:t>
            </w:r>
          </w:p>
        </w:tc>
        <w:tc>
          <w:tcPr>
            <w:tcW w:w="2445" w:type="dxa"/>
            <w:tcBorders>
              <w:top w:val="single" w:color="000000" w:sz="4" w:space="0"/>
              <w:left w:val="nil"/>
              <w:bottom w:val="single" w:color="000000" w:sz="4" w:space="0"/>
              <w:right w:val="single" w:color="000000" w:sz="4" w:space="0"/>
            </w:tcBorders>
            <w:noWrap w:val="0"/>
            <w:vAlign w:val="center"/>
          </w:tcPr>
          <w:p w14:paraId="4C1FCBF0">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中心</w:t>
            </w:r>
          </w:p>
        </w:tc>
        <w:tc>
          <w:tcPr>
            <w:tcW w:w="2100" w:type="dxa"/>
            <w:tcBorders>
              <w:top w:val="single" w:color="000000" w:sz="4" w:space="0"/>
              <w:left w:val="nil"/>
              <w:bottom w:val="single" w:color="000000" w:sz="4" w:space="0"/>
              <w:right w:val="single" w:color="000000" w:sz="4" w:space="0"/>
            </w:tcBorders>
            <w:noWrap w:val="0"/>
            <w:vAlign w:val="center"/>
          </w:tcPr>
          <w:p w14:paraId="5AADD2D8">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w:t>
            </w:r>
          </w:p>
        </w:tc>
        <w:tc>
          <w:tcPr>
            <w:tcW w:w="2070" w:type="dxa"/>
            <w:tcBorders>
              <w:top w:val="single" w:color="000000" w:sz="4" w:space="0"/>
              <w:left w:val="nil"/>
              <w:bottom w:val="single" w:color="000000" w:sz="4" w:space="0"/>
              <w:right w:val="single" w:color="000000" w:sz="4" w:space="0"/>
            </w:tcBorders>
            <w:noWrap w:val="0"/>
            <w:vAlign w:val="center"/>
          </w:tcPr>
          <w:p w14:paraId="295FD7B1">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系统备件</w:t>
            </w:r>
          </w:p>
        </w:tc>
        <w:tc>
          <w:tcPr>
            <w:tcW w:w="2068" w:type="dxa"/>
            <w:tcBorders>
              <w:top w:val="single" w:color="000000" w:sz="4" w:space="0"/>
              <w:left w:val="nil"/>
              <w:bottom w:val="single" w:color="000000" w:sz="4" w:space="0"/>
              <w:right w:val="single" w:color="000000" w:sz="4" w:space="0"/>
            </w:tcBorders>
            <w:noWrap w:val="0"/>
            <w:vAlign w:val="center"/>
          </w:tcPr>
          <w:p w14:paraId="779A75DA">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安保前1小时</w:t>
            </w:r>
          </w:p>
        </w:tc>
      </w:tr>
      <w:tr w14:paraId="34E14CE1">
        <w:tblPrEx>
          <w:tblCellMar>
            <w:top w:w="0" w:type="dxa"/>
            <w:left w:w="108" w:type="dxa"/>
            <w:bottom w:w="0" w:type="dxa"/>
            <w:right w:w="108" w:type="dxa"/>
          </w:tblCellMar>
        </w:tblPrEx>
        <w:trPr>
          <w:trHeight w:val="90" w:hRule="atLeast"/>
          <w:jc w:val="center"/>
        </w:trPr>
        <w:tc>
          <w:tcPr>
            <w:tcW w:w="1392" w:type="dxa"/>
            <w:vMerge w:val="continue"/>
            <w:tcBorders>
              <w:top w:val="nil"/>
              <w:left w:val="single" w:color="000000" w:sz="4" w:space="0"/>
              <w:bottom w:val="single" w:color="000000" w:sz="4" w:space="0"/>
              <w:right w:val="single" w:color="000000" w:sz="4" w:space="0"/>
            </w:tcBorders>
            <w:noWrap w:val="0"/>
            <w:vAlign w:val="center"/>
          </w:tcPr>
          <w:p w14:paraId="39DDBDE7">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tcBorders>
              <w:top w:val="single" w:color="000000" w:sz="4" w:space="0"/>
              <w:left w:val="nil"/>
              <w:bottom w:val="single" w:color="000000" w:sz="4" w:space="0"/>
              <w:right w:val="single" w:color="000000" w:sz="4" w:space="0"/>
            </w:tcBorders>
            <w:noWrap w:val="0"/>
            <w:vAlign w:val="center"/>
          </w:tcPr>
          <w:p w14:paraId="78D3EA33">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客户机房</w:t>
            </w:r>
          </w:p>
        </w:tc>
        <w:tc>
          <w:tcPr>
            <w:tcW w:w="2100" w:type="dxa"/>
            <w:tcBorders>
              <w:top w:val="single" w:color="000000" w:sz="4" w:space="0"/>
              <w:left w:val="nil"/>
              <w:bottom w:val="single" w:color="000000" w:sz="4" w:space="0"/>
              <w:right w:val="single" w:color="000000" w:sz="4" w:space="0"/>
            </w:tcBorders>
            <w:noWrap w:val="0"/>
            <w:vAlign w:val="center"/>
          </w:tcPr>
          <w:p w14:paraId="4142C611">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w:t>
            </w:r>
          </w:p>
        </w:tc>
        <w:tc>
          <w:tcPr>
            <w:tcW w:w="2070" w:type="dxa"/>
            <w:tcBorders>
              <w:top w:val="single" w:color="000000" w:sz="4" w:space="0"/>
              <w:left w:val="nil"/>
              <w:bottom w:val="single" w:color="000000" w:sz="4" w:space="0"/>
              <w:right w:val="single" w:color="000000" w:sz="4" w:space="0"/>
            </w:tcBorders>
            <w:noWrap w:val="0"/>
            <w:vAlign w:val="center"/>
          </w:tcPr>
          <w:p w14:paraId="054E838C">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终端</w:t>
            </w:r>
          </w:p>
        </w:tc>
        <w:tc>
          <w:tcPr>
            <w:tcW w:w="2068" w:type="dxa"/>
            <w:tcBorders>
              <w:top w:val="single" w:color="000000" w:sz="4" w:space="0"/>
              <w:left w:val="nil"/>
              <w:bottom w:val="single" w:color="000000" w:sz="4" w:space="0"/>
              <w:right w:val="single" w:color="000000" w:sz="4" w:space="0"/>
            </w:tcBorders>
            <w:noWrap w:val="0"/>
            <w:vAlign w:val="center"/>
          </w:tcPr>
          <w:p w14:paraId="47BE3A5D">
            <w:pPr>
              <w:pageBreakBefore w:val="0"/>
              <w:kinsoku/>
              <w:wordWrap/>
              <w:overflowPunct/>
              <w:topLinePunct w:val="0"/>
              <w:autoSpaceDE/>
              <w:autoSpaceDN/>
              <w:bidi w:val="0"/>
              <w:adjustRightInd/>
              <w:snapToGrid/>
              <w:spacing w:line="400" w:lineRule="exact"/>
              <w:ind w:right="84" w:rightChars="4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同步客户</w:t>
            </w:r>
          </w:p>
        </w:tc>
      </w:tr>
    </w:tbl>
    <w:p w14:paraId="2D1F74C4">
      <w:pPr>
        <w:pStyle w:val="92"/>
        <w:pageBreakBefore w:val="0"/>
        <w:numPr>
          <w:ilvl w:val="0"/>
          <w:numId w:val="16"/>
        </w:numPr>
        <w:kinsoku/>
        <w:wordWrap/>
        <w:overflowPunct/>
        <w:topLinePunct w:val="0"/>
        <w:autoSpaceDE/>
        <w:autoSpaceDN/>
        <w:bidi w:val="0"/>
        <w:adjustRightInd/>
        <w:snapToGrid/>
        <w:spacing w:line="400" w:lineRule="exact"/>
        <w:ind w:left="426"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125" w:name="_Toc6985"/>
      <w:bookmarkEnd w:id="125"/>
      <w:bookmarkStart w:id="126" w:name="_Toc14731"/>
      <w:bookmarkEnd w:id="126"/>
      <w:bookmarkStart w:id="127" w:name="_Toc482015954"/>
      <w:r>
        <w:rPr>
          <w:rFonts w:hint="eastAsia" w:ascii="宋体" w:hAnsi="宋体" w:eastAsia="宋体" w:cs="宋体"/>
          <w:b/>
          <w:bCs/>
          <w:color w:val="000000" w:themeColor="text1"/>
          <w:sz w:val="24"/>
          <w:szCs w:val="24"/>
          <w:highlight w:val="none"/>
          <w14:textFill>
            <w14:solidFill>
              <w14:schemeClr w14:val="tx1"/>
            </w14:solidFill>
          </w14:textFill>
        </w:rPr>
        <w:t>系统巡检</w:t>
      </w:r>
      <w:bookmarkEnd w:id="127"/>
      <w:r>
        <w:rPr>
          <w:rFonts w:hint="eastAsia" w:ascii="宋体" w:hAnsi="宋体" w:eastAsia="宋体" w:cs="宋体"/>
          <w:b/>
          <w:bCs/>
          <w:color w:val="000000" w:themeColor="text1"/>
          <w:sz w:val="24"/>
          <w:szCs w:val="24"/>
          <w:highlight w:val="none"/>
          <w14:textFill>
            <w14:solidFill>
              <w14:schemeClr w14:val="tx1"/>
            </w14:solidFill>
          </w14:textFill>
        </w:rPr>
        <w:t>服务</w:t>
      </w:r>
    </w:p>
    <w:p w14:paraId="54F82B17">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巡检是维护工作最基本最重要的工作，也是整个维护工作顺利开展的前提，巡检分为日常巡检、重大勤务巡检，其中包含设备及卫生环境清洁、资源数据采集、设备运行状态检测、隐患告警检查、故障维护处理等众多工作内容。</w:t>
      </w:r>
    </w:p>
    <w:p w14:paraId="0D09497C">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128" w:name="_Toc8545"/>
      <w:bookmarkEnd w:id="128"/>
      <w:bookmarkStart w:id="129" w:name="_Toc482015955"/>
      <w:r>
        <w:rPr>
          <w:rFonts w:hint="eastAsia" w:ascii="宋体" w:hAnsi="宋体" w:eastAsia="宋体" w:cs="宋体"/>
          <w:b/>
          <w:color w:val="000000" w:themeColor="text1"/>
          <w:sz w:val="24"/>
          <w:szCs w:val="24"/>
          <w:highlight w:val="none"/>
          <w14:textFill>
            <w14:solidFill>
              <w14:schemeClr w14:val="tx1"/>
            </w14:solidFill>
          </w14:textFill>
        </w:rPr>
        <w:t>巡检工作原则</w:t>
      </w:r>
      <w:bookmarkEnd w:id="129"/>
    </w:p>
    <w:p w14:paraId="0D62F781">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根据相应要求，对系统及基站进行巡检记录存档；</w:t>
      </w:r>
    </w:p>
    <w:p w14:paraId="27F2D7EA">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记录中心和基站设备运行状况，不在维护范围之内的设备运行情况也将做简单的记录；</w:t>
      </w:r>
    </w:p>
    <w:p w14:paraId="3AA28436">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对中心和基站发现的问题一律拍照，并汇报相关责任人进行跟进处理；</w:t>
      </w:r>
    </w:p>
    <w:p w14:paraId="77B65FA7">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巡检时，每个巡检小组必须带齐工具、仪表、材料配备，避免巡检过程中由于工具、仪表、材料不足影响巡检质量；</w:t>
      </w:r>
    </w:p>
    <w:p w14:paraId="62AA2CC4">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每个巡检周期召开巡检总结会，总结巡检中存在的问题，建立巡检经验资料库。</w:t>
      </w:r>
    </w:p>
    <w:p w14:paraId="247C01F8">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130" w:name="_Toc1918"/>
      <w:bookmarkEnd w:id="130"/>
      <w:bookmarkStart w:id="131" w:name="_Toc482015956"/>
      <w:r>
        <w:rPr>
          <w:rFonts w:hint="eastAsia" w:ascii="宋体" w:hAnsi="宋体" w:eastAsia="宋体" w:cs="宋体"/>
          <w:b/>
          <w:color w:val="000000" w:themeColor="text1"/>
          <w:sz w:val="24"/>
          <w:szCs w:val="24"/>
          <w:highlight w:val="none"/>
          <w14:textFill>
            <w14:solidFill>
              <w14:schemeClr w14:val="tx1"/>
            </w14:solidFill>
          </w14:textFill>
        </w:rPr>
        <w:t>巡检工作内容</w:t>
      </w:r>
      <w:bookmarkEnd w:id="131"/>
    </w:p>
    <w:tbl>
      <w:tblPr>
        <w:tblStyle w:val="35"/>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8"/>
        <w:gridCol w:w="1205"/>
        <w:gridCol w:w="6952"/>
      </w:tblGrid>
      <w:tr w14:paraId="6305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noWrap w:val="0"/>
            <w:vAlign w:val="center"/>
          </w:tcPr>
          <w:p w14:paraId="6CDF584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128" w:type="dxa"/>
            <w:noWrap w:val="0"/>
            <w:vAlign w:val="center"/>
          </w:tcPr>
          <w:p w14:paraId="5FF120F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检查模块</w:t>
            </w:r>
          </w:p>
        </w:tc>
        <w:tc>
          <w:tcPr>
            <w:tcW w:w="1205" w:type="dxa"/>
            <w:noWrap w:val="0"/>
            <w:vAlign w:val="center"/>
          </w:tcPr>
          <w:p w14:paraId="2EA538D2">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维护细项</w:t>
            </w:r>
          </w:p>
        </w:tc>
        <w:tc>
          <w:tcPr>
            <w:tcW w:w="6952" w:type="dxa"/>
            <w:noWrap w:val="0"/>
            <w:vAlign w:val="center"/>
          </w:tcPr>
          <w:p w14:paraId="39C803B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检查内容</w:t>
            </w:r>
          </w:p>
        </w:tc>
      </w:tr>
      <w:tr w14:paraId="2742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restart"/>
            <w:noWrap w:val="0"/>
            <w:vAlign w:val="center"/>
          </w:tcPr>
          <w:p w14:paraId="13FD704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128" w:type="dxa"/>
            <w:vMerge w:val="restart"/>
            <w:noWrap w:val="0"/>
            <w:vAlign w:val="center"/>
          </w:tcPr>
          <w:p w14:paraId="03BF2ED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环境</w:t>
            </w:r>
          </w:p>
        </w:tc>
        <w:tc>
          <w:tcPr>
            <w:tcW w:w="1205" w:type="dxa"/>
            <w:vMerge w:val="restart"/>
            <w:noWrap w:val="0"/>
            <w:vAlign w:val="center"/>
          </w:tcPr>
          <w:p w14:paraId="3764592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设备清洁</w:t>
            </w:r>
          </w:p>
        </w:tc>
        <w:tc>
          <w:tcPr>
            <w:tcW w:w="6952" w:type="dxa"/>
            <w:noWrap w:val="0"/>
            <w:vAlign w:val="center"/>
          </w:tcPr>
          <w:p w14:paraId="3E1E2CE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基站内所有设备机柜/架</w:t>
            </w:r>
          </w:p>
          <w:p w14:paraId="2567F6A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表面（包括机柜表面、柜顶、设备面板）的清洁</w:t>
            </w:r>
          </w:p>
        </w:tc>
      </w:tr>
      <w:tr w14:paraId="0EFF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6E1DAE9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4161E880">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665878D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6C47A5F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基站内设备风扇组件及滤尘网的清洗（清洗后需晾干方可装入机柜）</w:t>
            </w:r>
          </w:p>
        </w:tc>
      </w:tr>
      <w:tr w14:paraId="3BC0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5DDBEE4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7D49C5C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6BD7624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1E4DBAE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蓄电池表面及连接条的清洁</w:t>
            </w:r>
          </w:p>
        </w:tc>
      </w:tr>
      <w:tr w14:paraId="6997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53C70B4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678E1707">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noWrap w:val="0"/>
            <w:vAlign w:val="center"/>
          </w:tcPr>
          <w:p w14:paraId="2A70C7B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机房构造</w:t>
            </w:r>
          </w:p>
        </w:tc>
        <w:tc>
          <w:tcPr>
            <w:tcW w:w="6952" w:type="dxa"/>
            <w:noWrap w:val="0"/>
            <w:vAlign w:val="center"/>
          </w:tcPr>
          <w:p w14:paraId="373AB2C9">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检查机房墙壁、馈线孔、空调孔、门窗是否封堵严密或有渗漏，发现有安全隐患时要做好孔洞封堵等整改工作，做好防尘、防潮、防虫、防鼠；检查门窗、门锁及防盗网等防盗设施，有破损要及时通知甲方</w:t>
            </w:r>
          </w:p>
        </w:tc>
      </w:tr>
      <w:tr w14:paraId="7903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0638B3E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7168F5A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noWrap w:val="0"/>
            <w:vAlign w:val="center"/>
          </w:tcPr>
          <w:p w14:paraId="1E8E2D8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机房环境</w:t>
            </w:r>
          </w:p>
        </w:tc>
        <w:tc>
          <w:tcPr>
            <w:tcW w:w="6952" w:type="dxa"/>
            <w:noWrap w:val="0"/>
            <w:vAlign w:val="center"/>
          </w:tcPr>
          <w:p w14:paraId="0D1ECE8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检查机房温度、湿度是否正常；检查室内照明，插座供电情况；检查基站设备及地面是否清洁干净，基站内不得存放易燃易爆物品，不得存放纸箱、木箱等工程废料</w:t>
            </w:r>
          </w:p>
        </w:tc>
      </w:tr>
      <w:tr w14:paraId="2E0A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restart"/>
            <w:noWrap w:val="0"/>
            <w:vAlign w:val="center"/>
          </w:tcPr>
          <w:p w14:paraId="122A6B8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128" w:type="dxa"/>
            <w:vMerge w:val="restart"/>
            <w:noWrap w:val="0"/>
            <w:vAlign w:val="center"/>
          </w:tcPr>
          <w:p w14:paraId="1188709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w:t>
            </w:r>
          </w:p>
        </w:tc>
        <w:tc>
          <w:tcPr>
            <w:tcW w:w="1205" w:type="dxa"/>
            <w:vMerge w:val="restart"/>
            <w:noWrap w:val="0"/>
            <w:vAlign w:val="center"/>
          </w:tcPr>
          <w:p w14:paraId="76C9C66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PDT主设备</w:t>
            </w:r>
          </w:p>
        </w:tc>
        <w:tc>
          <w:tcPr>
            <w:tcW w:w="6952" w:type="dxa"/>
            <w:noWrap w:val="0"/>
            <w:vAlign w:val="center"/>
          </w:tcPr>
          <w:p w14:paraId="5370553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检查设备板卡指示灯状态、运行是否正常，有无告警</w:t>
            </w:r>
          </w:p>
        </w:tc>
      </w:tr>
      <w:tr w14:paraId="2B06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7B2332E7">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55B9435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4CB3F99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4F9A8DF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检查调度台和网管软件运行是否正常，是否有告警信息及链路问题</w:t>
            </w:r>
          </w:p>
        </w:tc>
      </w:tr>
      <w:tr w14:paraId="76B0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2564C84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0324586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5E385A9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46259EB7">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检查调度服务器，录音服务器等设备，运行是否正常，磁盘是否存满</w:t>
            </w:r>
          </w:p>
        </w:tc>
      </w:tr>
      <w:tr w14:paraId="1CB9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264D672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11F1DD5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2B2B78B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563BA56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检查MTU、MSO运行状态</w:t>
            </w:r>
          </w:p>
        </w:tc>
      </w:tr>
      <w:tr w14:paraId="3BA2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47FAE8C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0B2585B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4B8A218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4B3EC1C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检查中心其他设备的运行情况</w:t>
            </w:r>
          </w:p>
        </w:tc>
      </w:tr>
      <w:tr w14:paraId="284E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5A1004B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33CDE78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5F36B3B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364F87B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w:t>
            </w:r>
            <w:r>
              <w:rPr>
                <w:rFonts w:hint="eastAsia" w:ascii="宋体" w:hAnsi="宋体" w:eastAsia="宋体" w:cs="宋体"/>
                <w:color w:val="000000" w:themeColor="text1"/>
                <w:sz w:val="24"/>
                <w:szCs w:val="24"/>
                <w:highlight w:val="none"/>
                <w:lang w:val="en-US" w:eastAsia="zh-CN"/>
                <w14:textFill>
                  <w14:solidFill>
                    <w14:schemeClr w14:val="tx1"/>
                  </w14:solidFill>
                </w14:textFill>
              </w:rPr>
              <w:t>定位</w:t>
            </w:r>
            <w:r>
              <w:rPr>
                <w:rFonts w:hint="eastAsia" w:ascii="宋体" w:hAnsi="宋体" w:eastAsia="宋体" w:cs="宋体"/>
                <w:color w:val="000000" w:themeColor="text1"/>
                <w:sz w:val="24"/>
                <w:szCs w:val="24"/>
                <w:highlight w:val="none"/>
                <w14:textFill>
                  <w14:solidFill>
                    <w14:schemeClr w14:val="tx1"/>
                  </w14:solidFill>
                </w14:textFill>
              </w:rPr>
              <w:t>状态、是否锁定卫星</w:t>
            </w:r>
          </w:p>
        </w:tc>
      </w:tr>
      <w:tr w14:paraId="7035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2E276B9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6E03CBC7">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2211ECF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0C77D83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检查各模块运行是否正常</w:t>
            </w:r>
          </w:p>
        </w:tc>
      </w:tr>
      <w:tr w14:paraId="6E94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195C53C2">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740B937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7F12B69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2D0160D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检查设备供电是否正常</w:t>
            </w:r>
          </w:p>
        </w:tc>
      </w:tr>
      <w:tr w14:paraId="583E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63A2F9A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299291D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5CEF583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045F652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检查线缆连接是否牢固，网线有无松动，网口灯是否正常</w:t>
            </w:r>
          </w:p>
        </w:tc>
      </w:tr>
      <w:tr w14:paraId="53B8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34B20AB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2179BCB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19CFCA49">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37DD330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检查设备供电是否正常</w:t>
            </w:r>
          </w:p>
        </w:tc>
      </w:tr>
      <w:tr w14:paraId="73EF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restart"/>
            <w:noWrap w:val="0"/>
            <w:vAlign w:val="center"/>
          </w:tcPr>
          <w:p w14:paraId="4D105C9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128" w:type="dxa"/>
            <w:vMerge w:val="restart"/>
            <w:noWrap w:val="0"/>
            <w:vAlign w:val="center"/>
          </w:tcPr>
          <w:p w14:paraId="0ED7D600">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电源及空调</w:t>
            </w:r>
          </w:p>
        </w:tc>
        <w:tc>
          <w:tcPr>
            <w:tcW w:w="1205" w:type="dxa"/>
            <w:vMerge w:val="restart"/>
            <w:noWrap w:val="0"/>
            <w:vAlign w:val="center"/>
          </w:tcPr>
          <w:p w14:paraId="703F021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UPS电源</w:t>
            </w:r>
          </w:p>
        </w:tc>
        <w:tc>
          <w:tcPr>
            <w:tcW w:w="6952" w:type="dxa"/>
            <w:noWrap w:val="0"/>
            <w:vAlign w:val="center"/>
          </w:tcPr>
          <w:p w14:paraId="20059670">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检查设备是否有告警</w:t>
            </w:r>
          </w:p>
        </w:tc>
      </w:tr>
      <w:tr w14:paraId="7DC2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64632E0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4F330EF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7316D88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1E7595C7">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检查设备是否正常运行</w:t>
            </w:r>
          </w:p>
        </w:tc>
      </w:tr>
      <w:tr w14:paraId="56FD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32439E0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48D204E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096887A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6A23A5B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检查开关、接头、电缆连接是否正常，是否发热</w:t>
            </w:r>
          </w:p>
        </w:tc>
      </w:tr>
      <w:tr w14:paraId="7E3F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10FE80F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7A07D8E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restart"/>
            <w:noWrap w:val="0"/>
            <w:vAlign w:val="center"/>
          </w:tcPr>
          <w:p w14:paraId="1C640E0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一体化电源</w:t>
            </w:r>
          </w:p>
        </w:tc>
        <w:tc>
          <w:tcPr>
            <w:tcW w:w="6952" w:type="dxa"/>
            <w:noWrap w:val="0"/>
            <w:vAlign w:val="center"/>
          </w:tcPr>
          <w:p w14:paraId="4CBABF1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检查设备运行状态，包括：告警状态、工作状态指示灯等</w:t>
            </w:r>
          </w:p>
        </w:tc>
      </w:tr>
      <w:tr w14:paraId="6208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707569F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7A59C44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3CF5472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451DD122">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检查市电输入、负载输出电压、电流是否正常范围</w:t>
            </w:r>
          </w:p>
        </w:tc>
      </w:tr>
      <w:tr w14:paraId="7B5E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1D67C5D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55090D4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3DA90D9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62C6396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检查C级防雷器和直流侧防雷器工作是否正常，包括外观、颜色、空开、状态指示灯等，检查SPD模块是否发热</w:t>
            </w:r>
          </w:p>
        </w:tc>
      </w:tr>
      <w:tr w14:paraId="49B2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402677C9">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0601BFF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62E2E8E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591603D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检查模块的风扇是否正常</w:t>
            </w:r>
          </w:p>
        </w:tc>
      </w:tr>
      <w:tr w14:paraId="368E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195E32A9">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3844335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4EBC60F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0EB55B0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检查线缆连接：连接电缆接头牢固、无局部过热和老化现象</w:t>
            </w:r>
          </w:p>
        </w:tc>
      </w:tr>
      <w:tr w14:paraId="7AEF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487BCF7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3C4D59B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36161090">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329386B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检查整流模块风扇风道、滤尘网、机柜风道是否有遮拦物和灰尘积累</w:t>
            </w:r>
          </w:p>
        </w:tc>
      </w:tr>
      <w:tr w14:paraId="5D4C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30AE0107">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19560374">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restart"/>
            <w:noWrap w:val="0"/>
            <w:vAlign w:val="center"/>
          </w:tcPr>
          <w:p w14:paraId="317B7FD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传输设备</w:t>
            </w:r>
          </w:p>
        </w:tc>
        <w:tc>
          <w:tcPr>
            <w:tcW w:w="6952" w:type="dxa"/>
            <w:noWrap w:val="0"/>
            <w:vAlign w:val="center"/>
          </w:tcPr>
          <w:p w14:paraId="35D6F8C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检查设备运行是否正常</w:t>
            </w:r>
          </w:p>
        </w:tc>
      </w:tr>
      <w:tr w14:paraId="3628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79E62430">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67E2A44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47E7060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473CA71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检查设备机架固定牢，机壳接地良好，机盘接触良好</w:t>
            </w:r>
          </w:p>
        </w:tc>
      </w:tr>
      <w:tr w14:paraId="254C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23A0309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20FA87C0">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6F3D6467">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12D9689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检查光纤、网线连接是否牢靠，网口指示灯是否正常</w:t>
            </w:r>
          </w:p>
        </w:tc>
      </w:tr>
      <w:tr w14:paraId="3D31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07FF9867">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1FA5245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restart"/>
            <w:noWrap w:val="0"/>
            <w:vAlign w:val="center"/>
          </w:tcPr>
          <w:p w14:paraId="729883D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蓄电池</w:t>
            </w:r>
          </w:p>
        </w:tc>
        <w:tc>
          <w:tcPr>
            <w:tcW w:w="6952" w:type="dxa"/>
            <w:noWrap w:val="0"/>
            <w:vAlign w:val="center"/>
          </w:tcPr>
          <w:p w14:paraId="28BFB14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检查电池壳体是否漏液、变形，连接处有无松动、腐蚀现象，极柱、安全阀周围是否有酸雾、酸液</w:t>
            </w:r>
            <w:r>
              <w:rPr>
                <w:rFonts w:hint="eastAsia" w:ascii="宋体" w:hAnsi="宋体" w:eastAsia="宋体" w:cs="宋体"/>
                <w:color w:val="000000" w:themeColor="text1"/>
                <w:sz w:val="24"/>
                <w:szCs w:val="24"/>
                <w:highlight w:val="none"/>
                <w:lang w:val="en-US" w:eastAsia="zh-CN"/>
                <w14:textFill>
                  <w14:solidFill>
                    <w14:schemeClr w14:val="tx1"/>
                  </w14:solidFill>
                </w14:textFill>
              </w:rPr>
              <w:t>溢出</w:t>
            </w:r>
          </w:p>
        </w:tc>
      </w:tr>
      <w:tr w14:paraId="205B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16B7C8E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48113297">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25603EA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55E444B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测量和记录电池系统的单体电压、总电压及浮充电流</w:t>
            </w:r>
          </w:p>
        </w:tc>
      </w:tr>
      <w:tr w14:paraId="267E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1B43AF4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19B469E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restart"/>
            <w:noWrap w:val="0"/>
            <w:vAlign w:val="center"/>
          </w:tcPr>
          <w:p w14:paraId="11EC04C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空调</w:t>
            </w:r>
          </w:p>
        </w:tc>
        <w:tc>
          <w:tcPr>
            <w:tcW w:w="6952" w:type="dxa"/>
            <w:noWrap w:val="0"/>
            <w:vAlign w:val="center"/>
          </w:tcPr>
          <w:p w14:paraId="56F33B6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检查空调设备运行是否正常</w:t>
            </w:r>
          </w:p>
        </w:tc>
      </w:tr>
      <w:tr w14:paraId="74DF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60534A0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5F7B90F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030D295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3188642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检查风扇支座紧固，基墩不松动，无风化现象</w:t>
            </w:r>
          </w:p>
        </w:tc>
      </w:tr>
      <w:tr w14:paraId="5498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5F611BE9">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26079F89">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00A21E2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01E091E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检查室内外连接的铜管是否</w:t>
            </w:r>
            <w:r>
              <w:rPr>
                <w:rFonts w:hint="eastAsia" w:ascii="宋体" w:hAnsi="宋体" w:eastAsia="宋体" w:cs="宋体"/>
                <w:color w:val="000000" w:themeColor="text1"/>
                <w:sz w:val="24"/>
                <w:szCs w:val="24"/>
                <w:highlight w:val="none"/>
                <w:lang w:val="en-US" w:eastAsia="zh-CN"/>
                <w14:textFill>
                  <w14:solidFill>
                    <w14:schemeClr w14:val="tx1"/>
                  </w14:solidFill>
                </w14:textFill>
              </w:rPr>
              <w:t>变形</w:t>
            </w:r>
            <w:r>
              <w:rPr>
                <w:rFonts w:hint="eastAsia" w:ascii="宋体" w:hAnsi="宋体" w:eastAsia="宋体" w:cs="宋体"/>
                <w:color w:val="000000" w:themeColor="text1"/>
                <w:sz w:val="24"/>
                <w:szCs w:val="24"/>
                <w:highlight w:val="none"/>
                <w14:textFill>
                  <w14:solidFill>
                    <w14:schemeClr w14:val="tx1"/>
                  </w14:solidFill>
                </w14:textFill>
              </w:rPr>
              <w:t>和受损，以及铜管的包裹是否严密</w:t>
            </w:r>
          </w:p>
        </w:tc>
      </w:tr>
      <w:tr w14:paraId="7BB0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10D43A42">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107904F2">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0243D9C0">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4CC1A68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检查系统的排水设施是否畅通，冷凝水盘应干净无沉积物</w:t>
            </w:r>
          </w:p>
        </w:tc>
      </w:tr>
      <w:tr w14:paraId="74B6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70046C2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339B331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7E6696E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7A1757F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检查设备的保护接地线，如果引线接触不良，应及时紧固</w:t>
            </w:r>
          </w:p>
        </w:tc>
      </w:tr>
      <w:tr w14:paraId="2AD2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restart"/>
            <w:noWrap w:val="0"/>
            <w:vAlign w:val="center"/>
          </w:tcPr>
          <w:p w14:paraId="5810A3F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128" w:type="dxa"/>
            <w:vMerge w:val="restart"/>
            <w:noWrap w:val="0"/>
            <w:vAlign w:val="center"/>
          </w:tcPr>
          <w:p w14:paraId="7AD9E4B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天馈线</w:t>
            </w:r>
          </w:p>
        </w:tc>
        <w:tc>
          <w:tcPr>
            <w:tcW w:w="1205" w:type="dxa"/>
            <w:noWrap w:val="0"/>
            <w:vAlign w:val="center"/>
          </w:tcPr>
          <w:p w14:paraId="41F515B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外观</w:t>
            </w:r>
          </w:p>
        </w:tc>
        <w:tc>
          <w:tcPr>
            <w:tcW w:w="6952" w:type="dxa"/>
            <w:noWrap w:val="0"/>
            <w:vAlign w:val="center"/>
          </w:tcPr>
          <w:p w14:paraId="5920008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检查是否有破损或移位（被风刮歪、刮倒等），支撑杆或横杆是否牢固，有无断裂弯折，各类标签是否正确或脱落，如发现应及时修正</w:t>
            </w:r>
          </w:p>
        </w:tc>
      </w:tr>
      <w:tr w14:paraId="528A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43824340">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67FAE55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noWrap w:val="0"/>
            <w:vAlign w:val="center"/>
          </w:tcPr>
          <w:p w14:paraId="2F2DEA87">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检查周围环境</w:t>
            </w:r>
          </w:p>
        </w:tc>
        <w:tc>
          <w:tcPr>
            <w:tcW w:w="6952" w:type="dxa"/>
            <w:noWrap w:val="0"/>
            <w:vAlign w:val="center"/>
          </w:tcPr>
          <w:p w14:paraId="3EF47B6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检查是否出现大型阻挡物等，如有，应及时报告给甲方</w:t>
            </w:r>
          </w:p>
        </w:tc>
      </w:tr>
      <w:tr w14:paraId="78FE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2D26EE62">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1F4D5CE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noWrap w:val="0"/>
            <w:vAlign w:val="center"/>
          </w:tcPr>
          <w:p w14:paraId="4605ADD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走线架</w:t>
            </w:r>
          </w:p>
        </w:tc>
        <w:tc>
          <w:tcPr>
            <w:tcW w:w="6952" w:type="dxa"/>
            <w:noWrap w:val="0"/>
            <w:vAlign w:val="center"/>
          </w:tcPr>
          <w:p w14:paraId="081C446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检查走线梯是否牢固，如发现问题应及时修补及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做</w:t>
            </w:r>
            <w:r>
              <w:rPr>
                <w:rFonts w:hint="eastAsia" w:ascii="宋体" w:hAnsi="宋体" w:eastAsia="宋体" w:cs="宋体"/>
                <w:color w:val="000000" w:themeColor="text1"/>
                <w:sz w:val="24"/>
                <w:szCs w:val="24"/>
                <w:highlight w:val="none"/>
                <w14:textFill>
                  <w14:solidFill>
                    <w14:schemeClr w14:val="tx1"/>
                  </w14:solidFill>
                </w14:textFill>
              </w:rPr>
              <w:t>好防锈处理</w:t>
            </w:r>
          </w:p>
        </w:tc>
      </w:tr>
      <w:tr w14:paraId="4C6E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4822D53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01E8F489">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noWrap w:val="0"/>
            <w:vAlign w:val="center"/>
          </w:tcPr>
          <w:p w14:paraId="2ABE103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防水</w:t>
            </w:r>
          </w:p>
        </w:tc>
        <w:tc>
          <w:tcPr>
            <w:tcW w:w="6952" w:type="dxa"/>
            <w:noWrap w:val="0"/>
            <w:vAlign w:val="center"/>
          </w:tcPr>
          <w:p w14:paraId="010971F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检查馈线接头，更换老化或变质的防水胶布、胶泥</w:t>
            </w:r>
          </w:p>
        </w:tc>
      </w:tr>
      <w:tr w14:paraId="6D92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restart"/>
            <w:noWrap w:val="0"/>
            <w:vAlign w:val="center"/>
          </w:tcPr>
          <w:p w14:paraId="68C1BE57">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128" w:type="dxa"/>
            <w:vMerge w:val="restart"/>
            <w:noWrap w:val="0"/>
            <w:vAlign w:val="center"/>
          </w:tcPr>
          <w:p w14:paraId="4BEC73E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接地与防雷</w:t>
            </w:r>
          </w:p>
        </w:tc>
        <w:tc>
          <w:tcPr>
            <w:tcW w:w="1205" w:type="dxa"/>
            <w:vMerge w:val="restart"/>
            <w:noWrap w:val="0"/>
            <w:vAlign w:val="center"/>
          </w:tcPr>
          <w:p w14:paraId="3DCD272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接地</w:t>
            </w:r>
          </w:p>
        </w:tc>
        <w:tc>
          <w:tcPr>
            <w:tcW w:w="6952" w:type="dxa"/>
            <w:noWrap w:val="0"/>
            <w:vAlign w:val="center"/>
          </w:tcPr>
          <w:p w14:paraId="0E39E24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检查所有设备（含室内外走线架）接地是否良好，有松动、锈蚀、虚焊等不良现象</w:t>
            </w:r>
          </w:p>
        </w:tc>
      </w:tr>
      <w:tr w14:paraId="6272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5D72F0E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0AD3B12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1973629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6FDBF38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检查基站、塔桅接地引下线与接地体的接触是否良好，有松动、锈蚀、虚焊等不良现象</w:t>
            </w:r>
          </w:p>
        </w:tc>
      </w:tr>
      <w:tr w14:paraId="6C58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59B0E320">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5645EC3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restart"/>
            <w:noWrap w:val="0"/>
            <w:vAlign w:val="center"/>
          </w:tcPr>
          <w:p w14:paraId="096A355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防雷</w:t>
            </w:r>
          </w:p>
        </w:tc>
        <w:tc>
          <w:tcPr>
            <w:tcW w:w="6952" w:type="dxa"/>
            <w:noWrap w:val="0"/>
            <w:vAlign w:val="center"/>
          </w:tcPr>
          <w:p w14:paraId="69CA112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检查室内馈线避雷器是否连接紧固，接地线有无松动</w:t>
            </w:r>
          </w:p>
        </w:tc>
      </w:tr>
      <w:tr w14:paraId="77D0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019E3A4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06BE42D9">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vMerge w:val="continue"/>
            <w:noWrap w:val="0"/>
            <w:vAlign w:val="center"/>
          </w:tcPr>
          <w:p w14:paraId="67976FC7">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52" w:type="dxa"/>
            <w:noWrap w:val="0"/>
            <w:vAlign w:val="center"/>
          </w:tcPr>
          <w:p w14:paraId="537FBAE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检查室外馈线避雷接地线是否连接紧固，防水有无老化，脱落等不良现象</w:t>
            </w:r>
          </w:p>
        </w:tc>
      </w:tr>
      <w:tr w14:paraId="7A81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restart"/>
            <w:noWrap w:val="0"/>
            <w:vAlign w:val="center"/>
          </w:tcPr>
          <w:p w14:paraId="70D2FB5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128" w:type="dxa"/>
            <w:vMerge w:val="restart"/>
            <w:noWrap w:val="0"/>
            <w:vAlign w:val="center"/>
          </w:tcPr>
          <w:p w14:paraId="271653C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p>
        </w:tc>
        <w:tc>
          <w:tcPr>
            <w:tcW w:w="1205" w:type="dxa"/>
            <w:noWrap w:val="0"/>
            <w:vAlign w:val="center"/>
          </w:tcPr>
          <w:p w14:paraId="37172B0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基站巡检本及出入登记</w:t>
            </w:r>
          </w:p>
        </w:tc>
        <w:tc>
          <w:tcPr>
            <w:tcW w:w="6952" w:type="dxa"/>
            <w:noWrap w:val="0"/>
            <w:vAlign w:val="center"/>
          </w:tcPr>
          <w:p w14:paraId="5BB83DC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检查是否按要求填写</w:t>
            </w:r>
          </w:p>
        </w:tc>
      </w:tr>
      <w:tr w14:paraId="60DB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229DA46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0C3099DB">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noWrap w:val="0"/>
            <w:vAlign w:val="center"/>
          </w:tcPr>
          <w:p w14:paraId="04B0162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基站标签及标识</w:t>
            </w:r>
          </w:p>
        </w:tc>
        <w:tc>
          <w:tcPr>
            <w:tcW w:w="6952" w:type="dxa"/>
            <w:noWrap w:val="0"/>
            <w:vAlign w:val="center"/>
          </w:tcPr>
          <w:p w14:paraId="6E4383E7">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检查所有设备标签是否完好，有无粘贴错误或脱落现象；检查天馈线、接地、变压器、塔桅等设备的防触电、防火、防爆、防盗、防坠落等相关安全警告标志及标签是否完好、清晰</w:t>
            </w:r>
          </w:p>
        </w:tc>
      </w:tr>
      <w:tr w14:paraId="60E7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noWrap w:val="0"/>
            <w:vAlign w:val="center"/>
          </w:tcPr>
          <w:p w14:paraId="0C23782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28" w:type="dxa"/>
            <w:vMerge w:val="continue"/>
            <w:noWrap w:val="0"/>
            <w:vAlign w:val="center"/>
          </w:tcPr>
          <w:p w14:paraId="735A078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5" w:type="dxa"/>
            <w:noWrap w:val="0"/>
            <w:vAlign w:val="center"/>
          </w:tcPr>
          <w:p w14:paraId="61214BD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呼叫测试</w:t>
            </w:r>
          </w:p>
        </w:tc>
        <w:tc>
          <w:tcPr>
            <w:tcW w:w="6952" w:type="dxa"/>
            <w:noWrap w:val="0"/>
            <w:vAlign w:val="center"/>
          </w:tcPr>
          <w:p w14:paraId="617B897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检查话音效果，使用终端进行呼叫测试，查看信道机工作状态是否正常</w:t>
            </w:r>
          </w:p>
        </w:tc>
      </w:tr>
    </w:tbl>
    <w:p w14:paraId="57A79635">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132" w:name="_Toc3065"/>
      <w:bookmarkEnd w:id="132"/>
      <w:bookmarkStart w:id="133" w:name="_Toc482015957"/>
      <w:r>
        <w:rPr>
          <w:rFonts w:hint="eastAsia" w:ascii="宋体" w:hAnsi="宋体" w:eastAsia="宋体" w:cs="宋体"/>
          <w:b/>
          <w:color w:val="000000" w:themeColor="text1"/>
          <w:sz w:val="24"/>
          <w:szCs w:val="24"/>
          <w:highlight w:val="none"/>
          <w14:textFill>
            <w14:solidFill>
              <w14:schemeClr w14:val="tx1"/>
            </w14:solidFill>
          </w14:textFill>
        </w:rPr>
        <w:t>巡检工作流程</w:t>
      </w:r>
      <w:bookmarkEnd w:id="133"/>
    </w:p>
    <w:p w14:paraId="09964A10">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为了保证用户系统运行稳定，避免出现安全隐患，系统巡检组将严格按照巡检流程进行巡检工作，系统巡检组将对机房进行定期检查。</w:t>
      </w:r>
    </w:p>
    <w:p w14:paraId="265D7F73">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进入基站机房前，电话通知中心机房即将进入机房，并告知进入机房的目的；</w:t>
      </w:r>
    </w:p>
    <w:p w14:paraId="578F9377">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入机房，先在不开灯的状态下，观察机房内是否有漏光现象（馈线窗、空调管引出处等）如果有漏光现象，即采用胶泥、胶布等有效措施进行密封；反之，即开灯，填写进站时间，检查设备运行状况，如发现设备故障，在确定能解决情况下，进行故障处理；反之，即通知相关负责人，请求解决方案，进入故障抢修流程；在故障解除前，未经许可不得离开现场，故障解除后，进入巡检流程；</w:t>
      </w:r>
    </w:p>
    <w:p w14:paraId="08160871">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按照巡检内容及要求进行巡检工作，并按要求填写巡检表格（严格按照要求填写，各种表格记录必须填写一致）；</w:t>
      </w:r>
    </w:p>
    <w:p w14:paraId="6CD50F88">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检查机房内、外其他设备是否运行正常；</w:t>
      </w:r>
    </w:p>
    <w:p w14:paraId="4C2E685C">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填写机房出入登记表，填写时，必须使用规范字体、格式。</w:t>
      </w:r>
    </w:p>
    <w:p w14:paraId="6F3B2FAC">
      <w:pPr>
        <w:pStyle w:val="92"/>
        <w:pageBreakBefore w:val="0"/>
        <w:numPr>
          <w:ilvl w:val="0"/>
          <w:numId w:val="16"/>
        </w:numPr>
        <w:kinsoku/>
        <w:wordWrap/>
        <w:overflowPunct/>
        <w:topLinePunct w:val="0"/>
        <w:autoSpaceDE/>
        <w:autoSpaceDN/>
        <w:bidi w:val="0"/>
        <w:adjustRightInd/>
        <w:snapToGrid/>
        <w:spacing w:line="400" w:lineRule="exact"/>
        <w:ind w:left="426"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134" w:name="_Toc5508"/>
      <w:bookmarkEnd w:id="134"/>
      <w:r>
        <w:rPr>
          <w:rFonts w:hint="eastAsia" w:ascii="宋体" w:hAnsi="宋体" w:eastAsia="宋体" w:cs="宋体"/>
          <w:b/>
          <w:bCs/>
          <w:color w:val="000000" w:themeColor="text1"/>
          <w:sz w:val="24"/>
          <w:szCs w:val="24"/>
          <w:highlight w:val="none"/>
          <w14:textFill>
            <w14:solidFill>
              <w14:schemeClr w14:val="tx1"/>
            </w14:solidFill>
          </w14:textFill>
        </w:rPr>
        <w:t>日常维保服务</w:t>
      </w:r>
    </w:p>
    <w:p w14:paraId="1D952031">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日常维保原则</w:t>
      </w:r>
    </w:p>
    <w:p w14:paraId="7A5D8E6A">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实行7*24小时人员备勤制度，数字警用系统网络进行24小时监测。</w:t>
      </w:r>
    </w:p>
    <w:p w14:paraId="6A1CCFE0">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值班人员在值班时间内要坚守岗位，不得擅离职守，对于受理问题应马上处理，及时查询、传报、汇报和核对。</w:t>
      </w:r>
    </w:p>
    <w:p w14:paraId="29C54E21">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及时准确完整地填写值班记录，按流程对系统及基站进行检查并填写记录。</w:t>
      </w:r>
    </w:p>
    <w:p w14:paraId="70F3C34C">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出现专项任务保障值班期间出现不同类型任务时，按照处理流程和上报机制进行对应处理。</w:t>
      </w:r>
    </w:p>
    <w:p w14:paraId="2ED15064">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有两人以上同时值班时，应指定一人负责值班期间的全面工作并定期输出值班记录和总结。</w:t>
      </w:r>
    </w:p>
    <w:p w14:paraId="7B1666CA">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135" w:name="_Toc22399"/>
      <w:bookmarkEnd w:id="135"/>
      <w:r>
        <w:rPr>
          <w:rFonts w:hint="eastAsia" w:ascii="宋体" w:hAnsi="宋体" w:eastAsia="宋体" w:cs="宋体"/>
          <w:b/>
          <w:color w:val="000000" w:themeColor="text1"/>
          <w:sz w:val="24"/>
          <w:szCs w:val="24"/>
          <w:highlight w:val="none"/>
          <w14:textFill>
            <w14:solidFill>
              <w14:schemeClr w14:val="tx1"/>
            </w14:solidFill>
          </w14:textFill>
        </w:rPr>
        <w:t>日常维保流程</w:t>
      </w:r>
    </w:p>
    <w:p w14:paraId="0CE7EBDA">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建立、健全基站维护资料管理系统。</w:t>
      </w:r>
    </w:p>
    <w:p w14:paraId="4FD35F85">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基站的技术档案和资料应齐全、完整、准确。</w:t>
      </w:r>
    </w:p>
    <w:p w14:paraId="14528313">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技术档案和资料由专人保管，并建立严格的借阅制度。</w:t>
      </w:r>
    </w:p>
    <w:p w14:paraId="0E2C7200">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按规定的表格、样式定期填写各种技术档案和资料。</w:t>
      </w:r>
    </w:p>
    <w:p w14:paraId="7F01EAAE">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及时修改、补充基站设备搬迁和整改后的有关技术档案和资料。</w:t>
      </w:r>
    </w:p>
    <w:p w14:paraId="259C3172">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及时上交客户所需的各种维护资料及相应数据备份。</w:t>
      </w:r>
    </w:p>
    <w:p w14:paraId="0D126A05">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故障处理及抢修后，应及时关闭服务热线故障处理电子流，非电话派单的故障处理，向客户上交故障报告，并将相应文件归档。</w:t>
      </w:r>
    </w:p>
    <w:p w14:paraId="1E033261">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链路故障发生时，运营商应从接到客户故障信息开始，在故障处理过程中各个关键环节，包含定位、处理阶段信息、故障原因、故障处理结果，均以邮件形式进行信息通报，通报对象为项目关系人</w:t>
      </w:r>
    </w:p>
    <w:p w14:paraId="4EBC13CF">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(9)档案及各类资料统一由24小时热线服务值班工程师管理归档，技术性文档资料由运维经理提供及备份。</w:t>
      </w:r>
    </w:p>
    <w:p w14:paraId="400FB556">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安全保密保障</w:t>
      </w:r>
    </w:p>
    <w:p w14:paraId="435610DC">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加强安全生产的教育和检查，建立和健全各项安全生产、安全操作的规章制度，维护人员严格执行。制定安全生产技术保障措施，加强对维护人员的技能培训，以确保安全生产。</w:t>
      </w:r>
    </w:p>
    <w:p w14:paraId="65202C04">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实行逐级安全技术交底制度。维护技术负责人将所负责维护区域内基站的概况、维护方案、方法、安全措施等情况向维护人员作详细交底，安全技术交底，并进行文字记录。</w:t>
      </w:r>
    </w:p>
    <w:p w14:paraId="250BDA86">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防范各种伤亡事故（如电击、灼伤、中毒或坠落致伤等）的发生。</w:t>
      </w:r>
    </w:p>
    <w:p w14:paraId="3DEF4F7A">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加强防火安全教育和检查，建立和健全防火安全规章制度，组织学习消防基本知识和应急训练，并组织考核。维护人员在使用明火和自燃、可燃或易燃物品时，予以高度重视，谨防火灾的发生。一旦发生火情，立即向消防部门报警，迅速组织人员，采取行之有效的灭火措施，减少火灾引起的损失。</w:t>
      </w:r>
    </w:p>
    <w:p w14:paraId="61358D55">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建立治安、防火、防爆制度，加强仓库、设备、材料管理，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做</w:t>
      </w:r>
      <w:r>
        <w:rPr>
          <w:rFonts w:hint="eastAsia" w:ascii="宋体" w:hAnsi="宋体" w:eastAsia="宋体" w:cs="宋体"/>
          <w:color w:val="000000" w:themeColor="text1"/>
          <w:sz w:val="24"/>
          <w:szCs w:val="24"/>
          <w:highlight w:val="none"/>
          <w14:textFill>
            <w14:solidFill>
              <w14:schemeClr w14:val="tx1"/>
            </w14:solidFill>
          </w14:textFill>
        </w:rPr>
        <w:t>好防火防盗措施。</w:t>
      </w:r>
    </w:p>
    <w:p w14:paraId="070E51B0">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根据工作性质和劳动条例，为职工配备或发放个人防护用品，维护企业教育职工正确使用防护用品。</w:t>
      </w:r>
    </w:p>
    <w:p w14:paraId="30FBDD94">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在维护过程中，发生设备和人员事故，及时报告上级领导部门。</w:t>
      </w:r>
    </w:p>
    <w:p w14:paraId="3B1DC134">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维护人员熟悉安全操作方法，并认真执行。凡进行危险性较大、操作复杂的工作时，事先拟定技术安全措施。操作前检查操作命令、操作程序、涉及的设备、工具和防护用具，当确实安全可靠时，方可进行工作。</w:t>
      </w:r>
    </w:p>
    <w:p w14:paraId="6249B7D3">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特种作业时，维护人员必须经过培训，持证上岗，严格按照国家现行的有关标准、规范和规定执行。</w:t>
      </w:r>
    </w:p>
    <w:p w14:paraId="664D62FF">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抢修车辆定期检查，损坏要及时维修，确保抢修需要。</w:t>
      </w:r>
    </w:p>
    <w:p w14:paraId="0A85B558">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维护人员对用户的技术信息、网络容量和站址等信息，负有保密责任。未经对方书面同意，均不以任何方式向任何第三方泄露、出售、转让、许可使用或共享。</w:t>
      </w:r>
    </w:p>
    <w:p w14:paraId="22051353">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对于各类技术资料的使用要严格执行借阅手续，借阅者认真履行归还和登记签收手续，并不得对外泄密。</w:t>
      </w:r>
    </w:p>
    <w:p w14:paraId="4C747BFC">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所有维护人员和管理人员熟悉并严格执行安全保密规定，签</w:t>
      </w:r>
      <w:r>
        <w:rPr>
          <w:rFonts w:hint="eastAsia" w:ascii="宋体" w:hAnsi="宋体" w:eastAsia="宋体" w:cs="宋体"/>
          <w:color w:val="000000" w:themeColor="text1"/>
          <w:sz w:val="24"/>
          <w:szCs w:val="24"/>
          <w:highlight w:val="none"/>
          <w:lang w:val="en-US" w:eastAsia="zh-CN"/>
          <w14:textFill>
            <w14:solidFill>
              <w14:schemeClr w14:val="tx1"/>
            </w14:solidFill>
          </w14:textFill>
        </w:rPr>
        <w:t>订</w:t>
      </w:r>
      <w:r>
        <w:rPr>
          <w:rFonts w:hint="eastAsia" w:ascii="宋体" w:hAnsi="宋体" w:eastAsia="宋体" w:cs="宋体"/>
          <w:color w:val="000000" w:themeColor="text1"/>
          <w:sz w:val="24"/>
          <w:szCs w:val="24"/>
          <w:highlight w:val="none"/>
          <w14:textFill>
            <w14:solidFill>
              <w14:schemeClr w14:val="tx1"/>
            </w14:solidFill>
          </w14:textFill>
        </w:rPr>
        <w:t>安全保密协议。各级负责人经常对维护人员进行安全保密教育，并定期检查保密规定的执行情况，发现问题及时纠正。</w:t>
      </w:r>
    </w:p>
    <w:p w14:paraId="27C79674">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商务需求</w:t>
      </w:r>
    </w:p>
    <w:p w14:paraId="3B0E0E53">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履行时间：</w:t>
      </w:r>
      <w:r>
        <w:rPr>
          <w:rFonts w:hint="eastAsia" w:ascii="宋体" w:hAnsi="宋体" w:cs="宋体"/>
          <w:color w:val="000000" w:themeColor="text1"/>
          <w:sz w:val="24"/>
          <w:szCs w:val="24"/>
          <w:highlight w:val="none"/>
          <w:lang w:val="en-US" w:eastAsia="zh-CN"/>
          <w14:textFill>
            <w14:solidFill>
              <w14:schemeClr w14:val="tx1"/>
            </w14:solidFill>
          </w14:textFill>
        </w:rPr>
        <w:t>合同签订后10个月</w:t>
      </w:r>
      <w:r>
        <w:rPr>
          <w:rFonts w:hint="eastAsia" w:ascii="宋体" w:hAnsi="宋体" w:eastAsia="宋体" w:cs="宋体"/>
          <w:color w:val="000000" w:themeColor="text1"/>
          <w:sz w:val="24"/>
          <w:szCs w:val="24"/>
          <w:highlight w:val="none"/>
          <w14:textFill>
            <w14:solidFill>
              <w14:schemeClr w14:val="tx1"/>
            </w14:solidFill>
          </w14:textFill>
        </w:rPr>
        <w:t>。</w:t>
      </w:r>
    </w:p>
    <w:p w14:paraId="2F224532">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建设时间及地点：同前面“招标项目一览表”内所填的相关内容。</w:t>
      </w:r>
    </w:p>
    <w:p w14:paraId="70F96851">
      <w:pPr>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付款方式：按季度支付，合同签订后每季度结算当季服务费。</w:t>
      </w:r>
    </w:p>
    <w:bookmarkEnd w:id="5"/>
    <w:p w14:paraId="647CB70B">
      <w:pPr>
        <w:rPr>
          <w:color w:val="000000" w:themeColor="text1"/>
          <w:highlight w:val="none"/>
          <w14:textFill>
            <w14:solidFill>
              <w14:schemeClr w14:val="tx1"/>
            </w14:solidFill>
          </w14:textFill>
        </w:rPr>
      </w:pPr>
    </w:p>
    <w:p w14:paraId="35903E7D">
      <w:pPr>
        <w:pStyle w:val="16"/>
        <w:rPr>
          <w:color w:val="000000" w:themeColor="text1"/>
          <w:highlight w:val="none"/>
          <w14:textFill>
            <w14:solidFill>
              <w14:schemeClr w14:val="tx1"/>
            </w14:solidFill>
          </w14:textFill>
        </w:rPr>
      </w:pPr>
    </w:p>
    <w:p w14:paraId="79BA1D0B">
      <w:pPr>
        <w:rPr>
          <w:color w:val="000000" w:themeColor="text1"/>
          <w:highlight w:val="none"/>
          <w14:textFill>
            <w14:solidFill>
              <w14:schemeClr w14:val="tx1"/>
            </w14:solidFill>
          </w14:textFill>
        </w:rPr>
      </w:pPr>
    </w:p>
    <w:p w14:paraId="73F934D1">
      <w:pPr>
        <w:pStyle w:val="16"/>
        <w:rPr>
          <w:color w:val="000000" w:themeColor="text1"/>
          <w:highlight w:val="none"/>
          <w14:textFill>
            <w14:solidFill>
              <w14:schemeClr w14:val="tx1"/>
            </w14:solidFill>
          </w14:textFill>
        </w:rPr>
      </w:pPr>
    </w:p>
    <w:p w14:paraId="3A6C1FA6">
      <w:pPr>
        <w:rPr>
          <w:color w:val="000000" w:themeColor="text1"/>
          <w:highlight w:val="none"/>
          <w14:textFill>
            <w14:solidFill>
              <w14:schemeClr w14:val="tx1"/>
            </w14:solidFill>
          </w14:textFill>
        </w:rPr>
      </w:pPr>
    </w:p>
    <w:p w14:paraId="61070888">
      <w:pPr>
        <w:pStyle w:val="16"/>
        <w:rPr>
          <w:color w:val="000000" w:themeColor="text1"/>
          <w:highlight w:val="none"/>
          <w14:textFill>
            <w14:solidFill>
              <w14:schemeClr w14:val="tx1"/>
            </w14:solidFill>
          </w14:textFill>
        </w:rPr>
      </w:pPr>
    </w:p>
    <w:p w14:paraId="134C7749">
      <w:pPr>
        <w:pStyle w:val="16"/>
        <w:rPr>
          <w:color w:val="000000" w:themeColor="text1"/>
          <w:highlight w:val="none"/>
          <w14:textFill>
            <w14:solidFill>
              <w14:schemeClr w14:val="tx1"/>
            </w14:solidFill>
          </w14:textFill>
        </w:rPr>
      </w:pPr>
    </w:p>
    <w:p w14:paraId="5A695149">
      <w:pPr>
        <w:pStyle w:val="16"/>
        <w:rPr>
          <w:color w:val="000000" w:themeColor="text1"/>
          <w:highlight w:val="none"/>
          <w14:textFill>
            <w14:solidFill>
              <w14:schemeClr w14:val="tx1"/>
            </w14:solidFill>
          </w14:textFill>
        </w:rPr>
      </w:pPr>
    </w:p>
    <w:p w14:paraId="65DF3274">
      <w:pPr>
        <w:pStyle w:val="16"/>
        <w:rPr>
          <w:color w:val="000000" w:themeColor="text1"/>
          <w:highlight w:val="none"/>
          <w14:textFill>
            <w14:solidFill>
              <w14:schemeClr w14:val="tx1"/>
            </w14:solidFill>
          </w14:textFill>
        </w:rPr>
      </w:pPr>
    </w:p>
    <w:p w14:paraId="3E9F7F4E">
      <w:pPr>
        <w:pStyle w:val="16"/>
        <w:rPr>
          <w:color w:val="000000" w:themeColor="text1"/>
          <w:highlight w:val="none"/>
          <w14:textFill>
            <w14:solidFill>
              <w14:schemeClr w14:val="tx1"/>
            </w14:solidFill>
          </w14:textFill>
        </w:rPr>
      </w:pPr>
    </w:p>
    <w:p w14:paraId="07E3B426">
      <w:pPr>
        <w:pStyle w:val="16"/>
        <w:rPr>
          <w:color w:val="000000" w:themeColor="text1"/>
          <w:highlight w:val="none"/>
          <w14:textFill>
            <w14:solidFill>
              <w14:schemeClr w14:val="tx1"/>
            </w14:solidFill>
          </w14:textFill>
        </w:rPr>
      </w:pPr>
    </w:p>
    <w:p w14:paraId="4582BCFE">
      <w:pPr>
        <w:pStyle w:val="16"/>
        <w:rPr>
          <w:color w:val="000000" w:themeColor="text1"/>
          <w:highlight w:val="none"/>
          <w14:textFill>
            <w14:solidFill>
              <w14:schemeClr w14:val="tx1"/>
            </w14:solidFill>
          </w14:textFill>
        </w:rPr>
      </w:pPr>
    </w:p>
    <w:p w14:paraId="4399360A">
      <w:pPr>
        <w:pStyle w:val="16"/>
        <w:rPr>
          <w:color w:val="000000" w:themeColor="text1"/>
          <w:highlight w:val="none"/>
          <w14:textFill>
            <w14:solidFill>
              <w14:schemeClr w14:val="tx1"/>
            </w14:solidFill>
          </w14:textFill>
        </w:rPr>
      </w:pPr>
    </w:p>
    <w:p w14:paraId="67BAE856">
      <w:pPr>
        <w:pStyle w:val="16"/>
        <w:rPr>
          <w:color w:val="000000" w:themeColor="text1"/>
          <w:highlight w:val="none"/>
          <w14:textFill>
            <w14:solidFill>
              <w14:schemeClr w14:val="tx1"/>
            </w14:solidFill>
          </w14:textFill>
        </w:rPr>
      </w:pPr>
    </w:p>
    <w:p w14:paraId="087008C2">
      <w:pPr>
        <w:pStyle w:val="16"/>
        <w:rPr>
          <w:color w:val="000000" w:themeColor="text1"/>
          <w:highlight w:val="none"/>
          <w14:textFill>
            <w14:solidFill>
              <w14:schemeClr w14:val="tx1"/>
            </w14:solidFill>
          </w14:textFill>
        </w:rPr>
      </w:pPr>
    </w:p>
    <w:p w14:paraId="4D0CA1F7">
      <w:pPr>
        <w:pStyle w:val="16"/>
        <w:rPr>
          <w:color w:val="000000" w:themeColor="text1"/>
          <w:highlight w:val="none"/>
          <w14:textFill>
            <w14:solidFill>
              <w14:schemeClr w14:val="tx1"/>
            </w14:solidFill>
          </w14:textFill>
        </w:rPr>
      </w:pPr>
    </w:p>
    <w:p w14:paraId="78AE5000">
      <w:pPr>
        <w:pStyle w:val="16"/>
        <w:rPr>
          <w:color w:val="000000" w:themeColor="text1"/>
          <w:highlight w:val="none"/>
          <w14:textFill>
            <w14:solidFill>
              <w14:schemeClr w14:val="tx1"/>
            </w14:solidFill>
          </w14:textFill>
        </w:rPr>
      </w:pPr>
    </w:p>
    <w:p w14:paraId="524016F2">
      <w:pPr>
        <w:pStyle w:val="16"/>
        <w:rPr>
          <w:color w:val="000000" w:themeColor="text1"/>
          <w:highlight w:val="none"/>
          <w14:textFill>
            <w14:solidFill>
              <w14:schemeClr w14:val="tx1"/>
            </w14:solidFill>
          </w14:textFill>
        </w:rPr>
      </w:pPr>
    </w:p>
    <w:p w14:paraId="7FBD20FF">
      <w:pPr>
        <w:pStyle w:val="16"/>
        <w:rPr>
          <w:color w:val="000000" w:themeColor="text1"/>
          <w:highlight w:val="none"/>
          <w14:textFill>
            <w14:solidFill>
              <w14:schemeClr w14:val="tx1"/>
            </w14:solidFill>
          </w14:textFill>
        </w:rPr>
      </w:pPr>
    </w:p>
    <w:p w14:paraId="15A7C3BC">
      <w:pPr>
        <w:pStyle w:val="16"/>
        <w:rPr>
          <w:color w:val="000000" w:themeColor="text1"/>
          <w:highlight w:val="none"/>
          <w14:textFill>
            <w14:solidFill>
              <w14:schemeClr w14:val="tx1"/>
            </w14:solidFill>
          </w14:textFill>
        </w:rPr>
      </w:pPr>
    </w:p>
    <w:bookmarkEnd w:id="6"/>
    <w:p w14:paraId="600CC8C1">
      <w:pPr>
        <w:pStyle w:val="4"/>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 xml:space="preserve"> 政府采购合同主要条款指引</w:t>
      </w:r>
    </w:p>
    <w:p w14:paraId="657E7C90">
      <w:pPr>
        <w:widowControl/>
        <w:shd w:val="clear" w:color="auto" w:fill="FFFFFF"/>
        <w:spacing w:line="400" w:lineRule="exact"/>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14:paraId="407D8218">
      <w:pPr>
        <w:pStyle w:val="16"/>
        <w:spacing w:after="0" w:line="400" w:lineRule="exact"/>
        <w:rPr>
          <w:rFonts w:ascii="宋体" w:hAnsi="宋体" w:cs="宋体"/>
          <w:color w:val="000000" w:themeColor="text1"/>
          <w:sz w:val="24"/>
          <w:highlight w:val="none"/>
          <w14:textFill>
            <w14:solidFill>
              <w14:schemeClr w14:val="tx1"/>
            </w14:solidFill>
          </w14:textFill>
        </w:rPr>
      </w:pPr>
    </w:p>
    <w:p w14:paraId="29F4AE22">
      <w:pPr>
        <w:autoSpaceDE w:val="0"/>
        <w:autoSpaceDN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350M数字集群基站运维</w:t>
      </w:r>
      <w:r>
        <w:rPr>
          <w:rFonts w:hint="eastAsia" w:ascii="宋体" w:hAnsi="宋体" w:cs="宋体"/>
          <w:color w:val="000000" w:themeColor="text1"/>
          <w:sz w:val="24"/>
          <w:highlight w:val="none"/>
          <w14:textFill>
            <w14:solidFill>
              <w14:schemeClr w14:val="tx1"/>
            </w14:solidFill>
          </w14:textFill>
        </w:rPr>
        <w:t xml:space="preserve">  </w:t>
      </w:r>
    </w:p>
    <w:p w14:paraId="2AC918E8">
      <w:pPr>
        <w:pStyle w:val="20"/>
        <w:snapToGrid w:val="0"/>
        <w:spacing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招标编号： </w:t>
      </w:r>
    </w:p>
    <w:p w14:paraId="7FCD4BDA">
      <w:pPr>
        <w:pStyle w:val="20"/>
        <w:snapToGrid w:val="0"/>
        <w:spacing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甲方：  </w:t>
      </w:r>
    </w:p>
    <w:p w14:paraId="01E3E6A8">
      <w:pPr>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p>
    <w:p w14:paraId="1F146345">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kern w:val="2"/>
          <w:sz w:val="24"/>
          <w:szCs w:val="24"/>
          <w:highlight w:val="none"/>
          <w:lang w:eastAsia="zh-CN"/>
          <w14:textFill>
            <w14:solidFill>
              <w14:schemeClr w14:val="tx1"/>
            </w14:solidFill>
          </w14:textFill>
        </w:rPr>
        <w:t>甲、乙双方根据350M数字集群基站运维（招标编号：</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olor w:val="000000" w:themeColor="text1"/>
          <w:sz w:val="24"/>
          <w:szCs w:val="24"/>
          <w:highlight w:val="none"/>
          <w:lang w:eastAsia="zh-CN"/>
          <w14:textFill>
            <w14:solidFill>
              <w14:schemeClr w14:val="tx1"/>
            </w14:solidFill>
          </w14:textFill>
        </w:rPr>
        <w:t>）政府采购公开招标的结果，签署本合同。</w:t>
      </w:r>
    </w:p>
    <w:p w14:paraId="6C31164C">
      <w:pPr>
        <w:pStyle w:val="104"/>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36" w:name="_Toc5663"/>
      <w:r>
        <w:rPr>
          <w:rFonts w:hint="eastAsia" w:ascii="宋体" w:hAnsi="宋体" w:eastAsia="宋体"/>
          <w:b/>
          <w:color w:val="000000" w:themeColor="text1"/>
          <w:sz w:val="24"/>
          <w:szCs w:val="24"/>
          <w:highlight w:val="none"/>
          <w:lang w:eastAsia="zh-CN"/>
          <w14:textFill>
            <w14:solidFill>
              <w14:schemeClr w14:val="tx1"/>
            </w14:solidFill>
          </w14:textFill>
        </w:rPr>
        <w:t>一、服务内容</w:t>
      </w:r>
      <w:bookmarkEnd w:id="136"/>
    </w:p>
    <w:p w14:paraId="32315659">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具体内容和相关要求详见招标文件“第四章 项目需求”</w:t>
      </w:r>
    </w:p>
    <w:p w14:paraId="29CA6E2C">
      <w:pPr>
        <w:pStyle w:val="104"/>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37" w:name="_Toc13637"/>
      <w:r>
        <w:rPr>
          <w:rFonts w:hint="eastAsia" w:ascii="宋体" w:hAnsi="宋体" w:eastAsia="宋体"/>
          <w:b/>
          <w:color w:val="000000" w:themeColor="text1"/>
          <w:sz w:val="24"/>
          <w:szCs w:val="24"/>
          <w:highlight w:val="none"/>
          <w:lang w:eastAsia="zh-CN"/>
          <w14:textFill>
            <w14:solidFill>
              <w14:schemeClr w14:val="tx1"/>
            </w14:solidFill>
          </w14:textFill>
        </w:rPr>
        <w:t>二、</w:t>
      </w:r>
      <w:r>
        <w:rPr>
          <w:rFonts w:hint="eastAsia" w:ascii="宋体" w:hAnsi="宋体" w:eastAsia="宋体"/>
          <w:b/>
          <w:bCs/>
          <w:color w:val="000000" w:themeColor="text1"/>
          <w:sz w:val="24"/>
          <w:szCs w:val="24"/>
          <w:highlight w:val="none"/>
          <w:lang w:eastAsia="zh-CN" w:bidi="en-US"/>
          <w14:textFill>
            <w14:solidFill>
              <w14:schemeClr w14:val="tx1"/>
            </w14:solidFill>
          </w14:textFill>
        </w:rPr>
        <w:t>服务时间要求</w:t>
      </w:r>
      <w:bookmarkEnd w:id="137"/>
    </w:p>
    <w:p w14:paraId="55F15FA8">
      <w:pPr>
        <w:pStyle w:val="104"/>
        <w:snapToGrid w:val="0"/>
        <w:spacing w:line="400" w:lineRule="exact"/>
        <w:ind w:firstLine="480" w:firstLineChars="200"/>
        <w:rPr>
          <w:rFonts w:ascii="宋体" w:hAnsi="宋体" w:eastAsia="宋体"/>
          <w:bCs/>
          <w:color w:val="000000" w:themeColor="text1"/>
          <w:sz w:val="24"/>
          <w:szCs w:val="24"/>
          <w:highlight w:val="none"/>
          <w:lang w:eastAsia="zh-CN"/>
          <w14:textFill>
            <w14:solidFill>
              <w14:schemeClr w14:val="tx1"/>
            </w14:solidFill>
          </w14:textFill>
        </w:rPr>
      </w:pPr>
      <w:r>
        <w:rPr>
          <w:rFonts w:hint="eastAsia" w:ascii="宋体" w:hAnsi="宋体" w:eastAsia="宋体"/>
          <w:bCs/>
          <w:color w:val="000000" w:themeColor="text1"/>
          <w:sz w:val="24"/>
          <w:szCs w:val="24"/>
          <w:highlight w:val="none"/>
          <w:lang w:eastAsia="zh-CN"/>
          <w14:textFill>
            <w14:solidFill>
              <w14:schemeClr w14:val="tx1"/>
            </w14:solidFill>
          </w14:textFill>
        </w:rPr>
        <w:t>按招标文件约定。</w:t>
      </w:r>
    </w:p>
    <w:p w14:paraId="27EF896C">
      <w:pPr>
        <w:pStyle w:val="104"/>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38" w:name="_Toc22910"/>
      <w:r>
        <w:rPr>
          <w:rFonts w:hint="eastAsia" w:ascii="宋体" w:hAnsi="宋体" w:eastAsia="宋体"/>
          <w:b/>
          <w:color w:val="000000" w:themeColor="text1"/>
          <w:sz w:val="24"/>
          <w:szCs w:val="24"/>
          <w:highlight w:val="none"/>
          <w:lang w:eastAsia="zh-CN"/>
          <w14:textFill>
            <w14:solidFill>
              <w14:schemeClr w14:val="tx1"/>
            </w14:solidFill>
          </w14:textFill>
        </w:rPr>
        <w:t>三、合同金额</w:t>
      </w:r>
      <w:bookmarkEnd w:id="138"/>
    </w:p>
    <w:p w14:paraId="2B77C276">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合同金额为（大写）</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olor w:val="000000" w:themeColor="text1"/>
          <w:sz w:val="24"/>
          <w:szCs w:val="24"/>
          <w:highlight w:val="none"/>
          <w:lang w:eastAsia="zh-CN"/>
          <w14:textFill>
            <w14:solidFill>
              <w14:schemeClr w14:val="tx1"/>
            </w14:solidFill>
          </w14:textFill>
        </w:rPr>
        <w:t>元（￥</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olor w:val="000000" w:themeColor="text1"/>
          <w:sz w:val="24"/>
          <w:szCs w:val="24"/>
          <w:highlight w:val="none"/>
          <w:lang w:eastAsia="zh-CN"/>
          <w14:textFill>
            <w14:solidFill>
              <w14:schemeClr w14:val="tx1"/>
            </w14:solidFill>
          </w14:textFill>
        </w:rPr>
        <w:t>元）人民币。</w:t>
      </w:r>
    </w:p>
    <w:p w14:paraId="2C6BF49F">
      <w:pPr>
        <w:pStyle w:val="104"/>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39" w:name="_Toc3395"/>
      <w:r>
        <w:rPr>
          <w:rFonts w:hint="eastAsia" w:ascii="宋体" w:hAnsi="宋体" w:eastAsia="宋体"/>
          <w:b/>
          <w:color w:val="000000" w:themeColor="text1"/>
          <w:sz w:val="24"/>
          <w:szCs w:val="24"/>
          <w:highlight w:val="none"/>
          <w:lang w:eastAsia="zh-CN"/>
          <w14:textFill>
            <w14:solidFill>
              <w14:schemeClr w14:val="tx1"/>
            </w14:solidFill>
          </w14:textFill>
        </w:rPr>
        <w:t>四、技术资料</w:t>
      </w:r>
      <w:bookmarkEnd w:id="139"/>
    </w:p>
    <w:p w14:paraId="449443BD">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1、乙方应按招标文件规定的时间向甲方提供有关技术资料。</w:t>
      </w:r>
    </w:p>
    <w:p w14:paraId="06F78A8C">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18ACB03">
      <w:pPr>
        <w:pStyle w:val="104"/>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40" w:name="_Toc24660"/>
      <w:r>
        <w:rPr>
          <w:rFonts w:hint="eastAsia" w:ascii="宋体" w:hAnsi="宋体" w:eastAsia="宋体"/>
          <w:b/>
          <w:color w:val="000000" w:themeColor="text1"/>
          <w:sz w:val="24"/>
          <w:szCs w:val="24"/>
          <w:highlight w:val="none"/>
          <w:lang w:eastAsia="zh-CN"/>
          <w14:textFill>
            <w14:solidFill>
              <w14:schemeClr w14:val="tx1"/>
            </w14:solidFill>
          </w14:textFill>
        </w:rPr>
        <w:t>五、知识产权</w:t>
      </w:r>
      <w:bookmarkEnd w:id="140"/>
    </w:p>
    <w:p w14:paraId="249B2E19">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乙方应保证提供服务过程中不会侵犯任何第三方的知识产权。</w:t>
      </w:r>
    </w:p>
    <w:p w14:paraId="70444028">
      <w:pPr>
        <w:pStyle w:val="104"/>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41" w:name="_Toc27890"/>
      <w:r>
        <w:rPr>
          <w:rFonts w:hint="eastAsia" w:ascii="宋体" w:hAnsi="宋体" w:eastAsia="宋体"/>
          <w:b/>
          <w:color w:val="000000" w:themeColor="text1"/>
          <w:sz w:val="24"/>
          <w:szCs w:val="24"/>
          <w:highlight w:val="none"/>
          <w:lang w:eastAsia="zh-CN"/>
          <w14:textFill>
            <w14:solidFill>
              <w14:schemeClr w14:val="tx1"/>
            </w14:solidFill>
          </w14:textFill>
        </w:rPr>
        <w:t>六、履约保证金</w:t>
      </w:r>
      <w:bookmarkEnd w:id="141"/>
    </w:p>
    <w:p w14:paraId="055E3EE3">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无。</w:t>
      </w:r>
    </w:p>
    <w:p w14:paraId="0B9F43CA">
      <w:pPr>
        <w:pStyle w:val="104"/>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42" w:name="_Toc724"/>
      <w:r>
        <w:rPr>
          <w:rFonts w:hint="eastAsia" w:ascii="宋体" w:hAnsi="宋体" w:eastAsia="宋体"/>
          <w:b/>
          <w:color w:val="000000" w:themeColor="text1"/>
          <w:sz w:val="24"/>
          <w:szCs w:val="24"/>
          <w:highlight w:val="none"/>
          <w:lang w:eastAsia="zh-CN"/>
          <w14:textFill>
            <w14:solidFill>
              <w14:schemeClr w14:val="tx1"/>
            </w14:solidFill>
          </w14:textFill>
        </w:rPr>
        <w:t>七、转包或分包</w:t>
      </w:r>
      <w:bookmarkEnd w:id="142"/>
    </w:p>
    <w:p w14:paraId="77F84E22">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1、本合同范围的服务，应由乙方直接供应，不得转让他人供应；</w:t>
      </w:r>
    </w:p>
    <w:p w14:paraId="0BDA5F92">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2、除非得到甲方的书面同意，乙方不得将本合同范围的服务全部或部分分包给他人供应；</w:t>
      </w:r>
    </w:p>
    <w:p w14:paraId="53912932">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3、如有转让和未经甲方同意的分包行为，甲方有权解除合同，并追究乙方的违约责任。</w:t>
      </w:r>
    </w:p>
    <w:p w14:paraId="02E6561C">
      <w:pPr>
        <w:pStyle w:val="104"/>
        <w:snapToGrid w:val="0"/>
        <w:spacing w:line="400" w:lineRule="exact"/>
        <w:ind w:firstLine="482" w:firstLineChars="200"/>
        <w:outlineLvl w:val="1"/>
        <w:rPr>
          <w:rFonts w:ascii="宋体" w:hAnsi="宋体" w:eastAsia="宋体"/>
          <w:color w:val="000000" w:themeColor="text1"/>
          <w:sz w:val="24"/>
          <w:szCs w:val="24"/>
          <w:highlight w:val="none"/>
          <w:lang w:eastAsia="zh-CN"/>
          <w14:textFill>
            <w14:solidFill>
              <w14:schemeClr w14:val="tx1"/>
            </w14:solidFill>
          </w14:textFill>
        </w:rPr>
      </w:pPr>
      <w:bookmarkStart w:id="143" w:name="_Toc26219"/>
      <w:r>
        <w:rPr>
          <w:rFonts w:hint="eastAsia" w:ascii="宋体" w:hAnsi="宋体" w:eastAsia="宋体"/>
          <w:b/>
          <w:color w:val="000000" w:themeColor="text1"/>
          <w:sz w:val="24"/>
          <w:szCs w:val="24"/>
          <w:highlight w:val="none"/>
          <w:lang w:eastAsia="zh-CN"/>
          <w14:textFill>
            <w14:solidFill>
              <w14:schemeClr w14:val="tx1"/>
            </w14:solidFill>
          </w14:textFill>
        </w:rPr>
        <w:t>八、合同履行时间、履行方式及履行地点</w:t>
      </w:r>
      <w:bookmarkEnd w:id="143"/>
    </w:p>
    <w:p w14:paraId="598215B6">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1、履行时间：</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p>
    <w:p w14:paraId="6E87C108">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2、履行地点：</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p>
    <w:p w14:paraId="69053F8C">
      <w:pPr>
        <w:pStyle w:val="104"/>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44" w:name="_Toc670"/>
      <w:r>
        <w:rPr>
          <w:rFonts w:hint="eastAsia" w:ascii="宋体" w:hAnsi="宋体" w:eastAsia="宋体"/>
          <w:b/>
          <w:color w:val="000000" w:themeColor="text1"/>
          <w:sz w:val="24"/>
          <w:szCs w:val="24"/>
          <w:highlight w:val="none"/>
          <w:lang w:eastAsia="zh-CN"/>
          <w14:textFill>
            <w14:solidFill>
              <w14:schemeClr w14:val="tx1"/>
            </w14:solidFill>
          </w14:textFill>
        </w:rPr>
        <w:t>九、款项支付</w:t>
      </w:r>
      <w:bookmarkEnd w:id="144"/>
    </w:p>
    <w:p w14:paraId="0963D094">
      <w:pPr>
        <w:pStyle w:val="20"/>
        <w:snapToGrid w:val="0"/>
        <w:spacing w:before="120" w:after="120" w:line="400" w:lineRule="exact"/>
        <w:ind w:firstLine="566" w:firstLineChars="236"/>
        <w:rPr>
          <w:rFonts w:hAnsi="宋体"/>
          <w:bCs/>
          <w:color w:val="000000" w:themeColor="text1"/>
          <w:sz w:val="24"/>
          <w:highlight w:val="none"/>
          <w14:textFill>
            <w14:solidFill>
              <w14:schemeClr w14:val="tx1"/>
            </w14:solidFill>
          </w14:textFill>
        </w:rPr>
      </w:pPr>
      <w:r>
        <w:rPr>
          <w:rFonts w:hAnsi="宋体" w:cs="宋体"/>
          <w:bCs/>
          <w:color w:val="000000" w:themeColor="text1"/>
          <w:kern w:val="0"/>
          <w:sz w:val="24"/>
          <w:highlight w:val="none"/>
          <w14:textFill>
            <w14:solidFill>
              <w14:schemeClr w14:val="tx1"/>
            </w14:solidFill>
          </w14:textFill>
        </w:rPr>
        <w:t>付款方式：</w:t>
      </w:r>
      <w:r>
        <w:rPr>
          <w:rFonts w:hint="eastAsia" w:hAnsi="宋体" w:cs="宋体"/>
          <w:bCs/>
          <w:color w:val="000000" w:themeColor="text1"/>
          <w:kern w:val="0"/>
          <w:sz w:val="24"/>
          <w:highlight w:val="none"/>
          <w14:textFill>
            <w14:solidFill>
              <w14:schemeClr w14:val="tx1"/>
            </w14:solidFill>
          </w14:textFill>
        </w:rPr>
        <w:t>见第四章付款方式</w:t>
      </w:r>
      <w:r>
        <w:rPr>
          <w:rFonts w:hint="eastAsia" w:hAnsi="宋体"/>
          <w:bCs/>
          <w:color w:val="000000" w:themeColor="text1"/>
          <w:sz w:val="24"/>
          <w:highlight w:val="none"/>
          <w14:textFill>
            <w14:solidFill>
              <w14:schemeClr w14:val="tx1"/>
            </w14:solidFill>
          </w14:textFill>
        </w:rPr>
        <w:t>。</w:t>
      </w:r>
    </w:p>
    <w:p w14:paraId="554574C3">
      <w:pPr>
        <w:autoSpaceDE w:val="0"/>
        <w:autoSpaceDN w:val="0"/>
        <w:snapToGrid w:val="0"/>
        <w:spacing w:line="400" w:lineRule="exact"/>
        <w:ind w:firstLine="482" w:firstLineChars="200"/>
        <w:outlineLvl w:val="1"/>
        <w:rPr>
          <w:rFonts w:ascii="宋体" w:hAnsi="宋体" w:cs="宋体"/>
          <w:b/>
          <w:color w:val="000000" w:themeColor="text1"/>
          <w:sz w:val="24"/>
          <w:highlight w:val="none"/>
          <w14:textFill>
            <w14:solidFill>
              <w14:schemeClr w14:val="tx1"/>
            </w14:solidFill>
          </w14:textFill>
        </w:rPr>
      </w:pPr>
      <w:bookmarkStart w:id="145" w:name="_Toc29970"/>
      <w:r>
        <w:rPr>
          <w:rFonts w:hint="eastAsia" w:ascii="宋体" w:hAnsi="宋体" w:cs="宋体"/>
          <w:b/>
          <w:color w:val="000000" w:themeColor="text1"/>
          <w:sz w:val="24"/>
          <w:highlight w:val="none"/>
          <w14:textFill>
            <w14:solidFill>
              <w14:schemeClr w14:val="tx1"/>
            </w14:solidFill>
          </w14:textFill>
        </w:rPr>
        <w:t>十、税费</w:t>
      </w:r>
      <w:bookmarkEnd w:id="145"/>
    </w:p>
    <w:p w14:paraId="649D431D">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本合同执行中相关的一切税费均由乙方负担。</w:t>
      </w:r>
    </w:p>
    <w:p w14:paraId="0024AD6B">
      <w:pPr>
        <w:pStyle w:val="104"/>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46" w:name="_Toc13501"/>
      <w:r>
        <w:rPr>
          <w:rFonts w:hint="eastAsia" w:ascii="宋体" w:hAnsi="宋体" w:eastAsia="宋体"/>
          <w:b/>
          <w:color w:val="000000" w:themeColor="text1"/>
          <w:sz w:val="24"/>
          <w:szCs w:val="24"/>
          <w:highlight w:val="none"/>
          <w:lang w:eastAsia="zh-CN"/>
          <w14:textFill>
            <w14:solidFill>
              <w14:schemeClr w14:val="tx1"/>
            </w14:solidFill>
          </w14:textFill>
        </w:rPr>
        <w:t>十一、质量保证及后续服务</w:t>
      </w:r>
      <w:bookmarkEnd w:id="146"/>
    </w:p>
    <w:p w14:paraId="1A1D9B58">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1、乙方应按招标文件规定向甲方提供服务。</w:t>
      </w:r>
    </w:p>
    <w:p w14:paraId="7CDD3EA8">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2、乙方提供的服务成果在服务质量保证期内发生故障，乙方应负责免费提供后续服务。对达不到要求者，根据实际情况，经双方协商，可按以下办法处理：</w:t>
      </w:r>
    </w:p>
    <w:p w14:paraId="4EB9AA5F">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（1）重做：由乙方承担所发生的全部费用。</w:t>
      </w:r>
    </w:p>
    <w:p w14:paraId="43C9EDC8">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（2）解除合同。</w:t>
      </w:r>
    </w:p>
    <w:p w14:paraId="34B3E162">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3、在服务质量保证期内，乙方应对出现的质量及安全问题负责处理解决并承担一切费用。</w:t>
      </w:r>
    </w:p>
    <w:p w14:paraId="73DA2A44">
      <w:pPr>
        <w:pStyle w:val="104"/>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47" w:name="_Toc11285"/>
      <w:r>
        <w:rPr>
          <w:rFonts w:hint="eastAsia" w:ascii="宋体" w:hAnsi="宋体" w:eastAsia="宋体"/>
          <w:b/>
          <w:color w:val="000000" w:themeColor="text1"/>
          <w:sz w:val="24"/>
          <w:szCs w:val="24"/>
          <w:highlight w:val="none"/>
          <w:lang w:eastAsia="zh-CN"/>
          <w14:textFill>
            <w14:solidFill>
              <w14:schemeClr w14:val="tx1"/>
            </w14:solidFill>
          </w14:textFill>
        </w:rPr>
        <w:t>十二、违约责任</w:t>
      </w:r>
      <w:bookmarkEnd w:id="147"/>
    </w:p>
    <w:p w14:paraId="13945F5A">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1、甲方无正当理由拒收接受服务的，甲方向乙方偿付合同款项百分之五作为违约金。</w:t>
      </w:r>
    </w:p>
    <w:p w14:paraId="3E1AC1DC">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2、甲方无故逾期验收和办理款项支付手续的，甲方应按逾期付款总额每日万分之五向乙方支付违约金，赔付上限为合同总额的百分之五。</w:t>
      </w:r>
    </w:p>
    <w:p w14:paraId="238BD74F">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3、乙方因未能如期提供服务或因其他违约行为导致甲方解除合同的，乙方应向甲方支付合同总值的百分之五违约金。</w:t>
      </w:r>
    </w:p>
    <w:p w14:paraId="46CFC8FE">
      <w:pPr>
        <w:adjustRightInd w:val="0"/>
        <w:snapToGrid w:val="0"/>
        <w:spacing w:line="276"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乙方在实施过程中应严格遵守甲方相关网络安全规定，因乙方违规操作发生网络安全事故（包括但不限于一机两用、违规外联、违规查询、重要数据丢失、敏感信息泄露、病毒感染传播等）造成严重后果的，甲方有权终止本项目合同。</w:t>
      </w:r>
    </w:p>
    <w:p w14:paraId="2C5E8334">
      <w:pPr>
        <w:pStyle w:val="104"/>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48" w:name="_Toc28853"/>
      <w:r>
        <w:rPr>
          <w:rFonts w:hint="eastAsia" w:ascii="宋体" w:hAnsi="宋体" w:eastAsia="宋体"/>
          <w:b/>
          <w:color w:val="000000" w:themeColor="text1"/>
          <w:sz w:val="24"/>
          <w:szCs w:val="24"/>
          <w:highlight w:val="none"/>
          <w:lang w:eastAsia="zh-CN"/>
          <w14:textFill>
            <w14:solidFill>
              <w14:schemeClr w14:val="tx1"/>
            </w14:solidFill>
          </w14:textFill>
        </w:rPr>
        <w:t>十三、不可抗力事件处理</w:t>
      </w:r>
      <w:bookmarkEnd w:id="148"/>
    </w:p>
    <w:p w14:paraId="40DC2DF1">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1、在合同有效期内，任何一方因不可抗力事件导致不能履行合同，则合同履行期可延长，其延长期与不可抗力影响期相同。</w:t>
      </w:r>
    </w:p>
    <w:p w14:paraId="59DB5E66">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2、不可抗力事件发生后，应立即通知对方，并寄送有关权威机构出具的证明。</w:t>
      </w:r>
    </w:p>
    <w:p w14:paraId="4FC165D1">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3、不可抗力事件延续120天以上，双方应通过友好协商，确定是否继续履行合同。</w:t>
      </w:r>
    </w:p>
    <w:p w14:paraId="496BD8F1">
      <w:pPr>
        <w:pStyle w:val="104"/>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49" w:name="_Toc31178"/>
      <w:r>
        <w:rPr>
          <w:rFonts w:hint="eastAsia" w:ascii="宋体" w:hAnsi="宋体" w:eastAsia="宋体"/>
          <w:b/>
          <w:color w:val="000000" w:themeColor="text1"/>
          <w:sz w:val="24"/>
          <w:szCs w:val="24"/>
          <w:highlight w:val="none"/>
          <w:lang w:eastAsia="zh-CN"/>
          <w14:textFill>
            <w14:solidFill>
              <w14:schemeClr w14:val="tx1"/>
            </w14:solidFill>
          </w14:textFill>
        </w:rPr>
        <w:t>十四、诉讼</w:t>
      </w:r>
      <w:bookmarkEnd w:id="149"/>
    </w:p>
    <w:p w14:paraId="496E8378">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双方在执行合同中所发生的一切争议，应通过协商解决。如协商不成，可向甲方所在地法院起诉。</w:t>
      </w:r>
    </w:p>
    <w:p w14:paraId="2FB67E58">
      <w:pPr>
        <w:pStyle w:val="104"/>
        <w:snapToGrid w:val="0"/>
        <w:spacing w:line="400" w:lineRule="exact"/>
        <w:ind w:firstLine="482" w:firstLineChars="200"/>
        <w:outlineLvl w:val="1"/>
        <w:rPr>
          <w:rFonts w:ascii="宋体" w:hAnsi="宋体" w:eastAsia="宋体"/>
          <w:b/>
          <w:color w:val="000000" w:themeColor="text1"/>
          <w:sz w:val="24"/>
          <w:szCs w:val="24"/>
          <w:highlight w:val="none"/>
          <w:lang w:eastAsia="zh-CN"/>
          <w14:textFill>
            <w14:solidFill>
              <w14:schemeClr w14:val="tx1"/>
            </w14:solidFill>
          </w14:textFill>
        </w:rPr>
      </w:pPr>
      <w:bookmarkStart w:id="150" w:name="_Toc5342"/>
      <w:r>
        <w:rPr>
          <w:rFonts w:hint="eastAsia" w:ascii="宋体" w:hAnsi="宋体" w:eastAsia="宋体"/>
          <w:b/>
          <w:color w:val="000000" w:themeColor="text1"/>
          <w:sz w:val="24"/>
          <w:szCs w:val="24"/>
          <w:highlight w:val="none"/>
          <w:lang w:eastAsia="zh-CN"/>
          <w14:textFill>
            <w14:solidFill>
              <w14:schemeClr w14:val="tx1"/>
            </w14:solidFill>
          </w14:textFill>
        </w:rPr>
        <w:t>十五、合同生效及其它</w:t>
      </w:r>
      <w:bookmarkEnd w:id="150"/>
    </w:p>
    <w:p w14:paraId="0719B117">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1、合同经双方法定代表人或授权代表签字或盖章并加盖单位公章后生效。</w:t>
      </w:r>
    </w:p>
    <w:p w14:paraId="7FAB7EE4">
      <w:pPr>
        <w:pStyle w:val="104"/>
        <w:snapToGrid w:val="0"/>
        <w:spacing w:line="40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2、合同执行中涉及采购资金和采购内容修改或补充的，须签书面补充协议，方可作为主合同不可分割的一部分并备案。</w:t>
      </w:r>
    </w:p>
    <w:p w14:paraId="712FF23A">
      <w:pPr>
        <w:shd w:val="clear" w:color="auto" w:fill="FFFFFF"/>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14:paraId="576C8F95">
      <w:pPr>
        <w:pStyle w:val="20"/>
        <w:snapToGrid w:val="0"/>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4、本合同一式陆份，具有同等法律效力，甲乙双方各执叁份。</w:t>
      </w:r>
    </w:p>
    <w:p w14:paraId="7ACD3259">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2D117DC3">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3127E61">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甲方（盖章）：                            乙方（盖章）：        </w:t>
      </w:r>
    </w:p>
    <w:p w14:paraId="47870F3A">
      <w:pPr>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                              法定代表人：    </w:t>
      </w:r>
    </w:p>
    <w:p w14:paraId="2360028F">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或受委托人（签字或盖章）：                或受委托人（签字或盖章）：  </w:t>
      </w:r>
    </w:p>
    <w:p w14:paraId="354EDD4D">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联系人：</w:t>
      </w:r>
    </w:p>
    <w:p w14:paraId="2D8C930A">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地址： </w:t>
      </w:r>
    </w:p>
    <w:p w14:paraId="04F1A5BA">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                                    电话：</w:t>
      </w:r>
    </w:p>
    <w:p w14:paraId="456F81CC">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传真：</w:t>
      </w:r>
    </w:p>
    <w:p w14:paraId="61D355E9">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0393AD94">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帐号：                                    帐号：</w:t>
      </w:r>
    </w:p>
    <w:p w14:paraId="5376C9C0">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                                签订时间：</w:t>
      </w:r>
    </w:p>
    <w:p w14:paraId="0F26B36E">
      <w:pPr>
        <w:pStyle w:val="44"/>
        <w:spacing w:line="40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签订地点：</w:t>
      </w:r>
    </w:p>
    <w:p w14:paraId="5ABE2CEB">
      <w:pPr>
        <w:rPr>
          <w:color w:val="000000" w:themeColor="text1"/>
          <w:highlight w:val="none"/>
          <w14:textFill>
            <w14:solidFill>
              <w14:schemeClr w14:val="tx1"/>
            </w14:solidFill>
          </w14:textFill>
        </w:rPr>
      </w:pPr>
    </w:p>
    <w:p w14:paraId="4CCE28C9">
      <w:pPr>
        <w:pStyle w:val="16"/>
        <w:rPr>
          <w:color w:val="000000" w:themeColor="text1"/>
          <w:highlight w:val="none"/>
          <w14:textFill>
            <w14:solidFill>
              <w14:schemeClr w14:val="tx1"/>
            </w14:solidFill>
          </w14:textFill>
        </w:rPr>
      </w:pPr>
    </w:p>
    <w:p w14:paraId="1BFF72B3">
      <w:pPr>
        <w:pStyle w:val="16"/>
        <w:rPr>
          <w:color w:val="000000" w:themeColor="text1"/>
          <w:highlight w:val="none"/>
          <w14:textFill>
            <w14:solidFill>
              <w14:schemeClr w14:val="tx1"/>
            </w14:solidFill>
          </w14:textFill>
        </w:rPr>
      </w:pPr>
    </w:p>
    <w:p w14:paraId="31E0020A">
      <w:pPr>
        <w:pStyle w:val="16"/>
        <w:rPr>
          <w:color w:val="000000" w:themeColor="text1"/>
          <w:highlight w:val="none"/>
          <w14:textFill>
            <w14:solidFill>
              <w14:schemeClr w14:val="tx1"/>
            </w14:solidFill>
          </w14:textFill>
        </w:rPr>
      </w:pPr>
    </w:p>
    <w:p w14:paraId="79BAF845">
      <w:pPr>
        <w:pStyle w:val="16"/>
        <w:rPr>
          <w:color w:val="000000" w:themeColor="text1"/>
          <w:highlight w:val="none"/>
          <w14:textFill>
            <w14:solidFill>
              <w14:schemeClr w14:val="tx1"/>
            </w14:solidFill>
          </w14:textFill>
        </w:rPr>
      </w:pPr>
    </w:p>
    <w:p w14:paraId="14D36994">
      <w:pPr>
        <w:pStyle w:val="16"/>
        <w:rPr>
          <w:color w:val="000000" w:themeColor="text1"/>
          <w:highlight w:val="none"/>
          <w14:textFill>
            <w14:solidFill>
              <w14:schemeClr w14:val="tx1"/>
            </w14:solidFill>
          </w14:textFill>
        </w:rPr>
      </w:pPr>
    </w:p>
    <w:p w14:paraId="0D8605A5">
      <w:pPr>
        <w:pStyle w:val="16"/>
        <w:rPr>
          <w:color w:val="000000" w:themeColor="text1"/>
          <w:highlight w:val="none"/>
          <w14:textFill>
            <w14:solidFill>
              <w14:schemeClr w14:val="tx1"/>
            </w14:solidFill>
          </w14:textFill>
        </w:rPr>
      </w:pPr>
    </w:p>
    <w:p w14:paraId="69934B3A">
      <w:pPr>
        <w:pStyle w:val="16"/>
        <w:rPr>
          <w:color w:val="000000" w:themeColor="text1"/>
          <w:highlight w:val="none"/>
          <w14:textFill>
            <w14:solidFill>
              <w14:schemeClr w14:val="tx1"/>
            </w14:solidFill>
          </w14:textFill>
        </w:rPr>
      </w:pPr>
    </w:p>
    <w:p w14:paraId="52B9EA6D">
      <w:pPr>
        <w:pStyle w:val="16"/>
        <w:rPr>
          <w:color w:val="000000" w:themeColor="text1"/>
          <w:highlight w:val="none"/>
          <w14:textFill>
            <w14:solidFill>
              <w14:schemeClr w14:val="tx1"/>
            </w14:solidFill>
          </w14:textFill>
        </w:rPr>
      </w:pPr>
    </w:p>
    <w:p w14:paraId="41634930">
      <w:pPr>
        <w:pStyle w:val="16"/>
        <w:rPr>
          <w:color w:val="000000" w:themeColor="text1"/>
          <w:highlight w:val="none"/>
          <w14:textFill>
            <w14:solidFill>
              <w14:schemeClr w14:val="tx1"/>
            </w14:solidFill>
          </w14:textFill>
        </w:rPr>
      </w:pPr>
    </w:p>
    <w:p w14:paraId="18FB9E5E">
      <w:pPr>
        <w:pStyle w:val="16"/>
        <w:rPr>
          <w:color w:val="000000" w:themeColor="text1"/>
          <w:highlight w:val="none"/>
          <w14:textFill>
            <w14:solidFill>
              <w14:schemeClr w14:val="tx1"/>
            </w14:solidFill>
          </w14:textFill>
        </w:rPr>
      </w:pPr>
    </w:p>
    <w:p w14:paraId="07F72D28">
      <w:pPr>
        <w:pStyle w:val="16"/>
        <w:rPr>
          <w:color w:val="000000" w:themeColor="text1"/>
          <w:highlight w:val="none"/>
          <w14:textFill>
            <w14:solidFill>
              <w14:schemeClr w14:val="tx1"/>
            </w14:solidFill>
          </w14:textFill>
        </w:rPr>
      </w:pPr>
    </w:p>
    <w:p w14:paraId="308C0311">
      <w:pPr>
        <w:pStyle w:val="16"/>
        <w:rPr>
          <w:color w:val="000000" w:themeColor="text1"/>
          <w:highlight w:val="none"/>
          <w14:textFill>
            <w14:solidFill>
              <w14:schemeClr w14:val="tx1"/>
            </w14:solidFill>
          </w14:textFill>
        </w:rPr>
      </w:pPr>
    </w:p>
    <w:p w14:paraId="065E6B1C">
      <w:pPr>
        <w:pStyle w:val="16"/>
        <w:rPr>
          <w:color w:val="000000" w:themeColor="text1"/>
          <w:highlight w:val="none"/>
          <w14:textFill>
            <w14:solidFill>
              <w14:schemeClr w14:val="tx1"/>
            </w14:solidFill>
          </w14:textFill>
        </w:rPr>
      </w:pPr>
    </w:p>
    <w:p w14:paraId="6F3FD308">
      <w:pPr>
        <w:pStyle w:val="16"/>
        <w:rPr>
          <w:color w:val="000000" w:themeColor="text1"/>
          <w:highlight w:val="none"/>
          <w14:textFill>
            <w14:solidFill>
              <w14:schemeClr w14:val="tx1"/>
            </w14:solidFill>
          </w14:textFill>
        </w:rPr>
      </w:pPr>
    </w:p>
    <w:p w14:paraId="7E8FCD24">
      <w:pPr>
        <w:pStyle w:val="16"/>
        <w:rPr>
          <w:color w:val="000000" w:themeColor="text1"/>
          <w:highlight w:val="none"/>
          <w14:textFill>
            <w14:solidFill>
              <w14:schemeClr w14:val="tx1"/>
            </w14:solidFill>
          </w14:textFill>
        </w:rPr>
      </w:pPr>
    </w:p>
    <w:p w14:paraId="6DBDEC5D">
      <w:pPr>
        <w:pStyle w:val="16"/>
        <w:rPr>
          <w:color w:val="000000" w:themeColor="text1"/>
          <w:highlight w:val="none"/>
          <w14:textFill>
            <w14:solidFill>
              <w14:schemeClr w14:val="tx1"/>
            </w14:solidFill>
          </w14:textFill>
        </w:rPr>
      </w:pPr>
    </w:p>
    <w:p w14:paraId="2A21A997">
      <w:pPr>
        <w:pStyle w:val="16"/>
        <w:rPr>
          <w:color w:val="000000" w:themeColor="text1"/>
          <w:highlight w:val="none"/>
          <w14:textFill>
            <w14:solidFill>
              <w14:schemeClr w14:val="tx1"/>
            </w14:solidFill>
          </w14:textFill>
        </w:rPr>
      </w:pPr>
    </w:p>
    <w:p w14:paraId="6873DECB">
      <w:pPr>
        <w:pStyle w:val="16"/>
        <w:rPr>
          <w:color w:val="000000" w:themeColor="text1"/>
          <w:highlight w:val="none"/>
          <w14:textFill>
            <w14:solidFill>
              <w14:schemeClr w14:val="tx1"/>
            </w14:solidFill>
          </w14:textFill>
        </w:rPr>
      </w:pPr>
    </w:p>
    <w:p w14:paraId="403702E3">
      <w:pPr>
        <w:pStyle w:val="4"/>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投标文件格式附件</w:t>
      </w:r>
    </w:p>
    <w:p w14:paraId="1976A2F2">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 xml:space="preserve">附件1 </w:t>
      </w:r>
    </w:p>
    <w:p w14:paraId="7755E7A4">
      <w:pPr>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350M数字集群基站运维</w:t>
      </w:r>
    </w:p>
    <w:p w14:paraId="35A47497">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u w:val="single"/>
          <w:lang w:eastAsia="zh-CN"/>
          <w14:textFill>
            <w14:solidFill>
              <w14:schemeClr w14:val="tx1"/>
            </w14:solidFill>
          </w14:textFill>
        </w:rPr>
        <w:t>HQ-YHZFCG-2025-0103</w:t>
      </w:r>
      <w:r>
        <w:rPr>
          <w:rFonts w:hint="eastAsia" w:ascii="宋体" w:hAnsi="宋体" w:cs="宋体"/>
          <w:color w:val="000000" w:themeColor="text1"/>
          <w:sz w:val="36"/>
          <w:szCs w:val="36"/>
          <w:highlight w:val="none"/>
          <w:u w:val="single"/>
          <w14:textFill>
            <w14:solidFill>
              <w14:schemeClr w14:val="tx1"/>
            </w14:solidFill>
          </w14:textFill>
        </w:rPr>
        <w:t xml:space="preserve">  </w:t>
      </w:r>
    </w:p>
    <w:p w14:paraId="0119A1FF">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4F685EA5">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7203C3D2">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157C3977">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59B54C8A">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color w:val="000000" w:themeColor="text1"/>
          <w:spacing w:val="40"/>
          <w:sz w:val="28"/>
          <w:szCs w:val="28"/>
          <w:highlight w:val="none"/>
          <w14:textFill>
            <w14:solidFill>
              <w14:schemeClr w14:val="tx1"/>
            </w14:solidFill>
          </w14:textFill>
        </w:rPr>
        <w:t>资格文件）</w:t>
      </w:r>
    </w:p>
    <w:p w14:paraId="1B4640D2">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71318756">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1421E049">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72A615AD">
      <w:pPr>
        <w:rPr>
          <w:color w:val="000000" w:themeColor="text1"/>
          <w:highlight w:val="none"/>
          <w14:textFill>
            <w14:solidFill>
              <w14:schemeClr w14:val="tx1"/>
            </w14:solidFill>
          </w14:textFill>
        </w:rPr>
      </w:pPr>
    </w:p>
    <w:p w14:paraId="689A80C9">
      <w:pPr>
        <w:rPr>
          <w:color w:val="000000" w:themeColor="text1"/>
          <w:highlight w:val="none"/>
          <w14:textFill>
            <w14:solidFill>
              <w14:schemeClr w14:val="tx1"/>
            </w14:solidFill>
          </w14:textFill>
        </w:rPr>
      </w:pPr>
    </w:p>
    <w:p w14:paraId="0A4B9170">
      <w:pPr>
        <w:pStyle w:val="113"/>
        <w:rPr>
          <w:color w:val="000000" w:themeColor="text1"/>
          <w:highlight w:val="none"/>
          <w14:textFill>
            <w14:solidFill>
              <w14:schemeClr w14:val="tx1"/>
            </w14:solidFill>
          </w14:textFill>
        </w:rPr>
      </w:pPr>
    </w:p>
    <w:p w14:paraId="1017372E">
      <w:pPr>
        <w:rPr>
          <w:color w:val="000000" w:themeColor="text1"/>
          <w:highlight w:val="none"/>
          <w14:textFill>
            <w14:solidFill>
              <w14:schemeClr w14:val="tx1"/>
            </w14:solidFill>
          </w14:textFill>
        </w:rPr>
      </w:pPr>
    </w:p>
    <w:p w14:paraId="65AC89BE">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p>
    <w:p w14:paraId="19E07383">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p>
    <w:p w14:paraId="5276F7F0">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p>
    <w:p w14:paraId="272D3A68">
      <w:pPr>
        <w:rPr>
          <w:color w:val="000000" w:themeColor="text1"/>
          <w:highlight w:val="none"/>
          <w14:textFill>
            <w14:solidFill>
              <w14:schemeClr w14:val="tx1"/>
            </w14:solidFill>
          </w14:textFill>
        </w:rPr>
      </w:pPr>
    </w:p>
    <w:p w14:paraId="0D266F57">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资格文件目录</w:t>
      </w:r>
    </w:p>
    <w:p w14:paraId="168A21FE">
      <w:pPr>
        <w:numPr>
          <w:ilvl w:val="0"/>
          <w:numId w:val="17"/>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声明书（附件2）；</w:t>
      </w:r>
    </w:p>
    <w:p w14:paraId="4C46C864">
      <w:pPr>
        <w:numPr>
          <w:ilvl w:val="0"/>
          <w:numId w:val="17"/>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授权委托书（附件3）；</w:t>
      </w:r>
    </w:p>
    <w:p w14:paraId="52828A3B">
      <w:pPr>
        <w:numPr>
          <w:ilvl w:val="0"/>
          <w:numId w:val="17"/>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14:paraId="74FDD478">
      <w:pPr>
        <w:numPr>
          <w:ilvl w:val="0"/>
          <w:numId w:val="17"/>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财务状况报告，依法缴纳税收和社会保障资金的相关材料（允许承诺形式）；</w:t>
      </w:r>
    </w:p>
    <w:p w14:paraId="48CCF408">
      <w:pPr>
        <w:numPr>
          <w:ilvl w:val="0"/>
          <w:numId w:val="17"/>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具备履行合同所必需的设备和专业技术能力的证明材料（允许承诺形式）；</w:t>
      </w:r>
    </w:p>
    <w:p w14:paraId="79BABB3B">
      <w:pPr>
        <w:numPr>
          <w:ilvl w:val="0"/>
          <w:numId w:val="17"/>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本项目要求的特定资质证书；</w:t>
      </w:r>
    </w:p>
    <w:p w14:paraId="0BADCEF5">
      <w:pPr>
        <w:numPr>
          <w:ilvl w:val="0"/>
          <w:numId w:val="17"/>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小微企业等声明函（附件18）（如有则提供）；</w:t>
      </w:r>
    </w:p>
    <w:p w14:paraId="25E93EAF">
      <w:pPr>
        <w:pStyle w:val="113"/>
        <w:rPr>
          <w:color w:val="000000" w:themeColor="text1"/>
          <w:highlight w:val="none"/>
          <w14:textFill>
            <w14:solidFill>
              <w14:schemeClr w14:val="tx1"/>
            </w14:solidFill>
          </w14:textFill>
        </w:rPr>
      </w:pPr>
    </w:p>
    <w:p w14:paraId="00168377">
      <w:pPr>
        <w:pStyle w:val="113"/>
        <w:rPr>
          <w:rFonts w:cs="宋体"/>
          <w:b/>
          <w:color w:val="000000" w:themeColor="text1"/>
          <w:sz w:val="28"/>
          <w:highlight w:val="none"/>
          <w14:textFill>
            <w14:solidFill>
              <w14:schemeClr w14:val="tx1"/>
            </w14:solidFill>
          </w14:textFill>
        </w:rPr>
      </w:pPr>
    </w:p>
    <w:p w14:paraId="7ABE0F12">
      <w:pPr>
        <w:pStyle w:val="113"/>
        <w:rPr>
          <w:rFonts w:cs="宋体"/>
          <w:b/>
          <w:color w:val="000000" w:themeColor="text1"/>
          <w:sz w:val="28"/>
          <w:highlight w:val="none"/>
          <w14:textFill>
            <w14:solidFill>
              <w14:schemeClr w14:val="tx1"/>
            </w14:solidFill>
          </w14:textFill>
        </w:rPr>
      </w:pPr>
    </w:p>
    <w:p w14:paraId="68551123">
      <w:pPr>
        <w:pStyle w:val="113"/>
        <w:rPr>
          <w:rFonts w:cs="宋体"/>
          <w:b/>
          <w:color w:val="000000" w:themeColor="text1"/>
          <w:sz w:val="28"/>
          <w:highlight w:val="none"/>
          <w14:textFill>
            <w14:solidFill>
              <w14:schemeClr w14:val="tx1"/>
            </w14:solidFill>
          </w14:textFill>
        </w:rPr>
      </w:pPr>
    </w:p>
    <w:p w14:paraId="227F4D0C">
      <w:pPr>
        <w:pStyle w:val="113"/>
        <w:rPr>
          <w:rFonts w:cs="宋体"/>
          <w:b/>
          <w:color w:val="000000" w:themeColor="text1"/>
          <w:sz w:val="28"/>
          <w:highlight w:val="none"/>
          <w14:textFill>
            <w14:solidFill>
              <w14:schemeClr w14:val="tx1"/>
            </w14:solidFill>
          </w14:textFill>
        </w:rPr>
      </w:pPr>
    </w:p>
    <w:p w14:paraId="08BB9D54">
      <w:pPr>
        <w:pStyle w:val="113"/>
        <w:rPr>
          <w:rFonts w:cs="宋体"/>
          <w:b/>
          <w:color w:val="000000" w:themeColor="text1"/>
          <w:sz w:val="28"/>
          <w:highlight w:val="none"/>
          <w14:textFill>
            <w14:solidFill>
              <w14:schemeClr w14:val="tx1"/>
            </w14:solidFill>
          </w14:textFill>
        </w:rPr>
      </w:pPr>
    </w:p>
    <w:p w14:paraId="208F5C6F">
      <w:pPr>
        <w:pStyle w:val="113"/>
        <w:rPr>
          <w:rFonts w:cs="宋体"/>
          <w:b/>
          <w:color w:val="000000" w:themeColor="text1"/>
          <w:sz w:val="28"/>
          <w:highlight w:val="none"/>
          <w14:textFill>
            <w14:solidFill>
              <w14:schemeClr w14:val="tx1"/>
            </w14:solidFill>
          </w14:textFill>
        </w:rPr>
      </w:pPr>
    </w:p>
    <w:p w14:paraId="36D9DBA7">
      <w:pPr>
        <w:pStyle w:val="113"/>
        <w:rPr>
          <w:rFonts w:cs="宋体"/>
          <w:b/>
          <w:color w:val="000000" w:themeColor="text1"/>
          <w:sz w:val="28"/>
          <w:highlight w:val="none"/>
          <w14:textFill>
            <w14:solidFill>
              <w14:schemeClr w14:val="tx1"/>
            </w14:solidFill>
          </w14:textFill>
        </w:rPr>
      </w:pPr>
    </w:p>
    <w:p w14:paraId="5ECC5A87">
      <w:pPr>
        <w:rPr>
          <w:color w:val="000000" w:themeColor="text1"/>
          <w:sz w:val="36"/>
          <w:szCs w:val="36"/>
          <w:highlight w:val="none"/>
          <w14:textFill>
            <w14:solidFill>
              <w14:schemeClr w14:val="tx1"/>
            </w14:solidFill>
          </w14:textFill>
        </w:rPr>
      </w:pPr>
    </w:p>
    <w:p w14:paraId="60B9C41C">
      <w:pPr>
        <w:rPr>
          <w:color w:val="000000" w:themeColor="text1"/>
          <w:sz w:val="36"/>
          <w:szCs w:val="36"/>
          <w:highlight w:val="none"/>
          <w14:textFill>
            <w14:solidFill>
              <w14:schemeClr w14:val="tx1"/>
            </w14:solidFill>
          </w14:textFill>
        </w:rPr>
      </w:pPr>
    </w:p>
    <w:p w14:paraId="51A5428F">
      <w:pPr>
        <w:rPr>
          <w:color w:val="000000" w:themeColor="text1"/>
          <w:sz w:val="36"/>
          <w:szCs w:val="36"/>
          <w:highlight w:val="none"/>
          <w14:textFill>
            <w14:solidFill>
              <w14:schemeClr w14:val="tx1"/>
            </w14:solidFill>
          </w14:textFill>
        </w:rPr>
      </w:pPr>
    </w:p>
    <w:p w14:paraId="4ABDE5DB">
      <w:pPr>
        <w:pStyle w:val="34"/>
        <w:ind w:firstLine="360"/>
        <w:jc w:val="center"/>
        <w:rPr>
          <w:color w:val="000000" w:themeColor="text1"/>
          <w:sz w:val="36"/>
          <w:szCs w:val="36"/>
          <w:highlight w:val="none"/>
          <w14:textFill>
            <w14:solidFill>
              <w14:schemeClr w14:val="tx1"/>
            </w14:solidFill>
          </w14:textFill>
        </w:rPr>
      </w:pPr>
    </w:p>
    <w:p w14:paraId="688FC2B5">
      <w:pPr>
        <w:pStyle w:val="34"/>
        <w:ind w:firstLine="360"/>
        <w:jc w:val="center"/>
        <w:rPr>
          <w:color w:val="000000" w:themeColor="text1"/>
          <w:sz w:val="36"/>
          <w:szCs w:val="36"/>
          <w:highlight w:val="none"/>
          <w14:textFill>
            <w14:solidFill>
              <w14:schemeClr w14:val="tx1"/>
            </w14:solidFill>
          </w14:textFill>
        </w:rPr>
      </w:pPr>
    </w:p>
    <w:p w14:paraId="703B60B1">
      <w:pPr>
        <w:rPr>
          <w:color w:val="000000" w:themeColor="text1"/>
          <w:highlight w:val="none"/>
          <w14:textFill>
            <w14:solidFill>
              <w14:schemeClr w14:val="tx1"/>
            </w14:solidFill>
          </w14:textFill>
        </w:rPr>
      </w:pPr>
    </w:p>
    <w:p w14:paraId="30F94E9A">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附件2</w:t>
      </w:r>
    </w:p>
    <w:p w14:paraId="67493DCA">
      <w:pPr>
        <w:adjustRightInd w:val="0"/>
        <w:snapToGrid w:val="0"/>
        <w:spacing w:line="380" w:lineRule="exact"/>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投标声明书</w:t>
      </w:r>
    </w:p>
    <w:p w14:paraId="7FD45209">
      <w:pPr>
        <w:snapToGrid w:val="0"/>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0F5C1371">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A628661">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）的法定代表人，我公司自愿参加贵方组织的玉环市公安局</w:t>
      </w:r>
      <w:r>
        <w:rPr>
          <w:rFonts w:hint="eastAsia" w:ascii="宋体" w:hAnsi="宋体" w:cs="宋体"/>
          <w:color w:val="000000" w:themeColor="text1"/>
          <w:kern w:val="0"/>
          <w:sz w:val="24"/>
          <w:highlight w:val="none"/>
          <w:lang w:eastAsia="zh-CN"/>
          <w14:textFill>
            <w14:solidFill>
              <w14:schemeClr w14:val="tx1"/>
            </w14:solidFill>
          </w14:textFill>
        </w:rPr>
        <w:t>350M数字集群基站运维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HQ-YHZFCG-2025-0103</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10CA1726">
      <w:pPr>
        <w:snapToGrid w:val="0"/>
        <w:spacing w:line="40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33E6D377">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94B3AB9">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1618916B">
      <w:pPr>
        <w:snapToGrid w:val="0"/>
        <w:spacing w:line="400" w:lineRule="exact"/>
        <w:ind w:firstLine="480" w:firstLineChars="200"/>
        <w:rPr>
          <w:rFonts w:ascii="宋体" w:hAnsi="宋体" w:cs="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78F70EA">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64EB9FF1">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愿意承担一切后果，并不再寻求任何旨在减轻或免除法律责任的辩解。</w:t>
      </w:r>
    </w:p>
    <w:p w14:paraId="3E63BFB6">
      <w:pPr>
        <w:adjustRightInd w:val="0"/>
        <w:snapToGrid w:val="0"/>
        <w:spacing w:line="400" w:lineRule="exact"/>
        <w:ind w:firstLine="480"/>
        <w:rPr>
          <w:rFonts w:ascii="宋体" w:hAnsi="宋体" w:cs="宋体"/>
          <w:color w:val="000000" w:themeColor="text1"/>
          <w:kern w:val="0"/>
          <w:sz w:val="24"/>
          <w:highlight w:val="none"/>
          <w14:textFill>
            <w14:solidFill>
              <w14:schemeClr w14:val="tx1"/>
            </w14:solidFill>
          </w14:textFill>
        </w:rPr>
      </w:pPr>
    </w:p>
    <w:p w14:paraId="13BE76D2">
      <w:pPr>
        <w:adjustRightInd w:val="0"/>
        <w:snapToGrid w:val="0"/>
        <w:spacing w:line="400" w:lineRule="exact"/>
        <w:ind w:firstLine="4680" w:firstLineChars="19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投标人名称(公章)：</w:t>
      </w:r>
    </w:p>
    <w:p w14:paraId="0CE117A1">
      <w:pPr>
        <w:adjustRightInd w:val="0"/>
        <w:snapToGrid w:val="0"/>
        <w:spacing w:line="40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法定代表人或授权委托人(签字或盖章)：</w:t>
      </w:r>
    </w:p>
    <w:p w14:paraId="32543DF3">
      <w:pPr>
        <w:adjustRightInd w:val="0"/>
        <w:snapToGrid w:val="0"/>
        <w:spacing w:line="380" w:lineRule="exact"/>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w:t>
      </w:r>
    </w:p>
    <w:p w14:paraId="64D97189">
      <w:pPr>
        <w:adjustRightInd w:val="0"/>
        <w:snapToGrid w:val="0"/>
        <w:spacing w:line="380" w:lineRule="exact"/>
        <w:rPr>
          <w:rFonts w:ascii="宋体" w:hAnsi="宋体" w:cs="宋体"/>
          <w:b/>
          <w:color w:val="000000" w:themeColor="text1"/>
          <w:sz w:val="28"/>
          <w:highlight w:val="none"/>
          <w14:textFill>
            <w14:solidFill>
              <w14:schemeClr w14:val="tx1"/>
            </w14:solidFill>
          </w14:textFill>
        </w:rPr>
      </w:pPr>
    </w:p>
    <w:p w14:paraId="04E581F2">
      <w:pPr>
        <w:pStyle w:val="16"/>
        <w:rPr>
          <w:color w:val="000000" w:themeColor="text1"/>
          <w:highlight w:val="none"/>
          <w14:textFill>
            <w14:solidFill>
              <w14:schemeClr w14:val="tx1"/>
            </w14:solidFill>
          </w14:textFill>
        </w:rPr>
      </w:pPr>
    </w:p>
    <w:p w14:paraId="73B6C6FA">
      <w:pPr>
        <w:pStyle w:val="44"/>
        <w:rPr>
          <w:rFonts w:ascii="宋体" w:hAnsi="宋体" w:cs="宋体"/>
          <w:color w:val="000000" w:themeColor="text1"/>
          <w:highlight w:val="none"/>
          <w14:textFill>
            <w14:solidFill>
              <w14:schemeClr w14:val="tx1"/>
            </w14:solidFill>
          </w14:textFill>
        </w:rPr>
      </w:pPr>
    </w:p>
    <w:p w14:paraId="45FC4926">
      <w:pPr>
        <w:pStyle w:val="16"/>
        <w:rPr>
          <w:rFonts w:ascii="宋体" w:hAnsi="宋体" w:cs="宋体"/>
          <w:color w:val="000000" w:themeColor="text1"/>
          <w:highlight w:val="none"/>
          <w14:textFill>
            <w14:solidFill>
              <w14:schemeClr w14:val="tx1"/>
            </w14:solidFill>
          </w14:textFill>
        </w:rPr>
      </w:pPr>
    </w:p>
    <w:p w14:paraId="7A8F1908">
      <w:pPr>
        <w:pStyle w:val="34"/>
        <w:ind w:firstLine="240"/>
        <w:rPr>
          <w:rFonts w:ascii="宋体" w:hAnsi="宋体" w:cs="宋体"/>
          <w:color w:val="000000" w:themeColor="text1"/>
          <w:highlight w:val="none"/>
          <w14:textFill>
            <w14:solidFill>
              <w14:schemeClr w14:val="tx1"/>
            </w14:solidFill>
          </w14:textFill>
        </w:rPr>
      </w:pPr>
    </w:p>
    <w:p w14:paraId="5EC04D21">
      <w:pPr>
        <w:pStyle w:val="30"/>
        <w:rPr>
          <w:rFonts w:ascii="宋体" w:hAnsi="宋体" w:cs="宋体"/>
          <w:color w:val="000000" w:themeColor="text1"/>
          <w:highlight w:val="none"/>
          <w14:textFill>
            <w14:solidFill>
              <w14:schemeClr w14:val="tx1"/>
            </w14:solidFill>
          </w14:textFill>
        </w:rPr>
      </w:pPr>
    </w:p>
    <w:p w14:paraId="125BC355">
      <w:pPr>
        <w:rPr>
          <w:color w:val="000000" w:themeColor="text1"/>
          <w:highlight w:val="none"/>
          <w14:textFill>
            <w14:solidFill>
              <w14:schemeClr w14:val="tx1"/>
            </w14:solidFill>
          </w14:textFill>
        </w:rPr>
      </w:pPr>
    </w:p>
    <w:p w14:paraId="65614D46">
      <w:pPr>
        <w:pStyle w:val="56"/>
        <w:rPr>
          <w:color w:val="000000" w:themeColor="text1"/>
          <w:highlight w:val="none"/>
          <w14:textFill>
            <w14:solidFill>
              <w14:schemeClr w14:val="tx1"/>
            </w14:solidFill>
          </w14:textFill>
        </w:rPr>
      </w:pPr>
    </w:p>
    <w:p w14:paraId="60DE5583">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附件3（1）</w:t>
      </w:r>
    </w:p>
    <w:p w14:paraId="4C836FAF">
      <w:pPr>
        <w:spacing w:line="400" w:lineRule="atLeast"/>
        <w:ind w:firstLine="321" w:firstLineChars="100"/>
        <w:jc w:val="center"/>
        <w:rPr>
          <w:rFonts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授权委托书</w:t>
      </w:r>
    </w:p>
    <w:p w14:paraId="69607865">
      <w:pPr>
        <w:snapToGrid w:val="0"/>
        <w:spacing w:before="156" w:beforeLines="50" w:after="50" w:line="400" w:lineRule="atLeas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34F7A324">
      <w:pPr>
        <w:pStyle w:val="20"/>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u w:val="single"/>
          <w14:textFill>
            <w14:solidFill>
              <w14:schemeClr w14:val="tx1"/>
            </w14:solidFill>
          </w14:textFill>
        </w:rPr>
        <w:t xml:space="preserve">  （投标人全称）  </w:t>
      </w:r>
      <w:r>
        <w:rPr>
          <w:rFonts w:hint="eastAsia" w:hAnsi="宋体" w:cs="宋体"/>
          <w:color w:val="000000" w:themeColor="text1"/>
          <w:sz w:val="24"/>
          <w:highlight w:val="none"/>
          <w14:textFill>
            <w14:solidFill>
              <w14:schemeClr w14:val="tx1"/>
            </w14:solidFill>
          </w14:textFill>
        </w:rPr>
        <w:t>法定代表人（或营业执照中单位负责人）</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hAnsi="宋体" w:cs="宋体"/>
          <w:color w:val="000000" w:themeColor="text1"/>
          <w:sz w:val="24"/>
          <w:highlight w:val="none"/>
          <w14:textFill>
            <w14:solidFill>
              <w14:schemeClr w14:val="tx1"/>
            </w14:solidFill>
          </w14:textFill>
        </w:rPr>
        <w:t>授权</w:t>
      </w:r>
      <w:r>
        <w:rPr>
          <w:rFonts w:hint="eastAsia" w:hAnsi="宋体" w:cs="宋体"/>
          <w:color w:val="000000" w:themeColor="text1"/>
          <w:sz w:val="24"/>
          <w:highlight w:val="none"/>
          <w:u w:val="single"/>
          <w14:textFill>
            <w14:solidFill>
              <w14:schemeClr w14:val="tx1"/>
            </w14:solidFill>
          </w14:textFill>
        </w:rPr>
        <w:t xml:space="preserve">   （全权代表姓名） </w:t>
      </w:r>
      <w:r>
        <w:rPr>
          <w:rFonts w:hint="eastAsia" w:hAnsi="宋体" w:cs="宋体"/>
          <w:color w:val="000000" w:themeColor="text1"/>
          <w:sz w:val="24"/>
          <w:highlight w:val="none"/>
          <w14:textFill>
            <w14:solidFill>
              <w14:schemeClr w14:val="tx1"/>
            </w14:solidFill>
          </w14:textFill>
        </w:rPr>
        <w:t>为全权代表，参加贵单位组织的</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项目的采购活动，并代表我方全权办理针对上述项目的投标、开标、评标、签约等具体事务和签署相关文件。我方对全权代表的签字事项负全部责任。</w:t>
      </w:r>
    </w:p>
    <w:p w14:paraId="1B3A7DDD">
      <w:pPr>
        <w:pStyle w:val="20"/>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2DFB3C56">
      <w:pPr>
        <w:pStyle w:val="20"/>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全权代表无转委托权，特此委托。</w:t>
      </w:r>
    </w:p>
    <w:p w14:paraId="1A4679CC">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1CBB56B0">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14:paraId="59F94DAA">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4C2567A5">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投标人全称（公章）：                              日期：</w:t>
      </w:r>
    </w:p>
    <w:p w14:paraId="52060C91">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4D1CF888">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156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B775BC9">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p w14:paraId="5D091AD0">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14:paraId="3173CAF2">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法定代表人姓名：                                 </w:t>
      </w:r>
    </w:p>
    <w:p w14:paraId="423D8632">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4D5215AA">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6115EB01">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20E573CF">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1D989C00">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42C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2A570A3">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p w14:paraId="1FDEDF61">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全权代表身份证复印件粘帖处</w:t>
            </w:r>
          </w:p>
        </w:tc>
      </w:tr>
    </w:tbl>
    <w:p w14:paraId="72D13E6B">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全权代表姓名：       </w:t>
      </w:r>
    </w:p>
    <w:p w14:paraId="60547718">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职务：                           </w:t>
      </w:r>
    </w:p>
    <w:p w14:paraId="2369C709">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2C056CA7">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672607F9">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390CDC56">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3D6D92E7">
      <w:pPr>
        <w:snapToGrid w:val="0"/>
        <w:spacing w:before="156" w:beforeLines="50" w:after="50" w:line="380" w:lineRule="atLeast"/>
        <w:ind w:left="216" w:leftChars="103" w:firstLine="492" w:firstLineChars="175"/>
        <w:rPr>
          <w:rFonts w:ascii="宋体" w:hAnsi="宋体" w:cs="宋体"/>
          <w:b/>
          <w:color w:val="000000" w:themeColor="text1"/>
          <w:sz w:val="28"/>
          <w:highlight w:val="none"/>
          <w14:textFill>
            <w14:solidFill>
              <w14:schemeClr w14:val="tx1"/>
            </w14:solidFill>
          </w14:textFill>
        </w:rPr>
      </w:pPr>
    </w:p>
    <w:p w14:paraId="2FA98295">
      <w:pPr>
        <w:snapToGrid w:val="0"/>
        <w:spacing w:before="156" w:beforeLines="50" w:after="50" w:line="380" w:lineRule="atLeast"/>
        <w:ind w:left="216" w:leftChars="103" w:firstLine="492" w:firstLineChars="175"/>
        <w:rPr>
          <w:rFonts w:ascii="宋体" w:hAnsi="宋体" w:cs="宋体"/>
          <w:b/>
          <w:color w:val="000000" w:themeColor="text1"/>
          <w:sz w:val="28"/>
          <w:highlight w:val="none"/>
          <w14:textFill>
            <w14:solidFill>
              <w14:schemeClr w14:val="tx1"/>
            </w14:solidFill>
          </w14:textFill>
        </w:rPr>
      </w:pPr>
    </w:p>
    <w:p w14:paraId="15035FBB">
      <w:pPr>
        <w:pStyle w:val="34"/>
        <w:ind w:firstLine="281"/>
        <w:rPr>
          <w:rFonts w:ascii="宋体" w:hAnsi="宋体" w:cs="宋体"/>
          <w:b/>
          <w:color w:val="000000" w:themeColor="text1"/>
          <w:sz w:val="28"/>
          <w:highlight w:val="none"/>
          <w14:textFill>
            <w14:solidFill>
              <w14:schemeClr w14:val="tx1"/>
            </w14:solidFill>
          </w14:textFill>
        </w:rPr>
      </w:pPr>
    </w:p>
    <w:p w14:paraId="3D7C34FE">
      <w:pPr>
        <w:pStyle w:val="30"/>
        <w:rPr>
          <w:color w:val="000000" w:themeColor="text1"/>
          <w:highlight w:val="none"/>
          <w14:textFill>
            <w14:solidFill>
              <w14:schemeClr w14:val="tx1"/>
            </w14:solidFill>
          </w14:textFill>
        </w:rPr>
      </w:pPr>
    </w:p>
    <w:p w14:paraId="6109C69E">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附件3（2）</w:t>
      </w:r>
    </w:p>
    <w:p w14:paraId="4F158D24">
      <w:pPr>
        <w:ind w:firstLine="643" w:firstLineChars="200"/>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14:paraId="08D46D95">
      <w:pPr>
        <w:spacing w:line="440" w:lineRule="exact"/>
        <w:rPr>
          <w:rFonts w:ascii="宋体" w:hAnsi="宋体" w:cs="宋体"/>
          <w:color w:val="000000" w:themeColor="text1"/>
          <w:kern w:val="0"/>
          <w:sz w:val="24"/>
          <w:highlight w:val="none"/>
          <w:lang w:val="zh-CN"/>
          <w14:textFill>
            <w14:solidFill>
              <w14:schemeClr w14:val="tx1"/>
            </w14:solidFill>
          </w14:textFill>
        </w:rPr>
      </w:pPr>
    </w:p>
    <w:p w14:paraId="587C95E4">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3E8F1E79">
      <w:pPr>
        <w:spacing w:line="440" w:lineRule="exact"/>
        <w:ind w:firstLine="720" w:firstLineChars="3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（招标项目名称）（编号为         ）</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14:paraId="1390EF36">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14:paraId="3A35A9A2">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14:paraId="37B97C7A">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14:paraId="61E918E1">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14:paraId="466C514B">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14:paraId="4477971E">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14:paraId="3AED30D1">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14:paraId="38769060">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78D9389">
      <w:pPr>
        <w:spacing w:line="440" w:lineRule="exact"/>
        <w:rPr>
          <w:rFonts w:ascii="宋体" w:hAnsi="宋体" w:cs="宋体"/>
          <w:color w:val="000000" w:themeColor="text1"/>
          <w:kern w:val="0"/>
          <w:sz w:val="24"/>
          <w:highlight w:val="none"/>
          <w:lang w:val="zh-CN"/>
          <w14:textFill>
            <w14:solidFill>
              <w14:schemeClr w14:val="tx1"/>
            </w14:solidFill>
          </w14:textFill>
        </w:rPr>
      </w:pPr>
    </w:p>
    <w:p w14:paraId="4D61AE62">
      <w:pPr>
        <w:spacing w:line="440" w:lineRule="exact"/>
        <w:rPr>
          <w:rFonts w:ascii="宋体" w:hAnsi="宋体" w:cs="宋体"/>
          <w:color w:val="000000" w:themeColor="text1"/>
          <w:kern w:val="0"/>
          <w:sz w:val="24"/>
          <w:highlight w:val="none"/>
          <w:lang w:val="zh-CN"/>
          <w14:textFill>
            <w14:solidFill>
              <w14:schemeClr w14:val="tx1"/>
            </w14:solidFill>
          </w14:textFill>
        </w:rPr>
      </w:pPr>
    </w:p>
    <w:p w14:paraId="376BC79C">
      <w:pPr>
        <w:spacing w:line="440" w:lineRule="exact"/>
        <w:rPr>
          <w:rFonts w:ascii="宋体" w:hAnsi="宋体" w:cs="宋体"/>
          <w:color w:val="000000" w:themeColor="text1"/>
          <w:kern w:val="0"/>
          <w:sz w:val="24"/>
          <w:highlight w:val="none"/>
          <w:lang w:val="zh-CN"/>
          <w14:textFill>
            <w14:solidFill>
              <w14:schemeClr w14:val="tx1"/>
            </w14:solidFill>
          </w14:textFill>
        </w:rPr>
      </w:pPr>
    </w:p>
    <w:p w14:paraId="3CD575A0">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14:paraId="640E5FAD">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14:paraId="167966E9">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法定代表人或授权委托人(签字或盖章)：</w:t>
      </w:r>
    </w:p>
    <w:p w14:paraId="4A6DC42C">
      <w:pPr>
        <w:spacing w:line="440" w:lineRule="exact"/>
        <w:rPr>
          <w:rFonts w:ascii="宋体" w:hAnsi="宋体" w:cs="宋体"/>
          <w:color w:val="000000" w:themeColor="text1"/>
          <w:kern w:val="0"/>
          <w:sz w:val="24"/>
          <w:highlight w:val="none"/>
          <w:lang w:val="zh-CN"/>
          <w14:textFill>
            <w14:solidFill>
              <w14:schemeClr w14:val="tx1"/>
            </w14:solidFill>
          </w14:textFill>
        </w:rPr>
      </w:pPr>
    </w:p>
    <w:p w14:paraId="700BA96B">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A6F5B1F">
      <w:pPr>
        <w:pStyle w:val="16"/>
        <w:spacing w:after="0" w:line="440" w:lineRule="exact"/>
        <w:rPr>
          <w:rFonts w:ascii="宋体" w:hAnsi="宋体" w:cs="宋体"/>
          <w:color w:val="000000" w:themeColor="text1"/>
          <w:kern w:val="0"/>
          <w:sz w:val="24"/>
          <w:highlight w:val="none"/>
          <w:lang w:val="zh-CN"/>
          <w14:textFill>
            <w14:solidFill>
              <w14:schemeClr w14:val="tx1"/>
            </w14:solidFill>
          </w14:textFill>
        </w:rPr>
      </w:pPr>
    </w:p>
    <w:p w14:paraId="6D076171">
      <w:pPr>
        <w:pStyle w:val="2"/>
        <w:rPr>
          <w:color w:val="000000" w:themeColor="text1"/>
          <w:highlight w:val="none"/>
          <w14:textFill>
            <w14:solidFill>
              <w14:schemeClr w14:val="tx1"/>
            </w14:solidFill>
          </w14:textFill>
        </w:rPr>
      </w:pPr>
    </w:p>
    <w:p w14:paraId="4F321A32">
      <w:pPr>
        <w:rPr>
          <w:color w:val="000000" w:themeColor="text1"/>
          <w:highlight w:val="none"/>
          <w14:textFill>
            <w14:solidFill>
              <w14:schemeClr w14:val="tx1"/>
            </w14:solidFill>
          </w14:textFill>
        </w:rPr>
      </w:pPr>
    </w:p>
    <w:p w14:paraId="5023CA9A">
      <w:pPr>
        <w:pStyle w:val="2"/>
        <w:rPr>
          <w:color w:val="000000" w:themeColor="text1"/>
          <w:highlight w:val="none"/>
          <w14:textFill>
            <w14:solidFill>
              <w14:schemeClr w14:val="tx1"/>
            </w14:solidFill>
          </w14:textFill>
        </w:rPr>
      </w:pPr>
    </w:p>
    <w:p w14:paraId="08205901">
      <w:pPr>
        <w:rPr>
          <w:color w:val="000000" w:themeColor="text1"/>
          <w:highlight w:val="none"/>
          <w14:textFill>
            <w14:solidFill>
              <w14:schemeClr w14:val="tx1"/>
            </w14:solidFill>
          </w14:textFill>
        </w:rPr>
      </w:pPr>
    </w:p>
    <w:p w14:paraId="5C0333C8">
      <w:pPr>
        <w:pStyle w:val="2"/>
        <w:rPr>
          <w:color w:val="000000" w:themeColor="text1"/>
          <w:highlight w:val="none"/>
          <w14:textFill>
            <w14:solidFill>
              <w14:schemeClr w14:val="tx1"/>
            </w14:solidFill>
          </w14:textFill>
        </w:rPr>
      </w:pPr>
    </w:p>
    <w:p w14:paraId="01E6773F">
      <w:pPr>
        <w:rPr>
          <w:color w:val="000000" w:themeColor="text1"/>
          <w:highlight w:val="none"/>
          <w14:textFill>
            <w14:solidFill>
              <w14:schemeClr w14:val="tx1"/>
            </w14:solidFill>
          </w14:textFill>
        </w:rPr>
      </w:pPr>
    </w:p>
    <w:p w14:paraId="01795B78">
      <w:pPr>
        <w:pStyle w:val="16"/>
        <w:rPr>
          <w:color w:val="000000" w:themeColor="text1"/>
          <w:highlight w:val="none"/>
          <w14:textFill>
            <w14:solidFill>
              <w14:schemeClr w14:val="tx1"/>
            </w14:solidFill>
          </w14:textFill>
        </w:rPr>
      </w:pPr>
    </w:p>
    <w:p w14:paraId="27B6CB30">
      <w:pPr>
        <w:snapToGrid w:val="0"/>
        <w:spacing w:before="156" w:beforeLines="50" w:after="50" w:line="380" w:lineRule="atLeast"/>
        <w:rPr>
          <w:rFonts w:ascii="宋体" w:hAnsi="宋体" w:cs="宋体"/>
          <w:b/>
          <w:color w:val="000000" w:themeColor="text1"/>
          <w:sz w:val="32"/>
          <w:szCs w:val="32"/>
          <w:highlight w:val="none"/>
          <w14:textFill>
            <w14:solidFill>
              <w14:schemeClr w14:val="tx1"/>
            </w14:solidFill>
          </w14:textFill>
        </w:rPr>
      </w:pPr>
    </w:p>
    <w:p w14:paraId="2A9DAA94">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附件4：</w:t>
      </w:r>
    </w:p>
    <w:p w14:paraId="7DA5B4A9">
      <w:pPr>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350M数字集群基站运维</w:t>
      </w:r>
    </w:p>
    <w:p w14:paraId="5910A520">
      <w:pPr>
        <w:spacing w:line="360" w:lineRule="auto"/>
        <w:ind w:right="-110"/>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 xml:space="preserve"> </w:t>
      </w:r>
    </w:p>
    <w:p w14:paraId="6E9BAA3E">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HQ-YHZFCG-2025-0103</w:t>
      </w:r>
      <w:r>
        <w:rPr>
          <w:rFonts w:hint="eastAsia" w:ascii="宋体" w:hAnsi="宋体" w:cs="宋体"/>
          <w:color w:val="000000" w:themeColor="text1"/>
          <w:sz w:val="36"/>
          <w:szCs w:val="36"/>
          <w:highlight w:val="none"/>
          <w14:textFill>
            <w14:solidFill>
              <w14:schemeClr w14:val="tx1"/>
            </w14:solidFill>
          </w14:textFill>
        </w:rPr>
        <w:t xml:space="preserve"> </w:t>
      </w:r>
    </w:p>
    <w:p w14:paraId="64DF02C2">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5A79BE97">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0B919933">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6BAEF40B">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31D544E1">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5DC04161">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Cs/>
          <w:color w:val="000000" w:themeColor="text1"/>
          <w:sz w:val="24"/>
          <w:highlight w:val="none"/>
          <w:lang w:val="zh-CN"/>
          <w14:textFill>
            <w14:solidFill>
              <w14:schemeClr w14:val="tx1"/>
            </w14:solidFill>
          </w14:textFill>
        </w:rPr>
        <w:t>商务与技术文件</w:t>
      </w:r>
      <w:r>
        <w:rPr>
          <w:rFonts w:hint="eastAsia" w:ascii="宋体" w:hAnsi="宋体" w:cs="宋体"/>
          <w:b/>
          <w:color w:val="000000" w:themeColor="text1"/>
          <w:spacing w:val="40"/>
          <w:sz w:val="28"/>
          <w:szCs w:val="28"/>
          <w:highlight w:val="none"/>
          <w14:textFill>
            <w14:solidFill>
              <w14:schemeClr w14:val="tx1"/>
            </w14:solidFill>
          </w14:textFill>
        </w:rPr>
        <w:t>）</w:t>
      </w:r>
    </w:p>
    <w:p w14:paraId="339917AE">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132E4834">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7194AC22">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6F9C8BDC">
      <w:pPr>
        <w:snapToGrid w:val="0"/>
        <w:spacing w:before="50" w:after="50" w:line="360" w:lineRule="auto"/>
        <w:rPr>
          <w:rFonts w:ascii="宋体" w:hAnsi="宋体" w:cs="宋体"/>
          <w:b/>
          <w:color w:val="000000" w:themeColor="text1"/>
          <w:sz w:val="36"/>
          <w:szCs w:val="36"/>
          <w:highlight w:val="none"/>
          <w14:textFill>
            <w14:solidFill>
              <w14:schemeClr w14:val="tx1"/>
            </w14:solidFill>
          </w14:textFill>
        </w:rPr>
      </w:pPr>
    </w:p>
    <w:p w14:paraId="63AE6C55">
      <w:pPr>
        <w:pStyle w:val="16"/>
        <w:rPr>
          <w:rFonts w:ascii="宋体" w:hAnsi="宋体" w:cs="宋体"/>
          <w:b/>
          <w:color w:val="000000" w:themeColor="text1"/>
          <w:sz w:val="36"/>
          <w:szCs w:val="36"/>
          <w:highlight w:val="none"/>
          <w14:textFill>
            <w14:solidFill>
              <w14:schemeClr w14:val="tx1"/>
            </w14:solidFill>
          </w14:textFill>
        </w:rPr>
      </w:pPr>
    </w:p>
    <w:p w14:paraId="357EEAFF">
      <w:pPr>
        <w:rPr>
          <w:color w:val="000000" w:themeColor="text1"/>
          <w:highlight w:val="none"/>
          <w14:textFill>
            <w14:solidFill>
              <w14:schemeClr w14:val="tx1"/>
            </w14:solidFill>
          </w14:textFill>
        </w:rPr>
      </w:pPr>
    </w:p>
    <w:p w14:paraId="610A049D">
      <w:pPr>
        <w:snapToGrid w:val="0"/>
        <w:spacing w:before="50" w:after="50"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商务与技术文件</w:t>
      </w:r>
      <w:r>
        <w:rPr>
          <w:rFonts w:hint="eastAsia" w:ascii="宋体" w:hAnsi="宋体" w:cs="宋体"/>
          <w:b/>
          <w:bCs/>
          <w:color w:val="000000" w:themeColor="text1"/>
          <w:sz w:val="32"/>
          <w:szCs w:val="32"/>
          <w:highlight w:val="none"/>
          <w14:textFill>
            <w14:solidFill>
              <w14:schemeClr w14:val="tx1"/>
            </w14:solidFill>
          </w14:textFill>
        </w:rPr>
        <w:t>目录</w:t>
      </w:r>
    </w:p>
    <w:p w14:paraId="585FDBEB">
      <w:pPr>
        <w:snapToGrid w:val="0"/>
        <w:spacing w:line="360" w:lineRule="auto"/>
        <w:rPr>
          <w:rFonts w:ascii="宋体" w:hAnsi="宋体" w:cs="宋体"/>
          <w:color w:val="000000" w:themeColor="text1"/>
          <w:sz w:val="24"/>
          <w:highlight w:val="none"/>
          <w14:textFill>
            <w14:solidFill>
              <w14:schemeClr w14:val="tx1"/>
            </w14:solidFill>
          </w14:textFill>
        </w:rPr>
      </w:pPr>
    </w:p>
    <w:p w14:paraId="70849AE3">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第一部分  技术方案描述部分</w:t>
      </w:r>
    </w:p>
    <w:p w14:paraId="2A36F27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1、投标人基本情况表（附件5）；</w:t>
      </w:r>
    </w:p>
    <w:p w14:paraId="1900D7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2、项目需求的理解与分析；</w:t>
      </w:r>
    </w:p>
    <w:p w14:paraId="50492E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3、项目实施人员一览表（附件6）</w:t>
      </w:r>
    </w:p>
    <w:p w14:paraId="227B83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4、项目负责人资格情况表(附件7)； </w:t>
      </w:r>
    </w:p>
    <w:p w14:paraId="776FB0D7">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第二部分  投标产品描述部分</w:t>
      </w:r>
    </w:p>
    <w:p w14:paraId="12E019ED">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1、供货清单（附件8）</w:t>
      </w:r>
    </w:p>
    <w:p w14:paraId="3A4F4947">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2、投标产品描述及相关资料；</w:t>
      </w:r>
    </w:p>
    <w:p w14:paraId="0EBAFAC5">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3、技术需求响应表（</w:t>
      </w:r>
      <w:r>
        <w:rPr>
          <w:rFonts w:hint="eastAsia" w:ascii="宋体" w:hAnsi="宋体" w:cs="宋体"/>
          <w:color w:val="000000" w:themeColor="text1"/>
          <w:sz w:val="24"/>
          <w:highlight w:val="none"/>
          <w14:textFill>
            <w14:solidFill>
              <w14:schemeClr w14:val="tx1"/>
            </w14:solidFill>
          </w14:textFill>
        </w:rPr>
        <w:t>附件9</w:t>
      </w:r>
      <w:r>
        <w:rPr>
          <w:rFonts w:hint="eastAsia" w:ascii="宋体" w:hAnsi="宋体" w:cs="宋体"/>
          <w:color w:val="000000" w:themeColor="text1"/>
          <w:kern w:val="0"/>
          <w:sz w:val="24"/>
          <w:highlight w:val="none"/>
          <w14:textFill>
            <w14:solidFill>
              <w14:schemeClr w14:val="tx1"/>
            </w14:solidFill>
          </w14:textFill>
        </w:rPr>
        <w:t>）</w:t>
      </w:r>
    </w:p>
    <w:p w14:paraId="3633001B">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投标人需要说明的其他内容；（包括可能影响投标人技术性能评分项的各类证明材料）；</w:t>
      </w:r>
    </w:p>
    <w:p w14:paraId="5D97C98C">
      <w:pPr>
        <w:snapToGrid w:val="0"/>
        <w:spacing w:line="360" w:lineRule="auto"/>
        <w:ind w:firstLine="472"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第三部分  商务响应部分</w:t>
      </w:r>
    </w:p>
    <w:p w14:paraId="231BF37A">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1、证书一览表（附件10）；</w:t>
      </w:r>
    </w:p>
    <w:p w14:paraId="02584D37">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2、近三年来类似项目的成功案例（附件11）；</w:t>
      </w:r>
    </w:p>
    <w:p w14:paraId="1096EBCF">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3、资信及商务需求响应表（附件12）</w:t>
      </w:r>
    </w:p>
    <w:p w14:paraId="08E119DB">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4、售后服务描述及承诺（附件13）；</w:t>
      </w:r>
    </w:p>
    <w:p w14:paraId="3EA98CC6">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5、投标人需要说明的其他内容。（包括可能影响投标人企业实力及信誉评分项以及售后服务评分项的各类证明材料）；</w:t>
      </w:r>
    </w:p>
    <w:p w14:paraId="098A53D6">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第四部分  其他参考表格（此部分视情况选用）</w:t>
      </w:r>
    </w:p>
    <w:p w14:paraId="1ABEEC4C">
      <w:pPr>
        <w:snapToGrid w:val="0"/>
        <w:spacing w:line="360" w:lineRule="auto"/>
        <w:ind w:left="795" w:leftChars="260" w:hanging="249" w:hangingChars="104"/>
        <w:rPr>
          <w:rFonts w:ascii="宋体" w:hAnsi="宋体" w:cs="宋体"/>
          <w:color w:val="000000" w:themeColor="text1"/>
          <w:kern w:val="0"/>
          <w:sz w:val="24"/>
          <w:highlight w:val="none"/>
          <w14:textFill>
            <w14:solidFill>
              <w14:schemeClr w14:val="tx1"/>
            </w14:solidFill>
          </w14:textFill>
        </w:rPr>
      </w:pPr>
    </w:p>
    <w:p w14:paraId="297BD1E3">
      <w:pPr>
        <w:snapToGrid w:val="0"/>
        <w:spacing w:line="360" w:lineRule="auto"/>
        <w:ind w:left="795" w:leftChars="260" w:hanging="249" w:hangingChars="10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（以上内容具体描述详见“第二章 投标人须知”中“三、投标文件”的组成说明）</w:t>
      </w:r>
    </w:p>
    <w:p w14:paraId="0E2FC6BD">
      <w:pPr>
        <w:pStyle w:val="16"/>
        <w:rPr>
          <w:rFonts w:ascii="宋体" w:hAnsi="宋体" w:cs="宋体"/>
          <w:color w:val="000000" w:themeColor="text1"/>
          <w:highlight w:val="none"/>
          <w14:textFill>
            <w14:solidFill>
              <w14:schemeClr w14:val="tx1"/>
            </w14:solidFill>
          </w14:textFill>
        </w:rPr>
      </w:pPr>
    </w:p>
    <w:p w14:paraId="59E7E8E5">
      <w:pPr>
        <w:pStyle w:val="34"/>
        <w:ind w:firstLine="240"/>
        <w:rPr>
          <w:color w:val="000000" w:themeColor="text1"/>
          <w:highlight w:val="none"/>
          <w14:textFill>
            <w14:solidFill>
              <w14:schemeClr w14:val="tx1"/>
            </w14:solidFill>
          </w14:textFill>
        </w:rPr>
      </w:pPr>
    </w:p>
    <w:p w14:paraId="30DE87C9">
      <w:pPr>
        <w:pStyle w:val="34"/>
        <w:ind w:firstLine="240"/>
        <w:rPr>
          <w:color w:val="000000" w:themeColor="text1"/>
          <w:highlight w:val="none"/>
          <w14:textFill>
            <w14:solidFill>
              <w14:schemeClr w14:val="tx1"/>
            </w14:solidFill>
          </w14:textFill>
        </w:rPr>
      </w:pPr>
    </w:p>
    <w:p w14:paraId="640C07C1">
      <w:pPr>
        <w:pStyle w:val="34"/>
        <w:ind w:firstLine="98" w:firstLineChars="41"/>
        <w:rPr>
          <w:color w:val="000000" w:themeColor="text1"/>
          <w:highlight w:val="none"/>
          <w14:textFill>
            <w14:solidFill>
              <w14:schemeClr w14:val="tx1"/>
            </w14:solidFill>
          </w14:textFill>
        </w:rPr>
      </w:pPr>
    </w:p>
    <w:p w14:paraId="00BDD5B1">
      <w:pPr>
        <w:pStyle w:val="104"/>
        <w:snapToGrid w:val="0"/>
        <w:spacing w:line="400" w:lineRule="exact"/>
        <w:ind w:firstLine="109" w:firstLineChars="39"/>
        <w:jc w:val="both"/>
        <w:outlineLvl w:val="1"/>
        <w:rPr>
          <w:rFonts w:hint="eastAsia"/>
          <w:b/>
          <w:color w:val="000000" w:themeColor="text1"/>
          <w:sz w:val="28"/>
          <w:highlight w:val="none"/>
          <w:lang w:eastAsia="zh-CN"/>
          <w14:textFill>
            <w14:solidFill>
              <w14:schemeClr w14:val="tx1"/>
            </w14:solidFill>
          </w14:textFill>
        </w:rPr>
      </w:pPr>
    </w:p>
    <w:p w14:paraId="166405C0">
      <w:pPr>
        <w:pStyle w:val="104"/>
        <w:snapToGrid w:val="0"/>
        <w:spacing w:line="400" w:lineRule="exact"/>
        <w:ind w:firstLine="109" w:firstLineChars="39"/>
        <w:jc w:val="both"/>
        <w:outlineLvl w:val="1"/>
        <w:rPr>
          <w:rFonts w:hint="eastAsia"/>
          <w:b/>
          <w:color w:val="000000" w:themeColor="text1"/>
          <w:sz w:val="28"/>
          <w:highlight w:val="none"/>
          <w:lang w:eastAsia="zh-CN"/>
          <w14:textFill>
            <w14:solidFill>
              <w14:schemeClr w14:val="tx1"/>
            </w14:solidFill>
          </w14:textFill>
        </w:rPr>
      </w:pPr>
    </w:p>
    <w:p w14:paraId="0CF071CD">
      <w:pPr>
        <w:pStyle w:val="104"/>
        <w:snapToGrid w:val="0"/>
        <w:spacing w:line="400" w:lineRule="exact"/>
        <w:ind w:firstLine="109" w:firstLineChars="39"/>
        <w:jc w:val="both"/>
        <w:outlineLvl w:val="1"/>
        <w:rPr>
          <w:rFonts w:hint="eastAsia"/>
          <w:b/>
          <w:color w:val="000000" w:themeColor="text1"/>
          <w:sz w:val="28"/>
          <w:highlight w:val="none"/>
          <w:lang w:eastAsia="zh-CN"/>
          <w14:textFill>
            <w14:solidFill>
              <w14:schemeClr w14:val="tx1"/>
            </w14:solidFill>
          </w14:textFill>
        </w:rPr>
      </w:pPr>
    </w:p>
    <w:p w14:paraId="02728650">
      <w:pPr>
        <w:pStyle w:val="104"/>
        <w:snapToGrid w:val="0"/>
        <w:spacing w:line="400" w:lineRule="exact"/>
        <w:ind w:firstLine="109" w:firstLineChars="39"/>
        <w:jc w:val="both"/>
        <w:outlineLvl w:val="1"/>
        <w:rPr>
          <w:rFonts w:hint="eastAsia"/>
          <w:b/>
          <w:color w:val="000000" w:themeColor="text1"/>
          <w:sz w:val="28"/>
          <w:highlight w:val="none"/>
          <w:lang w:eastAsia="zh-CN"/>
          <w14:textFill>
            <w14:solidFill>
              <w14:schemeClr w14:val="tx1"/>
            </w14:solidFill>
          </w14:textFill>
        </w:rPr>
      </w:pPr>
    </w:p>
    <w:p w14:paraId="21E40DBC">
      <w:pPr>
        <w:pStyle w:val="104"/>
        <w:snapToGrid w:val="0"/>
        <w:spacing w:line="400" w:lineRule="exact"/>
        <w:ind w:firstLine="109" w:firstLineChars="39"/>
        <w:jc w:val="center"/>
        <w:outlineLvl w:val="1"/>
        <w:rPr>
          <w:rFonts w:hint="default"/>
          <w:b/>
          <w:color w:val="000000" w:themeColor="text1"/>
          <w:sz w:val="28"/>
          <w:highlight w:val="none"/>
          <w:lang w:val="en-US" w:eastAsia="zh-CN"/>
          <w14:textFill>
            <w14:solidFill>
              <w14:schemeClr w14:val="tx1"/>
            </w14:solidFill>
          </w14:textFill>
        </w:rPr>
      </w:pPr>
      <w:r>
        <w:rPr>
          <w:rFonts w:hint="eastAsia"/>
          <w:b/>
          <w:color w:val="000000" w:themeColor="text1"/>
          <w:sz w:val="28"/>
          <w:highlight w:val="none"/>
          <w:lang w:val="en-US" w:eastAsia="zh-CN"/>
          <w14:textFill>
            <w14:solidFill>
              <w14:schemeClr w14:val="tx1"/>
            </w14:solidFill>
          </w14:textFill>
        </w:rPr>
        <w:t>目录索引</w:t>
      </w:r>
    </w:p>
    <w:tbl>
      <w:tblPr>
        <w:tblStyle w:val="35"/>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70"/>
        <w:gridCol w:w="5959"/>
        <w:gridCol w:w="817"/>
        <w:gridCol w:w="817"/>
        <w:gridCol w:w="817"/>
      </w:tblGrid>
      <w:tr w14:paraId="6FD5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713" w:type="dxa"/>
            <w:noWrap w:val="0"/>
            <w:vAlign w:val="center"/>
          </w:tcPr>
          <w:p w14:paraId="04842B63">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170" w:type="dxa"/>
            <w:noWrap w:val="0"/>
            <w:vAlign w:val="center"/>
          </w:tcPr>
          <w:p w14:paraId="0852EA5E">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评审内容</w:t>
            </w:r>
          </w:p>
        </w:tc>
        <w:tc>
          <w:tcPr>
            <w:tcW w:w="5959" w:type="dxa"/>
            <w:noWrap w:val="0"/>
            <w:vAlign w:val="center"/>
          </w:tcPr>
          <w:p w14:paraId="1A8A0B68">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c>
          <w:tcPr>
            <w:tcW w:w="817" w:type="dxa"/>
            <w:noWrap w:val="0"/>
            <w:vAlign w:val="center"/>
          </w:tcPr>
          <w:p w14:paraId="413E543D">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分值</w:t>
            </w:r>
          </w:p>
        </w:tc>
        <w:tc>
          <w:tcPr>
            <w:tcW w:w="817" w:type="dxa"/>
            <w:noWrap w:val="0"/>
            <w:vAlign w:val="center"/>
          </w:tcPr>
          <w:p w14:paraId="38654500">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页码</w:t>
            </w:r>
          </w:p>
        </w:tc>
        <w:tc>
          <w:tcPr>
            <w:tcW w:w="817" w:type="dxa"/>
            <w:noWrap w:val="0"/>
            <w:vAlign w:val="center"/>
          </w:tcPr>
          <w:p w14:paraId="209F2949">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自评分</w:t>
            </w:r>
          </w:p>
        </w:tc>
      </w:tr>
      <w:tr w14:paraId="32C2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13" w:type="dxa"/>
            <w:noWrap w:val="0"/>
            <w:vAlign w:val="center"/>
          </w:tcPr>
          <w:p w14:paraId="25E72273">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170" w:type="dxa"/>
            <w:noWrap w:val="0"/>
            <w:vAlign w:val="center"/>
          </w:tcPr>
          <w:p w14:paraId="1E0DC771">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认证证书</w:t>
            </w:r>
          </w:p>
        </w:tc>
        <w:tc>
          <w:tcPr>
            <w:tcW w:w="5959" w:type="dxa"/>
            <w:noWrap w:val="0"/>
            <w:vAlign w:val="center"/>
          </w:tcPr>
          <w:p w14:paraId="130850F8">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投标人提供ISO9001 质量管理体系、提供IS014001 环境管理体系，提供 </w:t>
            </w:r>
          </w:p>
          <w:p w14:paraId="22BE26B7">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ISO20000 信息技术服务管理体系、提供ISO 27001 信息安全管理体系认证证书，每个证书得1分，共4分。</w:t>
            </w:r>
            <w:r>
              <w:rPr>
                <w:rFonts w:hint="eastAsia" w:ascii="宋体" w:hAnsi="宋体" w:eastAsia="宋体" w:cs="宋体"/>
                <w:b/>
                <w:bCs/>
                <w:color w:val="000000" w:themeColor="text1"/>
                <w:sz w:val="24"/>
                <w:szCs w:val="24"/>
                <w:highlight w:val="none"/>
                <w14:textFill>
                  <w14:solidFill>
                    <w14:schemeClr w14:val="tx1"/>
                  </w14:solidFill>
                </w14:textFill>
              </w:rPr>
              <w:t>（商务技术文件中提供相应证书扫描件，不提供的不得分）</w:t>
            </w:r>
          </w:p>
        </w:tc>
        <w:tc>
          <w:tcPr>
            <w:tcW w:w="817" w:type="dxa"/>
            <w:noWrap w:val="0"/>
            <w:vAlign w:val="center"/>
          </w:tcPr>
          <w:p w14:paraId="2188A92C">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817" w:type="dxa"/>
            <w:noWrap w:val="0"/>
            <w:vAlign w:val="center"/>
          </w:tcPr>
          <w:p w14:paraId="5B37AD44">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17" w:type="dxa"/>
            <w:noWrap w:val="0"/>
            <w:vAlign w:val="center"/>
          </w:tcPr>
          <w:p w14:paraId="51FD3EFA">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ABE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13" w:type="dxa"/>
            <w:noWrap w:val="0"/>
            <w:vAlign w:val="center"/>
          </w:tcPr>
          <w:p w14:paraId="4687632D">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170" w:type="dxa"/>
            <w:noWrap w:val="0"/>
            <w:vAlign w:val="center"/>
          </w:tcPr>
          <w:p w14:paraId="1681F800">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业绩</w:t>
            </w:r>
          </w:p>
        </w:tc>
        <w:tc>
          <w:tcPr>
            <w:tcW w:w="5959" w:type="dxa"/>
            <w:noWrap w:val="0"/>
            <w:vAlign w:val="center"/>
          </w:tcPr>
          <w:p w14:paraId="6A1AC995">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投标人提供20</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年1月1日以来的类似案例服务业绩：每提供1个类似项目的服务业绩得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14:textFill>
                  <w14:solidFill>
                    <w14:schemeClr w14:val="tx1"/>
                  </w14:solidFill>
                </w14:textFill>
              </w:rPr>
              <w:t>（商务技术文件中提供合同扫描件，不提供的不得分）</w:t>
            </w:r>
          </w:p>
        </w:tc>
        <w:tc>
          <w:tcPr>
            <w:tcW w:w="817" w:type="dxa"/>
            <w:noWrap w:val="0"/>
            <w:vAlign w:val="center"/>
          </w:tcPr>
          <w:p w14:paraId="4663CC9C">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817" w:type="dxa"/>
            <w:noWrap w:val="0"/>
            <w:vAlign w:val="center"/>
          </w:tcPr>
          <w:p w14:paraId="0CFAE59A">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17" w:type="dxa"/>
            <w:noWrap w:val="0"/>
            <w:vAlign w:val="center"/>
          </w:tcPr>
          <w:p w14:paraId="02BF6DEB">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6829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713" w:type="dxa"/>
            <w:vMerge w:val="restart"/>
            <w:noWrap w:val="0"/>
            <w:vAlign w:val="center"/>
          </w:tcPr>
          <w:p w14:paraId="5A484AA0">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w:t>
            </w:r>
          </w:p>
        </w:tc>
        <w:tc>
          <w:tcPr>
            <w:tcW w:w="1170" w:type="dxa"/>
            <w:vMerge w:val="restart"/>
            <w:noWrap w:val="0"/>
            <w:vAlign w:val="center"/>
          </w:tcPr>
          <w:p w14:paraId="40E9F0CA">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维保技术方案</w:t>
            </w:r>
          </w:p>
        </w:tc>
        <w:tc>
          <w:tcPr>
            <w:tcW w:w="5959" w:type="dxa"/>
            <w:noWrap w:val="0"/>
            <w:vAlign w:val="center"/>
          </w:tcPr>
          <w:p w14:paraId="135AC0AA">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投标人提供具体详细的维保技术方案，主要包括维保内容、定期巡检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保修范围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、服</w:t>
            </w:r>
            <w:r>
              <w:rPr>
                <w:rFonts w:hint="eastAsia" w:ascii="宋体" w:hAnsi="宋体" w:eastAsia="宋体" w:cs="宋体"/>
                <w:color w:val="000000" w:themeColor="text1"/>
                <w:sz w:val="24"/>
                <w:szCs w:val="24"/>
                <w:highlight w:val="none"/>
                <w14:textFill>
                  <w14:solidFill>
                    <w14:schemeClr w14:val="tx1"/>
                  </w14:solidFill>
                </w14:textFill>
              </w:rPr>
              <w:t>务标准等</w:t>
            </w:r>
          </w:p>
          <w:p w14:paraId="12A7421E">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方案详细且合理有实际可操作性，完全满足本项目采购需求要求的</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14:paraId="5D235364">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方案详细，基本满足本项目采购需求要求的，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得4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8668B4A">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基本齐全，阐述不够具体，或有缺漏的，得3分；</w:t>
            </w:r>
          </w:p>
          <w:p w14:paraId="0BADFEBB">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方案简单或方案存在不合理、无实际操作性或严重缺陷的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得2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25556B6">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未提及此项不得分。</w:t>
            </w:r>
          </w:p>
        </w:tc>
        <w:tc>
          <w:tcPr>
            <w:tcW w:w="817" w:type="dxa"/>
            <w:noWrap w:val="0"/>
            <w:vAlign w:val="center"/>
          </w:tcPr>
          <w:p w14:paraId="4DE2E600">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817" w:type="dxa"/>
            <w:noWrap w:val="0"/>
            <w:vAlign w:val="center"/>
          </w:tcPr>
          <w:p w14:paraId="780BC7C7">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17" w:type="dxa"/>
            <w:noWrap w:val="0"/>
            <w:vAlign w:val="center"/>
          </w:tcPr>
          <w:p w14:paraId="59FA8EDF">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C56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713" w:type="dxa"/>
            <w:vMerge w:val="continue"/>
            <w:noWrap w:val="0"/>
            <w:vAlign w:val="center"/>
          </w:tcPr>
          <w:p w14:paraId="7A44E40C">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vMerge w:val="continue"/>
            <w:noWrap w:val="0"/>
            <w:vAlign w:val="center"/>
          </w:tcPr>
          <w:p w14:paraId="1EFB7A2C">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959" w:type="dxa"/>
            <w:noWrap w:val="0"/>
            <w:vAlign w:val="center"/>
          </w:tcPr>
          <w:p w14:paraId="39720D65">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投标人提供故障响应修复时间方式及保障措施等</w:t>
            </w:r>
          </w:p>
          <w:p w14:paraId="10999043">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方案详细且合理有实际可操作性，完全满足本项目采购需求要求的</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14:paraId="1ECD9928">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方案详细，基本满足本项目采购需求要求的，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得3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C31BF5B">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基本齐全，阐述不够具体，或有缺漏的，得2分；</w:t>
            </w:r>
          </w:p>
          <w:p w14:paraId="4284D791">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方案简单或方案存在不合理、无实际操作性或严重缺陷的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得1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D7DA2DD">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未提及此项不得分。</w:t>
            </w:r>
          </w:p>
        </w:tc>
        <w:tc>
          <w:tcPr>
            <w:tcW w:w="817" w:type="dxa"/>
            <w:noWrap w:val="0"/>
            <w:vAlign w:val="center"/>
          </w:tcPr>
          <w:p w14:paraId="53C5DFCC">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817" w:type="dxa"/>
            <w:noWrap w:val="0"/>
            <w:vAlign w:val="center"/>
          </w:tcPr>
          <w:p w14:paraId="4AA38E89">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17" w:type="dxa"/>
            <w:noWrap w:val="0"/>
            <w:vAlign w:val="center"/>
          </w:tcPr>
          <w:p w14:paraId="3AE8FA04">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465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13" w:type="dxa"/>
            <w:noWrap w:val="0"/>
            <w:vAlign w:val="center"/>
          </w:tcPr>
          <w:p w14:paraId="56B4FA92">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w:t>
            </w:r>
          </w:p>
        </w:tc>
        <w:tc>
          <w:tcPr>
            <w:tcW w:w="1170" w:type="dxa"/>
            <w:noWrap w:val="0"/>
            <w:vAlign w:val="center"/>
          </w:tcPr>
          <w:p w14:paraId="57CC0F3A">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理解程度</w:t>
            </w:r>
          </w:p>
        </w:tc>
        <w:tc>
          <w:tcPr>
            <w:tcW w:w="5959" w:type="dxa"/>
            <w:noWrap w:val="0"/>
            <w:vAlign w:val="center"/>
          </w:tcPr>
          <w:p w14:paraId="528C2D07">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根据投标人对项目理解程度、项目建设思路、关键技术指标符合程度、合理性、可扩充性，项目前期准备情况、以及优化方案进行综合评分。</w:t>
            </w:r>
          </w:p>
          <w:p w14:paraId="26580EB3">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对项目理解比较透彻，科学合理的，项目前期准备充分的</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14:paraId="77222617">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对项目理解较</w:t>
            </w:r>
            <w:r>
              <w:rPr>
                <w:rFonts w:hint="eastAsia" w:ascii="宋体" w:hAnsi="宋体" w:eastAsia="宋体" w:cs="宋体"/>
                <w:color w:val="000000" w:themeColor="text1"/>
                <w:sz w:val="24"/>
                <w:szCs w:val="24"/>
                <w:highlight w:val="none"/>
                <w:lang w:val="en-US" w:eastAsia="zh-CN"/>
                <w14:textFill>
                  <w14:solidFill>
                    <w14:schemeClr w14:val="tx1"/>
                  </w14:solidFill>
                </w14:textFill>
              </w:rPr>
              <w:t>透彻</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基本科学合理得</w:t>
            </w:r>
            <w:r>
              <w:rPr>
                <w:rFonts w:hint="eastAsia" w:ascii="宋体" w:hAnsi="宋体" w:eastAsia="宋体" w:cs="宋体"/>
                <w:color w:val="000000" w:themeColor="text1"/>
                <w:sz w:val="24"/>
                <w:szCs w:val="24"/>
                <w:highlight w:val="none"/>
                <w14:textFill>
                  <w14:solidFill>
                    <w14:schemeClr w14:val="tx1"/>
                  </w14:solidFill>
                </w14:textFill>
              </w:rPr>
              <w:t>，项目前期准备</w:t>
            </w:r>
            <w:r>
              <w:rPr>
                <w:rFonts w:hint="eastAsia" w:ascii="宋体" w:hAnsi="宋体" w:eastAsia="宋体" w:cs="宋体"/>
                <w:color w:val="000000" w:themeColor="text1"/>
                <w:sz w:val="24"/>
                <w:szCs w:val="24"/>
                <w:highlight w:val="none"/>
                <w:lang w:val="en-US" w:eastAsia="zh-CN"/>
                <w14:textFill>
                  <w14:solidFill>
                    <w14:schemeClr w14:val="tx1"/>
                  </w14:solidFill>
                </w14:textFill>
              </w:rPr>
              <w:t>比较</w:t>
            </w:r>
            <w:r>
              <w:rPr>
                <w:rFonts w:hint="eastAsia" w:ascii="宋体" w:hAnsi="宋体" w:eastAsia="宋体" w:cs="宋体"/>
                <w:color w:val="000000" w:themeColor="text1"/>
                <w:sz w:val="24"/>
                <w:szCs w:val="24"/>
                <w:highlight w:val="none"/>
                <w14:textFill>
                  <w14:solidFill>
                    <w14:schemeClr w14:val="tx1"/>
                  </w14:solidFill>
                </w14:textFill>
              </w:rPr>
              <w:t>充分的</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B38DB6B">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对项目理解</w:t>
            </w:r>
            <w:r>
              <w:rPr>
                <w:rFonts w:hint="eastAsia" w:ascii="宋体" w:hAnsi="宋体" w:eastAsia="宋体" w:cs="宋体"/>
                <w:color w:val="000000" w:themeColor="text1"/>
                <w:sz w:val="24"/>
                <w:szCs w:val="24"/>
                <w:highlight w:val="none"/>
                <w:lang w:val="en-US" w:eastAsia="zh-CN"/>
                <w14:textFill>
                  <w14:solidFill>
                    <w14:schemeClr w14:val="tx1"/>
                  </w14:solidFill>
                </w14:textFill>
              </w:rPr>
              <w:t>一般</w:t>
            </w:r>
            <w:r>
              <w:rPr>
                <w:rFonts w:hint="eastAsia" w:ascii="宋体" w:hAnsi="宋体" w:eastAsia="宋体" w:cs="宋体"/>
                <w:color w:val="000000" w:themeColor="text1"/>
                <w:sz w:val="24"/>
                <w:szCs w:val="24"/>
                <w:highlight w:val="none"/>
                <w14:textFill>
                  <w14:solidFill>
                    <w14:schemeClr w14:val="tx1"/>
                  </w14:solidFill>
                </w14:textFill>
              </w:rPr>
              <w:t>的，有欠缺的，项目前期准备</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w:t>
            </w:r>
            <w:r>
              <w:rPr>
                <w:rFonts w:hint="eastAsia" w:ascii="宋体" w:hAnsi="宋体" w:eastAsia="宋体" w:cs="宋体"/>
                <w:color w:val="000000" w:themeColor="text1"/>
                <w:sz w:val="24"/>
                <w:szCs w:val="24"/>
                <w:highlight w:val="none"/>
                <w14:textFill>
                  <w14:solidFill>
                    <w14:schemeClr w14:val="tx1"/>
                  </w14:solidFill>
                </w14:textFill>
              </w:rPr>
              <w:t>充分的</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E2D5AB2">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对项目理解较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差</w:t>
            </w:r>
            <w:r>
              <w:rPr>
                <w:rFonts w:hint="eastAsia" w:ascii="宋体" w:hAnsi="宋体" w:eastAsia="宋体" w:cs="宋体"/>
                <w:color w:val="000000" w:themeColor="text1"/>
                <w:sz w:val="24"/>
                <w:szCs w:val="24"/>
                <w:highlight w:val="none"/>
                <w14:textFill>
                  <w14:solidFill>
                    <w14:schemeClr w14:val="tx1"/>
                  </w14:solidFill>
                </w14:textFill>
              </w:rPr>
              <w:t>的，有</w:t>
            </w:r>
            <w:r>
              <w:rPr>
                <w:rFonts w:hint="eastAsia" w:ascii="宋体" w:hAnsi="宋体" w:eastAsia="宋体" w:cs="宋体"/>
                <w:color w:val="000000" w:themeColor="text1"/>
                <w:sz w:val="24"/>
                <w:szCs w:val="24"/>
                <w:highlight w:val="none"/>
                <w:lang w:val="en-US" w:eastAsia="zh-CN"/>
                <w14:textFill>
                  <w14:solidFill>
                    <w14:schemeClr w14:val="tx1"/>
                  </w14:solidFill>
                </w14:textFill>
              </w:rPr>
              <w:t>较大</w:t>
            </w:r>
            <w:r>
              <w:rPr>
                <w:rFonts w:hint="eastAsia" w:ascii="宋体" w:hAnsi="宋体" w:eastAsia="宋体" w:cs="宋体"/>
                <w:color w:val="000000" w:themeColor="text1"/>
                <w:sz w:val="24"/>
                <w:szCs w:val="24"/>
                <w:highlight w:val="none"/>
                <w14:textFill>
                  <w14:solidFill>
                    <w14:schemeClr w14:val="tx1"/>
                  </w14:solidFill>
                </w14:textFill>
              </w:rPr>
              <w:t>欠缺的，项目前期准备不够充分的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5917706">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未提及此项不得分。</w:t>
            </w:r>
          </w:p>
        </w:tc>
        <w:tc>
          <w:tcPr>
            <w:tcW w:w="817" w:type="dxa"/>
            <w:noWrap w:val="0"/>
            <w:vAlign w:val="center"/>
          </w:tcPr>
          <w:p w14:paraId="6EAB0408">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817" w:type="dxa"/>
            <w:noWrap w:val="0"/>
            <w:vAlign w:val="center"/>
          </w:tcPr>
          <w:p w14:paraId="0C8DA618">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17" w:type="dxa"/>
            <w:noWrap w:val="0"/>
            <w:vAlign w:val="center"/>
          </w:tcPr>
          <w:p w14:paraId="44B58D2C">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685D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13" w:type="dxa"/>
            <w:noWrap w:val="0"/>
            <w:vAlign w:val="center"/>
          </w:tcPr>
          <w:p w14:paraId="7B3ABA20">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5</w:t>
            </w:r>
          </w:p>
        </w:tc>
        <w:tc>
          <w:tcPr>
            <w:tcW w:w="1170" w:type="dxa"/>
            <w:noWrap w:val="0"/>
            <w:vAlign w:val="center"/>
          </w:tcPr>
          <w:p w14:paraId="796043C9">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软硬件维保服务</w:t>
            </w:r>
          </w:p>
        </w:tc>
        <w:tc>
          <w:tcPr>
            <w:tcW w:w="5959" w:type="dxa"/>
            <w:noWrap w:val="0"/>
            <w:vAlign w:val="center"/>
          </w:tcPr>
          <w:p w14:paraId="0975C938">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完全满足维保服务范围及技术要求计</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分；不满足维保服务范围及技术要求的每一项扣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分，扣完为止；</w:t>
            </w:r>
          </w:p>
        </w:tc>
        <w:tc>
          <w:tcPr>
            <w:tcW w:w="817" w:type="dxa"/>
            <w:noWrap w:val="0"/>
            <w:vAlign w:val="center"/>
          </w:tcPr>
          <w:p w14:paraId="76BB263A">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tc>
        <w:tc>
          <w:tcPr>
            <w:tcW w:w="817" w:type="dxa"/>
            <w:noWrap w:val="0"/>
            <w:vAlign w:val="center"/>
          </w:tcPr>
          <w:p w14:paraId="7D4827A1">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17" w:type="dxa"/>
            <w:noWrap w:val="0"/>
            <w:vAlign w:val="center"/>
          </w:tcPr>
          <w:p w14:paraId="5EA8775D">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36FC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13" w:type="dxa"/>
            <w:noWrap w:val="0"/>
            <w:vAlign w:val="center"/>
          </w:tcPr>
          <w:p w14:paraId="1813589B">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w:t>
            </w:r>
          </w:p>
        </w:tc>
        <w:tc>
          <w:tcPr>
            <w:tcW w:w="1170" w:type="dxa"/>
            <w:noWrap w:val="0"/>
            <w:vAlign w:val="center"/>
          </w:tcPr>
          <w:p w14:paraId="1230A390">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w:t>
            </w:r>
          </w:p>
        </w:tc>
        <w:tc>
          <w:tcPr>
            <w:tcW w:w="5959" w:type="dxa"/>
            <w:noWrap w:val="0"/>
            <w:vAlign w:val="center"/>
          </w:tcPr>
          <w:p w14:paraId="3F1B718D">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根据投标人提出的合理化建议是否合理、是否可实施、是否体现出对本项目有充分了解和具备履约能力进行打分。</w:t>
            </w:r>
          </w:p>
          <w:p w14:paraId="73386F05">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合理化建议合理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可操作性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的得3分；</w:t>
            </w:r>
          </w:p>
          <w:p w14:paraId="536F5904">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w:t>
            </w:r>
            <w:r>
              <w:rPr>
                <w:rFonts w:hint="eastAsia" w:ascii="宋体" w:hAnsi="宋体" w:eastAsia="宋体" w:cs="宋体"/>
                <w:color w:val="000000" w:themeColor="text1"/>
                <w:sz w:val="24"/>
                <w:szCs w:val="24"/>
                <w:highlight w:val="none"/>
                <w:lang w:val="en-US"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合理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基本</w:t>
            </w:r>
            <w:r>
              <w:rPr>
                <w:rFonts w:hint="eastAsia" w:ascii="宋体" w:hAnsi="宋体" w:eastAsia="宋体" w:cs="宋体"/>
                <w:color w:val="000000" w:themeColor="text1"/>
                <w:sz w:val="24"/>
                <w:szCs w:val="24"/>
                <w:highlight w:val="none"/>
                <w:lang w:val="en-US" w:eastAsia="zh-CN"/>
                <w14:textFill>
                  <w14:solidFill>
                    <w14:schemeClr w14:val="tx1"/>
                  </w14:solidFill>
                </w14:textFill>
              </w:rPr>
              <w:t>可行、</w:t>
            </w:r>
            <w:r>
              <w:rPr>
                <w:rFonts w:hint="eastAsia" w:ascii="宋体" w:hAnsi="宋体" w:eastAsia="宋体" w:cs="宋体"/>
                <w:color w:val="000000" w:themeColor="text1"/>
                <w:sz w:val="24"/>
                <w:szCs w:val="24"/>
                <w:highlight w:val="none"/>
                <w14:textFill>
                  <w14:solidFill>
                    <w14:schemeClr w14:val="tx1"/>
                  </w14:solidFill>
                </w14:textFill>
              </w:rPr>
              <w:t>可操作性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有欠缺的得2分；</w:t>
            </w:r>
          </w:p>
          <w:p w14:paraId="73D9AA8B">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w:t>
            </w:r>
            <w:r>
              <w:rPr>
                <w:rFonts w:hint="eastAsia" w:ascii="宋体" w:hAnsi="宋体" w:eastAsia="宋体" w:cs="宋体"/>
                <w:color w:val="000000" w:themeColor="text1"/>
                <w:sz w:val="24"/>
                <w:szCs w:val="24"/>
                <w:highlight w:val="none"/>
                <w14:textFill>
                  <w14:solidFill>
                    <w14:schemeClr w14:val="tx1"/>
                  </w14:solidFill>
                </w14:textFill>
              </w:rPr>
              <w:t>合理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可行、</w:t>
            </w:r>
            <w:r>
              <w:rPr>
                <w:rFonts w:hint="eastAsia" w:ascii="宋体" w:hAnsi="宋体" w:eastAsia="宋体" w:cs="宋体"/>
                <w:color w:val="000000" w:themeColor="text1"/>
                <w:sz w:val="24"/>
                <w:szCs w:val="24"/>
                <w:highlight w:val="none"/>
                <w14:textFill>
                  <w14:solidFill>
                    <w14:schemeClr w14:val="tx1"/>
                  </w14:solidFill>
                </w14:textFill>
              </w:rPr>
              <w:t>可操作性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有较大欠缺的得1分；</w:t>
            </w:r>
          </w:p>
          <w:p w14:paraId="76A78700">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未提及此项不得分。</w:t>
            </w:r>
          </w:p>
        </w:tc>
        <w:tc>
          <w:tcPr>
            <w:tcW w:w="817" w:type="dxa"/>
            <w:noWrap w:val="0"/>
            <w:vAlign w:val="center"/>
          </w:tcPr>
          <w:p w14:paraId="7A7F4BCC">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817" w:type="dxa"/>
            <w:noWrap w:val="0"/>
            <w:vAlign w:val="center"/>
          </w:tcPr>
          <w:p w14:paraId="4A58892E">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17" w:type="dxa"/>
            <w:noWrap w:val="0"/>
            <w:vAlign w:val="center"/>
          </w:tcPr>
          <w:p w14:paraId="4BA134CD">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D6A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13" w:type="dxa"/>
            <w:noWrap w:val="0"/>
            <w:vAlign w:val="center"/>
          </w:tcPr>
          <w:p w14:paraId="353E307C">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7</w:t>
            </w:r>
          </w:p>
        </w:tc>
        <w:tc>
          <w:tcPr>
            <w:tcW w:w="1170" w:type="dxa"/>
            <w:noWrap w:val="0"/>
            <w:vAlign w:val="center"/>
          </w:tcPr>
          <w:p w14:paraId="49133731">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就近的服务网点及备件库介绍，备品备件（包括备机提供）方案</w:t>
            </w:r>
          </w:p>
        </w:tc>
        <w:tc>
          <w:tcPr>
            <w:tcW w:w="5959" w:type="dxa"/>
            <w:noWrap w:val="0"/>
            <w:vAlign w:val="center"/>
          </w:tcPr>
          <w:p w14:paraId="2EBFECBA">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根据投标供应商对其针对本项目就近的服务网点及备件库介绍，备品备件（包括备机提供）方案等</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w:t>
            </w:r>
            <w:r>
              <w:rPr>
                <w:rFonts w:hint="eastAsia" w:ascii="宋体" w:hAnsi="宋体" w:eastAsia="宋体" w:cs="宋体"/>
                <w:color w:val="000000" w:themeColor="text1"/>
                <w:sz w:val="24"/>
                <w:szCs w:val="24"/>
                <w:highlight w:val="none"/>
                <w14:textFill>
                  <w14:solidFill>
                    <w14:schemeClr w14:val="tx1"/>
                  </w14:solidFill>
                </w14:textFill>
              </w:rPr>
              <w:t>评分：</w:t>
            </w:r>
          </w:p>
          <w:p w14:paraId="5B2C3232">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服务网点设置合理，备品备件储备充足、调配及时的得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4分</w:t>
            </w:r>
            <w:r>
              <w:rPr>
                <w:rFonts w:hint="eastAsia" w:ascii="宋体" w:hAnsi="宋体" w:eastAsia="宋体" w:cs="宋体"/>
                <w:color w:val="000000" w:themeColor="text1"/>
                <w:sz w:val="24"/>
                <w:szCs w:val="24"/>
                <w:highlight w:val="none"/>
                <w14:textFill>
                  <w14:solidFill>
                    <w14:schemeClr w14:val="tx1"/>
                  </w14:solidFill>
                </w14:textFill>
              </w:rPr>
              <w:t>；</w:t>
            </w:r>
          </w:p>
          <w:p w14:paraId="7DA476DE">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服务网点设置较合理，备品备件有一定储备，可按需要调配的得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51A052A1">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服务网点设置</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w:t>
            </w:r>
            <w:r>
              <w:rPr>
                <w:rFonts w:hint="eastAsia" w:ascii="宋体" w:hAnsi="宋体" w:eastAsia="宋体" w:cs="宋体"/>
                <w:color w:val="000000" w:themeColor="text1"/>
                <w:sz w:val="24"/>
                <w:szCs w:val="24"/>
                <w:highlight w:val="none"/>
                <w14:textFill>
                  <w14:solidFill>
                    <w14:schemeClr w14:val="tx1"/>
                  </w14:solidFill>
                </w14:textFill>
              </w:rPr>
              <w:t>合理，备品备件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color w:val="000000" w:themeColor="text1"/>
                <w:sz w:val="24"/>
                <w:szCs w:val="24"/>
                <w:highlight w:val="none"/>
                <w14:textFill>
                  <w14:solidFill>
                    <w14:schemeClr w14:val="tx1"/>
                  </w14:solidFill>
                </w14:textFill>
              </w:rPr>
              <w:t>储备，可按需要调配的得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14:paraId="3E5D02E1">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对服务网点设置、备品备件储备描述含糊、不具体的得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p w14:paraId="74EDDCE4">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17" w:type="dxa"/>
            <w:noWrap w:val="0"/>
            <w:vAlign w:val="center"/>
          </w:tcPr>
          <w:p w14:paraId="59197D66">
            <w:pPr>
              <w:keepNext w:val="0"/>
              <w:keepLines w:val="0"/>
              <w:pageBreakBefore w:val="0"/>
              <w:widowControl w:val="0"/>
              <w:kinsoku/>
              <w:wordWrap/>
              <w:overflowPunct/>
              <w:topLinePunct w:val="0"/>
              <w:autoSpaceDE/>
              <w:autoSpaceDN/>
              <w:bidi w:val="0"/>
              <w:adjustRightInd/>
              <w:snapToGrid/>
              <w:spacing w:line="280" w:lineRule="exact"/>
              <w:ind w:firstLine="120" w:firstLineChars="5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817" w:type="dxa"/>
            <w:noWrap w:val="0"/>
            <w:vAlign w:val="center"/>
          </w:tcPr>
          <w:p w14:paraId="760875CC">
            <w:pPr>
              <w:keepNext w:val="0"/>
              <w:keepLines w:val="0"/>
              <w:pageBreakBefore w:val="0"/>
              <w:widowControl w:val="0"/>
              <w:kinsoku/>
              <w:wordWrap/>
              <w:overflowPunct/>
              <w:topLinePunct w:val="0"/>
              <w:autoSpaceDE/>
              <w:autoSpaceDN/>
              <w:bidi w:val="0"/>
              <w:adjustRightInd/>
              <w:snapToGrid/>
              <w:spacing w:line="280" w:lineRule="exact"/>
              <w:ind w:firstLine="120" w:firstLineChars="5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17" w:type="dxa"/>
            <w:noWrap w:val="0"/>
            <w:vAlign w:val="center"/>
          </w:tcPr>
          <w:p w14:paraId="20A1B9FB">
            <w:pPr>
              <w:keepNext w:val="0"/>
              <w:keepLines w:val="0"/>
              <w:pageBreakBefore w:val="0"/>
              <w:widowControl w:val="0"/>
              <w:kinsoku/>
              <w:wordWrap/>
              <w:overflowPunct/>
              <w:topLinePunct w:val="0"/>
              <w:autoSpaceDE/>
              <w:autoSpaceDN/>
              <w:bidi w:val="0"/>
              <w:adjustRightInd/>
              <w:snapToGrid/>
              <w:spacing w:line="280" w:lineRule="exact"/>
              <w:ind w:firstLine="120" w:firstLineChars="5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3187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13" w:type="dxa"/>
            <w:noWrap w:val="0"/>
            <w:vAlign w:val="center"/>
          </w:tcPr>
          <w:p w14:paraId="132558F7">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8</w:t>
            </w:r>
          </w:p>
        </w:tc>
        <w:tc>
          <w:tcPr>
            <w:tcW w:w="1170" w:type="dxa"/>
            <w:noWrap w:val="0"/>
            <w:vAlign w:val="center"/>
          </w:tcPr>
          <w:p w14:paraId="7F00E935">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w:t>
            </w:r>
          </w:p>
        </w:tc>
        <w:tc>
          <w:tcPr>
            <w:tcW w:w="5959" w:type="dxa"/>
            <w:noWrap w:val="0"/>
            <w:vAlign w:val="center"/>
          </w:tcPr>
          <w:p w14:paraId="46085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根据投标人提供一整套的售后服务方案的合理性、具体性、完整性、可操作性进行评分。</w:t>
            </w:r>
          </w:p>
          <w:p w14:paraId="7FEB34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售后服务方案和服务承诺落实的保障措施全面科学、合理可行的得4分；</w:t>
            </w:r>
          </w:p>
          <w:p w14:paraId="6E572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售后服务方案和服务承诺落实的保障措施比较全面、基本可行的得3分；</w:t>
            </w:r>
          </w:p>
          <w:p w14:paraId="1E2A27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售后服务方案和服务承诺落实的保障措施一般，有欠缺的得2分；</w:t>
            </w:r>
          </w:p>
          <w:p w14:paraId="674AF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售后服务方案和服务承诺落实的保障措施较差，有较大欠缺的得1分；</w:t>
            </w:r>
          </w:p>
          <w:p w14:paraId="295A4B61">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未提及此项不得分。</w:t>
            </w:r>
          </w:p>
        </w:tc>
        <w:tc>
          <w:tcPr>
            <w:tcW w:w="817" w:type="dxa"/>
            <w:noWrap w:val="0"/>
            <w:vAlign w:val="center"/>
          </w:tcPr>
          <w:p w14:paraId="53CF09E8">
            <w:pPr>
              <w:keepNext w:val="0"/>
              <w:keepLines w:val="0"/>
              <w:pageBreakBefore w:val="0"/>
              <w:widowControl w:val="0"/>
              <w:kinsoku/>
              <w:wordWrap/>
              <w:overflowPunct/>
              <w:topLinePunct w:val="0"/>
              <w:autoSpaceDE/>
              <w:autoSpaceDN/>
              <w:bidi w:val="0"/>
              <w:adjustRightInd/>
              <w:snapToGrid/>
              <w:spacing w:line="280" w:lineRule="exact"/>
              <w:ind w:firstLine="120" w:firstLineChars="5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817" w:type="dxa"/>
            <w:noWrap w:val="0"/>
            <w:vAlign w:val="center"/>
          </w:tcPr>
          <w:p w14:paraId="50A4252B">
            <w:pPr>
              <w:keepNext w:val="0"/>
              <w:keepLines w:val="0"/>
              <w:pageBreakBefore w:val="0"/>
              <w:widowControl w:val="0"/>
              <w:kinsoku/>
              <w:wordWrap/>
              <w:overflowPunct/>
              <w:topLinePunct w:val="0"/>
              <w:autoSpaceDE/>
              <w:autoSpaceDN/>
              <w:bidi w:val="0"/>
              <w:adjustRightInd/>
              <w:snapToGrid/>
              <w:spacing w:line="280" w:lineRule="exact"/>
              <w:ind w:firstLine="120" w:firstLineChars="5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17" w:type="dxa"/>
            <w:noWrap w:val="0"/>
            <w:vAlign w:val="center"/>
          </w:tcPr>
          <w:p w14:paraId="0825D983">
            <w:pPr>
              <w:keepNext w:val="0"/>
              <w:keepLines w:val="0"/>
              <w:pageBreakBefore w:val="0"/>
              <w:widowControl w:val="0"/>
              <w:kinsoku/>
              <w:wordWrap/>
              <w:overflowPunct/>
              <w:topLinePunct w:val="0"/>
              <w:autoSpaceDE/>
              <w:autoSpaceDN/>
              <w:bidi w:val="0"/>
              <w:adjustRightInd/>
              <w:snapToGrid/>
              <w:spacing w:line="280" w:lineRule="exact"/>
              <w:ind w:firstLine="120" w:firstLineChars="5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FD1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3" w:type="dxa"/>
            <w:vMerge w:val="restart"/>
            <w:noWrap w:val="0"/>
            <w:vAlign w:val="center"/>
          </w:tcPr>
          <w:p w14:paraId="5F359DDB">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9</w:t>
            </w:r>
          </w:p>
        </w:tc>
        <w:tc>
          <w:tcPr>
            <w:tcW w:w="1170" w:type="dxa"/>
            <w:vMerge w:val="restart"/>
            <w:noWrap w:val="0"/>
            <w:vAlign w:val="center"/>
          </w:tcPr>
          <w:p w14:paraId="278E428A">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项目人员</w:t>
            </w:r>
          </w:p>
        </w:tc>
        <w:tc>
          <w:tcPr>
            <w:tcW w:w="5959" w:type="dxa"/>
            <w:noWrap w:val="0"/>
            <w:vAlign w:val="center"/>
          </w:tcPr>
          <w:p w14:paraId="45FF3C60">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根据项目成员的配备、工作经验、职称、学历、获奖情况、荣誉、业绩等情况进行综合打分。</w:t>
            </w:r>
          </w:p>
          <w:p w14:paraId="4EF35EC8">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项目成员配置方案合理，经验丰富，岗位安排合理，能充分满足项目需求的得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14:paraId="688BBC0C">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项目成员配置方案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w:t>
            </w:r>
            <w:r>
              <w:rPr>
                <w:rFonts w:hint="eastAsia" w:ascii="宋体" w:hAnsi="宋体" w:eastAsia="宋体" w:cs="宋体"/>
                <w:color w:val="000000" w:themeColor="text1"/>
                <w:sz w:val="24"/>
                <w:szCs w:val="24"/>
                <w:highlight w:val="none"/>
                <w14:textFill>
                  <w14:solidFill>
                    <w14:schemeClr w14:val="tx1"/>
                  </w14:solidFill>
                </w14:textFill>
              </w:rPr>
              <w:t>合理，经验丰富，岗位安排</w:t>
            </w:r>
            <w:r>
              <w:rPr>
                <w:rFonts w:hint="eastAsia" w:ascii="宋体" w:hAnsi="宋体" w:eastAsia="宋体" w:cs="宋体"/>
                <w:color w:val="000000" w:themeColor="text1"/>
                <w:sz w:val="24"/>
                <w:szCs w:val="24"/>
                <w:highlight w:val="none"/>
                <w:lang w:val="en-US"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w:t>
            </w:r>
            <w:r>
              <w:rPr>
                <w:rFonts w:hint="eastAsia" w:ascii="宋体" w:hAnsi="宋体" w:eastAsia="宋体" w:cs="宋体"/>
                <w:color w:val="000000" w:themeColor="text1"/>
                <w:sz w:val="24"/>
                <w:szCs w:val="24"/>
                <w:highlight w:val="none"/>
                <w14:textFill>
                  <w14:solidFill>
                    <w14:schemeClr w14:val="tx1"/>
                  </w14:solidFill>
                </w14:textFill>
              </w:rPr>
              <w:t>满足项目需求的得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14:paraId="00614E17">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项目成员配置方案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color w:val="000000" w:themeColor="text1"/>
                <w:sz w:val="24"/>
                <w:szCs w:val="24"/>
                <w:highlight w:val="none"/>
                <w14:textFill>
                  <w14:solidFill>
                    <w14:schemeClr w14:val="tx1"/>
                  </w14:solidFill>
                </w14:textFill>
              </w:rPr>
              <w:t>合理，经验</w:t>
            </w:r>
            <w:r>
              <w:rPr>
                <w:rFonts w:hint="eastAsia" w:ascii="宋体" w:hAnsi="宋体" w:eastAsia="宋体" w:cs="宋体"/>
                <w:color w:val="000000" w:themeColor="text1"/>
                <w:sz w:val="24"/>
                <w:szCs w:val="24"/>
                <w:highlight w:val="none"/>
                <w:lang w:val="en-US" w:eastAsia="zh-CN"/>
                <w14:textFill>
                  <w14:solidFill>
                    <w14:schemeClr w14:val="tx1"/>
                  </w14:solidFill>
                </w14:textFill>
              </w:rPr>
              <w:t>一般</w:t>
            </w:r>
            <w:r>
              <w:rPr>
                <w:rFonts w:hint="eastAsia" w:ascii="宋体" w:hAnsi="宋体" w:eastAsia="宋体" w:cs="宋体"/>
                <w:color w:val="000000" w:themeColor="text1"/>
                <w:sz w:val="24"/>
                <w:szCs w:val="24"/>
                <w:highlight w:val="none"/>
                <w14:textFill>
                  <w14:solidFill>
                    <w14:schemeClr w14:val="tx1"/>
                  </w14:solidFill>
                </w14:textFill>
              </w:rPr>
              <w:t>，岗位安排</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color w:val="000000" w:themeColor="text1"/>
                <w:sz w:val="24"/>
                <w:szCs w:val="24"/>
                <w:highlight w:val="none"/>
                <w14:textFill>
                  <w14:solidFill>
                    <w14:schemeClr w14:val="tx1"/>
                  </w14:solidFill>
                </w14:textFill>
              </w:rPr>
              <w:t>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color w:val="000000" w:themeColor="text1"/>
                <w:sz w:val="24"/>
                <w:szCs w:val="24"/>
                <w:highlight w:val="none"/>
                <w14:textFill>
                  <w14:solidFill>
                    <w14:schemeClr w14:val="tx1"/>
                  </w14:solidFill>
                </w14:textFill>
              </w:rPr>
              <w:t>满足项目需求的得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32E4AF96">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项目成员配置方案较合理，岗位安排欠合理、项目成员缺乏相关工作经验的，不能完全满足项目需求的得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B4C0293">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未提及此项不得分。</w:t>
            </w:r>
          </w:p>
        </w:tc>
        <w:tc>
          <w:tcPr>
            <w:tcW w:w="817" w:type="dxa"/>
            <w:noWrap w:val="0"/>
            <w:vAlign w:val="center"/>
          </w:tcPr>
          <w:p w14:paraId="69E58012">
            <w:pPr>
              <w:keepNext w:val="0"/>
              <w:keepLines w:val="0"/>
              <w:pageBreakBefore w:val="0"/>
              <w:widowControl w:val="0"/>
              <w:kinsoku/>
              <w:wordWrap/>
              <w:overflowPunct/>
              <w:topLinePunct w:val="0"/>
              <w:autoSpaceDE/>
              <w:autoSpaceDN/>
              <w:bidi w:val="0"/>
              <w:adjustRightInd/>
              <w:snapToGrid/>
              <w:spacing w:line="280" w:lineRule="exact"/>
              <w:ind w:firstLine="120" w:firstLineChars="5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817" w:type="dxa"/>
            <w:noWrap w:val="0"/>
            <w:vAlign w:val="center"/>
          </w:tcPr>
          <w:p w14:paraId="593F4C68">
            <w:pPr>
              <w:keepNext w:val="0"/>
              <w:keepLines w:val="0"/>
              <w:pageBreakBefore w:val="0"/>
              <w:widowControl w:val="0"/>
              <w:kinsoku/>
              <w:wordWrap/>
              <w:overflowPunct/>
              <w:topLinePunct w:val="0"/>
              <w:autoSpaceDE/>
              <w:autoSpaceDN/>
              <w:bidi w:val="0"/>
              <w:adjustRightInd/>
              <w:snapToGrid/>
              <w:spacing w:line="280" w:lineRule="exact"/>
              <w:ind w:firstLine="120" w:firstLineChars="5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17" w:type="dxa"/>
            <w:noWrap w:val="0"/>
            <w:vAlign w:val="center"/>
          </w:tcPr>
          <w:p w14:paraId="43BB966C">
            <w:pPr>
              <w:keepNext w:val="0"/>
              <w:keepLines w:val="0"/>
              <w:pageBreakBefore w:val="0"/>
              <w:widowControl w:val="0"/>
              <w:kinsoku/>
              <w:wordWrap/>
              <w:overflowPunct/>
              <w:topLinePunct w:val="0"/>
              <w:autoSpaceDE/>
              <w:autoSpaceDN/>
              <w:bidi w:val="0"/>
              <w:adjustRightInd/>
              <w:snapToGrid/>
              <w:spacing w:line="280" w:lineRule="exact"/>
              <w:ind w:firstLine="120" w:firstLineChars="5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3E4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713" w:type="dxa"/>
            <w:vMerge w:val="continue"/>
            <w:noWrap w:val="0"/>
            <w:vAlign w:val="center"/>
          </w:tcPr>
          <w:p w14:paraId="200E87F0">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vMerge w:val="continue"/>
            <w:noWrap w:val="0"/>
            <w:vAlign w:val="center"/>
          </w:tcPr>
          <w:p w14:paraId="21A06429">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959" w:type="dxa"/>
            <w:noWrap w:val="0"/>
            <w:vAlign w:val="center"/>
          </w:tcPr>
          <w:p w14:paraId="7AB0594D">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项目负责人具备网络工程类、信息安全类、项目管理类、信息系统项目管理类，每具备1类证书的得1分，最高得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14:textFill>
                  <w14:solidFill>
                    <w14:schemeClr w14:val="tx1"/>
                  </w14:solidFill>
                </w14:textFill>
              </w:rPr>
              <w:t>（投标文件中提供相应证书扫描件以及投标截止日前半年内任意两个月的社保缴纳证明材料，不提供或提供不全的不得分）</w:t>
            </w:r>
          </w:p>
        </w:tc>
        <w:tc>
          <w:tcPr>
            <w:tcW w:w="817" w:type="dxa"/>
            <w:noWrap w:val="0"/>
            <w:vAlign w:val="center"/>
          </w:tcPr>
          <w:p w14:paraId="2A308718">
            <w:pPr>
              <w:keepNext w:val="0"/>
              <w:keepLines w:val="0"/>
              <w:pageBreakBefore w:val="0"/>
              <w:widowControl w:val="0"/>
              <w:kinsoku/>
              <w:wordWrap/>
              <w:overflowPunct/>
              <w:topLinePunct w:val="0"/>
              <w:autoSpaceDE/>
              <w:autoSpaceDN/>
              <w:bidi w:val="0"/>
              <w:adjustRightInd/>
              <w:snapToGrid/>
              <w:spacing w:line="280" w:lineRule="exact"/>
              <w:ind w:firstLine="120" w:firstLineChars="5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817" w:type="dxa"/>
            <w:noWrap w:val="0"/>
            <w:vAlign w:val="center"/>
          </w:tcPr>
          <w:p w14:paraId="5288B0EC">
            <w:pPr>
              <w:keepNext w:val="0"/>
              <w:keepLines w:val="0"/>
              <w:pageBreakBefore w:val="0"/>
              <w:widowControl w:val="0"/>
              <w:kinsoku/>
              <w:wordWrap/>
              <w:overflowPunct/>
              <w:topLinePunct w:val="0"/>
              <w:autoSpaceDE/>
              <w:autoSpaceDN/>
              <w:bidi w:val="0"/>
              <w:adjustRightInd/>
              <w:snapToGrid/>
              <w:spacing w:line="280" w:lineRule="exact"/>
              <w:ind w:firstLine="120" w:firstLineChars="5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17" w:type="dxa"/>
            <w:noWrap w:val="0"/>
            <w:vAlign w:val="center"/>
          </w:tcPr>
          <w:p w14:paraId="2F6E7F85">
            <w:pPr>
              <w:keepNext w:val="0"/>
              <w:keepLines w:val="0"/>
              <w:pageBreakBefore w:val="0"/>
              <w:widowControl w:val="0"/>
              <w:kinsoku/>
              <w:wordWrap/>
              <w:overflowPunct/>
              <w:topLinePunct w:val="0"/>
              <w:autoSpaceDE/>
              <w:autoSpaceDN/>
              <w:bidi w:val="0"/>
              <w:adjustRightInd/>
              <w:snapToGrid/>
              <w:spacing w:line="280" w:lineRule="exact"/>
              <w:ind w:firstLine="120" w:firstLineChars="5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14:paraId="3C9259DF">
      <w:pPr>
        <w:pStyle w:val="104"/>
        <w:snapToGrid w:val="0"/>
        <w:spacing w:line="400" w:lineRule="exact"/>
        <w:ind w:firstLine="109"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b/>
          <w:color w:val="000000" w:themeColor="text1"/>
          <w:sz w:val="28"/>
          <w:highlight w:val="none"/>
          <w:lang w:eastAsia="zh-CN"/>
          <w14:textFill>
            <w14:solidFill>
              <w14:schemeClr w14:val="tx1"/>
            </w14:solidFill>
          </w14:textFill>
        </w:rPr>
        <w:br w:type="page"/>
      </w:r>
      <w:r>
        <w:rPr>
          <w:rFonts w:hint="eastAsia" w:ascii="宋体" w:hAnsi="宋体" w:eastAsia="宋体"/>
          <w:b/>
          <w:color w:val="000000" w:themeColor="text1"/>
          <w:sz w:val="32"/>
          <w:szCs w:val="32"/>
          <w:highlight w:val="none"/>
          <w:lang w:eastAsia="zh-CN"/>
          <w14:textFill>
            <w14:solidFill>
              <w14:schemeClr w14:val="tx1"/>
            </w14:solidFill>
          </w14:textFill>
        </w:rPr>
        <w:t>附件5</w:t>
      </w:r>
    </w:p>
    <w:p w14:paraId="558E82EC">
      <w:pPr>
        <w:pStyle w:val="81"/>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p w14:paraId="57417971">
      <w:pPr>
        <w:pStyle w:val="81"/>
        <w:shd w:val="clear" w:color="auto" w:fill="FFFFFF"/>
        <w:spacing w:before="0" w:beforeAutospacing="0" w:after="0" w:afterAutospacing="0" w:line="360" w:lineRule="auto"/>
        <w:jc w:val="center"/>
        <w:rPr>
          <w:color w:val="000000" w:themeColor="text1"/>
          <w:sz w:val="36"/>
          <w:szCs w:val="36"/>
          <w:highlight w:val="none"/>
          <w14:textFill>
            <w14:solidFill>
              <w14:schemeClr w14:val="tx1"/>
            </w14:solidFill>
          </w14:textFill>
        </w:rPr>
      </w:pPr>
    </w:p>
    <w:tbl>
      <w:tblPr>
        <w:tblStyle w:val="35"/>
        <w:tblW w:w="9196"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01"/>
        <w:gridCol w:w="852"/>
        <w:gridCol w:w="58"/>
        <w:gridCol w:w="990"/>
        <w:gridCol w:w="285"/>
        <w:gridCol w:w="1093"/>
        <w:gridCol w:w="325"/>
        <w:gridCol w:w="1275"/>
        <w:gridCol w:w="1133"/>
        <w:gridCol w:w="283"/>
        <w:gridCol w:w="425"/>
        <w:gridCol w:w="16"/>
      </w:tblGrid>
      <w:tr w14:paraId="6B38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75" w:hRule="atLeast"/>
        </w:trPr>
        <w:tc>
          <w:tcPr>
            <w:tcW w:w="1760" w:type="dxa"/>
          </w:tcPr>
          <w:p w14:paraId="05DCB880">
            <w:pPr>
              <w:pStyle w:val="81"/>
              <w:shd w:val="clear" w:color="auto" w:fill="FFFFFF"/>
              <w:spacing w:beforeAutospacing="0" w:afterAutospacing="0"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14:paraId="7F9EAECF">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600" w:type="dxa"/>
            <w:gridSpan w:val="2"/>
          </w:tcPr>
          <w:p w14:paraId="05A530C4">
            <w:pPr>
              <w:pStyle w:val="81"/>
              <w:shd w:val="clear" w:color="auto" w:fill="FFFFFF"/>
              <w:spacing w:beforeAutospacing="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1841" w:type="dxa"/>
            <w:gridSpan w:val="3"/>
          </w:tcPr>
          <w:p w14:paraId="2D4C8288">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r>
      <w:tr w14:paraId="4A48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05" w:hRule="atLeast"/>
        </w:trPr>
        <w:tc>
          <w:tcPr>
            <w:tcW w:w="1760" w:type="dxa"/>
          </w:tcPr>
          <w:p w14:paraId="6CA6C9B5">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559518AB">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tcPr>
          <w:p w14:paraId="53E031F6">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1841" w:type="dxa"/>
            <w:gridSpan w:val="3"/>
          </w:tcPr>
          <w:p w14:paraId="5AE97C0A">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1A86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40" w:hRule="atLeast"/>
        </w:trPr>
        <w:tc>
          <w:tcPr>
            <w:tcW w:w="1760" w:type="dxa"/>
            <w:vMerge w:val="restart"/>
          </w:tcPr>
          <w:p w14:paraId="56586567">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14:paraId="18371289">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13CEDDC0">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021DC946">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4BBF3096">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vMerge w:val="restart"/>
          </w:tcPr>
          <w:p w14:paraId="00B7C024">
            <w:pPr>
              <w:pStyle w:val="8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1841" w:type="dxa"/>
            <w:gridSpan w:val="3"/>
            <w:vMerge w:val="restart"/>
          </w:tcPr>
          <w:p w14:paraId="2452E0CC">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69C6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9" w:hRule="atLeast"/>
        </w:trPr>
        <w:tc>
          <w:tcPr>
            <w:tcW w:w="1760" w:type="dxa"/>
            <w:vMerge w:val="continue"/>
            <w:tcBorders>
              <w:bottom w:val="single" w:color="auto" w:sz="4" w:space="0"/>
            </w:tcBorders>
          </w:tcPr>
          <w:p w14:paraId="3EF4F5D7">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568818D3">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3E2D4566">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69CC1F5C">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vMerge w:val="continue"/>
          </w:tcPr>
          <w:p w14:paraId="56DC0D4C">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841" w:type="dxa"/>
            <w:gridSpan w:val="3"/>
            <w:vMerge w:val="continue"/>
          </w:tcPr>
          <w:p w14:paraId="52F706A2">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6763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95" w:hRule="atLeast"/>
        </w:trPr>
        <w:tc>
          <w:tcPr>
            <w:tcW w:w="1760" w:type="dxa"/>
            <w:vMerge w:val="restart"/>
          </w:tcPr>
          <w:p w14:paraId="77E54C8C">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32B68FA5">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20B17F4A">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546D0542">
            <w:pPr>
              <w:pStyle w:val="81"/>
              <w:shd w:val="clear" w:color="auto" w:fill="FFFFFF"/>
              <w:spacing w:beforeAutospacing="0" w:afterAutospacing="0"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756FAAD6">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14:paraId="57F9C93B">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14:paraId="24A9AF15">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90" w:type="dxa"/>
            <w:tcBorders>
              <w:top w:val="nil"/>
            </w:tcBorders>
          </w:tcPr>
          <w:p w14:paraId="1CAE7985">
            <w:pPr>
              <w:pStyle w:val="81"/>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378" w:type="dxa"/>
            <w:gridSpan w:val="2"/>
            <w:tcBorders>
              <w:top w:val="nil"/>
            </w:tcBorders>
          </w:tcPr>
          <w:p w14:paraId="6C78A254">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6AF86780">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56A7846C">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tcPr>
          <w:p w14:paraId="739004DD">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1841" w:type="dxa"/>
            <w:gridSpan w:val="3"/>
          </w:tcPr>
          <w:p w14:paraId="7717861F">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5C814C92">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4390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25" w:hRule="atLeast"/>
        </w:trPr>
        <w:tc>
          <w:tcPr>
            <w:tcW w:w="1760" w:type="dxa"/>
            <w:vMerge w:val="continue"/>
          </w:tcPr>
          <w:p w14:paraId="697BC23C">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tcPr>
          <w:p w14:paraId="4BD76C29">
            <w:pPr>
              <w:pStyle w:val="81"/>
              <w:shd w:val="clear" w:color="auto" w:fill="FFFFFF"/>
              <w:spacing w:beforeAutospacing="0" w:afterAutospacing="0"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14:paraId="225D3E1C">
            <w:pPr>
              <w:pStyle w:val="81"/>
              <w:shd w:val="clear" w:color="auto" w:fill="FFFFFF"/>
              <w:spacing w:beforeAutospacing="0" w:afterAutospacing="0" w:line="360" w:lineRule="auto"/>
              <w:ind w:left="2"/>
              <w:rPr>
                <w:bCs/>
                <w:color w:val="000000" w:themeColor="text1"/>
                <w:highlight w:val="none"/>
                <w14:textFill>
                  <w14:solidFill>
                    <w14:schemeClr w14:val="tx1"/>
                  </w14:solidFill>
                </w14:textFill>
              </w:rPr>
            </w:pPr>
          </w:p>
        </w:tc>
        <w:tc>
          <w:tcPr>
            <w:tcW w:w="990" w:type="dxa"/>
          </w:tcPr>
          <w:p w14:paraId="6E246A26">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978" w:type="dxa"/>
            <w:gridSpan w:val="4"/>
          </w:tcPr>
          <w:p w14:paraId="06091391">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14:paraId="25405A8C">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1133" w:type="dxa"/>
          </w:tcPr>
          <w:p w14:paraId="30DE8188">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708" w:type="dxa"/>
            <w:gridSpan w:val="2"/>
          </w:tcPr>
          <w:p w14:paraId="631BFB9F">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r>
      <w:tr w14:paraId="3166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28" w:hRule="atLeast"/>
        </w:trPr>
        <w:tc>
          <w:tcPr>
            <w:tcW w:w="1760" w:type="dxa"/>
            <w:vMerge w:val="continue"/>
          </w:tcPr>
          <w:p w14:paraId="29B9171B">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tcPr>
          <w:p w14:paraId="3CB83F60">
            <w:pPr>
              <w:pStyle w:val="81"/>
              <w:shd w:val="clear" w:color="auto" w:fill="FFFFFF"/>
              <w:spacing w:beforeAutospacing="0" w:afterAutospacing="0"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6719" w:type="dxa"/>
            <w:gridSpan w:val="10"/>
          </w:tcPr>
          <w:p w14:paraId="0364142E">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r>
      <w:tr w14:paraId="2B73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40" w:hRule="atLeast"/>
        </w:trPr>
        <w:tc>
          <w:tcPr>
            <w:tcW w:w="1760" w:type="dxa"/>
            <w:vMerge w:val="continue"/>
          </w:tcPr>
          <w:p w14:paraId="5108DB65">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420" w:type="dxa"/>
            <w:gridSpan w:val="11"/>
          </w:tcPr>
          <w:p w14:paraId="5BD592F2">
            <w:pPr>
              <w:pStyle w:val="81"/>
              <w:shd w:val="clear" w:color="auto" w:fill="FFFFFF"/>
              <w:spacing w:beforeAutospacing="0" w:afterAutospacing="0"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40F9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60" w:type="dxa"/>
            <w:vMerge w:val="restart"/>
          </w:tcPr>
          <w:p w14:paraId="003575D6">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1DF63955">
            <w:pPr>
              <w:pStyle w:val="81"/>
              <w:shd w:val="clear" w:color="auto" w:fill="FFFFFF"/>
              <w:spacing w:beforeAutospacing="0" w:afterAutospacing="0"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0A023A44">
            <w:pPr>
              <w:pStyle w:val="8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14:paraId="1281F00A">
            <w:pPr>
              <w:pStyle w:val="81"/>
              <w:shd w:val="clear" w:color="auto" w:fill="FFFFFF"/>
              <w:spacing w:beforeAutospacing="0" w:afterAutospacing="0"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14:paraId="1DE25EFD">
            <w:pPr>
              <w:pStyle w:val="81"/>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5" w:type="dxa"/>
          </w:tcPr>
          <w:p w14:paraId="1062E1F6">
            <w:pPr>
              <w:pStyle w:val="81"/>
              <w:shd w:val="clear" w:color="auto" w:fill="FFFFFF"/>
              <w:spacing w:beforeAutospacing="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416" w:type="dxa"/>
            <w:gridSpan w:val="2"/>
          </w:tcPr>
          <w:p w14:paraId="3C8349DF">
            <w:pPr>
              <w:pStyle w:val="81"/>
              <w:shd w:val="clear" w:color="auto" w:fill="FFFFFF"/>
              <w:spacing w:beforeAutospacing="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441" w:type="dxa"/>
            <w:gridSpan w:val="2"/>
          </w:tcPr>
          <w:p w14:paraId="13B5CFFF">
            <w:pPr>
              <w:pStyle w:val="81"/>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163A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000" w:hRule="atLeast"/>
        </w:trPr>
        <w:tc>
          <w:tcPr>
            <w:tcW w:w="1760" w:type="dxa"/>
            <w:vMerge w:val="continue"/>
          </w:tcPr>
          <w:p w14:paraId="33C9E613">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1553" w:type="dxa"/>
            <w:gridSpan w:val="2"/>
            <w:vMerge w:val="continue"/>
          </w:tcPr>
          <w:p w14:paraId="638C2D7C">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333" w:type="dxa"/>
            <w:gridSpan w:val="3"/>
          </w:tcPr>
          <w:p w14:paraId="13B9CBEF">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418" w:type="dxa"/>
            <w:gridSpan w:val="2"/>
          </w:tcPr>
          <w:p w14:paraId="59D15A27">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275" w:type="dxa"/>
          </w:tcPr>
          <w:p w14:paraId="4F7C6B33">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841" w:type="dxa"/>
            <w:gridSpan w:val="3"/>
          </w:tcPr>
          <w:p w14:paraId="732965FB">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r>
      <w:tr w14:paraId="3858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100" w:hRule="atLeast"/>
        </w:trPr>
        <w:tc>
          <w:tcPr>
            <w:tcW w:w="1760" w:type="dxa"/>
            <w:vMerge w:val="continue"/>
          </w:tcPr>
          <w:p w14:paraId="5400D32E">
            <w:pPr>
              <w:pStyle w:val="81"/>
              <w:shd w:val="clear" w:color="auto" w:fill="FFFFFF"/>
              <w:spacing w:beforeAutospacing="0" w:afterAutospacing="0" w:line="360" w:lineRule="auto"/>
              <w:ind w:left="107"/>
              <w:rPr>
                <w:bCs/>
                <w:color w:val="000000" w:themeColor="text1"/>
                <w:spacing w:val="16"/>
                <w:highlight w:val="none"/>
                <w14:textFill>
                  <w14:solidFill>
                    <w14:schemeClr w14:val="tx1"/>
                  </w14:solidFill>
                </w14:textFill>
              </w:rPr>
            </w:pPr>
          </w:p>
        </w:tc>
        <w:tc>
          <w:tcPr>
            <w:tcW w:w="1553" w:type="dxa"/>
            <w:gridSpan w:val="2"/>
          </w:tcPr>
          <w:p w14:paraId="3EB265A0">
            <w:pPr>
              <w:pStyle w:val="81"/>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5867" w:type="dxa"/>
            <w:gridSpan w:val="9"/>
          </w:tcPr>
          <w:p w14:paraId="5CF183C4">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bl>
    <w:p w14:paraId="4182AF8F">
      <w:pPr>
        <w:pStyle w:val="81"/>
        <w:shd w:val="clear" w:color="auto" w:fill="FFFFFF"/>
        <w:spacing w:before="0" w:beforeAutospacing="0" w:after="0" w:afterAutospacing="0" w:line="360" w:lineRule="auto"/>
        <w:rPr>
          <w:color w:val="000000" w:themeColor="text1"/>
          <w:highlight w:val="none"/>
          <w14:textFill>
            <w14:solidFill>
              <w14:schemeClr w14:val="tx1"/>
            </w14:solidFill>
          </w14:textFill>
        </w:rPr>
      </w:pPr>
    </w:p>
    <w:p w14:paraId="4D95C92E">
      <w:pPr>
        <w:pStyle w:val="81"/>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14:paraId="0653C773">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5717432B">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3278B1E6">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5B4D7FE6">
      <w:pPr>
        <w:pStyle w:val="81"/>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47306F00">
      <w:pPr>
        <w:spacing w:line="360" w:lineRule="auto"/>
        <w:ind w:firstLine="435"/>
        <w:rPr>
          <w:rFonts w:ascii="宋体" w:hAnsi="宋体" w:cs="宋体"/>
          <w:b/>
          <w:color w:val="000000" w:themeColor="text1"/>
          <w:sz w:val="28"/>
          <w:highlight w:val="none"/>
          <w14:textFill>
            <w14:solidFill>
              <w14:schemeClr w14:val="tx1"/>
            </w14:solidFill>
          </w14:textFill>
        </w:rPr>
      </w:pPr>
    </w:p>
    <w:p w14:paraId="281F21AD">
      <w:pPr>
        <w:pStyle w:val="104"/>
        <w:snapToGrid w:val="0"/>
        <w:spacing w:line="400" w:lineRule="exact"/>
        <w:ind w:firstLine="109"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ascii="宋体" w:hAnsi="宋体"/>
          <w:b/>
          <w:color w:val="000000" w:themeColor="text1"/>
          <w:sz w:val="28"/>
          <w:highlight w:val="none"/>
          <w:lang w:eastAsia="zh-CN"/>
          <w14:textFill>
            <w14:solidFill>
              <w14:schemeClr w14:val="tx1"/>
            </w14:solidFill>
          </w14:textFill>
        </w:rPr>
        <w:br w:type="page"/>
      </w:r>
      <w:r>
        <w:rPr>
          <w:rFonts w:hint="eastAsia" w:ascii="宋体" w:hAnsi="宋体" w:eastAsia="宋体"/>
          <w:b/>
          <w:color w:val="000000" w:themeColor="text1"/>
          <w:sz w:val="32"/>
          <w:szCs w:val="32"/>
          <w:highlight w:val="none"/>
          <w:lang w:eastAsia="zh-CN"/>
          <w14:textFill>
            <w14:solidFill>
              <w14:schemeClr w14:val="tx1"/>
            </w14:solidFill>
          </w14:textFill>
        </w:rPr>
        <w:t>附件6</w:t>
      </w:r>
    </w:p>
    <w:p w14:paraId="4D5BB90C">
      <w:pPr>
        <w:snapToGrid w:val="0"/>
        <w:spacing w:before="156" w:beforeLines="50" w:after="50"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项目实施人员一览表</w:t>
      </w:r>
    </w:p>
    <w:p w14:paraId="52D6DAF9">
      <w:pPr>
        <w:snapToGrid w:val="0"/>
        <w:spacing w:before="156" w:beforeLines="50" w:after="50" w:line="360" w:lineRule="auto"/>
        <w:ind w:firstLine="3120" w:firstLineChars="1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（主要从业人员及其技术资格）</w:t>
      </w:r>
    </w:p>
    <w:tbl>
      <w:tblPr>
        <w:tblStyle w:val="35"/>
        <w:tblW w:w="91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2"/>
        <w:gridCol w:w="1532"/>
        <w:gridCol w:w="1532"/>
        <w:gridCol w:w="1532"/>
        <w:gridCol w:w="1532"/>
        <w:gridCol w:w="1533"/>
      </w:tblGrid>
      <w:tr w14:paraId="5685D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vAlign w:val="center"/>
          </w:tcPr>
          <w:p w14:paraId="179B6597">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1532" w:type="dxa"/>
            <w:tcBorders>
              <w:top w:val="single" w:color="auto" w:sz="4" w:space="0"/>
              <w:left w:val="single" w:color="auto" w:sz="4" w:space="0"/>
              <w:bottom w:val="single" w:color="auto" w:sz="4" w:space="0"/>
              <w:right w:val="single" w:color="auto" w:sz="4" w:space="0"/>
            </w:tcBorders>
            <w:vAlign w:val="center"/>
          </w:tcPr>
          <w:p w14:paraId="3F95113F">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532" w:type="dxa"/>
            <w:tcBorders>
              <w:top w:val="single" w:color="auto" w:sz="4" w:space="0"/>
              <w:left w:val="single" w:color="auto" w:sz="4" w:space="0"/>
              <w:bottom w:val="single" w:color="auto" w:sz="4" w:space="0"/>
              <w:right w:val="single" w:color="auto" w:sz="4" w:space="0"/>
            </w:tcBorders>
            <w:vAlign w:val="center"/>
          </w:tcPr>
          <w:p w14:paraId="54C36AFD">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1532" w:type="dxa"/>
            <w:tcBorders>
              <w:top w:val="single" w:color="auto" w:sz="4" w:space="0"/>
              <w:left w:val="single" w:color="auto" w:sz="4" w:space="0"/>
              <w:bottom w:val="single" w:color="auto" w:sz="4" w:space="0"/>
              <w:right w:val="single" w:color="auto" w:sz="4" w:space="0"/>
            </w:tcBorders>
            <w:vAlign w:val="center"/>
          </w:tcPr>
          <w:p w14:paraId="67EC423A">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532" w:type="dxa"/>
            <w:tcBorders>
              <w:top w:val="single" w:color="auto" w:sz="4" w:space="0"/>
              <w:left w:val="single" w:color="auto" w:sz="4" w:space="0"/>
              <w:bottom w:val="single" w:color="auto" w:sz="4" w:space="0"/>
              <w:right w:val="single" w:color="auto" w:sz="4" w:space="0"/>
            </w:tcBorders>
            <w:vAlign w:val="center"/>
          </w:tcPr>
          <w:p w14:paraId="6DB58E7F">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533" w:type="dxa"/>
            <w:tcBorders>
              <w:top w:val="single" w:color="auto" w:sz="4" w:space="0"/>
              <w:left w:val="single" w:color="auto" w:sz="4" w:space="0"/>
              <w:bottom w:val="single" w:color="auto" w:sz="4" w:space="0"/>
              <w:right w:val="single" w:color="auto" w:sz="4" w:space="0"/>
            </w:tcBorders>
            <w:vAlign w:val="center"/>
          </w:tcPr>
          <w:p w14:paraId="69289FC3">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r>
      <w:tr w14:paraId="3EB99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68C7B5D8">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09812E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51B312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F39158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BFAF791">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25F8394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395C7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704A95FC">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868DCF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9F178F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FB9C2F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478680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5A3B8B5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7CF40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2AD33CFE">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4D794A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D6D620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8560D84">
            <w:pPr>
              <w:pStyle w:val="22"/>
              <w:snapToGrid w:val="0"/>
              <w:spacing w:before="156"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8516788">
            <w:pPr>
              <w:pStyle w:val="22"/>
              <w:snapToGrid w:val="0"/>
              <w:spacing w:before="156"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55FD996E">
            <w:pPr>
              <w:pStyle w:val="22"/>
              <w:spacing w:line="360" w:lineRule="auto"/>
              <w:ind w:left="5250"/>
              <w:rPr>
                <w:rFonts w:ascii="宋体" w:hAnsi="宋体" w:eastAsia="宋体" w:cs="宋体"/>
                <w:color w:val="000000" w:themeColor="text1"/>
                <w:sz w:val="24"/>
                <w:highlight w:val="none"/>
                <w14:textFill>
                  <w14:solidFill>
                    <w14:schemeClr w14:val="tx1"/>
                  </w14:solidFill>
                </w14:textFill>
              </w:rPr>
            </w:pPr>
          </w:p>
        </w:tc>
      </w:tr>
      <w:tr w14:paraId="45142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38B0DC09">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3F6204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44244C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D55444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B287A2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2AE2423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7A7AA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303C8331">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1C81B34A">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6C7D21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AD446C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CACFD0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0373546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1C6FD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4E9EF43E">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30CBBC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A8C7F2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AF8094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8882B59">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1AF3F7A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217D9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0993EF41">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B4E3ED9">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3CDC11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17750997">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FFD99DA">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3F0442A5">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14:paraId="6A13B38C">
      <w:pPr>
        <w:spacing w:line="360" w:lineRule="auto"/>
        <w:ind w:left="420" w:left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10DBFD92">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在填写时，如本表格不适合投标单位的实际情况，可根据本表格式自行划表填写。</w:t>
      </w:r>
    </w:p>
    <w:p w14:paraId="629B793E">
      <w:pPr>
        <w:pStyle w:val="72"/>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2.附人员证书复印件；</w:t>
      </w:r>
    </w:p>
    <w:p w14:paraId="01872A00">
      <w:pPr>
        <w:pStyle w:val="72"/>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3.出具上述人员在本单位服务的外部证明，如：代缴个税税单、参加社会保险的《投保单》或《社会保险参保人员证明》等。</w:t>
      </w:r>
    </w:p>
    <w:p w14:paraId="3962F9BF">
      <w:pPr>
        <w:spacing w:line="360" w:lineRule="auto"/>
        <w:ind w:left="420" w:left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2513F3A0">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0975FAE6">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E26FEC2">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09080A9B">
      <w:pPr>
        <w:pStyle w:val="16"/>
        <w:rPr>
          <w:rFonts w:ascii="宋体" w:hAnsi="宋体" w:cs="宋体"/>
          <w:color w:val="000000" w:themeColor="text1"/>
          <w:highlight w:val="none"/>
          <w14:textFill>
            <w14:solidFill>
              <w14:schemeClr w14:val="tx1"/>
            </w14:solidFill>
          </w14:textFill>
        </w:rPr>
      </w:pPr>
    </w:p>
    <w:p w14:paraId="148BA3A5">
      <w:pPr>
        <w:pStyle w:val="28"/>
        <w:rPr>
          <w:rFonts w:ascii="宋体" w:hAnsi="宋体" w:cs="宋体"/>
          <w:color w:val="000000" w:themeColor="text1"/>
          <w:highlight w:val="none"/>
          <w14:textFill>
            <w14:solidFill>
              <w14:schemeClr w14:val="tx1"/>
            </w14:solidFill>
          </w14:textFill>
        </w:rPr>
      </w:pPr>
    </w:p>
    <w:p w14:paraId="4C11A16B">
      <w:pPr>
        <w:rPr>
          <w:rFonts w:ascii="宋体" w:hAnsi="宋体" w:cs="宋体"/>
          <w:color w:val="000000" w:themeColor="text1"/>
          <w:highlight w:val="none"/>
          <w14:textFill>
            <w14:solidFill>
              <w14:schemeClr w14:val="tx1"/>
            </w14:solidFill>
          </w14:textFill>
        </w:rPr>
      </w:pPr>
    </w:p>
    <w:p w14:paraId="5B6A73B7">
      <w:pPr>
        <w:pStyle w:val="16"/>
        <w:rPr>
          <w:rFonts w:ascii="宋体" w:hAnsi="宋体" w:cs="宋体"/>
          <w:color w:val="000000" w:themeColor="text1"/>
          <w:highlight w:val="none"/>
          <w14:textFill>
            <w14:solidFill>
              <w14:schemeClr w14:val="tx1"/>
            </w14:solidFill>
          </w14:textFill>
        </w:rPr>
      </w:pPr>
    </w:p>
    <w:p w14:paraId="1DE61843">
      <w:pPr>
        <w:pStyle w:val="16"/>
        <w:rPr>
          <w:rFonts w:ascii="宋体" w:hAnsi="宋体" w:cs="宋体"/>
          <w:color w:val="000000" w:themeColor="text1"/>
          <w:highlight w:val="none"/>
          <w14:textFill>
            <w14:solidFill>
              <w14:schemeClr w14:val="tx1"/>
            </w14:solidFill>
          </w14:textFill>
        </w:rPr>
      </w:pPr>
    </w:p>
    <w:p w14:paraId="1F3D8195">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附件7</w:t>
      </w:r>
    </w:p>
    <w:p w14:paraId="15A0F04C">
      <w:pPr>
        <w:spacing w:before="156" w:beforeLines="50" w:after="156" w:afterLines="50"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14:paraId="5A2F4BCE">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采购项目：                                            采购编号：</w:t>
      </w:r>
    </w:p>
    <w:tbl>
      <w:tblPr>
        <w:tblStyle w:val="35"/>
        <w:tblW w:w="9660"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967"/>
        <w:gridCol w:w="4189"/>
      </w:tblGrid>
      <w:tr w14:paraId="65DC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504" w:type="dxa"/>
            <w:tcBorders>
              <w:top w:val="single" w:color="auto" w:sz="12" w:space="0"/>
              <w:left w:val="single" w:color="auto" w:sz="12" w:space="0"/>
              <w:bottom w:val="single" w:color="auto" w:sz="4" w:space="0"/>
              <w:right w:val="single" w:color="auto" w:sz="4" w:space="0"/>
            </w:tcBorders>
            <w:vAlign w:val="center"/>
          </w:tcPr>
          <w:p w14:paraId="637C0084">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272CAA43">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tcBorders>
              <w:top w:val="single" w:color="auto" w:sz="12" w:space="0"/>
              <w:left w:val="single" w:color="auto" w:sz="4" w:space="0"/>
              <w:bottom w:val="single" w:color="auto" w:sz="4" w:space="0"/>
              <w:right w:val="single" w:color="auto" w:sz="12" w:space="0"/>
            </w:tcBorders>
            <w:vAlign w:val="center"/>
          </w:tcPr>
          <w:p w14:paraId="778C8BCD">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近年来主要工作业绩</w:t>
            </w:r>
          </w:p>
        </w:tc>
      </w:tr>
      <w:tr w14:paraId="6E34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4B7363A1">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4C1E2DE">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restart"/>
            <w:tcBorders>
              <w:top w:val="single" w:color="auto" w:sz="4" w:space="0"/>
              <w:left w:val="single" w:color="auto" w:sz="4" w:space="0"/>
              <w:bottom w:val="single" w:color="auto" w:sz="4" w:space="0"/>
              <w:right w:val="single" w:color="auto" w:sz="12" w:space="0"/>
            </w:tcBorders>
            <w:vAlign w:val="center"/>
          </w:tcPr>
          <w:p w14:paraId="3D292E26">
            <w:pPr>
              <w:autoSpaceDE w:val="0"/>
              <w:autoSpaceDN w:val="0"/>
              <w:adjustRightInd w:val="0"/>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注：业绩证明应提供旁证材料</w:t>
            </w:r>
          </w:p>
          <w:p w14:paraId="6FDC36ED">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（供货合同或中标通知书）。</w:t>
            </w:r>
          </w:p>
        </w:tc>
      </w:tr>
      <w:tr w14:paraId="3013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6000C222">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18247EC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4B204566">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1CDB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6DBA52D7">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2008FD3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13E6EB3E">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5C82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29461B3F">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190154F">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0F8E2DE0">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110B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1BCE9BC6">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03ABEF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48BCE0DF">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7C34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082D2072">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4642762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7EBB8D9B">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3A34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031ADC19">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387A54F8">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481A762D">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59AB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504" w:type="dxa"/>
            <w:tcBorders>
              <w:top w:val="single" w:color="auto" w:sz="4" w:space="0"/>
              <w:left w:val="single" w:color="auto" w:sz="12" w:space="0"/>
              <w:bottom w:val="single" w:color="auto" w:sz="12" w:space="0"/>
              <w:right w:val="single" w:color="auto" w:sz="4" w:space="0"/>
            </w:tcBorders>
            <w:vAlign w:val="center"/>
          </w:tcPr>
          <w:p w14:paraId="0B982ABD">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拟在本项目中担任主要工作</w:t>
            </w:r>
          </w:p>
        </w:tc>
        <w:tc>
          <w:tcPr>
            <w:tcW w:w="7156" w:type="dxa"/>
            <w:gridSpan w:val="2"/>
            <w:tcBorders>
              <w:top w:val="single" w:color="auto" w:sz="4" w:space="0"/>
              <w:left w:val="single" w:color="auto" w:sz="4" w:space="0"/>
              <w:bottom w:val="single" w:color="auto" w:sz="12" w:space="0"/>
              <w:right w:val="single" w:color="auto" w:sz="12" w:space="0"/>
            </w:tcBorders>
            <w:vAlign w:val="center"/>
          </w:tcPr>
          <w:p w14:paraId="67AC57A5">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bl>
    <w:p w14:paraId="1967A6B9">
      <w:pPr>
        <w:spacing w:line="360" w:lineRule="auto"/>
        <w:ind w:left="420"/>
        <w:rPr>
          <w:rFonts w:ascii="宋体" w:hAnsi="宋体" w:cs="宋体"/>
          <w:color w:val="000000" w:themeColor="text1"/>
          <w:sz w:val="24"/>
          <w:highlight w:val="none"/>
          <w14:textFill>
            <w14:solidFill>
              <w14:schemeClr w14:val="tx1"/>
            </w14:solidFill>
          </w14:textFill>
        </w:rPr>
      </w:pPr>
    </w:p>
    <w:p w14:paraId="3873D642">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4EEF6DA7">
      <w:pPr>
        <w:spacing w:line="360" w:lineRule="auto"/>
        <w:ind w:left="420"/>
        <w:rPr>
          <w:rFonts w:ascii="宋体" w:hAnsi="宋体" w:cs="宋体"/>
          <w:color w:val="000000" w:themeColor="text1"/>
          <w:sz w:val="24"/>
          <w:highlight w:val="none"/>
          <w14:textFill>
            <w14:solidFill>
              <w14:schemeClr w14:val="tx1"/>
            </w14:solidFill>
          </w14:textFill>
        </w:rPr>
      </w:pPr>
    </w:p>
    <w:p w14:paraId="524E8B0A">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2A38E3A3">
      <w:pPr>
        <w:spacing w:line="360" w:lineRule="auto"/>
        <w:ind w:firstLine="435"/>
        <w:rPr>
          <w:rFonts w:ascii="宋体" w:hAnsi="宋体" w:cs="宋体"/>
          <w:color w:val="000000" w:themeColor="text1"/>
          <w:sz w:val="24"/>
          <w:highlight w:val="none"/>
          <w14:textFill>
            <w14:solidFill>
              <w14:schemeClr w14:val="tx1"/>
            </w14:solidFill>
          </w14:textFill>
        </w:rPr>
      </w:pPr>
    </w:p>
    <w:p w14:paraId="6381B85C">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28A7A97">
      <w:pPr>
        <w:spacing w:line="360" w:lineRule="auto"/>
        <w:ind w:firstLine="435"/>
        <w:rPr>
          <w:rFonts w:ascii="宋体" w:hAnsi="宋体" w:cs="宋体"/>
          <w:color w:val="000000" w:themeColor="text1"/>
          <w:sz w:val="24"/>
          <w:highlight w:val="none"/>
          <w14:textFill>
            <w14:solidFill>
              <w14:schemeClr w14:val="tx1"/>
            </w14:solidFill>
          </w14:textFill>
        </w:rPr>
      </w:pPr>
    </w:p>
    <w:p w14:paraId="158DAC2E">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77131276">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31B84117">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附件8</w:t>
      </w:r>
    </w:p>
    <w:p w14:paraId="04A5CB87">
      <w:pPr>
        <w:spacing w:line="360" w:lineRule="auto"/>
        <w:ind w:left="480"/>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供货清单</w:t>
      </w: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如有则提供</w:t>
      </w:r>
      <w:r>
        <w:rPr>
          <w:rFonts w:hint="eastAsia" w:ascii="宋体" w:hAnsi="宋体" w:cs="宋体"/>
          <w:b/>
          <w:color w:val="000000" w:themeColor="text1"/>
          <w:sz w:val="32"/>
          <w:szCs w:val="32"/>
          <w:highlight w:val="none"/>
          <w:lang w:eastAsia="zh-CN"/>
          <w14:textFill>
            <w14:solidFill>
              <w14:schemeClr w14:val="tx1"/>
            </w14:solidFill>
          </w14:textFill>
        </w:rPr>
        <w:t>）</w:t>
      </w:r>
    </w:p>
    <w:p w14:paraId="677DA8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项目编号：</w:t>
      </w:r>
    </w:p>
    <w:tbl>
      <w:tblPr>
        <w:tblStyle w:val="35"/>
        <w:tblW w:w="9740"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23"/>
        <w:gridCol w:w="1623"/>
        <w:gridCol w:w="1623"/>
        <w:gridCol w:w="1623"/>
        <w:gridCol w:w="1625"/>
      </w:tblGrid>
      <w:tr w14:paraId="4B1F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23" w:type="dxa"/>
            <w:vAlign w:val="center"/>
          </w:tcPr>
          <w:p w14:paraId="5AA4C26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623" w:type="dxa"/>
            <w:vAlign w:val="center"/>
          </w:tcPr>
          <w:p w14:paraId="7DC3C947">
            <w:pPr>
              <w:tabs>
                <w:tab w:val="left" w:pos="8280"/>
              </w:tabs>
              <w:autoSpaceDE w:val="0"/>
              <w:autoSpaceDN w:val="0"/>
              <w:adjustRightInd w:val="0"/>
              <w:spacing w:line="360" w:lineRule="auto"/>
              <w:ind w:firstLine="361" w:firstLineChars="1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623" w:type="dxa"/>
            <w:vAlign w:val="center"/>
          </w:tcPr>
          <w:p w14:paraId="5B0DA865">
            <w:pPr>
              <w:tabs>
                <w:tab w:val="left" w:pos="8280"/>
              </w:tabs>
              <w:autoSpaceDE w:val="0"/>
              <w:autoSpaceDN w:val="0"/>
              <w:adjustRightIn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w:t>
            </w:r>
          </w:p>
        </w:tc>
        <w:tc>
          <w:tcPr>
            <w:tcW w:w="1623" w:type="dxa"/>
            <w:vAlign w:val="center"/>
          </w:tcPr>
          <w:p w14:paraId="3602116B">
            <w:pPr>
              <w:tabs>
                <w:tab w:val="left" w:pos="8280"/>
              </w:tabs>
              <w:autoSpaceDE w:val="0"/>
              <w:autoSpaceDN w:val="0"/>
              <w:adjustRightIn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623" w:type="dxa"/>
            <w:vAlign w:val="center"/>
          </w:tcPr>
          <w:p w14:paraId="086310D6">
            <w:pPr>
              <w:spacing w:line="360" w:lineRule="auto"/>
              <w:ind w:left="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产地</w:t>
            </w:r>
          </w:p>
        </w:tc>
        <w:tc>
          <w:tcPr>
            <w:tcW w:w="1625" w:type="dxa"/>
            <w:vAlign w:val="center"/>
          </w:tcPr>
          <w:p w14:paraId="5B89A8D9">
            <w:pPr>
              <w:spacing w:line="360" w:lineRule="auto"/>
              <w:ind w:left="1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r>
      <w:tr w14:paraId="3076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623" w:type="dxa"/>
            <w:vAlign w:val="center"/>
          </w:tcPr>
          <w:p w14:paraId="10DD6D33">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19B2FAD2">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24D1419">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208B356">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2D4C330">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3750C3DB">
            <w:pPr>
              <w:spacing w:line="360" w:lineRule="auto"/>
              <w:rPr>
                <w:rFonts w:ascii="宋体" w:hAnsi="宋体" w:cs="宋体"/>
                <w:color w:val="000000" w:themeColor="text1"/>
                <w:sz w:val="24"/>
                <w:highlight w:val="none"/>
                <w14:textFill>
                  <w14:solidFill>
                    <w14:schemeClr w14:val="tx1"/>
                  </w14:solidFill>
                </w14:textFill>
              </w:rPr>
            </w:pPr>
          </w:p>
        </w:tc>
      </w:tr>
      <w:tr w14:paraId="3117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23" w:type="dxa"/>
            <w:vAlign w:val="center"/>
          </w:tcPr>
          <w:p w14:paraId="4DB1C903">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387964F6">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4230849">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F01A6F8">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D6F58C1">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23ACA3E1">
            <w:pPr>
              <w:spacing w:line="360" w:lineRule="auto"/>
              <w:rPr>
                <w:rFonts w:ascii="宋体" w:hAnsi="宋体" w:cs="宋体"/>
                <w:color w:val="000000" w:themeColor="text1"/>
                <w:sz w:val="24"/>
                <w:highlight w:val="none"/>
                <w14:textFill>
                  <w14:solidFill>
                    <w14:schemeClr w14:val="tx1"/>
                  </w14:solidFill>
                </w14:textFill>
              </w:rPr>
            </w:pPr>
          </w:p>
        </w:tc>
      </w:tr>
      <w:tr w14:paraId="7D95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623" w:type="dxa"/>
            <w:vAlign w:val="center"/>
          </w:tcPr>
          <w:p w14:paraId="7606E380">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1528ACF">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6A3CA7D">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49C0C74">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196AAC9">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1C22C966">
            <w:pPr>
              <w:spacing w:line="360" w:lineRule="auto"/>
              <w:rPr>
                <w:rFonts w:ascii="宋体" w:hAnsi="宋体" w:cs="宋体"/>
                <w:color w:val="000000" w:themeColor="text1"/>
                <w:sz w:val="24"/>
                <w:highlight w:val="none"/>
                <w14:textFill>
                  <w14:solidFill>
                    <w14:schemeClr w14:val="tx1"/>
                  </w14:solidFill>
                </w14:textFill>
              </w:rPr>
            </w:pPr>
          </w:p>
        </w:tc>
      </w:tr>
      <w:tr w14:paraId="488D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623" w:type="dxa"/>
            <w:vAlign w:val="center"/>
          </w:tcPr>
          <w:p w14:paraId="588DEE65">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7FF894F">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14375C4">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1409A06B">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05BF5E6">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72F55367">
            <w:pPr>
              <w:spacing w:line="360" w:lineRule="auto"/>
              <w:rPr>
                <w:rFonts w:ascii="宋体" w:hAnsi="宋体" w:cs="宋体"/>
                <w:color w:val="000000" w:themeColor="text1"/>
                <w:sz w:val="24"/>
                <w:highlight w:val="none"/>
                <w14:textFill>
                  <w14:solidFill>
                    <w14:schemeClr w14:val="tx1"/>
                  </w14:solidFill>
                </w14:textFill>
              </w:rPr>
            </w:pPr>
          </w:p>
        </w:tc>
      </w:tr>
      <w:tr w14:paraId="49D1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623" w:type="dxa"/>
            <w:vAlign w:val="center"/>
          </w:tcPr>
          <w:p w14:paraId="7959D4C8">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644EF00">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1D918DAC">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73F4BB93">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ECCEA2B">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66403F85">
            <w:pPr>
              <w:spacing w:line="360" w:lineRule="auto"/>
              <w:rPr>
                <w:rFonts w:ascii="宋体" w:hAnsi="宋体" w:cs="宋体"/>
                <w:color w:val="000000" w:themeColor="text1"/>
                <w:sz w:val="24"/>
                <w:highlight w:val="none"/>
                <w14:textFill>
                  <w14:solidFill>
                    <w14:schemeClr w14:val="tx1"/>
                  </w14:solidFill>
                </w14:textFill>
              </w:rPr>
            </w:pPr>
          </w:p>
        </w:tc>
      </w:tr>
      <w:tr w14:paraId="025E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23" w:type="dxa"/>
            <w:vAlign w:val="center"/>
          </w:tcPr>
          <w:p w14:paraId="11628CDD">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CC2A932">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2E18B67">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41ADB6A6">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4044DC0A">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2CBA4E64">
            <w:pPr>
              <w:spacing w:line="360" w:lineRule="auto"/>
              <w:rPr>
                <w:rFonts w:ascii="宋体" w:hAnsi="宋体" w:cs="宋体"/>
                <w:color w:val="000000" w:themeColor="text1"/>
                <w:sz w:val="24"/>
                <w:highlight w:val="none"/>
                <w14:textFill>
                  <w14:solidFill>
                    <w14:schemeClr w14:val="tx1"/>
                  </w14:solidFill>
                </w14:textFill>
              </w:rPr>
            </w:pPr>
          </w:p>
        </w:tc>
      </w:tr>
      <w:tr w14:paraId="4DF0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23" w:type="dxa"/>
            <w:vAlign w:val="center"/>
          </w:tcPr>
          <w:p w14:paraId="6E61A6DD">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334B6719">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EBEE965">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D0CB430">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B696FE0">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76F5C76D">
            <w:pPr>
              <w:spacing w:line="360" w:lineRule="auto"/>
              <w:rPr>
                <w:rFonts w:ascii="宋体" w:hAnsi="宋体" w:cs="宋体"/>
                <w:color w:val="000000" w:themeColor="text1"/>
                <w:sz w:val="24"/>
                <w:highlight w:val="none"/>
                <w14:textFill>
                  <w14:solidFill>
                    <w14:schemeClr w14:val="tx1"/>
                  </w14:solidFill>
                </w14:textFill>
              </w:rPr>
            </w:pPr>
          </w:p>
        </w:tc>
      </w:tr>
    </w:tbl>
    <w:p w14:paraId="241361B0">
      <w:pPr>
        <w:spacing w:line="360" w:lineRule="auto"/>
        <w:ind w:left="420"/>
        <w:rPr>
          <w:rFonts w:ascii="宋体" w:hAnsi="宋体" w:cs="宋体"/>
          <w:color w:val="000000" w:themeColor="text1"/>
          <w:sz w:val="24"/>
          <w:highlight w:val="none"/>
          <w14:textFill>
            <w14:solidFill>
              <w14:schemeClr w14:val="tx1"/>
            </w14:solidFill>
          </w14:textFill>
        </w:rPr>
      </w:pPr>
    </w:p>
    <w:p w14:paraId="1697537D">
      <w:pPr>
        <w:spacing w:line="360" w:lineRule="auto"/>
        <w:ind w:left="435"/>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466A9EE1">
      <w:pPr>
        <w:spacing w:line="360" w:lineRule="auto"/>
        <w:ind w:left="435" w:firstLine="559" w:firstLineChars="265"/>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本表中的名称、数量应与报价明细表中相对应的报价名称、数量一致</w:t>
      </w:r>
    </w:p>
    <w:p w14:paraId="035DE79F">
      <w:pPr>
        <w:spacing w:line="360" w:lineRule="auto"/>
        <w:ind w:left="420"/>
        <w:rPr>
          <w:rFonts w:ascii="宋体" w:hAnsi="宋体" w:cs="宋体"/>
          <w:color w:val="000000" w:themeColor="text1"/>
          <w:sz w:val="24"/>
          <w:highlight w:val="none"/>
          <w14:textFill>
            <w14:solidFill>
              <w14:schemeClr w14:val="tx1"/>
            </w14:solidFill>
          </w14:textFill>
        </w:rPr>
      </w:pPr>
    </w:p>
    <w:p w14:paraId="448B75FC">
      <w:pPr>
        <w:spacing w:line="360" w:lineRule="auto"/>
        <w:ind w:left="420"/>
        <w:rPr>
          <w:rFonts w:ascii="宋体" w:hAnsi="宋体" w:cs="宋体"/>
          <w:color w:val="000000" w:themeColor="text1"/>
          <w:sz w:val="24"/>
          <w:highlight w:val="none"/>
          <w14:textFill>
            <w14:solidFill>
              <w14:schemeClr w14:val="tx1"/>
            </w14:solidFill>
          </w14:textFill>
        </w:rPr>
      </w:pPr>
    </w:p>
    <w:p w14:paraId="353A195E">
      <w:pPr>
        <w:spacing w:line="360" w:lineRule="auto"/>
        <w:ind w:left="420" w:firstLine="571" w:firstLineChars="238"/>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10EBF64E">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4754C8EE">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1AAD2DF3">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00C894CE">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2A0147ED">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0E312592">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0E7B022F">
      <w:pPr>
        <w:pStyle w:val="16"/>
        <w:rPr>
          <w:rFonts w:ascii="宋体" w:hAnsi="宋体" w:cs="宋体"/>
          <w:b/>
          <w:color w:val="000000" w:themeColor="text1"/>
          <w:sz w:val="28"/>
          <w:highlight w:val="none"/>
          <w14:textFill>
            <w14:solidFill>
              <w14:schemeClr w14:val="tx1"/>
            </w14:solidFill>
          </w14:textFill>
        </w:rPr>
      </w:pPr>
    </w:p>
    <w:p w14:paraId="200F8062">
      <w:pPr>
        <w:pStyle w:val="34"/>
        <w:ind w:firstLine="240"/>
        <w:rPr>
          <w:color w:val="000000" w:themeColor="text1"/>
          <w:highlight w:val="none"/>
          <w14:textFill>
            <w14:solidFill>
              <w14:schemeClr w14:val="tx1"/>
            </w14:solidFill>
          </w14:textFill>
        </w:rPr>
      </w:pPr>
    </w:p>
    <w:p w14:paraId="0DBCED62">
      <w:pPr>
        <w:pStyle w:val="16"/>
        <w:rPr>
          <w:rFonts w:ascii="宋体" w:hAnsi="宋体" w:cs="宋体"/>
          <w:color w:val="000000" w:themeColor="text1"/>
          <w:highlight w:val="none"/>
          <w14:textFill>
            <w14:solidFill>
              <w14:schemeClr w14:val="tx1"/>
            </w14:solidFill>
          </w14:textFill>
        </w:rPr>
      </w:pPr>
    </w:p>
    <w:p w14:paraId="23EB8628">
      <w:pPr>
        <w:pStyle w:val="16"/>
        <w:rPr>
          <w:rFonts w:ascii="宋体" w:hAnsi="宋体" w:cs="宋体"/>
          <w:color w:val="000000" w:themeColor="text1"/>
          <w:highlight w:val="none"/>
          <w14:textFill>
            <w14:solidFill>
              <w14:schemeClr w14:val="tx1"/>
            </w14:solidFill>
          </w14:textFill>
        </w:rPr>
      </w:pPr>
    </w:p>
    <w:p w14:paraId="1D867B8C">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附件9</w:t>
      </w:r>
    </w:p>
    <w:p w14:paraId="4B3E5EDF">
      <w:pPr>
        <w:spacing w:line="360" w:lineRule="auto"/>
        <w:ind w:left="48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技术需求响应表</w:t>
      </w:r>
    </w:p>
    <w:p w14:paraId="32CA6B44">
      <w:pPr>
        <w:rPr>
          <w:color w:val="000000" w:themeColor="text1"/>
          <w:kern w:val="0"/>
          <w:sz w:val="22"/>
          <w:szCs w:val="22"/>
          <w:highlight w:val="none"/>
          <w14:textFill>
            <w14:solidFill>
              <w14:schemeClr w14:val="tx1"/>
            </w14:solidFill>
          </w14:textFill>
        </w:rPr>
      </w:pPr>
    </w:p>
    <w:tbl>
      <w:tblPr>
        <w:tblStyle w:val="35"/>
        <w:tblW w:w="8792" w:type="dxa"/>
        <w:tblInd w:w="675" w:type="dxa"/>
        <w:tblLayout w:type="fixed"/>
        <w:tblCellMar>
          <w:top w:w="0" w:type="dxa"/>
          <w:left w:w="108" w:type="dxa"/>
          <w:bottom w:w="0" w:type="dxa"/>
          <w:right w:w="108" w:type="dxa"/>
        </w:tblCellMar>
      </w:tblPr>
      <w:tblGrid>
        <w:gridCol w:w="1202"/>
        <w:gridCol w:w="1831"/>
        <w:gridCol w:w="2160"/>
        <w:gridCol w:w="2127"/>
        <w:gridCol w:w="1472"/>
      </w:tblGrid>
      <w:tr w14:paraId="1E87A60E">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1A81CE32">
            <w:pPr>
              <w:pStyle w:val="20"/>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00D01A60">
            <w:pPr>
              <w:pStyle w:val="20"/>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4A908FEB">
            <w:pPr>
              <w:pStyle w:val="20"/>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招标文件服务技术要求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26EE094F">
            <w:pPr>
              <w:pStyle w:val="20"/>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招标响应文件服务技术响应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14E7DFF6">
            <w:pPr>
              <w:pStyle w:val="20"/>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14:paraId="13201D9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54FA17B7">
            <w:pPr>
              <w:pStyle w:val="20"/>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196C9CE7">
            <w:pPr>
              <w:jc w:val="center"/>
              <w:rPr>
                <w:rFonts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6CC0017">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B2C58B6">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3F53F664">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5B4C2D74">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21CEE38">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3AEBC08C">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1468B69">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A5EF8BD">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87929F9">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7BC3F02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478A445">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73429878">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CE036A4">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209D25F2">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47C56BC3">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1D5E8DC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6E1F479">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56C7ED4">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E4A5FAF">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645A028">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81DE172">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11CE2BB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F711FEC">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1E26F69">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6D8DE58">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68D6AF95">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F1ACA43">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68464C3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D707209">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DD39996">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9B7F2EC">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0EF2300">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611E739E">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475B98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BE6AF52">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0BE0D8B9">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BE6F577">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7663C246">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6C20F4C8">
            <w:pPr>
              <w:pStyle w:val="20"/>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bl>
    <w:p w14:paraId="1FF6BD2C">
      <w:pPr>
        <w:pStyle w:val="84"/>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供应商应按照招标文件要求，对招标文件的合同和项目需求中的商务、技术条款要求作出全面响应。偏离项中填写“正”、“负”或“无”，对响应有偏离的，则说明偏离的内容。不论出于何种原因此表未填写，供应商都被认为已清楚了解招标文件要求并对招标文件所需的商务、技术条款要求作全面响应，供应商必须承担完成项目需求所描述的内容的义务。</w:t>
      </w:r>
    </w:p>
    <w:p w14:paraId="57C403D2">
      <w:pPr>
        <w:spacing w:line="360" w:lineRule="auto"/>
        <w:rPr>
          <w:rFonts w:ascii="宋体" w:hAnsi="宋体" w:cs="宋体"/>
          <w:color w:val="000000" w:themeColor="text1"/>
          <w:sz w:val="24"/>
          <w:highlight w:val="none"/>
          <w14:textFill>
            <w14:solidFill>
              <w14:schemeClr w14:val="tx1"/>
            </w14:solidFill>
          </w14:textFill>
        </w:rPr>
      </w:pPr>
    </w:p>
    <w:p w14:paraId="15D36A08">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6A97671B">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4D5B6B79">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4736D3AE">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1D638212">
      <w:pPr>
        <w:pStyle w:val="61"/>
        <w:spacing w:line="360" w:lineRule="auto"/>
        <w:jc w:val="left"/>
        <w:rPr>
          <w:rFonts w:ascii="宋体" w:hAnsi="宋体" w:cs="宋体"/>
          <w:b/>
          <w:color w:val="000000" w:themeColor="text1"/>
          <w:sz w:val="28"/>
          <w:highlight w:val="none"/>
          <w14:textFill>
            <w14:solidFill>
              <w14:schemeClr w14:val="tx1"/>
            </w14:solidFill>
          </w14:textFill>
        </w:rPr>
      </w:pPr>
    </w:p>
    <w:p w14:paraId="0D81A770">
      <w:pPr>
        <w:pStyle w:val="61"/>
        <w:spacing w:line="360" w:lineRule="auto"/>
        <w:jc w:val="left"/>
        <w:rPr>
          <w:rFonts w:ascii="宋体" w:hAnsi="宋体" w:cs="宋体"/>
          <w:b/>
          <w:color w:val="000000" w:themeColor="text1"/>
          <w:sz w:val="28"/>
          <w:highlight w:val="none"/>
          <w14:textFill>
            <w14:solidFill>
              <w14:schemeClr w14:val="tx1"/>
            </w14:solidFill>
          </w14:textFill>
        </w:rPr>
      </w:pPr>
      <w:r>
        <w:rPr>
          <w:rFonts w:ascii="宋体" w:hAnsi="宋体" w:cs="宋体"/>
          <w:b/>
          <w:color w:val="000000" w:themeColor="text1"/>
          <w:sz w:val="28"/>
          <w:highlight w:val="none"/>
          <w14:textFill>
            <w14:solidFill>
              <w14:schemeClr w14:val="tx1"/>
            </w14:solidFill>
          </w14:textFill>
        </w:rPr>
        <w:br w:type="page"/>
      </w:r>
    </w:p>
    <w:p w14:paraId="42011E52">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附件10</w:t>
      </w:r>
    </w:p>
    <w:p w14:paraId="3FF51731">
      <w:pPr>
        <w:pStyle w:val="84"/>
        <w:spacing w:line="360" w:lineRule="auto"/>
        <w:ind w:left="1063" w:hanging="643"/>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证书一览表</w:t>
      </w:r>
    </w:p>
    <w:tbl>
      <w:tblPr>
        <w:tblStyle w:val="35"/>
        <w:tblW w:w="91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2258"/>
        <w:gridCol w:w="2260"/>
        <w:gridCol w:w="2047"/>
      </w:tblGrid>
      <w:tr w14:paraId="230369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59" w:type="dxa"/>
            <w:tcBorders>
              <w:top w:val="single" w:color="auto" w:sz="4" w:space="0"/>
              <w:left w:val="single" w:color="auto" w:sz="4" w:space="0"/>
              <w:bottom w:val="single" w:color="auto" w:sz="4" w:space="0"/>
            </w:tcBorders>
            <w:vAlign w:val="center"/>
          </w:tcPr>
          <w:p w14:paraId="38877FC1">
            <w:pPr>
              <w:pStyle w:val="84"/>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vAlign w:val="center"/>
          </w:tcPr>
          <w:p w14:paraId="413CD77F">
            <w:pPr>
              <w:pStyle w:val="84"/>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vAlign w:val="center"/>
          </w:tcPr>
          <w:p w14:paraId="5623E872">
            <w:pPr>
              <w:pStyle w:val="84"/>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vAlign w:val="center"/>
          </w:tcPr>
          <w:p w14:paraId="3A9937EE">
            <w:pPr>
              <w:pStyle w:val="84"/>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362DFF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top w:val="single" w:color="auto" w:sz="4" w:space="0"/>
              <w:left w:val="single" w:color="auto" w:sz="4" w:space="0"/>
            </w:tcBorders>
          </w:tcPr>
          <w:p w14:paraId="54E4A4ED">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Borders>
              <w:top w:val="single" w:color="auto" w:sz="4" w:space="0"/>
            </w:tcBorders>
          </w:tcPr>
          <w:p w14:paraId="6297E9B1">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Borders>
              <w:top w:val="single" w:color="auto" w:sz="4" w:space="0"/>
            </w:tcBorders>
          </w:tcPr>
          <w:p w14:paraId="78ED2415">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3C8E3257">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20A7F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1D9EB8EB">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6D28DA5F">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534E67E5">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1F49FED">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53FB71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65E8DAB9">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311BDB87">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14C1883D">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F94367E">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1D59F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70446431">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0AC4990D">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333034E8">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B6A7010">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128AC7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1E5CEA91">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6D9F7D56">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1A984315">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E523366">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5287B1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711F7442">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5EBC0D0C">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6F4D75F9">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9B3D1E3">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539398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bottom w:val="single" w:color="auto" w:sz="4" w:space="0"/>
            </w:tcBorders>
          </w:tcPr>
          <w:p w14:paraId="3ABDECFB">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Borders>
              <w:bottom w:val="single" w:color="auto" w:sz="4" w:space="0"/>
            </w:tcBorders>
          </w:tcPr>
          <w:p w14:paraId="2339204B">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Borders>
              <w:bottom w:val="single" w:color="auto" w:sz="4" w:space="0"/>
            </w:tcBorders>
          </w:tcPr>
          <w:p w14:paraId="61989F2E">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371FA1EB">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bl>
    <w:p w14:paraId="603C0E58">
      <w:pPr>
        <w:pStyle w:val="84"/>
        <w:tabs>
          <w:tab w:val="left" w:pos="1050"/>
        </w:tabs>
        <w:spacing w:line="360" w:lineRule="auto"/>
        <w:ind w:left="900" w:hanging="480"/>
        <w:rPr>
          <w:rFonts w:ascii="宋体" w:hAnsi="宋体" w:cs="宋体"/>
          <w:color w:val="000000" w:themeColor="text1"/>
          <w:sz w:val="24"/>
          <w:highlight w:val="none"/>
          <w14:textFill>
            <w14:solidFill>
              <w14:schemeClr w14:val="tx1"/>
            </w14:solidFill>
          </w14:textFill>
        </w:rPr>
      </w:pPr>
    </w:p>
    <w:p w14:paraId="7AFF42F2">
      <w:pPr>
        <w:pStyle w:val="84"/>
        <w:tabs>
          <w:tab w:val="left" w:pos="1050"/>
        </w:tabs>
        <w:spacing w:line="360" w:lineRule="auto"/>
        <w:ind w:left="842" w:hanging="422"/>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2DB83D38">
      <w:pPr>
        <w:pStyle w:val="84"/>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1.填写投标人获得资质、认证或企业信誉证书；</w:t>
      </w:r>
    </w:p>
    <w:p w14:paraId="10115833">
      <w:pPr>
        <w:pStyle w:val="84"/>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2.附所列证书复印件或其他证明材料。</w:t>
      </w:r>
    </w:p>
    <w:p w14:paraId="0471619D">
      <w:pPr>
        <w:pStyle w:val="84"/>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0CBA89A6">
      <w:pPr>
        <w:pStyle w:val="84"/>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6B3F4EF6">
      <w:pPr>
        <w:pStyle w:val="84"/>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76C53344">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064CBA4F">
      <w:pPr>
        <w:spacing w:line="360" w:lineRule="auto"/>
        <w:ind w:left="420"/>
        <w:rPr>
          <w:rFonts w:ascii="宋体" w:hAnsi="宋体" w:cs="宋体"/>
          <w:color w:val="000000" w:themeColor="text1"/>
          <w:sz w:val="24"/>
          <w:highlight w:val="none"/>
          <w14:textFill>
            <w14:solidFill>
              <w14:schemeClr w14:val="tx1"/>
            </w14:solidFill>
          </w14:textFill>
        </w:rPr>
      </w:pPr>
    </w:p>
    <w:p w14:paraId="48940CE4">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72BF5666">
      <w:pPr>
        <w:spacing w:line="360" w:lineRule="auto"/>
        <w:ind w:firstLine="435"/>
        <w:rPr>
          <w:rFonts w:ascii="宋体" w:hAnsi="宋体" w:cs="宋体"/>
          <w:color w:val="000000" w:themeColor="text1"/>
          <w:sz w:val="24"/>
          <w:highlight w:val="none"/>
          <w14:textFill>
            <w14:solidFill>
              <w14:schemeClr w14:val="tx1"/>
            </w14:solidFill>
          </w14:textFill>
        </w:rPr>
      </w:pPr>
    </w:p>
    <w:p w14:paraId="31628383">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2B5C0731">
      <w:pPr>
        <w:spacing w:line="360" w:lineRule="auto"/>
        <w:rPr>
          <w:rFonts w:ascii="宋体" w:hAnsi="宋体" w:cs="宋体"/>
          <w:color w:val="000000" w:themeColor="text1"/>
          <w:sz w:val="24"/>
          <w:highlight w:val="none"/>
          <w14:textFill>
            <w14:solidFill>
              <w14:schemeClr w14:val="tx1"/>
            </w14:solidFill>
          </w14:textFill>
        </w:rPr>
      </w:pPr>
    </w:p>
    <w:p w14:paraId="048CAB09">
      <w:pPr>
        <w:pStyle w:val="81"/>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238A2FA5">
      <w:pPr>
        <w:spacing w:line="360" w:lineRule="auto"/>
        <w:rPr>
          <w:rFonts w:ascii="宋体" w:hAnsi="宋体" w:cs="宋体"/>
          <w:b/>
          <w:color w:val="000000" w:themeColor="text1"/>
          <w:sz w:val="28"/>
          <w:highlight w:val="none"/>
          <w14:textFill>
            <w14:solidFill>
              <w14:schemeClr w14:val="tx1"/>
            </w14:solidFill>
          </w14:textFill>
        </w:rPr>
      </w:pPr>
    </w:p>
    <w:p w14:paraId="07528956">
      <w:pPr>
        <w:spacing w:line="360" w:lineRule="auto"/>
        <w:rPr>
          <w:rFonts w:ascii="宋体" w:hAnsi="宋体" w:cs="宋体"/>
          <w:b/>
          <w:color w:val="000000" w:themeColor="text1"/>
          <w:sz w:val="28"/>
          <w:highlight w:val="none"/>
          <w14:textFill>
            <w14:solidFill>
              <w14:schemeClr w14:val="tx1"/>
            </w14:solidFill>
          </w14:textFill>
        </w:rPr>
      </w:pPr>
    </w:p>
    <w:p w14:paraId="046B6B28">
      <w:pPr>
        <w:spacing w:line="360" w:lineRule="auto"/>
        <w:rPr>
          <w:rFonts w:ascii="宋体" w:hAnsi="宋体" w:cs="宋体"/>
          <w:b/>
          <w:color w:val="000000" w:themeColor="text1"/>
          <w:sz w:val="28"/>
          <w:highlight w:val="none"/>
          <w14:textFill>
            <w14:solidFill>
              <w14:schemeClr w14:val="tx1"/>
            </w14:solidFill>
          </w14:textFill>
        </w:rPr>
      </w:pPr>
    </w:p>
    <w:p w14:paraId="27FA98E0">
      <w:pPr>
        <w:spacing w:line="360" w:lineRule="auto"/>
        <w:rPr>
          <w:rFonts w:ascii="宋体" w:hAnsi="宋体" w:cs="宋体"/>
          <w:b/>
          <w:color w:val="000000" w:themeColor="text1"/>
          <w:sz w:val="28"/>
          <w:highlight w:val="none"/>
          <w14:textFill>
            <w14:solidFill>
              <w14:schemeClr w14:val="tx1"/>
            </w14:solidFill>
          </w14:textFill>
        </w:rPr>
      </w:pPr>
    </w:p>
    <w:p w14:paraId="53C79DD1">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附件11</w:t>
      </w:r>
    </w:p>
    <w:p w14:paraId="2BFE4FF7">
      <w:pPr>
        <w:pStyle w:val="61"/>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投标项目类似项目实施情况一览表</w:t>
      </w:r>
    </w:p>
    <w:p w14:paraId="564E85EE">
      <w:pPr>
        <w:pStyle w:val="61"/>
        <w:spacing w:line="360" w:lineRule="auto"/>
        <w:jc w:val="center"/>
        <w:rPr>
          <w:rFonts w:ascii="宋体" w:hAnsi="宋体" w:cs="宋体"/>
          <w:b/>
          <w:color w:val="000000" w:themeColor="text1"/>
          <w:sz w:val="28"/>
          <w:szCs w:val="28"/>
          <w:highlight w:val="none"/>
          <w14:textFill>
            <w14:solidFill>
              <w14:schemeClr w14:val="tx1"/>
            </w14:solidFill>
          </w14:textFill>
        </w:rPr>
      </w:pPr>
    </w:p>
    <w:tbl>
      <w:tblPr>
        <w:tblStyle w:val="35"/>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1293"/>
        <w:gridCol w:w="1575"/>
        <w:gridCol w:w="1260"/>
        <w:gridCol w:w="1452"/>
        <w:gridCol w:w="2037"/>
      </w:tblGrid>
      <w:tr w14:paraId="354D2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5" w:type="dxa"/>
            <w:tcBorders>
              <w:top w:val="single" w:color="auto" w:sz="6" w:space="0"/>
              <w:left w:val="single" w:color="auto" w:sz="6" w:space="0"/>
              <w:bottom w:val="single" w:color="auto" w:sz="6" w:space="0"/>
              <w:right w:val="single" w:color="auto" w:sz="6" w:space="0"/>
            </w:tcBorders>
            <w:vAlign w:val="center"/>
          </w:tcPr>
          <w:p w14:paraId="1D74D514">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261F1D09">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2A9A1A9">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0AB9D80">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22C5E775">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2037" w:type="dxa"/>
            <w:tcBorders>
              <w:top w:val="single" w:color="auto" w:sz="6" w:space="0"/>
              <w:left w:val="single" w:color="auto" w:sz="6" w:space="0"/>
              <w:bottom w:val="single" w:color="auto" w:sz="6" w:space="0"/>
              <w:right w:val="single" w:color="auto" w:sz="6" w:space="0"/>
            </w:tcBorders>
            <w:vAlign w:val="center"/>
          </w:tcPr>
          <w:p w14:paraId="1D4D3093">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14:paraId="1529F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45" w:type="dxa"/>
            <w:tcBorders>
              <w:top w:val="single" w:color="auto" w:sz="6" w:space="0"/>
              <w:left w:val="single" w:color="auto" w:sz="6" w:space="0"/>
              <w:bottom w:val="single" w:color="auto" w:sz="6" w:space="0"/>
              <w:right w:val="single" w:color="auto" w:sz="6" w:space="0"/>
            </w:tcBorders>
          </w:tcPr>
          <w:p w14:paraId="6CA968F3">
            <w:pPr>
              <w:pStyle w:val="61"/>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3A2C3075">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C4BCDD9">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324D367">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6CEDA88">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8A24B27">
            <w:pPr>
              <w:pStyle w:val="61"/>
              <w:spacing w:line="360" w:lineRule="auto"/>
              <w:rPr>
                <w:rFonts w:ascii="宋体" w:hAnsi="宋体" w:cs="宋体"/>
                <w:color w:val="000000" w:themeColor="text1"/>
                <w:sz w:val="24"/>
                <w:highlight w:val="none"/>
                <w14:textFill>
                  <w14:solidFill>
                    <w14:schemeClr w14:val="tx1"/>
                  </w14:solidFill>
                </w14:textFill>
              </w:rPr>
            </w:pPr>
          </w:p>
        </w:tc>
      </w:tr>
      <w:tr w14:paraId="772EF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45" w:type="dxa"/>
            <w:tcBorders>
              <w:top w:val="single" w:color="auto" w:sz="6" w:space="0"/>
              <w:left w:val="single" w:color="auto" w:sz="6" w:space="0"/>
              <w:bottom w:val="single" w:color="auto" w:sz="6" w:space="0"/>
              <w:right w:val="single" w:color="auto" w:sz="6" w:space="0"/>
            </w:tcBorders>
          </w:tcPr>
          <w:p w14:paraId="05DEA217">
            <w:pPr>
              <w:pStyle w:val="61"/>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48FD0992">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E650F3D">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60671E5">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04C5D1E">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C9D3CB6">
            <w:pPr>
              <w:pStyle w:val="61"/>
              <w:spacing w:line="360" w:lineRule="auto"/>
              <w:rPr>
                <w:rFonts w:ascii="宋体" w:hAnsi="宋体" w:cs="宋体"/>
                <w:color w:val="000000" w:themeColor="text1"/>
                <w:sz w:val="24"/>
                <w:highlight w:val="none"/>
                <w14:textFill>
                  <w14:solidFill>
                    <w14:schemeClr w14:val="tx1"/>
                  </w14:solidFill>
                </w14:textFill>
              </w:rPr>
            </w:pPr>
          </w:p>
        </w:tc>
      </w:tr>
      <w:tr w14:paraId="4BD21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5" w:type="dxa"/>
            <w:tcBorders>
              <w:top w:val="single" w:color="auto" w:sz="6" w:space="0"/>
              <w:left w:val="single" w:color="auto" w:sz="6" w:space="0"/>
              <w:bottom w:val="single" w:color="auto" w:sz="6" w:space="0"/>
              <w:right w:val="single" w:color="auto" w:sz="6" w:space="0"/>
            </w:tcBorders>
          </w:tcPr>
          <w:p w14:paraId="5F275BC7">
            <w:pPr>
              <w:pStyle w:val="61"/>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03F8BF55">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8D0D1C7">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E0CBE71">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49F2FEB2">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A21C012">
            <w:pPr>
              <w:pStyle w:val="61"/>
              <w:spacing w:line="360" w:lineRule="auto"/>
              <w:rPr>
                <w:rFonts w:ascii="宋体" w:hAnsi="宋体" w:cs="宋体"/>
                <w:color w:val="000000" w:themeColor="text1"/>
                <w:sz w:val="24"/>
                <w:highlight w:val="none"/>
                <w14:textFill>
                  <w14:solidFill>
                    <w14:schemeClr w14:val="tx1"/>
                  </w14:solidFill>
                </w14:textFill>
              </w:rPr>
            </w:pPr>
          </w:p>
        </w:tc>
      </w:tr>
      <w:tr w14:paraId="3D753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55EFB14F">
            <w:pPr>
              <w:pStyle w:val="61"/>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67720075">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B8883C3">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F33A1F6">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AD93734">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A27A1C0">
            <w:pPr>
              <w:pStyle w:val="61"/>
              <w:spacing w:line="360" w:lineRule="auto"/>
              <w:rPr>
                <w:rFonts w:ascii="宋体" w:hAnsi="宋体" w:cs="宋体"/>
                <w:color w:val="000000" w:themeColor="text1"/>
                <w:sz w:val="24"/>
                <w:highlight w:val="none"/>
                <w14:textFill>
                  <w14:solidFill>
                    <w14:schemeClr w14:val="tx1"/>
                  </w14:solidFill>
                </w14:textFill>
              </w:rPr>
            </w:pPr>
          </w:p>
        </w:tc>
      </w:tr>
      <w:tr w14:paraId="4E8B3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54D030BF">
            <w:pPr>
              <w:pStyle w:val="61"/>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51EAE7BA">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BC8AA54">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C3B379A">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6D0D5AE">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4A239AC">
            <w:pPr>
              <w:pStyle w:val="61"/>
              <w:spacing w:line="360" w:lineRule="auto"/>
              <w:rPr>
                <w:rFonts w:ascii="宋体" w:hAnsi="宋体" w:cs="宋体"/>
                <w:color w:val="000000" w:themeColor="text1"/>
                <w:sz w:val="24"/>
                <w:highlight w:val="none"/>
                <w14:textFill>
                  <w14:solidFill>
                    <w14:schemeClr w14:val="tx1"/>
                  </w14:solidFill>
                </w14:textFill>
              </w:rPr>
            </w:pPr>
          </w:p>
        </w:tc>
      </w:tr>
      <w:tr w14:paraId="4CC9A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4EC5EBD2">
            <w:pPr>
              <w:pStyle w:val="61"/>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19F4B2B4">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B786DF1">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61EAC7D">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1CC0D81">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C2EDC64">
            <w:pPr>
              <w:pStyle w:val="61"/>
              <w:spacing w:line="360" w:lineRule="auto"/>
              <w:rPr>
                <w:rFonts w:ascii="宋体" w:hAnsi="宋体" w:cs="宋体"/>
                <w:color w:val="000000" w:themeColor="text1"/>
                <w:sz w:val="24"/>
                <w:highlight w:val="none"/>
                <w14:textFill>
                  <w14:solidFill>
                    <w14:schemeClr w14:val="tx1"/>
                  </w14:solidFill>
                </w14:textFill>
              </w:rPr>
            </w:pPr>
          </w:p>
        </w:tc>
      </w:tr>
      <w:tr w14:paraId="3FBFF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6F7BE7B6">
            <w:pPr>
              <w:pStyle w:val="61"/>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7F75137F">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979DC02">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2FA0FB7">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E39DB43">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C9D75DF">
            <w:pPr>
              <w:pStyle w:val="61"/>
              <w:spacing w:line="360" w:lineRule="auto"/>
              <w:rPr>
                <w:rFonts w:ascii="宋体" w:hAnsi="宋体" w:cs="宋体"/>
                <w:color w:val="000000" w:themeColor="text1"/>
                <w:sz w:val="24"/>
                <w:highlight w:val="none"/>
                <w14:textFill>
                  <w14:solidFill>
                    <w14:schemeClr w14:val="tx1"/>
                  </w14:solidFill>
                </w14:textFill>
              </w:rPr>
            </w:pPr>
          </w:p>
        </w:tc>
      </w:tr>
    </w:tbl>
    <w:p w14:paraId="42B5D634">
      <w:pPr>
        <w:autoSpaceDE w:val="0"/>
        <w:autoSpaceDN w:val="0"/>
        <w:adjustRightInd w:val="0"/>
        <w:spacing w:before="156" w:beforeLines="50"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54E7728A">
      <w:pPr>
        <w:autoSpaceDE w:val="0"/>
        <w:autoSpaceDN w:val="0"/>
        <w:adjustRightInd w:val="0"/>
        <w:spacing w:before="156" w:beforeLines="50" w:line="360" w:lineRule="auto"/>
        <w:ind w:firstLine="424" w:firstLineChars="202"/>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1.业绩证明应提供证明材料（合同复印件可只提供首页、含金额页、盖章页并加盖投标人公章）；</w:t>
      </w:r>
    </w:p>
    <w:p w14:paraId="4E21F651">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2.报价供应商可按此表格式复制。</w:t>
      </w:r>
    </w:p>
    <w:p w14:paraId="07F367A2">
      <w:pPr>
        <w:spacing w:line="360" w:lineRule="auto"/>
        <w:rPr>
          <w:rFonts w:ascii="宋体" w:hAnsi="宋体" w:cs="宋体"/>
          <w:color w:val="000000" w:themeColor="text1"/>
          <w:sz w:val="22"/>
          <w:szCs w:val="22"/>
          <w:highlight w:val="none"/>
          <w14:textFill>
            <w14:solidFill>
              <w14:schemeClr w14:val="tx1"/>
            </w14:solidFill>
          </w14:textFill>
        </w:rPr>
      </w:pPr>
    </w:p>
    <w:p w14:paraId="1FDB5C0A">
      <w:pPr>
        <w:spacing w:line="360" w:lineRule="auto"/>
        <w:rPr>
          <w:rFonts w:ascii="宋体" w:hAnsi="宋体" w:cs="宋体"/>
          <w:color w:val="000000" w:themeColor="text1"/>
          <w:sz w:val="22"/>
          <w:szCs w:val="22"/>
          <w:highlight w:val="none"/>
          <w14:textFill>
            <w14:solidFill>
              <w14:schemeClr w14:val="tx1"/>
            </w14:solidFill>
          </w14:textFill>
        </w:rPr>
      </w:pPr>
    </w:p>
    <w:p w14:paraId="3D66A939">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2676D563">
      <w:pPr>
        <w:spacing w:line="360" w:lineRule="auto"/>
        <w:ind w:left="420"/>
        <w:rPr>
          <w:rFonts w:ascii="宋体" w:hAnsi="宋体" w:cs="宋体"/>
          <w:color w:val="000000" w:themeColor="text1"/>
          <w:sz w:val="24"/>
          <w:highlight w:val="none"/>
          <w14:textFill>
            <w14:solidFill>
              <w14:schemeClr w14:val="tx1"/>
            </w14:solidFill>
          </w14:textFill>
        </w:rPr>
      </w:pPr>
    </w:p>
    <w:p w14:paraId="37E4FD19">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66CE8285">
      <w:pPr>
        <w:spacing w:line="360" w:lineRule="auto"/>
        <w:ind w:firstLine="435"/>
        <w:rPr>
          <w:rFonts w:ascii="宋体" w:hAnsi="宋体" w:cs="宋体"/>
          <w:color w:val="000000" w:themeColor="text1"/>
          <w:sz w:val="24"/>
          <w:highlight w:val="none"/>
          <w14:textFill>
            <w14:solidFill>
              <w14:schemeClr w14:val="tx1"/>
            </w14:solidFill>
          </w14:textFill>
        </w:rPr>
      </w:pPr>
    </w:p>
    <w:p w14:paraId="1B720B60">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12B1A4D">
      <w:pPr>
        <w:spacing w:line="360" w:lineRule="auto"/>
        <w:rPr>
          <w:rFonts w:ascii="宋体" w:hAnsi="宋体" w:cs="宋体"/>
          <w:color w:val="000000" w:themeColor="text1"/>
          <w:sz w:val="24"/>
          <w:highlight w:val="none"/>
          <w14:textFill>
            <w14:solidFill>
              <w14:schemeClr w14:val="tx1"/>
            </w14:solidFill>
          </w14:textFill>
        </w:rPr>
      </w:pPr>
    </w:p>
    <w:p w14:paraId="6D9CA6D4">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2DB90F53">
      <w:pPr>
        <w:jc w:val="center"/>
        <w:rPr>
          <w:rFonts w:ascii="宋体" w:hAnsi="宋体" w:cs="宋体"/>
          <w:snapToGrid w:val="0"/>
          <w:color w:val="000000" w:themeColor="text1"/>
          <w:kern w:val="0"/>
          <w:sz w:val="24"/>
          <w:highlight w:val="none"/>
          <w14:textFill>
            <w14:solidFill>
              <w14:schemeClr w14:val="tx1"/>
            </w14:solidFill>
          </w14:textFill>
        </w:rPr>
      </w:pPr>
    </w:p>
    <w:p w14:paraId="2F8DAF5B">
      <w:pPr>
        <w:pStyle w:val="34"/>
        <w:ind w:firstLine="240"/>
        <w:rPr>
          <w:color w:val="000000" w:themeColor="text1"/>
          <w:highlight w:val="none"/>
          <w14:textFill>
            <w14:solidFill>
              <w14:schemeClr w14:val="tx1"/>
            </w14:solidFill>
          </w14:textFill>
        </w:rPr>
      </w:pPr>
    </w:p>
    <w:p w14:paraId="698D057B">
      <w:pPr>
        <w:pStyle w:val="30"/>
        <w:rPr>
          <w:color w:val="000000" w:themeColor="text1"/>
          <w:highlight w:val="none"/>
          <w14:textFill>
            <w14:solidFill>
              <w14:schemeClr w14:val="tx1"/>
            </w14:solidFill>
          </w14:textFill>
        </w:rPr>
      </w:pPr>
    </w:p>
    <w:p w14:paraId="62182E33">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附件12</w:t>
      </w:r>
    </w:p>
    <w:p w14:paraId="54B157A8">
      <w:pPr>
        <w:spacing w:line="360" w:lineRule="auto"/>
        <w:ind w:left="549" w:hanging="549" w:hangingChars="171"/>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资信及商务需求响应表 </w:t>
      </w:r>
    </w:p>
    <w:p w14:paraId="327CAEE9">
      <w:pPr>
        <w:spacing w:line="360" w:lineRule="auto"/>
        <w:ind w:left="481" w:leftChars="229" w:firstLine="813" w:firstLineChars="450"/>
        <w:rPr>
          <w:rFonts w:ascii="宋体" w:hAnsi="宋体" w:cs="宋体"/>
          <w:b/>
          <w:color w:val="000000" w:themeColor="text1"/>
          <w:sz w:val="18"/>
          <w:szCs w:val="18"/>
          <w:highlight w:val="none"/>
          <w14:textFill>
            <w14:solidFill>
              <w14:schemeClr w14:val="tx1"/>
            </w14:solidFill>
          </w14:textFill>
        </w:rPr>
      </w:pPr>
    </w:p>
    <w:tbl>
      <w:tblPr>
        <w:tblStyle w:val="35"/>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8"/>
        <w:gridCol w:w="1785"/>
        <w:gridCol w:w="1365"/>
        <w:gridCol w:w="2625"/>
      </w:tblGrid>
      <w:tr w14:paraId="55C5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44EE32E">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958" w:type="dxa"/>
            <w:vAlign w:val="center"/>
          </w:tcPr>
          <w:p w14:paraId="116E40F1">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内容</w:t>
            </w:r>
          </w:p>
        </w:tc>
        <w:tc>
          <w:tcPr>
            <w:tcW w:w="1785" w:type="dxa"/>
            <w:vAlign w:val="center"/>
          </w:tcPr>
          <w:p w14:paraId="4DBE2050">
            <w:pPr>
              <w:ind w:left="53" w:leftChars="25"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招标需求</w:t>
            </w:r>
          </w:p>
        </w:tc>
        <w:tc>
          <w:tcPr>
            <w:tcW w:w="1365" w:type="dxa"/>
            <w:vAlign w:val="center"/>
          </w:tcPr>
          <w:p w14:paraId="11EA70D6">
            <w:pPr>
              <w:ind w:left="15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是否响应</w:t>
            </w:r>
          </w:p>
        </w:tc>
        <w:tc>
          <w:tcPr>
            <w:tcW w:w="2625" w:type="dxa"/>
            <w:vAlign w:val="center"/>
          </w:tcPr>
          <w:p w14:paraId="69F77810">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投标人的承诺或说明</w:t>
            </w:r>
          </w:p>
        </w:tc>
      </w:tr>
      <w:tr w14:paraId="0F03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5E5A5B1">
            <w:pPr>
              <w:rPr>
                <w:rFonts w:ascii="宋体" w:hAnsi="宋体" w:cs="宋体"/>
                <w:color w:val="000000" w:themeColor="text1"/>
                <w:sz w:val="24"/>
                <w:highlight w:val="none"/>
                <w14:textFill>
                  <w14:solidFill>
                    <w14:schemeClr w14:val="tx1"/>
                  </w14:solidFill>
                </w14:textFill>
              </w:rPr>
            </w:pPr>
          </w:p>
        </w:tc>
        <w:tc>
          <w:tcPr>
            <w:tcW w:w="2958" w:type="dxa"/>
          </w:tcPr>
          <w:p w14:paraId="76122D65">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技术需求、要求等</w:t>
            </w:r>
          </w:p>
        </w:tc>
        <w:tc>
          <w:tcPr>
            <w:tcW w:w="1785" w:type="dxa"/>
            <w:vAlign w:val="center"/>
          </w:tcPr>
          <w:p w14:paraId="32648171">
            <w:pPr>
              <w:rPr>
                <w:rFonts w:ascii="宋体" w:hAnsi="宋体" w:cs="宋体"/>
                <w:color w:val="000000" w:themeColor="text1"/>
                <w:sz w:val="24"/>
                <w:highlight w:val="none"/>
                <w14:textFill>
                  <w14:solidFill>
                    <w14:schemeClr w14:val="tx1"/>
                  </w14:solidFill>
                </w14:textFill>
              </w:rPr>
            </w:pPr>
          </w:p>
        </w:tc>
        <w:tc>
          <w:tcPr>
            <w:tcW w:w="1365" w:type="dxa"/>
            <w:vAlign w:val="center"/>
          </w:tcPr>
          <w:p w14:paraId="54C6885E">
            <w:pPr>
              <w:rPr>
                <w:rFonts w:ascii="宋体" w:hAnsi="宋体" w:cs="宋体"/>
                <w:color w:val="000000" w:themeColor="text1"/>
                <w:sz w:val="24"/>
                <w:highlight w:val="none"/>
                <w14:textFill>
                  <w14:solidFill>
                    <w14:schemeClr w14:val="tx1"/>
                  </w14:solidFill>
                </w14:textFill>
              </w:rPr>
            </w:pPr>
          </w:p>
        </w:tc>
        <w:tc>
          <w:tcPr>
            <w:tcW w:w="2625" w:type="dxa"/>
            <w:vAlign w:val="center"/>
          </w:tcPr>
          <w:p w14:paraId="5F6A6074">
            <w:pPr>
              <w:rPr>
                <w:rFonts w:ascii="宋体" w:hAnsi="宋体" w:cs="宋体"/>
                <w:color w:val="000000" w:themeColor="text1"/>
                <w:sz w:val="24"/>
                <w:highlight w:val="none"/>
                <w14:textFill>
                  <w14:solidFill>
                    <w14:schemeClr w14:val="tx1"/>
                  </w14:solidFill>
                </w14:textFill>
              </w:rPr>
            </w:pPr>
          </w:p>
        </w:tc>
      </w:tr>
      <w:tr w14:paraId="243E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721292B">
            <w:pPr>
              <w:rPr>
                <w:rFonts w:ascii="宋体" w:hAnsi="宋体" w:cs="宋体"/>
                <w:color w:val="000000" w:themeColor="text1"/>
                <w:sz w:val="24"/>
                <w:highlight w:val="none"/>
                <w14:textFill>
                  <w14:solidFill>
                    <w14:schemeClr w14:val="tx1"/>
                  </w14:solidFill>
                </w14:textFill>
              </w:rPr>
            </w:pPr>
          </w:p>
        </w:tc>
        <w:tc>
          <w:tcPr>
            <w:tcW w:w="2958" w:type="dxa"/>
          </w:tcPr>
          <w:p w14:paraId="1E350275">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售后服务保障要求</w:t>
            </w:r>
          </w:p>
        </w:tc>
        <w:tc>
          <w:tcPr>
            <w:tcW w:w="1785" w:type="dxa"/>
            <w:vAlign w:val="center"/>
          </w:tcPr>
          <w:p w14:paraId="72ABFFF1">
            <w:pPr>
              <w:rPr>
                <w:rFonts w:ascii="宋体" w:hAnsi="宋体" w:cs="宋体"/>
                <w:color w:val="000000" w:themeColor="text1"/>
                <w:sz w:val="24"/>
                <w:highlight w:val="none"/>
                <w14:textFill>
                  <w14:solidFill>
                    <w14:schemeClr w14:val="tx1"/>
                  </w14:solidFill>
                </w14:textFill>
              </w:rPr>
            </w:pPr>
          </w:p>
        </w:tc>
        <w:tc>
          <w:tcPr>
            <w:tcW w:w="1365" w:type="dxa"/>
            <w:vAlign w:val="center"/>
          </w:tcPr>
          <w:p w14:paraId="4B86BEA8">
            <w:pPr>
              <w:rPr>
                <w:rFonts w:ascii="宋体" w:hAnsi="宋体" w:cs="宋体"/>
                <w:color w:val="000000" w:themeColor="text1"/>
                <w:sz w:val="24"/>
                <w:highlight w:val="none"/>
                <w14:textFill>
                  <w14:solidFill>
                    <w14:schemeClr w14:val="tx1"/>
                  </w14:solidFill>
                </w14:textFill>
              </w:rPr>
            </w:pPr>
          </w:p>
        </w:tc>
        <w:tc>
          <w:tcPr>
            <w:tcW w:w="2625" w:type="dxa"/>
            <w:vAlign w:val="center"/>
          </w:tcPr>
          <w:p w14:paraId="0B4D017C">
            <w:pPr>
              <w:rPr>
                <w:rFonts w:ascii="宋体" w:hAnsi="宋体" w:cs="宋体"/>
                <w:color w:val="000000" w:themeColor="text1"/>
                <w:sz w:val="24"/>
                <w:highlight w:val="none"/>
                <w14:textFill>
                  <w14:solidFill>
                    <w14:schemeClr w14:val="tx1"/>
                  </w14:solidFill>
                </w14:textFill>
              </w:rPr>
            </w:pPr>
          </w:p>
        </w:tc>
      </w:tr>
      <w:tr w14:paraId="236C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3666B96">
            <w:pPr>
              <w:rPr>
                <w:rFonts w:ascii="宋体" w:hAnsi="宋体" w:cs="宋体"/>
                <w:color w:val="000000" w:themeColor="text1"/>
                <w:sz w:val="24"/>
                <w:highlight w:val="none"/>
                <w14:textFill>
                  <w14:solidFill>
                    <w14:schemeClr w14:val="tx1"/>
                  </w14:solidFill>
                </w14:textFill>
              </w:rPr>
            </w:pPr>
          </w:p>
        </w:tc>
        <w:tc>
          <w:tcPr>
            <w:tcW w:w="2958" w:type="dxa"/>
          </w:tcPr>
          <w:p w14:paraId="5B3A1522">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w:t>
            </w:r>
          </w:p>
        </w:tc>
        <w:tc>
          <w:tcPr>
            <w:tcW w:w="1785" w:type="dxa"/>
            <w:vAlign w:val="center"/>
          </w:tcPr>
          <w:p w14:paraId="5E49A9AB">
            <w:pPr>
              <w:rPr>
                <w:rFonts w:ascii="宋体" w:hAnsi="宋体" w:cs="宋体"/>
                <w:color w:val="000000" w:themeColor="text1"/>
                <w:sz w:val="24"/>
                <w:highlight w:val="none"/>
                <w14:textFill>
                  <w14:solidFill>
                    <w14:schemeClr w14:val="tx1"/>
                  </w14:solidFill>
                </w14:textFill>
              </w:rPr>
            </w:pPr>
          </w:p>
        </w:tc>
        <w:tc>
          <w:tcPr>
            <w:tcW w:w="1365" w:type="dxa"/>
            <w:vAlign w:val="center"/>
          </w:tcPr>
          <w:p w14:paraId="4AFEE9AD">
            <w:pPr>
              <w:rPr>
                <w:rFonts w:ascii="宋体" w:hAnsi="宋体" w:cs="宋体"/>
                <w:color w:val="000000" w:themeColor="text1"/>
                <w:sz w:val="24"/>
                <w:highlight w:val="none"/>
                <w14:textFill>
                  <w14:solidFill>
                    <w14:schemeClr w14:val="tx1"/>
                  </w14:solidFill>
                </w14:textFill>
              </w:rPr>
            </w:pPr>
          </w:p>
        </w:tc>
        <w:tc>
          <w:tcPr>
            <w:tcW w:w="2625" w:type="dxa"/>
            <w:vAlign w:val="center"/>
          </w:tcPr>
          <w:p w14:paraId="3057628C">
            <w:pPr>
              <w:rPr>
                <w:rFonts w:ascii="宋体" w:hAnsi="宋体" w:cs="宋体"/>
                <w:color w:val="000000" w:themeColor="text1"/>
                <w:sz w:val="24"/>
                <w:highlight w:val="none"/>
                <w14:textFill>
                  <w14:solidFill>
                    <w14:schemeClr w14:val="tx1"/>
                  </w14:solidFill>
                </w14:textFill>
              </w:rPr>
            </w:pPr>
          </w:p>
        </w:tc>
      </w:tr>
      <w:tr w14:paraId="3BCC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FBA9367">
            <w:pPr>
              <w:rPr>
                <w:rFonts w:ascii="宋体" w:hAnsi="宋体" w:cs="宋体"/>
                <w:color w:val="000000" w:themeColor="text1"/>
                <w:sz w:val="24"/>
                <w:highlight w:val="none"/>
                <w14:textFill>
                  <w14:solidFill>
                    <w14:schemeClr w14:val="tx1"/>
                  </w14:solidFill>
                </w14:textFill>
              </w:rPr>
            </w:pPr>
          </w:p>
        </w:tc>
        <w:tc>
          <w:tcPr>
            <w:tcW w:w="2958" w:type="dxa"/>
          </w:tcPr>
          <w:p w14:paraId="03B59D4E">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w:t>
            </w:r>
          </w:p>
          <w:p w14:paraId="6960665E">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时间及地点</w:t>
            </w:r>
          </w:p>
        </w:tc>
        <w:tc>
          <w:tcPr>
            <w:tcW w:w="1785" w:type="dxa"/>
            <w:vAlign w:val="center"/>
          </w:tcPr>
          <w:p w14:paraId="3244045C">
            <w:pPr>
              <w:rPr>
                <w:rFonts w:ascii="宋体" w:hAnsi="宋体" w:cs="宋体"/>
                <w:color w:val="000000" w:themeColor="text1"/>
                <w:sz w:val="24"/>
                <w:highlight w:val="none"/>
                <w14:textFill>
                  <w14:solidFill>
                    <w14:schemeClr w14:val="tx1"/>
                  </w14:solidFill>
                </w14:textFill>
              </w:rPr>
            </w:pPr>
          </w:p>
        </w:tc>
        <w:tc>
          <w:tcPr>
            <w:tcW w:w="1365" w:type="dxa"/>
            <w:vAlign w:val="center"/>
          </w:tcPr>
          <w:p w14:paraId="7667F996">
            <w:pPr>
              <w:rPr>
                <w:rFonts w:ascii="宋体" w:hAnsi="宋体" w:cs="宋体"/>
                <w:color w:val="000000" w:themeColor="text1"/>
                <w:sz w:val="24"/>
                <w:highlight w:val="none"/>
                <w14:textFill>
                  <w14:solidFill>
                    <w14:schemeClr w14:val="tx1"/>
                  </w14:solidFill>
                </w14:textFill>
              </w:rPr>
            </w:pPr>
          </w:p>
        </w:tc>
        <w:tc>
          <w:tcPr>
            <w:tcW w:w="2625" w:type="dxa"/>
            <w:vAlign w:val="center"/>
          </w:tcPr>
          <w:p w14:paraId="0DDEEA3A">
            <w:pPr>
              <w:rPr>
                <w:rFonts w:ascii="宋体" w:hAnsi="宋体" w:cs="宋体"/>
                <w:color w:val="000000" w:themeColor="text1"/>
                <w:sz w:val="24"/>
                <w:highlight w:val="none"/>
                <w14:textFill>
                  <w14:solidFill>
                    <w14:schemeClr w14:val="tx1"/>
                  </w14:solidFill>
                </w14:textFill>
              </w:rPr>
            </w:pPr>
          </w:p>
        </w:tc>
      </w:tr>
      <w:tr w14:paraId="32E2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E94B75B">
            <w:pPr>
              <w:rPr>
                <w:rFonts w:ascii="宋体" w:hAnsi="宋体" w:cs="宋体"/>
                <w:color w:val="000000" w:themeColor="text1"/>
                <w:sz w:val="24"/>
                <w:highlight w:val="none"/>
                <w14:textFill>
                  <w14:solidFill>
                    <w14:schemeClr w14:val="tx1"/>
                  </w14:solidFill>
                </w14:textFill>
              </w:rPr>
            </w:pPr>
          </w:p>
        </w:tc>
        <w:tc>
          <w:tcPr>
            <w:tcW w:w="2958" w:type="dxa"/>
          </w:tcPr>
          <w:p w14:paraId="1A4AEF0F">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付款条件</w:t>
            </w:r>
          </w:p>
        </w:tc>
        <w:tc>
          <w:tcPr>
            <w:tcW w:w="1785" w:type="dxa"/>
            <w:vAlign w:val="center"/>
          </w:tcPr>
          <w:p w14:paraId="47C1D37D">
            <w:pPr>
              <w:rPr>
                <w:rFonts w:ascii="宋体" w:hAnsi="宋体" w:cs="宋体"/>
                <w:color w:val="000000" w:themeColor="text1"/>
                <w:sz w:val="24"/>
                <w:highlight w:val="none"/>
                <w14:textFill>
                  <w14:solidFill>
                    <w14:schemeClr w14:val="tx1"/>
                  </w14:solidFill>
                </w14:textFill>
              </w:rPr>
            </w:pPr>
          </w:p>
        </w:tc>
        <w:tc>
          <w:tcPr>
            <w:tcW w:w="1365" w:type="dxa"/>
            <w:vAlign w:val="center"/>
          </w:tcPr>
          <w:p w14:paraId="71DB2F5C">
            <w:pPr>
              <w:rPr>
                <w:rFonts w:ascii="宋体" w:hAnsi="宋体" w:cs="宋体"/>
                <w:color w:val="000000" w:themeColor="text1"/>
                <w:sz w:val="24"/>
                <w:highlight w:val="none"/>
                <w14:textFill>
                  <w14:solidFill>
                    <w14:schemeClr w14:val="tx1"/>
                  </w14:solidFill>
                </w14:textFill>
              </w:rPr>
            </w:pPr>
          </w:p>
        </w:tc>
        <w:tc>
          <w:tcPr>
            <w:tcW w:w="2625" w:type="dxa"/>
            <w:vAlign w:val="center"/>
          </w:tcPr>
          <w:p w14:paraId="00B4CB2C">
            <w:pPr>
              <w:rPr>
                <w:rFonts w:ascii="宋体" w:hAnsi="宋体" w:cs="宋体"/>
                <w:color w:val="000000" w:themeColor="text1"/>
                <w:sz w:val="24"/>
                <w:highlight w:val="none"/>
                <w14:textFill>
                  <w14:solidFill>
                    <w14:schemeClr w14:val="tx1"/>
                  </w14:solidFill>
                </w14:textFill>
              </w:rPr>
            </w:pPr>
          </w:p>
        </w:tc>
      </w:tr>
      <w:tr w14:paraId="08D8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80745B7">
            <w:pPr>
              <w:rPr>
                <w:rFonts w:ascii="宋体" w:hAnsi="宋体" w:cs="宋体"/>
                <w:color w:val="000000" w:themeColor="text1"/>
                <w:sz w:val="24"/>
                <w:highlight w:val="none"/>
                <w14:textFill>
                  <w14:solidFill>
                    <w14:schemeClr w14:val="tx1"/>
                  </w14:solidFill>
                </w14:textFill>
              </w:rPr>
            </w:pPr>
          </w:p>
        </w:tc>
        <w:tc>
          <w:tcPr>
            <w:tcW w:w="2958" w:type="dxa"/>
          </w:tcPr>
          <w:p w14:paraId="5A0A6AC3">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85" w:type="dxa"/>
            <w:vAlign w:val="center"/>
          </w:tcPr>
          <w:p w14:paraId="5CAEA4F0">
            <w:pPr>
              <w:rPr>
                <w:rFonts w:ascii="宋体" w:hAnsi="宋体" w:cs="宋体"/>
                <w:color w:val="000000" w:themeColor="text1"/>
                <w:sz w:val="24"/>
                <w:highlight w:val="none"/>
                <w14:textFill>
                  <w14:solidFill>
                    <w14:schemeClr w14:val="tx1"/>
                  </w14:solidFill>
                </w14:textFill>
              </w:rPr>
            </w:pPr>
          </w:p>
        </w:tc>
        <w:tc>
          <w:tcPr>
            <w:tcW w:w="1365" w:type="dxa"/>
            <w:vAlign w:val="center"/>
          </w:tcPr>
          <w:p w14:paraId="32FA6CD2">
            <w:pPr>
              <w:rPr>
                <w:rFonts w:ascii="宋体" w:hAnsi="宋体" w:cs="宋体"/>
                <w:color w:val="000000" w:themeColor="text1"/>
                <w:sz w:val="24"/>
                <w:highlight w:val="none"/>
                <w14:textFill>
                  <w14:solidFill>
                    <w14:schemeClr w14:val="tx1"/>
                  </w14:solidFill>
                </w14:textFill>
              </w:rPr>
            </w:pPr>
          </w:p>
        </w:tc>
        <w:tc>
          <w:tcPr>
            <w:tcW w:w="2625" w:type="dxa"/>
            <w:vAlign w:val="center"/>
          </w:tcPr>
          <w:p w14:paraId="4C2D81C4">
            <w:pPr>
              <w:rPr>
                <w:rFonts w:ascii="宋体" w:hAnsi="宋体" w:cs="宋体"/>
                <w:color w:val="000000" w:themeColor="text1"/>
                <w:sz w:val="24"/>
                <w:highlight w:val="none"/>
                <w14:textFill>
                  <w14:solidFill>
                    <w14:schemeClr w14:val="tx1"/>
                  </w14:solidFill>
                </w14:textFill>
              </w:rPr>
            </w:pPr>
          </w:p>
        </w:tc>
      </w:tr>
      <w:tr w14:paraId="7D7B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63C441D3">
            <w:pPr>
              <w:rPr>
                <w:rFonts w:ascii="宋体" w:hAnsi="宋体" w:cs="宋体"/>
                <w:color w:val="000000" w:themeColor="text1"/>
                <w:sz w:val="24"/>
                <w:highlight w:val="none"/>
                <w14:textFill>
                  <w14:solidFill>
                    <w14:schemeClr w14:val="tx1"/>
                  </w14:solidFill>
                </w14:textFill>
              </w:rPr>
            </w:pPr>
          </w:p>
        </w:tc>
        <w:tc>
          <w:tcPr>
            <w:tcW w:w="2958" w:type="dxa"/>
          </w:tcPr>
          <w:p w14:paraId="7B1E18C9">
            <w:pP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4CA9CEC1">
            <w:pPr>
              <w:rPr>
                <w:rFonts w:ascii="宋体" w:hAnsi="宋体" w:cs="宋体"/>
                <w:color w:val="000000" w:themeColor="text1"/>
                <w:sz w:val="24"/>
                <w:highlight w:val="none"/>
                <w14:textFill>
                  <w14:solidFill>
                    <w14:schemeClr w14:val="tx1"/>
                  </w14:solidFill>
                </w14:textFill>
              </w:rPr>
            </w:pPr>
          </w:p>
        </w:tc>
        <w:tc>
          <w:tcPr>
            <w:tcW w:w="1365" w:type="dxa"/>
            <w:vAlign w:val="center"/>
          </w:tcPr>
          <w:p w14:paraId="296DA625">
            <w:pPr>
              <w:rPr>
                <w:rFonts w:ascii="宋体" w:hAnsi="宋体" w:cs="宋体"/>
                <w:color w:val="000000" w:themeColor="text1"/>
                <w:sz w:val="24"/>
                <w:highlight w:val="none"/>
                <w14:textFill>
                  <w14:solidFill>
                    <w14:schemeClr w14:val="tx1"/>
                  </w14:solidFill>
                </w14:textFill>
              </w:rPr>
            </w:pPr>
          </w:p>
        </w:tc>
        <w:tc>
          <w:tcPr>
            <w:tcW w:w="2625" w:type="dxa"/>
            <w:vAlign w:val="center"/>
          </w:tcPr>
          <w:p w14:paraId="6E8B9FB9">
            <w:pPr>
              <w:rPr>
                <w:rFonts w:ascii="宋体" w:hAnsi="宋体" w:cs="宋体"/>
                <w:color w:val="000000" w:themeColor="text1"/>
                <w:sz w:val="24"/>
                <w:highlight w:val="none"/>
                <w14:textFill>
                  <w14:solidFill>
                    <w14:schemeClr w14:val="tx1"/>
                  </w14:solidFill>
                </w14:textFill>
              </w:rPr>
            </w:pPr>
          </w:p>
        </w:tc>
      </w:tr>
      <w:tr w14:paraId="3A35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01CE8305">
            <w:pPr>
              <w:rPr>
                <w:rFonts w:ascii="宋体" w:hAnsi="宋体" w:cs="宋体"/>
                <w:color w:val="000000" w:themeColor="text1"/>
                <w:sz w:val="24"/>
                <w:highlight w:val="none"/>
                <w14:textFill>
                  <w14:solidFill>
                    <w14:schemeClr w14:val="tx1"/>
                  </w14:solidFill>
                </w14:textFill>
              </w:rPr>
            </w:pPr>
          </w:p>
        </w:tc>
        <w:tc>
          <w:tcPr>
            <w:tcW w:w="2958" w:type="dxa"/>
          </w:tcPr>
          <w:p w14:paraId="6A851707">
            <w:pP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0ED15AF0">
            <w:pPr>
              <w:rPr>
                <w:rFonts w:ascii="宋体" w:hAnsi="宋体" w:cs="宋体"/>
                <w:color w:val="000000" w:themeColor="text1"/>
                <w:sz w:val="24"/>
                <w:highlight w:val="none"/>
                <w14:textFill>
                  <w14:solidFill>
                    <w14:schemeClr w14:val="tx1"/>
                  </w14:solidFill>
                </w14:textFill>
              </w:rPr>
            </w:pPr>
          </w:p>
        </w:tc>
        <w:tc>
          <w:tcPr>
            <w:tcW w:w="1365" w:type="dxa"/>
            <w:vAlign w:val="center"/>
          </w:tcPr>
          <w:p w14:paraId="109A692E">
            <w:pPr>
              <w:rPr>
                <w:rFonts w:ascii="宋体" w:hAnsi="宋体" w:cs="宋体"/>
                <w:color w:val="000000" w:themeColor="text1"/>
                <w:sz w:val="24"/>
                <w:highlight w:val="none"/>
                <w14:textFill>
                  <w14:solidFill>
                    <w14:schemeClr w14:val="tx1"/>
                  </w14:solidFill>
                </w14:textFill>
              </w:rPr>
            </w:pPr>
          </w:p>
        </w:tc>
        <w:tc>
          <w:tcPr>
            <w:tcW w:w="2625" w:type="dxa"/>
            <w:vAlign w:val="center"/>
          </w:tcPr>
          <w:p w14:paraId="0EC1C1D6">
            <w:pPr>
              <w:rPr>
                <w:rFonts w:ascii="宋体" w:hAnsi="宋体" w:cs="宋体"/>
                <w:color w:val="000000" w:themeColor="text1"/>
                <w:sz w:val="24"/>
                <w:highlight w:val="none"/>
                <w14:textFill>
                  <w14:solidFill>
                    <w14:schemeClr w14:val="tx1"/>
                  </w14:solidFill>
                </w14:textFill>
              </w:rPr>
            </w:pPr>
          </w:p>
        </w:tc>
      </w:tr>
    </w:tbl>
    <w:p w14:paraId="407C2CC8">
      <w:pPr>
        <w:spacing w:line="360" w:lineRule="auto"/>
        <w:rPr>
          <w:rFonts w:ascii="宋体" w:hAnsi="宋体" w:cs="宋体"/>
          <w:color w:val="000000" w:themeColor="text1"/>
          <w:sz w:val="24"/>
          <w:highlight w:val="none"/>
          <w14:textFill>
            <w14:solidFill>
              <w14:schemeClr w14:val="tx1"/>
            </w14:solidFill>
          </w14:textFill>
        </w:rPr>
      </w:pPr>
    </w:p>
    <w:p w14:paraId="76CEDA1B">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78923BC3">
      <w:pPr>
        <w:spacing w:line="360" w:lineRule="auto"/>
        <w:ind w:left="420"/>
        <w:rPr>
          <w:rFonts w:ascii="宋体" w:hAnsi="宋体" w:cs="宋体"/>
          <w:color w:val="000000" w:themeColor="text1"/>
          <w:sz w:val="24"/>
          <w:highlight w:val="none"/>
          <w14:textFill>
            <w14:solidFill>
              <w14:schemeClr w14:val="tx1"/>
            </w14:solidFill>
          </w14:textFill>
        </w:rPr>
      </w:pPr>
    </w:p>
    <w:p w14:paraId="1D0B8EB8">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5F6EEB74">
      <w:pPr>
        <w:spacing w:line="360" w:lineRule="auto"/>
        <w:ind w:firstLine="435"/>
        <w:rPr>
          <w:rFonts w:ascii="宋体" w:hAnsi="宋体" w:cs="宋体"/>
          <w:color w:val="000000" w:themeColor="text1"/>
          <w:sz w:val="24"/>
          <w:highlight w:val="none"/>
          <w14:textFill>
            <w14:solidFill>
              <w14:schemeClr w14:val="tx1"/>
            </w14:solidFill>
          </w14:textFill>
        </w:rPr>
      </w:pPr>
    </w:p>
    <w:p w14:paraId="3D4BAD56">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1B45A12C">
      <w:pPr>
        <w:spacing w:line="360" w:lineRule="auto"/>
        <w:ind w:firstLine="435"/>
        <w:rPr>
          <w:rFonts w:ascii="宋体" w:hAnsi="宋体" w:cs="宋体"/>
          <w:color w:val="000000" w:themeColor="text1"/>
          <w:sz w:val="24"/>
          <w:highlight w:val="none"/>
          <w14:textFill>
            <w14:solidFill>
              <w14:schemeClr w14:val="tx1"/>
            </w14:solidFill>
          </w14:textFill>
        </w:rPr>
      </w:pPr>
    </w:p>
    <w:p w14:paraId="5944E229">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42A51C2E">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5336F005">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7DA2CB73">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69640099">
      <w:pPr>
        <w:pStyle w:val="16"/>
        <w:rPr>
          <w:rFonts w:ascii="宋体" w:hAnsi="宋体" w:cs="宋体"/>
          <w:color w:val="000000" w:themeColor="text1"/>
          <w:highlight w:val="none"/>
          <w14:textFill>
            <w14:solidFill>
              <w14:schemeClr w14:val="tx1"/>
            </w14:solidFill>
          </w14:textFill>
        </w:rPr>
      </w:pPr>
    </w:p>
    <w:p w14:paraId="3C77D74E">
      <w:pPr>
        <w:tabs>
          <w:tab w:val="left" w:pos="2460"/>
        </w:tabs>
        <w:spacing w:line="360" w:lineRule="auto"/>
        <w:rPr>
          <w:rFonts w:ascii="宋体" w:hAnsi="宋体" w:cs="宋体"/>
          <w:b/>
          <w:color w:val="000000" w:themeColor="text1"/>
          <w:sz w:val="28"/>
          <w:highlight w:val="none"/>
          <w14:textFill>
            <w14:solidFill>
              <w14:schemeClr w14:val="tx1"/>
            </w14:solidFill>
          </w14:textFill>
        </w:rPr>
      </w:pPr>
    </w:p>
    <w:p w14:paraId="5C8BB07D">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附件13</w:t>
      </w:r>
      <w:r>
        <w:rPr>
          <w:rFonts w:hint="eastAsia" w:ascii="宋体" w:hAnsi="宋体" w:eastAsia="宋体"/>
          <w:b/>
          <w:color w:val="000000" w:themeColor="text1"/>
          <w:sz w:val="32"/>
          <w:szCs w:val="32"/>
          <w:highlight w:val="none"/>
          <w:lang w:eastAsia="zh-CN"/>
          <w14:textFill>
            <w14:solidFill>
              <w14:schemeClr w14:val="tx1"/>
            </w14:solidFill>
          </w14:textFill>
        </w:rPr>
        <w:tab/>
      </w:r>
    </w:p>
    <w:p w14:paraId="75FE8D7D">
      <w:pPr>
        <w:spacing w:line="360" w:lineRule="auto"/>
        <w:ind w:firstLine="435"/>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售后服务描述及承诺</w:t>
      </w:r>
    </w:p>
    <w:p w14:paraId="4186EBB2">
      <w:pPr>
        <w:spacing w:line="360" w:lineRule="auto"/>
        <w:ind w:firstLine="435"/>
        <w:jc w:val="center"/>
        <w:rPr>
          <w:rFonts w:ascii="宋体" w:hAnsi="宋体" w:cs="宋体"/>
          <w:b/>
          <w:color w:val="000000" w:themeColor="text1"/>
          <w:sz w:val="36"/>
          <w:szCs w:val="36"/>
          <w:highlight w:val="none"/>
          <w14:textFill>
            <w14:solidFill>
              <w14:schemeClr w14:val="tx1"/>
            </w14:solidFill>
          </w14:textFill>
        </w:rPr>
      </w:pPr>
    </w:p>
    <w:tbl>
      <w:tblPr>
        <w:tblStyle w:val="3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7A970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700CEC18">
            <w:pPr>
              <w:pStyle w:val="66"/>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55" w:type="dxa"/>
            <w:vAlign w:val="center"/>
          </w:tcPr>
          <w:p w14:paraId="3ACA4C28">
            <w:pPr>
              <w:pStyle w:val="66"/>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w:t>
            </w:r>
          </w:p>
        </w:tc>
        <w:tc>
          <w:tcPr>
            <w:tcW w:w="4061" w:type="dxa"/>
            <w:vAlign w:val="center"/>
          </w:tcPr>
          <w:p w14:paraId="7DD862AF">
            <w:pPr>
              <w:pStyle w:val="66"/>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投标人情况</w:t>
            </w:r>
          </w:p>
        </w:tc>
        <w:tc>
          <w:tcPr>
            <w:tcW w:w="1373" w:type="dxa"/>
            <w:vAlign w:val="center"/>
          </w:tcPr>
          <w:p w14:paraId="714ED0B4">
            <w:pPr>
              <w:pStyle w:val="66"/>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7614D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0" w:hRule="atLeast"/>
          <w:jc w:val="center"/>
        </w:trPr>
        <w:tc>
          <w:tcPr>
            <w:tcW w:w="739" w:type="dxa"/>
            <w:vMerge w:val="restart"/>
            <w:vAlign w:val="center"/>
          </w:tcPr>
          <w:p w14:paraId="3A4A896B">
            <w:pPr>
              <w:pStyle w:val="66"/>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355" w:type="dxa"/>
            <w:vMerge w:val="restart"/>
            <w:vAlign w:val="center"/>
          </w:tcPr>
          <w:p w14:paraId="5886B1E6">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tcBorders>
              <w:bottom w:val="single" w:color="auto" w:sz="4" w:space="0"/>
            </w:tcBorders>
          </w:tcPr>
          <w:p w14:paraId="4263B133">
            <w:pPr>
              <w:pStyle w:val="66"/>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投标人售后服务情况：</w:t>
            </w:r>
          </w:p>
        </w:tc>
        <w:tc>
          <w:tcPr>
            <w:tcW w:w="1373" w:type="dxa"/>
            <w:tcBorders>
              <w:bottom w:val="single" w:color="auto" w:sz="4" w:space="0"/>
            </w:tcBorders>
          </w:tcPr>
          <w:p w14:paraId="0591D9E8">
            <w:pPr>
              <w:pStyle w:val="66"/>
              <w:spacing w:line="360" w:lineRule="auto"/>
              <w:rPr>
                <w:rFonts w:ascii="宋体" w:hAnsi="宋体" w:cs="宋体"/>
                <w:bCs/>
                <w:color w:val="000000" w:themeColor="text1"/>
                <w:sz w:val="24"/>
                <w:highlight w:val="none"/>
                <w14:textFill>
                  <w14:solidFill>
                    <w14:schemeClr w14:val="tx1"/>
                  </w14:solidFill>
                </w14:textFill>
              </w:rPr>
            </w:pPr>
          </w:p>
        </w:tc>
      </w:tr>
      <w:tr w14:paraId="5E68B6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05" w:hRule="atLeast"/>
          <w:jc w:val="center"/>
        </w:trPr>
        <w:tc>
          <w:tcPr>
            <w:tcW w:w="739" w:type="dxa"/>
            <w:vMerge w:val="continue"/>
            <w:vAlign w:val="center"/>
          </w:tcPr>
          <w:p w14:paraId="7AEFDE77">
            <w:pPr>
              <w:pStyle w:val="66"/>
              <w:spacing w:line="360" w:lineRule="auto"/>
              <w:jc w:val="center"/>
              <w:rPr>
                <w:rFonts w:ascii="宋体" w:hAnsi="宋体" w:cs="宋体"/>
                <w:bCs/>
                <w:color w:val="000000" w:themeColor="text1"/>
                <w:sz w:val="24"/>
                <w:highlight w:val="none"/>
                <w14:textFill>
                  <w14:solidFill>
                    <w14:schemeClr w14:val="tx1"/>
                  </w14:solidFill>
                </w14:textFill>
              </w:rPr>
            </w:pPr>
          </w:p>
        </w:tc>
        <w:tc>
          <w:tcPr>
            <w:tcW w:w="2355" w:type="dxa"/>
            <w:vMerge w:val="continue"/>
            <w:vAlign w:val="center"/>
          </w:tcPr>
          <w:p w14:paraId="5F366BC5">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4061" w:type="dxa"/>
            <w:tcBorders>
              <w:top w:val="single" w:color="auto" w:sz="4" w:space="0"/>
            </w:tcBorders>
          </w:tcPr>
          <w:p w14:paraId="45D15E2D">
            <w:pPr>
              <w:pStyle w:val="66"/>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生产厂家售后服务情况：</w:t>
            </w:r>
          </w:p>
        </w:tc>
        <w:tc>
          <w:tcPr>
            <w:tcW w:w="1373" w:type="dxa"/>
            <w:tcBorders>
              <w:top w:val="single" w:color="auto" w:sz="4" w:space="0"/>
            </w:tcBorders>
          </w:tcPr>
          <w:p w14:paraId="0C16B69F">
            <w:pPr>
              <w:pStyle w:val="66"/>
              <w:spacing w:line="360" w:lineRule="auto"/>
              <w:rPr>
                <w:rFonts w:ascii="宋体" w:hAnsi="宋体" w:cs="宋体"/>
                <w:bCs/>
                <w:color w:val="000000" w:themeColor="text1"/>
                <w:sz w:val="24"/>
                <w:highlight w:val="none"/>
                <w14:textFill>
                  <w14:solidFill>
                    <w14:schemeClr w14:val="tx1"/>
                  </w14:solidFill>
                </w14:textFill>
              </w:rPr>
            </w:pPr>
          </w:p>
        </w:tc>
      </w:tr>
      <w:tr w14:paraId="28D17F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7221899A">
            <w:pPr>
              <w:pStyle w:val="66"/>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355" w:type="dxa"/>
            <w:vAlign w:val="center"/>
          </w:tcPr>
          <w:p w14:paraId="0BA8CE10">
            <w:pPr>
              <w:pStyle w:val="66"/>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保修期后售后服务</w:t>
            </w:r>
          </w:p>
        </w:tc>
        <w:tc>
          <w:tcPr>
            <w:tcW w:w="4061" w:type="dxa"/>
          </w:tcPr>
          <w:p w14:paraId="65F5EBB1">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p w14:paraId="265FC1C4">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p w14:paraId="42993539">
            <w:pPr>
              <w:pStyle w:val="66"/>
              <w:spacing w:line="360" w:lineRule="auto"/>
              <w:rPr>
                <w:rFonts w:ascii="宋体" w:hAnsi="宋体" w:cs="宋体"/>
                <w:bCs/>
                <w:color w:val="000000" w:themeColor="text1"/>
                <w:sz w:val="24"/>
                <w:highlight w:val="none"/>
                <w14:textFill>
                  <w14:solidFill>
                    <w14:schemeClr w14:val="tx1"/>
                  </w14:solidFill>
                </w14:textFill>
              </w:rPr>
            </w:pPr>
          </w:p>
        </w:tc>
        <w:tc>
          <w:tcPr>
            <w:tcW w:w="1373" w:type="dxa"/>
          </w:tcPr>
          <w:p w14:paraId="0A9BAE51">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p w14:paraId="117B0E67">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p w14:paraId="38E44901">
            <w:pPr>
              <w:pStyle w:val="66"/>
              <w:spacing w:line="360" w:lineRule="auto"/>
              <w:rPr>
                <w:rFonts w:ascii="宋体" w:hAnsi="宋体" w:cs="宋体"/>
                <w:bCs/>
                <w:color w:val="000000" w:themeColor="text1"/>
                <w:sz w:val="24"/>
                <w:highlight w:val="none"/>
                <w14:textFill>
                  <w14:solidFill>
                    <w14:schemeClr w14:val="tx1"/>
                  </w14:solidFill>
                </w14:textFill>
              </w:rPr>
            </w:pPr>
          </w:p>
        </w:tc>
      </w:tr>
      <w:tr w14:paraId="32D21E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0" w:hRule="exact"/>
          <w:jc w:val="center"/>
        </w:trPr>
        <w:tc>
          <w:tcPr>
            <w:tcW w:w="739" w:type="dxa"/>
            <w:vAlign w:val="center"/>
          </w:tcPr>
          <w:p w14:paraId="0804382C">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3</w:t>
            </w:r>
          </w:p>
        </w:tc>
        <w:tc>
          <w:tcPr>
            <w:tcW w:w="2355" w:type="dxa"/>
            <w:vAlign w:val="center"/>
          </w:tcPr>
          <w:p w14:paraId="24EB9BAB">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培训方案（可用附页）</w:t>
            </w:r>
          </w:p>
        </w:tc>
        <w:tc>
          <w:tcPr>
            <w:tcW w:w="4061" w:type="dxa"/>
          </w:tcPr>
          <w:p w14:paraId="7DBFC4FC">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40F4FDE5">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tc>
        <w:tc>
          <w:tcPr>
            <w:tcW w:w="1373" w:type="dxa"/>
          </w:tcPr>
          <w:p w14:paraId="11BD07E5">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1BE49D88">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2C7C2CDF">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tc>
      </w:tr>
      <w:tr w14:paraId="22DC92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41F89774">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2355" w:type="dxa"/>
            <w:vAlign w:val="center"/>
          </w:tcPr>
          <w:p w14:paraId="78D70990">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4061" w:type="dxa"/>
          </w:tcPr>
          <w:p w14:paraId="6C96E401">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1373" w:type="dxa"/>
          </w:tcPr>
          <w:p w14:paraId="73B5DC97">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tc>
      </w:tr>
    </w:tbl>
    <w:p w14:paraId="02DFC168">
      <w:pPr>
        <w:spacing w:line="360" w:lineRule="auto"/>
        <w:ind w:left="420"/>
        <w:rPr>
          <w:rFonts w:ascii="宋体" w:hAnsi="宋体" w:cs="宋体"/>
          <w:color w:val="000000" w:themeColor="text1"/>
          <w:sz w:val="24"/>
          <w:highlight w:val="none"/>
          <w14:textFill>
            <w14:solidFill>
              <w14:schemeClr w14:val="tx1"/>
            </w14:solidFill>
          </w14:textFill>
        </w:rPr>
      </w:pPr>
    </w:p>
    <w:p w14:paraId="5D0B6116">
      <w:pPr>
        <w:spacing w:line="360" w:lineRule="auto"/>
        <w:ind w:left="420"/>
        <w:rPr>
          <w:rFonts w:ascii="宋体" w:hAnsi="宋体" w:cs="宋体"/>
          <w:color w:val="000000" w:themeColor="text1"/>
          <w:sz w:val="24"/>
          <w:highlight w:val="none"/>
          <w14:textFill>
            <w14:solidFill>
              <w14:schemeClr w14:val="tx1"/>
            </w14:solidFill>
          </w14:textFill>
        </w:rPr>
      </w:pPr>
    </w:p>
    <w:p w14:paraId="18986C94">
      <w:pPr>
        <w:spacing w:line="360" w:lineRule="auto"/>
        <w:ind w:left="420"/>
        <w:rPr>
          <w:rFonts w:ascii="宋体" w:hAnsi="宋体" w:cs="宋体"/>
          <w:color w:val="000000" w:themeColor="text1"/>
          <w:sz w:val="24"/>
          <w:highlight w:val="none"/>
          <w14:textFill>
            <w14:solidFill>
              <w14:schemeClr w14:val="tx1"/>
            </w14:solidFill>
          </w14:textFill>
        </w:rPr>
      </w:pPr>
    </w:p>
    <w:p w14:paraId="2A8A1D3E">
      <w:pPr>
        <w:spacing w:line="360" w:lineRule="auto"/>
        <w:ind w:left="420"/>
        <w:rPr>
          <w:rFonts w:ascii="宋体" w:hAnsi="宋体" w:cs="宋体"/>
          <w:color w:val="000000" w:themeColor="text1"/>
          <w:sz w:val="24"/>
          <w:highlight w:val="none"/>
          <w14:textFill>
            <w14:solidFill>
              <w14:schemeClr w14:val="tx1"/>
            </w14:solidFill>
          </w14:textFill>
        </w:rPr>
      </w:pPr>
    </w:p>
    <w:p w14:paraId="0F90A533">
      <w:pPr>
        <w:spacing w:line="360" w:lineRule="auto"/>
        <w:ind w:left="420"/>
        <w:rPr>
          <w:rFonts w:ascii="宋体" w:hAnsi="宋体" w:cs="宋体"/>
          <w:color w:val="000000" w:themeColor="text1"/>
          <w:sz w:val="24"/>
          <w:highlight w:val="none"/>
          <w14:textFill>
            <w14:solidFill>
              <w14:schemeClr w14:val="tx1"/>
            </w14:solidFill>
          </w14:textFill>
        </w:rPr>
      </w:pPr>
    </w:p>
    <w:p w14:paraId="3B1E488E">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13D23DD0">
      <w:pPr>
        <w:spacing w:line="360" w:lineRule="auto"/>
        <w:ind w:left="420"/>
        <w:rPr>
          <w:rFonts w:ascii="宋体" w:hAnsi="宋体" w:cs="宋体"/>
          <w:color w:val="000000" w:themeColor="text1"/>
          <w:sz w:val="24"/>
          <w:highlight w:val="none"/>
          <w14:textFill>
            <w14:solidFill>
              <w14:schemeClr w14:val="tx1"/>
            </w14:solidFill>
          </w14:textFill>
        </w:rPr>
      </w:pPr>
    </w:p>
    <w:p w14:paraId="039A2052">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4AD68F67">
      <w:pPr>
        <w:spacing w:line="360" w:lineRule="auto"/>
        <w:ind w:firstLine="435"/>
        <w:rPr>
          <w:rFonts w:ascii="宋体" w:hAnsi="宋体" w:cs="宋体"/>
          <w:color w:val="000000" w:themeColor="text1"/>
          <w:sz w:val="24"/>
          <w:highlight w:val="none"/>
          <w14:textFill>
            <w14:solidFill>
              <w14:schemeClr w14:val="tx1"/>
            </w14:solidFill>
          </w14:textFill>
        </w:rPr>
      </w:pPr>
    </w:p>
    <w:p w14:paraId="2448434D">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34AB57F">
      <w:pPr>
        <w:spacing w:line="360" w:lineRule="auto"/>
        <w:ind w:firstLine="435"/>
        <w:rPr>
          <w:rFonts w:ascii="宋体" w:hAnsi="宋体" w:cs="宋体"/>
          <w:color w:val="000000" w:themeColor="text1"/>
          <w:sz w:val="24"/>
          <w:highlight w:val="none"/>
          <w14:textFill>
            <w14:solidFill>
              <w14:schemeClr w14:val="tx1"/>
            </w14:solidFill>
          </w14:textFill>
        </w:rPr>
      </w:pPr>
    </w:p>
    <w:p w14:paraId="6421786A">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73156BF3">
      <w:pPr>
        <w:spacing w:line="360" w:lineRule="auto"/>
        <w:ind w:firstLine="435"/>
        <w:rPr>
          <w:rFonts w:ascii="宋体" w:hAnsi="宋体" w:cs="宋体"/>
          <w:color w:val="000000" w:themeColor="text1"/>
          <w:sz w:val="24"/>
          <w:highlight w:val="none"/>
          <w:u w:val="single"/>
          <w14:textFill>
            <w14:solidFill>
              <w14:schemeClr w14:val="tx1"/>
            </w14:solidFill>
          </w14:textFill>
        </w:rPr>
      </w:pPr>
    </w:p>
    <w:p w14:paraId="17DB3A46">
      <w:pPr>
        <w:pStyle w:val="16"/>
        <w:rPr>
          <w:color w:val="000000" w:themeColor="text1"/>
          <w:highlight w:val="none"/>
          <w14:textFill>
            <w14:solidFill>
              <w14:schemeClr w14:val="tx1"/>
            </w14:solidFill>
          </w14:textFill>
        </w:rPr>
      </w:pPr>
    </w:p>
    <w:p w14:paraId="50573F9C">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4</w:t>
      </w:r>
    </w:p>
    <w:p w14:paraId="3E3015A5">
      <w:pPr>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350M数字集群基站运维</w:t>
      </w:r>
    </w:p>
    <w:p w14:paraId="55BB29D7">
      <w:pPr>
        <w:spacing w:line="360" w:lineRule="auto"/>
        <w:ind w:right="-110"/>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 xml:space="preserve"> </w:t>
      </w:r>
    </w:p>
    <w:p w14:paraId="08410137">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HQ-YHZFCG-2025-0103</w:t>
      </w:r>
      <w:r>
        <w:rPr>
          <w:rFonts w:hint="eastAsia" w:ascii="宋体" w:hAnsi="宋体" w:cs="宋体"/>
          <w:color w:val="000000" w:themeColor="text1"/>
          <w:sz w:val="36"/>
          <w:szCs w:val="36"/>
          <w:highlight w:val="none"/>
          <w14:textFill>
            <w14:solidFill>
              <w14:schemeClr w14:val="tx1"/>
            </w14:solidFill>
          </w14:textFill>
        </w:rPr>
        <w:t xml:space="preserve"> </w:t>
      </w:r>
    </w:p>
    <w:p w14:paraId="40D841DE">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4363C5E7">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65AC0A1B">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140C89D3">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4010193A">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44A49B0A">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报价</w:t>
      </w:r>
      <w:r>
        <w:rPr>
          <w:rFonts w:hint="eastAsia" w:ascii="宋体" w:hAnsi="宋体" w:cs="宋体"/>
          <w:bCs/>
          <w:color w:val="000000" w:themeColor="text1"/>
          <w:sz w:val="24"/>
          <w:highlight w:val="none"/>
          <w:lang w:val="zh-CN"/>
          <w14:textFill>
            <w14:solidFill>
              <w14:schemeClr w14:val="tx1"/>
            </w14:solidFill>
          </w14:textFill>
        </w:rPr>
        <w:t>文件</w:t>
      </w:r>
      <w:r>
        <w:rPr>
          <w:rFonts w:hint="eastAsia" w:ascii="宋体" w:hAnsi="宋体" w:cs="宋体"/>
          <w:b/>
          <w:color w:val="000000" w:themeColor="text1"/>
          <w:spacing w:val="40"/>
          <w:sz w:val="28"/>
          <w:szCs w:val="28"/>
          <w:highlight w:val="none"/>
          <w14:textFill>
            <w14:solidFill>
              <w14:schemeClr w14:val="tx1"/>
            </w14:solidFill>
          </w14:textFill>
        </w:rPr>
        <w:t>）</w:t>
      </w:r>
    </w:p>
    <w:p w14:paraId="79DCA7B8">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211B3CED">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2CFD05F9">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01DAEBF1">
      <w:pPr>
        <w:spacing w:line="360" w:lineRule="auto"/>
        <w:jc w:val="center"/>
        <w:rPr>
          <w:rFonts w:ascii="宋体" w:hAnsi="宋体" w:cs="宋体"/>
          <w:b/>
          <w:color w:val="000000" w:themeColor="text1"/>
          <w:sz w:val="36"/>
          <w:szCs w:val="36"/>
          <w:highlight w:val="none"/>
          <w14:textFill>
            <w14:solidFill>
              <w14:schemeClr w14:val="tx1"/>
            </w14:solidFill>
          </w14:textFill>
        </w:rPr>
      </w:pPr>
    </w:p>
    <w:p w14:paraId="7F4F6184">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35D0D66">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报价文件目录</w:t>
      </w:r>
    </w:p>
    <w:p w14:paraId="43D7D30D">
      <w:pPr>
        <w:spacing w:line="360" w:lineRule="auto"/>
        <w:rPr>
          <w:rFonts w:ascii="宋体" w:hAnsi="宋体" w:cs="宋体"/>
          <w:color w:val="000000" w:themeColor="text1"/>
          <w:sz w:val="24"/>
          <w:highlight w:val="none"/>
          <w14:textFill>
            <w14:solidFill>
              <w14:schemeClr w14:val="tx1"/>
            </w14:solidFill>
          </w14:textFill>
        </w:rPr>
      </w:pPr>
    </w:p>
    <w:p w14:paraId="49C88120">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1、开标一览表（附件1</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w:t>
      </w:r>
    </w:p>
    <w:p w14:paraId="2C0E7594">
      <w:pPr>
        <w:pStyle w:val="22"/>
        <w:snapToGrid w:val="0"/>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2、报价明细表（附件16）；</w:t>
      </w:r>
    </w:p>
    <w:p w14:paraId="41C17726">
      <w:pPr>
        <w:pStyle w:val="22"/>
        <w:snapToGrid w:val="0"/>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3、针对报价投标人认为其他需要说明的；</w:t>
      </w:r>
    </w:p>
    <w:p w14:paraId="3604B21D">
      <w:pPr>
        <w:pStyle w:val="22"/>
        <w:snapToGrid w:val="0"/>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4、产品适用政府采购政策情况表（附件20）。</w:t>
      </w:r>
    </w:p>
    <w:p w14:paraId="6D31DD0C">
      <w:pPr>
        <w:spacing w:line="360" w:lineRule="auto"/>
        <w:rPr>
          <w:rFonts w:ascii="宋体" w:hAnsi="宋体" w:cs="宋体"/>
          <w:b/>
          <w:color w:val="000000" w:themeColor="text1"/>
          <w:sz w:val="24"/>
          <w:highlight w:val="none"/>
          <w14:textFill>
            <w14:solidFill>
              <w14:schemeClr w14:val="tx1"/>
            </w14:solidFill>
          </w14:textFill>
        </w:rPr>
      </w:pPr>
    </w:p>
    <w:p w14:paraId="2CF9FF62">
      <w:pPr>
        <w:spacing w:line="360" w:lineRule="auto"/>
        <w:ind w:left="480"/>
        <w:rPr>
          <w:rFonts w:ascii="宋体" w:hAnsi="宋体" w:cs="宋体"/>
          <w:b/>
          <w:color w:val="000000" w:themeColor="text1"/>
          <w:sz w:val="28"/>
          <w:highlight w:val="none"/>
          <w14:textFill>
            <w14:solidFill>
              <w14:schemeClr w14:val="tx1"/>
            </w14:solidFill>
          </w14:textFill>
        </w:rPr>
      </w:pPr>
    </w:p>
    <w:p w14:paraId="0DC72D58">
      <w:pPr>
        <w:spacing w:line="360" w:lineRule="auto"/>
        <w:ind w:left="480"/>
        <w:rPr>
          <w:rFonts w:ascii="宋体" w:hAnsi="宋体" w:cs="宋体"/>
          <w:b/>
          <w:color w:val="000000" w:themeColor="text1"/>
          <w:sz w:val="28"/>
          <w:highlight w:val="none"/>
          <w14:textFill>
            <w14:solidFill>
              <w14:schemeClr w14:val="tx1"/>
            </w14:solidFill>
          </w14:textFill>
        </w:rPr>
      </w:pPr>
    </w:p>
    <w:p w14:paraId="2D233B2C">
      <w:pPr>
        <w:spacing w:line="360" w:lineRule="auto"/>
        <w:ind w:left="480"/>
        <w:rPr>
          <w:rFonts w:ascii="宋体" w:hAnsi="宋体" w:cs="宋体"/>
          <w:b/>
          <w:color w:val="000000" w:themeColor="text1"/>
          <w:sz w:val="28"/>
          <w:highlight w:val="none"/>
          <w14:textFill>
            <w14:solidFill>
              <w14:schemeClr w14:val="tx1"/>
            </w14:solidFill>
          </w14:textFill>
        </w:rPr>
      </w:pPr>
    </w:p>
    <w:p w14:paraId="3BA1D549">
      <w:pPr>
        <w:spacing w:line="360" w:lineRule="auto"/>
        <w:ind w:left="480"/>
        <w:rPr>
          <w:rFonts w:ascii="宋体" w:hAnsi="宋体" w:cs="宋体"/>
          <w:b/>
          <w:color w:val="000000" w:themeColor="text1"/>
          <w:sz w:val="28"/>
          <w:highlight w:val="none"/>
          <w14:textFill>
            <w14:solidFill>
              <w14:schemeClr w14:val="tx1"/>
            </w14:solidFill>
          </w14:textFill>
        </w:rPr>
      </w:pPr>
    </w:p>
    <w:p w14:paraId="4A80243D">
      <w:pPr>
        <w:spacing w:line="360" w:lineRule="auto"/>
        <w:ind w:left="480"/>
        <w:rPr>
          <w:rFonts w:ascii="宋体" w:hAnsi="宋体" w:cs="宋体"/>
          <w:b/>
          <w:color w:val="000000" w:themeColor="text1"/>
          <w:sz w:val="28"/>
          <w:highlight w:val="none"/>
          <w14:textFill>
            <w14:solidFill>
              <w14:schemeClr w14:val="tx1"/>
            </w14:solidFill>
          </w14:textFill>
        </w:rPr>
      </w:pPr>
    </w:p>
    <w:p w14:paraId="30FB2662">
      <w:pPr>
        <w:spacing w:line="360" w:lineRule="auto"/>
        <w:ind w:left="480"/>
        <w:rPr>
          <w:rFonts w:ascii="宋体" w:hAnsi="宋体" w:cs="宋体"/>
          <w:b/>
          <w:color w:val="000000" w:themeColor="text1"/>
          <w:sz w:val="28"/>
          <w:highlight w:val="none"/>
          <w14:textFill>
            <w14:solidFill>
              <w14:schemeClr w14:val="tx1"/>
            </w14:solidFill>
          </w14:textFill>
        </w:rPr>
      </w:pPr>
    </w:p>
    <w:p w14:paraId="2DFC387F">
      <w:pPr>
        <w:spacing w:line="360" w:lineRule="auto"/>
        <w:ind w:left="480"/>
        <w:rPr>
          <w:rFonts w:ascii="宋体" w:hAnsi="宋体" w:cs="宋体"/>
          <w:b/>
          <w:color w:val="000000" w:themeColor="text1"/>
          <w:sz w:val="28"/>
          <w:highlight w:val="none"/>
          <w14:textFill>
            <w14:solidFill>
              <w14:schemeClr w14:val="tx1"/>
            </w14:solidFill>
          </w14:textFill>
        </w:rPr>
      </w:pPr>
    </w:p>
    <w:p w14:paraId="40103122">
      <w:pPr>
        <w:pStyle w:val="113"/>
        <w:rPr>
          <w:color w:val="000000" w:themeColor="text1"/>
          <w:highlight w:val="none"/>
          <w14:textFill>
            <w14:solidFill>
              <w14:schemeClr w14:val="tx1"/>
            </w14:solidFill>
          </w14:textFill>
        </w:rPr>
      </w:pPr>
    </w:p>
    <w:p w14:paraId="4839CCC1">
      <w:pPr>
        <w:pStyle w:val="113"/>
        <w:rPr>
          <w:rFonts w:cs="宋体"/>
          <w:b/>
          <w:color w:val="000000" w:themeColor="text1"/>
          <w:sz w:val="28"/>
          <w:highlight w:val="none"/>
          <w14:textFill>
            <w14:solidFill>
              <w14:schemeClr w14:val="tx1"/>
            </w14:solidFill>
          </w14:textFill>
        </w:rPr>
      </w:pPr>
    </w:p>
    <w:p w14:paraId="6C70D510">
      <w:pPr>
        <w:pStyle w:val="113"/>
        <w:rPr>
          <w:color w:val="000000" w:themeColor="text1"/>
          <w:highlight w:val="none"/>
          <w14:textFill>
            <w14:solidFill>
              <w14:schemeClr w14:val="tx1"/>
            </w14:solidFill>
          </w14:textFill>
        </w:rPr>
      </w:pPr>
    </w:p>
    <w:p w14:paraId="3FAAB58F">
      <w:pPr>
        <w:pStyle w:val="113"/>
        <w:rPr>
          <w:color w:val="000000" w:themeColor="text1"/>
          <w:highlight w:val="none"/>
          <w14:textFill>
            <w14:solidFill>
              <w14:schemeClr w14:val="tx1"/>
            </w14:solidFill>
          </w14:textFill>
        </w:rPr>
      </w:pPr>
    </w:p>
    <w:p w14:paraId="1303F469">
      <w:pPr>
        <w:pStyle w:val="113"/>
        <w:rPr>
          <w:color w:val="000000" w:themeColor="text1"/>
          <w:highlight w:val="none"/>
          <w14:textFill>
            <w14:solidFill>
              <w14:schemeClr w14:val="tx1"/>
            </w14:solidFill>
          </w14:textFill>
        </w:rPr>
      </w:pPr>
    </w:p>
    <w:p w14:paraId="19C4223C">
      <w:pPr>
        <w:pStyle w:val="113"/>
        <w:rPr>
          <w:color w:val="000000" w:themeColor="text1"/>
          <w:highlight w:val="none"/>
          <w14:textFill>
            <w14:solidFill>
              <w14:schemeClr w14:val="tx1"/>
            </w14:solidFill>
          </w14:textFill>
        </w:rPr>
      </w:pPr>
    </w:p>
    <w:p w14:paraId="14621338">
      <w:pPr>
        <w:pStyle w:val="113"/>
        <w:rPr>
          <w:color w:val="000000" w:themeColor="text1"/>
          <w:highlight w:val="none"/>
          <w14:textFill>
            <w14:solidFill>
              <w14:schemeClr w14:val="tx1"/>
            </w14:solidFill>
          </w14:textFill>
        </w:rPr>
      </w:pPr>
    </w:p>
    <w:p w14:paraId="11880065">
      <w:pPr>
        <w:pStyle w:val="113"/>
        <w:rPr>
          <w:color w:val="000000" w:themeColor="text1"/>
          <w:highlight w:val="none"/>
          <w14:textFill>
            <w14:solidFill>
              <w14:schemeClr w14:val="tx1"/>
            </w14:solidFill>
          </w14:textFill>
        </w:rPr>
      </w:pPr>
    </w:p>
    <w:p w14:paraId="2983ED3F">
      <w:pPr>
        <w:pStyle w:val="113"/>
        <w:rPr>
          <w:color w:val="000000" w:themeColor="text1"/>
          <w:highlight w:val="none"/>
          <w14:textFill>
            <w14:solidFill>
              <w14:schemeClr w14:val="tx1"/>
            </w14:solidFill>
          </w14:textFill>
        </w:rPr>
      </w:pPr>
    </w:p>
    <w:p w14:paraId="45315976">
      <w:pPr>
        <w:pStyle w:val="113"/>
        <w:rPr>
          <w:color w:val="000000" w:themeColor="text1"/>
          <w:highlight w:val="none"/>
          <w14:textFill>
            <w14:solidFill>
              <w14:schemeClr w14:val="tx1"/>
            </w14:solidFill>
          </w14:textFill>
        </w:rPr>
      </w:pPr>
    </w:p>
    <w:p w14:paraId="1141D9F7">
      <w:pPr>
        <w:pStyle w:val="113"/>
        <w:rPr>
          <w:color w:val="000000" w:themeColor="text1"/>
          <w:highlight w:val="none"/>
          <w14:textFill>
            <w14:solidFill>
              <w14:schemeClr w14:val="tx1"/>
            </w14:solidFill>
          </w14:textFill>
        </w:rPr>
      </w:pPr>
    </w:p>
    <w:p w14:paraId="265380E5">
      <w:pPr>
        <w:pStyle w:val="113"/>
        <w:rPr>
          <w:color w:val="000000" w:themeColor="text1"/>
          <w:highlight w:val="none"/>
          <w14:textFill>
            <w14:solidFill>
              <w14:schemeClr w14:val="tx1"/>
            </w14:solidFill>
          </w14:textFill>
        </w:rPr>
      </w:pPr>
    </w:p>
    <w:p w14:paraId="6C849274">
      <w:pPr>
        <w:pStyle w:val="113"/>
        <w:rPr>
          <w:color w:val="000000" w:themeColor="text1"/>
          <w:highlight w:val="none"/>
          <w14:textFill>
            <w14:solidFill>
              <w14:schemeClr w14:val="tx1"/>
            </w14:solidFill>
          </w14:textFill>
        </w:rPr>
      </w:pPr>
    </w:p>
    <w:p w14:paraId="3839CFFE">
      <w:pPr>
        <w:rPr>
          <w:color w:val="000000" w:themeColor="text1"/>
          <w:highlight w:val="none"/>
          <w14:textFill>
            <w14:solidFill>
              <w14:schemeClr w14:val="tx1"/>
            </w14:solidFill>
          </w14:textFill>
        </w:rPr>
      </w:pPr>
    </w:p>
    <w:p w14:paraId="1CED0B22">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5</w:t>
      </w:r>
    </w:p>
    <w:p w14:paraId="4CD0D23F">
      <w:pP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开标一览表 </w:t>
      </w:r>
    </w:p>
    <w:p w14:paraId="021E8BE3">
      <w:pPr>
        <w:pStyle w:val="20"/>
        <w:spacing w:line="400" w:lineRule="exact"/>
        <w:rPr>
          <w:rFonts w:hAnsi="宋体" w:cs="宋体"/>
          <w:b/>
          <w:color w:val="000000" w:themeColor="text1"/>
          <w:sz w:val="24"/>
          <w:highlight w:val="none"/>
          <w:u w:val="singl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项目编号：</w:t>
      </w:r>
      <w:r>
        <w:rPr>
          <w:rFonts w:hint="eastAsia" w:hAnsi="宋体" w:cs="宋体"/>
          <w:b/>
          <w:color w:val="000000" w:themeColor="text1"/>
          <w:sz w:val="24"/>
          <w:highlight w:val="none"/>
          <w:u w:val="single"/>
          <w14:textFill>
            <w14:solidFill>
              <w14:schemeClr w14:val="tx1"/>
            </w14:solidFill>
          </w14:textFill>
        </w:rPr>
        <w:t xml:space="preserve">               </w:t>
      </w:r>
    </w:p>
    <w:p w14:paraId="68E94480">
      <w:pPr>
        <w:pStyle w:val="88"/>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5"/>
        <w:tblW w:w="9602"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903"/>
        <w:gridCol w:w="3765"/>
        <w:gridCol w:w="1483"/>
      </w:tblGrid>
      <w:tr w14:paraId="6F3C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51" w:type="dxa"/>
            <w:vAlign w:val="center"/>
          </w:tcPr>
          <w:p w14:paraId="57F5D5D1">
            <w:pPr>
              <w:pStyle w:val="20"/>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w:t>
            </w:r>
          </w:p>
        </w:tc>
        <w:tc>
          <w:tcPr>
            <w:tcW w:w="2903" w:type="dxa"/>
            <w:vAlign w:val="center"/>
          </w:tcPr>
          <w:p w14:paraId="0D189250">
            <w:pPr>
              <w:pStyle w:val="20"/>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标项名称</w:t>
            </w:r>
          </w:p>
        </w:tc>
        <w:tc>
          <w:tcPr>
            <w:tcW w:w="3765" w:type="dxa"/>
            <w:vAlign w:val="center"/>
          </w:tcPr>
          <w:p w14:paraId="02B1C34F">
            <w:pPr>
              <w:pStyle w:val="20"/>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投标价（元人民币）</w:t>
            </w:r>
          </w:p>
        </w:tc>
        <w:tc>
          <w:tcPr>
            <w:tcW w:w="1483" w:type="dxa"/>
            <w:vAlign w:val="center"/>
          </w:tcPr>
          <w:p w14:paraId="789E62AC">
            <w:pPr>
              <w:pStyle w:val="20"/>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最高限价（元）</w:t>
            </w:r>
          </w:p>
        </w:tc>
      </w:tr>
      <w:tr w14:paraId="6C9A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451" w:type="dxa"/>
            <w:vAlign w:val="center"/>
          </w:tcPr>
          <w:p w14:paraId="77006F18">
            <w:pPr>
              <w:pStyle w:val="20"/>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标项一</w:t>
            </w:r>
          </w:p>
        </w:tc>
        <w:tc>
          <w:tcPr>
            <w:tcW w:w="2903" w:type="dxa"/>
            <w:vAlign w:val="center"/>
          </w:tcPr>
          <w:p w14:paraId="66B2E5C6">
            <w:pPr>
              <w:pStyle w:val="20"/>
              <w:rPr>
                <w:rFonts w:hint="eastAsia" w:hAnsi="宋体" w:eastAsia="宋体" w:cs="宋体"/>
                <w:color w:val="000000" w:themeColor="text1"/>
                <w:sz w:val="24"/>
                <w:highlight w:val="none"/>
                <w:lang w:eastAsia="zh-CN"/>
                <w14:textFill>
                  <w14:solidFill>
                    <w14:schemeClr w14:val="tx1"/>
                  </w14:solidFill>
                </w14:textFill>
              </w:rPr>
            </w:pPr>
            <w:r>
              <w:rPr>
                <w:rFonts w:hint="eastAsia" w:hAnsi="宋体" w:cs="宋体"/>
                <w:color w:val="000000" w:themeColor="text1"/>
                <w:kern w:val="0"/>
                <w:sz w:val="24"/>
                <w:highlight w:val="none"/>
                <w:lang w:eastAsia="zh-CN" w:bidi="ar"/>
                <w14:textFill>
                  <w14:solidFill>
                    <w14:schemeClr w14:val="tx1"/>
                  </w14:solidFill>
                </w14:textFill>
              </w:rPr>
              <w:t>350M数字集群基站运维</w:t>
            </w:r>
          </w:p>
        </w:tc>
        <w:tc>
          <w:tcPr>
            <w:tcW w:w="3765" w:type="dxa"/>
            <w:vAlign w:val="center"/>
          </w:tcPr>
          <w:p w14:paraId="7825D915">
            <w:pPr>
              <w:pStyle w:val="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大写：</w:t>
            </w:r>
          </w:p>
          <w:p w14:paraId="5F05FA01">
            <w:pPr>
              <w:pStyle w:val="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小写：</w:t>
            </w:r>
          </w:p>
        </w:tc>
        <w:tc>
          <w:tcPr>
            <w:tcW w:w="1483" w:type="dxa"/>
            <w:vAlign w:val="center"/>
          </w:tcPr>
          <w:p w14:paraId="0354F07A">
            <w:pPr>
              <w:pStyle w:val="20"/>
              <w:jc w:val="center"/>
              <w:rPr>
                <w:rFonts w:hint="eastAsia" w:hAnsi="宋体" w:eastAsia="宋体" w:cs="宋体"/>
                <w:color w:val="000000" w:themeColor="text1"/>
                <w:sz w:val="24"/>
                <w:highlight w:val="none"/>
                <w:lang w:eastAsia="zh-CN"/>
                <w14:textFill>
                  <w14:solidFill>
                    <w14:schemeClr w14:val="tx1"/>
                  </w14:solidFill>
                </w14:textFill>
              </w:rPr>
            </w:pPr>
            <w:r>
              <w:rPr>
                <w:rFonts w:hint="eastAsia" w:hAnsi="宋体" w:cs="宋体"/>
                <w:color w:val="000000" w:themeColor="text1"/>
                <w:kern w:val="0"/>
                <w:sz w:val="24"/>
                <w:highlight w:val="none"/>
                <w:lang w:eastAsia="zh-CN" w:bidi="ar"/>
                <w14:textFill>
                  <w14:solidFill>
                    <w14:schemeClr w14:val="tx1"/>
                  </w14:solidFill>
                </w14:textFill>
              </w:rPr>
              <w:t>306600</w:t>
            </w:r>
          </w:p>
        </w:tc>
      </w:tr>
    </w:tbl>
    <w:p w14:paraId="72891788">
      <w:pPr>
        <w:spacing w:line="400" w:lineRule="exact"/>
        <w:rPr>
          <w:rFonts w:ascii="宋体" w:hAnsi="宋体" w:cs="宋体"/>
          <w:b/>
          <w:color w:val="000000" w:themeColor="text1"/>
          <w:sz w:val="24"/>
          <w:highlight w:val="none"/>
          <w14:textFill>
            <w14:solidFill>
              <w14:schemeClr w14:val="tx1"/>
            </w14:solidFill>
          </w14:textFill>
        </w:rPr>
      </w:pPr>
    </w:p>
    <w:p w14:paraId="10589F8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填报要求：</w:t>
      </w:r>
    </w:p>
    <w:p w14:paraId="32ED3099">
      <w:pPr>
        <w:pStyle w:val="1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1.总报价是包括货款、标准附件、备品备件、专用工具、包装、运输、装卸、保险、税金、货到就位以及安装、调试、培训、保修、合同包含的所有风险责任等各项费用及不可预见费等所需的全部费用。</w:t>
      </w:r>
    </w:p>
    <w:p w14:paraId="506E31A7">
      <w:pPr>
        <w:spacing w:line="400" w:lineRule="exact"/>
        <w:ind w:firstLine="480" w:firstLineChars="200"/>
        <w:rPr>
          <w:rFonts w:ascii="宋体" w:hAnsi="宋体" w:cs="宋体"/>
          <w:b/>
          <w:i/>
          <w:color w:val="000000" w:themeColor="text1"/>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2.报价一经涂改，应在涂改处加盖单位公章，或者由法定代表人或全权代表签字或盖章，否则作无效标处理。</w:t>
      </w:r>
    </w:p>
    <w:p w14:paraId="2E73A5DE">
      <w:pPr>
        <w:spacing w:line="400" w:lineRule="exact"/>
        <w:ind w:left="420"/>
        <w:rPr>
          <w:rFonts w:ascii="宋体" w:hAnsi="宋体" w:cs="宋体"/>
          <w:color w:val="000000" w:themeColor="text1"/>
          <w:sz w:val="24"/>
          <w:highlight w:val="none"/>
          <w14:textFill>
            <w14:solidFill>
              <w14:schemeClr w14:val="tx1"/>
            </w14:solidFill>
          </w14:textFill>
        </w:rPr>
      </w:pPr>
    </w:p>
    <w:p w14:paraId="25AEF317">
      <w:pPr>
        <w:spacing w:line="400" w:lineRule="exact"/>
        <w:ind w:left="420"/>
        <w:rPr>
          <w:rFonts w:ascii="宋体" w:hAnsi="宋体" w:cs="宋体"/>
          <w:color w:val="000000" w:themeColor="text1"/>
          <w:sz w:val="24"/>
          <w:highlight w:val="none"/>
          <w14:textFill>
            <w14:solidFill>
              <w14:schemeClr w14:val="tx1"/>
            </w14:solidFill>
          </w14:textFill>
        </w:rPr>
      </w:pPr>
    </w:p>
    <w:p w14:paraId="43B09119">
      <w:pPr>
        <w:spacing w:line="400" w:lineRule="exact"/>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67BB3A74">
      <w:pPr>
        <w:spacing w:line="400" w:lineRule="exact"/>
        <w:ind w:left="420"/>
        <w:rPr>
          <w:rFonts w:ascii="宋体" w:hAnsi="宋体" w:cs="宋体"/>
          <w:color w:val="000000" w:themeColor="text1"/>
          <w:sz w:val="24"/>
          <w:highlight w:val="none"/>
          <w14:textFill>
            <w14:solidFill>
              <w14:schemeClr w14:val="tx1"/>
            </w14:solidFill>
          </w14:textFill>
        </w:rPr>
      </w:pPr>
    </w:p>
    <w:p w14:paraId="14BE7432">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投标供应商代表签字或盖章：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697C65E6">
      <w:pPr>
        <w:spacing w:line="400" w:lineRule="exact"/>
        <w:ind w:firstLine="435"/>
        <w:rPr>
          <w:rFonts w:ascii="宋体" w:hAnsi="宋体" w:cs="宋体"/>
          <w:color w:val="000000" w:themeColor="text1"/>
          <w:sz w:val="24"/>
          <w:highlight w:val="none"/>
          <w14:textFill>
            <w14:solidFill>
              <w14:schemeClr w14:val="tx1"/>
            </w14:solidFill>
          </w14:textFill>
        </w:rPr>
      </w:pPr>
    </w:p>
    <w:p w14:paraId="645E0A2F">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06B9A0EB">
      <w:pPr>
        <w:spacing w:line="400" w:lineRule="exact"/>
        <w:ind w:firstLine="435"/>
        <w:rPr>
          <w:rFonts w:ascii="宋体" w:hAnsi="宋体" w:cs="宋体"/>
          <w:color w:val="000000" w:themeColor="text1"/>
          <w:sz w:val="24"/>
          <w:highlight w:val="none"/>
          <w14:textFill>
            <w14:solidFill>
              <w14:schemeClr w14:val="tx1"/>
            </w14:solidFill>
          </w14:textFill>
        </w:rPr>
      </w:pPr>
    </w:p>
    <w:p w14:paraId="1A5F03CE">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4A21C4A9">
      <w:pPr>
        <w:adjustRightInd w:val="0"/>
        <w:snapToGrid w:val="0"/>
        <w:spacing w:line="400" w:lineRule="exact"/>
        <w:ind w:right="480"/>
        <w:jc w:val="center"/>
        <w:rPr>
          <w:rFonts w:ascii="宋体" w:hAnsi="宋体" w:cs="宋体"/>
          <w:color w:val="000000" w:themeColor="text1"/>
          <w:kern w:val="0"/>
          <w:sz w:val="24"/>
          <w:highlight w:val="none"/>
          <w:lang w:val="zh-CN"/>
          <w14:textFill>
            <w14:solidFill>
              <w14:schemeClr w14:val="tx1"/>
            </w14:solidFill>
          </w14:textFill>
        </w:rPr>
      </w:pPr>
    </w:p>
    <w:p w14:paraId="015786C8">
      <w:pPr>
        <w:widowControl/>
        <w:jc w:val="left"/>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br w:type="page"/>
      </w:r>
    </w:p>
    <w:p w14:paraId="15DA642D">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6</w:t>
      </w:r>
    </w:p>
    <w:p w14:paraId="7641CAB1">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32"/>
          <w:highlight w:val="none"/>
          <w14:textFill>
            <w14:solidFill>
              <w14:schemeClr w14:val="tx1"/>
            </w14:solidFill>
          </w14:textFill>
        </w:rPr>
        <w:t>报价明细表</w:t>
      </w:r>
      <w:r>
        <w:rPr>
          <w:rFonts w:hint="eastAsia" w:ascii="宋体" w:hAnsi="宋体" w:cs="宋体"/>
          <w:color w:val="000000" w:themeColor="text1"/>
          <w:sz w:val="24"/>
          <w:highlight w:val="none"/>
          <w14:textFill>
            <w14:solidFill>
              <w14:schemeClr w14:val="tx1"/>
            </w14:solidFill>
          </w14:textFill>
        </w:rPr>
        <w:t xml:space="preserve">                                                                    </w:t>
      </w:r>
    </w:p>
    <w:p w14:paraId="5509E46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892"/>
        <w:gridCol w:w="1531"/>
        <w:gridCol w:w="1"/>
        <w:gridCol w:w="1530"/>
        <w:gridCol w:w="1531"/>
        <w:gridCol w:w="1534"/>
      </w:tblGrid>
      <w:tr w14:paraId="2E1C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70" w:type="dxa"/>
            <w:vAlign w:val="center"/>
          </w:tcPr>
          <w:p w14:paraId="778CC5B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92" w:type="dxa"/>
            <w:vAlign w:val="center"/>
          </w:tcPr>
          <w:p w14:paraId="6E891BEC">
            <w:pPr>
              <w:tabs>
                <w:tab w:val="left" w:pos="8280"/>
              </w:tabs>
              <w:autoSpaceDE w:val="0"/>
              <w:autoSpaceDN w:val="0"/>
              <w:adjustRightInd w:val="0"/>
              <w:spacing w:line="360" w:lineRule="auto"/>
              <w:ind w:right="2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报价项目</w:t>
            </w:r>
          </w:p>
        </w:tc>
        <w:tc>
          <w:tcPr>
            <w:tcW w:w="1531" w:type="dxa"/>
            <w:vAlign w:val="center"/>
          </w:tcPr>
          <w:p w14:paraId="23B0A8BD">
            <w:pPr>
              <w:spacing w:line="360" w:lineRule="auto"/>
              <w:ind w:left="1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31" w:type="dxa"/>
            <w:gridSpan w:val="2"/>
            <w:vAlign w:val="center"/>
          </w:tcPr>
          <w:p w14:paraId="4B46131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531" w:type="dxa"/>
            <w:vAlign w:val="center"/>
          </w:tcPr>
          <w:p w14:paraId="5A56DDD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小计</w:t>
            </w:r>
          </w:p>
        </w:tc>
        <w:tc>
          <w:tcPr>
            <w:tcW w:w="1534" w:type="dxa"/>
            <w:vAlign w:val="center"/>
          </w:tcPr>
          <w:p w14:paraId="5189CA2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6AA5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170" w:type="dxa"/>
            <w:vAlign w:val="center"/>
          </w:tcPr>
          <w:p w14:paraId="178D74A1">
            <w:pPr>
              <w:keepNext w:val="0"/>
              <w:keepLines w:val="0"/>
              <w:pageBreakBefore w:val="0"/>
              <w:widowControl/>
              <w:kinsoku/>
              <w:wordWrap/>
              <w:overflowPunct/>
              <w:topLinePunct w:val="0"/>
              <w:autoSpaceDE/>
              <w:autoSpaceDN/>
              <w:bidi w:val="0"/>
              <w:adjustRightInd/>
              <w:snapToGrid/>
              <w:spacing w:line="400" w:lineRule="exact"/>
              <w:ind w:firstLine="300" w:firstLineChars="125"/>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892" w:type="dxa"/>
            <w:vAlign w:val="center"/>
          </w:tcPr>
          <w:p w14:paraId="28BFFF3C">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基站载频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运维</w:t>
            </w:r>
          </w:p>
        </w:tc>
        <w:tc>
          <w:tcPr>
            <w:tcW w:w="1531" w:type="dxa"/>
            <w:vAlign w:val="center"/>
          </w:tcPr>
          <w:p w14:paraId="50256F18">
            <w:pPr>
              <w:spacing w:line="360" w:lineRule="auto"/>
              <w:rPr>
                <w:rFonts w:ascii="宋体" w:hAnsi="宋体" w:cs="宋体"/>
                <w:color w:val="000000" w:themeColor="text1"/>
                <w:sz w:val="24"/>
                <w:highlight w:val="none"/>
                <w14:textFill>
                  <w14:solidFill>
                    <w14:schemeClr w14:val="tx1"/>
                  </w14:solidFill>
                </w14:textFill>
              </w:rPr>
            </w:pPr>
          </w:p>
        </w:tc>
        <w:tc>
          <w:tcPr>
            <w:tcW w:w="1531" w:type="dxa"/>
            <w:gridSpan w:val="2"/>
            <w:vAlign w:val="center"/>
          </w:tcPr>
          <w:p w14:paraId="4723BB25">
            <w:pPr>
              <w:spacing w:line="360" w:lineRule="auto"/>
              <w:rPr>
                <w:rFonts w:ascii="宋体" w:hAnsi="宋体" w:cs="宋体"/>
                <w:color w:val="000000" w:themeColor="text1"/>
                <w:sz w:val="24"/>
                <w:highlight w:val="none"/>
                <w14:textFill>
                  <w14:solidFill>
                    <w14:schemeClr w14:val="tx1"/>
                  </w14:solidFill>
                </w14:textFill>
              </w:rPr>
            </w:pPr>
          </w:p>
        </w:tc>
        <w:tc>
          <w:tcPr>
            <w:tcW w:w="1531" w:type="dxa"/>
            <w:vAlign w:val="center"/>
          </w:tcPr>
          <w:p w14:paraId="40CF4299">
            <w:pPr>
              <w:spacing w:line="360" w:lineRule="auto"/>
              <w:rPr>
                <w:rFonts w:ascii="宋体" w:hAnsi="宋体" w:cs="宋体"/>
                <w:color w:val="000000" w:themeColor="text1"/>
                <w:sz w:val="24"/>
                <w:highlight w:val="none"/>
                <w14:textFill>
                  <w14:solidFill>
                    <w14:schemeClr w14:val="tx1"/>
                  </w14:solidFill>
                </w14:textFill>
              </w:rPr>
            </w:pPr>
          </w:p>
        </w:tc>
        <w:tc>
          <w:tcPr>
            <w:tcW w:w="1534" w:type="dxa"/>
            <w:vAlign w:val="center"/>
          </w:tcPr>
          <w:p w14:paraId="6A3ABE59">
            <w:pPr>
              <w:spacing w:line="360" w:lineRule="auto"/>
              <w:rPr>
                <w:rFonts w:ascii="宋体" w:hAnsi="宋体" w:cs="宋体"/>
                <w:color w:val="000000" w:themeColor="text1"/>
                <w:sz w:val="24"/>
                <w:highlight w:val="none"/>
                <w14:textFill>
                  <w14:solidFill>
                    <w14:schemeClr w14:val="tx1"/>
                  </w14:solidFill>
                </w14:textFill>
              </w:rPr>
            </w:pPr>
          </w:p>
        </w:tc>
      </w:tr>
      <w:tr w14:paraId="7FDD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170" w:type="dxa"/>
            <w:vAlign w:val="center"/>
          </w:tcPr>
          <w:p w14:paraId="61103127">
            <w:pPr>
              <w:keepNext w:val="0"/>
              <w:keepLines w:val="0"/>
              <w:pageBreakBefore w:val="0"/>
              <w:widowControl/>
              <w:kinsoku/>
              <w:wordWrap/>
              <w:overflowPunct/>
              <w:topLinePunct w:val="0"/>
              <w:autoSpaceDE/>
              <w:autoSpaceDN/>
              <w:bidi w:val="0"/>
              <w:adjustRightInd/>
              <w:snapToGrid/>
              <w:spacing w:line="400" w:lineRule="exact"/>
              <w:ind w:firstLine="300" w:firstLineChars="125"/>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892" w:type="dxa"/>
            <w:vAlign w:val="center"/>
          </w:tcPr>
          <w:p w14:paraId="453A8A65">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机房租赁</w:t>
            </w:r>
            <w:r>
              <w:rPr>
                <w:rFonts w:hint="eastAsia" w:ascii="宋体" w:hAnsi="宋体" w:eastAsia="宋体" w:cs="宋体"/>
                <w:color w:val="000000" w:themeColor="text1"/>
                <w:kern w:val="0"/>
                <w:sz w:val="24"/>
                <w:szCs w:val="24"/>
                <w:highlight w:val="none"/>
                <w14:textFill>
                  <w14:solidFill>
                    <w14:schemeClr w14:val="tx1"/>
                  </w14:solidFill>
                </w14:textFill>
              </w:rPr>
              <w:t>费</w:t>
            </w:r>
          </w:p>
        </w:tc>
        <w:tc>
          <w:tcPr>
            <w:tcW w:w="1531" w:type="dxa"/>
            <w:vAlign w:val="center"/>
          </w:tcPr>
          <w:p w14:paraId="1F80E589">
            <w:pPr>
              <w:spacing w:line="360" w:lineRule="auto"/>
              <w:rPr>
                <w:rFonts w:ascii="宋体" w:hAnsi="宋体" w:cs="宋体"/>
                <w:color w:val="000000" w:themeColor="text1"/>
                <w:sz w:val="24"/>
                <w:highlight w:val="none"/>
                <w14:textFill>
                  <w14:solidFill>
                    <w14:schemeClr w14:val="tx1"/>
                  </w14:solidFill>
                </w14:textFill>
              </w:rPr>
            </w:pPr>
          </w:p>
        </w:tc>
        <w:tc>
          <w:tcPr>
            <w:tcW w:w="1531" w:type="dxa"/>
            <w:gridSpan w:val="2"/>
            <w:vAlign w:val="center"/>
          </w:tcPr>
          <w:p w14:paraId="2EF28D4A">
            <w:pPr>
              <w:spacing w:line="360" w:lineRule="auto"/>
              <w:rPr>
                <w:rFonts w:ascii="宋体" w:hAnsi="宋体" w:cs="宋体"/>
                <w:color w:val="000000" w:themeColor="text1"/>
                <w:sz w:val="24"/>
                <w:highlight w:val="none"/>
                <w14:textFill>
                  <w14:solidFill>
                    <w14:schemeClr w14:val="tx1"/>
                  </w14:solidFill>
                </w14:textFill>
              </w:rPr>
            </w:pPr>
          </w:p>
        </w:tc>
        <w:tc>
          <w:tcPr>
            <w:tcW w:w="1531" w:type="dxa"/>
            <w:vAlign w:val="center"/>
          </w:tcPr>
          <w:p w14:paraId="2A232587">
            <w:pPr>
              <w:spacing w:line="360" w:lineRule="auto"/>
              <w:rPr>
                <w:rFonts w:ascii="宋体" w:hAnsi="宋体" w:cs="宋体"/>
                <w:color w:val="000000" w:themeColor="text1"/>
                <w:sz w:val="24"/>
                <w:highlight w:val="none"/>
                <w14:textFill>
                  <w14:solidFill>
                    <w14:schemeClr w14:val="tx1"/>
                  </w14:solidFill>
                </w14:textFill>
              </w:rPr>
            </w:pPr>
          </w:p>
        </w:tc>
        <w:tc>
          <w:tcPr>
            <w:tcW w:w="1534" w:type="dxa"/>
            <w:vAlign w:val="center"/>
          </w:tcPr>
          <w:p w14:paraId="21637720">
            <w:pPr>
              <w:spacing w:line="360" w:lineRule="auto"/>
              <w:rPr>
                <w:rFonts w:ascii="宋体" w:hAnsi="宋体" w:cs="宋体"/>
                <w:color w:val="000000" w:themeColor="text1"/>
                <w:sz w:val="24"/>
                <w:highlight w:val="none"/>
                <w14:textFill>
                  <w14:solidFill>
                    <w14:schemeClr w14:val="tx1"/>
                  </w14:solidFill>
                </w14:textFill>
              </w:rPr>
            </w:pPr>
          </w:p>
        </w:tc>
      </w:tr>
      <w:tr w14:paraId="634B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0" w:type="dxa"/>
            <w:vAlign w:val="center"/>
          </w:tcPr>
          <w:p w14:paraId="783F08DB">
            <w:pPr>
              <w:keepNext w:val="0"/>
              <w:keepLines w:val="0"/>
              <w:pageBreakBefore w:val="0"/>
              <w:widowControl/>
              <w:kinsoku/>
              <w:wordWrap/>
              <w:overflowPunct/>
              <w:topLinePunct w:val="0"/>
              <w:autoSpaceDE/>
              <w:autoSpaceDN/>
              <w:bidi w:val="0"/>
              <w:adjustRightInd/>
              <w:snapToGrid/>
              <w:spacing w:line="400" w:lineRule="exact"/>
              <w:ind w:firstLine="300" w:firstLineChars="125"/>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892" w:type="dxa"/>
            <w:vAlign w:val="center"/>
          </w:tcPr>
          <w:p w14:paraId="2543B112">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电路租用费</w:t>
            </w:r>
          </w:p>
        </w:tc>
        <w:tc>
          <w:tcPr>
            <w:tcW w:w="1531" w:type="dxa"/>
            <w:vAlign w:val="center"/>
          </w:tcPr>
          <w:p w14:paraId="290B46C8">
            <w:pPr>
              <w:spacing w:line="360" w:lineRule="auto"/>
              <w:rPr>
                <w:rFonts w:ascii="宋体" w:hAnsi="宋体" w:cs="宋体"/>
                <w:color w:val="000000" w:themeColor="text1"/>
                <w:sz w:val="24"/>
                <w:highlight w:val="none"/>
                <w14:textFill>
                  <w14:solidFill>
                    <w14:schemeClr w14:val="tx1"/>
                  </w14:solidFill>
                </w14:textFill>
              </w:rPr>
            </w:pPr>
          </w:p>
        </w:tc>
        <w:tc>
          <w:tcPr>
            <w:tcW w:w="1531" w:type="dxa"/>
            <w:gridSpan w:val="2"/>
            <w:vAlign w:val="center"/>
          </w:tcPr>
          <w:p w14:paraId="30A7254C">
            <w:pPr>
              <w:spacing w:line="360" w:lineRule="auto"/>
              <w:rPr>
                <w:rFonts w:ascii="宋体" w:hAnsi="宋体" w:cs="宋体"/>
                <w:color w:val="000000" w:themeColor="text1"/>
                <w:sz w:val="24"/>
                <w:highlight w:val="none"/>
                <w14:textFill>
                  <w14:solidFill>
                    <w14:schemeClr w14:val="tx1"/>
                  </w14:solidFill>
                </w14:textFill>
              </w:rPr>
            </w:pPr>
          </w:p>
        </w:tc>
        <w:tc>
          <w:tcPr>
            <w:tcW w:w="1531" w:type="dxa"/>
            <w:vAlign w:val="center"/>
          </w:tcPr>
          <w:p w14:paraId="174EA8C2">
            <w:pPr>
              <w:spacing w:line="360" w:lineRule="auto"/>
              <w:rPr>
                <w:rFonts w:ascii="宋体" w:hAnsi="宋体" w:cs="宋体"/>
                <w:color w:val="000000" w:themeColor="text1"/>
                <w:sz w:val="24"/>
                <w:highlight w:val="none"/>
                <w14:textFill>
                  <w14:solidFill>
                    <w14:schemeClr w14:val="tx1"/>
                  </w14:solidFill>
                </w14:textFill>
              </w:rPr>
            </w:pPr>
          </w:p>
        </w:tc>
        <w:tc>
          <w:tcPr>
            <w:tcW w:w="1534" w:type="dxa"/>
            <w:vAlign w:val="center"/>
          </w:tcPr>
          <w:p w14:paraId="3FACCD47">
            <w:pPr>
              <w:spacing w:line="360" w:lineRule="auto"/>
              <w:rPr>
                <w:rFonts w:ascii="宋体" w:hAnsi="宋体" w:cs="宋体"/>
                <w:color w:val="000000" w:themeColor="text1"/>
                <w:sz w:val="24"/>
                <w:highlight w:val="none"/>
                <w14:textFill>
                  <w14:solidFill>
                    <w14:schemeClr w14:val="tx1"/>
                  </w14:solidFill>
                </w14:textFill>
              </w:rPr>
            </w:pPr>
          </w:p>
        </w:tc>
      </w:tr>
      <w:tr w14:paraId="4A65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0" w:type="dxa"/>
            <w:vAlign w:val="center"/>
          </w:tcPr>
          <w:p w14:paraId="7521AC6F">
            <w:pPr>
              <w:keepNext w:val="0"/>
              <w:keepLines w:val="0"/>
              <w:pageBreakBefore w:val="0"/>
              <w:widowControl/>
              <w:kinsoku/>
              <w:wordWrap/>
              <w:overflowPunct/>
              <w:topLinePunct w:val="0"/>
              <w:autoSpaceDE/>
              <w:autoSpaceDN/>
              <w:bidi w:val="0"/>
              <w:adjustRightInd/>
              <w:snapToGrid/>
              <w:spacing w:line="400" w:lineRule="exact"/>
              <w:ind w:firstLine="300" w:firstLineChars="125"/>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1892" w:type="dxa"/>
            <w:vAlign w:val="center"/>
          </w:tcPr>
          <w:p w14:paraId="27E10F8B">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移动基站流量</w:t>
            </w:r>
          </w:p>
        </w:tc>
        <w:tc>
          <w:tcPr>
            <w:tcW w:w="1531" w:type="dxa"/>
            <w:vAlign w:val="center"/>
          </w:tcPr>
          <w:p w14:paraId="55590D93">
            <w:pPr>
              <w:spacing w:line="360" w:lineRule="auto"/>
              <w:rPr>
                <w:rFonts w:ascii="宋体" w:hAnsi="宋体" w:cs="宋体"/>
                <w:color w:val="000000" w:themeColor="text1"/>
                <w:sz w:val="24"/>
                <w:highlight w:val="none"/>
                <w14:textFill>
                  <w14:solidFill>
                    <w14:schemeClr w14:val="tx1"/>
                  </w14:solidFill>
                </w14:textFill>
              </w:rPr>
            </w:pPr>
          </w:p>
        </w:tc>
        <w:tc>
          <w:tcPr>
            <w:tcW w:w="1531" w:type="dxa"/>
            <w:gridSpan w:val="2"/>
            <w:vAlign w:val="center"/>
          </w:tcPr>
          <w:p w14:paraId="546AA8B4">
            <w:pPr>
              <w:spacing w:line="360" w:lineRule="auto"/>
              <w:rPr>
                <w:rFonts w:ascii="宋体" w:hAnsi="宋体" w:cs="宋体"/>
                <w:color w:val="000000" w:themeColor="text1"/>
                <w:sz w:val="24"/>
                <w:highlight w:val="none"/>
                <w14:textFill>
                  <w14:solidFill>
                    <w14:schemeClr w14:val="tx1"/>
                  </w14:solidFill>
                </w14:textFill>
              </w:rPr>
            </w:pPr>
          </w:p>
        </w:tc>
        <w:tc>
          <w:tcPr>
            <w:tcW w:w="1531" w:type="dxa"/>
            <w:vAlign w:val="center"/>
          </w:tcPr>
          <w:p w14:paraId="1AD6D53D">
            <w:pPr>
              <w:spacing w:line="360" w:lineRule="auto"/>
              <w:rPr>
                <w:rFonts w:ascii="宋体" w:hAnsi="宋体" w:cs="宋体"/>
                <w:color w:val="000000" w:themeColor="text1"/>
                <w:sz w:val="24"/>
                <w:highlight w:val="none"/>
                <w14:textFill>
                  <w14:solidFill>
                    <w14:schemeClr w14:val="tx1"/>
                  </w14:solidFill>
                </w14:textFill>
              </w:rPr>
            </w:pPr>
          </w:p>
        </w:tc>
        <w:tc>
          <w:tcPr>
            <w:tcW w:w="1534" w:type="dxa"/>
            <w:vAlign w:val="center"/>
          </w:tcPr>
          <w:p w14:paraId="3EBF4274">
            <w:pPr>
              <w:spacing w:line="360" w:lineRule="auto"/>
              <w:rPr>
                <w:rFonts w:ascii="宋体" w:hAnsi="宋体" w:cs="宋体"/>
                <w:color w:val="000000" w:themeColor="text1"/>
                <w:sz w:val="24"/>
                <w:highlight w:val="none"/>
                <w14:textFill>
                  <w14:solidFill>
                    <w14:schemeClr w14:val="tx1"/>
                  </w14:solidFill>
                </w14:textFill>
              </w:rPr>
            </w:pPr>
          </w:p>
        </w:tc>
      </w:tr>
      <w:tr w14:paraId="3FC2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594" w:type="dxa"/>
            <w:gridSpan w:val="4"/>
            <w:vAlign w:val="center"/>
          </w:tcPr>
          <w:p w14:paraId="3214EF4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总价</w:t>
            </w:r>
          </w:p>
        </w:tc>
        <w:tc>
          <w:tcPr>
            <w:tcW w:w="4595" w:type="dxa"/>
            <w:gridSpan w:val="3"/>
            <w:vAlign w:val="center"/>
          </w:tcPr>
          <w:p w14:paraId="5804F724">
            <w:pPr>
              <w:spacing w:line="360" w:lineRule="auto"/>
              <w:rPr>
                <w:rFonts w:ascii="宋体" w:hAnsi="宋体" w:cs="宋体"/>
                <w:color w:val="000000" w:themeColor="text1"/>
                <w:sz w:val="24"/>
                <w:highlight w:val="none"/>
                <w14:textFill>
                  <w14:solidFill>
                    <w14:schemeClr w14:val="tx1"/>
                  </w14:solidFill>
                </w14:textFill>
              </w:rPr>
            </w:pPr>
          </w:p>
        </w:tc>
      </w:tr>
    </w:tbl>
    <w:p w14:paraId="57776969">
      <w:pPr>
        <w:pStyle w:val="1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p>
    <w:p w14:paraId="53CE5508">
      <w:pPr>
        <w:pStyle w:val="1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说明：</w:t>
      </w:r>
    </w:p>
    <w:p w14:paraId="7B990343">
      <w:pPr>
        <w:pStyle w:val="10"/>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1.本表为《开标一览表》的报价明细表，如有缺项、漏项，视为投标报价中已包含相关费用，采购人无需另外支付任何费用。</w:t>
      </w:r>
    </w:p>
    <w:p w14:paraId="458760FF">
      <w:pPr>
        <w:pStyle w:val="1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2.“报价明细表”中的报价合计应与“开标一览表”中的投标总报价相一致，不一致时，以开标一览表为准。</w:t>
      </w:r>
    </w:p>
    <w:p w14:paraId="5325C2FF">
      <w:pPr>
        <w:spacing w:line="400" w:lineRule="exact"/>
        <w:ind w:left="420"/>
        <w:rPr>
          <w:rFonts w:ascii="宋体" w:hAnsi="宋体" w:cs="宋体"/>
          <w:color w:val="000000" w:themeColor="text1"/>
          <w:sz w:val="24"/>
          <w:highlight w:val="none"/>
          <w14:textFill>
            <w14:solidFill>
              <w14:schemeClr w14:val="tx1"/>
            </w14:solidFill>
          </w14:textFill>
        </w:rPr>
      </w:pPr>
    </w:p>
    <w:p w14:paraId="6AB689E0">
      <w:pPr>
        <w:spacing w:line="400" w:lineRule="exact"/>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77D43D06">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2436098A">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4818BE70">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784E9737">
      <w:pPr>
        <w:snapToGrid w:val="0"/>
        <w:spacing w:before="156" w:beforeLines="50" w:after="50" w:line="360" w:lineRule="auto"/>
        <w:rPr>
          <w:rFonts w:ascii="宋体" w:hAnsi="宋体" w:cs="宋体"/>
          <w:b/>
          <w:color w:val="000000" w:themeColor="text1"/>
          <w:sz w:val="24"/>
          <w:highlight w:val="none"/>
          <w14:textFill>
            <w14:solidFill>
              <w14:schemeClr w14:val="tx1"/>
            </w14:solidFill>
          </w14:textFill>
        </w:rPr>
      </w:pPr>
    </w:p>
    <w:p w14:paraId="7A0C1296">
      <w:pPr>
        <w:widowControl/>
        <w:jc w:val="left"/>
        <w:rPr>
          <w:rStyle w:val="115"/>
          <w:rFonts w:ascii="宋体" w:hAnsi="宋体" w:cs="宋体"/>
          <w:b w:val="0"/>
          <w:color w:val="000000" w:themeColor="text1"/>
          <w:sz w:val="24"/>
          <w:highlight w:val="none"/>
          <w14:textFill>
            <w14:solidFill>
              <w14:schemeClr w14:val="tx1"/>
            </w14:solidFill>
          </w14:textFill>
        </w:rPr>
      </w:pPr>
      <w:r>
        <w:rPr>
          <w:rStyle w:val="115"/>
          <w:rFonts w:hint="eastAsia" w:ascii="宋体" w:hAnsi="宋体" w:cs="宋体"/>
          <w:color w:val="000000" w:themeColor="text1"/>
          <w:sz w:val="24"/>
          <w:highlight w:val="none"/>
          <w14:textFill>
            <w14:solidFill>
              <w14:schemeClr w14:val="tx1"/>
            </w14:solidFill>
          </w14:textFill>
        </w:rPr>
        <w:br w:type="page"/>
      </w:r>
    </w:p>
    <w:p w14:paraId="3C31FD34">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附件18</w:t>
      </w:r>
    </w:p>
    <w:p w14:paraId="64CB7F57">
      <w:pPr>
        <w:snapToGrid w:val="0"/>
        <w:spacing w:before="156" w:beforeLines="50" w:after="50" w:line="360" w:lineRule="auto"/>
        <w:jc w:val="center"/>
        <w:rPr>
          <w:b/>
          <w:color w:val="000000" w:themeColor="text1"/>
          <w:sz w:val="36"/>
          <w:highlight w:val="none"/>
          <w14:textFill>
            <w14:solidFill>
              <w14:schemeClr w14:val="tx1"/>
            </w14:solidFill>
          </w14:textFill>
        </w:rPr>
      </w:pPr>
      <w:r>
        <w:rPr>
          <w:b/>
          <w:color w:val="000000" w:themeColor="text1"/>
          <w:sz w:val="36"/>
          <w:highlight w:val="none"/>
          <w14:textFill>
            <w14:solidFill>
              <w14:schemeClr w14:val="tx1"/>
            </w14:solidFill>
          </w14:textFill>
        </w:rPr>
        <w:t>中小企业声明函</w:t>
      </w:r>
      <w:r>
        <w:rPr>
          <w:rFonts w:hint="eastAsia"/>
          <w:b/>
          <w:color w:val="000000" w:themeColor="text1"/>
          <w:sz w:val="36"/>
          <w:highlight w:val="none"/>
          <w14:textFill>
            <w14:solidFill>
              <w14:schemeClr w14:val="tx1"/>
            </w14:solidFill>
          </w14:textFill>
        </w:rPr>
        <w:t>（服务类）</w:t>
      </w:r>
    </w:p>
    <w:p w14:paraId="6DE1296F">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cs="宋体"/>
          <w:color w:val="000000" w:themeColor="text1"/>
          <w:sz w:val="24"/>
          <w:highlight w:val="none"/>
          <w:u w:val="single"/>
          <w14:textFill>
            <w14:solidFill>
              <w14:schemeClr w14:val="tx1"/>
            </w14:solidFill>
          </w14:textFill>
        </w:rPr>
        <w:t>（联合体）</w:t>
      </w:r>
      <w:r>
        <w:rPr>
          <w:rFonts w:hint="eastAsia" w:ascii="宋体" w:hAnsi="宋体" w:cs="宋体"/>
          <w:color w:val="000000" w:themeColor="text1"/>
          <w:sz w:val="24"/>
          <w:highlight w:val="none"/>
          <w14:textFill>
            <w14:solidFill>
              <w14:schemeClr w14:val="tx1"/>
            </w14:solidFill>
          </w14:textFill>
        </w:rPr>
        <w:t>参加</w:t>
      </w:r>
      <w:r>
        <w:rPr>
          <w:rFonts w:hint="eastAsia" w:ascii="宋体" w:hAnsi="宋体" w:cs="宋体"/>
          <w:color w:val="000000" w:themeColor="text1"/>
          <w:sz w:val="24"/>
          <w:highlight w:val="none"/>
          <w:u w:val="single"/>
          <w14:textFill>
            <w14:solidFill>
              <w14:schemeClr w14:val="tx1"/>
            </w14:solidFill>
          </w14:textFill>
        </w:rPr>
        <w:t xml:space="preserve">    （单位名称）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71FF78B0">
      <w:pPr>
        <w:numPr>
          <w:ilvl w:val="0"/>
          <w:numId w:val="18"/>
        </w:num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其他未列明行业</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，属于（中型企业、小型企业、微型企业）；</w:t>
      </w:r>
    </w:p>
    <w:p w14:paraId="70C5F165">
      <w:pPr>
        <w:numPr>
          <w:ilvl w:val="0"/>
          <w:numId w:val="18"/>
        </w:num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，属于其他未列明行业；承建（承接）企业为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，从业人员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 xml:space="preserve">，营业收入为 </w:t>
      </w:r>
      <w:r>
        <w:rPr>
          <w:rFonts w:hint="eastAsia" w:ascii="宋体" w:hAnsi="宋体" w:cs="宋体"/>
          <w:color w:val="000000" w:themeColor="text1"/>
          <w:sz w:val="24"/>
          <w:highlight w:val="none"/>
          <w:u w:val="single"/>
          <w14:textFill>
            <w14:solidFill>
              <w14:schemeClr w14:val="tx1"/>
            </w14:solidFill>
          </w14:textFill>
        </w:rPr>
        <w:t xml:space="preserve">   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 属于（中型企业、小型企业、微型企业）；</w:t>
      </w:r>
    </w:p>
    <w:p w14:paraId="74CA9A76">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B949AEE">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F084BE4">
      <w:pPr>
        <w:spacing w:line="360" w:lineRule="auto"/>
        <w:ind w:left="15" w:firstLine="480" w:firstLineChars="20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w:t>
      </w:r>
      <w:r>
        <w:rPr>
          <w:color w:val="000000" w:themeColor="text1"/>
          <w:sz w:val="24"/>
          <w:highlight w:val="none"/>
          <w14:textFill>
            <w14:solidFill>
              <w14:schemeClr w14:val="tx1"/>
            </w14:solidFill>
          </w14:textFill>
        </w:rPr>
        <w:t>任。</w:t>
      </w:r>
    </w:p>
    <w:p w14:paraId="6C5442D7">
      <w:pPr>
        <w:pStyle w:val="16"/>
        <w:rPr>
          <w:color w:val="000000" w:themeColor="text1"/>
          <w:sz w:val="24"/>
          <w:highlight w:val="none"/>
          <w14:textFill>
            <w14:solidFill>
              <w14:schemeClr w14:val="tx1"/>
            </w14:solidFill>
          </w14:textFill>
        </w:rPr>
      </w:pPr>
    </w:p>
    <w:p w14:paraId="77952A36">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企业名称（盖章）：</w:t>
      </w:r>
    </w:p>
    <w:p w14:paraId="3081606A">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6E5C93A7">
      <w:pPr>
        <w:pStyle w:val="77"/>
        <w:spacing w:line="360" w:lineRule="auto"/>
        <w:rPr>
          <w:color w:val="000000" w:themeColor="text1"/>
          <w:sz w:val="24"/>
          <w:highlight w:val="none"/>
          <w14:textFill>
            <w14:solidFill>
              <w14:schemeClr w14:val="tx1"/>
            </w14:solidFill>
          </w14:textFill>
        </w:rPr>
      </w:pPr>
    </w:p>
    <w:p w14:paraId="70996301">
      <w:pPr>
        <w:pStyle w:val="77"/>
        <w:spacing w:line="360" w:lineRule="auto"/>
        <w:rPr>
          <w:color w:val="000000" w:themeColor="text1"/>
          <w:sz w:val="24"/>
          <w:highlight w:val="none"/>
          <w14:textFill>
            <w14:solidFill>
              <w14:schemeClr w14:val="tx1"/>
            </w14:solidFill>
          </w14:textFill>
        </w:rPr>
      </w:pPr>
    </w:p>
    <w:p w14:paraId="47780896">
      <w:pPr>
        <w:pStyle w:val="77"/>
        <w:spacing w:line="360" w:lineRule="auto"/>
        <w:rPr>
          <w:color w:val="000000" w:themeColor="text1"/>
          <w:sz w:val="24"/>
          <w:highlight w:val="none"/>
          <w14:textFill>
            <w14:solidFill>
              <w14:schemeClr w14:val="tx1"/>
            </w14:solidFill>
          </w14:textFill>
        </w:rPr>
      </w:pPr>
    </w:p>
    <w:p w14:paraId="62EE39A2">
      <w:pPr>
        <w:pStyle w:val="77"/>
        <w:spacing w:line="360" w:lineRule="auto"/>
        <w:rPr>
          <w:rFonts w:ascii="宋体" w:hAnsi="宋体" w:cs="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备注：从业人员、营业收入、资产总额填报上一年度数据，无上一年度数据的新成立企业可不填报。</w:t>
      </w:r>
    </w:p>
    <w:p w14:paraId="6825DF34">
      <w:pPr>
        <w:pStyle w:val="34"/>
        <w:ind w:firstLine="2880" w:firstLineChars="800"/>
        <w:rPr>
          <w:color w:val="000000" w:themeColor="text1"/>
          <w:sz w:val="36"/>
          <w:szCs w:val="36"/>
          <w:highlight w:val="none"/>
          <w:lang w:val="en-GB"/>
          <w14:textFill>
            <w14:solidFill>
              <w14:schemeClr w14:val="tx1"/>
            </w14:solidFill>
          </w14:textFill>
        </w:rPr>
      </w:pPr>
      <w:r>
        <w:rPr>
          <w:rFonts w:hint="eastAsia"/>
          <w:color w:val="000000" w:themeColor="text1"/>
          <w:sz w:val="36"/>
          <w:szCs w:val="36"/>
          <w:highlight w:val="none"/>
          <w:lang w:val="en-GB"/>
          <w14:textFill>
            <w14:solidFill>
              <w14:schemeClr w14:val="tx1"/>
            </w14:solidFill>
          </w14:textFill>
        </w:rPr>
        <w:br w:type="page"/>
      </w:r>
      <w:r>
        <w:rPr>
          <w:rFonts w:hint="eastAsia"/>
          <w:color w:val="000000" w:themeColor="text1"/>
          <w:sz w:val="36"/>
          <w:szCs w:val="36"/>
          <w:highlight w:val="none"/>
          <w:lang w:val="en-GB"/>
          <w14:textFill>
            <w14:solidFill>
              <w14:schemeClr w14:val="tx1"/>
            </w14:solidFill>
          </w14:textFill>
        </w:rPr>
        <w:t>中小企业划型标准规定</w:t>
      </w:r>
    </w:p>
    <w:p w14:paraId="0FF0C88D">
      <w:pPr>
        <w:pStyle w:val="34"/>
        <w:ind w:firstLine="3120" w:firstLineChars="1300"/>
        <w:rPr>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工信部联企业【2011】300 号</w:t>
      </w:r>
    </w:p>
    <w:tbl>
      <w:tblPr>
        <w:tblStyle w:val="35"/>
        <w:tblW w:w="10177" w:type="dxa"/>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5CCFF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Align w:val="center"/>
          </w:tcPr>
          <w:p w14:paraId="234A89F6">
            <w:pPr>
              <w:pStyle w:val="98"/>
              <w:spacing w:before="68"/>
              <w:ind w:left="41" w:right="3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860" w:type="dxa"/>
            <w:vAlign w:val="center"/>
          </w:tcPr>
          <w:p w14:paraId="7D9B79CE">
            <w:pPr>
              <w:pStyle w:val="98"/>
              <w:spacing w:before="68"/>
              <w:ind w:left="10" w:right="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行业</w:t>
            </w:r>
          </w:p>
        </w:tc>
        <w:tc>
          <w:tcPr>
            <w:tcW w:w="2157" w:type="dxa"/>
            <w:vAlign w:val="center"/>
          </w:tcPr>
          <w:p w14:paraId="509CD310">
            <w:pPr>
              <w:pStyle w:val="98"/>
              <w:spacing w:before="68"/>
              <w:ind w:left="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原则</w:t>
            </w:r>
          </w:p>
        </w:tc>
        <w:tc>
          <w:tcPr>
            <w:tcW w:w="5537" w:type="dxa"/>
            <w:gridSpan w:val="2"/>
            <w:vAlign w:val="center"/>
          </w:tcPr>
          <w:p w14:paraId="2B59F723">
            <w:pPr>
              <w:pStyle w:val="98"/>
              <w:spacing w:before="68"/>
              <w:ind w:left="2472" w:right="1107"/>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具体规定</w:t>
            </w:r>
          </w:p>
        </w:tc>
        <w:tc>
          <w:tcPr>
            <w:tcW w:w="1099" w:type="dxa"/>
            <w:vAlign w:val="center"/>
          </w:tcPr>
          <w:p w14:paraId="356AC9E4">
            <w:pPr>
              <w:pStyle w:val="98"/>
              <w:spacing w:before="68"/>
              <w:ind w:left="32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指标</w:t>
            </w:r>
          </w:p>
        </w:tc>
      </w:tr>
      <w:tr w14:paraId="597BD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305B2179">
            <w:pPr>
              <w:pStyle w:val="98"/>
              <w:spacing w:before="7"/>
              <w:rPr>
                <w:b/>
                <w:color w:val="000000" w:themeColor="text1"/>
                <w:sz w:val="24"/>
                <w:highlight w:val="none"/>
                <w14:textFill>
                  <w14:solidFill>
                    <w14:schemeClr w14:val="tx1"/>
                  </w14:solidFill>
                </w14:textFill>
              </w:rPr>
            </w:pPr>
          </w:p>
          <w:p w14:paraId="331FE338">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1</w:t>
            </w:r>
          </w:p>
        </w:tc>
        <w:tc>
          <w:tcPr>
            <w:tcW w:w="860" w:type="dxa"/>
            <w:vMerge w:val="restart"/>
            <w:vAlign w:val="center"/>
          </w:tcPr>
          <w:p w14:paraId="695CA106">
            <w:pPr>
              <w:pStyle w:val="98"/>
              <w:spacing w:before="3"/>
              <w:rPr>
                <w:b/>
                <w:color w:val="000000" w:themeColor="text1"/>
                <w:sz w:val="24"/>
                <w:highlight w:val="none"/>
                <w14:textFill>
                  <w14:solidFill>
                    <w14:schemeClr w14:val="tx1"/>
                  </w14:solidFill>
                </w14:textFill>
              </w:rPr>
            </w:pPr>
          </w:p>
          <w:p w14:paraId="219A6089">
            <w:pPr>
              <w:pStyle w:val="98"/>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农、林、牧、渔业</w:t>
            </w:r>
          </w:p>
        </w:tc>
        <w:tc>
          <w:tcPr>
            <w:tcW w:w="2157" w:type="dxa"/>
            <w:vMerge w:val="restart"/>
            <w:vAlign w:val="center"/>
          </w:tcPr>
          <w:p w14:paraId="3A763D30">
            <w:pPr>
              <w:pStyle w:val="98"/>
              <w:spacing w:before="3"/>
              <w:rPr>
                <w:b/>
                <w:color w:val="000000" w:themeColor="text1"/>
                <w:sz w:val="24"/>
                <w:highlight w:val="none"/>
                <w:lang w:eastAsia="zh-CN"/>
                <w14:textFill>
                  <w14:solidFill>
                    <w14:schemeClr w14:val="tx1"/>
                  </w14:solidFill>
                </w14:textFill>
              </w:rPr>
            </w:pPr>
          </w:p>
          <w:p w14:paraId="651636F9">
            <w:pPr>
              <w:pStyle w:val="98"/>
              <w:spacing w:before="1" w:line="292" w:lineRule="auto"/>
              <w:ind w:left="15" w:right="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20000 万元以下的为中小微型企业</w:t>
            </w:r>
          </w:p>
        </w:tc>
        <w:tc>
          <w:tcPr>
            <w:tcW w:w="1215" w:type="dxa"/>
            <w:vAlign w:val="center"/>
          </w:tcPr>
          <w:p w14:paraId="2047D4D0">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7EBBE7AE">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500 万元及以上的</w:t>
            </w:r>
          </w:p>
        </w:tc>
        <w:tc>
          <w:tcPr>
            <w:tcW w:w="1099" w:type="dxa"/>
            <w:vMerge w:val="restart"/>
            <w:vAlign w:val="center"/>
          </w:tcPr>
          <w:p w14:paraId="09B4004A">
            <w:pPr>
              <w:pStyle w:val="98"/>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w:t>
            </w:r>
          </w:p>
        </w:tc>
      </w:tr>
      <w:tr w14:paraId="17775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EF1E75D">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145D8BE">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F98B18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FDFBDAB">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757C2E59">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 万元及以上的</w:t>
            </w:r>
          </w:p>
        </w:tc>
        <w:tc>
          <w:tcPr>
            <w:tcW w:w="1099" w:type="dxa"/>
            <w:vMerge w:val="continue"/>
            <w:vAlign w:val="center"/>
          </w:tcPr>
          <w:p w14:paraId="380AF575">
            <w:pPr>
              <w:rPr>
                <w:rFonts w:ascii="宋体" w:hAnsi="宋体" w:cs="宋体"/>
                <w:color w:val="000000" w:themeColor="text1"/>
                <w:sz w:val="24"/>
                <w:highlight w:val="none"/>
                <w14:textFill>
                  <w14:solidFill>
                    <w14:schemeClr w14:val="tx1"/>
                  </w14:solidFill>
                </w14:textFill>
              </w:rPr>
            </w:pPr>
          </w:p>
        </w:tc>
      </w:tr>
      <w:tr w14:paraId="6D7D7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94502FC">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7906DB7">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ACDDC1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6818406">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01B2A4F6">
            <w:pPr>
              <w:pStyle w:val="98"/>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50 万元以下的</w:t>
            </w:r>
          </w:p>
        </w:tc>
        <w:tc>
          <w:tcPr>
            <w:tcW w:w="1099" w:type="dxa"/>
            <w:vMerge w:val="continue"/>
            <w:vAlign w:val="center"/>
          </w:tcPr>
          <w:p w14:paraId="3D6F2F7C">
            <w:pPr>
              <w:rPr>
                <w:rFonts w:ascii="宋体" w:hAnsi="宋体" w:cs="宋体"/>
                <w:color w:val="000000" w:themeColor="text1"/>
                <w:sz w:val="24"/>
                <w:highlight w:val="none"/>
                <w14:textFill>
                  <w14:solidFill>
                    <w14:schemeClr w14:val="tx1"/>
                  </w14:solidFill>
                </w14:textFill>
              </w:rPr>
            </w:pPr>
          </w:p>
        </w:tc>
      </w:tr>
      <w:tr w14:paraId="0B1FB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0082C5F3">
            <w:pPr>
              <w:pStyle w:val="98"/>
              <w:spacing w:before="6"/>
              <w:rPr>
                <w:b/>
                <w:color w:val="000000" w:themeColor="text1"/>
                <w:sz w:val="24"/>
                <w:highlight w:val="none"/>
                <w14:textFill>
                  <w14:solidFill>
                    <w14:schemeClr w14:val="tx1"/>
                  </w14:solidFill>
                </w14:textFill>
              </w:rPr>
            </w:pPr>
          </w:p>
          <w:p w14:paraId="33F0A90F">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2</w:t>
            </w:r>
          </w:p>
        </w:tc>
        <w:tc>
          <w:tcPr>
            <w:tcW w:w="860" w:type="dxa"/>
            <w:vMerge w:val="restart"/>
            <w:vAlign w:val="center"/>
          </w:tcPr>
          <w:p w14:paraId="32927D9E">
            <w:pPr>
              <w:pStyle w:val="98"/>
              <w:spacing w:before="11"/>
              <w:rPr>
                <w:b/>
                <w:color w:val="000000" w:themeColor="text1"/>
                <w:sz w:val="24"/>
                <w:highlight w:val="none"/>
                <w14:textFill>
                  <w14:solidFill>
                    <w14:schemeClr w14:val="tx1"/>
                  </w14:solidFill>
                </w14:textFill>
              </w:rPr>
            </w:pPr>
          </w:p>
          <w:p w14:paraId="38E9DB39">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工业</w:t>
            </w:r>
          </w:p>
        </w:tc>
        <w:tc>
          <w:tcPr>
            <w:tcW w:w="2157" w:type="dxa"/>
            <w:vMerge w:val="restart"/>
            <w:vAlign w:val="center"/>
          </w:tcPr>
          <w:p w14:paraId="7E8BDA1B">
            <w:pPr>
              <w:pStyle w:val="98"/>
              <w:spacing w:before="141"/>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40000 万元以下的为中小微型企业</w:t>
            </w:r>
          </w:p>
        </w:tc>
        <w:tc>
          <w:tcPr>
            <w:tcW w:w="1215" w:type="dxa"/>
            <w:vAlign w:val="center"/>
          </w:tcPr>
          <w:p w14:paraId="563B2F66">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379643FB">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1ABACB8D">
            <w:pPr>
              <w:pStyle w:val="98"/>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8106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A011731">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6E39B0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4BF286C">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47E78CD">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02ED017B">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595E7737">
            <w:pPr>
              <w:rPr>
                <w:rFonts w:ascii="宋体" w:hAnsi="宋体" w:cs="宋体"/>
                <w:color w:val="000000" w:themeColor="text1"/>
                <w:sz w:val="24"/>
                <w:highlight w:val="none"/>
                <w14:textFill>
                  <w14:solidFill>
                    <w14:schemeClr w14:val="tx1"/>
                  </w14:solidFill>
                </w14:textFill>
              </w:rPr>
            </w:pPr>
          </w:p>
        </w:tc>
      </w:tr>
      <w:tr w14:paraId="7BB60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4856E7A8">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9020234">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D1B6D7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0444421">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5F6793B">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300 万元以下的</w:t>
            </w:r>
          </w:p>
        </w:tc>
        <w:tc>
          <w:tcPr>
            <w:tcW w:w="1099" w:type="dxa"/>
            <w:vMerge w:val="continue"/>
            <w:vAlign w:val="center"/>
          </w:tcPr>
          <w:p w14:paraId="3B95C512">
            <w:pPr>
              <w:rPr>
                <w:rFonts w:ascii="宋体" w:hAnsi="宋体" w:cs="宋体"/>
                <w:color w:val="000000" w:themeColor="text1"/>
                <w:sz w:val="24"/>
                <w:highlight w:val="none"/>
                <w14:textFill>
                  <w14:solidFill>
                    <w14:schemeClr w14:val="tx1"/>
                  </w14:solidFill>
                </w14:textFill>
              </w:rPr>
            </w:pPr>
          </w:p>
        </w:tc>
      </w:tr>
      <w:tr w14:paraId="66885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vAlign w:val="center"/>
          </w:tcPr>
          <w:p w14:paraId="115BC8E7">
            <w:pPr>
              <w:pStyle w:val="98"/>
              <w:rPr>
                <w:b/>
                <w:color w:val="000000" w:themeColor="text1"/>
                <w:sz w:val="24"/>
                <w:highlight w:val="none"/>
                <w:lang w:eastAsia="zh-CN"/>
                <w14:textFill>
                  <w14:solidFill>
                    <w14:schemeClr w14:val="tx1"/>
                  </w14:solidFill>
                </w14:textFill>
              </w:rPr>
            </w:pPr>
          </w:p>
          <w:p w14:paraId="0936EE4F">
            <w:pPr>
              <w:pStyle w:val="98"/>
              <w:spacing w:before="15"/>
              <w:rPr>
                <w:b/>
                <w:color w:val="000000" w:themeColor="text1"/>
                <w:sz w:val="24"/>
                <w:highlight w:val="none"/>
                <w:lang w:eastAsia="zh-CN"/>
                <w14:textFill>
                  <w14:solidFill>
                    <w14:schemeClr w14:val="tx1"/>
                  </w14:solidFill>
                </w14:textFill>
              </w:rPr>
            </w:pPr>
          </w:p>
          <w:p w14:paraId="1B60FC82">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3</w:t>
            </w:r>
          </w:p>
        </w:tc>
        <w:tc>
          <w:tcPr>
            <w:tcW w:w="860" w:type="dxa"/>
            <w:vMerge w:val="restart"/>
            <w:vAlign w:val="center"/>
          </w:tcPr>
          <w:p w14:paraId="72C3B65B">
            <w:pPr>
              <w:pStyle w:val="98"/>
              <w:rPr>
                <w:b/>
                <w:color w:val="000000" w:themeColor="text1"/>
                <w:sz w:val="24"/>
                <w:highlight w:val="none"/>
                <w14:textFill>
                  <w14:solidFill>
                    <w14:schemeClr w14:val="tx1"/>
                  </w14:solidFill>
                </w14:textFill>
              </w:rPr>
            </w:pPr>
          </w:p>
          <w:p w14:paraId="5937A490">
            <w:pPr>
              <w:pStyle w:val="98"/>
              <w:spacing w:before="2"/>
              <w:rPr>
                <w:b/>
                <w:color w:val="000000" w:themeColor="text1"/>
                <w:sz w:val="24"/>
                <w:highlight w:val="none"/>
                <w14:textFill>
                  <w14:solidFill>
                    <w14:schemeClr w14:val="tx1"/>
                  </w14:solidFill>
                </w14:textFill>
              </w:rPr>
            </w:pPr>
          </w:p>
          <w:p w14:paraId="46B10A8B">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建筑业</w:t>
            </w:r>
          </w:p>
        </w:tc>
        <w:tc>
          <w:tcPr>
            <w:tcW w:w="2157" w:type="dxa"/>
            <w:vMerge w:val="restart"/>
            <w:vAlign w:val="center"/>
          </w:tcPr>
          <w:p w14:paraId="10EE555C">
            <w:pPr>
              <w:pStyle w:val="98"/>
              <w:ind w:left="15"/>
              <w:rPr>
                <w:b/>
                <w:color w:val="000000" w:themeColor="text1"/>
                <w:sz w:val="24"/>
                <w:highlight w:val="none"/>
                <w:lang w:eastAsia="zh-CN"/>
                <w14:textFill>
                  <w14:solidFill>
                    <w14:schemeClr w14:val="tx1"/>
                  </w14:solidFill>
                </w14:textFill>
              </w:rPr>
            </w:pPr>
          </w:p>
          <w:p w14:paraId="224D5C40">
            <w:pPr>
              <w:pStyle w:val="9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80000 万元以下或资产总额 80000 万元以下的为中小微型企业</w:t>
            </w:r>
          </w:p>
        </w:tc>
        <w:tc>
          <w:tcPr>
            <w:tcW w:w="1215" w:type="dxa"/>
            <w:vAlign w:val="center"/>
          </w:tcPr>
          <w:p w14:paraId="0CD8D513">
            <w:pPr>
              <w:pStyle w:val="98"/>
              <w:spacing w:before="2"/>
              <w:rPr>
                <w:b/>
                <w:color w:val="000000" w:themeColor="text1"/>
                <w:sz w:val="24"/>
                <w:highlight w:val="none"/>
                <w:lang w:eastAsia="zh-CN"/>
                <w14:textFill>
                  <w14:solidFill>
                    <w14:schemeClr w14:val="tx1"/>
                  </w14:solidFill>
                </w14:textFill>
              </w:rPr>
            </w:pPr>
          </w:p>
          <w:p w14:paraId="7572FADD">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70EDCA1">
            <w:pPr>
              <w:pStyle w:val="98"/>
              <w:spacing w:before="49"/>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6000</w:t>
            </w:r>
            <w:r>
              <w:rPr>
                <w:rFonts w:hint="eastAsia"/>
                <w:color w:val="000000" w:themeColor="text1"/>
                <w:spacing w:val="-6"/>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8"/>
                <w:sz w:val="24"/>
                <w:highlight w:val="none"/>
                <w:lang w:eastAsia="zh-CN"/>
                <w14:textFill>
                  <w14:solidFill>
                    <w14:schemeClr w14:val="tx1"/>
                  </w14:solidFill>
                </w14:textFill>
              </w:rPr>
              <w:t xml:space="preserve"> 万元及以</w:t>
            </w:r>
          </w:p>
          <w:p w14:paraId="7032FF80">
            <w:pPr>
              <w:pStyle w:val="98"/>
              <w:spacing w:before="56"/>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上的</w:t>
            </w:r>
          </w:p>
        </w:tc>
        <w:tc>
          <w:tcPr>
            <w:tcW w:w="1099" w:type="dxa"/>
            <w:vMerge w:val="restart"/>
            <w:vAlign w:val="center"/>
          </w:tcPr>
          <w:p w14:paraId="6F80CABB">
            <w:pPr>
              <w:pStyle w:val="98"/>
              <w:spacing w:before="2"/>
              <w:rPr>
                <w:b/>
                <w:color w:val="000000" w:themeColor="text1"/>
                <w:sz w:val="24"/>
                <w:highlight w:val="none"/>
                <w14:textFill>
                  <w14:solidFill>
                    <w14:schemeClr w14:val="tx1"/>
                  </w14:solidFill>
                </w14:textFill>
              </w:rPr>
            </w:pPr>
          </w:p>
          <w:p w14:paraId="3AEE643E">
            <w:pPr>
              <w:pStyle w:val="98"/>
              <w:spacing w:line="61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营业收入资产总额</w:t>
            </w:r>
          </w:p>
        </w:tc>
      </w:tr>
      <w:tr w14:paraId="6313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vAlign w:val="center"/>
          </w:tcPr>
          <w:p w14:paraId="18B884EA">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9CFBBA1">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15DF94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D3151A3">
            <w:pPr>
              <w:pStyle w:val="98"/>
              <w:spacing w:before="16"/>
              <w:rPr>
                <w:b/>
                <w:color w:val="000000" w:themeColor="text1"/>
                <w:sz w:val="24"/>
                <w:highlight w:val="none"/>
                <w14:textFill>
                  <w14:solidFill>
                    <w14:schemeClr w14:val="tx1"/>
                  </w14:solidFill>
                </w14:textFill>
              </w:rPr>
            </w:pPr>
          </w:p>
          <w:p w14:paraId="6815DE89">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2A072595">
            <w:pPr>
              <w:pStyle w:val="98"/>
              <w:spacing w:before="45"/>
              <w:ind w:left="15"/>
              <w:rPr>
                <w:color w:val="000000" w:themeColor="text1"/>
                <w:sz w:val="24"/>
                <w:highlight w:val="none"/>
                <w:lang w:eastAsia="zh-CN"/>
                <w14:textFill>
                  <w14:solidFill>
                    <w14:schemeClr w14:val="tx1"/>
                  </w14:solidFill>
                </w14:textFill>
              </w:rPr>
            </w:pPr>
            <w:r>
              <w:rPr>
                <w:rFonts w:hint="eastAsia"/>
                <w:color w:val="000000" w:themeColor="text1"/>
                <w:spacing w:val="-8"/>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7"/>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8"/>
                <w:sz w:val="24"/>
                <w:highlight w:val="none"/>
                <w:lang w:eastAsia="zh-CN"/>
                <w14:textFill>
                  <w14:solidFill>
                    <w14:schemeClr w14:val="tx1"/>
                  </w14:solidFill>
                </w14:textFill>
              </w:rPr>
              <w:t xml:space="preserve"> 万元及以上</w:t>
            </w:r>
          </w:p>
          <w:p w14:paraId="6F39899C">
            <w:pPr>
              <w:pStyle w:val="98"/>
              <w:spacing w:before="55"/>
              <w:ind w:left="15"/>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的</w:t>
            </w:r>
          </w:p>
        </w:tc>
        <w:tc>
          <w:tcPr>
            <w:tcW w:w="1099" w:type="dxa"/>
            <w:vMerge w:val="continue"/>
            <w:vAlign w:val="center"/>
          </w:tcPr>
          <w:p w14:paraId="0D6126A0">
            <w:pPr>
              <w:rPr>
                <w:rFonts w:ascii="宋体" w:hAnsi="宋体" w:cs="宋体"/>
                <w:color w:val="000000" w:themeColor="text1"/>
                <w:sz w:val="24"/>
                <w:highlight w:val="none"/>
                <w14:textFill>
                  <w14:solidFill>
                    <w14:schemeClr w14:val="tx1"/>
                  </w14:solidFill>
                </w14:textFill>
              </w:rPr>
            </w:pPr>
          </w:p>
        </w:tc>
      </w:tr>
      <w:tr w14:paraId="52452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00F4AC88">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58B84E5">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4761478">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0FC0548">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2F634BC9">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300 万元以下或资产总额 300 万元以下的</w:t>
            </w:r>
          </w:p>
        </w:tc>
        <w:tc>
          <w:tcPr>
            <w:tcW w:w="1099" w:type="dxa"/>
            <w:vMerge w:val="continue"/>
            <w:vAlign w:val="center"/>
          </w:tcPr>
          <w:p w14:paraId="0F5F3371">
            <w:pPr>
              <w:rPr>
                <w:rFonts w:ascii="宋体" w:hAnsi="宋体" w:cs="宋体"/>
                <w:color w:val="000000" w:themeColor="text1"/>
                <w:sz w:val="24"/>
                <w:highlight w:val="none"/>
                <w14:textFill>
                  <w14:solidFill>
                    <w14:schemeClr w14:val="tx1"/>
                  </w14:solidFill>
                </w14:textFill>
              </w:rPr>
            </w:pPr>
          </w:p>
        </w:tc>
      </w:tr>
      <w:tr w14:paraId="7ADA2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42BE6D0F">
            <w:pPr>
              <w:pStyle w:val="98"/>
              <w:spacing w:before="7"/>
              <w:rPr>
                <w:b/>
                <w:color w:val="000000" w:themeColor="text1"/>
                <w:sz w:val="24"/>
                <w:highlight w:val="none"/>
                <w:lang w:eastAsia="zh-CN"/>
                <w14:textFill>
                  <w14:solidFill>
                    <w14:schemeClr w14:val="tx1"/>
                  </w14:solidFill>
                </w14:textFill>
              </w:rPr>
            </w:pPr>
          </w:p>
          <w:p w14:paraId="1E6AB6F0">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4</w:t>
            </w:r>
          </w:p>
        </w:tc>
        <w:tc>
          <w:tcPr>
            <w:tcW w:w="860" w:type="dxa"/>
            <w:vMerge w:val="restart"/>
            <w:vAlign w:val="center"/>
          </w:tcPr>
          <w:p w14:paraId="7EF8CA88">
            <w:pPr>
              <w:pStyle w:val="98"/>
              <w:spacing w:before="12"/>
              <w:rPr>
                <w:b/>
                <w:color w:val="000000" w:themeColor="text1"/>
                <w:sz w:val="24"/>
                <w:highlight w:val="none"/>
                <w14:textFill>
                  <w14:solidFill>
                    <w14:schemeClr w14:val="tx1"/>
                  </w14:solidFill>
                </w14:textFill>
              </w:rPr>
            </w:pPr>
          </w:p>
          <w:p w14:paraId="297ED033">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批发业</w:t>
            </w:r>
          </w:p>
        </w:tc>
        <w:tc>
          <w:tcPr>
            <w:tcW w:w="2157" w:type="dxa"/>
            <w:vMerge w:val="restart"/>
            <w:vAlign w:val="center"/>
          </w:tcPr>
          <w:p w14:paraId="0105F3B2">
            <w:pPr>
              <w:pStyle w:val="98"/>
              <w:spacing w:before="142"/>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40000 万元以下的为中小微型企业</w:t>
            </w:r>
          </w:p>
        </w:tc>
        <w:tc>
          <w:tcPr>
            <w:tcW w:w="1215" w:type="dxa"/>
            <w:vAlign w:val="center"/>
          </w:tcPr>
          <w:p w14:paraId="5C62ABDC">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067F99A">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3FDF76B7">
            <w:pPr>
              <w:pStyle w:val="98"/>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5CAF8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E48889C">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FAD8789">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F357BD2">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1DBF417">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4E2FF72A">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2129D3D0">
            <w:pPr>
              <w:rPr>
                <w:rFonts w:ascii="宋体" w:hAnsi="宋体" w:cs="宋体"/>
                <w:color w:val="000000" w:themeColor="text1"/>
                <w:sz w:val="24"/>
                <w:highlight w:val="none"/>
                <w14:textFill>
                  <w14:solidFill>
                    <w14:schemeClr w14:val="tx1"/>
                  </w14:solidFill>
                </w14:textFill>
              </w:rPr>
            </w:pPr>
          </w:p>
        </w:tc>
      </w:tr>
      <w:tr w14:paraId="75EF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54B31F6F">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6C9C2D5">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5445998">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A2DEB92">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EB30139">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5 人以下或营业收入 1000 万元以下的</w:t>
            </w:r>
          </w:p>
        </w:tc>
        <w:tc>
          <w:tcPr>
            <w:tcW w:w="1099" w:type="dxa"/>
            <w:vMerge w:val="continue"/>
            <w:vAlign w:val="center"/>
          </w:tcPr>
          <w:p w14:paraId="6442E8F5">
            <w:pPr>
              <w:rPr>
                <w:rFonts w:ascii="宋体" w:hAnsi="宋体" w:cs="宋体"/>
                <w:color w:val="000000" w:themeColor="text1"/>
                <w:sz w:val="24"/>
                <w:highlight w:val="none"/>
                <w14:textFill>
                  <w14:solidFill>
                    <w14:schemeClr w14:val="tx1"/>
                  </w14:solidFill>
                </w14:textFill>
              </w:rPr>
            </w:pPr>
          </w:p>
        </w:tc>
      </w:tr>
      <w:tr w14:paraId="767FA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0F475229">
            <w:pPr>
              <w:pStyle w:val="98"/>
              <w:spacing w:before="6"/>
              <w:rPr>
                <w:b/>
                <w:color w:val="000000" w:themeColor="text1"/>
                <w:sz w:val="24"/>
                <w:highlight w:val="none"/>
                <w:lang w:eastAsia="zh-CN"/>
                <w14:textFill>
                  <w14:solidFill>
                    <w14:schemeClr w14:val="tx1"/>
                  </w14:solidFill>
                </w14:textFill>
              </w:rPr>
            </w:pPr>
          </w:p>
          <w:p w14:paraId="3E2797E1">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5</w:t>
            </w:r>
          </w:p>
        </w:tc>
        <w:tc>
          <w:tcPr>
            <w:tcW w:w="860" w:type="dxa"/>
            <w:vMerge w:val="restart"/>
            <w:vAlign w:val="center"/>
          </w:tcPr>
          <w:p w14:paraId="0FFA7A4B">
            <w:pPr>
              <w:pStyle w:val="98"/>
              <w:spacing w:before="11"/>
              <w:rPr>
                <w:b/>
                <w:color w:val="000000" w:themeColor="text1"/>
                <w:sz w:val="24"/>
                <w:highlight w:val="none"/>
                <w14:textFill>
                  <w14:solidFill>
                    <w14:schemeClr w14:val="tx1"/>
                  </w14:solidFill>
                </w14:textFill>
              </w:rPr>
            </w:pPr>
          </w:p>
          <w:p w14:paraId="173243C6">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零售业</w:t>
            </w:r>
          </w:p>
        </w:tc>
        <w:tc>
          <w:tcPr>
            <w:tcW w:w="2157" w:type="dxa"/>
            <w:vMerge w:val="restart"/>
            <w:vAlign w:val="center"/>
          </w:tcPr>
          <w:p w14:paraId="7E5EC311">
            <w:pPr>
              <w:pStyle w:val="98"/>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20000 万元以下的为中小微型企业</w:t>
            </w:r>
          </w:p>
        </w:tc>
        <w:tc>
          <w:tcPr>
            <w:tcW w:w="1215" w:type="dxa"/>
            <w:vAlign w:val="center"/>
          </w:tcPr>
          <w:p w14:paraId="146E4F9A">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66F07420">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31A3DDC5">
            <w:pPr>
              <w:pStyle w:val="98"/>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5BF2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A7DAEAE">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2A309DF">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3BEA6D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413AFD1">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624CCEB9">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37A37B54">
            <w:pPr>
              <w:rPr>
                <w:rFonts w:ascii="宋体" w:hAnsi="宋体" w:cs="宋体"/>
                <w:color w:val="000000" w:themeColor="text1"/>
                <w:sz w:val="24"/>
                <w:highlight w:val="none"/>
                <w14:textFill>
                  <w14:solidFill>
                    <w14:schemeClr w14:val="tx1"/>
                  </w14:solidFill>
                </w14:textFill>
              </w:rPr>
            </w:pPr>
          </w:p>
        </w:tc>
      </w:tr>
      <w:tr w14:paraId="7E28F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60C0D09E">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0101A4F">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4CE2B87">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468CA49">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5325301B">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54B350A0">
            <w:pPr>
              <w:rPr>
                <w:rFonts w:ascii="宋体" w:hAnsi="宋体" w:cs="宋体"/>
                <w:color w:val="000000" w:themeColor="text1"/>
                <w:sz w:val="24"/>
                <w:highlight w:val="none"/>
                <w14:textFill>
                  <w14:solidFill>
                    <w14:schemeClr w14:val="tx1"/>
                  </w14:solidFill>
                </w14:textFill>
              </w:rPr>
            </w:pPr>
          </w:p>
        </w:tc>
      </w:tr>
      <w:tr w14:paraId="2CC2C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054AA38A">
            <w:pPr>
              <w:pStyle w:val="98"/>
              <w:spacing w:before="7"/>
              <w:rPr>
                <w:b/>
                <w:color w:val="000000" w:themeColor="text1"/>
                <w:sz w:val="24"/>
                <w:highlight w:val="none"/>
                <w:lang w:eastAsia="zh-CN"/>
                <w14:textFill>
                  <w14:solidFill>
                    <w14:schemeClr w14:val="tx1"/>
                  </w14:solidFill>
                </w14:textFill>
              </w:rPr>
            </w:pPr>
          </w:p>
          <w:p w14:paraId="1B709A69">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6</w:t>
            </w:r>
          </w:p>
        </w:tc>
        <w:tc>
          <w:tcPr>
            <w:tcW w:w="860" w:type="dxa"/>
            <w:vMerge w:val="restart"/>
            <w:vAlign w:val="center"/>
          </w:tcPr>
          <w:p w14:paraId="49E0673D">
            <w:pPr>
              <w:pStyle w:val="98"/>
              <w:spacing w:before="3"/>
              <w:rPr>
                <w:b/>
                <w:color w:val="000000" w:themeColor="text1"/>
                <w:sz w:val="24"/>
                <w:highlight w:val="none"/>
                <w14:textFill>
                  <w14:solidFill>
                    <w14:schemeClr w14:val="tx1"/>
                  </w14:solidFill>
                </w14:textFill>
              </w:rPr>
            </w:pPr>
          </w:p>
          <w:p w14:paraId="40E578BC">
            <w:pPr>
              <w:pStyle w:val="98"/>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交通运输业</w:t>
            </w:r>
          </w:p>
        </w:tc>
        <w:tc>
          <w:tcPr>
            <w:tcW w:w="2157" w:type="dxa"/>
            <w:vMerge w:val="restart"/>
            <w:vAlign w:val="center"/>
          </w:tcPr>
          <w:p w14:paraId="3E559B84">
            <w:pPr>
              <w:pStyle w:val="98"/>
              <w:spacing w:before="142"/>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14:paraId="753BDAE9">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44A132F">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78CEB355">
            <w:pPr>
              <w:pStyle w:val="98"/>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5DA38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481CBD9D">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1A30468">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5ECD17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92D7BBB">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40F08E2C">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678B14A2">
            <w:pPr>
              <w:rPr>
                <w:rFonts w:ascii="宋体" w:hAnsi="宋体" w:cs="宋体"/>
                <w:color w:val="000000" w:themeColor="text1"/>
                <w:sz w:val="24"/>
                <w:highlight w:val="none"/>
                <w14:textFill>
                  <w14:solidFill>
                    <w14:schemeClr w14:val="tx1"/>
                  </w14:solidFill>
                </w14:textFill>
              </w:rPr>
            </w:pPr>
          </w:p>
        </w:tc>
      </w:tr>
      <w:tr w14:paraId="667D3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653A33D8">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4E3CD6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24B730F">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389D859">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2A3D9644">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200 万元以下的</w:t>
            </w:r>
          </w:p>
        </w:tc>
        <w:tc>
          <w:tcPr>
            <w:tcW w:w="1099" w:type="dxa"/>
            <w:vMerge w:val="continue"/>
            <w:vAlign w:val="center"/>
          </w:tcPr>
          <w:p w14:paraId="17BA7091">
            <w:pPr>
              <w:rPr>
                <w:rFonts w:ascii="宋体" w:hAnsi="宋体" w:cs="宋体"/>
                <w:color w:val="000000" w:themeColor="text1"/>
                <w:sz w:val="24"/>
                <w:highlight w:val="none"/>
                <w14:textFill>
                  <w14:solidFill>
                    <w14:schemeClr w14:val="tx1"/>
                  </w14:solidFill>
                </w14:textFill>
              </w:rPr>
            </w:pPr>
          </w:p>
        </w:tc>
      </w:tr>
      <w:tr w14:paraId="661E9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6CC903FF">
            <w:pPr>
              <w:pStyle w:val="98"/>
              <w:spacing w:before="6"/>
              <w:rPr>
                <w:b/>
                <w:color w:val="000000" w:themeColor="text1"/>
                <w:sz w:val="24"/>
                <w:highlight w:val="none"/>
                <w:lang w:eastAsia="zh-CN"/>
                <w14:textFill>
                  <w14:solidFill>
                    <w14:schemeClr w14:val="tx1"/>
                  </w14:solidFill>
                </w14:textFill>
              </w:rPr>
            </w:pPr>
          </w:p>
          <w:p w14:paraId="76AB3D6D">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7</w:t>
            </w:r>
          </w:p>
        </w:tc>
        <w:tc>
          <w:tcPr>
            <w:tcW w:w="860" w:type="dxa"/>
            <w:vMerge w:val="restart"/>
            <w:vAlign w:val="center"/>
          </w:tcPr>
          <w:p w14:paraId="22607F1A">
            <w:pPr>
              <w:pStyle w:val="98"/>
              <w:spacing w:before="11"/>
              <w:rPr>
                <w:b/>
                <w:color w:val="000000" w:themeColor="text1"/>
                <w:sz w:val="24"/>
                <w:highlight w:val="none"/>
                <w14:textFill>
                  <w14:solidFill>
                    <w14:schemeClr w14:val="tx1"/>
                  </w14:solidFill>
                </w14:textFill>
              </w:rPr>
            </w:pPr>
          </w:p>
          <w:p w14:paraId="6AF8CFB3">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仓储业</w:t>
            </w:r>
          </w:p>
        </w:tc>
        <w:tc>
          <w:tcPr>
            <w:tcW w:w="2157" w:type="dxa"/>
            <w:vMerge w:val="restart"/>
            <w:vAlign w:val="center"/>
          </w:tcPr>
          <w:p w14:paraId="6644FC43">
            <w:pPr>
              <w:pStyle w:val="98"/>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30000 万元以下的为中小微型企业</w:t>
            </w:r>
          </w:p>
        </w:tc>
        <w:tc>
          <w:tcPr>
            <w:tcW w:w="1215" w:type="dxa"/>
            <w:vAlign w:val="center"/>
          </w:tcPr>
          <w:p w14:paraId="7F8E8874">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A15BC7C">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4EEC9BB7">
            <w:pPr>
              <w:pStyle w:val="98"/>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2D916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3F9DCD97">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3E4E5AF">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F4C3D86">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AE0F414">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3007829">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340E8F04">
            <w:pPr>
              <w:rPr>
                <w:rFonts w:ascii="宋体" w:hAnsi="宋体" w:cs="宋体"/>
                <w:color w:val="000000" w:themeColor="text1"/>
                <w:sz w:val="24"/>
                <w:highlight w:val="none"/>
                <w14:textFill>
                  <w14:solidFill>
                    <w14:schemeClr w14:val="tx1"/>
                  </w14:solidFill>
                </w14:textFill>
              </w:rPr>
            </w:pPr>
          </w:p>
        </w:tc>
      </w:tr>
      <w:tr w14:paraId="5861B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3E8117BF">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978C862">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9AC5B2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432A5B0">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360B30B2">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14:paraId="6657FBBF">
            <w:pPr>
              <w:rPr>
                <w:rFonts w:ascii="宋体" w:hAnsi="宋体" w:cs="宋体"/>
                <w:color w:val="000000" w:themeColor="text1"/>
                <w:sz w:val="24"/>
                <w:highlight w:val="none"/>
                <w14:textFill>
                  <w14:solidFill>
                    <w14:schemeClr w14:val="tx1"/>
                  </w14:solidFill>
                </w14:textFill>
              </w:rPr>
            </w:pPr>
          </w:p>
        </w:tc>
      </w:tr>
      <w:tr w14:paraId="21562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38624982">
            <w:pPr>
              <w:pStyle w:val="98"/>
              <w:spacing w:before="7"/>
              <w:rPr>
                <w:b/>
                <w:color w:val="000000" w:themeColor="text1"/>
                <w:sz w:val="24"/>
                <w:highlight w:val="none"/>
                <w:lang w:eastAsia="zh-CN"/>
                <w14:textFill>
                  <w14:solidFill>
                    <w14:schemeClr w14:val="tx1"/>
                  </w14:solidFill>
                </w14:textFill>
              </w:rPr>
            </w:pPr>
          </w:p>
          <w:p w14:paraId="2DAAC251">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8</w:t>
            </w:r>
          </w:p>
        </w:tc>
        <w:tc>
          <w:tcPr>
            <w:tcW w:w="860" w:type="dxa"/>
            <w:vMerge w:val="restart"/>
            <w:vAlign w:val="center"/>
          </w:tcPr>
          <w:p w14:paraId="0AED58D9">
            <w:pPr>
              <w:pStyle w:val="98"/>
              <w:spacing w:before="12"/>
              <w:rPr>
                <w:b/>
                <w:color w:val="000000" w:themeColor="text1"/>
                <w:sz w:val="24"/>
                <w:highlight w:val="none"/>
                <w14:textFill>
                  <w14:solidFill>
                    <w14:schemeClr w14:val="tx1"/>
                  </w14:solidFill>
                </w14:textFill>
              </w:rPr>
            </w:pPr>
          </w:p>
          <w:p w14:paraId="4E7631E1">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邮政业</w:t>
            </w:r>
          </w:p>
        </w:tc>
        <w:tc>
          <w:tcPr>
            <w:tcW w:w="2157" w:type="dxa"/>
            <w:vMerge w:val="restart"/>
            <w:vAlign w:val="center"/>
          </w:tcPr>
          <w:p w14:paraId="276475A8">
            <w:pPr>
              <w:pStyle w:val="98"/>
              <w:spacing w:before="143"/>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14:paraId="54027D9B">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7E997966">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60D332F1">
            <w:pPr>
              <w:pStyle w:val="98"/>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48174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025CB335">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953B44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B37A7D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12FB03E">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1D88DDAB">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26ACA3DE">
            <w:pPr>
              <w:rPr>
                <w:rFonts w:ascii="宋体" w:hAnsi="宋体" w:cs="宋体"/>
                <w:color w:val="000000" w:themeColor="text1"/>
                <w:sz w:val="24"/>
                <w:highlight w:val="none"/>
                <w14:textFill>
                  <w14:solidFill>
                    <w14:schemeClr w14:val="tx1"/>
                  </w14:solidFill>
                </w14:textFill>
              </w:rPr>
            </w:pPr>
          </w:p>
        </w:tc>
      </w:tr>
      <w:tr w14:paraId="35D17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4086D18C">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F21B470">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B13F898">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83492C4">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43EF6835">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14:paraId="527D8E86">
            <w:pPr>
              <w:rPr>
                <w:rFonts w:ascii="宋体" w:hAnsi="宋体" w:cs="宋体"/>
                <w:color w:val="000000" w:themeColor="text1"/>
                <w:sz w:val="24"/>
                <w:highlight w:val="none"/>
                <w14:textFill>
                  <w14:solidFill>
                    <w14:schemeClr w14:val="tx1"/>
                  </w14:solidFill>
                </w14:textFill>
              </w:rPr>
            </w:pPr>
          </w:p>
        </w:tc>
      </w:tr>
      <w:tr w14:paraId="7A0E9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40268763">
            <w:pPr>
              <w:pStyle w:val="98"/>
              <w:spacing w:before="6"/>
              <w:rPr>
                <w:b/>
                <w:color w:val="000000" w:themeColor="text1"/>
                <w:sz w:val="24"/>
                <w:highlight w:val="none"/>
                <w:lang w:eastAsia="zh-CN"/>
                <w14:textFill>
                  <w14:solidFill>
                    <w14:schemeClr w14:val="tx1"/>
                  </w14:solidFill>
                </w14:textFill>
              </w:rPr>
            </w:pPr>
          </w:p>
          <w:p w14:paraId="2124BEB4">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9</w:t>
            </w:r>
          </w:p>
        </w:tc>
        <w:tc>
          <w:tcPr>
            <w:tcW w:w="860" w:type="dxa"/>
            <w:vMerge w:val="restart"/>
            <w:vAlign w:val="center"/>
          </w:tcPr>
          <w:p w14:paraId="19B4BBC9">
            <w:pPr>
              <w:pStyle w:val="98"/>
              <w:spacing w:before="11"/>
              <w:rPr>
                <w:b/>
                <w:color w:val="000000" w:themeColor="text1"/>
                <w:sz w:val="24"/>
                <w:highlight w:val="none"/>
                <w14:textFill>
                  <w14:solidFill>
                    <w14:schemeClr w14:val="tx1"/>
                  </w14:solidFill>
                </w14:textFill>
              </w:rPr>
            </w:pPr>
          </w:p>
          <w:p w14:paraId="4594D0EE">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住宿业</w:t>
            </w:r>
          </w:p>
        </w:tc>
        <w:tc>
          <w:tcPr>
            <w:tcW w:w="2157" w:type="dxa"/>
            <w:vMerge w:val="restart"/>
            <w:vAlign w:val="center"/>
          </w:tcPr>
          <w:p w14:paraId="79201C2A">
            <w:pPr>
              <w:pStyle w:val="98"/>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14:paraId="5FE57210">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0055C4EE">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75708E43">
            <w:pPr>
              <w:pStyle w:val="98"/>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7AB1F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1D8B1C22">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CC30277">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0427F52">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21B62CC">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1FAA2F89">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5EEE6552">
            <w:pPr>
              <w:rPr>
                <w:rFonts w:ascii="宋体" w:hAnsi="宋体" w:cs="宋体"/>
                <w:color w:val="000000" w:themeColor="text1"/>
                <w:sz w:val="24"/>
                <w:highlight w:val="none"/>
                <w14:textFill>
                  <w14:solidFill>
                    <w14:schemeClr w14:val="tx1"/>
                  </w14:solidFill>
                </w14:textFill>
              </w:rPr>
            </w:pPr>
          </w:p>
        </w:tc>
      </w:tr>
      <w:tr w14:paraId="21069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76CE5AA">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7B3795C">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B4386A7">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8919266">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03AA5C2D">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399EED69">
            <w:pPr>
              <w:rPr>
                <w:rFonts w:ascii="宋体" w:hAnsi="宋体" w:cs="宋体"/>
                <w:color w:val="000000" w:themeColor="text1"/>
                <w:sz w:val="24"/>
                <w:highlight w:val="none"/>
                <w14:textFill>
                  <w14:solidFill>
                    <w14:schemeClr w14:val="tx1"/>
                  </w14:solidFill>
                </w14:textFill>
              </w:rPr>
            </w:pPr>
          </w:p>
        </w:tc>
      </w:tr>
      <w:tr w14:paraId="77C22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15F887CD">
            <w:pPr>
              <w:pStyle w:val="98"/>
              <w:spacing w:before="7"/>
              <w:rPr>
                <w:b/>
                <w:color w:val="000000" w:themeColor="text1"/>
                <w:sz w:val="24"/>
                <w:highlight w:val="none"/>
                <w:lang w:eastAsia="zh-CN"/>
                <w14:textFill>
                  <w14:solidFill>
                    <w14:schemeClr w14:val="tx1"/>
                  </w14:solidFill>
                </w14:textFill>
              </w:rPr>
            </w:pPr>
          </w:p>
          <w:p w14:paraId="7A7E92E5">
            <w:pPr>
              <w:pStyle w:val="9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860" w:type="dxa"/>
            <w:vMerge w:val="restart"/>
            <w:vAlign w:val="center"/>
          </w:tcPr>
          <w:p w14:paraId="64D649B5">
            <w:pPr>
              <w:pStyle w:val="98"/>
              <w:spacing w:before="12"/>
              <w:rPr>
                <w:b/>
                <w:color w:val="000000" w:themeColor="text1"/>
                <w:sz w:val="24"/>
                <w:highlight w:val="none"/>
                <w14:textFill>
                  <w14:solidFill>
                    <w14:schemeClr w14:val="tx1"/>
                  </w14:solidFill>
                </w14:textFill>
              </w:rPr>
            </w:pPr>
          </w:p>
          <w:p w14:paraId="0BD6A1F6">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餐饮业</w:t>
            </w:r>
          </w:p>
        </w:tc>
        <w:tc>
          <w:tcPr>
            <w:tcW w:w="2157" w:type="dxa"/>
            <w:vMerge w:val="restart"/>
            <w:vAlign w:val="center"/>
          </w:tcPr>
          <w:p w14:paraId="441021D9">
            <w:pPr>
              <w:pStyle w:val="98"/>
              <w:spacing w:before="142"/>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14:paraId="39EF669C">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30405447">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2EEDE6F5">
            <w:pPr>
              <w:pStyle w:val="98"/>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6044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6DDB2DFE">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C804BA8">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0E3328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716AF0D">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5C46542C">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1117FCA5">
            <w:pPr>
              <w:rPr>
                <w:rFonts w:ascii="宋体" w:hAnsi="宋体" w:cs="宋体"/>
                <w:color w:val="000000" w:themeColor="text1"/>
                <w:sz w:val="24"/>
                <w:highlight w:val="none"/>
                <w14:textFill>
                  <w14:solidFill>
                    <w14:schemeClr w14:val="tx1"/>
                  </w14:solidFill>
                </w14:textFill>
              </w:rPr>
            </w:pPr>
          </w:p>
        </w:tc>
      </w:tr>
      <w:tr w14:paraId="002D7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2C95FA98">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0BB632D">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FD87389">
            <w:pPr>
              <w:rPr>
                <w:rFonts w:ascii="宋体" w:hAnsi="宋体" w:cs="宋体"/>
                <w:color w:val="000000" w:themeColor="text1"/>
                <w:sz w:val="24"/>
                <w:highlight w:val="none"/>
                <w14:textFill>
                  <w14:solidFill>
                    <w14:schemeClr w14:val="tx1"/>
                  </w14:solidFill>
                </w14:textFill>
              </w:rPr>
            </w:pPr>
          </w:p>
        </w:tc>
        <w:tc>
          <w:tcPr>
            <w:tcW w:w="1215" w:type="dxa"/>
            <w:vAlign w:val="center"/>
          </w:tcPr>
          <w:p w14:paraId="2DD545D5">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9E4C7FB">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08D8CC97">
            <w:pPr>
              <w:rPr>
                <w:rFonts w:ascii="宋体" w:hAnsi="宋体" w:cs="宋体"/>
                <w:color w:val="000000" w:themeColor="text1"/>
                <w:sz w:val="24"/>
                <w:highlight w:val="none"/>
                <w14:textFill>
                  <w14:solidFill>
                    <w14:schemeClr w14:val="tx1"/>
                  </w14:solidFill>
                </w14:textFill>
              </w:rPr>
            </w:pPr>
          </w:p>
        </w:tc>
      </w:tr>
      <w:tr w14:paraId="7A94C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6C85A42A">
            <w:pPr>
              <w:pStyle w:val="98"/>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860" w:type="dxa"/>
            <w:vMerge w:val="restart"/>
            <w:vAlign w:val="center"/>
          </w:tcPr>
          <w:p w14:paraId="5DF7E24F">
            <w:pPr>
              <w:pStyle w:val="98"/>
              <w:spacing w:before="67"/>
              <w:ind w:left="7" w:right="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信息传输</w:t>
            </w:r>
          </w:p>
        </w:tc>
        <w:tc>
          <w:tcPr>
            <w:tcW w:w="2157" w:type="dxa"/>
            <w:vMerge w:val="restart"/>
            <w:vAlign w:val="center"/>
          </w:tcPr>
          <w:p w14:paraId="09B1CD17">
            <w:pPr>
              <w:pStyle w:val="98"/>
              <w:spacing w:before="67"/>
              <w:ind w:left="7"/>
              <w:rPr>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从业人员2000人以下或营业收入100000万元以下的为中小微型企业。</w:t>
            </w:r>
          </w:p>
        </w:tc>
        <w:tc>
          <w:tcPr>
            <w:tcW w:w="1215" w:type="dxa"/>
            <w:vAlign w:val="center"/>
          </w:tcPr>
          <w:p w14:paraId="05159D69">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29448582">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44C2A731">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20EE0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3912B195">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1D3374FA">
            <w:pPr>
              <w:pStyle w:val="98"/>
              <w:spacing w:before="67"/>
              <w:ind w:left="7" w:right="2"/>
              <w:rPr>
                <w:color w:val="000000" w:themeColor="text1"/>
                <w:sz w:val="24"/>
                <w:highlight w:val="none"/>
                <w14:textFill>
                  <w14:solidFill>
                    <w14:schemeClr w14:val="tx1"/>
                  </w14:solidFill>
                </w14:textFill>
              </w:rPr>
            </w:pPr>
          </w:p>
        </w:tc>
        <w:tc>
          <w:tcPr>
            <w:tcW w:w="2157" w:type="dxa"/>
            <w:vMerge w:val="continue"/>
            <w:vAlign w:val="center"/>
          </w:tcPr>
          <w:p w14:paraId="5A1B581C">
            <w:pPr>
              <w:pStyle w:val="98"/>
              <w:spacing w:before="67"/>
              <w:ind w:left="7"/>
              <w:rPr>
                <w:color w:val="000000" w:themeColor="text1"/>
                <w:spacing w:val="-9"/>
                <w:sz w:val="24"/>
                <w:highlight w:val="none"/>
                <w14:textFill>
                  <w14:solidFill>
                    <w14:schemeClr w14:val="tx1"/>
                  </w14:solidFill>
                </w14:textFill>
              </w:rPr>
            </w:pPr>
          </w:p>
        </w:tc>
        <w:tc>
          <w:tcPr>
            <w:tcW w:w="1215" w:type="dxa"/>
            <w:vAlign w:val="center"/>
          </w:tcPr>
          <w:p w14:paraId="66101A56">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12CF523A">
            <w:pPr>
              <w:pStyle w:val="98"/>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从业人员10人及以上，且营业收入100万元及以上的</w:t>
            </w:r>
          </w:p>
        </w:tc>
        <w:tc>
          <w:tcPr>
            <w:tcW w:w="1099" w:type="dxa"/>
            <w:vMerge w:val="continue"/>
            <w:vAlign w:val="center"/>
          </w:tcPr>
          <w:p w14:paraId="36922DA6">
            <w:pPr>
              <w:pStyle w:val="98"/>
              <w:spacing w:before="67"/>
              <w:ind w:left="15"/>
              <w:rPr>
                <w:color w:val="000000" w:themeColor="text1"/>
                <w:sz w:val="24"/>
                <w:highlight w:val="none"/>
                <w:lang w:eastAsia="zh-CN"/>
                <w14:textFill>
                  <w14:solidFill>
                    <w14:schemeClr w14:val="tx1"/>
                  </w14:solidFill>
                </w14:textFill>
              </w:rPr>
            </w:pPr>
          </w:p>
        </w:tc>
      </w:tr>
      <w:tr w14:paraId="15916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61F7E1B">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6135C1E6">
            <w:pPr>
              <w:pStyle w:val="98"/>
              <w:spacing w:before="67"/>
              <w:ind w:left="7" w:right="2"/>
              <w:rPr>
                <w:color w:val="000000" w:themeColor="text1"/>
                <w:sz w:val="24"/>
                <w:highlight w:val="none"/>
                <w:lang w:eastAsia="zh-CN"/>
                <w14:textFill>
                  <w14:solidFill>
                    <w14:schemeClr w14:val="tx1"/>
                  </w14:solidFill>
                </w14:textFill>
              </w:rPr>
            </w:pPr>
          </w:p>
        </w:tc>
        <w:tc>
          <w:tcPr>
            <w:tcW w:w="2157" w:type="dxa"/>
            <w:vMerge w:val="continue"/>
            <w:vAlign w:val="center"/>
          </w:tcPr>
          <w:p w14:paraId="665C8A91">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073CB9BE">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3FAE5210">
            <w:pPr>
              <w:pStyle w:val="98"/>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从业人员10人以下或营业收入100万元以下的为</w:t>
            </w:r>
          </w:p>
        </w:tc>
        <w:tc>
          <w:tcPr>
            <w:tcW w:w="1099" w:type="dxa"/>
            <w:vMerge w:val="continue"/>
            <w:vAlign w:val="center"/>
          </w:tcPr>
          <w:p w14:paraId="1D8F17D1">
            <w:pPr>
              <w:pStyle w:val="98"/>
              <w:spacing w:before="67"/>
              <w:ind w:left="15"/>
              <w:rPr>
                <w:color w:val="000000" w:themeColor="text1"/>
                <w:sz w:val="24"/>
                <w:highlight w:val="none"/>
                <w:lang w:eastAsia="zh-CN"/>
                <w14:textFill>
                  <w14:solidFill>
                    <w14:schemeClr w14:val="tx1"/>
                  </w14:solidFill>
                </w14:textFill>
              </w:rPr>
            </w:pPr>
          </w:p>
        </w:tc>
      </w:tr>
      <w:tr w14:paraId="45C96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05D89956">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12</w:t>
            </w:r>
          </w:p>
        </w:tc>
        <w:tc>
          <w:tcPr>
            <w:tcW w:w="860" w:type="dxa"/>
            <w:vMerge w:val="restart"/>
            <w:vAlign w:val="center"/>
          </w:tcPr>
          <w:p w14:paraId="617F1A2F">
            <w:pPr>
              <w:pStyle w:val="98"/>
              <w:spacing w:before="67"/>
              <w:ind w:left="7" w:right="2"/>
              <w:rPr>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软件和信息技术服务业</w:t>
            </w:r>
          </w:p>
        </w:tc>
        <w:tc>
          <w:tcPr>
            <w:tcW w:w="2157" w:type="dxa"/>
            <w:vMerge w:val="restart"/>
            <w:vAlign w:val="center"/>
          </w:tcPr>
          <w:p w14:paraId="641C61C7">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从业人员300人以下或营业收入10000万元以下的为中小微型企业</w:t>
            </w:r>
          </w:p>
        </w:tc>
        <w:tc>
          <w:tcPr>
            <w:tcW w:w="1215" w:type="dxa"/>
            <w:vAlign w:val="center"/>
          </w:tcPr>
          <w:p w14:paraId="2FDFEDEE">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3CB786BF">
            <w:pPr>
              <w:pStyle w:val="98"/>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从业人员100人及以上，且营业收入1000万元及以上的</w:t>
            </w:r>
          </w:p>
        </w:tc>
        <w:tc>
          <w:tcPr>
            <w:tcW w:w="1099" w:type="dxa"/>
            <w:vMerge w:val="restart"/>
            <w:vAlign w:val="center"/>
          </w:tcPr>
          <w:p w14:paraId="67B92B92">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0CB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5A642912">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4F887B7E">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41F67674">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272B0646">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389C85DE">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从业人员10人及以上，且营业收入50万元及以上的</w:t>
            </w:r>
          </w:p>
        </w:tc>
        <w:tc>
          <w:tcPr>
            <w:tcW w:w="1099" w:type="dxa"/>
            <w:vMerge w:val="continue"/>
            <w:vAlign w:val="center"/>
          </w:tcPr>
          <w:p w14:paraId="67C878B4">
            <w:pPr>
              <w:pStyle w:val="98"/>
              <w:spacing w:before="67"/>
              <w:ind w:left="15"/>
              <w:rPr>
                <w:color w:val="000000" w:themeColor="text1"/>
                <w:sz w:val="24"/>
                <w:highlight w:val="none"/>
                <w:lang w:eastAsia="zh-CN"/>
                <w14:textFill>
                  <w14:solidFill>
                    <w14:schemeClr w14:val="tx1"/>
                  </w14:solidFill>
                </w14:textFill>
              </w:rPr>
            </w:pPr>
          </w:p>
        </w:tc>
      </w:tr>
      <w:tr w14:paraId="6B41C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79B3F91">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49E299FB">
            <w:pPr>
              <w:pStyle w:val="98"/>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153A1923">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70E31D38">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53E4CE73">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从业人员10人以下或营业收入50万元以下的</w:t>
            </w:r>
          </w:p>
        </w:tc>
        <w:tc>
          <w:tcPr>
            <w:tcW w:w="1099" w:type="dxa"/>
            <w:vMerge w:val="continue"/>
            <w:vAlign w:val="center"/>
          </w:tcPr>
          <w:p w14:paraId="0BD0FB34">
            <w:pPr>
              <w:pStyle w:val="98"/>
              <w:spacing w:before="67"/>
              <w:ind w:left="15"/>
              <w:rPr>
                <w:color w:val="000000" w:themeColor="text1"/>
                <w:sz w:val="24"/>
                <w:highlight w:val="none"/>
                <w:lang w:eastAsia="zh-CN"/>
                <w14:textFill>
                  <w14:solidFill>
                    <w14:schemeClr w14:val="tx1"/>
                  </w14:solidFill>
                </w14:textFill>
              </w:rPr>
            </w:pPr>
          </w:p>
        </w:tc>
      </w:tr>
      <w:tr w14:paraId="430B3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54E93B2F">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13</w:t>
            </w:r>
          </w:p>
        </w:tc>
        <w:tc>
          <w:tcPr>
            <w:tcW w:w="860" w:type="dxa"/>
            <w:vMerge w:val="restart"/>
            <w:vAlign w:val="center"/>
          </w:tcPr>
          <w:p w14:paraId="12906FF1">
            <w:pPr>
              <w:pStyle w:val="98"/>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房地产开发经营</w:t>
            </w:r>
          </w:p>
        </w:tc>
        <w:tc>
          <w:tcPr>
            <w:tcW w:w="2157" w:type="dxa"/>
            <w:vMerge w:val="restart"/>
            <w:vAlign w:val="center"/>
          </w:tcPr>
          <w:p w14:paraId="4A231950">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营业收入200000万元以下或资产总额10000万元以下的为中小微型企业</w:t>
            </w:r>
          </w:p>
        </w:tc>
        <w:tc>
          <w:tcPr>
            <w:tcW w:w="1215" w:type="dxa"/>
            <w:vAlign w:val="center"/>
          </w:tcPr>
          <w:p w14:paraId="3F8EE4B5">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67E8DB01">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营业收入1000万元及以上，且资产总额5000万元及以上的</w:t>
            </w:r>
          </w:p>
        </w:tc>
        <w:tc>
          <w:tcPr>
            <w:tcW w:w="1099" w:type="dxa"/>
            <w:vMerge w:val="restart"/>
            <w:vAlign w:val="center"/>
          </w:tcPr>
          <w:p w14:paraId="6B269ABD">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6D738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0FC13DE">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0192E6D9">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7BAEB2F9">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7814F7BC">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5770E7A6">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营业收入100万元及以上，且资产总额2000万元及以上的</w:t>
            </w:r>
          </w:p>
        </w:tc>
        <w:tc>
          <w:tcPr>
            <w:tcW w:w="1099" w:type="dxa"/>
            <w:vMerge w:val="continue"/>
            <w:vAlign w:val="center"/>
          </w:tcPr>
          <w:p w14:paraId="2173AAFE">
            <w:pPr>
              <w:pStyle w:val="98"/>
              <w:spacing w:before="67"/>
              <w:ind w:left="15"/>
              <w:rPr>
                <w:color w:val="000000" w:themeColor="text1"/>
                <w:sz w:val="24"/>
                <w:highlight w:val="none"/>
                <w:lang w:eastAsia="zh-CN"/>
                <w14:textFill>
                  <w14:solidFill>
                    <w14:schemeClr w14:val="tx1"/>
                  </w14:solidFill>
                </w14:textFill>
              </w:rPr>
            </w:pPr>
          </w:p>
        </w:tc>
      </w:tr>
      <w:tr w14:paraId="24AE1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039CCB66">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3133CD37">
            <w:pPr>
              <w:pStyle w:val="98"/>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2B54838F">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6447D0DA">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3224151C">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营业收入100万元以下或资产总额2000万元以下的</w:t>
            </w:r>
          </w:p>
        </w:tc>
        <w:tc>
          <w:tcPr>
            <w:tcW w:w="1099" w:type="dxa"/>
            <w:vMerge w:val="continue"/>
            <w:vAlign w:val="center"/>
          </w:tcPr>
          <w:p w14:paraId="2D4AABD0">
            <w:pPr>
              <w:pStyle w:val="98"/>
              <w:spacing w:before="67"/>
              <w:ind w:left="15"/>
              <w:rPr>
                <w:color w:val="000000" w:themeColor="text1"/>
                <w:sz w:val="24"/>
                <w:highlight w:val="none"/>
                <w:lang w:eastAsia="zh-CN"/>
                <w14:textFill>
                  <w14:solidFill>
                    <w14:schemeClr w14:val="tx1"/>
                  </w14:solidFill>
                </w14:textFill>
              </w:rPr>
            </w:pPr>
          </w:p>
        </w:tc>
      </w:tr>
      <w:tr w14:paraId="693B9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4707FCFB">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14</w:t>
            </w:r>
          </w:p>
        </w:tc>
        <w:tc>
          <w:tcPr>
            <w:tcW w:w="860" w:type="dxa"/>
            <w:vMerge w:val="restart"/>
            <w:vAlign w:val="center"/>
          </w:tcPr>
          <w:p w14:paraId="1880F16B">
            <w:pPr>
              <w:pStyle w:val="98"/>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物业管理</w:t>
            </w:r>
          </w:p>
        </w:tc>
        <w:tc>
          <w:tcPr>
            <w:tcW w:w="2157" w:type="dxa"/>
            <w:vMerge w:val="restart"/>
            <w:vAlign w:val="center"/>
          </w:tcPr>
          <w:p w14:paraId="25BA4D3F">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从业人员1000人以下或营业收入5000万元以下的为中小微型企业</w:t>
            </w:r>
          </w:p>
        </w:tc>
        <w:tc>
          <w:tcPr>
            <w:tcW w:w="1215" w:type="dxa"/>
            <w:vAlign w:val="center"/>
          </w:tcPr>
          <w:p w14:paraId="77322647">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59F35B11">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从业人员300人及以上，且营业收入1000万元及以上的</w:t>
            </w:r>
          </w:p>
        </w:tc>
        <w:tc>
          <w:tcPr>
            <w:tcW w:w="1099" w:type="dxa"/>
            <w:vMerge w:val="restart"/>
            <w:vAlign w:val="center"/>
          </w:tcPr>
          <w:p w14:paraId="67F97CF5">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D83E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F39396D">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415CDA2C">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222AA014">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584BEDCA">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73EE4601">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从业人员100人及以上，且营业收入500万元及以上的</w:t>
            </w:r>
          </w:p>
        </w:tc>
        <w:tc>
          <w:tcPr>
            <w:tcW w:w="1099" w:type="dxa"/>
            <w:vMerge w:val="continue"/>
            <w:vAlign w:val="center"/>
          </w:tcPr>
          <w:p w14:paraId="17009C96">
            <w:pPr>
              <w:pStyle w:val="98"/>
              <w:spacing w:before="67"/>
              <w:ind w:left="15"/>
              <w:rPr>
                <w:color w:val="000000" w:themeColor="text1"/>
                <w:sz w:val="24"/>
                <w:highlight w:val="none"/>
                <w:lang w:eastAsia="zh-CN"/>
                <w14:textFill>
                  <w14:solidFill>
                    <w14:schemeClr w14:val="tx1"/>
                  </w14:solidFill>
                </w14:textFill>
              </w:rPr>
            </w:pPr>
          </w:p>
        </w:tc>
      </w:tr>
      <w:tr w14:paraId="5D1EF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79B41C4">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3A36C3E9">
            <w:pPr>
              <w:pStyle w:val="98"/>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620694F7">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318DA0F9">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216530BF">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从业人员100人以下或营业收入500万元以下的为</w:t>
            </w:r>
          </w:p>
        </w:tc>
        <w:tc>
          <w:tcPr>
            <w:tcW w:w="1099" w:type="dxa"/>
            <w:vMerge w:val="continue"/>
            <w:vAlign w:val="center"/>
          </w:tcPr>
          <w:p w14:paraId="420BE362">
            <w:pPr>
              <w:pStyle w:val="98"/>
              <w:spacing w:before="67"/>
              <w:ind w:left="15"/>
              <w:rPr>
                <w:color w:val="000000" w:themeColor="text1"/>
                <w:sz w:val="24"/>
                <w:highlight w:val="none"/>
                <w:lang w:eastAsia="zh-CN"/>
                <w14:textFill>
                  <w14:solidFill>
                    <w14:schemeClr w14:val="tx1"/>
                  </w14:solidFill>
                </w14:textFill>
              </w:rPr>
            </w:pPr>
          </w:p>
        </w:tc>
      </w:tr>
      <w:tr w14:paraId="33303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073039F2">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15</w:t>
            </w:r>
          </w:p>
        </w:tc>
        <w:tc>
          <w:tcPr>
            <w:tcW w:w="860" w:type="dxa"/>
            <w:vMerge w:val="restart"/>
            <w:vAlign w:val="center"/>
          </w:tcPr>
          <w:p w14:paraId="602BA9EA">
            <w:pPr>
              <w:pStyle w:val="98"/>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租赁和商务服务业</w:t>
            </w:r>
          </w:p>
        </w:tc>
        <w:tc>
          <w:tcPr>
            <w:tcW w:w="2157" w:type="dxa"/>
            <w:vMerge w:val="restart"/>
            <w:vAlign w:val="center"/>
          </w:tcPr>
          <w:p w14:paraId="06226E46">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从业人员300人以下或资产总额120000万元以下的为中小微型企业</w:t>
            </w:r>
          </w:p>
        </w:tc>
        <w:tc>
          <w:tcPr>
            <w:tcW w:w="1215" w:type="dxa"/>
            <w:vAlign w:val="center"/>
          </w:tcPr>
          <w:p w14:paraId="71ED14FF">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2F4B62DD">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从业人员100人及以上，且资产总额8000万元及以上的</w:t>
            </w:r>
          </w:p>
        </w:tc>
        <w:tc>
          <w:tcPr>
            <w:tcW w:w="1099" w:type="dxa"/>
            <w:vMerge w:val="restart"/>
            <w:vAlign w:val="center"/>
          </w:tcPr>
          <w:p w14:paraId="7A1C853C">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A2CC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5CB5C2F4">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4404F317">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0CEE9B24">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38C26921">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1547E18B">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从业人员10人及以上，且资产总额100万元及以上的</w:t>
            </w:r>
          </w:p>
        </w:tc>
        <w:tc>
          <w:tcPr>
            <w:tcW w:w="1099" w:type="dxa"/>
            <w:vMerge w:val="continue"/>
            <w:vAlign w:val="center"/>
          </w:tcPr>
          <w:p w14:paraId="01A46113">
            <w:pPr>
              <w:pStyle w:val="98"/>
              <w:spacing w:before="67"/>
              <w:ind w:left="15"/>
              <w:rPr>
                <w:color w:val="000000" w:themeColor="text1"/>
                <w:sz w:val="24"/>
                <w:highlight w:val="none"/>
                <w:lang w:eastAsia="zh-CN"/>
                <w14:textFill>
                  <w14:solidFill>
                    <w14:schemeClr w14:val="tx1"/>
                  </w14:solidFill>
                </w14:textFill>
              </w:rPr>
            </w:pPr>
          </w:p>
        </w:tc>
      </w:tr>
      <w:tr w14:paraId="4ED36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42A6A661">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0E49A401">
            <w:pPr>
              <w:pStyle w:val="98"/>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3A25848B">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4C5A9B97">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4B0FDA8E">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从业人员10人以下或资产总额100万元以下的</w:t>
            </w:r>
          </w:p>
        </w:tc>
        <w:tc>
          <w:tcPr>
            <w:tcW w:w="1099" w:type="dxa"/>
            <w:vMerge w:val="continue"/>
            <w:vAlign w:val="center"/>
          </w:tcPr>
          <w:p w14:paraId="3A40463D">
            <w:pPr>
              <w:pStyle w:val="98"/>
              <w:spacing w:before="67"/>
              <w:ind w:left="15"/>
              <w:rPr>
                <w:color w:val="000000" w:themeColor="text1"/>
                <w:sz w:val="24"/>
                <w:highlight w:val="none"/>
                <w:lang w:eastAsia="zh-CN"/>
                <w14:textFill>
                  <w14:solidFill>
                    <w14:schemeClr w14:val="tx1"/>
                  </w14:solidFill>
                </w14:textFill>
              </w:rPr>
            </w:pPr>
          </w:p>
        </w:tc>
      </w:tr>
      <w:tr w14:paraId="4AEA3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1ED7B9B4">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16</w:t>
            </w:r>
          </w:p>
        </w:tc>
        <w:tc>
          <w:tcPr>
            <w:tcW w:w="860" w:type="dxa"/>
            <w:vMerge w:val="restart"/>
            <w:vAlign w:val="center"/>
          </w:tcPr>
          <w:p w14:paraId="54FBE10B">
            <w:pPr>
              <w:pStyle w:val="98"/>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其他未列明行业</w:t>
            </w:r>
          </w:p>
        </w:tc>
        <w:tc>
          <w:tcPr>
            <w:tcW w:w="2157" w:type="dxa"/>
            <w:vMerge w:val="restart"/>
            <w:vAlign w:val="center"/>
          </w:tcPr>
          <w:p w14:paraId="5DF534BE">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从业人员300人以下的为中小微型企业。</w:t>
            </w:r>
          </w:p>
        </w:tc>
        <w:tc>
          <w:tcPr>
            <w:tcW w:w="1215" w:type="dxa"/>
            <w:vAlign w:val="center"/>
          </w:tcPr>
          <w:p w14:paraId="22F53D62">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3540A2B5">
            <w:pPr>
              <w:pStyle w:val="98"/>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vAlign w:val="center"/>
          </w:tcPr>
          <w:p w14:paraId="0BAEC5E2">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56F5D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662353B">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50A0C876">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43374144">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39CFA4D8">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6DF3D5D2">
            <w:pPr>
              <w:pStyle w:val="98"/>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vAlign w:val="center"/>
          </w:tcPr>
          <w:p w14:paraId="3E5ED3F2">
            <w:pPr>
              <w:pStyle w:val="98"/>
              <w:spacing w:before="67"/>
              <w:ind w:left="15"/>
              <w:rPr>
                <w:color w:val="000000" w:themeColor="text1"/>
                <w:sz w:val="24"/>
                <w:highlight w:val="none"/>
                <w14:textFill>
                  <w14:solidFill>
                    <w14:schemeClr w14:val="tx1"/>
                  </w14:solidFill>
                </w14:textFill>
              </w:rPr>
            </w:pPr>
          </w:p>
        </w:tc>
      </w:tr>
      <w:tr w14:paraId="4E371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F899AC4">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4D0325F2">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0CD39F77">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2D9956F2">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6EA95D06">
            <w:pPr>
              <w:pStyle w:val="98"/>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从业人员10人以下的</w:t>
            </w:r>
          </w:p>
        </w:tc>
        <w:tc>
          <w:tcPr>
            <w:tcW w:w="1099" w:type="dxa"/>
            <w:vMerge w:val="continue"/>
            <w:vAlign w:val="center"/>
          </w:tcPr>
          <w:p w14:paraId="7262AA95">
            <w:pPr>
              <w:pStyle w:val="98"/>
              <w:spacing w:before="67"/>
              <w:ind w:left="15"/>
              <w:rPr>
                <w:color w:val="000000" w:themeColor="text1"/>
                <w:sz w:val="24"/>
                <w:highlight w:val="none"/>
                <w14:textFill>
                  <w14:solidFill>
                    <w14:schemeClr w14:val="tx1"/>
                  </w14:solidFill>
                </w14:textFill>
              </w:rPr>
            </w:pPr>
          </w:p>
        </w:tc>
      </w:tr>
    </w:tbl>
    <w:p w14:paraId="335201C3">
      <w:pPr>
        <w:pStyle w:val="34"/>
        <w:ind w:firstLine="240"/>
        <w:rPr>
          <w:color w:val="000000" w:themeColor="text1"/>
          <w:highlight w:val="none"/>
          <w:lang w:val="en-GB"/>
          <w14:textFill>
            <w14:solidFill>
              <w14:schemeClr w14:val="tx1"/>
            </w14:solidFill>
          </w14:textFill>
        </w:rPr>
      </w:pPr>
    </w:p>
    <w:p w14:paraId="6C1A754C">
      <w:pPr>
        <w:rPr>
          <w:color w:val="000000" w:themeColor="text1"/>
          <w:highlight w:val="none"/>
          <w:lang w:val="en-GB"/>
          <w14:textFill>
            <w14:solidFill>
              <w14:schemeClr w14:val="tx1"/>
            </w14:solidFill>
          </w14:textFill>
        </w:rPr>
      </w:pPr>
    </w:p>
    <w:p w14:paraId="4E12CE2F">
      <w:pPr>
        <w:pStyle w:val="16"/>
        <w:rPr>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该附件可供投标人参考。</w:t>
      </w:r>
    </w:p>
    <w:p w14:paraId="427CB85E">
      <w:pPr>
        <w:pStyle w:val="34"/>
        <w:ind w:firstLine="240"/>
        <w:rPr>
          <w:color w:val="000000" w:themeColor="text1"/>
          <w:highlight w:val="none"/>
          <w:lang w:val="en-GB"/>
          <w14:textFill>
            <w14:solidFill>
              <w14:schemeClr w14:val="tx1"/>
            </w14:solidFill>
          </w14:textFill>
        </w:rPr>
      </w:pPr>
    </w:p>
    <w:p w14:paraId="45B9B914">
      <w:pPr>
        <w:rPr>
          <w:color w:val="000000" w:themeColor="text1"/>
          <w:highlight w:val="none"/>
          <w:lang w:val="en-GB"/>
          <w14:textFill>
            <w14:solidFill>
              <w14:schemeClr w14:val="tx1"/>
            </w14:solidFill>
          </w14:textFill>
        </w:rPr>
      </w:pPr>
    </w:p>
    <w:p w14:paraId="00FE0052">
      <w:pPr>
        <w:pStyle w:val="34"/>
        <w:ind w:firstLine="240"/>
        <w:rPr>
          <w:color w:val="000000" w:themeColor="text1"/>
          <w:highlight w:val="none"/>
          <w:lang w:val="en-GB"/>
          <w14:textFill>
            <w14:solidFill>
              <w14:schemeClr w14:val="tx1"/>
            </w14:solidFill>
          </w14:textFill>
        </w:rPr>
      </w:pPr>
    </w:p>
    <w:p w14:paraId="2B5F0B47">
      <w:pPr>
        <w:rPr>
          <w:color w:val="000000" w:themeColor="text1"/>
          <w:highlight w:val="none"/>
          <w:lang w:val="en-GB"/>
          <w14:textFill>
            <w14:solidFill>
              <w14:schemeClr w14:val="tx1"/>
            </w14:solidFill>
          </w14:textFill>
        </w:rPr>
      </w:pPr>
    </w:p>
    <w:p w14:paraId="78407330">
      <w:pPr>
        <w:pStyle w:val="34"/>
        <w:ind w:firstLine="240"/>
        <w:rPr>
          <w:color w:val="000000" w:themeColor="text1"/>
          <w:highlight w:val="none"/>
          <w:lang w:val="en-GB"/>
          <w14:textFill>
            <w14:solidFill>
              <w14:schemeClr w14:val="tx1"/>
            </w14:solidFill>
          </w14:textFill>
        </w:rPr>
      </w:pPr>
    </w:p>
    <w:p w14:paraId="5B900052">
      <w:pPr>
        <w:rPr>
          <w:color w:val="000000" w:themeColor="text1"/>
          <w:highlight w:val="none"/>
          <w:lang w:val="en-GB"/>
          <w14:textFill>
            <w14:solidFill>
              <w14:schemeClr w14:val="tx1"/>
            </w14:solidFill>
          </w14:textFill>
        </w:rPr>
      </w:pPr>
    </w:p>
    <w:p w14:paraId="3E692008">
      <w:pPr>
        <w:pStyle w:val="16"/>
        <w:rPr>
          <w:color w:val="000000" w:themeColor="text1"/>
          <w:highlight w:val="none"/>
          <w:lang w:val="en-GB"/>
          <w14:textFill>
            <w14:solidFill>
              <w14:schemeClr w14:val="tx1"/>
            </w14:solidFill>
          </w14:textFill>
        </w:rPr>
      </w:pPr>
    </w:p>
    <w:p w14:paraId="61FEAF5E">
      <w:pPr>
        <w:pStyle w:val="34"/>
        <w:ind w:firstLine="240"/>
        <w:rPr>
          <w:color w:val="000000" w:themeColor="text1"/>
          <w:highlight w:val="none"/>
          <w:lang w:val="en-GB"/>
          <w14:textFill>
            <w14:solidFill>
              <w14:schemeClr w14:val="tx1"/>
            </w14:solidFill>
          </w14:textFill>
        </w:rPr>
      </w:pPr>
    </w:p>
    <w:p w14:paraId="029A8889">
      <w:pPr>
        <w:rPr>
          <w:color w:val="000000" w:themeColor="text1"/>
          <w:highlight w:val="none"/>
          <w:lang w:val="en-GB"/>
          <w14:textFill>
            <w14:solidFill>
              <w14:schemeClr w14:val="tx1"/>
            </w14:solidFill>
          </w14:textFill>
        </w:rPr>
      </w:pPr>
    </w:p>
    <w:p w14:paraId="7D74AC02">
      <w:pPr>
        <w:pStyle w:val="16"/>
        <w:rPr>
          <w:color w:val="000000" w:themeColor="text1"/>
          <w:highlight w:val="none"/>
          <w:lang w:val="en-GB"/>
          <w14:textFill>
            <w14:solidFill>
              <w14:schemeClr w14:val="tx1"/>
            </w14:solidFill>
          </w14:textFill>
        </w:rPr>
      </w:pPr>
    </w:p>
    <w:p w14:paraId="7FF7CA6D">
      <w:pPr>
        <w:pStyle w:val="34"/>
        <w:ind w:firstLine="240"/>
        <w:rPr>
          <w:color w:val="000000" w:themeColor="text1"/>
          <w:highlight w:val="none"/>
          <w:lang w:val="en-GB"/>
          <w14:textFill>
            <w14:solidFill>
              <w14:schemeClr w14:val="tx1"/>
            </w14:solidFill>
          </w14:textFill>
        </w:rPr>
      </w:pPr>
    </w:p>
    <w:p w14:paraId="601DB88C">
      <w:pPr>
        <w:rPr>
          <w:color w:val="000000" w:themeColor="text1"/>
          <w:highlight w:val="none"/>
          <w:lang w:val="en-GB"/>
          <w14:textFill>
            <w14:solidFill>
              <w14:schemeClr w14:val="tx1"/>
            </w14:solidFill>
          </w14:textFill>
        </w:rPr>
      </w:pPr>
    </w:p>
    <w:p w14:paraId="6F3DC3EC">
      <w:pPr>
        <w:rPr>
          <w:color w:val="000000" w:themeColor="text1"/>
          <w:highlight w:val="none"/>
          <w:lang w:val="en-GB"/>
          <w14:textFill>
            <w14:solidFill>
              <w14:schemeClr w14:val="tx1"/>
            </w14:solidFill>
          </w14:textFill>
        </w:rPr>
      </w:pPr>
    </w:p>
    <w:p w14:paraId="2F92389C">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9</w:t>
      </w:r>
    </w:p>
    <w:p w14:paraId="17928686">
      <w:pPr>
        <w:spacing w:line="588" w:lineRule="exact"/>
        <w:ind w:firstLine="827" w:firstLineChars="200"/>
        <w:jc w:val="center"/>
        <w:rPr>
          <w:rFonts w:ascii="宋体" w:hAnsi="宋体" w:cs="宋体"/>
          <w:b/>
          <w:bCs/>
          <w:color w:val="000000" w:themeColor="text1"/>
          <w:spacing w:val="6"/>
          <w:sz w:val="40"/>
          <w:szCs w:val="40"/>
          <w:highlight w:val="none"/>
          <w14:textFill>
            <w14:solidFill>
              <w14:schemeClr w14:val="tx1"/>
            </w14:solidFill>
          </w14:textFill>
        </w:rPr>
      </w:pPr>
      <w:r>
        <w:rPr>
          <w:rFonts w:hint="eastAsia" w:ascii="宋体" w:hAnsi="宋体" w:cs="宋体"/>
          <w:b/>
          <w:bCs/>
          <w:color w:val="000000" w:themeColor="text1"/>
          <w:spacing w:val="6"/>
          <w:sz w:val="40"/>
          <w:szCs w:val="40"/>
          <w:highlight w:val="none"/>
          <w14:textFill>
            <w14:solidFill>
              <w14:schemeClr w14:val="tx1"/>
            </w14:solidFill>
          </w14:textFill>
        </w:rPr>
        <w:t>残疾人福利性单位声明函</w:t>
      </w:r>
    </w:p>
    <w:p w14:paraId="6B3F91F4">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p>
    <w:p w14:paraId="00CF1E3A">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4C74FCB">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0D4CE57C">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p>
    <w:p w14:paraId="5A0C70A4">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单位名称（盖章）：</w:t>
      </w:r>
    </w:p>
    <w:p w14:paraId="2A4A3AAE">
      <w:pPr>
        <w:tabs>
          <w:tab w:val="left" w:pos="4860"/>
        </w:tabs>
        <w:spacing w:line="588" w:lineRule="exact"/>
        <w:ind w:right="1560" w:firstLine="504"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日  期：</w:t>
      </w:r>
    </w:p>
    <w:p w14:paraId="7CB9E100">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1F9BB42">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49188FF">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E419D6B">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7640E93C">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3409B0F">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0895674">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FC68F56">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F759EFF">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E6184CA">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E2FFF4B">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261A5C8">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721B2B6">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2D1CDC8">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5D02715">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D7817A9">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3308FBA">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w:t>
      </w:r>
      <w:r>
        <w:rPr>
          <w:rFonts w:ascii="宋体" w:hAnsi="宋体" w:eastAsia="宋体"/>
          <w:b/>
          <w:color w:val="000000" w:themeColor="text1"/>
          <w:sz w:val="32"/>
          <w:szCs w:val="32"/>
          <w:highlight w:val="none"/>
          <w:lang w:eastAsia="zh-CN"/>
          <w14:textFill>
            <w14:solidFill>
              <w14:schemeClr w14:val="tx1"/>
            </w14:solidFill>
          </w14:textFill>
        </w:rPr>
        <w:t>20</w:t>
      </w:r>
    </w:p>
    <w:p w14:paraId="6906AA9C">
      <w:pPr>
        <w:pStyle w:val="69"/>
        <w:spacing w:line="360" w:lineRule="auto"/>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产品适用政府采购政策情况表</w:t>
      </w:r>
    </w:p>
    <w:tbl>
      <w:tblPr>
        <w:tblStyle w:val="35"/>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14:paraId="0DEE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14:paraId="3FCC0CEC">
            <w:pPr>
              <w:pStyle w:val="6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小微企业扶持政策</w:t>
            </w:r>
          </w:p>
        </w:tc>
        <w:tc>
          <w:tcPr>
            <w:tcW w:w="8111" w:type="dxa"/>
            <w:gridSpan w:val="3"/>
            <w:vAlign w:val="center"/>
          </w:tcPr>
          <w:tbl>
            <w:tblPr>
              <w:tblStyle w:val="35"/>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14:paraId="5164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14:paraId="121882F1">
                  <w:pPr>
                    <w:pStyle w:val="69"/>
                    <w:tabs>
                      <w:tab w:val="left" w:pos="126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lang w:val="en-GB"/>
                      <w14:textFill>
                        <w14:solidFill>
                          <w14:schemeClr w14:val="tx1"/>
                        </w14:solidFill>
                      </w14:textFill>
                    </w:rPr>
                    <w:t>按要求列出具体产品与金额。</w:t>
                  </w:r>
                </w:p>
              </w:tc>
            </w:tr>
          </w:tbl>
          <w:p w14:paraId="08B11E91">
            <w:pPr>
              <w:pStyle w:val="69"/>
              <w:tabs>
                <w:tab w:val="left" w:pos="1260"/>
              </w:tabs>
              <w:spacing w:line="360" w:lineRule="auto"/>
              <w:rPr>
                <w:rFonts w:ascii="宋体" w:hAnsi="宋体"/>
                <w:color w:val="000000" w:themeColor="text1"/>
                <w:sz w:val="24"/>
                <w:highlight w:val="none"/>
                <w14:textFill>
                  <w14:solidFill>
                    <w14:schemeClr w14:val="tx1"/>
                  </w14:solidFill>
                </w14:textFill>
              </w:rPr>
            </w:pPr>
          </w:p>
        </w:tc>
      </w:tr>
      <w:tr w14:paraId="068F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0E2A2ACC">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14:paraId="02B882DE">
            <w:pPr>
              <w:pStyle w:val="6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产品名称（品牌、型号）</w:t>
            </w:r>
          </w:p>
        </w:tc>
        <w:tc>
          <w:tcPr>
            <w:tcW w:w="3811" w:type="dxa"/>
            <w:vAlign w:val="center"/>
          </w:tcPr>
          <w:p w14:paraId="7B813F4F">
            <w:pPr>
              <w:pStyle w:val="6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制造企业名称</w:t>
            </w:r>
          </w:p>
        </w:tc>
        <w:tc>
          <w:tcPr>
            <w:tcW w:w="1621" w:type="dxa"/>
            <w:vAlign w:val="center"/>
          </w:tcPr>
          <w:p w14:paraId="2866B08A">
            <w:pPr>
              <w:pStyle w:val="6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金额</w:t>
            </w:r>
          </w:p>
        </w:tc>
      </w:tr>
      <w:tr w14:paraId="3FD6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4728B214">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14:paraId="7F449216">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14:paraId="04A55A9F">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14:paraId="5692265B">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r>
      <w:tr w14:paraId="1EE0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1B184A53">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14:paraId="0DE80EB3">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14:paraId="1A889384">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14:paraId="048FE20F">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r>
      <w:tr w14:paraId="6997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13AA79CA">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14:paraId="0E0F06BD">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14:paraId="718237A8">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14:paraId="2B9E0E4F">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r>
      <w:tr w14:paraId="02C2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14:paraId="7E5231AE">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c>
          <w:tcPr>
            <w:tcW w:w="6490" w:type="dxa"/>
            <w:gridSpan w:val="2"/>
            <w:vAlign w:val="center"/>
          </w:tcPr>
          <w:p w14:paraId="3248E882">
            <w:pPr>
              <w:pStyle w:val="6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小型、微型企业产品</w:t>
            </w:r>
            <w:r>
              <w:rPr>
                <w:rFonts w:hint="eastAsia" w:ascii="宋体" w:hAnsi="宋体"/>
                <w:color w:val="000000" w:themeColor="text1"/>
                <w:sz w:val="24"/>
                <w:highlight w:val="none"/>
                <w:lang w:val="en-GB"/>
                <w14:textFill>
                  <w14:solidFill>
                    <w14:schemeClr w14:val="tx1"/>
                  </w14:solidFill>
                </w14:textFill>
              </w:rPr>
              <w:t>金额合计（元）</w:t>
            </w:r>
          </w:p>
          <w:p w14:paraId="320C864A">
            <w:pPr>
              <w:rPr>
                <w:color w:val="000000" w:themeColor="text1"/>
                <w:highlight w:val="none"/>
                <w14:textFill>
                  <w14:solidFill>
                    <w14:schemeClr w14:val="tx1"/>
                  </w14:solidFill>
                </w14:textFill>
              </w:rPr>
            </w:pPr>
          </w:p>
        </w:tc>
        <w:tc>
          <w:tcPr>
            <w:tcW w:w="1621" w:type="dxa"/>
            <w:vAlign w:val="center"/>
          </w:tcPr>
          <w:p w14:paraId="25888E2A">
            <w:pPr>
              <w:pStyle w:val="69"/>
              <w:tabs>
                <w:tab w:val="left" w:pos="1260"/>
              </w:tabs>
              <w:jc w:val="center"/>
              <w:rPr>
                <w:rFonts w:ascii="宋体" w:hAnsi="宋体"/>
                <w:color w:val="000000" w:themeColor="text1"/>
                <w:sz w:val="24"/>
                <w:highlight w:val="none"/>
                <w:lang w:val="en-GB"/>
                <w14:textFill>
                  <w14:solidFill>
                    <w14:schemeClr w14:val="tx1"/>
                  </w14:solidFill>
                </w14:textFill>
              </w:rPr>
            </w:pPr>
          </w:p>
        </w:tc>
      </w:tr>
    </w:tbl>
    <w:p w14:paraId="0185574C">
      <w:pPr>
        <w:pStyle w:val="69"/>
        <w:spacing w:line="360" w:lineRule="auto"/>
        <w:rPr>
          <w:rFonts w:ascii="宋体" w:hAnsi="宋体"/>
          <w:color w:val="000000" w:themeColor="text1"/>
          <w:szCs w:val="21"/>
          <w:highlight w:val="none"/>
          <w:lang w:val="en-GB"/>
          <w14:textFill>
            <w14:solidFill>
              <w14:schemeClr w14:val="tx1"/>
            </w14:solidFill>
          </w14:textFill>
        </w:rPr>
      </w:pPr>
    </w:p>
    <w:p w14:paraId="7372A067">
      <w:pPr>
        <w:pStyle w:val="69"/>
        <w:spacing w:line="360" w:lineRule="auto"/>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填报要求：</w:t>
      </w:r>
    </w:p>
    <w:p w14:paraId="0F807D2F">
      <w:pPr>
        <w:pStyle w:val="69"/>
        <w:widowControl/>
        <w:numPr>
          <w:ilvl w:val="0"/>
          <w:numId w:val="19"/>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本表的产品名称、规格型号和注册商标、金额要与《报价明细表》一致。</w:t>
      </w:r>
    </w:p>
    <w:p w14:paraId="4F4F3EC7">
      <w:pPr>
        <w:pStyle w:val="69"/>
        <w:widowControl/>
        <w:numPr>
          <w:ilvl w:val="0"/>
          <w:numId w:val="19"/>
        </w:numPr>
        <w:tabs>
          <w:tab w:val="left" w:pos="360"/>
        </w:tabs>
        <w:spacing w:line="360" w:lineRule="auto"/>
        <w:ind w:left="360" w:right="84" w:rightChars="40" w:hanging="36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制造商为小型或微型企业时才需要填“制造商企业类型”栏，填写内容为“小型”或“微型”。</w:t>
      </w:r>
    </w:p>
    <w:p w14:paraId="2E2835CE">
      <w:pPr>
        <w:pStyle w:val="69"/>
        <w:widowControl/>
        <w:numPr>
          <w:ilvl w:val="0"/>
          <w:numId w:val="19"/>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14:paraId="57A4EDAF">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D3F4836">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2FC22033">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455A239D">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2E1504C5">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7764BF06">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F0131A1">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BD9CF6C">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DF7254C">
      <w:pPr>
        <w:pStyle w:val="5"/>
        <w:spacing w:line="413" w:lineRule="auto"/>
        <w:jc w:val="center"/>
        <w:textAlignment w:val="baseline"/>
        <w:rPr>
          <w:rFonts w:ascii="宋体" w:hAnsi="宋体" w:cs="宋体"/>
          <w:color w:val="000000" w:themeColor="text1"/>
          <w:highlight w:val="none"/>
          <w14:textFill>
            <w14:solidFill>
              <w14:schemeClr w14:val="tx1"/>
            </w14:solidFill>
          </w14:textFill>
        </w:rPr>
      </w:pPr>
      <w:bookmarkStart w:id="151" w:name="_Toc5362"/>
      <w:r>
        <w:rPr>
          <w:rFonts w:hint="eastAsia" w:ascii="宋体" w:hAnsi="宋体" w:cs="宋体"/>
          <w:color w:val="000000" w:themeColor="text1"/>
          <w:highlight w:val="none"/>
          <w14:textFill>
            <w14:solidFill>
              <w14:schemeClr w14:val="tx1"/>
            </w14:solidFill>
          </w14:textFill>
        </w:rPr>
        <w:t>附件21-政府采购活动确认声明书</w:t>
      </w:r>
      <w:bookmarkEnd w:id="151"/>
    </w:p>
    <w:p w14:paraId="5D5E9DE3">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color="000000"/>
          <w14:textFill>
            <w14:solidFill>
              <w14:schemeClr w14:val="tx1"/>
            </w14:solidFill>
          </w14:textFill>
        </w:rPr>
        <w:t>杭州华旗招标代理有限公司</w:t>
      </w:r>
      <w:r>
        <w:rPr>
          <w:rFonts w:hint="eastAsia" w:ascii="宋体" w:hAnsi="宋体" w:cs="宋体"/>
          <w:color w:val="000000" w:themeColor="text1"/>
          <w:sz w:val="24"/>
          <w:highlight w:val="none"/>
          <w14:textFill>
            <w14:solidFill>
              <w14:schemeClr w14:val="tx1"/>
            </w14:solidFill>
          </w14:textFill>
        </w:rPr>
        <w:t>（采购组织机构名称）：</w:t>
      </w:r>
    </w:p>
    <w:p w14:paraId="11DC0009">
      <w:pPr>
        <w:spacing w:line="420" w:lineRule="exact"/>
        <w:ind w:firstLine="480" w:firstLineChars="200"/>
        <w:textAlignment w:val="baseline"/>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本人经由单位（法人代表（负责人））合法授权参加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zh-CN"/>
          <w14:textFill>
            <w14:solidFill>
              <w14:schemeClr w14:val="tx1"/>
            </w14:solidFill>
          </w14:textFill>
        </w:rPr>
        <w:t>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14:paraId="3FFA0255">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 □不存在利害关系 □存在下列利害关系：</w:t>
      </w:r>
    </w:p>
    <w:p w14:paraId="75383F08">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    B.行政隶属关系    C.业务指导关系</w:t>
      </w:r>
    </w:p>
    <w:p w14:paraId="09D7130A">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D.其他可能影响采购公正的利害关系（如有，请如实说明）。</w:t>
      </w:r>
    </w:p>
    <w:p w14:paraId="1B02274C">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□与（供应商名称）之间存在下列利害关系：</w:t>
      </w:r>
    </w:p>
    <w:p w14:paraId="3CAA5F15">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w:t>
      </w:r>
    </w:p>
    <w:p w14:paraId="6F0E859D">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B.法定代表人或负责人或实际控制人是夫妻关系</w:t>
      </w:r>
    </w:p>
    <w:p w14:paraId="1B28C1D6">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14:paraId="05A0F481">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14:paraId="0AD0B077">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14:paraId="030E702B">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14:paraId="5BF1D82B">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14:paraId="67FECC74">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34F65F06">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p>
    <w:p w14:paraId="6AA83DB2">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三、现已清楚知道并严格遵守政府采购法律法规和现场纪律。</w:t>
      </w:r>
    </w:p>
    <w:p w14:paraId="5353D1AB">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四、我发现供应商之间存在或可能存在上述第二条第项利害关系。</w:t>
      </w:r>
    </w:p>
    <w:p w14:paraId="519F7E90">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14:paraId="6EC7344D">
      <w:pPr>
        <w:spacing w:line="420" w:lineRule="exact"/>
        <w:ind w:firstLine="1928" w:firstLineChars="8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供应商代表签名：               </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  月  日</w:t>
      </w:r>
    </w:p>
    <w:p w14:paraId="6B2E4D94">
      <w:pPr>
        <w:spacing w:line="420" w:lineRule="exact"/>
        <w:ind w:firstLine="422" w:firstLineChars="200"/>
        <w:textAlignment w:val="baseline"/>
        <w:rPr>
          <w:rFonts w:ascii="宋体" w:hAnsi="宋体" w:cs="宋体"/>
          <w:b/>
          <w:bCs/>
          <w:color w:val="000000" w:themeColor="text1"/>
          <w:szCs w:val="21"/>
          <w:highlight w:val="none"/>
          <w:u w:val="single" w:color="000000"/>
          <w14:textFill>
            <w14:solidFill>
              <w14:schemeClr w14:val="tx1"/>
            </w14:solidFill>
          </w14:textFill>
        </w:rPr>
      </w:pPr>
      <w:r>
        <w:rPr>
          <w:rFonts w:hint="eastAsia" w:ascii="宋体" w:hAnsi="宋体" w:cs="宋体"/>
          <w:b/>
          <w:bCs/>
          <w:color w:val="000000" w:themeColor="text1"/>
          <w:szCs w:val="21"/>
          <w:highlight w:val="none"/>
          <w:u w:val="single" w:color="000000"/>
          <w14:textFill>
            <w14:solidFill>
              <w14:schemeClr w14:val="tx1"/>
            </w14:solidFill>
          </w14:textFill>
        </w:rPr>
        <w:t>说明：商务技术文件开启后30分钟内，供应商通过邮件形式将经授权代表签署的《</w:t>
      </w:r>
      <w:r>
        <w:rPr>
          <w:rFonts w:hint="eastAsia" w:ascii="宋体" w:hAnsi="宋体" w:cs="宋体"/>
          <w:b/>
          <w:bCs/>
          <w:color w:val="000000" w:themeColor="text1"/>
          <w:szCs w:val="21"/>
          <w:highlight w:val="none"/>
          <w:u w:val="single" w:color="000000"/>
          <w:lang w:val="en-GB"/>
          <w14:textFill>
            <w14:solidFill>
              <w14:schemeClr w14:val="tx1"/>
            </w14:solidFill>
          </w14:textFill>
        </w:rPr>
        <w:t>政府采购活动确认声明书</w:t>
      </w:r>
      <w:r>
        <w:rPr>
          <w:rFonts w:hint="eastAsia" w:ascii="宋体" w:hAnsi="宋体" w:cs="宋体"/>
          <w:b/>
          <w:bCs/>
          <w:color w:val="000000" w:themeColor="text1"/>
          <w:szCs w:val="21"/>
          <w:highlight w:val="none"/>
          <w:u w:val="single" w:color="000000"/>
          <w14:textFill>
            <w14:solidFill>
              <w14:schemeClr w14:val="tx1"/>
            </w14:solidFill>
          </w14:textFill>
        </w:rPr>
        <w:t>》扫描件发至代理机构经办人邮箱（邮箱地址：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Cs w:val="21"/>
          <w:highlight w:val="none"/>
          <w:u w:val="single" w:color="000000"/>
          <w14:textFill>
            <w14:solidFill>
              <w14:schemeClr w14:val="tx1"/>
            </w14:solidFill>
          </w14:textFill>
        </w:rPr>
        <w:t>1558998580@qq.com）；</w:t>
      </w:r>
      <w:r>
        <w:rPr>
          <w:rFonts w:hint="eastAsia" w:ascii="宋体" w:hAnsi="宋体" w:cs="宋体"/>
          <w:b/>
          <w:bCs/>
          <w:color w:val="000000" w:themeColor="text1"/>
          <w:szCs w:val="21"/>
          <w:highlight w:val="none"/>
          <w:u w:val="single" w:color="000000"/>
          <w14:textFill>
            <w14:solidFill>
              <w14:schemeClr w14:val="tx1"/>
            </w14:solidFill>
          </w14:textFill>
        </w:rPr>
        <w:fldChar w:fldCharType="end"/>
      </w:r>
      <w:r>
        <w:rPr>
          <w:rFonts w:hint="eastAsia" w:ascii="宋体" w:hAnsi="宋体" w:cs="宋体"/>
          <w:b/>
          <w:bCs/>
          <w:color w:val="000000" w:themeColor="text1"/>
          <w:szCs w:val="21"/>
          <w:highlight w:val="none"/>
          <w:u w:val="single" w:color="000000"/>
          <w14:textFill>
            <w14:solidFill>
              <w14:schemeClr w14:val="tx1"/>
            </w14:solidFill>
          </w14:textFill>
        </w:rPr>
        <w:t>不填写或未按规定发出邮件的，视同默认不存在确认声明书中的相关违规情形。</w:t>
      </w:r>
    </w:p>
    <w:p w14:paraId="6A631E46">
      <w:pPr>
        <w:pStyle w:val="19"/>
        <w:numPr>
          <w:ilvl w:val="0"/>
          <w:numId w:val="0"/>
        </w:numPr>
        <w:rPr>
          <w:rFonts w:ascii="宋体" w:hAnsi="宋体" w:cs="宋体"/>
          <w:color w:val="000000" w:themeColor="text1"/>
          <w:highlight w:val="none"/>
          <w:u w:val="single"/>
          <w14:textFill>
            <w14:solidFill>
              <w14:schemeClr w14:val="tx1"/>
            </w14:solidFill>
          </w14:textFill>
        </w:rPr>
      </w:pPr>
    </w:p>
    <w:p w14:paraId="778D58D7">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4962226">
      <w:pPr>
        <w:pStyle w:val="77"/>
        <w:spacing w:line="360" w:lineRule="auto"/>
        <w:rPr>
          <w:rFonts w:ascii="宋体" w:hAnsi="宋体" w:cs="宋体"/>
          <w:b/>
          <w:color w:val="000000" w:themeColor="text1"/>
          <w:sz w:val="28"/>
          <w:szCs w:val="28"/>
          <w:highlight w:val="none"/>
          <w14:textFill>
            <w14:solidFill>
              <w14:schemeClr w14:val="tx1"/>
            </w14:solidFill>
          </w14:textFill>
        </w:rPr>
      </w:pPr>
    </w:p>
    <w:p w14:paraId="0EA8D0F8">
      <w:pPr>
        <w:pStyle w:val="34"/>
        <w:ind w:firstLine="0" w:firstLineChars="0"/>
        <w:rPr>
          <w:rFonts w:ascii="宋体" w:hAnsi="宋体" w:cs="宋体"/>
          <w:color w:val="000000" w:themeColor="text1"/>
          <w:highlight w:val="none"/>
          <w:u w:val="single"/>
          <w14:textFill>
            <w14:solidFill>
              <w14:schemeClr w14:val="tx1"/>
            </w14:solidFill>
          </w14:textFill>
        </w:rPr>
      </w:pPr>
    </w:p>
    <w:sectPr>
      <w:headerReference r:id="rId3" w:type="default"/>
      <w:footerReference r:id="rId4" w:type="default"/>
      <w:pgSz w:w="11906" w:h="16838"/>
      <w:pgMar w:top="1440" w:right="1046" w:bottom="1440" w:left="12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7F" w:usb3="00000000" w:csb0="003F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8845">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FA1D71">
                          <w:pPr>
                            <w:pStyle w:val="2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14:paraId="17FA1D71">
                    <w:pPr>
                      <w:pStyle w:val="2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9830A">
    <w:pPr>
      <w:spacing w:line="20" w:lineRule="atLeast"/>
      <w:rPr>
        <w:b/>
        <w:color w:val="808080"/>
        <w:sz w:val="10"/>
        <w:u w:val="single"/>
      </w:rPr>
    </w:pPr>
    <w:r>
      <w:rPr>
        <w:rFonts w:hint="eastAsia"/>
        <w:b/>
        <w:i/>
        <w:color w:val="808080"/>
        <w:kern w:val="0"/>
        <w:sz w:val="18"/>
        <w:u w:val="single"/>
      </w:rPr>
      <w:t>玉环市政府采购公开招标文件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98451F27"/>
    <w:multiLevelType w:val="multilevel"/>
    <w:tmpl w:val="98451F27"/>
    <w:lvl w:ilvl="0" w:tentative="0">
      <w:start w:val="4"/>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A588B0EE"/>
    <w:multiLevelType w:val="singleLevel"/>
    <w:tmpl w:val="A588B0EE"/>
    <w:lvl w:ilvl="0" w:tentative="0">
      <w:start w:val="2"/>
      <w:numFmt w:val="chineseCounting"/>
      <w:suff w:val="nothing"/>
      <w:lvlText w:val="%1、"/>
      <w:lvlJc w:val="left"/>
      <w:rPr>
        <w:rFonts w:hint="eastAsia"/>
      </w:rPr>
    </w:lvl>
  </w:abstractNum>
  <w:abstractNum w:abstractNumId="3">
    <w:nsid w:val="B1285407"/>
    <w:multiLevelType w:val="singleLevel"/>
    <w:tmpl w:val="B1285407"/>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4">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5">
    <w:nsid w:val="F0EADC9C"/>
    <w:multiLevelType w:val="singleLevel"/>
    <w:tmpl w:val="F0EADC9C"/>
    <w:lvl w:ilvl="0" w:tentative="0">
      <w:start w:val="1"/>
      <w:numFmt w:val="decimal"/>
      <w:suff w:val="space"/>
      <w:lvlText w:val="%1、"/>
      <w:lvlJc w:val="left"/>
    </w:lvl>
  </w:abstractNum>
  <w:abstractNum w:abstractNumId="6">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pStyle w:val="99"/>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8">
    <w:nsid w:val="0B8E9A1F"/>
    <w:multiLevelType w:val="singleLevel"/>
    <w:tmpl w:val="0B8E9A1F"/>
    <w:lvl w:ilvl="0" w:tentative="0">
      <w:start w:val="1"/>
      <w:numFmt w:val="decimal"/>
      <w:suff w:val="nothing"/>
      <w:lvlText w:val="（%1）"/>
      <w:lvlJc w:val="left"/>
    </w:lvl>
  </w:abstractNum>
  <w:abstractNum w:abstractNumId="9">
    <w:nsid w:val="0FFFFF7C"/>
    <w:multiLevelType w:val="singleLevel"/>
    <w:tmpl w:val="0FFFFF7C"/>
    <w:lvl w:ilvl="0" w:tentative="0">
      <w:start w:val="1"/>
      <w:numFmt w:val="decimal"/>
      <w:pStyle w:val="45"/>
      <w:lvlText w:val="%1."/>
      <w:lvlJc w:val="left"/>
      <w:pPr>
        <w:tabs>
          <w:tab w:val="left" w:pos="2040"/>
        </w:tabs>
        <w:ind w:left="2040" w:hanging="360"/>
      </w:pPr>
    </w:lvl>
  </w:abstractNum>
  <w:abstractNum w:abstractNumId="10">
    <w:nsid w:val="36EB8182"/>
    <w:multiLevelType w:val="singleLevel"/>
    <w:tmpl w:val="36EB8182"/>
    <w:lvl w:ilvl="0" w:tentative="0">
      <w:start w:val="1"/>
      <w:numFmt w:val="decimal"/>
      <w:suff w:val="space"/>
      <w:lvlText w:val="%1."/>
      <w:lvlJc w:val="left"/>
    </w:lvl>
  </w:abstractNum>
  <w:abstractNum w:abstractNumId="11">
    <w:nsid w:val="45CA196C"/>
    <w:multiLevelType w:val="multilevel"/>
    <w:tmpl w:val="45CA196C"/>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461E5E94"/>
    <w:multiLevelType w:val="singleLevel"/>
    <w:tmpl w:val="461E5E94"/>
    <w:lvl w:ilvl="0" w:tentative="0">
      <w:start w:val="1"/>
      <w:numFmt w:val="chineseCountingThousand"/>
      <w:suff w:val="space"/>
      <w:lvlText w:val="第%1章"/>
      <w:lvlJc w:val="left"/>
      <w:pPr>
        <w:ind w:left="0" w:firstLine="0"/>
      </w:pPr>
      <w:rPr>
        <w:rFonts w:hint="eastAsia"/>
      </w:rPr>
    </w:lvl>
  </w:abstractNum>
  <w:abstractNum w:abstractNumId="13">
    <w:nsid w:val="471E06A1"/>
    <w:multiLevelType w:val="singleLevel"/>
    <w:tmpl w:val="471E06A1"/>
    <w:lvl w:ilvl="0" w:tentative="0">
      <w:start w:val="1"/>
      <w:numFmt w:val="japaneseCounting"/>
      <w:pStyle w:val="9"/>
      <w:lvlText w:val="%1、"/>
      <w:lvlJc w:val="left"/>
      <w:pPr>
        <w:tabs>
          <w:tab w:val="left" w:pos="960"/>
        </w:tabs>
        <w:ind w:left="960" w:hanging="600"/>
      </w:pPr>
      <w:rPr>
        <w:rFonts w:hint="eastAsia"/>
        <w:lang w:val="en-US"/>
      </w:rPr>
    </w:lvl>
  </w:abstractNum>
  <w:abstractNum w:abstractNumId="14">
    <w:nsid w:val="48A65F72"/>
    <w:multiLevelType w:val="multilevel"/>
    <w:tmpl w:val="48A65F72"/>
    <w:lvl w:ilvl="0" w:tentative="0">
      <w:start w:val="1"/>
      <w:numFmt w:val="chineseCountingThousand"/>
      <w:suff w:val="nothing"/>
      <w:lvlText w:val="第%1章"/>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pStyle w:val="7"/>
      <w:suff w:val="nothing"/>
      <w:lvlText w:val="%3.%4、"/>
      <w:lvlJc w:val="left"/>
      <w:pPr>
        <w:ind w:left="0" w:firstLine="0"/>
      </w:pPr>
      <w:rPr>
        <w:rFonts w:hint="eastAsia"/>
      </w:rPr>
    </w:lvl>
    <w:lvl w:ilvl="4" w:tentative="0">
      <w:start w:val="1"/>
      <w:numFmt w:val="decimal"/>
      <w:suff w:val="nothing"/>
      <w:lvlText w:val="%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5">
    <w:nsid w:val="63FF75D8"/>
    <w:multiLevelType w:val="multilevel"/>
    <w:tmpl w:val="63FF75D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8"/>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67224164"/>
    <w:multiLevelType w:val="multilevel"/>
    <w:tmpl w:val="67224164"/>
    <w:lvl w:ilvl="0" w:tentative="0">
      <w:start w:val="1"/>
      <w:numFmt w:val="decimal"/>
      <w:lvlText w:val="（%1）"/>
      <w:lvlJc w:val="left"/>
      <w:pPr>
        <w:ind w:left="919" w:hanging="420"/>
      </w:pPr>
    </w:lvl>
    <w:lvl w:ilvl="1" w:tentative="0">
      <w:start w:val="1"/>
      <w:numFmt w:val="lowerLetter"/>
      <w:lvlText w:val="%2)"/>
      <w:lvlJc w:val="left"/>
      <w:pPr>
        <w:ind w:left="1339" w:hanging="420"/>
      </w:pPr>
    </w:lvl>
    <w:lvl w:ilvl="2" w:tentative="0">
      <w:start w:val="1"/>
      <w:numFmt w:val="lowerRoman"/>
      <w:lvlText w:val="%3."/>
      <w:lvlJc w:val="right"/>
      <w:pPr>
        <w:ind w:left="1759" w:hanging="420"/>
      </w:pPr>
    </w:lvl>
    <w:lvl w:ilvl="3" w:tentative="0">
      <w:start w:val="1"/>
      <w:numFmt w:val="decimal"/>
      <w:lvlText w:val="%4."/>
      <w:lvlJc w:val="left"/>
      <w:pPr>
        <w:ind w:left="2179" w:hanging="420"/>
      </w:pPr>
    </w:lvl>
    <w:lvl w:ilvl="4" w:tentative="0">
      <w:start w:val="1"/>
      <w:numFmt w:val="lowerLetter"/>
      <w:lvlText w:val="%5)"/>
      <w:lvlJc w:val="left"/>
      <w:pPr>
        <w:ind w:left="2599" w:hanging="420"/>
      </w:pPr>
    </w:lvl>
    <w:lvl w:ilvl="5" w:tentative="0">
      <w:start w:val="1"/>
      <w:numFmt w:val="lowerRoman"/>
      <w:lvlText w:val="%6."/>
      <w:lvlJc w:val="right"/>
      <w:pPr>
        <w:ind w:left="3019" w:hanging="420"/>
      </w:pPr>
    </w:lvl>
    <w:lvl w:ilvl="6" w:tentative="0">
      <w:start w:val="1"/>
      <w:numFmt w:val="decimal"/>
      <w:lvlText w:val="%7."/>
      <w:lvlJc w:val="left"/>
      <w:pPr>
        <w:ind w:left="3439" w:hanging="420"/>
      </w:pPr>
    </w:lvl>
    <w:lvl w:ilvl="7" w:tentative="0">
      <w:start w:val="1"/>
      <w:numFmt w:val="lowerLetter"/>
      <w:lvlText w:val="%8)"/>
      <w:lvlJc w:val="left"/>
      <w:pPr>
        <w:ind w:left="3859" w:hanging="420"/>
      </w:pPr>
    </w:lvl>
    <w:lvl w:ilvl="8" w:tentative="0">
      <w:start w:val="1"/>
      <w:numFmt w:val="lowerRoman"/>
      <w:lvlText w:val="%9."/>
      <w:lvlJc w:val="right"/>
      <w:pPr>
        <w:ind w:left="4279" w:hanging="420"/>
      </w:pPr>
    </w:lvl>
  </w:abstractNum>
  <w:abstractNum w:abstractNumId="17">
    <w:nsid w:val="69D97FEB"/>
    <w:multiLevelType w:val="singleLevel"/>
    <w:tmpl w:val="69D97FEB"/>
    <w:lvl w:ilvl="0" w:tentative="0">
      <w:start w:val="1"/>
      <w:numFmt w:val="chineseCounting"/>
      <w:suff w:val="nothing"/>
      <w:lvlText w:val="%1、"/>
      <w:lvlJc w:val="left"/>
      <w:rPr>
        <w:rFonts w:hint="eastAsia"/>
      </w:rPr>
    </w:lvl>
  </w:abstractNum>
  <w:abstractNum w:abstractNumId="18">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4"/>
  </w:num>
  <w:num w:numId="2">
    <w:abstractNumId w:val="15"/>
  </w:num>
  <w:num w:numId="3">
    <w:abstractNumId w:val="13"/>
  </w:num>
  <w:num w:numId="4">
    <w:abstractNumId w:val="3"/>
  </w:num>
  <w:num w:numId="5">
    <w:abstractNumId w:val="9"/>
  </w:num>
  <w:num w:numId="6">
    <w:abstractNumId w:val="6"/>
  </w:num>
  <w:num w:numId="7">
    <w:abstractNumId w:val="12"/>
  </w:num>
  <w:num w:numId="8">
    <w:abstractNumId w:val="17"/>
  </w:num>
  <w:num w:numId="9">
    <w:abstractNumId w:val="7"/>
  </w:num>
  <w:num w:numId="10">
    <w:abstractNumId w:val="8"/>
  </w:num>
  <w:num w:numId="11">
    <w:abstractNumId w:val="16"/>
  </w:num>
  <w:num w:numId="12">
    <w:abstractNumId w:val="4"/>
  </w:num>
  <w:num w:numId="13">
    <w:abstractNumId w:val="1"/>
  </w:num>
  <w:num w:numId="14">
    <w:abstractNumId w:val="2"/>
  </w:num>
  <w:num w:numId="15">
    <w:abstractNumId w:val="10"/>
  </w:num>
  <w:num w:numId="16">
    <w:abstractNumId w:val="11"/>
  </w:num>
  <w:num w:numId="17">
    <w:abstractNumId w:val="0"/>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25CDE"/>
    <w:rsid w:val="00002FCA"/>
    <w:rsid w:val="00003136"/>
    <w:rsid w:val="000041CC"/>
    <w:rsid w:val="000068E3"/>
    <w:rsid w:val="00007EDE"/>
    <w:rsid w:val="00007FCF"/>
    <w:rsid w:val="000113CF"/>
    <w:rsid w:val="00014706"/>
    <w:rsid w:val="000151B8"/>
    <w:rsid w:val="0002004B"/>
    <w:rsid w:val="0002114A"/>
    <w:rsid w:val="000238C2"/>
    <w:rsid w:val="000251CD"/>
    <w:rsid w:val="00033334"/>
    <w:rsid w:val="0003384E"/>
    <w:rsid w:val="00034FCB"/>
    <w:rsid w:val="000374FC"/>
    <w:rsid w:val="0004435E"/>
    <w:rsid w:val="00046EBC"/>
    <w:rsid w:val="000500CE"/>
    <w:rsid w:val="00057F44"/>
    <w:rsid w:val="000618F0"/>
    <w:rsid w:val="00066D78"/>
    <w:rsid w:val="0007223F"/>
    <w:rsid w:val="00076373"/>
    <w:rsid w:val="00077817"/>
    <w:rsid w:val="00077A92"/>
    <w:rsid w:val="00080F66"/>
    <w:rsid w:val="00083D0B"/>
    <w:rsid w:val="00091CC6"/>
    <w:rsid w:val="00092528"/>
    <w:rsid w:val="00093886"/>
    <w:rsid w:val="00096E41"/>
    <w:rsid w:val="0009771D"/>
    <w:rsid w:val="000A1947"/>
    <w:rsid w:val="000A3E87"/>
    <w:rsid w:val="000A5FE4"/>
    <w:rsid w:val="000A6575"/>
    <w:rsid w:val="000B43CD"/>
    <w:rsid w:val="000B736F"/>
    <w:rsid w:val="000C0B10"/>
    <w:rsid w:val="000C39A0"/>
    <w:rsid w:val="000C5470"/>
    <w:rsid w:val="000C5B76"/>
    <w:rsid w:val="000C6D68"/>
    <w:rsid w:val="000D4371"/>
    <w:rsid w:val="000D529D"/>
    <w:rsid w:val="000D52A7"/>
    <w:rsid w:val="000D7332"/>
    <w:rsid w:val="000E15A2"/>
    <w:rsid w:val="000E308E"/>
    <w:rsid w:val="000E3830"/>
    <w:rsid w:val="000E38B3"/>
    <w:rsid w:val="000E4557"/>
    <w:rsid w:val="000E6104"/>
    <w:rsid w:val="000F319F"/>
    <w:rsid w:val="000F4D36"/>
    <w:rsid w:val="000F51EA"/>
    <w:rsid w:val="000F5AA3"/>
    <w:rsid w:val="00101E24"/>
    <w:rsid w:val="00106624"/>
    <w:rsid w:val="00111749"/>
    <w:rsid w:val="00111E1B"/>
    <w:rsid w:val="00113A1B"/>
    <w:rsid w:val="0011627D"/>
    <w:rsid w:val="00116C9D"/>
    <w:rsid w:val="00120975"/>
    <w:rsid w:val="00120BB1"/>
    <w:rsid w:val="001224C6"/>
    <w:rsid w:val="00122D50"/>
    <w:rsid w:val="0013101E"/>
    <w:rsid w:val="001318A9"/>
    <w:rsid w:val="00131B16"/>
    <w:rsid w:val="00132EA5"/>
    <w:rsid w:val="001339D9"/>
    <w:rsid w:val="00133C30"/>
    <w:rsid w:val="00133D05"/>
    <w:rsid w:val="001346F0"/>
    <w:rsid w:val="00135A66"/>
    <w:rsid w:val="0013792F"/>
    <w:rsid w:val="00140EC9"/>
    <w:rsid w:val="00142C82"/>
    <w:rsid w:val="001451FF"/>
    <w:rsid w:val="00145E25"/>
    <w:rsid w:val="00146327"/>
    <w:rsid w:val="00147C0A"/>
    <w:rsid w:val="001501C0"/>
    <w:rsid w:val="001516AF"/>
    <w:rsid w:val="00151851"/>
    <w:rsid w:val="00153F10"/>
    <w:rsid w:val="00156341"/>
    <w:rsid w:val="00157396"/>
    <w:rsid w:val="001574E8"/>
    <w:rsid w:val="001576BB"/>
    <w:rsid w:val="00164294"/>
    <w:rsid w:val="00166951"/>
    <w:rsid w:val="00166D22"/>
    <w:rsid w:val="001710D8"/>
    <w:rsid w:val="00172C6C"/>
    <w:rsid w:val="001771E5"/>
    <w:rsid w:val="001778D7"/>
    <w:rsid w:val="001800E8"/>
    <w:rsid w:val="00181F9E"/>
    <w:rsid w:val="001830C2"/>
    <w:rsid w:val="001876DD"/>
    <w:rsid w:val="00190B97"/>
    <w:rsid w:val="0019183A"/>
    <w:rsid w:val="00195CF6"/>
    <w:rsid w:val="00196345"/>
    <w:rsid w:val="00196BAF"/>
    <w:rsid w:val="001A18A4"/>
    <w:rsid w:val="001A1B71"/>
    <w:rsid w:val="001A3738"/>
    <w:rsid w:val="001A554A"/>
    <w:rsid w:val="001A6152"/>
    <w:rsid w:val="001B20FD"/>
    <w:rsid w:val="001B40C9"/>
    <w:rsid w:val="001C4485"/>
    <w:rsid w:val="001C56FB"/>
    <w:rsid w:val="001C73D4"/>
    <w:rsid w:val="001D1DB2"/>
    <w:rsid w:val="001D53D7"/>
    <w:rsid w:val="001D55EA"/>
    <w:rsid w:val="001D7F0C"/>
    <w:rsid w:val="001E4207"/>
    <w:rsid w:val="001E66E4"/>
    <w:rsid w:val="001E738B"/>
    <w:rsid w:val="001E7E4F"/>
    <w:rsid w:val="001E7EDC"/>
    <w:rsid w:val="001F00FE"/>
    <w:rsid w:val="001F182C"/>
    <w:rsid w:val="001F1E48"/>
    <w:rsid w:val="00204B47"/>
    <w:rsid w:val="0020697E"/>
    <w:rsid w:val="002116C9"/>
    <w:rsid w:val="00213518"/>
    <w:rsid w:val="00215177"/>
    <w:rsid w:val="002158DE"/>
    <w:rsid w:val="002163E5"/>
    <w:rsid w:val="00217E6D"/>
    <w:rsid w:val="00222D9F"/>
    <w:rsid w:val="0022576A"/>
    <w:rsid w:val="00225CDE"/>
    <w:rsid w:val="00225EE4"/>
    <w:rsid w:val="002272C6"/>
    <w:rsid w:val="00234E1A"/>
    <w:rsid w:val="00241EB4"/>
    <w:rsid w:val="00242A7D"/>
    <w:rsid w:val="00253CFD"/>
    <w:rsid w:val="00255016"/>
    <w:rsid w:val="00256CB0"/>
    <w:rsid w:val="00257A80"/>
    <w:rsid w:val="0026109B"/>
    <w:rsid w:val="002635F8"/>
    <w:rsid w:val="00263B66"/>
    <w:rsid w:val="002641D0"/>
    <w:rsid w:val="00264884"/>
    <w:rsid w:val="0026668F"/>
    <w:rsid w:val="00267BF2"/>
    <w:rsid w:val="00270EB6"/>
    <w:rsid w:val="00271703"/>
    <w:rsid w:val="002760D9"/>
    <w:rsid w:val="002800C8"/>
    <w:rsid w:val="002875DB"/>
    <w:rsid w:val="00291659"/>
    <w:rsid w:val="002917A1"/>
    <w:rsid w:val="00293BA2"/>
    <w:rsid w:val="00294783"/>
    <w:rsid w:val="002968E4"/>
    <w:rsid w:val="00296AEA"/>
    <w:rsid w:val="002A30B4"/>
    <w:rsid w:val="002B3FDA"/>
    <w:rsid w:val="002C2773"/>
    <w:rsid w:val="002C3AF4"/>
    <w:rsid w:val="002D0961"/>
    <w:rsid w:val="002D3351"/>
    <w:rsid w:val="002D3C2B"/>
    <w:rsid w:val="002D4E9E"/>
    <w:rsid w:val="002E0105"/>
    <w:rsid w:val="002E0695"/>
    <w:rsid w:val="002E0977"/>
    <w:rsid w:val="002E12F2"/>
    <w:rsid w:val="002E3430"/>
    <w:rsid w:val="002E7F83"/>
    <w:rsid w:val="002F14B6"/>
    <w:rsid w:val="002F2E84"/>
    <w:rsid w:val="002F463E"/>
    <w:rsid w:val="002F61FA"/>
    <w:rsid w:val="002F67C7"/>
    <w:rsid w:val="0030045B"/>
    <w:rsid w:val="003037C0"/>
    <w:rsid w:val="003076D9"/>
    <w:rsid w:val="0031041F"/>
    <w:rsid w:val="00313A6D"/>
    <w:rsid w:val="00314627"/>
    <w:rsid w:val="00316754"/>
    <w:rsid w:val="00317F94"/>
    <w:rsid w:val="0032065E"/>
    <w:rsid w:val="00321974"/>
    <w:rsid w:val="003261EA"/>
    <w:rsid w:val="00327CB1"/>
    <w:rsid w:val="0033564A"/>
    <w:rsid w:val="00336F8A"/>
    <w:rsid w:val="00337718"/>
    <w:rsid w:val="0034443C"/>
    <w:rsid w:val="00344490"/>
    <w:rsid w:val="003448C9"/>
    <w:rsid w:val="003469EA"/>
    <w:rsid w:val="003505FE"/>
    <w:rsid w:val="0035077C"/>
    <w:rsid w:val="0035233F"/>
    <w:rsid w:val="003535F0"/>
    <w:rsid w:val="003557A7"/>
    <w:rsid w:val="00361394"/>
    <w:rsid w:val="003625A2"/>
    <w:rsid w:val="00363122"/>
    <w:rsid w:val="003635A8"/>
    <w:rsid w:val="00364861"/>
    <w:rsid w:val="00365A89"/>
    <w:rsid w:val="00366159"/>
    <w:rsid w:val="003663C9"/>
    <w:rsid w:val="003672EE"/>
    <w:rsid w:val="0037163B"/>
    <w:rsid w:val="00372507"/>
    <w:rsid w:val="00372734"/>
    <w:rsid w:val="00372D03"/>
    <w:rsid w:val="00372E53"/>
    <w:rsid w:val="00374028"/>
    <w:rsid w:val="00374CB0"/>
    <w:rsid w:val="003769A9"/>
    <w:rsid w:val="00376B53"/>
    <w:rsid w:val="00376C70"/>
    <w:rsid w:val="003773F6"/>
    <w:rsid w:val="003849E0"/>
    <w:rsid w:val="0038577E"/>
    <w:rsid w:val="00386D57"/>
    <w:rsid w:val="00387546"/>
    <w:rsid w:val="003915F1"/>
    <w:rsid w:val="003938DD"/>
    <w:rsid w:val="00393B50"/>
    <w:rsid w:val="00397A50"/>
    <w:rsid w:val="003A50E0"/>
    <w:rsid w:val="003A53DD"/>
    <w:rsid w:val="003B04B4"/>
    <w:rsid w:val="003B2D22"/>
    <w:rsid w:val="003B424A"/>
    <w:rsid w:val="003B430C"/>
    <w:rsid w:val="003B7536"/>
    <w:rsid w:val="003B7D12"/>
    <w:rsid w:val="003C304E"/>
    <w:rsid w:val="003C3AD4"/>
    <w:rsid w:val="003D06E7"/>
    <w:rsid w:val="003D1A88"/>
    <w:rsid w:val="003D20B5"/>
    <w:rsid w:val="003D22B7"/>
    <w:rsid w:val="003D3BED"/>
    <w:rsid w:val="003D63DE"/>
    <w:rsid w:val="003D6FC5"/>
    <w:rsid w:val="003D7521"/>
    <w:rsid w:val="003E1D65"/>
    <w:rsid w:val="003E306D"/>
    <w:rsid w:val="003E4624"/>
    <w:rsid w:val="003E5B64"/>
    <w:rsid w:val="003F0EED"/>
    <w:rsid w:val="003F1FE3"/>
    <w:rsid w:val="00402E78"/>
    <w:rsid w:val="00405E5A"/>
    <w:rsid w:val="00406E76"/>
    <w:rsid w:val="0041381D"/>
    <w:rsid w:val="00413F65"/>
    <w:rsid w:val="0041416B"/>
    <w:rsid w:val="004147D9"/>
    <w:rsid w:val="00421D9F"/>
    <w:rsid w:val="00422CDC"/>
    <w:rsid w:val="00424ECB"/>
    <w:rsid w:val="0042546A"/>
    <w:rsid w:val="00425703"/>
    <w:rsid w:val="00425939"/>
    <w:rsid w:val="00426CAD"/>
    <w:rsid w:val="00437BBF"/>
    <w:rsid w:val="00440B55"/>
    <w:rsid w:val="0044224A"/>
    <w:rsid w:val="00443C26"/>
    <w:rsid w:val="00450129"/>
    <w:rsid w:val="00452557"/>
    <w:rsid w:val="00456F48"/>
    <w:rsid w:val="00457B04"/>
    <w:rsid w:val="0046059F"/>
    <w:rsid w:val="004663F2"/>
    <w:rsid w:val="00466F05"/>
    <w:rsid w:val="0046729F"/>
    <w:rsid w:val="0047109A"/>
    <w:rsid w:val="00471465"/>
    <w:rsid w:val="004729A1"/>
    <w:rsid w:val="00474AC0"/>
    <w:rsid w:val="004921ED"/>
    <w:rsid w:val="004932F9"/>
    <w:rsid w:val="0049493C"/>
    <w:rsid w:val="00497FFE"/>
    <w:rsid w:val="004A025E"/>
    <w:rsid w:val="004A2180"/>
    <w:rsid w:val="004A2C45"/>
    <w:rsid w:val="004A4ACE"/>
    <w:rsid w:val="004A70A6"/>
    <w:rsid w:val="004B0C48"/>
    <w:rsid w:val="004B0C7C"/>
    <w:rsid w:val="004B164B"/>
    <w:rsid w:val="004C578C"/>
    <w:rsid w:val="004C6BF3"/>
    <w:rsid w:val="004C6C06"/>
    <w:rsid w:val="004D0AB5"/>
    <w:rsid w:val="004D2FDF"/>
    <w:rsid w:val="004D3020"/>
    <w:rsid w:val="004D4442"/>
    <w:rsid w:val="004D4E7A"/>
    <w:rsid w:val="004D760F"/>
    <w:rsid w:val="004D784D"/>
    <w:rsid w:val="004E1B0E"/>
    <w:rsid w:val="004E2E89"/>
    <w:rsid w:val="004E50E8"/>
    <w:rsid w:val="004E54DF"/>
    <w:rsid w:val="004E6325"/>
    <w:rsid w:val="004E7CB6"/>
    <w:rsid w:val="004F24C6"/>
    <w:rsid w:val="004F4715"/>
    <w:rsid w:val="004F53F0"/>
    <w:rsid w:val="004F6293"/>
    <w:rsid w:val="004F6578"/>
    <w:rsid w:val="004F7C99"/>
    <w:rsid w:val="004F7EA0"/>
    <w:rsid w:val="00501A03"/>
    <w:rsid w:val="005078C0"/>
    <w:rsid w:val="0051052F"/>
    <w:rsid w:val="005109B4"/>
    <w:rsid w:val="00511393"/>
    <w:rsid w:val="00511D92"/>
    <w:rsid w:val="005120C7"/>
    <w:rsid w:val="00514CCC"/>
    <w:rsid w:val="005166A8"/>
    <w:rsid w:val="00521CB6"/>
    <w:rsid w:val="00522B1E"/>
    <w:rsid w:val="00522FAD"/>
    <w:rsid w:val="00524B53"/>
    <w:rsid w:val="005256DD"/>
    <w:rsid w:val="0052619C"/>
    <w:rsid w:val="0052696F"/>
    <w:rsid w:val="00526D57"/>
    <w:rsid w:val="00526F98"/>
    <w:rsid w:val="00527BD5"/>
    <w:rsid w:val="0053095B"/>
    <w:rsid w:val="0053108F"/>
    <w:rsid w:val="00532140"/>
    <w:rsid w:val="00535211"/>
    <w:rsid w:val="00537B59"/>
    <w:rsid w:val="00547512"/>
    <w:rsid w:val="00551E5F"/>
    <w:rsid w:val="0055700A"/>
    <w:rsid w:val="005603EC"/>
    <w:rsid w:val="005607DF"/>
    <w:rsid w:val="005627F9"/>
    <w:rsid w:val="00562B0A"/>
    <w:rsid w:val="00564058"/>
    <w:rsid w:val="00570D41"/>
    <w:rsid w:val="0057141A"/>
    <w:rsid w:val="005771E9"/>
    <w:rsid w:val="00582AC8"/>
    <w:rsid w:val="00584DBE"/>
    <w:rsid w:val="005901CF"/>
    <w:rsid w:val="00591C02"/>
    <w:rsid w:val="00592316"/>
    <w:rsid w:val="0059318E"/>
    <w:rsid w:val="005A3002"/>
    <w:rsid w:val="005A4133"/>
    <w:rsid w:val="005A482A"/>
    <w:rsid w:val="005A5FA1"/>
    <w:rsid w:val="005B0740"/>
    <w:rsid w:val="005B1455"/>
    <w:rsid w:val="005B2CB7"/>
    <w:rsid w:val="005B3546"/>
    <w:rsid w:val="005B4F70"/>
    <w:rsid w:val="005B5F8B"/>
    <w:rsid w:val="005B7068"/>
    <w:rsid w:val="005B72A9"/>
    <w:rsid w:val="005C0B63"/>
    <w:rsid w:val="005D0071"/>
    <w:rsid w:val="005E0C25"/>
    <w:rsid w:val="005E1C68"/>
    <w:rsid w:val="005E440B"/>
    <w:rsid w:val="005E44AE"/>
    <w:rsid w:val="005E458E"/>
    <w:rsid w:val="005E488C"/>
    <w:rsid w:val="005F2F49"/>
    <w:rsid w:val="005F3715"/>
    <w:rsid w:val="005F5EDC"/>
    <w:rsid w:val="005F5F0B"/>
    <w:rsid w:val="005F673A"/>
    <w:rsid w:val="005F6A48"/>
    <w:rsid w:val="00602472"/>
    <w:rsid w:val="00606A9E"/>
    <w:rsid w:val="00611B73"/>
    <w:rsid w:val="006179AD"/>
    <w:rsid w:val="00621BFB"/>
    <w:rsid w:val="00624FAE"/>
    <w:rsid w:val="00627192"/>
    <w:rsid w:val="00627531"/>
    <w:rsid w:val="00633052"/>
    <w:rsid w:val="00634937"/>
    <w:rsid w:val="006350F0"/>
    <w:rsid w:val="006354F6"/>
    <w:rsid w:val="00637B35"/>
    <w:rsid w:val="00637E20"/>
    <w:rsid w:val="006439F3"/>
    <w:rsid w:val="00643BDE"/>
    <w:rsid w:val="00644F81"/>
    <w:rsid w:val="00645549"/>
    <w:rsid w:val="00645967"/>
    <w:rsid w:val="00645BD2"/>
    <w:rsid w:val="006475F2"/>
    <w:rsid w:val="006525B5"/>
    <w:rsid w:val="006535CE"/>
    <w:rsid w:val="00656C64"/>
    <w:rsid w:val="00656E97"/>
    <w:rsid w:val="00656FDC"/>
    <w:rsid w:val="006616BF"/>
    <w:rsid w:val="00661F52"/>
    <w:rsid w:val="006624C3"/>
    <w:rsid w:val="00664A3A"/>
    <w:rsid w:val="00666993"/>
    <w:rsid w:val="006678F0"/>
    <w:rsid w:val="0067034F"/>
    <w:rsid w:val="006707D6"/>
    <w:rsid w:val="00670810"/>
    <w:rsid w:val="00671A9F"/>
    <w:rsid w:val="00673722"/>
    <w:rsid w:val="00673C52"/>
    <w:rsid w:val="00675B75"/>
    <w:rsid w:val="006829AD"/>
    <w:rsid w:val="0068395A"/>
    <w:rsid w:val="006902FD"/>
    <w:rsid w:val="00690371"/>
    <w:rsid w:val="006908FB"/>
    <w:rsid w:val="00691F6B"/>
    <w:rsid w:val="006933A8"/>
    <w:rsid w:val="006946DC"/>
    <w:rsid w:val="00695E5C"/>
    <w:rsid w:val="0069701A"/>
    <w:rsid w:val="00697352"/>
    <w:rsid w:val="006A1349"/>
    <w:rsid w:val="006A3108"/>
    <w:rsid w:val="006B3BF6"/>
    <w:rsid w:val="006C4331"/>
    <w:rsid w:val="006C6AF1"/>
    <w:rsid w:val="006D14F1"/>
    <w:rsid w:val="006D2FA6"/>
    <w:rsid w:val="006D7500"/>
    <w:rsid w:val="006D7A82"/>
    <w:rsid w:val="006E70EC"/>
    <w:rsid w:val="006E7E2B"/>
    <w:rsid w:val="006F1EF4"/>
    <w:rsid w:val="006F1FF3"/>
    <w:rsid w:val="006F2265"/>
    <w:rsid w:val="006F29FA"/>
    <w:rsid w:val="00700A76"/>
    <w:rsid w:val="0070193E"/>
    <w:rsid w:val="00707DDC"/>
    <w:rsid w:val="007106F0"/>
    <w:rsid w:val="007110FE"/>
    <w:rsid w:val="00714EEC"/>
    <w:rsid w:val="0071578B"/>
    <w:rsid w:val="00717067"/>
    <w:rsid w:val="007172C4"/>
    <w:rsid w:val="007217D0"/>
    <w:rsid w:val="00721909"/>
    <w:rsid w:val="00725EF0"/>
    <w:rsid w:val="007313D6"/>
    <w:rsid w:val="00733F74"/>
    <w:rsid w:val="0073498A"/>
    <w:rsid w:val="00735A10"/>
    <w:rsid w:val="0074008D"/>
    <w:rsid w:val="00741407"/>
    <w:rsid w:val="00742509"/>
    <w:rsid w:val="00744D37"/>
    <w:rsid w:val="00745AD0"/>
    <w:rsid w:val="00752A74"/>
    <w:rsid w:val="00753C4C"/>
    <w:rsid w:val="0075462B"/>
    <w:rsid w:val="00755E00"/>
    <w:rsid w:val="00764035"/>
    <w:rsid w:val="00765F26"/>
    <w:rsid w:val="00770B44"/>
    <w:rsid w:val="00771A4A"/>
    <w:rsid w:val="0077324E"/>
    <w:rsid w:val="00774600"/>
    <w:rsid w:val="00775513"/>
    <w:rsid w:val="00777A5B"/>
    <w:rsid w:val="0078013C"/>
    <w:rsid w:val="00780476"/>
    <w:rsid w:val="00780F8D"/>
    <w:rsid w:val="00782F73"/>
    <w:rsid w:val="00787152"/>
    <w:rsid w:val="007925F3"/>
    <w:rsid w:val="00797397"/>
    <w:rsid w:val="007A2BF0"/>
    <w:rsid w:val="007A31C1"/>
    <w:rsid w:val="007A5171"/>
    <w:rsid w:val="007A6B99"/>
    <w:rsid w:val="007A7013"/>
    <w:rsid w:val="007B0723"/>
    <w:rsid w:val="007B1D1F"/>
    <w:rsid w:val="007B2A31"/>
    <w:rsid w:val="007B4661"/>
    <w:rsid w:val="007B689E"/>
    <w:rsid w:val="007C1197"/>
    <w:rsid w:val="007C7019"/>
    <w:rsid w:val="007D0486"/>
    <w:rsid w:val="007D32A9"/>
    <w:rsid w:val="007D54B5"/>
    <w:rsid w:val="007D6BD6"/>
    <w:rsid w:val="007D6BF4"/>
    <w:rsid w:val="007D7293"/>
    <w:rsid w:val="007E1634"/>
    <w:rsid w:val="007E1BF2"/>
    <w:rsid w:val="007E2766"/>
    <w:rsid w:val="007E53C3"/>
    <w:rsid w:val="007E58B6"/>
    <w:rsid w:val="007E6026"/>
    <w:rsid w:val="007F3786"/>
    <w:rsid w:val="007F3F07"/>
    <w:rsid w:val="007F4149"/>
    <w:rsid w:val="007F5652"/>
    <w:rsid w:val="007F702C"/>
    <w:rsid w:val="007F7985"/>
    <w:rsid w:val="00801000"/>
    <w:rsid w:val="00803C57"/>
    <w:rsid w:val="008057A9"/>
    <w:rsid w:val="00805BC3"/>
    <w:rsid w:val="00805C31"/>
    <w:rsid w:val="00805C45"/>
    <w:rsid w:val="008104CB"/>
    <w:rsid w:val="00812347"/>
    <w:rsid w:val="00814674"/>
    <w:rsid w:val="00814AFC"/>
    <w:rsid w:val="0081595C"/>
    <w:rsid w:val="008164A2"/>
    <w:rsid w:val="00820DC7"/>
    <w:rsid w:val="00821977"/>
    <w:rsid w:val="008242EF"/>
    <w:rsid w:val="00824F5E"/>
    <w:rsid w:val="00825C05"/>
    <w:rsid w:val="0083556C"/>
    <w:rsid w:val="00835745"/>
    <w:rsid w:val="00840672"/>
    <w:rsid w:val="00841003"/>
    <w:rsid w:val="00842103"/>
    <w:rsid w:val="0084380A"/>
    <w:rsid w:val="00846498"/>
    <w:rsid w:val="00847DDB"/>
    <w:rsid w:val="00850483"/>
    <w:rsid w:val="0085089C"/>
    <w:rsid w:val="00852437"/>
    <w:rsid w:val="0085415B"/>
    <w:rsid w:val="008549E9"/>
    <w:rsid w:val="008554FF"/>
    <w:rsid w:val="008573B5"/>
    <w:rsid w:val="00861A59"/>
    <w:rsid w:val="00862B90"/>
    <w:rsid w:val="00862EFB"/>
    <w:rsid w:val="00872732"/>
    <w:rsid w:val="00875753"/>
    <w:rsid w:val="0087659D"/>
    <w:rsid w:val="00876D94"/>
    <w:rsid w:val="008771BF"/>
    <w:rsid w:val="00880016"/>
    <w:rsid w:val="008825DF"/>
    <w:rsid w:val="00883001"/>
    <w:rsid w:val="008833CA"/>
    <w:rsid w:val="00887312"/>
    <w:rsid w:val="0088786D"/>
    <w:rsid w:val="008878C2"/>
    <w:rsid w:val="0089321C"/>
    <w:rsid w:val="008933BA"/>
    <w:rsid w:val="00893875"/>
    <w:rsid w:val="00894544"/>
    <w:rsid w:val="00895956"/>
    <w:rsid w:val="008A0C59"/>
    <w:rsid w:val="008A1969"/>
    <w:rsid w:val="008A4C03"/>
    <w:rsid w:val="008A4F20"/>
    <w:rsid w:val="008A5E57"/>
    <w:rsid w:val="008A7BFA"/>
    <w:rsid w:val="008B3853"/>
    <w:rsid w:val="008B40D3"/>
    <w:rsid w:val="008B7488"/>
    <w:rsid w:val="008C779C"/>
    <w:rsid w:val="008D0B28"/>
    <w:rsid w:val="008D13CD"/>
    <w:rsid w:val="008D181F"/>
    <w:rsid w:val="008D5A5C"/>
    <w:rsid w:val="008D6D02"/>
    <w:rsid w:val="008E1BD1"/>
    <w:rsid w:val="008E1CC8"/>
    <w:rsid w:val="008E6A00"/>
    <w:rsid w:val="008F1202"/>
    <w:rsid w:val="008F3150"/>
    <w:rsid w:val="008F3A7C"/>
    <w:rsid w:val="00900F60"/>
    <w:rsid w:val="00901042"/>
    <w:rsid w:val="009058EE"/>
    <w:rsid w:val="00905931"/>
    <w:rsid w:val="00907AAE"/>
    <w:rsid w:val="00915F9C"/>
    <w:rsid w:val="00917D80"/>
    <w:rsid w:val="00921148"/>
    <w:rsid w:val="00924048"/>
    <w:rsid w:val="00925FB4"/>
    <w:rsid w:val="00926207"/>
    <w:rsid w:val="009303C2"/>
    <w:rsid w:val="0093416F"/>
    <w:rsid w:val="009351AB"/>
    <w:rsid w:val="00942642"/>
    <w:rsid w:val="00943076"/>
    <w:rsid w:val="00943DEF"/>
    <w:rsid w:val="00945253"/>
    <w:rsid w:val="00952CEA"/>
    <w:rsid w:val="00953824"/>
    <w:rsid w:val="00953CD2"/>
    <w:rsid w:val="009625E9"/>
    <w:rsid w:val="0096328A"/>
    <w:rsid w:val="009721D8"/>
    <w:rsid w:val="00973035"/>
    <w:rsid w:val="009755FF"/>
    <w:rsid w:val="00975EEE"/>
    <w:rsid w:val="00977516"/>
    <w:rsid w:val="009815FA"/>
    <w:rsid w:val="00981EDA"/>
    <w:rsid w:val="00984B2D"/>
    <w:rsid w:val="00984F88"/>
    <w:rsid w:val="009854D8"/>
    <w:rsid w:val="0098566F"/>
    <w:rsid w:val="00990C56"/>
    <w:rsid w:val="00994EB2"/>
    <w:rsid w:val="00995C6F"/>
    <w:rsid w:val="0099690E"/>
    <w:rsid w:val="00997999"/>
    <w:rsid w:val="009A15BD"/>
    <w:rsid w:val="009A28B7"/>
    <w:rsid w:val="009A3520"/>
    <w:rsid w:val="009A4312"/>
    <w:rsid w:val="009A454D"/>
    <w:rsid w:val="009A4B82"/>
    <w:rsid w:val="009A5812"/>
    <w:rsid w:val="009B34DE"/>
    <w:rsid w:val="009B764B"/>
    <w:rsid w:val="009C19EE"/>
    <w:rsid w:val="009C3BDA"/>
    <w:rsid w:val="009C587C"/>
    <w:rsid w:val="009C79C6"/>
    <w:rsid w:val="009C7F30"/>
    <w:rsid w:val="009D0286"/>
    <w:rsid w:val="009D4B33"/>
    <w:rsid w:val="009D5772"/>
    <w:rsid w:val="009D5F20"/>
    <w:rsid w:val="009D64AB"/>
    <w:rsid w:val="009E1D5D"/>
    <w:rsid w:val="009E49FD"/>
    <w:rsid w:val="009E4C25"/>
    <w:rsid w:val="009F0D9E"/>
    <w:rsid w:val="009F1459"/>
    <w:rsid w:val="009F2BDD"/>
    <w:rsid w:val="009F33DA"/>
    <w:rsid w:val="009F5FDD"/>
    <w:rsid w:val="009F63A3"/>
    <w:rsid w:val="00A10B1B"/>
    <w:rsid w:val="00A1730B"/>
    <w:rsid w:val="00A237D9"/>
    <w:rsid w:val="00A256A3"/>
    <w:rsid w:val="00A27EB9"/>
    <w:rsid w:val="00A3344B"/>
    <w:rsid w:val="00A342E2"/>
    <w:rsid w:val="00A360E1"/>
    <w:rsid w:val="00A3713E"/>
    <w:rsid w:val="00A4036B"/>
    <w:rsid w:val="00A424CF"/>
    <w:rsid w:val="00A434A7"/>
    <w:rsid w:val="00A51CEA"/>
    <w:rsid w:val="00A51F7A"/>
    <w:rsid w:val="00A525F7"/>
    <w:rsid w:val="00A536E8"/>
    <w:rsid w:val="00A53716"/>
    <w:rsid w:val="00A5441D"/>
    <w:rsid w:val="00A60F31"/>
    <w:rsid w:val="00A62141"/>
    <w:rsid w:val="00A6543C"/>
    <w:rsid w:val="00A677F0"/>
    <w:rsid w:val="00A70A66"/>
    <w:rsid w:val="00A76921"/>
    <w:rsid w:val="00A80306"/>
    <w:rsid w:val="00A820D9"/>
    <w:rsid w:val="00A83E87"/>
    <w:rsid w:val="00A913AC"/>
    <w:rsid w:val="00A91906"/>
    <w:rsid w:val="00A924D4"/>
    <w:rsid w:val="00A93BF9"/>
    <w:rsid w:val="00A946BA"/>
    <w:rsid w:val="00AA0640"/>
    <w:rsid w:val="00AA18B4"/>
    <w:rsid w:val="00AA3230"/>
    <w:rsid w:val="00AA7D94"/>
    <w:rsid w:val="00AC3C97"/>
    <w:rsid w:val="00AC4758"/>
    <w:rsid w:val="00AC6351"/>
    <w:rsid w:val="00AC783D"/>
    <w:rsid w:val="00AD1EA4"/>
    <w:rsid w:val="00AD6BE3"/>
    <w:rsid w:val="00AD71AF"/>
    <w:rsid w:val="00AE03E3"/>
    <w:rsid w:val="00AE046F"/>
    <w:rsid w:val="00AE24B1"/>
    <w:rsid w:val="00AE423B"/>
    <w:rsid w:val="00AE492D"/>
    <w:rsid w:val="00AE7F9B"/>
    <w:rsid w:val="00AF3BA8"/>
    <w:rsid w:val="00AF4390"/>
    <w:rsid w:val="00AF49C8"/>
    <w:rsid w:val="00AF63BB"/>
    <w:rsid w:val="00AF7AAF"/>
    <w:rsid w:val="00AF7B2C"/>
    <w:rsid w:val="00B00D5E"/>
    <w:rsid w:val="00B00F2F"/>
    <w:rsid w:val="00B010A1"/>
    <w:rsid w:val="00B01F26"/>
    <w:rsid w:val="00B03A22"/>
    <w:rsid w:val="00B03B11"/>
    <w:rsid w:val="00B03C6B"/>
    <w:rsid w:val="00B0546B"/>
    <w:rsid w:val="00B12781"/>
    <w:rsid w:val="00B1540E"/>
    <w:rsid w:val="00B25D76"/>
    <w:rsid w:val="00B25F6A"/>
    <w:rsid w:val="00B26944"/>
    <w:rsid w:val="00B30F4B"/>
    <w:rsid w:val="00B31023"/>
    <w:rsid w:val="00B336D4"/>
    <w:rsid w:val="00B37D02"/>
    <w:rsid w:val="00B445C7"/>
    <w:rsid w:val="00B44734"/>
    <w:rsid w:val="00B47353"/>
    <w:rsid w:val="00B47CFE"/>
    <w:rsid w:val="00B562B5"/>
    <w:rsid w:val="00B56B33"/>
    <w:rsid w:val="00B61AC6"/>
    <w:rsid w:val="00B62DB0"/>
    <w:rsid w:val="00B63257"/>
    <w:rsid w:val="00B65F14"/>
    <w:rsid w:val="00B725B1"/>
    <w:rsid w:val="00B75202"/>
    <w:rsid w:val="00B81990"/>
    <w:rsid w:val="00B83443"/>
    <w:rsid w:val="00B83BE6"/>
    <w:rsid w:val="00B8417B"/>
    <w:rsid w:val="00B876B8"/>
    <w:rsid w:val="00B92168"/>
    <w:rsid w:val="00B9322A"/>
    <w:rsid w:val="00B97748"/>
    <w:rsid w:val="00BA47A9"/>
    <w:rsid w:val="00BA5CED"/>
    <w:rsid w:val="00BA7345"/>
    <w:rsid w:val="00BA74E1"/>
    <w:rsid w:val="00BB5156"/>
    <w:rsid w:val="00BC01AB"/>
    <w:rsid w:val="00BC64BE"/>
    <w:rsid w:val="00BC7CBA"/>
    <w:rsid w:val="00BD0754"/>
    <w:rsid w:val="00BD09D8"/>
    <w:rsid w:val="00BD553C"/>
    <w:rsid w:val="00BD68F3"/>
    <w:rsid w:val="00BE0FA1"/>
    <w:rsid w:val="00BE178B"/>
    <w:rsid w:val="00BE1AF7"/>
    <w:rsid w:val="00BE2E9A"/>
    <w:rsid w:val="00BE3750"/>
    <w:rsid w:val="00BE5210"/>
    <w:rsid w:val="00BE6831"/>
    <w:rsid w:val="00BF1A52"/>
    <w:rsid w:val="00BF7DC7"/>
    <w:rsid w:val="00C01595"/>
    <w:rsid w:val="00C0285D"/>
    <w:rsid w:val="00C06BDF"/>
    <w:rsid w:val="00C0779F"/>
    <w:rsid w:val="00C103B2"/>
    <w:rsid w:val="00C12F2D"/>
    <w:rsid w:val="00C149CA"/>
    <w:rsid w:val="00C152E9"/>
    <w:rsid w:val="00C20A8F"/>
    <w:rsid w:val="00C2118D"/>
    <w:rsid w:val="00C2589E"/>
    <w:rsid w:val="00C2789E"/>
    <w:rsid w:val="00C302A8"/>
    <w:rsid w:val="00C31524"/>
    <w:rsid w:val="00C31C99"/>
    <w:rsid w:val="00C34BF4"/>
    <w:rsid w:val="00C40272"/>
    <w:rsid w:val="00C447CE"/>
    <w:rsid w:val="00C457EB"/>
    <w:rsid w:val="00C4711F"/>
    <w:rsid w:val="00C53111"/>
    <w:rsid w:val="00C5451B"/>
    <w:rsid w:val="00C61009"/>
    <w:rsid w:val="00C6168D"/>
    <w:rsid w:val="00C62AF2"/>
    <w:rsid w:val="00C6410B"/>
    <w:rsid w:val="00C64A2E"/>
    <w:rsid w:val="00C64EE1"/>
    <w:rsid w:val="00C65610"/>
    <w:rsid w:val="00C66B9D"/>
    <w:rsid w:val="00C71402"/>
    <w:rsid w:val="00C737B9"/>
    <w:rsid w:val="00C7709B"/>
    <w:rsid w:val="00C8151E"/>
    <w:rsid w:val="00C81E11"/>
    <w:rsid w:val="00C877A5"/>
    <w:rsid w:val="00C91468"/>
    <w:rsid w:val="00C94876"/>
    <w:rsid w:val="00C95B77"/>
    <w:rsid w:val="00CA384B"/>
    <w:rsid w:val="00CA3F62"/>
    <w:rsid w:val="00CC2DAB"/>
    <w:rsid w:val="00CC3E5B"/>
    <w:rsid w:val="00CC551D"/>
    <w:rsid w:val="00CC6FC0"/>
    <w:rsid w:val="00CC746B"/>
    <w:rsid w:val="00CD0CE2"/>
    <w:rsid w:val="00CD1B25"/>
    <w:rsid w:val="00CE1247"/>
    <w:rsid w:val="00CE2A5B"/>
    <w:rsid w:val="00CE68EF"/>
    <w:rsid w:val="00CE74FA"/>
    <w:rsid w:val="00CF2EB6"/>
    <w:rsid w:val="00CF3B0D"/>
    <w:rsid w:val="00CF5A31"/>
    <w:rsid w:val="00CF7383"/>
    <w:rsid w:val="00D02CF1"/>
    <w:rsid w:val="00D0555E"/>
    <w:rsid w:val="00D061E0"/>
    <w:rsid w:val="00D074D4"/>
    <w:rsid w:val="00D1055F"/>
    <w:rsid w:val="00D12B8A"/>
    <w:rsid w:val="00D13C28"/>
    <w:rsid w:val="00D1436A"/>
    <w:rsid w:val="00D20F82"/>
    <w:rsid w:val="00D21B64"/>
    <w:rsid w:val="00D276E9"/>
    <w:rsid w:val="00D378D3"/>
    <w:rsid w:val="00D429DD"/>
    <w:rsid w:val="00D42D67"/>
    <w:rsid w:val="00D453D0"/>
    <w:rsid w:val="00D51442"/>
    <w:rsid w:val="00D60FE3"/>
    <w:rsid w:val="00D61FB4"/>
    <w:rsid w:val="00D67704"/>
    <w:rsid w:val="00D71FD4"/>
    <w:rsid w:val="00D72E24"/>
    <w:rsid w:val="00D83417"/>
    <w:rsid w:val="00D873CA"/>
    <w:rsid w:val="00DA09ED"/>
    <w:rsid w:val="00DA5346"/>
    <w:rsid w:val="00DB3CE5"/>
    <w:rsid w:val="00DB7244"/>
    <w:rsid w:val="00DC075A"/>
    <w:rsid w:val="00DC2AA9"/>
    <w:rsid w:val="00DC5836"/>
    <w:rsid w:val="00DD0861"/>
    <w:rsid w:val="00DD309D"/>
    <w:rsid w:val="00DD3A1A"/>
    <w:rsid w:val="00DD6107"/>
    <w:rsid w:val="00DE6163"/>
    <w:rsid w:val="00DF01CA"/>
    <w:rsid w:val="00DF100A"/>
    <w:rsid w:val="00DF3B7F"/>
    <w:rsid w:val="00DF43F2"/>
    <w:rsid w:val="00DF4AA2"/>
    <w:rsid w:val="00E0335D"/>
    <w:rsid w:val="00E03426"/>
    <w:rsid w:val="00E04C3C"/>
    <w:rsid w:val="00E052FD"/>
    <w:rsid w:val="00E12C79"/>
    <w:rsid w:val="00E159CD"/>
    <w:rsid w:val="00E17941"/>
    <w:rsid w:val="00E17C88"/>
    <w:rsid w:val="00E209D9"/>
    <w:rsid w:val="00E20EC9"/>
    <w:rsid w:val="00E21C8D"/>
    <w:rsid w:val="00E235E1"/>
    <w:rsid w:val="00E23D07"/>
    <w:rsid w:val="00E24FE7"/>
    <w:rsid w:val="00E263C9"/>
    <w:rsid w:val="00E31701"/>
    <w:rsid w:val="00E32774"/>
    <w:rsid w:val="00E3305F"/>
    <w:rsid w:val="00E34F8A"/>
    <w:rsid w:val="00E43868"/>
    <w:rsid w:val="00E44FEE"/>
    <w:rsid w:val="00E45581"/>
    <w:rsid w:val="00E4558A"/>
    <w:rsid w:val="00E50C34"/>
    <w:rsid w:val="00E52D95"/>
    <w:rsid w:val="00E54D62"/>
    <w:rsid w:val="00E563CF"/>
    <w:rsid w:val="00E62EF1"/>
    <w:rsid w:val="00E63DA5"/>
    <w:rsid w:val="00E64FB1"/>
    <w:rsid w:val="00E65B04"/>
    <w:rsid w:val="00E66F3C"/>
    <w:rsid w:val="00E813E3"/>
    <w:rsid w:val="00E85BB8"/>
    <w:rsid w:val="00E86B84"/>
    <w:rsid w:val="00E9121A"/>
    <w:rsid w:val="00E92F34"/>
    <w:rsid w:val="00EA014D"/>
    <w:rsid w:val="00EA6F1C"/>
    <w:rsid w:val="00EA7801"/>
    <w:rsid w:val="00EA79F0"/>
    <w:rsid w:val="00EB0E64"/>
    <w:rsid w:val="00EB2FCC"/>
    <w:rsid w:val="00EB4D57"/>
    <w:rsid w:val="00EB60A6"/>
    <w:rsid w:val="00EB6166"/>
    <w:rsid w:val="00EC0C0C"/>
    <w:rsid w:val="00EC14E6"/>
    <w:rsid w:val="00EC3F20"/>
    <w:rsid w:val="00EC65A8"/>
    <w:rsid w:val="00EC69FA"/>
    <w:rsid w:val="00EC6F52"/>
    <w:rsid w:val="00EC74A6"/>
    <w:rsid w:val="00ED7569"/>
    <w:rsid w:val="00ED7C7E"/>
    <w:rsid w:val="00EE1278"/>
    <w:rsid w:val="00EE2D44"/>
    <w:rsid w:val="00EE3954"/>
    <w:rsid w:val="00EE4284"/>
    <w:rsid w:val="00EF1820"/>
    <w:rsid w:val="00EF18E4"/>
    <w:rsid w:val="00EF34E1"/>
    <w:rsid w:val="00EF4682"/>
    <w:rsid w:val="00EF681C"/>
    <w:rsid w:val="00EF7202"/>
    <w:rsid w:val="00EF7678"/>
    <w:rsid w:val="00F00539"/>
    <w:rsid w:val="00F02CE4"/>
    <w:rsid w:val="00F03014"/>
    <w:rsid w:val="00F04336"/>
    <w:rsid w:val="00F04626"/>
    <w:rsid w:val="00F06D0B"/>
    <w:rsid w:val="00F07551"/>
    <w:rsid w:val="00F10CCB"/>
    <w:rsid w:val="00F129D0"/>
    <w:rsid w:val="00F13256"/>
    <w:rsid w:val="00F149CB"/>
    <w:rsid w:val="00F204F0"/>
    <w:rsid w:val="00F32356"/>
    <w:rsid w:val="00F3417D"/>
    <w:rsid w:val="00F35964"/>
    <w:rsid w:val="00F37745"/>
    <w:rsid w:val="00F40B83"/>
    <w:rsid w:val="00F43CCB"/>
    <w:rsid w:val="00F47211"/>
    <w:rsid w:val="00F47C6D"/>
    <w:rsid w:val="00F55E97"/>
    <w:rsid w:val="00F6139A"/>
    <w:rsid w:val="00F63E20"/>
    <w:rsid w:val="00F667AF"/>
    <w:rsid w:val="00F67200"/>
    <w:rsid w:val="00F707E6"/>
    <w:rsid w:val="00F72390"/>
    <w:rsid w:val="00F726BF"/>
    <w:rsid w:val="00F742F7"/>
    <w:rsid w:val="00F74D10"/>
    <w:rsid w:val="00F80BF4"/>
    <w:rsid w:val="00F822A6"/>
    <w:rsid w:val="00F82AE0"/>
    <w:rsid w:val="00F835DD"/>
    <w:rsid w:val="00F8580F"/>
    <w:rsid w:val="00F864B3"/>
    <w:rsid w:val="00F95AEA"/>
    <w:rsid w:val="00FA00B2"/>
    <w:rsid w:val="00FA0F97"/>
    <w:rsid w:val="00FA1923"/>
    <w:rsid w:val="00FA1C99"/>
    <w:rsid w:val="00FA2A40"/>
    <w:rsid w:val="00FA2BFF"/>
    <w:rsid w:val="00FB0CFD"/>
    <w:rsid w:val="00FB2EE4"/>
    <w:rsid w:val="00FB4140"/>
    <w:rsid w:val="00FB6BC3"/>
    <w:rsid w:val="00FC1BC1"/>
    <w:rsid w:val="00FC1CF3"/>
    <w:rsid w:val="00FC2023"/>
    <w:rsid w:val="00FC3D47"/>
    <w:rsid w:val="00FC3DF4"/>
    <w:rsid w:val="00FC7949"/>
    <w:rsid w:val="00FD0860"/>
    <w:rsid w:val="00FD2458"/>
    <w:rsid w:val="00FD2949"/>
    <w:rsid w:val="00FD3450"/>
    <w:rsid w:val="00FD7AC8"/>
    <w:rsid w:val="00FE4399"/>
    <w:rsid w:val="00FE4B5B"/>
    <w:rsid w:val="00FE65EB"/>
    <w:rsid w:val="00FF5CDE"/>
    <w:rsid w:val="00FF79AC"/>
    <w:rsid w:val="015B4466"/>
    <w:rsid w:val="01CF5AE3"/>
    <w:rsid w:val="01ED4384"/>
    <w:rsid w:val="02133F30"/>
    <w:rsid w:val="021F4C2E"/>
    <w:rsid w:val="027D3951"/>
    <w:rsid w:val="029F2EAA"/>
    <w:rsid w:val="02B54FC5"/>
    <w:rsid w:val="0300335D"/>
    <w:rsid w:val="031F0BD0"/>
    <w:rsid w:val="03411FB9"/>
    <w:rsid w:val="037A6305"/>
    <w:rsid w:val="038B7C0D"/>
    <w:rsid w:val="038F2516"/>
    <w:rsid w:val="03F2137F"/>
    <w:rsid w:val="042A7A45"/>
    <w:rsid w:val="046776E7"/>
    <w:rsid w:val="049A0A9D"/>
    <w:rsid w:val="04A95B21"/>
    <w:rsid w:val="04CD731B"/>
    <w:rsid w:val="04DF7064"/>
    <w:rsid w:val="04F477C7"/>
    <w:rsid w:val="05921FB2"/>
    <w:rsid w:val="05C47B7E"/>
    <w:rsid w:val="06065821"/>
    <w:rsid w:val="065852D2"/>
    <w:rsid w:val="06D81BBC"/>
    <w:rsid w:val="07402D74"/>
    <w:rsid w:val="07561AB2"/>
    <w:rsid w:val="07CA43AC"/>
    <w:rsid w:val="08095474"/>
    <w:rsid w:val="080D4B60"/>
    <w:rsid w:val="08A12B7D"/>
    <w:rsid w:val="08A72F68"/>
    <w:rsid w:val="08E85034"/>
    <w:rsid w:val="08FB5DFE"/>
    <w:rsid w:val="091A589F"/>
    <w:rsid w:val="09222B98"/>
    <w:rsid w:val="094B2EFE"/>
    <w:rsid w:val="095409CF"/>
    <w:rsid w:val="0964115B"/>
    <w:rsid w:val="09704E9F"/>
    <w:rsid w:val="09902ED8"/>
    <w:rsid w:val="099B4F36"/>
    <w:rsid w:val="0A1864D9"/>
    <w:rsid w:val="0A307C97"/>
    <w:rsid w:val="0A84113C"/>
    <w:rsid w:val="0A9216AC"/>
    <w:rsid w:val="0ABF04FB"/>
    <w:rsid w:val="0AD92A42"/>
    <w:rsid w:val="0B3762C9"/>
    <w:rsid w:val="0B3A5C6C"/>
    <w:rsid w:val="0B592FDF"/>
    <w:rsid w:val="0B6B1123"/>
    <w:rsid w:val="0B841362"/>
    <w:rsid w:val="0BCC4308"/>
    <w:rsid w:val="0C550884"/>
    <w:rsid w:val="0CA65DC2"/>
    <w:rsid w:val="0D283732"/>
    <w:rsid w:val="0D353973"/>
    <w:rsid w:val="0D42705A"/>
    <w:rsid w:val="0D8D498D"/>
    <w:rsid w:val="0DE2468A"/>
    <w:rsid w:val="0DED730F"/>
    <w:rsid w:val="0E3D74A7"/>
    <w:rsid w:val="0E52362C"/>
    <w:rsid w:val="0E752D48"/>
    <w:rsid w:val="0E791442"/>
    <w:rsid w:val="0E7E3EEB"/>
    <w:rsid w:val="0ECD0C9A"/>
    <w:rsid w:val="0F084405"/>
    <w:rsid w:val="0F5170E2"/>
    <w:rsid w:val="0F663BD2"/>
    <w:rsid w:val="0F8373B2"/>
    <w:rsid w:val="0F895230"/>
    <w:rsid w:val="0FE90C52"/>
    <w:rsid w:val="10191156"/>
    <w:rsid w:val="102E7E80"/>
    <w:rsid w:val="107F20CB"/>
    <w:rsid w:val="11517D76"/>
    <w:rsid w:val="116352BF"/>
    <w:rsid w:val="11833451"/>
    <w:rsid w:val="122F6C04"/>
    <w:rsid w:val="127D77BF"/>
    <w:rsid w:val="129209CF"/>
    <w:rsid w:val="136F3BBA"/>
    <w:rsid w:val="13802975"/>
    <w:rsid w:val="13B35C89"/>
    <w:rsid w:val="13EC3B6E"/>
    <w:rsid w:val="14001D43"/>
    <w:rsid w:val="14132920"/>
    <w:rsid w:val="141379A2"/>
    <w:rsid w:val="14AA1537"/>
    <w:rsid w:val="14B6042E"/>
    <w:rsid w:val="14CB3127"/>
    <w:rsid w:val="14DE5094"/>
    <w:rsid w:val="14EE4506"/>
    <w:rsid w:val="152D025B"/>
    <w:rsid w:val="152D56A1"/>
    <w:rsid w:val="1565346B"/>
    <w:rsid w:val="15B60AF1"/>
    <w:rsid w:val="167E48C1"/>
    <w:rsid w:val="16A93CF3"/>
    <w:rsid w:val="16AB5C70"/>
    <w:rsid w:val="16EE04CF"/>
    <w:rsid w:val="16F64EED"/>
    <w:rsid w:val="172114B2"/>
    <w:rsid w:val="1726048C"/>
    <w:rsid w:val="172F587F"/>
    <w:rsid w:val="174A2130"/>
    <w:rsid w:val="17AB27A9"/>
    <w:rsid w:val="17B360C4"/>
    <w:rsid w:val="17F4355C"/>
    <w:rsid w:val="182912A0"/>
    <w:rsid w:val="187C7A78"/>
    <w:rsid w:val="18A32C22"/>
    <w:rsid w:val="18B3029F"/>
    <w:rsid w:val="18D703E9"/>
    <w:rsid w:val="18FD17EB"/>
    <w:rsid w:val="190E0B71"/>
    <w:rsid w:val="191915B7"/>
    <w:rsid w:val="19405606"/>
    <w:rsid w:val="1943646B"/>
    <w:rsid w:val="19462B57"/>
    <w:rsid w:val="19B820B2"/>
    <w:rsid w:val="1A093C4A"/>
    <w:rsid w:val="1A1D3847"/>
    <w:rsid w:val="1A242A4A"/>
    <w:rsid w:val="1A2B2747"/>
    <w:rsid w:val="1A807414"/>
    <w:rsid w:val="1A951111"/>
    <w:rsid w:val="1AB737DE"/>
    <w:rsid w:val="1AC17EE2"/>
    <w:rsid w:val="1B5F18F4"/>
    <w:rsid w:val="1B726675"/>
    <w:rsid w:val="1BD0777C"/>
    <w:rsid w:val="1BD962AE"/>
    <w:rsid w:val="1CA6231E"/>
    <w:rsid w:val="1CB035DD"/>
    <w:rsid w:val="1CF97B2D"/>
    <w:rsid w:val="1D1042C1"/>
    <w:rsid w:val="1D1350A1"/>
    <w:rsid w:val="1D4E6B11"/>
    <w:rsid w:val="1D7A1C74"/>
    <w:rsid w:val="1D8315F9"/>
    <w:rsid w:val="1D8A209C"/>
    <w:rsid w:val="1D8F4C7F"/>
    <w:rsid w:val="1DC86013"/>
    <w:rsid w:val="1DD107EF"/>
    <w:rsid w:val="1DD13D04"/>
    <w:rsid w:val="1DD1659B"/>
    <w:rsid w:val="1DE63703"/>
    <w:rsid w:val="1E1D56A5"/>
    <w:rsid w:val="1E511456"/>
    <w:rsid w:val="1E6172B0"/>
    <w:rsid w:val="1F322D3E"/>
    <w:rsid w:val="1F4A5336"/>
    <w:rsid w:val="1F6C5F32"/>
    <w:rsid w:val="1FB83B18"/>
    <w:rsid w:val="1FFB5417"/>
    <w:rsid w:val="20303B0E"/>
    <w:rsid w:val="20340A84"/>
    <w:rsid w:val="21302811"/>
    <w:rsid w:val="2138054A"/>
    <w:rsid w:val="214170C3"/>
    <w:rsid w:val="21643C23"/>
    <w:rsid w:val="21F708D3"/>
    <w:rsid w:val="22622661"/>
    <w:rsid w:val="22BB505C"/>
    <w:rsid w:val="237E6C71"/>
    <w:rsid w:val="241864F2"/>
    <w:rsid w:val="242E442F"/>
    <w:rsid w:val="24553074"/>
    <w:rsid w:val="247F0D69"/>
    <w:rsid w:val="24864E85"/>
    <w:rsid w:val="24CC0D68"/>
    <w:rsid w:val="256D607E"/>
    <w:rsid w:val="257F739C"/>
    <w:rsid w:val="259F0C91"/>
    <w:rsid w:val="25DA4DD9"/>
    <w:rsid w:val="25EA0CC3"/>
    <w:rsid w:val="25F63456"/>
    <w:rsid w:val="26071AFF"/>
    <w:rsid w:val="265B348D"/>
    <w:rsid w:val="26684EB3"/>
    <w:rsid w:val="26895448"/>
    <w:rsid w:val="269B4367"/>
    <w:rsid w:val="26B3363D"/>
    <w:rsid w:val="26FC0640"/>
    <w:rsid w:val="271950D3"/>
    <w:rsid w:val="273566E5"/>
    <w:rsid w:val="273E1D47"/>
    <w:rsid w:val="276259B1"/>
    <w:rsid w:val="276E0643"/>
    <w:rsid w:val="279B17CE"/>
    <w:rsid w:val="27A623B1"/>
    <w:rsid w:val="27FB0EBC"/>
    <w:rsid w:val="283128E0"/>
    <w:rsid w:val="286956CA"/>
    <w:rsid w:val="28945237"/>
    <w:rsid w:val="29212E2F"/>
    <w:rsid w:val="292D5128"/>
    <w:rsid w:val="29485BC7"/>
    <w:rsid w:val="294D4F33"/>
    <w:rsid w:val="29561A71"/>
    <w:rsid w:val="29AF0D86"/>
    <w:rsid w:val="29F50E66"/>
    <w:rsid w:val="2A6F6A9F"/>
    <w:rsid w:val="2B021629"/>
    <w:rsid w:val="2B0C3450"/>
    <w:rsid w:val="2B48435D"/>
    <w:rsid w:val="2B6C30E4"/>
    <w:rsid w:val="2B74142C"/>
    <w:rsid w:val="2B99319A"/>
    <w:rsid w:val="2BD335AA"/>
    <w:rsid w:val="2BF463E5"/>
    <w:rsid w:val="2C2217A9"/>
    <w:rsid w:val="2C35005E"/>
    <w:rsid w:val="2CC7637F"/>
    <w:rsid w:val="2CE67F01"/>
    <w:rsid w:val="2CFF231F"/>
    <w:rsid w:val="2D091D10"/>
    <w:rsid w:val="2D3C3247"/>
    <w:rsid w:val="2D894DE7"/>
    <w:rsid w:val="2E0179B9"/>
    <w:rsid w:val="2E521291"/>
    <w:rsid w:val="2E736473"/>
    <w:rsid w:val="2E9A0FAB"/>
    <w:rsid w:val="2ED272DB"/>
    <w:rsid w:val="2EDBF7A3"/>
    <w:rsid w:val="2EE330D8"/>
    <w:rsid w:val="2F026A5A"/>
    <w:rsid w:val="2F1E0F22"/>
    <w:rsid w:val="2FE91611"/>
    <w:rsid w:val="30361425"/>
    <w:rsid w:val="30CA74C3"/>
    <w:rsid w:val="310F6B93"/>
    <w:rsid w:val="317151F3"/>
    <w:rsid w:val="317C5BDB"/>
    <w:rsid w:val="323F24F5"/>
    <w:rsid w:val="32502ABE"/>
    <w:rsid w:val="327C717D"/>
    <w:rsid w:val="328D1EC0"/>
    <w:rsid w:val="32E30BE3"/>
    <w:rsid w:val="332E2DC3"/>
    <w:rsid w:val="33D90C83"/>
    <w:rsid w:val="33EB4E73"/>
    <w:rsid w:val="34513184"/>
    <w:rsid w:val="34524BC0"/>
    <w:rsid w:val="34670C94"/>
    <w:rsid w:val="34DC479D"/>
    <w:rsid w:val="34DF510E"/>
    <w:rsid w:val="351453A4"/>
    <w:rsid w:val="355157DD"/>
    <w:rsid w:val="359866E9"/>
    <w:rsid w:val="35A00FF6"/>
    <w:rsid w:val="35D151C8"/>
    <w:rsid w:val="35E26883"/>
    <w:rsid w:val="361065F7"/>
    <w:rsid w:val="36413C79"/>
    <w:rsid w:val="36724304"/>
    <w:rsid w:val="3681254D"/>
    <w:rsid w:val="36BF1DD2"/>
    <w:rsid w:val="36CE1E68"/>
    <w:rsid w:val="371D389F"/>
    <w:rsid w:val="37214F22"/>
    <w:rsid w:val="37657CFA"/>
    <w:rsid w:val="378569AB"/>
    <w:rsid w:val="37AB5F5B"/>
    <w:rsid w:val="38612550"/>
    <w:rsid w:val="38A162EA"/>
    <w:rsid w:val="38AB628A"/>
    <w:rsid w:val="38DE3D70"/>
    <w:rsid w:val="38EE3222"/>
    <w:rsid w:val="39137BCC"/>
    <w:rsid w:val="39FB159B"/>
    <w:rsid w:val="3A343892"/>
    <w:rsid w:val="3A8C7FCF"/>
    <w:rsid w:val="3A945BA3"/>
    <w:rsid w:val="3AAC5626"/>
    <w:rsid w:val="3B102334"/>
    <w:rsid w:val="3B55411A"/>
    <w:rsid w:val="3B6B3A9C"/>
    <w:rsid w:val="3BEA7174"/>
    <w:rsid w:val="3C3B6DA1"/>
    <w:rsid w:val="3CA12EC4"/>
    <w:rsid w:val="3CAF17A5"/>
    <w:rsid w:val="3CB91A62"/>
    <w:rsid w:val="3CEDD7DD"/>
    <w:rsid w:val="3D3305EA"/>
    <w:rsid w:val="3D414E89"/>
    <w:rsid w:val="3D6C38DF"/>
    <w:rsid w:val="3D895B1D"/>
    <w:rsid w:val="3DE80542"/>
    <w:rsid w:val="3DF17D30"/>
    <w:rsid w:val="3E3C1585"/>
    <w:rsid w:val="3EA23672"/>
    <w:rsid w:val="3ED47C92"/>
    <w:rsid w:val="3EE03FCC"/>
    <w:rsid w:val="3F086869"/>
    <w:rsid w:val="3F1B30E3"/>
    <w:rsid w:val="3F405923"/>
    <w:rsid w:val="3F577E93"/>
    <w:rsid w:val="3F9749BD"/>
    <w:rsid w:val="3FA27361"/>
    <w:rsid w:val="3FA422E4"/>
    <w:rsid w:val="3FAD63A0"/>
    <w:rsid w:val="3FD879A8"/>
    <w:rsid w:val="40217801"/>
    <w:rsid w:val="405C7650"/>
    <w:rsid w:val="405F4B6D"/>
    <w:rsid w:val="40A44D6A"/>
    <w:rsid w:val="41F33215"/>
    <w:rsid w:val="422E5CA0"/>
    <w:rsid w:val="42701DBC"/>
    <w:rsid w:val="42A20DA5"/>
    <w:rsid w:val="42F71CEC"/>
    <w:rsid w:val="4350548B"/>
    <w:rsid w:val="43521CBE"/>
    <w:rsid w:val="4369236C"/>
    <w:rsid w:val="437749C5"/>
    <w:rsid w:val="43E80C33"/>
    <w:rsid w:val="44721330"/>
    <w:rsid w:val="44831DA5"/>
    <w:rsid w:val="44931544"/>
    <w:rsid w:val="449776B0"/>
    <w:rsid w:val="449B5EE2"/>
    <w:rsid w:val="44D34B7D"/>
    <w:rsid w:val="45187D42"/>
    <w:rsid w:val="457371D0"/>
    <w:rsid w:val="45796DB6"/>
    <w:rsid w:val="45804C1C"/>
    <w:rsid w:val="458727AA"/>
    <w:rsid w:val="45880E21"/>
    <w:rsid w:val="45D96A6C"/>
    <w:rsid w:val="45DE62E0"/>
    <w:rsid w:val="46636001"/>
    <w:rsid w:val="469022D1"/>
    <w:rsid w:val="46A671FC"/>
    <w:rsid w:val="46BC37F2"/>
    <w:rsid w:val="46E462A3"/>
    <w:rsid w:val="46E7650D"/>
    <w:rsid w:val="473C6630"/>
    <w:rsid w:val="47562CF9"/>
    <w:rsid w:val="47A1125B"/>
    <w:rsid w:val="482D4E15"/>
    <w:rsid w:val="487718BA"/>
    <w:rsid w:val="48820B51"/>
    <w:rsid w:val="489E35B0"/>
    <w:rsid w:val="48BB19E4"/>
    <w:rsid w:val="490966C6"/>
    <w:rsid w:val="4915084D"/>
    <w:rsid w:val="4959106C"/>
    <w:rsid w:val="49A117C5"/>
    <w:rsid w:val="49F559EE"/>
    <w:rsid w:val="4A1A0695"/>
    <w:rsid w:val="4A752BB1"/>
    <w:rsid w:val="4AB809E6"/>
    <w:rsid w:val="4ABA5FE8"/>
    <w:rsid w:val="4AD66569"/>
    <w:rsid w:val="4AF96FA1"/>
    <w:rsid w:val="4B2E363F"/>
    <w:rsid w:val="4B4D6D87"/>
    <w:rsid w:val="4B85519D"/>
    <w:rsid w:val="4B8B339F"/>
    <w:rsid w:val="4BD4354C"/>
    <w:rsid w:val="4C93644B"/>
    <w:rsid w:val="4CB520A4"/>
    <w:rsid w:val="4CF867D3"/>
    <w:rsid w:val="4D1B4A9D"/>
    <w:rsid w:val="4D8D75CA"/>
    <w:rsid w:val="4DAB107B"/>
    <w:rsid w:val="4DD050F5"/>
    <w:rsid w:val="4DD101CC"/>
    <w:rsid w:val="4DEE48C4"/>
    <w:rsid w:val="4E2B34A0"/>
    <w:rsid w:val="4E74636C"/>
    <w:rsid w:val="4E911D64"/>
    <w:rsid w:val="4E9767BA"/>
    <w:rsid w:val="4EFA1871"/>
    <w:rsid w:val="4F0B668B"/>
    <w:rsid w:val="50236672"/>
    <w:rsid w:val="5066585A"/>
    <w:rsid w:val="5096170C"/>
    <w:rsid w:val="509E3577"/>
    <w:rsid w:val="50DC513F"/>
    <w:rsid w:val="50DF3684"/>
    <w:rsid w:val="51156413"/>
    <w:rsid w:val="51821D8D"/>
    <w:rsid w:val="51C113D5"/>
    <w:rsid w:val="525B269A"/>
    <w:rsid w:val="525C0895"/>
    <w:rsid w:val="52885F84"/>
    <w:rsid w:val="53180626"/>
    <w:rsid w:val="53356AA5"/>
    <w:rsid w:val="541B673C"/>
    <w:rsid w:val="54204352"/>
    <w:rsid w:val="5422686A"/>
    <w:rsid w:val="55146DD7"/>
    <w:rsid w:val="553C395C"/>
    <w:rsid w:val="555A2029"/>
    <w:rsid w:val="55635E16"/>
    <w:rsid w:val="55723A52"/>
    <w:rsid w:val="55C326E8"/>
    <w:rsid w:val="55C71E85"/>
    <w:rsid w:val="561975DB"/>
    <w:rsid w:val="56AF6BFF"/>
    <w:rsid w:val="57077BB4"/>
    <w:rsid w:val="571343BA"/>
    <w:rsid w:val="57280513"/>
    <w:rsid w:val="57280BE4"/>
    <w:rsid w:val="573119D9"/>
    <w:rsid w:val="575D4868"/>
    <w:rsid w:val="5810281F"/>
    <w:rsid w:val="588F39F1"/>
    <w:rsid w:val="58D34BD5"/>
    <w:rsid w:val="59523610"/>
    <w:rsid w:val="596F26C8"/>
    <w:rsid w:val="59A75124"/>
    <w:rsid w:val="5A6522BE"/>
    <w:rsid w:val="5A6B569F"/>
    <w:rsid w:val="5B0C2013"/>
    <w:rsid w:val="5B265EB5"/>
    <w:rsid w:val="5B7627B3"/>
    <w:rsid w:val="5B904409"/>
    <w:rsid w:val="5BA24AEF"/>
    <w:rsid w:val="5BC020A5"/>
    <w:rsid w:val="5BC562B5"/>
    <w:rsid w:val="5BE106E1"/>
    <w:rsid w:val="5BE60970"/>
    <w:rsid w:val="5C190C05"/>
    <w:rsid w:val="5C2515ED"/>
    <w:rsid w:val="5C4A7AA2"/>
    <w:rsid w:val="5C932D4B"/>
    <w:rsid w:val="5CD01F00"/>
    <w:rsid w:val="5D0132A8"/>
    <w:rsid w:val="5D491C07"/>
    <w:rsid w:val="5DA52508"/>
    <w:rsid w:val="5DDB48DC"/>
    <w:rsid w:val="5E1919C7"/>
    <w:rsid w:val="5E1B111E"/>
    <w:rsid w:val="5E5218E8"/>
    <w:rsid w:val="5E765499"/>
    <w:rsid w:val="5E9641CF"/>
    <w:rsid w:val="5EAA564E"/>
    <w:rsid w:val="5EC32B3F"/>
    <w:rsid w:val="5F0A3437"/>
    <w:rsid w:val="5F0F6EAA"/>
    <w:rsid w:val="5FBE6670"/>
    <w:rsid w:val="5FD32FB5"/>
    <w:rsid w:val="5FDC3F39"/>
    <w:rsid w:val="5FED0C55"/>
    <w:rsid w:val="609E1754"/>
    <w:rsid w:val="60B70B31"/>
    <w:rsid w:val="60E053D5"/>
    <w:rsid w:val="60EC7228"/>
    <w:rsid w:val="610042FE"/>
    <w:rsid w:val="61106E0D"/>
    <w:rsid w:val="61466332"/>
    <w:rsid w:val="6194682A"/>
    <w:rsid w:val="61E83F25"/>
    <w:rsid w:val="625C2C9A"/>
    <w:rsid w:val="629E403D"/>
    <w:rsid w:val="62BF369F"/>
    <w:rsid w:val="630915C4"/>
    <w:rsid w:val="630954D9"/>
    <w:rsid w:val="6322494F"/>
    <w:rsid w:val="63360A48"/>
    <w:rsid w:val="635554EA"/>
    <w:rsid w:val="638044B2"/>
    <w:rsid w:val="63B60CD2"/>
    <w:rsid w:val="63C3197E"/>
    <w:rsid w:val="63C4386D"/>
    <w:rsid w:val="63CE60C7"/>
    <w:rsid w:val="63DE790B"/>
    <w:rsid w:val="63E917A2"/>
    <w:rsid w:val="64AF0BBC"/>
    <w:rsid w:val="64F725DD"/>
    <w:rsid w:val="650F2D82"/>
    <w:rsid w:val="6580700C"/>
    <w:rsid w:val="658F2630"/>
    <w:rsid w:val="65DD0B07"/>
    <w:rsid w:val="65E33EAB"/>
    <w:rsid w:val="6601301F"/>
    <w:rsid w:val="665F2C67"/>
    <w:rsid w:val="666E4207"/>
    <w:rsid w:val="6689256B"/>
    <w:rsid w:val="66AE605A"/>
    <w:rsid w:val="66B83494"/>
    <w:rsid w:val="67362167"/>
    <w:rsid w:val="675B7D8C"/>
    <w:rsid w:val="677F245B"/>
    <w:rsid w:val="67B0012A"/>
    <w:rsid w:val="68075F88"/>
    <w:rsid w:val="68801F25"/>
    <w:rsid w:val="68C62B30"/>
    <w:rsid w:val="68C705CD"/>
    <w:rsid w:val="68FF3B6B"/>
    <w:rsid w:val="69063286"/>
    <w:rsid w:val="690A5D1A"/>
    <w:rsid w:val="698B71BF"/>
    <w:rsid w:val="69DA32C6"/>
    <w:rsid w:val="6AE15B1C"/>
    <w:rsid w:val="6B053E23"/>
    <w:rsid w:val="6B1C7422"/>
    <w:rsid w:val="6B474C3E"/>
    <w:rsid w:val="6B5A676A"/>
    <w:rsid w:val="6B827EC3"/>
    <w:rsid w:val="6BD62996"/>
    <w:rsid w:val="6BE41EDB"/>
    <w:rsid w:val="6BE95552"/>
    <w:rsid w:val="6BF3595D"/>
    <w:rsid w:val="6C881A75"/>
    <w:rsid w:val="6C9B1DA6"/>
    <w:rsid w:val="6CD43DBA"/>
    <w:rsid w:val="6D144328"/>
    <w:rsid w:val="6D195951"/>
    <w:rsid w:val="6D267305"/>
    <w:rsid w:val="6D2E1FF6"/>
    <w:rsid w:val="6D36734D"/>
    <w:rsid w:val="6D391B6F"/>
    <w:rsid w:val="6D8C0E94"/>
    <w:rsid w:val="6DA30CD7"/>
    <w:rsid w:val="6DB77DA0"/>
    <w:rsid w:val="6E064791"/>
    <w:rsid w:val="6EB83855"/>
    <w:rsid w:val="6ECA6AA1"/>
    <w:rsid w:val="6F187788"/>
    <w:rsid w:val="6FAC6BD3"/>
    <w:rsid w:val="6FC754FD"/>
    <w:rsid w:val="6FF7C9D2"/>
    <w:rsid w:val="700370F8"/>
    <w:rsid w:val="70FF752D"/>
    <w:rsid w:val="714A7468"/>
    <w:rsid w:val="71597917"/>
    <w:rsid w:val="71672FA0"/>
    <w:rsid w:val="71CA5F20"/>
    <w:rsid w:val="71CB509C"/>
    <w:rsid w:val="71F2536B"/>
    <w:rsid w:val="722A068F"/>
    <w:rsid w:val="725331D3"/>
    <w:rsid w:val="729C539E"/>
    <w:rsid w:val="729E46B0"/>
    <w:rsid w:val="72A02D9E"/>
    <w:rsid w:val="72A9440C"/>
    <w:rsid w:val="73A925A0"/>
    <w:rsid w:val="73C3376E"/>
    <w:rsid w:val="73D261ED"/>
    <w:rsid w:val="73DEBD59"/>
    <w:rsid w:val="73F13E37"/>
    <w:rsid w:val="74716D26"/>
    <w:rsid w:val="74B33B63"/>
    <w:rsid w:val="750C7AED"/>
    <w:rsid w:val="75512E00"/>
    <w:rsid w:val="76104696"/>
    <w:rsid w:val="761F1D30"/>
    <w:rsid w:val="76917293"/>
    <w:rsid w:val="769B0F5E"/>
    <w:rsid w:val="76B95DE5"/>
    <w:rsid w:val="76DE704F"/>
    <w:rsid w:val="7707109B"/>
    <w:rsid w:val="7738363F"/>
    <w:rsid w:val="773E1485"/>
    <w:rsid w:val="77450530"/>
    <w:rsid w:val="777A0A13"/>
    <w:rsid w:val="77EC08FF"/>
    <w:rsid w:val="77F7D27D"/>
    <w:rsid w:val="78205E80"/>
    <w:rsid w:val="78482494"/>
    <w:rsid w:val="78544E4E"/>
    <w:rsid w:val="7858311D"/>
    <w:rsid w:val="78694D67"/>
    <w:rsid w:val="78D37910"/>
    <w:rsid w:val="78E51593"/>
    <w:rsid w:val="7935320A"/>
    <w:rsid w:val="7947059B"/>
    <w:rsid w:val="7963422C"/>
    <w:rsid w:val="7992550C"/>
    <w:rsid w:val="79C142AC"/>
    <w:rsid w:val="7A0119EA"/>
    <w:rsid w:val="7A0C4606"/>
    <w:rsid w:val="7A2620C7"/>
    <w:rsid w:val="7A284B01"/>
    <w:rsid w:val="7AD414C7"/>
    <w:rsid w:val="7AF4010E"/>
    <w:rsid w:val="7AF57271"/>
    <w:rsid w:val="7B0422BC"/>
    <w:rsid w:val="7B3927AA"/>
    <w:rsid w:val="7B4C1986"/>
    <w:rsid w:val="7B770D32"/>
    <w:rsid w:val="7B98311A"/>
    <w:rsid w:val="7BED7A99"/>
    <w:rsid w:val="7C6914E9"/>
    <w:rsid w:val="7C82671B"/>
    <w:rsid w:val="7C84066C"/>
    <w:rsid w:val="7CA207E3"/>
    <w:rsid w:val="7D0A3F03"/>
    <w:rsid w:val="7D413D89"/>
    <w:rsid w:val="7D6A54B4"/>
    <w:rsid w:val="7DD80222"/>
    <w:rsid w:val="7E223837"/>
    <w:rsid w:val="7E281DB1"/>
    <w:rsid w:val="7E833487"/>
    <w:rsid w:val="7ECB4AAE"/>
    <w:rsid w:val="7EFE737D"/>
    <w:rsid w:val="7F737DF6"/>
    <w:rsid w:val="7F825D08"/>
    <w:rsid w:val="7F9C4C7F"/>
    <w:rsid w:val="7FA219A0"/>
    <w:rsid w:val="7FE7A6D1"/>
    <w:rsid w:val="7FF78D24"/>
    <w:rsid w:val="9FDFE950"/>
    <w:rsid w:val="B6AFD577"/>
    <w:rsid w:val="BCF6F182"/>
    <w:rsid w:val="DEBD4F89"/>
    <w:rsid w:val="FABFBBB1"/>
    <w:rsid w:val="FF77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5"/>
    <w:qFormat/>
    <w:uiPriority w:val="0"/>
    <w:pPr>
      <w:keepNext/>
      <w:keepLines/>
      <w:spacing w:before="340" w:after="330" w:line="576" w:lineRule="auto"/>
      <w:outlineLvl w:val="0"/>
    </w:pPr>
    <w:rPr>
      <w:b/>
      <w:kern w:val="44"/>
      <w:sz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360" w:lineRule="auto"/>
      <w:ind w:firstLine="602" w:firstLineChars="200"/>
      <w:outlineLvl w:val="2"/>
    </w:pPr>
    <w:rPr>
      <w:rFonts w:ascii="仿宋_GB2312" w:eastAsia="仿宋_GB2312"/>
      <w:sz w:val="30"/>
      <w:szCs w:val="20"/>
    </w:rPr>
  </w:style>
  <w:style w:type="paragraph" w:styleId="7">
    <w:name w:val="heading 4"/>
    <w:basedOn w:val="1"/>
    <w:next w:val="1"/>
    <w:qFormat/>
    <w:uiPriority w:val="9"/>
    <w:pPr>
      <w:keepNext/>
      <w:keepLines/>
      <w:numPr>
        <w:ilvl w:val="3"/>
        <w:numId w:val="1"/>
      </w:numPr>
      <w:outlineLvl w:val="3"/>
    </w:pPr>
    <w:rPr>
      <w:b/>
      <w:bCs/>
      <w:sz w:val="24"/>
      <w:szCs w:val="28"/>
    </w:rPr>
  </w:style>
  <w:style w:type="paragraph" w:styleId="8">
    <w:name w:val="heading 5"/>
    <w:basedOn w:val="1"/>
    <w:next w:val="1"/>
    <w:qFormat/>
    <w:uiPriority w:val="0"/>
    <w:pPr>
      <w:keepNext/>
      <w:keepLines/>
      <w:numPr>
        <w:ilvl w:val="3"/>
        <w:numId w:val="2"/>
      </w:numPr>
      <w:spacing w:before="280" w:after="290" w:line="372" w:lineRule="auto"/>
      <w:ind w:firstLine="0"/>
      <w:outlineLvl w:val="4"/>
    </w:pPr>
    <w:rPr>
      <w:rFonts w:ascii="仿宋" w:hAnsi="仿宋"/>
      <w:b/>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4"/>
    <w:unhideWhenUsed/>
    <w:qFormat/>
    <w:uiPriority w:val="99"/>
    <w:pPr>
      <w:tabs>
        <w:tab w:val="left" w:pos="720"/>
        <w:tab w:val="left" w:pos="1260"/>
        <w:tab w:val="left" w:pos="2160"/>
        <w:tab w:val="left" w:pos="2880"/>
        <w:tab w:val="left" w:pos="3600"/>
        <w:tab w:val="left" w:pos="4320"/>
        <w:tab w:val="left" w:pos="5040"/>
        <w:tab w:val="left" w:pos="5760"/>
      </w:tabs>
      <w:autoSpaceDE/>
      <w:autoSpaceDN/>
      <w:adjustRightInd/>
      <w:spacing w:after="120" w:line="240" w:lineRule="auto"/>
      <w:ind w:left="420" w:leftChars="200" w:right="0" w:rightChars="0" w:firstLine="420" w:firstLineChars="200"/>
      <w:jc w:val="both"/>
    </w:pPr>
    <w:rPr>
      <w:rFonts w:ascii="Times New Roman"/>
      <w:color w:val="auto"/>
      <w:kern w:val="2"/>
      <w:sz w:val="21"/>
      <w:szCs w:val="24"/>
    </w:rPr>
  </w:style>
  <w:style w:type="paragraph" w:styleId="3">
    <w:name w:val="Body Text Indent"/>
    <w:basedOn w:val="1"/>
    <w:next w:val="1"/>
    <w:link w:val="48"/>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9">
    <w:name w:val="List Number"/>
    <w:basedOn w:val="1"/>
    <w:qFormat/>
    <w:uiPriority w:val="0"/>
    <w:pPr>
      <w:widowControl/>
      <w:numPr>
        <w:ilvl w:val="0"/>
        <w:numId w:val="3"/>
      </w:numPr>
      <w:tabs>
        <w:tab w:val="left" w:pos="454"/>
        <w:tab w:val="left" w:pos="720"/>
        <w:tab w:val="left" w:pos="899"/>
      </w:tabs>
      <w:spacing w:after="50" w:afterLines="50"/>
      <w:jc w:val="left"/>
    </w:pPr>
    <w:rPr>
      <w:kern w:val="0"/>
      <w:sz w:val="24"/>
      <w:szCs w:val="20"/>
    </w:rPr>
  </w:style>
  <w:style w:type="paragraph" w:styleId="10">
    <w:name w:val="Normal Indent"/>
    <w:basedOn w:val="1"/>
    <w:next w:val="1"/>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qFormat/>
    <w:uiPriority w:val="0"/>
    <w:pPr>
      <w:shd w:val="clear" w:color="auto" w:fill="000080"/>
    </w:pPr>
    <w:rPr>
      <w:rFonts w:ascii="宋体" w:hAnsi="宋体"/>
    </w:rPr>
  </w:style>
  <w:style w:type="paragraph" w:styleId="13">
    <w:name w:val="toa heading"/>
    <w:basedOn w:val="1"/>
    <w:next w:val="1"/>
    <w:qFormat/>
    <w:uiPriority w:val="99"/>
    <w:rPr>
      <w:rFonts w:ascii="Arial" w:hAnsi="Arial"/>
      <w:sz w:val="24"/>
      <w:szCs w:val="20"/>
    </w:rPr>
  </w:style>
  <w:style w:type="paragraph" w:styleId="14">
    <w:name w:val="annotation text"/>
    <w:basedOn w:val="1"/>
    <w:link w:val="46"/>
    <w:qFormat/>
    <w:uiPriority w:val="0"/>
    <w:pPr>
      <w:jc w:val="left"/>
    </w:pPr>
  </w:style>
  <w:style w:type="paragraph" w:styleId="15">
    <w:name w:val="Body Text 3"/>
    <w:basedOn w:val="1"/>
    <w:qFormat/>
    <w:uiPriority w:val="0"/>
    <w:pPr>
      <w:spacing w:after="120"/>
    </w:pPr>
    <w:rPr>
      <w:sz w:val="16"/>
      <w:szCs w:val="16"/>
    </w:rPr>
  </w:style>
  <w:style w:type="paragraph" w:styleId="16">
    <w:name w:val="Body Text"/>
    <w:basedOn w:val="1"/>
    <w:link w:val="47"/>
    <w:qFormat/>
    <w:uiPriority w:val="0"/>
    <w:pPr>
      <w:spacing w:after="120"/>
    </w:pPr>
  </w:style>
  <w:style w:type="paragraph" w:styleId="17">
    <w:name w:val="List 2"/>
    <w:basedOn w:val="1"/>
    <w:qFormat/>
    <w:uiPriority w:val="0"/>
    <w:pPr>
      <w:ind w:left="100" w:leftChars="200" w:hanging="200" w:hangingChars="200"/>
    </w:pPr>
  </w:style>
  <w:style w:type="paragraph" w:styleId="18">
    <w:name w:val="Block Text"/>
    <w:basedOn w:val="1"/>
    <w:qFormat/>
    <w:uiPriority w:val="0"/>
    <w:pPr>
      <w:adjustRightInd w:val="0"/>
      <w:ind w:left="1200" w:right="-72" w:hanging="30"/>
    </w:pPr>
    <w:rPr>
      <w:rFonts w:ascii="Arial" w:hAnsi="Arial" w:eastAsia="幼圆" w:cs="Arial"/>
      <w:sz w:val="22"/>
      <w:szCs w:val="20"/>
    </w:rPr>
  </w:style>
  <w:style w:type="paragraph" w:styleId="19">
    <w:name w:val="List Bullet 2"/>
    <w:basedOn w:val="1"/>
    <w:qFormat/>
    <w:uiPriority w:val="0"/>
    <w:pPr>
      <w:numPr>
        <w:ilvl w:val="0"/>
        <w:numId w:val="4"/>
      </w:numPr>
    </w:pPr>
  </w:style>
  <w:style w:type="paragraph" w:styleId="20">
    <w:name w:val="Plain Text"/>
    <w:basedOn w:val="1"/>
    <w:next w:val="21"/>
    <w:link w:val="49"/>
    <w:qFormat/>
    <w:uiPriority w:val="0"/>
    <w:rPr>
      <w:rFonts w:ascii="宋体" w:hAnsi="Courier New"/>
    </w:rPr>
  </w:style>
  <w:style w:type="paragraph" w:styleId="21">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2">
    <w:name w:val="Date"/>
    <w:basedOn w:val="1"/>
    <w:next w:val="1"/>
    <w:qFormat/>
    <w:uiPriority w:val="0"/>
    <w:pPr>
      <w:ind w:left="2500" w:leftChars="2500"/>
    </w:pPr>
    <w:rPr>
      <w:rFonts w:eastAsia="楷体_GB2312"/>
      <w:sz w:val="32"/>
      <w:szCs w:val="20"/>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50"/>
    <w:qFormat/>
    <w:uiPriority w:val="0"/>
    <w:rPr>
      <w:sz w:val="18"/>
      <w:szCs w:val="18"/>
    </w:rPr>
  </w:style>
  <w:style w:type="paragraph" w:styleId="25">
    <w:name w:val="footer"/>
    <w:basedOn w:val="1"/>
    <w:link w:val="51"/>
    <w:qFormat/>
    <w:uiPriority w:val="0"/>
    <w:pPr>
      <w:tabs>
        <w:tab w:val="center" w:pos="4153"/>
        <w:tab w:val="right" w:pos="8306"/>
      </w:tabs>
      <w:snapToGrid w:val="0"/>
      <w:jc w:val="left"/>
    </w:pPr>
    <w:rPr>
      <w:sz w:val="18"/>
      <w:szCs w:val="18"/>
    </w:rPr>
  </w:style>
  <w:style w:type="paragraph" w:styleId="26">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tabs>
        <w:tab w:val="right" w:leader="dot" w:pos="8835"/>
      </w:tabs>
    </w:pPr>
    <w:rPr>
      <w:rFonts w:eastAsia="仿宋_GB2312"/>
      <w:sz w:val="32"/>
    </w:rPr>
  </w:style>
  <w:style w:type="paragraph" w:styleId="28">
    <w:name w:val="toc 4"/>
    <w:basedOn w:val="1"/>
    <w:next w:val="1"/>
    <w:unhideWhenUsed/>
    <w:qFormat/>
    <w:uiPriority w:val="39"/>
    <w:pPr>
      <w:ind w:left="1260" w:leftChars="600"/>
    </w:pPr>
    <w:rPr>
      <w:rFonts w:ascii="Calibri" w:hAnsi="Calibri"/>
      <w:szCs w:val="22"/>
    </w:rPr>
  </w:style>
  <w:style w:type="paragraph" w:styleId="29">
    <w:name w:val="List"/>
    <w:basedOn w:val="1"/>
    <w:qFormat/>
    <w:uiPriority w:val="0"/>
    <w:pPr>
      <w:ind w:left="200" w:hanging="200" w:hangingChars="200"/>
    </w:pPr>
    <w:rPr>
      <w:sz w:val="28"/>
    </w:rPr>
  </w:style>
  <w:style w:type="paragraph" w:styleId="30">
    <w:name w:val="toc 6"/>
    <w:basedOn w:val="1"/>
    <w:next w:val="1"/>
    <w:qFormat/>
    <w:uiPriority w:val="39"/>
    <w:pPr>
      <w:widowControl/>
      <w:ind w:left="1000"/>
      <w:jc w:val="left"/>
    </w:pPr>
    <w:rPr>
      <w:kern w:val="0"/>
      <w:sz w:val="18"/>
      <w:szCs w:val="20"/>
    </w:rPr>
  </w:style>
  <w:style w:type="paragraph" w:styleId="31">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2">
    <w:name w:val="Title"/>
    <w:basedOn w:val="1"/>
    <w:next w:val="1"/>
    <w:qFormat/>
    <w:uiPriority w:val="0"/>
    <w:pPr>
      <w:autoSpaceDE w:val="0"/>
      <w:autoSpaceDN w:val="0"/>
      <w:adjustRightInd w:val="0"/>
      <w:spacing w:before="240" w:after="60"/>
      <w:jc w:val="center"/>
      <w:outlineLvl w:val="0"/>
    </w:pPr>
    <w:rPr>
      <w:rFonts w:ascii="Cambria" w:hAnsi="Cambria"/>
      <w:b/>
      <w:bCs/>
      <w:color w:val="000000"/>
      <w:sz w:val="32"/>
      <w:szCs w:val="32"/>
    </w:rPr>
  </w:style>
  <w:style w:type="paragraph" w:styleId="33">
    <w:name w:val="annotation subject"/>
    <w:basedOn w:val="14"/>
    <w:next w:val="14"/>
    <w:link w:val="53"/>
    <w:qFormat/>
    <w:uiPriority w:val="0"/>
    <w:rPr>
      <w:b/>
      <w:bCs/>
    </w:rPr>
  </w:style>
  <w:style w:type="paragraph" w:styleId="34">
    <w:name w:val="Body Text First Indent"/>
    <w:basedOn w:val="16"/>
    <w:qFormat/>
    <w:uiPriority w:val="0"/>
    <w:pPr>
      <w:widowControl/>
      <w:spacing w:before="120"/>
      <w:ind w:firstLine="100" w:firstLineChars="100"/>
    </w:pPr>
    <w:rPr>
      <w:snapToGrid w:val="0"/>
      <w:color w:val="000000"/>
      <w:kern w:val="0"/>
      <w:sz w:val="24"/>
      <w:szCs w:val="18"/>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qFormat/>
    <w:uiPriority w:val="0"/>
  </w:style>
  <w:style w:type="character" w:styleId="40">
    <w:name w:val="Emphasis"/>
    <w:qFormat/>
    <w:uiPriority w:val="0"/>
    <w:rPr>
      <w:i/>
    </w:rPr>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character" w:styleId="43">
    <w:name w:val="HTML Sample"/>
    <w:basedOn w:val="37"/>
    <w:qFormat/>
    <w:uiPriority w:val="0"/>
    <w:rPr>
      <w:rFonts w:ascii="Courier New" w:hAnsi="Courier New"/>
    </w:rPr>
  </w:style>
  <w:style w:type="paragraph" w:customStyle="1" w:styleId="44">
    <w:name w:val="表格文字"/>
    <w:basedOn w:val="20"/>
    <w:next w:val="16"/>
    <w:qFormat/>
    <w:uiPriority w:val="0"/>
    <w:pPr>
      <w:adjustRightInd w:val="0"/>
      <w:spacing w:line="420" w:lineRule="atLeast"/>
      <w:jc w:val="left"/>
      <w:textAlignment w:val="baseline"/>
    </w:pPr>
    <w:rPr>
      <w:rFonts w:ascii="Times New Roman" w:hAnsi="Times New Roman"/>
      <w:kern w:val="0"/>
    </w:rPr>
  </w:style>
  <w:style w:type="paragraph" w:customStyle="1" w:styleId="45">
    <w:name w:val="NormalIndent"/>
    <w:basedOn w:val="1"/>
    <w:qFormat/>
    <w:uiPriority w:val="0"/>
    <w:pPr>
      <w:numPr>
        <w:ilvl w:val="0"/>
        <w:numId w:val="5"/>
      </w:numPr>
      <w:ind w:left="0" w:firstLine="420"/>
    </w:pPr>
    <w:rPr>
      <w:szCs w:val="20"/>
    </w:rPr>
  </w:style>
  <w:style w:type="character" w:customStyle="1" w:styleId="46">
    <w:name w:val="批注文字 字符"/>
    <w:link w:val="14"/>
    <w:qFormat/>
    <w:uiPriority w:val="0"/>
    <w:rPr>
      <w:kern w:val="2"/>
      <w:sz w:val="21"/>
      <w:szCs w:val="24"/>
    </w:rPr>
  </w:style>
  <w:style w:type="character" w:customStyle="1" w:styleId="47">
    <w:name w:val="正文文本 字符"/>
    <w:link w:val="16"/>
    <w:qFormat/>
    <w:uiPriority w:val="0"/>
    <w:rPr>
      <w:kern w:val="2"/>
      <w:sz w:val="21"/>
      <w:szCs w:val="24"/>
    </w:rPr>
  </w:style>
  <w:style w:type="character" w:customStyle="1" w:styleId="48">
    <w:name w:val="正文文本缩进 字符"/>
    <w:link w:val="3"/>
    <w:qFormat/>
    <w:uiPriority w:val="0"/>
    <w:rPr>
      <w:rFonts w:ascii="宋体"/>
      <w:color w:val="000000"/>
      <w:sz w:val="24"/>
    </w:rPr>
  </w:style>
  <w:style w:type="character" w:customStyle="1" w:styleId="49">
    <w:name w:val="纯文本 字符"/>
    <w:link w:val="20"/>
    <w:qFormat/>
    <w:uiPriority w:val="0"/>
    <w:rPr>
      <w:rFonts w:ascii="宋体" w:hAnsi="Courier New" w:eastAsia="宋体"/>
      <w:kern w:val="2"/>
      <w:sz w:val="21"/>
      <w:szCs w:val="24"/>
      <w:lang w:val="en-US" w:eastAsia="zh-CN" w:bidi="ar-SA"/>
    </w:rPr>
  </w:style>
  <w:style w:type="character" w:customStyle="1" w:styleId="50">
    <w:name w:val="批注框文本 字符"/>
    <w:link w:val="24"/>
    <w:qFormat/>
    <w:uiPriority w:val="0"/>
    <w:rPr>
      <w:kern w:val="2"/>
      <w:sz w:val="18"/>
      <w:szCs w:val="18"/>
    </w:rPr>
  </w:style>
  <w:style w:type="character" w:customStyle="1" w:styleId="51">
    <w:name w:val="页脚 字符"/>
    <w:link w:val="25"/>
    <w:qFormat/>
    <w:uiPriority w:val="0"/>
    <w:rPr>
      <w:kern w:val="2"/>
      <w:sz w:val="18"/>
      <w:szCs w:val="18"/>
    </w:rPr>
  </w:style>
  <w:style w:type="character" w:customStyle="1" w:styleId="52">
    <w:name w:val="页眉 字符"/>
    <w:link w:val="26"/>
    <w:qFormat/>
    <w:uiPriority w:val="0"/>
    <w:rPr>
      <w:kern w:val="2"/>
      <w:sz w:val="18"/>
      <w:szCs w:val="18"/>
    </w:rPr>
  </w:style>
  <w:style w:type="character" w:customStyle="1" w:styleId="53">
    <w:name w:val="批注主题 字符"/>
    <w:link w:val="33"/>
    <w:qFormat/>
    <w:uiPriority w:val="0"/>
  </w:style>
  <w:style w:type="character" w:customStyle="1" w:styleId="54">
    <w:name w:val="正文文本首行缩进 2 字符"/>
    <w:link w:val="2"/>
    <w:qFormat/>
    <w:uiPriority w:val="99"/>
    <w:rPr>
      <w:rFonts w:ascii="宋体"/>
      <w:color w:val="000000"/>
      <w:kern w:val="2"/>
      <w:sz w:val="21"/>
      <w:szCs w:val="24"/>
    </w:rPr>
  </w:style>
  <w:style w:type="paragraph" w:customStyle="1" w:styleId="55">
    <w:name w:val="样式 正文文本缩进 + 左  0 字符"/>
    <w:basedOn w:val="3"/>
    <w:qFormat/>
    <w:uiPriority w:val="0"/>
    <w:pPr>
      <w:ind w:firstLine="250" w:firstLineChars="250"/>
    </w:p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16"/>
    <w:qFormat/>
    <w:uiPriority w:val="0"/>
    <w:rPr>
      <w:rFonts w:hint="default" w:ascii="Arial" w:hAnsi="Arial" w:cs="Arial"/>
      <w:sz w:val="20"/>
      <w:szCs w:val="20"/>
    </w:rPr>
  </w:style>
  <w:style w:type="character" w:customStyle="1" w:styleId="58">
    <w:name w:val="font41"/>
    <w:qFormat/>
    <w:uiPriority w:val="0"/>
    <w:rPr>
      <w:rFonts w:hint="default" w:ascii="Tahoma" w:hAnsi="Tahoma" w:eastAsia="Tahoma" w:cs="Tahoma"/>
      <w:color w:val="000000"/>
      <w:sz w:val="20"/>
      <w:szCs w:val="20"/>
      <w:u w:val="none"/>
    </w:rPr>
  </w:style>
  <w:style w:type="character" w:customStyle="1" w:styleId="59">
    <w:name w:val="font21"/>
    <w:qFormat/>
    <w:uiPriority w:val="0"/>
    <w:rPr>
      <w:rFonts w:hint="eastAsia" w:ascii="宋体" w:hAnsi="宋体" w:eastAsia="宋体" w:cs="宋体"/>
      <w:color w:val="000000"/>
      <w:sz w:val="24"/>
      <w:szCs w:val="24"/>
      <w:u w:val="none"/>
    </w:rPr>
  </w:style>
  <w:style w:type="character" w:customStyle="1" w:styleId="60">
    <w:name w:val="font81"/>
    <w:qFormat/>
    <w:uiPriority w:val="0"/>
    <w:rPr>
      <w:rFonts w:hint="eastAsia" w:ascii="宋体" w:hAnsi="宋体" w:eastAsia="宋体" w:cs="宋体"/>
      <w:color w:val="000000"/>
      <w:sz w:val="20"/>
      <w:szCs w:val="20"/>
      <w:u w:val="none"/>
    </w:rPr>
  </w:style>
  <w:style w:type="paragraph" w:customStyle="1" w:styleId="6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1"/>
    <w:basedOn w:val="1"/>
    <w:next w:val="63"/>
    <w:qFormat/>
    <w:uiPriority w:val="34"/>
    <w:pPr>
      <w:ind w:firstLine="420" w:firstLineChars="200"/>
    </w:pPr>
    <w:rPr>
      <w:rFonts w:ascii="Calibri" w:hAnsi="Calibri"/>
    </w:rPr>
  </w:style>
  <w:style w:type="paragraph" w:customStyle="1" w:styleId="63">
    <w:name w:val="List Paragraph1"/>
    <w:basedOn w:val="1"/>
    <w:qFormat/>
    <w:uiPriority w:val="34"/>
    <w:pPr>
      <w:ind w:firstLine="420" w:firstLineChars="200"/>
    </w:pPr>
    <w:rPr>
      <w:rFonts w:ascii="Calibri" w:hAnsi="Calibri"/>
      <w:szCs w:val="22"/>
    </w:rPr>
  </w:style>
  <w:style w:type="paragraph" w:customStyle="1" w:styleId="64">
    <w:name w:val="列表段落1"/>
    <w:basedOn w:val="1"/>
    <w:qFormat/>
    <w:uiPriority w:val="34"/>
    <w:pPr>
      <w:ind w:firstLine="420" w:firstLineChars="200"/>
    </w:pPr>
    <w:rPr>
      <w:rFonts w:ascii="Calibri" w:hAnsi="Calibri"/>
      <w:szCs w:val="22"/>
    </w:rPr>
  </w:style>
  <w:style w:type="paragraph" w:customStyle="1" w:styleId="65">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纯文本2"/>
    <w:basedOn w:val="1"/>
    <w:qFormat/>
    <w:uiPriority w:val="0"/>
    <w:pPr>
      <w:adjustRightInd w:val="0"/>
      <w:spacing w:before="50"/>
      <w:jc w:val="left"/>
      <w:textAlignment w:val="baseline"/>
    </w:pPr>
    <w:rPr>
      <w:rFonts w:ascii="宋体" w:hAnsi="Courier New"/>
      <w:sz w:val="24"/>
      <w:szCs w:val="20"/>
    </w:rPr>
  </w:style>
  <w:style w:type="paragraph" w:customStyle="1" w:styleId="6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1">
    <w:name w:val="Fließtext"/>
    <w:basedOn w:val="1"/>
    <w:qFormat/>
    <w:uiPriority w:val="0"/>
    <w:pPr>
      <w:overflowPunct w:val="0"/>
      <w:autoSpaceDE w:val="0"/>
      <w:autoSpaceDN w:val="0"/>
      <w:adjustRightInd w:val="0"/>
      <w:textAlignment w:val="baseline"/>
    </w:pPr>
    <w:rPr>
      <w:kern w:val="28"/>
      <w:szCs w:val="20"/>
    </w:rPr>
  </w:style>
  <w:style w:type="paragraph" w:customStyle="1" w:styleId="7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4"/>
    <w:qFormat/>
    <w:uiPriority w:val="0"/>
    <w:rPr>
      <w:rFonts w:ascii="Times New Roman" w:hAnsi="Times New Roman" w:eastAsia="宋体" w:cs="Times New Roman"/>
      <w:sz w:val="21"/>
      <w:lang w:val="en-US" w:eastAsia="zh-CN" w:bidi="ar-SA"/>
    </w:rPr>
  </w:style>
  <w:style w:type="paragraph" w:customStyle="1" w:styleId="7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5">
    <w:name w:val="Plain Text1"/>
    <w:basedOn w:val="1"/>
    <w:qFormat/>
    <w:uiPriority w:val="0"/>
    <w:rPr>
      <w:rFonts w:ascii="宋体" w:hAnsi="Courier New"/>
      <w:szCs w:val="20"/>
    </w:rPr>
  </w:style>
  <w:style w:type="paragraph" w:customStyle="1" w:styleId="76">
    <w:name w:val="列出段落2"/>
    <w:qFormat/>
    <w:uiPriority w:val="0"/>
    <w:pPr>
      <w:widowControl w:val="0"/>
      <w:ind w:firstLine="420"/>
      <w:jc w:val="both"/>
    </w:pPr>
    <w:rPr>
      <w:rFonts w:ascii="Times New Roman" w:hAnsi="Times New Roman" w:eastAsia="Calibri" w:cs="Calibri"/>
      <w:color w:val="000000"/>
      <w:kern w:val="2"/>
      <w:sz w:val="24"/>
      <w:szCs w:val="24"/>
      <w:lang w:val="en-US" w:eastAsia="zh-CN" w:bidi="ar-SA"/>
    </w:rPr>
  </w:style>
  <w:style w:type="paragraph" w:customStyle="1" w:styleId="7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79">
    <w:name w:val="Normal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无间隔1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Char"/>
    <w:basedOn w:val="1"/>
    <w:qFormat/>
    <w:uiPriority w:val="0"/>
  </w:style>
  <w:style w:type="paragraph" w:customStyle="1" w:styleId="83">
    <w:name w:val="纯文本_3"/>
    <w:basedOn w:val="66"/>
    <w:qFormat/>
    <w:uiPriority w:val="0"/>
    <w:pPr>
      <w:widowControl/>
      <w:jc w:val="left"/>
    </w:pPr>
    <w:rPr>
      <w:rFonts w:ascii="宋体" w:hAnsi="Courier New"/>
      <w:szCs w:val="21"/>
    </w:rPr>
  </w:style>
  <w:style w:type="paragraph" w:customStyle="1" w:styleId="8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paragraph" w:customStyle="1" w:styleId="86">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87">
    <w:name w:val="纯文本_0_1"/>
    <w:basedOn w:val="1"/>
    <w:qFormat/>
    <w:uiPriority w:val="0"/>
    <w:pPr>
      <w:widowControl/>
      <w:jc w:val="left"/>
    </w:pPr>
    <w:rPr>
      <w:rFonts w:ascii="宋体" w:hAnsi="Courier New"/>
      <w:szCs w:val="21"/>
    </w:rPr>
  </w:style>
  <w:style w:type="paragraph" w:customStyle="1" w:styleId="8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Char1"/>
    <w:basedOn w:val="1"/>
    <w:qFormat/>
    <w:uiPriority w:val="0"/>
  </w:style>
  <w:style w:type="paragraph" w:customStyle="1" w:styleId="90">
    <w:name w:val="Body Text Indent 21"/>
    <w:basedOn w:val="1"/>
    <w:qFormat/>
    <w:uiPriority w:val="0"/>
    <w:pPr>
      <w:widowControl/>
      <w:spacing w:line="480" w:lineRule="atLeast"/>
      <w:ind w:firstLine="480"/>
    </w:pPr>
    <w:rPr>
      <w:rFonts w:ascii="宋体"/>
      <w:kern w:val="0"/>
      <w:sz w:val="24"/>
      <w:szCs w:val="20"/>
    </w:rPr>
  </w:style>
  <w:style w:type="paragraph" w:customStyle="1" w:styleId="91">
    <w:name w:val="列出段落1"/>
    <w:basedOn w:val="1"/>
    <w:qFormat/>
    <w:uiPriority w:val="0"/>
    <w:pPr>
      <w:ind w:firstLine="420" w:firstLineChars="200"/>
    </w:pPr>
    <w:rPr>
      <w:rFonts w:ascii="Calibri" w:hAnsi="Calibri"/>
      <w:kern w:val="0"/>
      <w:szCs w:val="20"/>
    </w:rPr>
  </w:style>
  <w:style w:type="paragraph" w:styleId="92">
    <w:name w:val="List Paragraph"/>
    <w:basedOn w:val="1"/>
    <w:qFormat/>
    <w:uiPriority w:val="34"/>
    <w:pPr>
      <w:ind w:firstLine="420" w:firstLineChars="200"/>
    </w:pPr>
    <w:rPr>
      <w:rFonts w:ascii="Calibri" w:hAnsi="Calibri"/>
      <w:szCs w:val="22"/>
    </w:rPr>
  </w:style>
  <w:style w:type="paragraph" w:customStyle="1" w:styleId="93">
    <w:name w:val="表 靠左"/>
    <w:basedOn w:val="1"/>
    <w:qFormat/>
    <w:uiPriority w:val="0"/>
    <w:pPr>
      <w:jc w:val="left"/>
    </w:pPr>
    <w:rPr>
      <w:rFonts w:ascii="宋体" w:hAnsi="宋体"/>
      <w:szCs w:val="21"/>
    </w:rPr>
  </w:style>
  <w:style w:type="paragraph" w:customStyle="1" w:styleId="94">
    <w:name w:val="Other|1"/>
    <w:basedOn w:val="1"/>
    <w:qFormat/>
    <w:uiPriority w:val="0"/>
    <w:rPr>
      <w:rFonts w:ascii="MingLiU" w:hAnsi="MingLiU" w:eastAsia="MingLiU" w:cs="MingLiU"/>
      <w:sz w:val="20"/>
      <w:szCs w:val="20"/>
      <w:lang w:val="zh-TW" w:eastAsia="zh-TW" w:bidi="zh-TW"/>
    </w:rPr>
  </w:style>
  <w:style w:type="paragraph" w:customStyle="1" w:styleId="95">
    <w:name w:val="纯文本1"/>
    <w:basedOn w:val="96"/>
    <w:qFormat/>
    <w:uiPriority w:val="0"/>
    <w:pPr>
      <w:widowControl/>
      <w:jc w:val="left"/>
    </w:pPr>
    <w:rPr>
      <w:rFonts w:ascii="宋体" w:hAnsi="Courier New"/>
    </w:rPr>
  </w:style>
  <w:style w:type="paragraph" w:customStyle="1" w:styleId="9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
    <w:name w:val="正文首行缩进 21"/>
    <w:basedOn w:val="1"/>
    <w:qFormat/>
    <w:uiPriority w:val="0"/>
    <w:pPr>
      <w:spacing w:after="120"/>
      <w:ind w:left="420" w:leftChars="200" w:firstLine="420"/>
    </w:pPr>
    <w:rPr>
      <w:rFonts w:cs="宋体"/>
      <w:color w:val="000000"/>
      <w:szCs w:val="21"/>
    </w:rPr>
  </w:style>
  <w:style w:type="paragraph" w:customStyle="1" w:styleId="98">
    <w:name w:val="Table Paragraph"/>
    <w:basedOn w:val="1"/>
    <w:qFormat/>
    <w:uiPriority w:val="1"/>
    <w:rPr>
      <w:rFonts w:ascii="宋体" w:hAnsi="宋体" w:cs="宋体"/>
      <w:lang w:eastAsia="en-US" w:bidi="en-US"/>
    </w:rPr>
  </w:style>
  <w:style w:type="paragraph" w:customStyle="1" w:styleId="99">
    <w:name w:val="首行缩进"/>
    <w:basedOn w:val="1"/>
    <w:qFormat/>
    <w:uiPriority w:val="99"/>
    <w:pPr>
      <w:widowControl/>
      <w:numPr>
        <w:ilvl w:val="6"/>
        <w:numId w:val="6"/>
      </w:numPr>
      <w:snapToGrid w:val="0"/>
      <w:spacing w:before="40" w:after="40" w:line="300" w:lineRule="atLeast"/>
    </w:pPr>
    <w:rPr>
      <w:rFonts w:ascii="Arial" w:hAnsi="Arial"/>
    </w:rPr>
  </w:style>
  <w:style w:type="paragraph" w:customStyle="1" w:styleId="100">
    <w:name w:val="样式6"/>
    <w:basedOn w:val="1"/>
    <w:qFormat/>
    <w:uiPriority w:val="0"/>
    <w:pPr>
      <w:spacing w:line="360" w:lineRule="auto"/>
      <w:ind w:firstLine="200" w:firstLineChars="200"/>
      <w:jc w:val="left"/>
    </w:pPr>
    <w:rPr>
      <w:sz w:val="24"/>
    </w:rPr>
  </w:style>
  <w:style w:type="paragraph" w:customStyle="1" w:styleId="101">
    <w:name w:val="正文11"/>
    <w:basedOn w:val="1"/>
    <w:next w:val="1"/>
    <w:qFormat/>
    <w:uiPriority w:val="0"/>
    <w:pPr>
      <w:ind w:firstLine="540"/>
    </w:pPr>
    <w:rPr>
      <w:rFonts w:eastAsia="Times New Roman"/>
      <w:kern w:val="0"/>
      <w:sz w:val="24"/>
      <w:szCs w:val="20"/>
    </w:rPr>
  </w:style>
  <w:style w:type="paragraph" w:customStyle="1" w:styleId="102">
    <w:name w:val="正文12"/>
    <w:basedOn w:val="12"/>
    <w:next w:val="1"/>
    <w:qFormat/>
    <w:uiPriority w:val="0"/>
    <w:pPr>
      <w:spacing w:before="240" w:line="460" w:lineRule="exact"/>
    </w:pPr>
    <w:rPr>
      <w:rFonts w:ascii="仿宋_GB2312" w:eastAsia="仿宋_GB2312"/>
      <w:b/>
      <w:sz w:val="28"/>
      <w:szCs w:val="28"/>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No Spacing1"/>
    <w:qFormat/>
    <w:uiPriority w:val="0"/>
    <w:rPr>
      <w:rFonts w:ascii="Times New Roman" w:hAnsi="Times New Roman" w:eastAsia="??" w:cs="宋体"/>
      <w:sz w:val="22"/>
      <w:szCs w:val="22"/>
      <w:lang w:val="en-US" w:eastAsia="en-US" w:bidi="ar-SA"/>
    </w:rPr>
  </w:style>
  <w:style w:type="paragraph" w:customStyle="1" w:styleId="105">
    <w:name w:val="正文文本首行缩进 21"/>
    <w:basedOn w:val="3"/>
    <w:qFormat/>
    <w:uiPriority w:val="99"/>
    <w:pPr>
      <w:spacing w:line="200" w:lineRule="atLeast"/>
      <w:ind w:firstLine="420"/>
    </w:pPr>
    <w:rPr>
      <w:rFonts w:hAnsi="Courier New"/>
      <w:spacing w:val="-4"/>
      <w:sz w:val="18"/>
    </w:rPr>
  </w:style>
  <w:style w:type="character" w:customStyle="1" w:styleId="106">
    <w:name w:val="NormalCharacter"/>
    <w:qFormat/>
    <w:uiPriority w:val="0"/>
    <w:rPr>
      <w:rFonts w:hint="eastAsia" w:ascii="仿宋_GB2312" w:hAnsi="仿宋_GB2312" w:eastAsia="仿宋_GB2312" w:cs="仿宋_GB2312"/>
      <w:kern w:val="2"/>
      <w:sz w:val="28"/>
      <w:szCs w:val="28"/>
      <w:lang w:val="en-US" w:eastAsia="zh-CN" w:bidi="ar"/>
    </w:rPr>
  </w:style>
  <w:style w:type="paragraph" w:customStyle="1" w:styleId="107">
    <w:name w:val="A表格"/>
    <w:basedOn w:val="1"/>
    <w:qFormat/>
    <w:uiPriority w:val="0"/>
    <w:pPr>
      <w:widowControl/>
      <w:jc w:val="left"/>
    </w:pPr>
    <w:rPr>
      <w:rFonts w:hAnsi="Calibri" w:eastAsia="@仿宋_GB2312" w:cs="Calibri"/>
      <w:color w:val="000000"/>
      <w:kern w:val="0"/>
      <w:szCs w:val="21"/>
    </w:rPr>
  </w:style>
  <w:style w:type="character" w:customStyle="1" w:styleId="108">
    <w:name w:val="font61"/>
    <w:basedOn w:val="37"/>
    <w:qFormat/>
    <w:uiPriority w:val="0"/>
    <w:rPr>
      <w:rFonts w:hint="eastAsia" w:ascii="宋体" w:hAnsi="宋体" w:eastAsia="宋体" w:cs="宋体"/>
      <w:color w:val="000000"/>
      <w:sz w:val="20"/>
      <w:szCs w:val="20"/>
      <w:u w:val="none"/>
    </w:rPr>
  </w:style>
  <w:style w:type="character" w:customStyle="1" w:styleId="109">
    <w:name w:val="font01"/>
    <w:basedOn w:val="37"/>
    <w:qFormat/>
    <w:uiPriority w:val="0"/>
    <w:rPr>
      <w:rFonts w:ascii="Arial" w:hAnsi="Arial" w:cs="Arial"/>
      <w:color w:val="000000"/>
      <w:sz w:val="20"/>
      <w:szCs w:val="20"/>
      <w:u w:val="none"/>
    </w:rPr>
  </w:style>
  <w:style w:type="character" w:customStyle="1" w:styleId="110">
    <w:name w:val="font51"/>
    <w:basedOn w:val="37"/>
    <w:qFormat/>
    <w:uiPriority w:val="0"/>
    <w:rPr>
      <w:rFonts w:hint="eastAsia" w:ascii="宋体" w:hAnsi="宋体" w:eastAsia="宋体" w:cs="宋体"/>
      <w:color w:val="000000"/>
      <w:sz w:val="24"/>
      <w:szCs w:val="24"/>
      <w:u w:val="none"/>
    </w:rPr>
  </w:style>
  <w:style w:type="paragraph" w:customStyle="1" w:styleId="111">
    <w:name w:val="正文（首行缩进2字符）"/>
    <w:basedOn w:val="1"/>
    <w:qFormat/>
    <w:uiPriority w:val="0"/>
    <w:pPr>
      <w:ind w:firstLine="420" w:firstLineChars="200"/>
    </w:pPr>
    <w:rPr>
      <w:szCs w:val="21"/>
    </w:rPr>
  </w:style>
  <w:style w:type="paragraph" w:customStyle="1" w:styleId="112">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正文"/>
    <w:basedOn w:val="1"/>
    <w:qFormat/>
    <w:uiPriority w:val="0"/>
    <w:pPr>
      <w:spacing w:line="300" w:lineRule="auto"/>
      <w:ind w:firstLine="480"/>
    </w:pPr>
    <w:rPr>
      <w:rFonts w:ascii="宋体" w:hAnsi="宋体"/>
    </w:rPr>
  </w:style>
  <w:style w:type="paragraph" w:customStyle="1" w:styleId="114">
    <w:name w:val="表格专用"/>
    <w:basedOn w:val="1"/>
    <w:qFormat/>
    <w:uiPriority w:val="0"/>
    <w:pPr>
      <w:jc w:val="center"/>
    </w:pPr>
    <w:rPr>
      <w:rFonts w:hint="eastAsia" w:ascii="宋体" w:hAnsi="宋体" w:cs="宋体"/>
      <w:bCs/>
      <w:color w:val="000000"/>
    </w:rPr>
  </w:style>
  <w:style w:type="character" w:customStyle="1" w:styleId="115">
    <w:name w:val="标题 1 字符"/>
    <w:basedOn w:val="37"/>
    <w:link w:val="4"/>
    <w:qFormat/>
    <w:uiPriority w:val="0"/>
    <w:rPr>
      <w:b/>
      <w:kern w:val="44"/>
      <w:sz w:val="44"/>
      <w:szCs w:val="24"/>
    </w:rPr>
  </w:style>
  <w:style w:type="character" w:customStyle="1" w:styleId="116">
    <w:name w:val="font71"/>
    <w:basedOn w:val="37"/>
    <w:qFormat/>
    <w:uiPriority w:val="0"/>
    <w:rPr>
      <w:rFonts w:hint="eastAsia" w:ascii="宋体" w:hAnsi="宋体" w:eastAsia="宋体" w:cs="宋体"/>
      <w:color w:val="FF0000"/>
      <w:sz w:val="24"/>
      <w:szCs w:val="24"/>
      <w:u w:val="none"/>
    </w:rPr>
  </w:style>
  <w:style w:type="paragraph" w:styleId="117">
    <w:name w:val="No Spacing"/>
    <w:qFormat/>
    <w:uiPriority w:val="99"/>
    <w:rPr>
      <w:rFonts w:ascii="宋体" w:hAnsi="宋体" w:eastAsia="宋体" w:cs="宋体"/>
      <w:sz w:val="24"/>
      <w:szCs w:val="24"/>
      <w:lang w:val="en-US" w:eastAsia="zh-CN" w:bidi="ar-SA"/>
    </w:rPr>
  </w:style>
  <w:style w:type="paragraph" w:customStyle="1" w:styleId="118">
    <w:name w:val="标准正文"/>
    <w:basedOn w:val="1"/>
    <w:qFormat/>
    <w:uiPriority w:val="0"/>
    <w:pPr>
      <w:spacing w:before="156" w:after="156" w:line="360" w:lineRule="auto"/>
      <w:ind w:firstLine="480" w:firstLineChars="200"/>
    </w:pPr>
    <w:rPr>
      <w:rFonts w:ascii="宋体" w:cs="宋体"/>
      <w:sz w:val="24"/>
    </w:rPr>
  </w:style>
  <w:style w:type="paragraph" w:customStyle="1" w:styleId="119">
    <w:name w:val="样式 首行缩进:  0 字符"/>
    <w:basedOn w:val="1"/>
    <w:qFormat/>
    <w:uiPriority w:val="0"/>
    <w:pPr>
      <w:widowControl/>
      <w:spacing w:line="360" w:lineRule="auto"/>
      <w:ind w:firstLine="200" w:firstLineChars="200"/>
      <w:jc w:val="left"/>
    </w:pPr>
    <w:rPr>
      <w:rFonts w:ascii="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66</Pages>
  <Words>194</Words>
  <Characters>276</Characters>
  <Lines>511</Lines>
  <Paragraphs>143</Paragraphs>
  <TotalTime>134</TotalTime>
  <ScaleCrop>false</ScaleCrop>
  <LinksUpToDate>false</LinksUpToDate>
  <CharactersWithSpaces>331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2024-12-18T03:41:00Z</dcterms:created>
  <dc:creator>dell</dc:creator>
  <cp:lastModifiedBy>LF</cp:lastModifiedBy>
  <cp:lastPrinted>2018-04-10T18:19:00Z</cp:lastPrinted>
  <dcterms:modified xsi:type="dcterms:W3CDTF">2025-01-23T07:04:42Z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30BB345BC28640F0B5A6AFFDCA52BE5D_13</vt:lpwstr>
  </property>
  <property fmtid="{D5CDD505-2E9C-101B-9397-08002B2CF9AE}" pid="4" name="KSOTemplateDocerSaveRecord">
    <vt:lpwstr>eyJoZGlkIjoiY2I3YWE1ODRmMjhhYjQwODY2ZDAzMzU0MTAzNzkyZmEiLCJ1c2VySWQiOiI1Mjc5NzkxOTUifQ==</vt:lpwstr>
  </property>
</Properties>
</file>