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pStyle w:val="26"/>
        <w:rPr>
          <w:rFonts w:hint="eastAsia" w:ascii="宋体" w:hAnsi="宋体" w:eastAsia="宋体" w:cs="宋体"/>
          <w:color w:val="000000" w:themeColor="text1"/>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eastAsia="宋体" w:cs="宋体"/>
          <w:b/>
          <w:color w:val="000000" w:themeColor="text1"/>
          <w:kern w:val="0"/>
          <w:sz w:val="52"/>
          <w:highlight w:val="none"/>
          <w14:textFill>
            <w14:solidFill>
              <w14:schemeClr w14:val="tx1"/>
            </w14:solidFill>
          </w14:textFill>
        </w:rPr>
      </w:pPr>
      <w:r>
        <w:rPr>
          <w:rFonts w:hint="eastAsia" w:ascii="宋体" w:hAnsi="宋体" w:eastAsia="宋体" w:cs="宋体"/>
          <w:b/>
          <w:color w:val="000000" w:themeColor="text1"/>
          <w:kern w:val="0"/>
          <w:sz w:val="52"/>
          <w:szCs w:val="52"/>
          <w:highlight w:val="none"/>
          <w14:textFill>
            <w14:solidFill>
              <w14:schemeClr w14:val="tx1"/>
            </w14:solidFill>
          </w14:textFill>
        </w:rPr>
        <w:t>玉环市政府</w:t>
      </w:r>
      <w:r>
        <w:rPr>
          <w:rFonts w:hint="eastAsia" w:ascii="宋体" w:hAnsi="宋体" w:eastAsia="宋体" w:cs="宋体"/>
          <w:b/>
          <w:color w:val="000000" w:themeColor="text1"/>
          <w:kern w:val="0"/>
          <w:sz w:val="52"/>
          <w:highlight w:val="none"/>
          <w14:textFill>
            <w14:solidFill>
              <w14:schemeClr w14:val="tx1"/>
            </w14:solidFill>
          </w14:textFill>
        </w:rPr>
        <w:t>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eastAsia="宋体" w:cs="宋体"/>
          <w:b/>
          <w:color w:val="000000" w:themeColor="text1"/>
          <w:kern w:val="0"/>
          <w:sz w:val="52"/>
          <w:szCs w:val="52"/>
          <w:highlight w:val="none"/>
          <w14:textFill>
            <w14:solidFill>
              <w14:schemeClr w14:val="tx1"/>
            </w14:solidFill>
          </w14:textFill>
        </w:rPr>
      </w:pPr>
      <w:r>
        <w:rPr>
          <w:rFonts w:hint="eastAsia" w:ascii="宋体" w:hAnsi="宋体" w:eastAsia="宋体" w:cs="宋体"/>
          <w:b/>
          <w:color w:val="000000" w:themeColor="text1"/>
          <w:kern w:val="0"/>
          <w:sz w:val="52"/>
          <w:szCs w:val="52"/>
          <w:highlight w:val="none"/>
          <w14:textFill>
            <w14:solidFill>
              <w14:schemeClr w14:val="tx1"/>
            </w14:solidFill>
          </w14:textFill>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eastAsia="宋体" w:cs="宋体"/>
          <w:color w:val="000000" w:themeColor="text1"/>
          <w:kern w:val="0"/>
          <w:sz w:val="30"/>
          <w:szCs w:val="30"/>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94" w:rightChars="0"/>
        <w:jc w:val="center"/>
        <w:rPr>
          <w:rFonts w:hint="default" w:ascii="宋体" w:hAnsi="宋体" w:eastAsia="宋体" w:cs="宋体"/>
          <w:b/>
          <w:bCs/>
          <w:color w:val="000000" w:themeColor="text1"/>
          <w:kern w:val="0"/>
          <w:sz w:val="32"/>
          <w:szCs w:val="32"/>
          <w:highlight w:val="none"/>
          <w:lang w:eastAsia="zh-CN"/>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项目编号：</w:t>
      </w:r>
      <w:r>
        <w:rPr>
          <w:rFonts w:hint="eastAsia" w:ascii="宋体" w:hAnsi="宋体" w:cs="宋体"/>
          <w:b/>
          <w:color w:val="000000" w:themeColor="text1"/>
          <w:kern w:val="0"/>
          <w:sz w:val="32"/>
          <w:szCs w:val="32"/>
          <w:highlight w:val="none"/>
          <w:lang w:eastAsia="zh-CN"/>
          <w14:textFill>
            <w14:solidFill>
              <w14:schemeClr w14:val="tx1"/>
            </w14:solidFill>
          </w14:textFill>
        </w:rPr>
        <w:t>HQ-YHZFCG-2024-0801</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eastAsia="宋体" w:cs="宋体"/>
          <w:color w:val="000000" w:themeColor="text1"/>
          <w:kern w:val="0"/>
          <w:sz w:val="30"/>
          <w:szCs w:val="30"/>
          <w:highlight w:val="none"/>
          <w14:textFill>
            <w14:solidFill>
              <w14:schemeClr w14:val="tx1"/>
            </w14:solidFill>
          </w14:textFill>
        </w:rPr>
      </w:pPr>
    </w:p>
    <w:p>
      <w:pPr>
        <w:pStyle w:val="44"/>
        <w:ind w:firstLine="600"/>
        <w:rPr>
          <w:rFonts w:hint="eastAsia" w:ascii="宋体" w:hAnsi="宋体" w:eastAsia="宋体" w:cs="宋体"/>
          <w:color w:val="000000" w:themeColor="text1"/>
          <w:kern w:val="0"/>
          <w:sz w:val="30"/>
          <w:szCs w:val="30"/>
          <w:highlight w:val="none"/>
          <w14:textFill>
            <w14:solidFill>
              <w14:schemeClr w14:val="tx1"/>
            </w14:solidFill>
          </w14:textFill>
        </w:rPr>
      </w:pPr>
    </w:p>
    <w:p>
      <w:pPr>
        <w:pStyle w:val="44"/>
        <w:ind w:firstLine="600"/>
        <w:rPr>
          <w:rFonts w:hint="eastAsia" w:ascii="宋体" w:hAnsi="宋体" w:eastAsia="宋体" w:cs="宋体"/>
          <w:color w:val="000000" w:themeColor="text1"/>
          <w:kern w:val="0"/>
          <w:sz w:val="30"/>
          <w:szCs w:val="30"/>
          <w:highlight w:val="none"/>
          <w14:textFill>
            <w14:solidFill>
              <w14:schemeClr w14:val="tx1"/>
            </w14:solidFill>
          </w14:textFill>
        </w:rPr>
      </w:pPr>
    </w:p>
    <w:p>
      <w:pPr>
        <w:pStyle w:val="32"/>
        <w:rPr>
          <w:rFonts w:hint="eastAsia" w:ascii="宋体" w:hAnsi="宋体" w:eastAsia="宋体" w:cs="宋体"/>
          <w:color w:val="000000" w:themeColor="text1"/>
          <w:highlight w:val="none"/>
          <w14:textFill>
            <w14:solidFill>
              <w14:schemeClr w14:val="tx1"/>
            </w14:solidFill>
          </w14:textFill>
        </w:rPr>
      </w:pPr>
    </w:p>
    <w:p>
      <w:pPr>
        <w:tabs>
          <w:tab w:val="left" w:pos="720"/>
          <w:tab w:val="left" w:pos="1440"/>
          <w:tab w:val="left" w:pos="2160"/>
          <w:tab w:val="left" w:pos="2880"/>
          <w:tab w:val="left" w:pos="4320"/>
          <w:tab w:val="left" w:pos="5040"/>
          <w:tab w:val="left" w:pos="5760"/>
        </w:tabs>
        <w:autoSpaceDE w:val="0"/>
        <w:autoSpaceDN w:val="0"/>
        <w:adjustRightInd w:val="0"/>
        <w:spacing w:line="360" w:lineRule="auto"/>
        <w:ind w:right="-314" w:rightChars="0"/>
        <w:jc w:val="center"/>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lang w:eastAsia="zh-CN"/>
          <w14:textFill>
            <w14:solidFill>
              <w14:schemeClr w14:val="tx1"/>
            </w14:solidFill>
          </w14:textFill>
        </w:rPr>
        <w:t>玉环市小城镇环境综合整治工程PPP项目绩效评价服务</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采购人：</w:t>
      </w:r>
      <w:r>
        <w:rPr>
          <w:rFonts w:hint="eastAsia" w:ascii="宋体" w:hAnsi="宋体" w:cs="宋体"/>
          <w:color w:val="000000" w:themeColor="text1"/>
          <w:kern w:val="0"/>
          <w:sz w:val="28"/>
          <w:szCs w:val="28"/>
          <w:highlight w:val="none"/>
          <w:lang w:eastAsia="zh-CN"/>
          <w14:textFill>
            <w14:solidFill>
              <w14:schemeClr w14:val="tx1"/>
            </w14:solidFill>
          </w14:textFill>
        </w:rPr>
        <w:t>玉环市住房和城乡建设局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hint="eastAsia" w:ascii="宋体" w:hAnsi="宋体" w:eastAsia="宋体" w:cs="宋体"/>
          <w:color w:val="000000" w:themeColor="text1"/>
          <w:kern w:val="0"/>
          <w:sz w:val="30"/>
          <w:szCs w:val="30"/>
          <w:highlight w:val="none"/>
          <w14:textFill>
            <w14:solidFill>
              <w14:schemeClr w14:val="tx1"/>
            </w14:solidFill>
          </w14:textFill>
        </w:rPr>
      </w:pPr>
      <w:r>
        <w:rPr>
          <w:rFonts w:hint="eastAsia" w:ascii="宋体" w:hAnsi="宋体" w:eastAsia="宋体" w:cs="宋体"/>
          <w:color w:val="000000" w:themeColor="text1"/>
          <w:kern w:val="0"/>
          <w:sz w:val="30"/>
          <w:szCs w:val="30"/>
          <w:highlight w:val="none"/>
          <w14:textFill>
            <w14:solidFill>
              <w14:schemeClr w14:val="tx1"/>
            </w14:solidFill>
          </w14:textFill>
        </w:rPr>
        <w:t xml:space="preserve">                   </w:t>
      </w:r>
    </w:p>
    <w:p>
      <w:pPr>
        <w:pStyle w:val="26"/>
        <w:rPr>
          <w:rFonts w:hint="eastAsia" w:ascii="宋体" w:hAnsi="宋体" w:eastAsia="宋体" w:cs="宋体"/>
          <w:color w:val="000000" w:themeColor="text1"/>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30"/>
          <w:szCs w:val="30"/>
          <w:highlight w:val="non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2024年</w:t>
      </w:r>
      <w:r>
        <w:rPr>
          <w:rFonts w:hint="eastAsia" w:ascii="宋体" w:hAnsi="宋体" w:cs="宋体"/>
          <w:color w:val="000000" w:themeColor="text1"/>
          <w:sz w:val="28"/>
          <w:szCs w:val="28"/>
          <w:highlight w:val="none"/>
          <w:lang w:val="en-US" w:eastAsia="zh-CN"/>
          <w14:textFill>
            <w14:solidFill>
              <w14:schemeClr w14:val="tx1"/>
            </w14:solidFill>
          </w14:textFill>
        </w:rPr>
        <w:t>08</w:t>
      </w:r>
      <w:r>
        <w:rPr>
          <w:rFonts w:hint="eastAsia" w:ascii="宋体" w:hAnsi="宋体" w:eastAsia="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02</w:t>
      </w:r>
      <w:r>
        <w:rPr>
          <w:rFonts w:hint="eastAsia" w:ascii="宋体" w:hAnsi="宋体" w:eastAsia="宋体" w:cs="宋体"/>
          <w:color w:val="000000" w:themeColor="text1"/>
          <w:kern w:val="0"/>
          <w:sz w:val="28"/>
          <w:szCs w:val="28"/>
          <w:highlight w:val="none"/>
          <w14:textFill>
            <w14:solidFill>
              <w14:schemeClr w14:val="tx1"/>
            </w14:solidFill>
          </w14:textFill>
        </w:rPr>
        <w:t>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color w:val="000000" w:themeColor="text1"/>
          <w:kern w:val="0"/>
          <w:sz w:val="28"/>
          <w:szCs w:val="28"/>
          <w:highlight w:val="none"/>
          <w14:textFill>
            <w14:solidFill>
              <w14:schemeClr w14:val="tx1"/>
            </w14:solidFill>
          </w14:textFill>
        </w:rPr>
      </w:pPr>
    </w:p>
    <w:p>
      <w:pPr>
        <w:jc w:val="center"/>
        <w:rPr>
          <w:rFonts w:hint="eastAsia" w:ascii="宋体" w:hAnsi="宋体" w:eastAsia="宋体" w:cs="宋体"/>
          <w:b/>
          <w:bCs/>
          <w:color w:val="000000" w:themeColor="text1"/>
          <w:sz w:val="36"/>
          <w:szCs w:val="36"/>
          <w:highlight w:val="none"/>
          <w14:textFill>
            <w14:solidFill>
              <w14:schemeClr w14:val="tx1"/>
            </w14:solidFill>
          </w14:textFill>
        </w:rPr>
      </w:pPr>
    </w:p>
    <w:p>
      <w:pPr>
        <w:jc w:val="center"/>
        <w:rPr>
          <w:rFonts w:hint="eastAsia" w:ascii="宋体" w:hAnsi="宋体" w:eastAsia="宋体" w:cs="宋体"/>
          <w:b/>
          <w:bCs/>
          <w:color w:val="000000" w:themeColor="text1"/>
          <w:sz w:val="36"/>
          <w:szCs w:val="36"/>
          <w:highlight w:val="none"/>
          <w14:textFill>
            <w14:solidFill>
              <w14:schemeClr w14:val="tx1"/>
            </w14:solidFill>
          </w14:textFill>
        </w:rPr>
      </w:pPr>
    </w:p>
    <w:p>
      <w:pPr>
        <w:jc w:val="center"/>
        <w:rPr>
          <w:rFonts w:hint="eastAsia" w:ascii="宋体" w:hAnsi="宋体" w:eastAsia="宋体" w:cs="宋体"/>
          <w:b/>
          <w:bCs/>
          <w:color w:val="000000" w:themeColor="text1"/>
          <w:sz w:val="36"/>
          <w:szCs w:val="36"/>
          <w:highlight w:val="none"/>
          <w14:textFill>
            <w14:solidFill>
              <w14:schemeClr w14:val="tx1"/>
            </w14:solidFill>
          </w14:textFill>
        </w:rPr>
      </w:pPr>
    </w:p>
    <w:p>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p>
    <w:p>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p>
    <w:p>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一、竞争性磋商公告</w:t>
      </w:r>
    </w:p>
    <w:p>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二、供应商须知</w:t>
      </w:r>
    </w:p>
    <w:p>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三、评审办法及评审标准  </w:t>
      </w:r>
    </w:p>
    <w:p>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四、</w:t>
      </w:r>
      <w:r>
        <w:rPr>
          <w:rFonts w:hint="eastAsia" w:ascii="宋体" w:hAnsi="宋体" w:eastAsia="宋体" w:cs="宋体"/>
          <w:b/>
          <w:color w:val="000000" w:themeColor="text1"/>
          <w:kern w:val="0"/>
          <w:sz w:val="28"/>
          <w:szCs w:val="28"/>
          <w:highlight w:val="none"/>
          <w14:textFill>
            <w14:solidFill>
              <w14:schemeClr w14:val="tx1"/>
            </w14:solidFill>
          </w14:textFill>
        </w:rPr>
        <w:t>项目需求</w:t>
      </w:r>
    </w:p>
    <w:p>
      <w:pPr>
        <w:spacing w:line="360" w:lineRule="auto"/>
        <w:ind w:firstLine="703" w:firstLineChars="250"/>
        <w:jc w:val="lef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五、政府采购合同主要条款指引       </w:t>
      </w:r>
    </w:p>
    <w:p>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六、响应文件格式附件</w:t>
      </w:r>
    </w:p>
    <w:p>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eastAsia="宋体" w:cs="宋体"/>
          <w:color w:val="000000" w:themeColor="text1"/>
          <w:kern w:val="0"/>
          <w:sz w:val="30"/>
          <w:szCs w:val="30"/>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eastAsia="宋体" w:cs="宋体"/>
          <w:color w:val="000000" w:themeColor="text1"/>
          <w:kern w:val="0"/>
          <w:sz w:val="30"/>
          <w:szCs w:val="30"/>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eastAsia="宋体" w:cs="宋体"/>
          <w:color w:val="000000" w:themeColor="text1"/>
          <w:kern w:val="0"/>
          <w:sz w:val="30"/>
          <w:szCs w:val="30"/>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pPr>
        <w:pStyle w:val="43"/>
        <w:rPr>
          <w:rFonts w:hint="eastAsia" w:ascii="宋体" w:hAnsi="宋体" w:eastAsia="宋体" w:cs="宋体"/>
          <w:color w:val="000000" w:themeColor="text1"/>
          <w:highlight w:val="none"/>
          <w14:textFill>
            <w14:solidFill>
              <w14:schemeClr w14:val="tx1"/>
            </w14:solidFill>
          </w14:textFill>
        </w:rPr>
      </w:pPr>
    </w:p>
    <w:p>
      <w:pPr>
        <w:pStyle w:val="2"/>
        <w:spacing w:before="0" w:after="0" w:line="520" w:lineRule="exact"/>
        <w:jc w:val="center"/>
        <w:rPr>
          <w:rFonts w:hint="eastAsia" w:ascii="宋体" w:hAnsi="宋体" w:eastAsia="宋体" w:cs="宋体"/>
          <w:color w:val="000000" w:themeColor="text1"/>
          <w:kern w:val="0"/>
          <w:sz w:val="30"/>
          <w:szCs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第一章  竞争性磋商公告</w:t>
      </w:r>
      <w:r>
        <w:rPr>
          <w:rFonts w:hint="eastAsia" w:ascii="宋体" w:hAnsi="宋体" w:eastAsia="宋体" w:cs="宋体"/>
          <w:color w:val="000000" w:themeColor="text1"/>
          <w:kern w:val="0"/>
          <w:sz w:val="30"/>
          <w:szCs w:val="30"/>
          <w:highlight w:val="none"/>
          <w14:textFill>
            <w14:solidFill>
              <w14:schemeClr w14:val="tx1"/>
            </w14:solidFill>
          </w14:textFill>
        </w:rPr>
        <w:t xml:space="preserve"> </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玉环市小城镇环境综合整治工程PPP项目绩效评价服务</w:t>
      </w:r>
      <w:r>
        <w:rPr>
          <w:rFonts w:hint="eastAsia" w:ascii="宋体" w:hAnsi="宋体" w:eastAsia="宋体" w:cs="宋体"/>
          <w:color w:val="000000" w:themeColor="text1"/>
          <w:sz w:val="24"/>
          <w:highlight w:val="none"/>
          <w14:textFill>
            <w14:solidFill>
              <w14:schemeClr w14:val="tx1"/>
            </w14:solidFill>
          </w14:textFill>
        </w:rPr>
        <w:t>采购项目的潜在供应商应在</w:t>
      </w:r>
      <w:r>
        <w:rPr>
          <w:rFonts w:hint="eastAsia" w:ascii="宋体" w:hAnsi="宋体" w:eastAsia="宋体" w:cs="宋体"/>
          <w:color w:val="000000" w:themeColor="text1"/>
          <w:sz w:val="24"/>
          <w:highlight w:val="none"/>
          <w:u w:val="single"/>
          <w14:textFill>
            <w14:solidFill>
              <w14:schemeClr w14:val="tx1"/>
            </w14:solidFill>
          </w14:textFill>
        </w:rPr>
        <w:t>政府采购云平台（www.zcygov.cn）</w:t>
      </w:r>
      <w:r>
        <w:rPr>
          <w:rFonts w:hint="eastAsia" w:ascii="宋体" w:hAnsi="宋体" w:eastAsia="宋体" w:cs="宋体"/>
          <w:color w:val="000000" w:themeColor="text1"/>
          <w:sz w:val="24"/>
          <w:highlight w:val="none"/>
          <w14:textFill>
            <w14:solidFill>
              <w14:schemeClr w14:val="tx1"/>
            </w14:solidFill>
          </w14:textFill>
        </w:rPr>
        <w:t>获取采购文件，并于</w:t>
      </w:r>
      <w:r>
        <w:rPr>
          <w:rFonts w:hint="eastAsia" w:ascii="宋体" w:hAnsi="宋体" w:cs="宋体"/>
          <w:color w:val="000000" w:themeColor="text1"/>
          <w:sz w:val="24"/>
          <w:highlight w:val="none"/>
          <w:u w:val="single"/>
          <w:lang w:eastAsia="zh-CN"/>
          <w14:textFill>
            <w14:solidFill>
              <w14:schemeClr w14:val="tx1"/>
            </w14:solidFill>
          </w14:textFill>
        </w:rPr>
        <w:t>2024年08月13日</w:t>
      </w:r>
      <w:r>
        <w:rPr>
          <w:rFonts w:hint="eastAsia" w:ascii="宋体" w:hAnsi="宋体" w:cs="宋体"/>
          <w:color w:val="000000" w:themeColor="text1"/>
          <w:sz w:val="24"/>
          <w:highlight w:val="none"/>
          <w:u w:val="single"/>
          <w:lang w:val="en-US" w:eastAsia="zh-CN"/>
          <w14:textFill>
            <w14:solidFill>
              <w14:schemeClr w14:val="tx1"/>
            </w14:solidFill>
          </w14:textFill>
        </w:rPr>
        <w:t>09点00分</w:t>
      </w:r>
      <w:r>
        <w:rPr>
          <w:rFonts w:hint="eastAsia" w:ascii="宋体" w:hAnsi="宋体" w:eastAsia="宋体" w:cs="宋体"/>
          <w:bCs/>
          <w:color w:val="000000" w:themeColor="text1"/>
          <w:sz w:val="24"/>
          <w:highlight w:val="none"/>
          <w14:textFill>
            <w14:solidFill>
              <w14:schemeClr w14:val="tx1"/>
            </w14:solidFill>
          </w14:textFill>
        </w:rPr>
        <w:t>（北京时间）前提交响应文件</w:t>
      </w:r>
      <w:r>
        <w:rPr>
          <w:rFonts w:hint="eastAsia" w:ascii="宋体" w:hAnsi="宋体" w:eastAsia="宋体" w:cs="宋体"/>
          <w:color w:val="000000" w:themeColor="text1"/>
          <w:sz w:val="24"/>
          <w:highlight w:val="none"/>
          <w14:textFill>
            <w14:solidFill>
              <w14:schemeClr w14:val="tx1"/>
            </w14:solidFill>
          </w14:textFill>
        </w:rPr>
        <w:t>。</w:t>
      </w:r>
    </w:p>
    <w:p>
      <w:pPr>
        <w:pStyle w:val="4"/>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0" w:name="_Toc35393798"/>
      <w:bookmarkStart w:id="1" w:name="_Toc28359012"/>
      <w:bookmarkStart w:id="2" w:name="_Toc35393629"/>
      <w:bookmarkStart w:id="3" w:name="_Toc28359089"/>
      <w:r>
        <w:rPr>
          <w:rFonts w:hint="eastAsia" w:ascii="宋体" w:hAnsi="宋体" w:eastAsia="宋体" w:cs="宋体"/>
          <w:b w:val="0"/>
          <w:color w:val="000000" w:themeColor="text1"/>
          <w:sz w:val="24"/>
          <w:szCs w:val="24"/>
          <w:highlight w:val="none"/>
          <w14:textFill>
            <w14:solidFill>
              <w14:schemeClr w14:val="tx1"/>
            </w14:solidFill>
          </w14:textFill>
        </w:rPr>
        <w:t>一、项目基本情况</w:t>
      </w:r>
      <w:bookmarkEnd w:id="0"/>
      <w:bookmarkEnd w:id="1"/>
      <w:bookmarkEnd w:id="2"/>
      <w:bookmarkEnd w:id="3"/>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HQ-YHZFCG-2024-0801</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400" w:lineRule="exact"/>
        <w:ind w:right="-313" w:rightChars="-149"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玉环市小城镇环境综合整治工程PPP项目绩效评价服务</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采购方式：竞争性磋商</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预算金额：</w:t>
      </w:r>
      <w:r>
        <w:rPr>
          <w:rFonts w:hint="eastAsia" w:ascii="宋体" w:hAnsi="宋体" w:cs="宋体"/>
          <w:color w:val="000000" w:themeColor="text1"/>
          <w:sz w:val="24"/>
          <w:highlight w:val="none"/>
          <w:lang w:eastAsia="zh-CN"/>
          <w14:textFill>
            <w14:solidFill>
              <w14:schemeClr w14:val="tx1"/>
            </w14:solidFill>
          </w14:textFill>
        </w:rPr>
        <w:t>450000元</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最高限价：</w:t>
      </w:r>
      <w:r>
        <w:rPr>
          <w:rFonts w:hint="eastAsia" w:ascii="宋体" w:hAnsi="宋体" w:cs="宋体"/>
          <w:color w:val="000000" w:themeColor="text1"/>
          <w:sz w:val="24"/>
          <w:highlight w:val="none"/>
          <w:lang w:eastAsia="zh-CN"/>
          <w14:textFill>
            <w14:solidFill>
              <w14:schemeClr w14:val="tx1"/>
            </w14:solidFill>
          </w14:textFill>
        </w:rPr>
        <w:t>450000元</w:t>
      </w:r>
    </w:p>
    <w:p>
      <w:pPr>
        <w:spacing w:line="40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采购需求：详见采购文件</w:t>
      </w:r>
    </w:p>
    <w:p>
      <w:pPr>
        <w:spacing w:line="40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合同履行期限：详见采购文件</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本项目不接受联合体。</w:t>
      </w:r>
    </w:p>
    <w:p>
      <w:pPr>
        <w:pStyle w:val="4"/>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4" w:name="_Toc28359090"/>
      <w:bookmarkStart w:id="5" w:name="_Toc28359013"/>
      <w:bookmarkStart w:id="6" w:name="_Toc35393799"/>
      <w:bookmarkStart w:id="7" w:name="_Toc35393630"/>
      <w:r>
        <w:rPr>
          <w:rFonts w:hint="eastAsia" w:ascii="宋体" w:hAnsi="宋体" w:eastAsia="宋体" w:cs="宋体"/>
          <w:b w:val="0"/>
          <w:color w:val="000000" w:themeColor="text1"/>
          <w:sz w:val="24"/>
          <w:szCs w:val="24"/>
          <w:highlight w:val="none"/>
          <w14:textFill>
            <w14:solidFill>
              <w14:schemeClr w14:val="tx1"/>
            </w14:solidFill>
          </w14:textFill>
        </w:rPr>
        <w:t>二、申请人的资格要求：</w:t>
      </w:r>
      <w:bookmarkEnd w:id="4"/>
      <w:bookmarkEnd w:id="5"/>
      <w:bookmarkEnd w:id="6"/>
      <w:bookmarkEnd w:id="7"/>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1.满足《中华人民共和国政府采购法》第二十二条规定；</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2.落实政府采购政策需满足的资格要求：本项目为专门面向中小企业采购的项目，供应商应为中小微企业（监狱企业及残疾人福利性单位视同小型、微型企业）；</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3.本项目的特定资格要求：</w:t>
      </w:r>
      <w:r>
        <w:rPr>
          <w:rFonts w:hint="eastAsia" w:ascii="宋体" w:hAnsi="宋体" w:eastAsia="宋体" w:cs="宋体"/>
          <w:color w:val="000000" w:themeColor="text1"/>
          <w:sz w:val="24"/>
          <w:highlight w:val="none"/>
          <w:lang w:val="en-US" w:eastAsia="zh-CN"/>
          <w14:textFill>
            <w14:solidFill>
              <w14:schemeClr w14:val="tx1"/>
            </w14:solidFill>
          </w14:textFill>
        </w:rPr>
        <w:t>无；</w:t>
      </w:r>
    </w:p>
    <w:p>
      <w:pPr>
        <w:pStyle w:val="4"/>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8" w:name="_Toc35393800"/>
      <w:bookmarkStart w:id="9" w:name="_Toc35393631"/>
      <w:bookmarkStart w:id="10" w:name="_Toc28359014"/>
      <w:bookmarkStart w:id="11" w:name="_Toc28359091"/>
      <w:r>
        <w:rPr>
          <w:rFonts w:hint="eastAsia" w:ascii="宋体" w:hAnsi="宋体" w:eastAsia="宋体" w:cs="宋体"/>
          <w:b w:val="0"/>
          <w:color w:val="000000" w:themeColor="text1"/>
          <w:sz w:val="24"/>
          <w:szCs w:val="24"/>
          <w:highlight w:val="none"/>
          <w14:textFill>
            <w14:solidFill>
              <w14:schemeClr w14:val="tx1"/>
            </w14:solidFill>
          </w14:textFill>
        </w:rPr>
        <w:t>三、获取采购文件</w:t>
      </w:r>
      <w:bookmarkEnd w:id="8"/>
      <w:bookmarkEnd w:id="9"/>
      <w:bookmarkEnd w:id="10"/>
      <w:bookmarkEnd w:id="11"/>
    </w:p>
    <w:p>
      <w:pPr>
        <w:spacing w:line="400" w:lineRule="exact"/>
        <w:ind w:firstLine="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时间：公告发布之日起至投标文件递交截止时间</w:t>
      </w:r>
    </w:p>
    <w:p>
      <w:pPr>
        <w:spacing w:line="400" w:lineRule="exact"/>
        <w:ind w:firstLine="54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地点：政府采购云平台（www.zcygov.cn）  </w:t>
      </w:r>
    </w:p>
    <w:p>
      <w:pPr>
        <w:spacing w:line="400" w:lineRule="exact"/>
        <w:ind w:firstLine="54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方式：在线获取</w:t>
      </w:r>
    </w:p>
    <w:p>
      <w:pPr>
        <w:spacing w:line="400" w:lineRule="exact"/>
        <w:ind w:firstLine="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售价：0元</w:t>
      </w:r>
    </w:p>
    <w:p>
      <w:pPr>
        <w:pStyle w:val="4"/>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12" w:name="_Toc28359015"/>
      <w:bookmarkStart w:id="13" w:name="_Toc35393632"/>
      <w:bookmarkStart w:id="14" w:name="_Toc35393801"/>
      <w:bookmarkStart w:id="15" w:name="_Toc28359092"/>
      <w:r>
        <w:rPr>
          <w:rFonts w:hint="eastAsia" w:ascii="宋体" w:hAnsi="宋体" w:eastAsia="宋体" w:cs="宋体"/>
          <w:b w:val="0"/>
          <w:color w:val="000000" w:themeColor="text1"/>
          <w:sz w:val="24"/>
          <w:szCs w:val="24"/>
          <w:highlight w:val="none"/>
          <w14:textFill>
            <w14:solidFill>
              <w14:schemeClr w14:val="tx1"/>
            </w14:solidFill>
          </w14:textFill>
        </w:rPr>
        <w:t>四、响应文件提交</w:t>
      </w:r>
      <w:bookmarkEnd w:id="12"/>
      <w:bookmarkEnd w:id="13"/>
      <w:bookmarkEnd w:id="14"/>
      <w:bookmarkEnd w:id="15"/>
    </w:p>
    <w:p>
      <w:pPr>
        <w:spacing w:line="400" w:lineRule="exact"/>
        <w:ind w:firstLine="480"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lang w:eastAsia="zh-CN"/>
          <w14:textFill>
            <w14:solidFill>
              <w14:schemeClr w14:val="tx1"/>
            </w14:solidFill>
          </w14:textFill>
        </w:rPr>
        <w:t>2024年08月13日</w:t>
      </w:r>
      <w:r>
        <w:rPr>
          <w:rFonts w:hint="eastAsia" w:ascii="宋体" w:hAnsi="宋体" w:cs="宋体"/>
          <w:color w:val="000000" w:themeColor="text1"/>
          <w:sz w:val="24"/>
          <w:highlight w:val="none"/>
          <w:u w:val="single"/>
          <w:lang w:val="en-US" w:eastAsia="zh-CN"/>
          <w14:textFill>
            <w14:solidFill>
              <w14:schemeClr w14:val="tx1"/>
            </w14:solidFill>
          </w14:textFill>
        </w:rPr>
        <w:t>09点00分</w:t>
      </w:r>
      <w:r>
        <w:rPr>
          <w:rFonts w:hint="eastAsia" w:ascii="宋体" w:hAnsi="宋体" w:eastAsia="宋体" w:cs="宋体"/>
          <w:bCs/>
          <w:color w:val="000000" w:themeColor="text1"/>
          <w:sz w:val="24"/>
          <w:highlight w:val="none"/>
          <w14:textFill>
            <w14:solidFill>
              <w14:schemeClr w14:val="tx1"/>
            </w14:solidFill>
          </w14:textFill>
        </w:rPr>
        <w:t>（北京时间）</w:t>
      </w:r>
    </w:p>
    <w:p>
      <w:pPr>
        <w:spacing w:line="400" w:lineRule="exact"/>
        <w:ind w:firstLine="480"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 </w:t>
      </w:r>
      <w:r>
        <w:rPr>
          <w:rFonts w:hint="eastAsia" w:ascii="宋体" w:hAnsi="宋体" w:eastAsia="宋体" w:cs="宋体"/>
          <w:color w:val="000000" w:themeColor="text1"/>
          <w:sz w:val="24"/>
          <w:highlight w:val="none"/>
          <w:u w:val="single"/>
          <w14:textFill>
            <w14:solidFill>
              <w14:schemeClr w14:val="tx1"/>
            </w14:solidFill>
          </w14:textFill>
        </w:rPr>
        <w:t>“政采云”平台（线上）</w:t>
      </w:r>
    </w:p>
    <w:p>
      <w:pPr>
        <w:pStyle w:val="4"/>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16" w:name="_Toc35393802"/>
      <w:bookmarkStart w:id="17" w:name="_Toc35393633"/>
      <w:bookmarkStart w:id="18" w:name="_Toc28359016"/>
      <w:bookmarkStart w:id="19" w:name="_Toc28359093"/>
      <w:r>
        <w:rPr>
          <w:rFonts w:hint="eastAsia" w:ascii="宋体" w:hAnsi="宋体" w:eastAsia="宋体" w:cs="宋体"/>
          <w:b w:val="0"/>
          <w:color w:val="000000" w:themeColor="text1"/>
          <w:sz w:val="24"/>
          <w:szCs w:val="24"/>
          <w:highlight w:val="none"/>
          <w14:textFill>
            <w14:solidFill>
              <w14:schemeClr w14:val="tx1"/>
            </w14:solidFill>
          </w14:textFill>
        </w:rPr>
        <w:t>五、开启</w:t>
      </w:r>
      <w:bookmarkEnd w:id="16"/>
      <w:bookmarkEnd w:id="17"/>
      <w:bookmarkEnd w:id="18"/>
      <w:bookmarkEnd w:id="19"/>
    </w:p>
    <w:p>
      <w:pPr>
        <w:spacing w:line="400" w:lineRule="exact"/>
        <w:ind w:firstLine="480"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lang w:eastAsia="zh-CN"/>
          <w14:textFill>
            <w14:solidFill>
              <w14:schemeClr w14:val="tx1"/>
            </w14:solidFill>
          </w14:textFill>
        </w:rPr>
        <w:t>2024年08月13日</w:t>
      </w:r>
      <w:r>
        <w:rPr>
          <w:rFonts w:hint="eastAsia" w:ascii="宋体" w:hAnsi="宋体" w:cs="宋体"/>
          <w:color w:val="000000" w:themeColor="text1"/>
          <w:sz w:val="24"/>
          <w:highlight w:val="none"/>
          <w:u w:val="single"/>
          <w:lang w:val="en-US" w:eastAsia="zh-CN"/>
          <w14:textFill>
            <w14:solidFill>
              <w14:schemeClr w14:val="tx1"/>
            </w14:solidFill>
          </w14:textFill>
        </w:rPr>
        <w:t>09点00分</w:t>
      </w:r>
      <w:r>
        <w:rPr>
          <w:rFonts w:hint="eastAsia" w:ascii="宋体" w:hAnsi="宋体" w:eastAsia="宋体" w:cs="宋体"/>
          <w:bCs/>
          <w:color w:val="000000" w:themeColor="text1"/>
          <w:sz w:val="24"/>
          <w:highlight w:val="none"/>
          <w14:textFill>
            <w14:solidFill>
              <w14:schemeClr w14:val="tx1"/>
            </w14:solidFill>
          </w14:textFill>
        </w:rPr>
        <w:t>（北京时间）</w:t>
      </w:r>
    </w:p>
    <w:p>
      <w:pPr>
        <w:spacing w:line="400" w:lineRule="exact"/>
        <w:ind w:firstLine="480"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 </w:t>
      </w:r>
      <w:r>
        <w:rPr>
          <w:rFonts w:hint="eastAsia" w:ascii="宋体" w:hAnsi="宋体" w:eastAsia="宋体" w:cs="宋体"/>
          <w:color w:val="000000" w:themeColor="text1"/>
          <w:sz w:val="24"/>
          <w:highlight w:val="none"/>
          <w:u w:val="single"/>
          <w14:textFill>
            <w14:solidFill>
              <w14:schemeClr w14:val="tx1"/>
            </w14:solidFill>
          </w14:textFill>
        </w:rPr>
        <w:t>“政采云”平台（线上）</w:t>
      </w:r>
    </w:p>
    <w:p>
      <w:pPr>
        <w:pStyle w:val="4"/>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20" w:name="_Toc35393634"/>
      <w:bookmarkStart w:id="21" w:name="_Toc28359017"/>
      <w:bookmarkStart w:id="22" w:name="_Toc28359094"/>
      <w:bookmarkStart w:id="23" w:name="_Toc35393803"/>
      <w:r>
        <w:rPr>
          <w:rFonts w:hint="eastAsia" w:ascii="宋体" w:hAnsi="宋体" w:eastAsia="宋体" w:cs="宋体"/>
          <w:b w:val="0"/>
          <w:color w:val="000000" w:themeColor="text1"/>
          <w:sz w:val="24"/>
          <w:szCs w:val="24"/>
          <w:highlight w:val="none"/>
          <w14:textFill>
            <w14:solidFill>
              <w14:schemeClr w14:val="tx1"/>
            </w14:solidFill>
          </w14:textFill>
        </w:rPr>
        <w:t>六、公告期限</w:t>
      </w:r>
      <w:bookmarkEnd w:id="20"/>
      <w:bookmarkEnd w:id="21"/>
      <w:bookmarkEnd w:id="22"/>
      <w:bookmarkEnd w:id="23"/>
    </w:p>
    <w:p>
      <w:pPr>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自本公告发布之日起3个工作日。</w:t>
      </w:r>
    </w:p>
    <w:p>
      <w:pPr>
        <w:pStyle w:val="4"/>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24" w:name="_Toc35393804"/>
      <w:bookmarkStart w:id="25" w:name="_Toc35393635"/>
      <w:r>
        <w:rPr>
          <w:rFonts w:hint="eastAsia" w:ascii="宋体" w:hAnsi="宋体" w:eastAsia="宋体" w:cs="宋体"/>
          <w:b w:val="0"/>
          <w:color w:val="000000" w:themeColor="text1"/>
          <w:sz w:val="24"/>
          <w:szCs w:val="24"/>
          <w:highlight w:val="none"/>
          <w14:textFill>
            <w14:solidFill>
              <w14:schemeClr w14:val="tx1"/>
            </w14:solidFill>
          </w14:textFill>
        </w:rPr>
        <w:t>七、其他补充事宜</w:t>
      </w:r>
      <w:bookmarkEnd w:id="24"/>
      <w:bookmarkEnd w:id="25"/>
    </w:p>
    <w:p>
      <w:pPr>
        <w:spacing w:line="400" w:lineRule="exact"/>
        <w:ind w:firstLine="420" w:firstLineChars="175"/>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2.其他事项：详见采购文件要求</w:t>
      </w:r>
    </w:p>
    <w:p>
      <w:pPr>
        <w:spacing w:line="400" w:lineRule="exact"/>
        <w:rPr>
          <w:rFonts w:hint="eastAsia" w:ascii="宋体" w:hAnsi="宋体" w:eastAsia="宋体" w:cs="宋体"/>
          <w:color w:val="000000" w:themeColor="text1"/>
          <w:sz w:val="24"/>
          <w:highlight w:val="none"/>
          <w14:textFill>
            <w14:solidFill>
              <w14:schemeClr w14:val="tx1"/>
            </w14:solidFill>
          </w14:textFill>
        </w:rPr>
      </w:pPr>
    </w:p>
    <w:p>
      <w:pPr>
        <w:pStyle w:val="4"/>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26" w:name="_Toc28359095"/>
      <w:bookmarkStart w:id="27" w:name="_Toc28359018"/>
      <w:bookmarkStart w:id="28" w:name="_Toc35393636"/>
      <w:bookmarkStart w:id="29" w:name="_Toc35393805"/>
      <w:r>
        <w:rPr>
          <w:rFonts w:hint="eastAsia" w:ascii="宋体" w:hAnsi="宋体" w:eastAsia="宋体" w:cs="宋体"/>
          <w:b w:val="0"/>
          <w:color w:val="000000" w:themeColor="text1"/>
          <w:sz w:val="24"/>
          <w:szCs w:val="24"/>
          <w:highlight w:val="none"/>
          <w14:textFill>
            <w14:solidFill>
              <w14:schemeClr w14:val="tx1"/>
            </w14:solidFill>
          </w14:textFill>
        </w:rPr>
        <w:t>八、凡对本次采购提出询问，请按以下方式联系。</w:t>
      </w:r>
      <w:bookmarkEnd w:id="26"/>
      <w:bookmarkEnd w:id="27"/>
      <w:bookmarkEnd w:id="28"/>
      <w:bookmarkEnd w:id="29"/>
    </w:p>
    <w:p>
      <w:pPr>
        <w:pStyle w:val="4"/>
        <w:spacing w:before="0" w:after="0" w:line="400" w:lineRule="exact"/>
        <w:ind w:firstLine="720" w:firstLineChars="300"/>
        <w:rPr>
          <w:rFonts w:hint="eastAsia" w:ascii="宋体" w:hAnsi="宋体" w:cs="宋体"/>
          <w:b w:val="0"/>
          <w:color w:val="000000" w:themeColor="text1"/>
          <w:sz w:val="24"/>
          <w:szCs w:val="24"/>
          <w:highlight w:val="none"/>
          <w14:textFill>
            <w14:solidFill>
              <w14:schemeClr w14:val="tx1"/>
            </w14:solidFill>
          </w14:textFill>
        </w:rPr>
      </w:pPr>
      <w:bookmarkStart w:id="30" w:name="_Toc35393637"/>
      <w:bookmarkStart w:id="31" w:name="_Toc28359096"/>
      <w:bookmarkStart w:id="32" w:name="_Toc35393806"/>
      <w:bookmarkStart w:id="33" w:name="_Toc28359019"/>
      <w:r>
        <w:rPr>
          <w:rFonts w:hint="eastAsia" w:ascii="宋体" w:hAnsi="宋体" w:cs="宋体"/>
          <w:b w:val="0"/>
          <w:color w:val="000000" w:themeColor="text1"/>
          <w:sz w:val="24"/>
          <w:szCs w:val="24"/>
          <w:highlight w:val="none"/>
          <w14:textFill>
            <w14:solidFill>
              <w14:schemeClr w14:val="tx1"/>
            </w14:solidFill>
          </w14:textFill>
        </w:rPr>
        <w:t>1.采购人信息</w:t>
      </w:r>
      <w:bookmarkEnd w:id="30"/>
      <w:bookmarkEnd w:id="31"/>
      <w:bookmarkEnd w:id="32"/>
      <w:bookmarkEnd w:id="33"/>
    </w:p>
    <w:p>
      <w:pPr>
        <w:spacing w:line="400" w:lineRule="exact"/>
        <w:ind w:left="1079" w:leftChars="371" w:hanging="300" w:hangingChars="125"/>
        <w:jc w:val="left"/>
        <w:rPr>
          <w:rFonts w:hint="eastAsia" w:ascii="宋体" w:hAnsi="宋体" w:eastAsia="宋体" w:cs="宋体"/>
          <w:color w:val="000000" w:themeColor="text1"/>
          <w:sz w:val="24"/>
          <w:highlight w:val="none"/>
          <w:u w:val="none"/>
          <w:lang w:eastAsia="zh-CN"/>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名    称：</w:t>
      </w:r>
      <w:r>
        <w:rPr>
          <w:rFonts w:hint="eastAsia" w:ascii="宋体" w:hAnsi="宋体" w:cs="宋体"/>
          <w:color w:val="000000" w:themeColor="text1"/>
          <w:sz w:val="24"/>
          <w:highlight w:val="none"/>
          <w:u w:val="none"/>
          <w:lang w:eastAsia="zh-CN"/>
          <w14:textFill>
            <w14:solidFill>
              <w14:schemeClr w14:val="tx1"/>
            </w14:solidFill>
          </w14:textFill>
        </w:rPr>
        <w:t>玉环市住房和城乡建设局</w:t>
      </w:r>
    </w:p>
    <w:p>
      <w:pPr>
        <w:spacing w:line="400" w:lineRule="exact"/>
        <w:ind w:left="1079" w:leftChars="371" w:hanging="300" w:hangingChars="125"/>
        <w:jc w:val="left"/>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地    址：玉环市珠港镇城关长康路1号</w:t>
      </w:r>
    </w:p>
    <w:p>
      <w:pPr>
        <w:spacing w:line="400" w:lineRule="exact"/>
        <w:ind w:left="1079" w:leftChars="371" w:hanging="300" w:hangingChars="125"/>
        <w:jc w:val="left"/>
        <w:rPr>
          <w:rFonts w:hint="default"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联系人：</w:t>
      </w:r>
      <w:r>
        <w:rPr>
          <w:rFonts w:hint="eastAsia" w:ascii="宋体" w:hAnsi="宋体" w:cs="宋体"/>
          <w:color w:val="000000" w:themeColor="text1"/>
          <w:sz w:val="24"/>
          <w:highlight w:val="none"/>
          <w:u w:val="none"/>
          <w:lang w:val="en-US" w:eastAsia="zh-CN"/>
          <w14:textFill>
            <w14:solidFill>
              <w14:schemeClr w14:val="tx1"/>
            </w14:solidFill>
          </w14:textFill>
        </w:rPr>
        <w:t xml:space="preserve"> 李主任</w:t>
      </w:r>
    </w:p>
    <w:p>
      <w:pPr>
        <w:spacing w:line="400" w:lineRule="exact"/>
        <w:ind w:left="1079" w:leftChars="371" w:hanging="300" w:hangingChars="125"/>
        <w:jc w:val="left"/>
        <w:rPr>
          <w:rFonts w:hint="default" w:ascii="宋体" w:hAnsi="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联系方式：0576-87238253</w:t>
      </w:r>
      <w:r>
        <w:rPr>
          <w:rFonts w:hint="eastAsia" w:ascii="宋体" w:hAnsi="宋体" w:cs="宋体"/>
          <w:color w:val="000000" w:themeColor="text1"/>
          <w:sz w:val="24"/>
          <w:highlight w:val="none"/>
          <w:u w:val="none"/>
          <w:lang w:val="en-US" w:eastAsia="zh-CN"/>
          <w14:textFill>
            <w14:solidFill>
              <w14:schemeClr w14:val="tx1"/>
            </w14:solidFill>
          </w14:textFill>
        </w:rPr>
        <w:t xml:space="preserve">  </w:t>
      </w:r>
    </w:p>
    <w:p>
      <w:pPr>
        <w:spacing w:line="400" w:lineRule="exact"/>
        <w:ind w:left="1079" w:leftChars="371" w:hanging="300" w:hangingChars="125"/>
        <w:jc w:val="left"/>
        <w:rPr>
          <w:rFonts w:hint="default" w:ascii="宋体" w:hAnsi="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 xml:space="preserve">质疑联系人：李主任 </w:t>
      </w:r>
    </w:p>
    <w:p>
      <w:pPr>
        <w:spacing w:line="400" w:lineRule="exact"/>
        <w:ind w:left="1079" w:leftChars="371" w:hanging="300" w:hangingChars="125"/>
        <w:jc w:val="left"/>
        <w:rPr>
          <w:rFonts w:hint="default" w:ascii="宋体" w:hAnsi="宋体" w:cs="宋体"/>
          <w:color w:val="000000" w:themeColor="text1"/>
          <w:sz w:val="24"/>
          <w:highlight w:val="none"/>
          <w:u w:val="none"/>
          <w:lang w:val="en-US"/>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质疑联系方式：0576-87238253</w:t>
      </w:r>
    </w:p>
    <w:p>
      <w:pPr>
        <w:pStyle w:val="4"/>
        <w:spacing w:before="0" w:after="0" w:line="400" w:lineRule="exact"/>
        <w:ind w:firstLine="720" w:firstLineChars="300"/>
        <w:rPr>
          <w:rFonts w:hint="eastAsia" w:ascii="宋体" w:hAnsi="宋体" w:cs="宋体"/>
          <w:b w:val="0"/>
          <w:color w:val="000000" w:themeColor="text1"/>
          <w:sz w:val="24"/>
          <w:szCs w:val="24"/>
          <w:highlight w:val="none"/>
          <w:u w:val="none"/>
          <w14:textFill>
            <w14:solidFill>
              <w14:schemeClr w14:val="tx1"/>
            </w14:solidFill>
          </w14:textFill>
        </w:rPr>
      </w:pPr>
      <w:bookmarkStart w:id="34" w:name="_Toc28359020"/>
      <w:bookmarkStart w:id="35" w:name="_Toc28359097"/>
      <w:bookmarkStart w:id="36" w:name="_Toc35393638"/>
      <w:bookmarkStart w:id="37" w:name="_Toc35393807"/>
      <w:r>
        <w:rPr>
          <w:rFonts w:hint="eastAsia" w:ascii="宋体" w:hAnsi="宋体" w:cs="宋体"/>
          <w:b w:val="0"/>
          <w:color w:val="000000" w:themeColor="text1"/>
          <w:sz w:val="24"/>
          <w:szCs w:val="24"/>
          <w:highlight w:val="none"/>
          <w:u w:val="none"/>
          <w14:textFill>
            <w14:solidFill>
              <w14:schemeClr w14:val="tx1"/>
            </w14:solidFill>
          </w14:textFill>
        </w:rPr>
        <w:t>2.采购代理机构信息</w:t>
      </w:r>
      <w:bookmarkEnd w:id="34"/>
      <w:bookmarkEnd w:id="35"/>
      <w:bookmarkEnd w:id="36"/>
      <w:bookmarkEnd w:id="37"/>
    </w:p>
    <w:p>
      <w:pPr>
        <w:spacing w:line="400" w:lineRule="exact"/>
        <w:ind w:firstLine="720" w:firstLineChars="3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名    称：杭州华旗招标代理有限公司</w:t>
      </w:r>
    </w:p>
    <w:p>
      <w:pPr>
        <w:spacing w:line="400" w:lineRule="exact"/>
        <w:ind w:firstLine="720" w:firstLineChars="3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地　　址：台州市玉环市李家小区</w:t>
      </w:r>
      <w:r>
        <w:rPr>
          <w:rFonts w:hint="eastAsia" w:ascii="宋体" w:hAnsi="宋体" w:cs="宋体"/>
          <w:color w:val="000000" w:themeColor="text1"/>
          <w:sz w:val="24"/>
          <w:highlight w:val="none"/>
          <w:u w:val="none"/>
          <w:lang w:eastAsia="zh-CN"/>
          <w14:textFill>
            <w14:solidFill>
              <w14:schemeClr w14:val="tx1"/>
            </w14:solidFill>
          </w14:textFill>
        </w:rPr>
        <w:t>二期2号楼</w:t>
      </w:r>
      <w:r>
        <w:rPr>
          <w:rFonts w:hint="eastAsia" w:ascii="宋体" w:hAnsi="宋体" w:cs="宋体"/>
          <w:color w:val="000000" w:themeColor="text1"/>
          <w:sz w:val="24"/>
          <w:highlight w:val="none"/>
          <w:u w:val="none"/>
          <w:lang w:val="en-US" w:eastAsia="zh-CN"/>
          <w14:textFill>
            <w14:solidFill>
              <w14:schemeClr w14:val="tx1"/>
            </w14:solidFill>
          </w14:textFill>
        </w:rPr>
        <w:t>601</w:t>
      </w:r>
      <w:r>
        <w:rPr>
          <w:rFonts w:hint="eastAsia" w:ascii="宋体" w:hAnsi="宋体" w:cs="宋体"/>
          <w:color w:val="000000" w:themeColor="text1"/>
          <w:sz w:val="24"/>
          <w:highlight w:val="none"/>
          <w:u w:val="none"/>
          <w14:textFill>
            <w14:solidFill>
              <w14:schemeClr w14:val="tx1"/>
            </w14:solidFill>
          </w14:textFill>
        </w:rPr>
        <w:t>室</w:t>
      </w:r>
    </w:p>
    <w:p>
      <w:pPr>
        <w:spacing w:line="400" w:lineRule="exact"/>
        <w:ind w:firstLine="720" w:firstLineChars="300"/>
        <w:rPr>
          <w:rFonts w:hint="default"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联系人：胡先生</w:t>
      </w:r>
      <w:r>
        <w:rPr>
          <w:rFonts w:hint="eastAsia" w:ascii="宋体" w:hAnsi="宋体" w:cs="宋体"/>
          <w:color w:val="000000" w:themeColor="text1"/>
          <w:sz w:val="24"/>
          <w:highlight w:val="none"/>
          <w:u w:val="none"/>
          <w:lang w:val="en-US" w:eastAsia="zh-CN"/>
          <w14:textFill>
            <w14:solidFill>
              <w14:schemeClr w14:val="tx1"/>
            </w14:solidFill>
          </w14:textFill>
        </w:rPr>
        <w:t xml:space="preserve">  翁先生</w:t>
      </w:r>
    </w:p>
    <w:p>
      <w:pPr>
        <w:spacing w:line="400" w:lineRule="exact"/>
        <w:ind w:firstLine="720" w:firstLineChars="300"/>
        <w:rPr>
          <w:rFonts w:hint="default"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联系方式：15967041020</w:t>
      </w:r>
      <w:r>
        <w:rPr>
          <w:rFonts w:hint="eastAsia" w:ascii="宋体" w:hAnsi="宋体" w:cs="宋体"/>
          <w:color w:val="000000" w:themeColor="text1"/>
          <w:sz w:val="24"/>
          <w:highlight w:val="none"/>
          <w:u w:val="none"/>
          <w:lang w:val="en-US" w:eastAsia="zh-CN"/>
          <w14:textFill>
            <w14:solidFill>
              <w14:schemeClr w14:val="tx1"/>
            </w14:solidFill>
          </w14:textFill>
        </w:rPr>
        <w:t xml:space="preserve"> 13757700407</w:t>
      </w:r>
    </w:p>
    <w:p>
      <w:pPr>
        <w:spacing w:line="400" w:lineRule="exact"/>
        <w:ind w:firstLine="720" w:firstLineChars="3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3.同级政府采购监督管理部门</w:t>
      </w:r>
    </w:p>
    <w:p>
      <w:pPr>
        <w:spacing w:line="400" w:lineRule="exact"/>
        <w:ind w:firstLine="720" w:firstLineChars="3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名    称： 玉环市财政局政府采购监督管理科　　　　　　　　</w:t>
      </w:r>
    </w:p>
    <w:p>
      <w:pPr>
        <w:spacing w:line="400" w:lineRule="exact"/>
        <w:ind w:firstLine="720" w:firstLineChars="3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地    址： 玉环市广陵路130号财政大楼5楼　　　　　　　　　　　</w:t>
      </w:r>
    </w:p>
    <w:p>
      <w:pPr>
        <w:spacing w:line="400" w:lineRule="exact"/>
        <w:ind w:firstLine="720" w:firstLineChars="3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联系人 ：</w:t>
      </w:r>
      <w:r>
        <w:rPr>
          <w:rFonts w:hint="eastAsia" w:ascii="宋体" w:hAnsi="宋体" w:cs="宋体"/>
          <w:color w:val="000000" w:themeColor="text1"/>
          <w:sz w:val="24"/>
          <w:highlight w:val="none"/>
          <w:u w:val="none"/>
          <w:lang w:val="en-US" w:eastAsia="zh-CN"/>
          <w14:textFill>
            <w14:solidFill>
              <w14:schemeClr w14:val="tx1"/>
            </w14:solidFill>
          </w14:textFill>
        </w:rPr>
        <w:t>李</w:t>
      </w:r>
      <w:r>
        <w:rPr>
          <w:rFonts w:hint="eastAsia" w:ascii="宋体" w:hAnsi="宋体" w:cs="宋体"/>
          <w:color w:val="000000" w:themeColor="text1"/>
          <w:sz w:val="24"/>
          <w:highlight w:val="none"/>
          <w:u w:val="none"/>
          <w14:textFill>
            <w14:solidFill>
              <w14:schemeClr w14:val="tx1"/>
            </w14:solidFill>
          </w14:textFill>
        </w:rPr>
        <w:t>主任  　　　　　　　　　　　</w:t>
      </w:r>
    </w:p>
    <w:p>
      <w:pPr>
        <w:spacing w:line="400" w:lineRule="exact"/>
        <w:ind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监督投诉电话：0576-87250185</w:t>
      </w:r>
      <w:r>
        <w:rPr>
          <w:rFonts w:hint="eastAsia" w:ascii="宋体" w:hAnsi="宋体" w:eastAsia="宋体" w:cs="宋体"/>
          <w:color w:val="000000" w:themeColor="text1"/>
          <w:sz w:val="24"/>
          <w:highlight w:val="none"/>
          <w14:textFill>
            <w14:solidFill>
              <w14:schemeClr w14:val="tx1"/>
            </w14:solidFill>
          </w14:textFill>
        </w:rPr>
        <w:t>　　　　　　</w:t>
      </w:r>
    </w:p>
    <w:p>
      <w:pPr>
        <w:spacing w:line="400" w:lineRule="exact"/>
        <w:ind w:firstLine="564"/>
        <w:jc w:val="left"/>
        <w:rPr>
          <w:rFonts w:hint="eastAsia" w:ascii="宋体" w:hAnsi="宋体" w:eastAsia="宋体" w:cs="宋体"/>
          <w:color w:val="000000" w:themeColor="text1"/>
          <w:sz w:val="24"/>
          <w:highlight w:val="none"/>
          <w:shd w:val="clear" w:color="auto" w:fill="FFFFFF"/>
          <w14:textFill>
            <w14:solidFill>
              <w14:schemeClr w14:val="tx1"/>
            </w14:solidFill>
          </w14:textFill>
        </w:rPr>
      </w:pPr>
    </w:p>
    <w:p>
      <w:pPr>
        <w:spacing w:line="400" w:lineRule="exact"/>
        <w:ind w:firstLine="564"/>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pacing w:line="400" w:lineRule="exact"/>
        <w:ind w:firstLine="564"/>
        <w:jc w:val="left"/>
        <w:rPr>
          <w:rFonts w:hint="eastAsia" w:ascii="宋体" w:hAnsi="宋体" w:eastAsia="宋体" w:cs="宋体"/>
          <w:color w:val="000000" w:themeColor="text1"/>
          <w:kern w:val="0"/>
          <w:sz w:val="30"/>
          <w:szCs w:val="30"/>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CA问题联系电话（人工）：汇信CA 400-888-4636；天谷CA 400-087-8198。</w:t>
      </w:r>
    </w:p>
    <w:p>
      <w:pPr>
        <w:pStyle w:val="2"/>
        <w:spacing w:before="0" w:after="0" w:line="5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第二章  供应商须知</w:t>
      </w:r>
    </w:p>
    <w:p>
      <w:pPr>
        <w:pStyle w:val="4"/>
        <w:spacing w:before="0" w:after="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前附表</w:t>
      </w:r>
      <w:r>
        <w:rPr>
          <w:rFonts w:hint="eastAsia" w:ascii="宋体" w:hAnsi="宋体" w:cs="宋体"/>
          <w:color w:val="000000" w:themeColor="text1"/>
          <w:sz w:val="24"/>
          <w:szCs w:val="24"/>
          <w:highlight w:val="none"/>
          <w:lang w:val="en-US" w:eastAsia="zh-CN"/>
          <w14:textFill>
            <w14:solidFill>
              <w14:schemeClr w14:val="tx1"/>
            </w14:solidFill>
          </w14:textFill>
        </w:rPr>
        <w:t>1.</w:t>
      </w:r>
    </w:p>
    <w:tbl>
      <w:tblPr>
        <w:tblStyle w:val="35"/>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0"/>
        <w:gridCol w:w="2002"/>
        <w:gridCol w:w="6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tcBorders>
              <w:top w:val="single" w:color="auto" w:sz="12" w:space="0"/>
            </w:tcBorders>
            <w:noWrap w:val="0"/>
            <w:vAlign w:val="center"/>
          </w:tcPr>
          <w:p>
            <w:pPr>
              <w:spacing w:line="400" w:lineRule="exact"/>
              <w:ind w:right="-214" w:rightChars="-102"/>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2002" w:type="dxa"/>
            <w:tcBorders>
              <w:top w:val="single" w:color="auto" w:sz="12" w:space="0"/>
            </w:tcBorders>
            <w:noWrap w:val="0"/>
            <w:vAlign w:val="center"/>
          </w:tcPr>
          <w:p>
            <w:pPr>
              <w:spacing w:line="400" w:lineRule="exact"/>
              <w:ind w:left="12" w:right="199" w:rightChars="95" w:hanging="12" w:hangingChars="5"/>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w:t>
            </w:r>
          </w:p>
        </w:tc>
        <w:tc>
          <w:tcPr>
            <w:tcW w:w="6577" w:type="dxa"/>
            <w:tcBorders>
              <w:top w:val="single" w:color="auto" w:sz="12" w:space="0"/>
            </w:tcBorders>
            <w:noWrap w:val="0"/>
            <w:vAlign w:val="center"/>
          </w:tcPr>
          <w:p>
            <w:pPr>
              <w:spacing w:line="400" w:lineRule="exact"/>
              <w:ind w:left="19" w:right="199" w:rightChars="95" w:hanging="19" w:hangingChars="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玉环市小城镇环境综合整治工程PPP项目绩效评价服务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HQ-YHZFCG-2024-0801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资金来源</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采购预算</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450000元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450000元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玉环市住房和城乡建设局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招标代理机构</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杭州华旗招标代理有限公司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评标办法</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招标内容</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投标供应商</w:t>
            </w:r>
          </w:p>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资格要求</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1.满足《中华人民共和国政府采购法》第二十二条规定；</w:t>
            </w:r>
          </w:p>
          <w:p>
            <w:pPr>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2.落实政府采购政策需满足的资格要求：本项目为专门面向中小企业采购的项目，供应商应为中小微企业（监狱企业及残疾人福利性单位视同小型、微型企业）；</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3.本项目的特定资格要求：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是否接受联合体投标</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不接受</w:t>
            </w:r>
          </w:p>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踏勘现场</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b/>
                <w:bCs/>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不组织</w:t>
            </w:r>
          </w:p>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是否允许递交备选投标方案</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b/>
                <w:bCs/>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 xml:space="preserve"> 不允许</w:t>
            </w:r>
          </w:p>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投标货币</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投标语言</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磋商</w:t>
            </w:r>
            <w:r>
              <w:rPr>
                <w:rFonts w:hint="eastAsia" w:ascii="宋体" w:hAnsi="宋体" w:eastAsia="宋体" w:cs="宋体"/>
                <w:b/>
                <w:bCs/>
                <w:color w:val="000000" w:themeColor="text1"/>
                <w:sz w:val="24"/>
                <w:szCs w:val="24"/>
                <w:highlight w:val="none"/>
                <w:lang w:val="zh-CN"/>
                <w14:textFill>
                  <w14:solidFill>
                    <w14:schemeClr w14:val="tx1"/>
                  </w14:solidFill>
                </w14:textFill>
              </w:rPr>
              <w:t>文件</w:t>
            </w:r>
            <w:r>
              <w:rPr>
                <w:rFonts w:hint="eastAsia" w:ascii="宋体" w:hAnsi="宋体" w:eastAsia="宋体" w:cs="宋体"/>
                <w:b/>
                <w:bCs/>
                <w:color w:val="000000" w:themeColor="text1"/>
                <w:sz w:val="24"/>
                <w:szCs w:val="24"/>
                <w:highlight w:val="none"/>
                <w14:textFill>
                  <w14:solidFill>
                    <w14:schemeClr w14:val="tx1"/>
                  </w14:solidFill>
                </w14:textFill>
              </w:rPr>
              <w:t>说明</w:t>
            </w:r>
          </w:p>
        </w:tc>
        <w:tc>
          <w:tcPr>
            <w:tcW w:w="6577" w:type="dxa"/>
            <w:noWrap w:val="0"/>
            <w:vAlign w:val="center"/>
          </w:tcPr>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b/>
                <w:bCs/>
                <w:color w:val="000000" w:themeColor="text1"/>
                <w:sz w:val="24"/>
                <w:szCs w:val="24"/>
                <w:highlight w:val="none"/>
                <w:lang w:val="zh-CN"/>
                <w14:textFill>
                  <w14:solidFill>
                    <w14:schemeClr w14:val="tx1"/>
                  </w14:solidFill>
                </w14:textFill>
              </w:rPr>
              <w:t>磋商文件组成：</w:t>
            </w:r>
            <w:r>
              <w:rPr>
                <w:rFonts w:hint="eastAsia" w:ascii="宋体" w:hAnsi="宋体" w:eastAsia="宋体" w:cs="宋体"/>
                <w:color w:val="000000" w:themeColor="text1"/>
                <w:sz w:val="24"/>
                <w:szCs w:val="24"/>
                <w:highlight w:val="none"/>
                <w:lang w:val="zh-CN"/>
                <w14:textFill>
                  <w14:solidFill>
                    <w14:schemeClr w14:val="tx1"/>
                  </w14:solidFill>
                </w14:textFill>
              </w:rPr>
              <w:t>《资格文件》及《商务技术文件》和《报价文件》。</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磋商文件编制：</w:t>
            </w:r>
            <w:r>
              <w:rPr>
                <w:rFonts w:hint="eastAsia" w:ascii="宋体" w:hAnsi="宋体" w:eastAsia="宋体" w:cs="宋体"/>
                <w:color w:val="000000" w:themeColor="text1"/>
                <w:sz w:val="24"/>
                <w:szCs w:val="24"/>
                <w:highlight w:val="none"/>
                <w14:textFill>
                  <w14:solidFill>
                    <w14:schemeClr w14:val="tx1"/>
                  </w14:solidFill>
                </w14:textFill>
              </w:rPr>
              <w:t>供应商应先安装“政采云电子交易客户端”，并按照本采购文件和“政府采购云平台”的要求，通过“政采云电子交易客户端”编制并加密磋商文件。</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磋商文件的签章：</w:t>
            </w:r>
            <w:r>
              <w:rPr>
                <w:rFonts w:hint="eastAsia" w:ascii="宋体" w:hAnsi="宋体" w:eastAsia="宋体" w:cs="宋体"/>
                <w:color w:val="000000" w:themeColor="text1"/>
                <w:sz w:val="24"/>
                <w:szCs w:val="24"/>
                <w:highlight w:val="none"/>
                <w14:textFill>
                  <w14:solidFill>
                    <w14:schemeClr w14:val="tx1"/>
                  </w14:solidFill>
                </w14:textFill>
              </w:rPr>
              <w:t>电子签章。</w:t>
            </w:r>
          </w:p>
          <w:p>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磋商文件的形式：</w:t>
            </w:r>
            <w:r>
              <w:rPr>
                <w:rFonts w:hint="eastAsia" w:ascii="宋体" w:hAnsi="宋体" w:eastAsia="宋体" w:cs="宋体"/>
                <w:color w:val="000000" w:themeColor="text1"/>
                <w:sz w:val="24"/>
                <w:szCs w:val="24"/>
                <w:highlight w:val="none"/>
                <w14:textFill>
                  <w14:solidFill>
                    <w14:schemeClr w14:val="tx1"/>
                  </w14:solidFill>
                </w14:textFill>
              </w:rPr>
              <w:t>☑电子磋商文件（包括“</w:t>
            </w:r>
            <w:r>
              <w:rPr>
                <w:rFonts w:hint="eastAsia" w:ascii="宋体" w:hAnsi="宋体" w:eastAsia="宋体" w:cs="宋体"/>
                <w:color w:val="000000" w:themeColor="text1"/>
                <w:sz w:val="24"/>
                <w:szCs w:val="24"/>
                <w:highlight w:val="none"/>
                <w:lang w:bidi="ar"/>
                <w14:textFill>
                  <w14:solidFill>
                    <w14:schemeClr w14:val="tx1"/>
                  </w14:solidFill>
                </w14:textFill>
              </w:rPr>
              <w:t>电子加密磋商文件”和“备份磋商文件”，在磋商文件编制完成后同时生成）；</w:t>
            </w:r>
          </w:p>
          <w:p>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（1）“电子加密磋商文件”是指通过“政采云电子交易客户端”完成磋商文件编制后生成并加密的数据电文形式的磋商文件。</w:t>
            </w:r>
          </w:p>
          <w:p>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（2）“备份磋商文件”是指与“电子加密磋商文件”同时生成的数据电文形式的电子文件（备份标书），其他方式编制的备份磋商文件视为无效备份磋商文件。</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5、磋商文件份数：</w:t>
            </w:r>
            <w:r>
              <w:rPr>
                <w:rFonts w:hint="eastAsia" w:ascii="宋体" w:hAnsi="宋体" w:eastAsia="宋体" w:cs="宋体"/>
                <w:color w:val="000000" w:themeColor="text1"/>
                <w:sz w:val="24"/>
                <w:szCs w:val="24"/>
                <w:highlight w:val="none"/>
                <w:lang w:bidi="ar"/>
                <w14:textFill>
                  <w14:solidFill>
                    <w14:schemeClr w14:val="tx1"/>
                  </w14:solidFill>
                </w14:textFill>
              </w:rPr>
              <w:t>（1）“电子加密磋商文件”：在线上传递交。按政采云平台供应商项目采购-电子招投标操作指南https://help.zcygov.cn/web/site_2/2018/12-28/2573.html及本磋商文件要求提交。</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（2）“备份磋商文件”：密封包装后投标截止时间前递交、一份</w:t>
            </w:r>
            <w:r>
              <w:rPr>
                <w:rFonts w:hint="eastAsia" w:ascii="宋体" w:hAnsi="宋体" w:cs="宋体"/>
                <w:color w:val="000000" w:themeColor="text1"/>
                <w:sz w:val="24"/>
                <w:szCs w:val="24"/>
                <w:highlight w:val="none"/>
                <w:lang w:eastAsia="zh-CN" w:bidi="ar"/>
                <w14:textFill>
                  <w14:solidFill>
                    <w14:schemeClr w14:val="tx1"/>
                  </w14:solidFill>
                </w14:textFill>
              </w:rPr>
              <w:t>。</w:t>
            </w:r>
          </w:p>
          <w:p>
            <w:pPr>
              <w:spacing w:line="400" w:lineRule="exact"/>
              <w:ind w:left="19" w:right="199" w:rightChars="95" w:hanging="19" w:hangingChars="8"/>
              <w:rPr>
                <w:rFonts w:hint="eastAsia" w:ascii="宋体" w:hAnsi="宋体" w:eastAsia="宋体" w:cs="宋体"/>
                <w:b/>
                <w:bCs/>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6、</w:t>
            </w:r>
            <w:r>
              <w:rPr>
                <w:rFonts w:hint="eastAsia" w:ascii="宋体" w:hAnsi="宋体" w:eastAsia="宋体" w:cs="宋体"/>
                <w:b/>
                <w:bCs/>
                <w:color w:val="000000" w:themeColor="text1"/>
                <w:sz w:val="24"/>
                <w:szCs w:val="24"/>
                <w:highlight w:val="none"/>
                <w:lang w:bidi="ar"/>
                <w14:textFill>
                  <w14:solidFill>
                    <w14:schemeClr w14:val="tx1"/>
                  </w14:solidFill>
                </w14:textFill>
              </w:rPr>
              <w:t>磋商文件的上传和递交：</w:t>
            </w:r>
          </w:p>
          <w:p>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（1）“电子加密磋商文件”的上传、递交：</w:t>
            </w:r>
          </w:p>
          <w:p>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a.供应商应在投标截止时间前将“电子加密磋商文件”成功上传递交至“政府采购云平台”，否则投标无效。</w:t>
            </w:r>
          </w:p>
          <w:p>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b.“电子加密磋商文件”成功上传递交后，供应商可自行打印磋商文件接收回执。</w:t>
            </w:r>
          </w:p>
          <w:p>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（2）“备份磋商文件”的密封包装、递交：</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a.供应商在“政府采购云平台”完成“电子加密磋商文件”的上传递交后， 投标供应商如需递交“备份磋商文件”的，应在投标截止时间前递交一份以介质（U盘）存储的“备份磋商文件”到杭州华旗招标代理有限公司（地址玉环市李家小区二期</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sz w:val="24"/>
                <w:szCs w:val="24"/>
                <w:highlight w:val="none"/>
                <w:lang w:bidi="ar"/>
                <w14:textFill>
                  <w14:solidFill>
                    <w14:schemeClr w14:val="tx1"/>
                  </w14:solidFill>
                </w14:textFill>
              </w:rPr>
              <w:t>号楼</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601</w:t>
            </w:r>
            <w:r>
              <w:rPr>
                <w:rFonts w:hint="eastAsia" w:ascii="宋体" w:hAnsi="宋体" w:eastAsia="宋体" w:cs="宋体"/>
                <w:color w:val="000000" w:themeColor="text1"/>
                <w:sz w:val="24"/>
                <w:szCs w:val="24"/>
                <w:highlight w:val="none"/>
                <w:lang w:bidi="ar"/>
                <w14:textFill>
                  <w14:solidFill>
                    <w14:schemeClr w14:val="tx1"/>
                  </w14:solidFill>
                </w14:textFill>
              </w:rPr>
              <w:t>室，胡先生15967041020）或备份磋商文件压缩包形式投标截止前发送至邮箱153997632@qq.com。</w:t>
            </w:r>
          </w:p>
          <w:p>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b.“备份磋商文件”应当密封包装，并在包装上标注投标项目名称、投标单位名称并加盖公章。没有密封包装或者逾期邮寄送达至投标地点的“备份磋商文件”将不予接收；</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c.通过“政府采购云平台”成功上传递交的“电子加密磋商文件”已按时解密的，“备份磋商文件”自动失效。投标截止时间前，供应商仅递交了“备份磋商文件”而未将“电子加密磋商文件”成功上传至“政府采购云平台”的，投标无效。</w:t>
            </w:r>
          </w:p>
          <w:p>
            <w:pPr>
              <w:spacing w:line="400" w:lineRule="exact"/>
              <w:ind w:left="19" w:right="199" w:rightChars="95" w:hanging="19" w:hangingChars="8"/>
              <w:rPr>
                <w:rFonts w:hint="eastAsia" w:ascii="宋体" w:hAnsi="宋体" w:eastAsia="宋体" w:cs="宋体"/>
                <w:b/>
                <w:bCs/>
                <w:color w:val="000000" w:themeColor="text1"/>
                <w:sz w:val="24"/>
                <w:szCs w:val="24"/>
                <w:highlight w:val="none"/>
                <w:lang w:bidi="ar"/>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7、电子加密磋商文件的解密和异常情况处理：</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（1）开标后，采购组织机构将向各供应商发出“电子加密磋商文件”的解密通知，各供应商代表应当在接到解密通知后30分钟内自行完成“电子加密磋商文件”的在线解密。</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通过“政府采购云平台”成功上传递交的“电子加密磋商文件”无法按时解密，供应商如按规定递交了“备份磋商文件”的，以“备份磋商文件”为依据（由采购组织机构按“政府采购云平台”操作规范将“备份磋商文件”上传至“政府采购云平台”，上传成功后，“电子加密磋商文件”自动失效），否则视为磋商文件撤回。</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（3）投标截止时间前，供应商仅递交了“备份磋商文件”而未将电子加密磋商文件上传至“政府采购云平台”的，投标无效。</w:t>
            </w:r>
          </w:p>
          <w:p>
            <w:pPr>
              <w:snapToGrid w:val="0"/>
              <w:spacing w:line="400" w:lineRule="exact"/>
              <w:ind w:left="19" w:right="199" w:rightChars="95" w:hanging="19" w:hangingChars="8"/>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8、投标截止后，在投标有效期内，供应商不能撤销磋商文件</w:t>
            </w:r>
            <w:r>
              <w:rPr>
                <w:rFonts w:hint="eastAsia" w:ascii="宋体" w:hAnsi="宋体" w:cs="宋体"/>
                <w:color w:val="000000" w:themeColor="text1"/>
                <w:sz w:val="24"/>
                <w:szCs w:val="24"/>
                <w:highlight w:val="none"/>
                <w:lang w:eastAsia="zh-CN" w:bidi="ar"/>
                <w14:textFill>
                  <w14:solidFill>
                    <w14:schemeClr w14:val="tx1"/>
                  </w14:solidFill>
                </w14:textFill>
              </w:rPr>
              <w:t>。</w:t>
            </w:r>
          </w:p>
          <w:p>
            <w:pPr>
              <w:snapToGri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9、成交后，供应商拒绝签订合同的，采购人可以按照评审报告推荐的成交候选人名单排序，确定下一候选人为成交供应商，也可以重新开展政府采购活动。</w:t>
            </w:r>
          </w:p>
          <w:p>
            <w:pPr>
              <w:snapToGri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10、存在下列行为的，招标代理机构将其失信行为上报政府采购主管部门，由主管部门按有关规定对其违法失信行为记录进行公开：</w:t>
            </w:r>
          </w:p>
          <w:p>
            <w:pPr>
              <w:snapToGri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（1）成交或者成交后，拒绝签订政府采购合同的；</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（2）投标有效期内撤销磋商文件的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投标样品</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不需要</w:t>
            </w:r>
          </w:p>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tc>
        <w:tc>
          <w:tcPr>
            <w:tcW w:w="6577" w:type="dxa"/>
            <w:noWrap w:val="0"/>
            <w:vAlign w:val="center"/>
          </w:tcPr>
          <w:p>
            <w:pPr>
              <w:widowControl/>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履约担保</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不需要</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需要   签订合同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后</w:t>
            </w:r>
            <w:r>
              <w:rPr>
                <w:rFonts w:hint="eastAsia" w:ascii="宋体" w:hAnsi="宋体" w:eastAsia="宋体" w:cs="宋体"/>
                <w:color w:val="000000" w:themeColor="text1"/>
                <w:sz w:val="24"/>
                <w:szCs w:val="24"/>
                <w:highlight w:val="none"/>
                <w14:textFill>
                  <w14:solidFill>
                    <w14:schemeClr w14:val="tx1"/>
                  </w14:solidFill>
                </w14:textFill>
              </w:rPr>
              <w:t>，成交供应商应缴纳合同金额的</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%作为履约保证金。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履约保证金</w:t>
            </w:r>
            <w:r>
              <w:rPr>
                <w:rFonts w:hint="eastAsia" w:ascii="宋体" w:hAnsi="宋体" w:eastAsia="宋体" w:cs="宋体"/>
                <w:color w:val="000000" w:themeColor="text1"/>
                <w:sz w:val="24"/>
                <w:szCs w:val="24"/>
                <w:highlight w:val="none"/>
                <w14:textFill>
                  <w14:solidFill>
                    <w14:schemeClr w14:val="tx1"/>
                  </w14:solidFill>
                </w14:textFill>
              </w:rPr>
              <w:t>应当以支票、汇票、本票或者金融机构、担保机构出具的保函等非现金形式提交。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磋商文件获取方式</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登录浙江省政府采购网（网址：</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http://www.zjzfcg.gov.cn）查找本项目并获取采购文件，获取采购文件时应填写正确的电子邮箱（开标时文件传输均发至此邮箱）。</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磋商截止时间</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2024年</w:t>
            </w:r>
            <w:r>
              <w:rPr>
                <w:rFonts w:hint="eastAsia" w:ascii="宋体" w:hAnsi="宋体" w:cs="宋体"/>
                <w:b/>
                <w:color w:val="000000" w:themeColor="text1"/>
                <w:sz w:val="24"/>
                <w:szCs w:val="24"/>
                <w:highlight w:val="none"/>
                <w:lang w:eastAsia="zh-CN"/>
                <w14:textFill>
                  <w14:solidFill>
                    <w14:schemeClr w14:val="tx1"/>
                  </w14:solidFill>
                </w14:textFill>
              </w:rPr>
              <w:t>08月13日</w:t>
            </w:r>
            <w:r>
              <w:rPr>
                <w:rFonts w:hint="eastAsia" w:ascii="宋体" w:hAnsi="宋体" w:eastAsia="宋体" w:cs="宋体"/>
                <w:b/>
                <w:color w:val="000000" w:themeColor="text1"/>
                <w:sz w:val="24"/>
                <w:szCs w:val="24"/>
                <w:highlight w:val="none"/>
                <w:lang w:val="en-US" w:eastAsia="zh-CN"/>
                <w14:textFill>
                  <w14:solidFill>
                    <w14:schemeClr w14:val="tx1"/>
                  </w14:solidFill>
                </w14:textFill>
              </w:rPr>
              <w:t>09点0</w:t>
            </w:r>
            <w:r>
              <w:rPr>
                <w:rFonts w:hint="eastAsia" w:ascii="宋体" w:hAnsi="宋体" w:eastAsia="宋体" w:cs="宋体"/>
                <w:b/>
                <w:color w:val="000000" w:themeColor="text1"/>
                <w:sz w:val="24"/>
                <w:szCs w:val="24"/>
                <w:highlight w:val="none"/>
                <w14:textFill>
                  <w14:solidFill>
                    <w14:schemeClr w14:val="tx1"/>
                  </w14:solidFill>
                </w14:textFill>
              </w:rPr>
              <w:t>0 分</w:t>
            </w:r>
            <w:r>
              <w:rPr>
                <w:rFonts w:hint="eastAsia" w:ascii="宋体" w:hAnsi="宋体" w:eastAsia="宋体" w:cs="宋体"/>
                <w:color w:val="000000" w:themeColor="text1"/>
                <w:sz w:val="24"/>
                <w:szCs w:val="24"/>
                <w:highlight w:val="none"/>
                <w14:textFill>
                  <w14:solidFill>
                    <w14:schemeClr w14:val="tx1"/>
                  </w14:solidFill>
                </w14:textFill>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磋商文件递交地点</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磋商时间</w:t>
            </w:r>
          </w:p>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磋商地点</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ascii="宋体" w:hAnsi="宋体" w:eastAsia="宋体" w:cs="宋体"/>
                <w:b/>
                <w:color w:val="000000" w:themeColor="text1"/>
                <w:sz w:val="24"/>
                <w:szCs w:val="24"/>
                <w:highlight w:val="none"/>
                <w:lang w:eastAsia="zh-CN"/>
                <w14:textFill>
                  <w14:solidFill>
                    <w14:schemeClr w14:val="tx1"/>
                  </w14:solidFill>
                </w14:textFill>
              </w:rPr>
              <w:t>2024年</w:t>
            </w:r>
            <w:r>
              <w:rPr>
                <w:rFonts w:hint="eastAsia" w:ascii="宋体" w:hAnsi="宋体" w:cs="宋体"/>
                <w:b/>
                <w:color w:val="000000" w:themeColor="text1"/>
                <w:sz w:val="24"/>
                <w:szCs w:val="24"/>
                <w:highlight w:val="none"/>
                <w:lang w:eastAsia="zh-CN"/>
                <w14:textFill>
                  <w14:solidFill>
                    <w14:schemeClr w14:val="tx1"/>
                  </w14:solidFill>
                </w14:textFill>
              </w:rPr>
              <w:t>08月13日</w:t>
            </w:r>
            <w:r>
              <w:rPr>
                <w:rFonts w:hint="eastAsia" w:ascii="宋体" w:hAnsi="宋体" w:eastAsia="宋体" w:cs="宋体"/>
                <w:b/>
                <w:color w:val="000000" w:themeColor="text1"/>
                <w:sz w:val="24"/>
                <w:szCs w:val="24"/>
                <w:highlight w:val="none"/>
                <w:lang w:val="en-US" w:eastAsia="zh-CN"/>
                <w14:textFill>
                  <w14:solidFill>
                    <w14:schemeClr w14:val="tx1"/>
                  </w14:solidFill>
                </w14:textFill>
              </w:rPr>
              <w:t>09点0</w:t>
            </w:r>
            <w:r>
              <w:rPr>
                <w:rFonts w:hint="eastAsia" w:ascii="宋体" w:hAnsi="宋体" w:eastAsia="宋体" w:cs="宋体"/>
                <w:b/>
                <w:color w:val="000000" w:themeColor="text1"/>
                <w:sz w:val="24"/>
                <w:szCs w:val="24"/>
                <w:highlight w:val="none"/>
                <w14:textFill>
                  <w14:solidFill>
                    <w14:schemeClr w14:val="tx1"/>
                  </w14:solidFill>
                </w14:textFill>
              </w:rPr>
              <w:t>0 分</w:t>
            </w:r>
            <w:r>
              <w:rPr>
                <w:rFonts w:hint="eastAsia" w:ascii="宋体" w:hAnsi="宋体" w:eastAsia="宋体" w:cs="宋体"/>
                <w:color w:val="000000" w:themeColor="text1"/>
                <w:sz w:val="24"/>
                <w:szCs w:val="24"/>
                <w:highlight w:val="none"/>
                <w14:textFill>
                  <w14:solidFill>
                    <w14:schemeClr w14:val="tx1"/>
                  </w14:solidFill>
                </w14:textFill>
              </w:rPr>
              <w:t>(北京时间)</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开标地点：“政府采购云平台”线上开标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竞争性磋商小组的组建</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评审委员会构成： 由采购人代表以及有关技术、经济等方面的专家组成，成员为3人及以上单数，其中技术、经济类专家不得少于总人数的2/3；评标专家确定方式：按相关规定从专家库中抽取。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w:t>
            </w:r>
          </w:p>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扶持政策</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本项目专门面向中小微企业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行业划分</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其他未列明行业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供应商信用查询</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1、投标供应商信用信息查询的查询渠道：“信用中国”(</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www.creditchina.gov.cn</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)；“中国政府采购网”（http://www.ccgp.gov.cn/）；</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2、投标供应商信用信息查询截止时点：本项目投标截止时间。</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3、投标供应商信用信息查询记录和证据留存的具体方式：网页截图打印；</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磋商文件备案</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成交单位需在成交确认后7个工作日内，邮寄1套纸质投标资料至招标代理处。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合同备案</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1、成交方须在发出成交通知书之日起30日历天内与采购人签订合同。</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2、成交方与采购人签订合同后，2日历天内将合同原件交给招标代理机构备案。</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合同履约管理</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合同签订后，采购人依法加强对合同履约进行管理，并在成交单位供货、项目验收等重要关节，如实填写《合同验收报告》（表附合同条款中），并及时向同级财政部门报告验收过程中遇到的问题。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16"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免责声明</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1、投标供应商自行承担投标过程中产生的费用。无论何种因素导致采购项目延期开标、废标（流标）、投标供应商未成交、项目终止采购的，采购人与代理机构均不承担供应商投标费用。</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2、投标供应商在投标、合同履行过程中必须做好安全保障工作，不因项目实施而危及自身及第三方人员、财产安全。若发生任何安全事故，由成交方自行承担一切责任并赔偿损失。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解释权</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磋商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tcBorders>
              <w:bottom w:val="single" w:color="auto" w:sz="12" w:space="0"/>
            </w:tcBorders>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tcBorders>
              <w:bottom w:val="single" w:color="auto" w:sz="12" w:space="0"/>
            </w:tcBorders>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注意事项</w:t>
            </w:r>
          </w:p>
        </w:tc>
        <w:tc>
          <w:tcPr>
            <w:tcW w:w="6577" w:type="dxa"/>
            <w:tcBorders>
              <w:bottom w:val="single" w:color="auto" w:sz="12" w:space="0"/>
            </w:tcBorders>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1.请务必确保磋商文件制作客户端为最新版本，旧版本可能导致磋商文件解密失败。</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2.请务必确保磋商文件制作时所用的 CA 锁与磋商文件解密时的 CA 锁为同一把，否则可能导致磋商文件解密失败。</w:t>
            </w:r>
          </w:p>
        </w:tc>
      </w:tr>
    </w:tbl>
    <w:p>
      <w:pPr>
        <w:pStyle w:val="19"/>
        <w:spacing w:line="380" w:lineRule="exact"/>
        <w:jc w:val="center"/>
        <w:outlineLvl w:val="1"/>
        <w:rPr>
          <w:rFonts w:hint="eastAsia" w:ascii="宋体" w:hAnsi="宋体" w:eastAsia="宋体" w:cs="宋体"/>
          <w:b/>
          <w:color w:val="000000" w:themeColor="text1"/>
          <w:sz w:val="24"/>
          <w:highlight w:val="none"/>
          <w14:textFill>
            <w14:solidFill>
              <w14:schemeClr w14:val="tx1"/>
            </w14:solidFill>
          </w14:textFill>
        </w:rPr>
      </w:pPr>
    </w:p>
    <w:p>
      <w:pPr>
        <w:pStyle w:val="19"/>
        <w:spacing w:line="380" w:lineRule="exact"/>
        <w:jc w:val="center"/>
        <w:outlineLvl w:val="1"/>
        <w:rPr>
          <w:rFonts w:hint="eastAsia" w:ascii="宋体" w:hAnsi="宋体" w:eastAsia="宋体" w:cs="宋体"/>
          <w:b/>
          <w:color w:val="000000" w:themeColor="text1"/>
          <w:sz w:val="24"/>
          <w:highlight w:val="none"/>
          <w:lang w:val="en-GB"/>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b/>
          <w:color w:val="000000" w:themeColor="text1"/>
          <w:sz w:val="24"/>
          <w:highlight w:val="none"/>
          <w:lang w:val="en-GB"/>
          <w14:textFill>
            <w14:solidFill>
              <w14:schemeClr w14:val="tx1"/>
            </w14:solidFill>
          </w14:textFill>
        </w:rPr>
        <w:t>关于支持中小企业政府采购信用融资</w:t>
      </w:r>
    </w:p>
    <w:p>
      <w:pPr>
        <w:pStyle w:val="15"/>
        <w:spacing w:before="21" w:line="420" w:lineRule="exact"/>
        <w:ind w:left="-617" w:leftChars="-294" w:right="-319" w:rightChars="-152" w:firstLine="616" w:firstLineChars="25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为优化政府采购营商环境，缓解供应商资金难题，政府采购已推广应用“政采贷”、“政采保”等服务，供应商可以银行保函、保险公司保单、融资担保公司保函、银行转账（或电汇）等方式缴纳至采购人指定账户。</w:t>
      </w:r>
    </w:p>
    <w:p>
      <w:pPr>
        <w:pStyle w:val="4"/>
        <w:spacing w:before="0" w:after="0"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p>
    <w:p>
      <w:pPr>
        <w:pStyle w:val="4"/>
        <w:pageBreakBefore w:val="0"/>
        <w:kinsoku/>
        <w:wordWrap/>
        <w:overflowPunct/>
        <w:topLinePunct w:val="0"/>
        <w:bidi w:val="0"/>
        <w:spacing w:before="0" w:beforeLines="0" w:after="0" w:afterLines="0" w:line="400" w:lineRule="exact"/>
        <w:ind w:left="-336" w:leftChars="-160" w:right="-370" w:rightChars="-176" w:firstLine="458" w:firstLineChars="19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 、总  则</w:t>
      </w:r>
    </w:p>
    <w:p>
      <w:pPr>
        <w:pStyle w:val="5"/>
        <w:pageBreakBefore w:val="0"/>
        <w:kinsoku/>
        <w:wordWrap/>
        <w:overflowPunct/>
        <w:topLinePunct w:val="0"/>
        <w:bidi w:val="0"/>
        <w:spacing w:before="0" w:beforeLines="0" w:after="0" w:afterLines="0" w:line="400" w:lineRule="exact"/>
        <w:ind w:left="-336" w:leftChars="-160" w:right="-370" w:rightChars="-176" w:firstLine="458"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 适用范围</w:t>
      </w:r>
    </w:p>
    <w:p>
      <w:pPr>
        <w:pageBreakBefore w:val="0"/>
        <w:kinsoku/>
        <w:wordWrap/>
        <w:overflowPunct/>
        <w:topLinePunct w:val="0"/>
        <w:bidi w:val="0"/>
        <w:snapToGrid w:val="0"/>
        <w:spacing w:line="400" w:lineRule="exact"/>
        <w:ind w:left="-336" w:leftChars="-160" w:right="-370" w:rightChars="-176" w:firstLine="456" w:firstLineChars="19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w:t>
      </w:r>
      <w:r>
        <w:rPr>
          <w:rFonts w:hint="eastAsia" w:ascii="宋体" w:hAnsi="宋体" w:eastAsia="宋体" w:cs="宋体"/>
          <w:bCs/>
          <w:color w:val="000000" w:themeColor="text1"/>
          <w:sz w:val="24"/>
          <w:highlight w:val="none"/>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适用于</w:t>
      </w:r>
      <w:r>
        <w:rPr>
          <w:rFonts w:hint="eastAsia" w:ascii="宋体" w:hAnsi="宋体" w:eastAsia="宋体" w:cs="宋体"/>
          <w:bCs/>
          <w:color w:val="000000" w:themeColor="text1"/>
          <w:sz w:val="24"/>
          <w:highlight w:val="none"/>
          <w14:textFill>
            <w14:solidFill>
              <w14:schemeClr w14:val="tx1"/>
            </w14:solidFill>
          </w14:textFill>
        </w:rPr>
        <w:t>本次</w:t>
      </w:r>
      <w:r>
        <w:rPr>
          <w:rFonts w:hint="eastAsia" w:ascii="宋体" w:hAnsi="宋体" w:eastAsia="宋体" w:cs="宋体"/>
          <w:color w:val="000000" w:themeColor="text1"/>
          <w:sz w:val="24"/>
          <w:highlight w:val="none"/>
          <w14:textFill>
            <w14:solidFill>
              <w14:schemeClr w14:val="tx1"/>
            </w14:solidFill>
          </w14:textFill>
        </w:rPr>
        <w:t>项目的磋商、</w:t>
      </w:r>
      <w:r>
        <w:rPr>
          <w:rFonts w:hint="eastAsia" w:ascii="宋体" w:hAnsi="宋体" w:eastAsia="宋体" w:cs="宋体"/>
          <w:bCs/>
          <w:color w:val="000000" w:themeColor="text1"/>
          <w:sz w:val="24"/>
          <w:highlight w:val="none"/>
          <w14:textFill>
            <w14:solidFill>
              <w14:schemeClr w14:val="tx1"/>
            </w14:solidFill>
          </w14:textFill>
        </w:rPr>
        <w:t>评审、确定成交供应商</w:t>
      </w:r>
      <w:r>
        <w:rPr>
          <w:rFonts w:hint="eastAsia" w:ascii="宋体" w:hAnsi="宋体" w:eastAsia="宋体" w:cs="宋体"/>
          <w:color w:val="000000" w:themeColor="text1"/>
          <w:sz w:val="24"/>
          <w:highlight w:val="none"/>
          <w14:textFill>
            <w14:solidFill>
              <w14:schemeClr w14:val="tx1"/>
            </w14:solidFill>
          </w14:textFill>
        </w:rPr>
        <w:t>、验收、合同履约、付款等行为（法律、法规另有规定的，从其规定）。</w:t>
      </w:r>
    </w:p>
    <w:p>
      <w:pPr>
        <w:pStyle w:val="5"/>
        <w:pageBreakBefore w:val="0"/>
        <w:kinsoku/>
        <w:wordWrap/>
        <w:overflowPunct/>
        <w:topLinePunct w:val="0"/>
        <w:bidi w:val="0"/>
        <w:spacing w:before="0" w:beforeLines="0" w:after="0" w:afterLines="0" w:line="400" w:lineRule="exact"/>
        <w:ind w:left="-336" w:leftChars="-160" w:right="-370" w:rightChars="-176" w:firstLine="458"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（二）定义</w:t>
      </w:r>
    </w:p>
    <w:p>
      <w:pPr>
        <w:pStyle w:val="19"/>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1、“采购组织机构”指采购人委托组织磋商的集中采购机构或采购代理机构。</w:t>
      </w:r>
    </w:p>
    <w:p>
      <w:pPr>
        <w:pageBreakBefore w:val="0"/>
        <w:kinsoku/>
        <w:wordWrap/>
        <w:overflowPunct/>
        <w:topLinePunct w:val="0"/>
        <w:bidi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2、采购人：是指委托</w:t>
      </w:r>
      <w:r>
        <w:rPr>
          <w:rFonts w:hint="eastAsia" w:ascii="宋体" w:hAnsi="宋体" w:eastAsia="宋体" w:cs="宋体"/>
          <w:color w:val="000000" w:themeColor="text1"/>
          <w:sz w:val="24"/>
          <w:highlight w:val="none"/>
          <w:lang w:val="zh-CN"/>
          <w14:textFill>
            <w14:solidFill>
              <w14:schemeClr w14:val="tx1"/>
            </w14:solidFill>
          </w14:textFill>
        </w:rPr>
        <w:t>集中采购机构或</w:t>
      </w:r>
      <w:r>
        <w:rPr>
          <w:rFonts w:hint="eastAsia" w:ascii="宋体" w:hAnsi="宋体" w:eastAsia="宋体" w:cs="宋体"/>
          <w:color w:val="000000" w:themeColor="text1"/>
          <w:sz w:val="24"/>
          <w:highlight w:val="none"/>
          <w14:textFill>
            <w14:solidFill>
              <w14:schemeClr w14:val="tx1"/>
            </w14:solidFill>
          </w14:textFill>
        </w:rPr>
        <w:t>采购代理机构采购本次项目的国家机关、事业单位和团体组织。</w:t>
      </w:r>
    </w:p>
    <w:p>
      <w:pPr>
        <w:pageBreakBefore w:val="0"/>
        <w:kinsoku/>
        <w:wordWrap/>
        <w:overflowPunct/>
        <w:topLinePunct w:val="0"/>
        <w:bidi w:val="0"/>
        <w:snapToGrid w:val="0"/>
        <w:spacing w:line="400" w:lineRule="exact"/>
        <w:ind w:left="-336" w:leftChars="-160" w:right="-370" w:rightChars="-176" w:firstLine="456" w:firstLineChars="19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3、磋商供应商：是指向</w:t>
      </w:r>
      <w:r>
        <w:rPr>
          <w:rFonts w:hint="eastAsia" w:ascii="宋体" w:hAnsi="宋体" w:eastAsia="宋体" w:cs="宋体"/>
          <w:color w:val="000000" w:themeColor="text1"/>
          <w:sz w:val="24"/>
          <w:highlight w:val="none"/>
          <w:lang w:val="zh-CN"/>
          <w14:textFill>
            <w14:solidFill>
              <w14:schemeClr w14:val="tx1"/>
            </w14:solidFill>
          </w14:textFill>
        </w:rPr>
        <w:t>采购组织机构</w:t>
      </w:r>
      <w:r>
        <w:rPr>
          <w:rFonts w:hint="eastAsia" w:ascii="宋体" w:hAnsi="宋体" w:eastAsia="宋体" w:cs="宋体"/>
          <w:color w:val="000000" w:themeColor="text1"/>
          <w:sz w:val="24"/>
          <w:highlight w:val="none"/>
          <w14:textFill>
            <w14:solidFill>
              <w14:schemeClr w14:val="tx1"/>
            </w14:solidFill>
          </w14:textFill>
        </w:rPr>
        <w:t>提交磋商响应文件的单位或个人。</w:t>
      </w:r>
    </w:p>
    <w:p>
      <w:pPr>
        <w:pageBreakBefore w:val="0"/>
        <w:kinsoku/>
        <w:wordWrap/>
        <w:overflowPunct/>
        <w:topLinePunct w:val="0"/>
        <w:bidi w:val="0"/>
        <w:snapToGrid w:val="0"/>
        <w:spacing w:line="400" w:lineRule="exact"/>
        <w:ind w:left="-336" w:leftChars="-160" w:right="-370" w:rightChars="-176" w:firstLine="456" w:firstLineChars="19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4、货物：是指各种形态和种类的物品，包括原材料、燃料、设备、产品等。</w:t>
      </w:r>
    </w:p>
    <w:p>
      <w:pPr>
        <w:pageBreakBefore w:val="0"/>
        <w:kinsoku/>
        <w:wordWrap/>
        <w:overflowPunct/>
        <w:topLinePunct w:val="0"/>
        <w:bidi w:val="0"/>
        <w:snapToGrid w:val="0"/>
        <w:spacing w:line="400" w:lineRule="exact"/>
        <w:ind w:left="-336" w:leftChars="-160" w:right="-370" w:rightChars="-176" w:firstLine="456" w:firstLineChars="19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pPr>
        <w:pageBreakBefore w:val="0"/>
        <w:kinsoku/>
        <w:wordWrap/>
        <w:overflowPunct/>
        <w:topLinePunct w:val="0"/>
        <w:bidi w:val="0"/>
        <w:snapToGrid w:val="0"/>
        <w:spacing w:line="400" w:lineRule="exact"/>
        <w:ind w:left="-336" w:leftChars="-160" w:right="-370" w:rightChars="-176" w:firstLine="456" w:firstLineChars="19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6、“书面形式”包括信函、传真等。</w:t>
      </w:r>
    </w:p>
    <w:p>
      <w:pPr>
        <w:pageBreakBefore w:val="0"/>
        <w:kinsoku/>
        <w:wordWrap/>
        <w:overflowPunct/>
        <w:topLinePunct w:val="0"/>
        <w:bidi w:val="0"/>
        <w:snapToGrid w:val="0"/>
        <w:spacing w:line="400" w:lineRule="exact"/>
        <w:ind w:left="-336" w:leftChars="-160" w:right="-370" w:rightChars="-176" w:firstLine="456" w:firstLineChars="19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7、“▲”为重要参数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不可偏离。</w:t>
      </w:r>
    </w:p>
    <w:p>
      <w:pPr>
        <w:pStyle w:val="5"/>
        <w:pageBreakBefore w:val="0"/>
        <w:kinsoku/>
        <w:wordWrap/>
        <w:overflowPunct/>
        <w:topLinePunct w:val="0"/>
        <w:bidi w:val="0"/>
        <w:spacing w:before="0" w:beforeLines="0" w:after="0" w:afterLines="0" w:line="400" w:lineRule="exact"/>
        <w:ind w:left="-336" w:leftChars="-160" w:right="-370" w:rightChars="-176" w:firstLine="458"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（三）磋商费用</w:t>
      </w:r>
    </w:p>
    <w:p>
      <w:pPr>
        <w:pageBreakBefore w:val="0"/>
        <w:kinsoku/>
        <w:wordWrap/>
        <w:overflowPunct/>
        <w:topLinePunct w:val="0"/>
        <w:bidi w:val="0"/>
        <w:snapToGrid w:val="0"/>
        <w:spacing w:line="400" w:lineRule="exact"/>
        <w:ind w:left="-336" w:leftChars="-160" w:right="-370" w:rightChars="-176" w:firstLine="456" w:firstLineChars="19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不论磋商结果如何，供应商均应自行承担所有与磋商有关的全部费用（</w:t>
      </w:r>
      <w:r>
        <w:rPr>
          <w:rFonts w:hint="eastAsia" w:ascii="宋体" w:hAnsi="宋体" w:eastAsia="宋体" w:cs="宋体"/>
          <w:bCs/>
          <w:color w:val="000000" w:themeColor="text1"/>
          <w:sz w:val="24"/>
          <w:highlight w:val="none"/>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有相关规定除外）。</w:t>
      </w:r>
    </w:p>
    <w:p>
      <w:pPr>
        <w:pStyle w:val="5"/>
        <w:pageBreakBefore w:val="0"/>
        <w:kinsoku/>
        <w:wordWrap/>
        <w:overflowPunct/>
        <w:topLinePunct w:val="0"/>
        <w:bidi w:val="0"/>
        <w:spacing w:before="0" w:beforeLines="0" w:after="0" w:afterLines="0" w:line="400" w:lineRule="exact"/>
        <w:ind w:left="-336" w:leftChars="-160" w:right="-370" w:rightChars="-176" w:firstLine="458"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（四）特别说明</w:t>
      </w:r>
    </w:p>
    <w:p>
      <w:pPr>
        <w:pStyle w:val="19"/>
        <w:pageBreakBefore w:val="0"/>
        <w:kinsoku/>
        <w:wordWrap/>
        <w:overflowPunct/>
        <w:topLinePunct w:val="0"/>
        <w:bidi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1、供应商磋商所使用的资格、信誉、荣誉、业绩与企业认证必须为本法人所拥有。供应商磋商所使用的采购项目实施人员必须为本法人员工（指必须为本法人或控股公司正式员工）。</w:t>
      </w:r>
    </w:p>
    <w:p>
      <w:pPr>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2、供应商所标产品除</w:t>
      </w:r>
      <w:r>
        <w:rPr>
          <w:rFonts w:hint="eastAsia" w:ascii="宋体" w:hAnsi="宋体" w:eastAsia="宋体" w:cs="宋体"/>
          <w:bCs/>
          <w:color w:val="000000" w:themeColor="text1"/>
          <w:sz w:val="24"/>
          <w:highlight w:val="none"/>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中明确规定要求“提供官网截图或相应检测报告的证明材料”以外，所有技术参数描述均以磋商响应文件为准。</w:t>
      </w:r>
      <w:r>
        <w:rPr>
          <w:rFonts w:hint="eastAsia" w:ascii="宋体" w:hAnsi="宋体" w:eastAsia="宋体" w:cs="宋体"/>
          <w:b/>
          <w:color w:val="000000" w:themeColor="text1"/>
          <w:sz w:val="24"/>
          <w:highlight w:val="none"/>
          <w14:textFill>
            <w14:solidFill>
              <w14:schemeClr w14:val="tx1"/>
            </w14:solidFill>
          </w14:textFill>
        </w:rPr>
        <w:t>磋商供应商对所标产品技术参数的真实性承担法律责任。</w:t>
      </w: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bCs/>
          <w:color w:val="000000" w:themeColor="text1"/>
          <w:sz w:val="24"/>
          <w:highlight w:val="none"/>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000000" w:themeColor="text1"/>
          <w:sz w:val="24"/>
          <w:highlight w:val="none"/>
          <w14:textFill>
            <w14:solidFill>
              <w14:schemeClr w14:val="tx1"/>
            </w14:solidFill>
          </w14:textFill>
        </w:rPr>
        <w:tab/>
      </w:r>
    </w:p>
    <w:p>
      <w:pPr>
        <w:pStyle w:val="68"/>
        <w:pageBreakBefore w:val="0"/>
        <w:kinsoku/>
        <w:wordWrap/>
        <w:overflowPunct/>
        <w:topLinePunct w:val="0"/>
        <w:bidi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3、供应商在</w:t>
      </w:r>
      <w:r>
        <w:rPr>
          <w:rFonts w:hint="eastAsia" w:ascii="宋体" w:hAnsi="宋体" w:eastAsia="宋体" w:cs="宋体"/>
          <w:bCs/>
          <w:color w:val="000000" w:themeColor="text1"/>
          <w:sz w:val="24"/>
          <w:szCs w:val="24"/>
          <w:highlight w:val="none"/>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68"/>
        <w:pageBreakBefore w:val="0"/>
        <w:kinsoku/>
        <w:wordWrap/>
        <w:overflowPunct/>
        <w:topLinePunct w:val="0"/>
        <w:bidi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4、供应商不得相互串通磋商报价，不得妨碍其他供应商的公平竞争，不得损害采购人或其他供应商的合法权益，供应商不得以向采购人、磋商小组成员行贿或者采取其他不正当手段谋取成交。</w:t>
      </w:r>
    </w:p>
    <w:p>
      <w:pPr>
        <w:pStyle w:val="68"/>
        <w:pageBreakBefore w:val="0"/>
        <w:kinsoku/>
        <w:wordWrap/>
        <w:overflowPunct/>
        <w:topLinePunct w:val="0"/>
        <w:bidi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68"/>
        <w:pageBreakBefore w:val="0"/>
        <w:kinsoku/>
        <w:wordWrap/>
        <w:overflowPunct/>
        <w:topLinePunct w:val="0"/>
        <w:bidi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6、磋商响应文件格式中的表格式样可以根据项目差别做适当调整,但应当保持表格样式基本形态不变。</w:t>
      </w:r>
    </w:p>
    <w:p>
      <w:pPr>
        <w:pStyle w:val="68"/>
        <w:pageBreakBefore w:val="0"/>
        <w:kinsoku/>
        <w:wordWrap/>
        <w:overflowPunct/>
        <w:topLinePunct w:val="0"/>
        <w:bidi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pStyle w:val="4"/>
        <w:pageBreakBefore w:val="0"/>
        <w:kinsoku/>
        <w:wordWrap/>
        <w:overflowPunct/>
        <w:topLinePunct w:val="0"/>
        <w:bidi w:val="0"/>
        <w:spacing w:before="0" w:beforeLines="0" w:after="0" w:afterLines="0" w:line="400" w:lineRule="exact"/>
        <w:ind w:left="-336" w:leftChars="-160" w:right="-370" w:rightChars="-176" w:firstLine="458" w:firstLineChars="19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二、磋商响应文件</w:t>
      </w:r>
    </w:p>
    <w:p>
      <w:pPr>
        <w:pStyle w:val="5"/>
        <w:pageBreakBefore w:val="0"/>
        <w:kinsoku/>
        <w:wordWrap/>
        <w:overflowPunct/>
        <w:topLinePunct w:val="0"/>
        <w:bidi w:val="0"/>
        <w:spacing w:before="0" w:beforeLines="0" w:after="0" w:afterLines="0" w:line="400" w:lineRule="exact"/>
        <w:ind w:left="-336" w:leftChars="-160" w:right="-370" w:rightChars="-176" w:firstLine="458"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（一）磋商响应文件的组成</w:t>
      </w:r>
    </w:p>
    <w:p>
      <w:pPr>
        <w:pageBreakBefore w:val="0"/>
        <w:kinsoku/>
        <w:wordWrap/>
        <w:overflowPunct/>
        <w:topLinePunct w:val="0"/>
        <w:bidi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供应商应仔细阅读磋商采购文件的所有内容，按磋商采购文件的要求，详细编制磋商响应文件</w:t>
      </w:r>
      <w:r>
        <w:rPr>
          <w:rFonts w:hint="eastAsia" w:ascii="宋体" w:hAnsi="宋体" w:eastAsia="宋体" w:cs="宋体"/>
          <w:color w:val="000000" w:themeColor="text1"/>
          <w:sz w:val="24"/>
          <w:highlight w:val="none"/>
          <w14:textFill>
            <w14:solidFill>
              <w14:schemeClr w14:val="tx1"/>
            </w14:solidFill>
          </w14:textFill>
        </w:rPr>
        <w:t>。</w:t>
      </w:r>
    </w:p>
    <w:p>
      <w:pPr>
        <w:pageBreakBefore w:val="0"/>
        <w:kinsoku/>
        <w:wordWrap/>
        <w:overflowPunct/>
        <w:topLinePunct w:val="0"/>
        <w:bidi w:val="0"/>
        <w:snapToGrid w:val="0"/>
        <w:spacing w:line="400" w:lineRule="exact"/>
        <w:ind w:left="-336" w:leftChars="-160" w:right="-370" w:rightChars="-176" w:firstLine="458"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▲1、资格证明内容的组成：</w:t>
      </w:r>
    </w:p>
    <w:p>
      <w:pPr>
        <w:pStyle w:val="30"/>
        <w:pageBreakBefore w:val="0"/>
        <w:kinsoku/>
        <w:wordWrap/>
        <w:overflowPunct/>
        <w:topLinePunct w:val="0"/>
        <w:bidi w:val="0"/>
        <w:spacing w:line="400" w:lineRule="exact"/>
        <w:ind w:left="-336" w:leftChars="-160" w:right="-370" w:rightChars="-176" w:firstLine="456" w:firstLineChars="190"/>
        <w:textAlignment w:val="auto"/>
        <w:rPr>
          <w:rStyle w:val="40"/>
          <w:rFonts w:hint="eastAsia" w:ascii="宋体" w:hAnsi="宋体" w:eastAsia="宋体" w:cs="宋体"/>
          <w:b w:val="0"/>
          <w:color w:val="000000" w:themeColor="text1"/>
          <w:highlight w:val="none"/>
          <w:u w:val="none"/>
          <w:lang w:eastAsia="zh-CN"/>
          <w14:textFill>
            <w14:solidFill>
              <w14:schemeClr w14:val="tx1"/>
            </w14:solidFill>
          </w14:textFill>
        </w:rPr>
      </w:pPr>
      <w:r>
        <w:rPr>
          <w:rStyle w:val="40"/>
          <w:rFonts w:hint="eastAsia" w:ascii="宋体" w:hAnsi="宋体" w:eastAsia="宋体" w:cs="宋体"/>
          <w:b w:val="0"/>
          <w:color w:val="000000" w:themeColor="text1"/>
          <w:highlight w:val="none"/>
          <w:u w:val="none"/>
          <w14:textFill>
            <w14:solidFill>
              <w14:schemeClr w14:val="tx1"/>
            </w14:solidFill>
          </w14:textFill>
        </w:rPr>
        <w:t>（1）磋商声明书</w:t>
      </w:r>
      <w:r>
        <w:rPr>
          <w:rStyle w:val="40"/>
          <w:rFonts w:hint="eastAsia" w:cs="宋体"/>
          <w:b w:val="0"/>
          <w:color w:val="000000" w:themeColor="text1"/>
          <w:highlight w:val="none"/>
          <w:u w:val="none"/>
          <w:lang w:eastAsia="zh-CN"/>
          <w14:textFill>
            <w14:solidFill>
              <w14:schemeClr w14:val="tx1"/>
            </w14:solidFill>
          </w14:textFill>
        </w:rPr>
        <w:t>；</w:t>
      </w:r>
    </w:p>
    <w:p>
      <w:pPr>
        <w:pStyle w:val="30"/>
        <w:pageBreakBefore w:val="0"/>
        <w:kinsoku/>
        <w:wordWrap/>
        <w:overflowPunct/>
        <w:topLinePunct w:val="0"/>
        <w:bidi w:val="0"/>
        <w:spacing w:line="400" w:lineRule="exact"/>
        <w:ind w:left="-336" w:leftChars="-160" w:right="-370" w:rightChars="-176" w:firstLine="456" w:firstLineChars="190"/>
        <w:textAlignment w:val="auto"/>
        <w:rPr>
          <w:rStyle w:val="40"/>
          <w:rFonts w:hint="eastAsia" w:ascii="宋体" w:hAnsi="宋体" w:eastAsia="宋体" w:cs="宋体"/>
          <w:b w:val="0"/>
          <w:color w:val="000000" w:themeColor="text1"/>
          <w:highlight w:val="none"/>
          <w:u w:val="none"/>
          <w14:textFill>
            <w14:solidFill>
              <w14:schemeClr w14:val="tx1"/>
            </w14:solidFill>
          </w14:textFill>
        </w:rPr>
      </w:pPr>
      <w:r>
        <w:rPr>
          <w:rStyle w:val="40"/>
          <w:rFonts w:hint="eastAsia" w:ascii="宋体" w:hAnsi="宋体" w:eastAsia="宋体" w:cs="宋体"/>
          <w:b w:val="0"/>
          <w:color w:val="000000" w:themeColor="text1"/>
          <w:highlight w:val="none"/>
          <w:u w:val="none"/>
          <w14:textFill>
            <w14:solidFill>
              <w14:schemeClr w14:val="tx1"/>
            </w14:solidFill>
          </w14:textFill>
        </w:rPr>
        <w:t>（2）授权委托书（法定代表人亲自办理磋商响应事宜的，则无需提交)；</w:t>
      </w:r>
    </w:p>
    <w:p>
      <w:pPr>
        <w:pStyle w:val="30"/>
        <w:pageBreakBefore w:val="0"/>
        <w:kinsoku/>
        <w:wordWrap/>
        <w:overflowPunct/>
        <w:topLinePunct w:val="0"/>
        <w:bidi w:val="0"/>
        <w:spacing w:line="400" w:lineRule="exact"/>
        <w:ind w:left="-336" w:leftChars="-160" w:right="-370" w:rightChars="-176" w:firstLine="456" w:firstLineChars="190"/>
        <w:textAlignment w:val="auto"/>
        <w:rPr>
          <w:rStyle w:val="40"/>
          <w:rFonts w:hint="eastAsia" w:ascii="宋体" w:hAnsi="宋体" w:eastAsia="宋体" w:cs="宋体"/>
          <w:b w:val="0"/>
          <w:color w:val="000000" w:themeColor="text1"/>
          <w:highlight w:val="none"/>
          <w:u w:val="none"/>
          <w14:textFill>
            <w14:solidFill>
              <w14:schemeClr w14:val="tx1"/>
            </w14:solidFill>
          </w14:textFill>
        </w:rPr>
      </w:pPr>
      <w:r>
        <w:rPr>
          <w:rStyle w:val="40"/>
          <w:rFonts w:hint="eastAsia" w:ascii="宋体" w:hAnsi="宋体" w:eastAsia="宋体" w:cs="宋体"/>
          <w:b w:val="0"/>
          <w:color w:val="000000" w:themeColor="text1"/>
          <w:highlight w:val="none"/>
          <w:u w:val="none"/>
          <w14:textFill>
            <w14:solidFill>
              <w14:schemeClr w14:val="tx1"/>
            </w14:solidFill>
          </w14:textFill>
        </w:rPr>
        <w:t>（3）法人或者其他组织的营业执照等证明文件，自然人的身份证明；</w:t>
      </w:r>
    </w:p>
    <w:p>
      <w:pPr>
        <w:pStyle w:val="30"/>
        <w:pageBreakBefore w:val="0"/>
        <w:kinsoku/>
        <w:wordWrap/>
        <w:overflowPunct/>
        <w:topLinePunct w:val="0"/>
        <w:bidi w:val="0"/>
        <w:spacing w:line="400" w:lineRule="exact"/>
        <w:ind w:left="-336" w:leftChars="-160" w:right="-370" w:rightChars="-176" w:firstLine="456" w:firstLineChars="190"/>
        <w:textAlignment w:val="auto"/>
        <w:rPr>
          <w:rStyle w:val="40"/>
          <w:rFonts w:hint="eastAsia" w:ascii="宋体" w:hAnsi="宋体" w:eastAsia="宋体" w:cs="宋体"/>
          <w:b w:val="0"/>
          <w:color w:val="000000" w:themeColor="text1"/>
          <w:highlight w:val="none"/>
          <w:u w:val="none"/>
          <w14:textFill>
            <w14:solidFill>
              <w14:schemeClr w14:val="tx1"/>
            </w14:solidFill>
          </w14:textFill>
        </w:rPr>
      </w:pPr>
      <w:r>
        <w:rPr>
          <w:rStyle w:val="40"/>
          <w:rFonts w:hint="eastAsia" w:ascii="宋体" w:hAnsi="宋体" w:eastAsia="宋体" w:cs="宋体"/>
          <w:b w:val="0"/>
          <w:color w:val="000000" w:themeColor="text1"/>
          <w:highlight w:val="none"/>
          <w:u w:val="none"/>
          <w14:textFill>
            <w14:solidFill>
              <w14:schemeClr w14:val="tx1"/>
            </w14:solidFill>
          </w14:textFill>
        </w:rPr>
        <w:t>（4）财务状况报告，依法缴纳税收和社会保障资金的相关材料</w:t>
      </w:r>
      <w:r>
        <w:rPr>
          <w:rStyle w:val="40"/>
          <w:rFonts w:hint="eastAsia" w:cs="宋体"/>
          <w:b w:val="0"/>
          <w:color w:val="000000" w:themeColor="text1"/>
          <w:highlight w:val="none"/>
          <w:u w:val="none"/>
          <w:lang w:eastAsia="zh-CN"/>
          <w14:textFill>
            <w14:solidFill>
              <w14:schemeClr w14:val="tx1"/>
            </w14:solidFill>
          </w14:textFill>
        </w:rPr>
        <w:t>（</w:t>
      </w:r>
      <w:r>
        <w:rPr>
          <w:rStyle w:val="40"/>
          <w:rFonts w:hint="eastAsia" w:cs="宋体"/>
          <w:b w:val="0"/>
          <w:color w:val="000000" w:themeColor="text1"/>
          <w:highlight w:val="none"/>
          <w:u w:val="none"/>
          <w:lang w:val="en-US" w:eastAsia="zh-CN"/>
          <w14:textFill>
            <w14:solidFill>
              <w14:schemeClr w14:val="tx1"/>
            </w14:solidFill>
          </w14:textFill>
        </w:rPr>
        <w:t>允许承诺函形式</w:t>
      </w:r>
      <w:r>
        <w:rPr>
          <w:rStyle w:val="40"/>
          <w:rFonts w:hint="eastAsia" w:cs="宋体"/>
          <w:b w:val="0"/>
          <w:color w:val="000000" w:themeColor="text1"/>
          <w:highlight w:val="none"/>
          <w:u w:val="none"/>
          <w:lang w:eastAsia="zh-CN"/>
          <w14:textFill>
            <w14:solidFill>
              <w14:schemeClr w14:val="tx1"/>
            </w14:solidFill>
          </w14:textFill>
        </w:rPr>
        <w:t>）</w:t>
      </w:r>
      <w:r>
        <w:rPr>
          <w:rStyle w:val="40"/>
          <w:rFonts w:hint="eastAsia" w:ascii="宋体" w:hAnsi="宋体" w:eastAsia="宋体" w:cs="宋体"/>
          <w:b w:val="0"/>
          <w:color w:val="000000" w:themeColor="text1"/>
          <w:highlight w:val="none"/>
          <w:u w:val="none"/>
          <w14:textFill>
            <w14:solidFill>
              <w14:schemeClr w14:val="tx1"/>
            </w14:solidFill>
          </w14:textFill>
        </w:rPr>
        <w:t>；</w:t>
      </w:r>
    </w:p>
    <w:p>
      <w:pPr>
        <w:pStyle w:val="30"/>
        <w:pageBreakBefore w:val="0"/>
        <w:kinsoku/>
        <w:wordWrap/>
        <w:overflowPunct/>
        <w:topLinePunct w:val="0"/>
        <w:bidi w:val="0"/>
        <w:spacing w:line="400" w:lineRule="exact"/>
        <w:ind w:left="-336" w:leftChars="-160" w:right="-370" w:rightChars="-176" w:firstLine="456" w:firstLineChars="190"/>
        <w:textAlignment w:val="auto"/>
        <w:rPr>
          <w:rStyle w:val="40"/>
          <w:rFonts w:hint="eastAsia" w:ascii="宋体" w:hAnsi="宋体" w:eastAsia="宋体" w:cs="宋体"/>
          <w:b w:val="0"/>
          <w:color w:val="000000" w:themeColor="text1"/>
          <w:highlight w:val="none"/>
          <w:u w:val="none"/>
          <w14:textFill>
            <w14:solidFill>
              <w14:schemeClr w14:val="tx1"/>
            </w14:solidFill>
          </w14:textFill>
        </w:rPr>
      </w:pPr>
      <w:r>
        <w:rPr>
          <w:rStyle w:val="40"/>
          <w:rFonts w:hint="eastAsia" w:ascii="宋体" w:hAnsi="宋体" w:eastAsia="宋体" w:cs="宋体"/>
          <w:b w:val="0"/>
          <w:color w:val="000000" w:themeColor="text1"/>
          <w:highlight w:val="none"/>
          <w:u w:val="none"/>
          <w14:textFill>
            <w14:solidFill>
              <w14:schemeClr w14:val="tx1"/>
            </w14:solidFill>
          </w14:textFill>
        </w:rPr>
        <w:t>（5）具备履行合同所必需的设备和专业技术能力的证明材料(根据项目性质提供)；</w:t>
      </w:r>
    </w:p>
    <w:p>
      <w:pPr>
        <w:pStyle w:val="30"/>
        <w:pageBreakBefore w:val="0"/>
        <w:kinsoku/>
        <w:wordWrap/>
        <w:overflowPunct/>
        <w:topLinePunct w:val="0"/>
        <w:bidi w:val="0"/>
        <w:spacing w:line="400" w:lineRule="exact"/>
        <w:ind w:left="-336" w:leftChars="-160" w:right="-370" w:rightChars="-176" w:firstLine="456" w:firstLineChars="190"/>
        <w:textAlignment w:val="auto"/>
        <w:rPr>
          <w:rStyle w:val="40"/>
          <w:rFonts w:hint="eastAsia" w:ascii="宋体" w:hAnsi="宋体" w:eastAsia="宋体" w:cs="宋体"/>
          <w:b w:val="0"/>
          <w:color w:val="000000" w:themeColor="text1"/>
          <w:highlight w:val="none"/>
          <w:u w:val="none"/>
          <w14:textFill>
            <w14:solidFill>
              <w14:schemeClr w14:val="tx1"/>
            </w14:solidFill>
          </w14:textFill>
        </w:rPr>
      </w:pPr>
      <w:r>
        <w:rPr>
          <w:rStyle w:val="40"/>
          <w:rFonts w:hint="eastAsia" w:ascii="宋体" w:hAnsi="宋体" w:eastAsia="宋体" w:cs="宋体"/>
          <w:b w:val="0"/>
          <w:color w:val="000000" w:themeColor="text1"/>
          <w:highlight w:val="none"/>
          <w:u w:val="none"/>
          <w14:textFill>
            <w14:solidFill>
              <w14:schemeClr w14:val="tx1"/>
            </w14:solidFill>
          </w14:textFill>
        </w:rPr>
        <w:t>（6）提供采购公告中符合供应商特定条件的有效资质证书复印件（磋商供应商特定条件中有要求的必须提供），以及需要说明的其他资料；</w:t>
      </w:r>
    </w:p>
    <w:p>
      <w:pPr>
        <w:pageBreakBefore w:val="0"/>
        <w:kinsoku/>
        <w:wordWrap/>
        <w:overflowPunct/>
        <w:topLinePunct w:val="0"/>
        <w:bidi w:val="0"/>
        <w:snapToGrid w:val="0"/>
        <w:spacing w:line="400" w:lineRule="exact"/>
        <w:ind w:left="-336" w:leftChars="-160" w:right="-370" w:rightChars="-176" w:firstLine="458" w:firstLineChars="19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2、商务与技术内容的组成：</w:t>
      </w:r>
    </w:p>
    <w:p>
      <w:pPr>
        <w:pStyle w:val="10"/>
        <w:pageBreakBefore w:val="0"/>
        <w:widowControl/>
        <w:kinsoku/>
        <w:wordWrap/>
        <w:overflowPunct/>
        <w:topLinePunct w:val="0"/>
        <w:bidi w:val="0"/>
        <w:adjustRightInd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（1）供应商情况介绍（人员与技术力量、企业规模、经营业绩等）。</w:t>
      </w:r>
    </w:p>
    <w:p>
      <w:pPr>
        <w:pStyle w:val="10"/>
        <w:pageBreakBefore w:val="0"/>
        <w:widowControl/>
        <w:kinsoku/>
        <w:wordWrap/>
        <w:overflowPunct/>
        <w:topLinePunct w:val="0"/>
        <w:bidi w:val="0"/>
        <w:adjustRightInd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（2）磋商响应方案描述：</w:t>
      </w:r>
    </w:p>
    <w:p>
      <w:pPr>
        <w:pStyle w:val="10"/>
        <w:pageBreakBefore w:val="0"/>
        <w:widowControl/>
        <w:kinsoku/>
        <w:wordWrap/>
        <w:overflowPunct/>
        <w:topLinePunct w:val="0"/>
        <w:bidi w:val="0"/>
        <w:adjustRightInd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pPr>
        <w:pStyle w:val="10"/>
        <w:pageBreakBefore w:val="0"/>
        <w:widowControl/>
        <w:kinsoku/>
        <w:wordWrap/>
        <w:overflowPunct/>
        <w:topLinePunct w:val="0"/>
        <w:bidi w:val="0"/>
        <w:adjustRightInd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（3）供应商通过的</w:t>
      </w:r>
      <w:r>
        <w:rPr>
          <w:rFonts w:hint="eastAsia" w:ascii="宋体" w:hAnsi="宋体" w:eastAsia="宋体" w:cs="宋体"/>
          <w:color w:val="000000" w:themeColor="text1"/>
          <w:sz w:val="24"/>
          <w:highlight w:val="none"/>
          <w14:textFill>
            <w14:solidFill>
              <w14:schemeClr w14:val="tx1"/>
            </w14:solidFill>
          </w14:textFill>
        </w:rPr>
        <w:t>自主创新相关证书、软件著作权证等等与本项目相关</w:t>
      </w:r>
      <w:r>
        <w:rPr>
          <w:rFonts w:hint="eastAsia" w:ascii="宋体" w:hAnsi="宋体" w:eastAsia="宋体" w:cs="宋体"/>
          <w:color w:val="000000" w:themeColor="text1"/>
          <w:kern w:val="0"/>
          <w:sz w:val="24"/>
          <w:highlight w:val="none"/>
          <w14:textFill>
            <w14:solidFill>
              <w14:schemeClr w14:val="tx1"/>
            </w14:solidFill>
          </w14:textFill>
        </w:rPr>
        <w:t>的认证证书或文件；</w:t>
      </w:r>
    </w:p>
    <w:p>
      <w:pPr>
        <w:pStyle w:val="10"/>
        <w:pageBreakBefore w:val="0"/>
        <w:widowControl/>
        <w:kinsoku/>
        <w:wordWrap/>
        <w:overflowPunct/>
        <w:topLinePunct w:val="0"/>
        <w:bidi w:val="0"/>
        <w:adjustRightInd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（4）近三年来类似项目的成功案例（供应商类似项目实施情况一览表、合同复印件等；</w:t>
      </w:r>
    </w:p>
    <w:p>
      <w:pPr>
        <w:pageBreakBefore w:val="0"/>
        <w:kinsoku/>
        <w:wordWrap/>
        <w:overflowPunct/>
        <w:topLinePunct w:val="0"/>
        <w:bidi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（5）供应商认为需要提供的其他资料（包括可能影响供应商商务与技术内容评分的各类证明材料）。</w:t>
      </w:r>
    </w:p>
    <w:p>
      <w:pPr>
        <w:pStyle w:val="10"/>
        <w:pageBreakBefore w:val="0"/>
        <w:widowControl/>
        <w:kinsoku/>
        <w:wordWrap/>
        <w:overflowPunct/>
        <w:topLinePunct w:val="0"/>
        <w:bidi w:val="0"/>
        <w:adjustRightInd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（6）售后服务描述及承诺：</w:t>
      </w:r>
    </w:p>
    <w:p>
      <w:pPr>
        <w:pStyle w:val="10"/>
        <w:pageBreakBefore w:val="0"/>
        <w:widowControl/>
        <w:kinsoku/>
        <w:wordWrap/>
        <w:overflowPunct/>
        <w:topLinePunct w:val="0"/>
        <w:bidi w:val="0"/>
        <w:adjustRightInd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10"/>
        <w:pageBreakBefore w:val="0"/>
        <w:widowControl/>
        <w:kinsoku/>
        <w:wordWrap/>
        <w:overflowPunct/>
        <w:topLinePunct w:val="0"/>
        <w:bidi w:val="0"/>
        <w:adjustRightInd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pageBreakBefore w:val="0"/>
        <w:kinsoku/>
        <w:wordWrap/>
        <w:overflowPunct/>
        <w:topLinePunct w:val="0"/>
        <w:autoSpaceDE w:val="0"/>
        <w:autoSpaceDN w:val="0"/>
        <w:bidi w:val="0"/>
        <w:adjustRightInd w:val="0"/>
        <w:spacing w:line="400" w:lineRule="exact"/>
        <w:ind w:left="-336" w:leftChars="-160" w:right="-370" w:rightChars="-176" w:firstLine="458" w:firstLineChars="190"/>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3、报价内容的组成</w:t>
      </w:r>
    </w:p>
    <w:p>
      <w:pPr>
        <w:pStyle w:val="30"/>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（1）报价内容由首次报价一览表、报价明细表，以及供应商认为其他需要说明的内容组成。</w:t>
      </w:r>
    </w:p>
    <w:p>
      <w:pPr>
        <w:pStyle w:val="30"/>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（2）此报价为供应商针对本项目报出的唯一的首次报价，包含其它一切所要涉及到的费用，有选择的报价将被拒绝。</w:t>
      </w:r>
    </w:p>
    <w:p>
      <w:pPr>
        <w:pStyle w:val="30"/>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（3）</w:t>
      </w:r>
      <w:r>
        <w:rPr>
          <w:rFonts w:hint="eastAsia" w:ascii="宋体" w:hAnsi="宋体" w:eastAsia="宋体" w:cs="宋体"/>
          <w:b w:val="0"/>
          <w:color w:val="000000" w:themeColor="text1"/>
          <w:kern w:val="0"/>
          <w:highlight w:val="none"/>
          <w:lang w:val="zh-CN"/>
          <w14:textFill>
            <w14:solidFill>
              <w14:schemeClr w14:val="tx1"/>
            </w14:solidFill>
          </w14:textFill>
        </w:rPr>
        <w:t>报价包括</w:t>
      </w:r>
      <w:r>
        <w:rPr>
          <w:rFonts w:hint="eastAsia" w:ascii="宋体" w:hAnsi="宋体" w:eastAsia="宋体" w:cs="宋体"/>
          <w:b w:val="0"/>
          <w:color w:val="000000" w:themeColor="text1"/>
          <w:kern w:val="0"/>
          <w:highlight w:val="none"/>
          <w14:textFill>
            <w14:solidFill>
              <w14:schemeClr w14:val="tx1"/>
            </w14:solidFill>
          </w14:textFill>
        </w:rPr>
        <w:t>相关</w:t>
      </w:r>
      <w:r>
        <w:rPr>
          <w:rFonts w:hint="eastAsia" w:ascii="宋体" w:hAnsi="宋体" w:eastAsia="宋体" w:cs="宋体"/>
          <w:b w:val="0"/>
          <w:color w:val="000000" w:themeColor="text1"/>
          <w:kern w:val="0"/>
          <w:highlight w:val="none"/>
          <w:lang w:val="zh-CN"/>
          <w14:textFill>
            <w14:solidFill>
              <w14:schemeClr w14:val="tx1"/>
            </w14:solidFill>
          </w14:textFill>
        </w:rPr>
        <w:t>人工费、材料费、设备使用费、人员来往的交通、通信、食宿、企业管理费、利润、税金、售后服务费、技术服务费、技术培训费、</w:t>
      </w:r>
      <w:r>
        <w:rPr>
          <w:rFonts w:hint="eastAsia" w:ascii="宋体" w:hAnsi="宋体" w:eastAsia="宋体" w:cs="宋体"/>
          <w:b w:val="0"/>
          <w:color w:val="000000" w:themeColor="text1"/>
          <w:kern w:val="0"/>
          <w:highlight w:val="none"/>
          <w14:textFill>
            <w14:solidFill>
              <w14:schemeClr w14:val="tx1"/>
            </w14:solidFill>
          </w14:textFill>
        </w:rPr>
        <w:t>招标代理服务费、</w:t>
      </w:r>
      <w:r>
        <w:rPr>
          <w:rFonts w:hint="eastAsia" w:ascii="宋体" w:hAnsi="宋体" w:eastAsia="宋体" w:cs="宋体"/>
          <w:b w:val="0"/>
          <w:color w:val="000000" w:themeColor="text1"/>
          <w:kern w:val="0"/>
          <w:highlight w:val="none"/>
          <w:lang w:val="zh-CN"/>
          <w14:textFill>
            <w14:solidFill>
              <w14:schemeClr w14:val="tx1"/>
            </w14:solidFill>
          </w14:textFill>
        </w:rPr>
        <w:t>政策性文件规定及合同包含的所有风险、责任、成果验收以及采购文件约定工作内容所包含的等一切费用。供应商应列入而未列入其中的费用，均视为已包含在内，不得再要求追加任何费用</w:t>
      </w:r>
      <w:r>
        <w:rPr>
          <w:rFonts w:hint="eastAsia" w:ascii="宋体" w:hAnsi="宋体" w:eastAsia="宋体" w:cs="宋体"/>
          <w:b w:val="0"/>
          <w:color w:val="000000" w:themeColor="text1"/>
          <w:kern w:val="0"/>
          <w:highlight w:val="none"/>
          <w14:textFill>
            <w14:solidFill>
              <w14:schemeClr w14:val="tx1"/>
            </w14:solidFill>
          </w14:textFill>
        </w:rPr>
        <w:t>。</w:t>
      </w:r>
    </w:p>
    <w:p>
      <w:pPr>
        <w:pStyle w:val="30"/>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（4）政府采购优惠政策相关资料、产品适用政府采购政策情况表（如有）。</w:t>
      </w:r>
    </w:p>
    <w:p>
      <w:pPr>
        <w:pStyle w:val="30"/>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（5）相关报价表需打印或用不退色的墨水填写， 磋商响应报价表不得涂改和增删，如有错漏必须修改，修改处须由同一签署人签字或盖章。由于字迹模糊或表达不清引起的后果由供应商负责。</w:t>
      </w:r>
    </w:p>
    <w:p>
      <w:pPr>
        <w:pStyle w:val="30"/>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报价有关表格应按磋商采购文件中相关附表格式填写。</w:t>
      </w:r>
    </w:p>
    <w:p>
      <w:pPr>
        <w:pStyle w:val="5"/>
        <w:pageBreakBefore w:val="0"/>
        <w:kinsoku/>
        <w:wordWrap/>
        <w:overflowPunct/>
        <w:topLinePunct w:val="0"/>
        <w:bidi w:val="0"/>
        <w:spacing w:before="0" w:beforeLines="0" w:after="0" w:afterLines="0" w:line="400" w:lineRule="exact"/>
        <w:ind w:left="-336" w:leftChars="-160" w:right="-370" w:rightChars="-176" w:firstLine="458"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（二）磋商响应文件的制作、封装及递交要求</w:t>
      </w:r>
    </w:p>
    <w:p>
      <w:pPr>
        <w:pageBreakBefore w:val="0"/>
        <w:kinsoku/>
        <w:wordWrap/>
        <w:overflowPunct/>
        <w:topLinePunct w:val="0"/>
        <w:autoSpaceDE w:val="0"/>
        <w:autoSpaceDN w:val="0"/>
        <w:bidi w:val="0"/>
        <w:adjustRightInd w:val="0"/>
        <w:spacing w:line="400" w:lineRule="exact"/>
        <w:ind w:left="-336" w:leftChars="-160" w:right="-370" w:rightChars="-176" w:firstLine="458" w:firstLineChars="19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kern w:val="0"/>
          <w:sz w:val="24"/>
          <w:highlight w:val="none"/>
          <w14:textFill>
            <w14:solidFill>
              <w14:schemeClr w14:val="tx1"/>
            </w14:solidFill>
          </w14:textFill>
        </w:rPr>
        <w:t>磋商响应</w:t>
      </w:r>
      <w:r>
        <w:rPr>
          <w:rFonts w:hint="eastAsia" w:ascii="宋体" w:hAnsi="宋体" w:eastAsia="宋体" w:cs="宋体"/>
          <w:b/>
          <w:bCs/>
          <w:color w:val="000000" w:themeColor="text1"/>
          <w:sz w:val="24"/>
          <w:highlight w:val="none"/>
          <w14:textFill>
            <w14:solidFill>
              <w14:schemeClr w14:val="tx1"/>
            </w14:solidFill>
          </w14:textFill>
        </w:rPr>
        <w:t>文件的制作要求</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（1）磋商人应按照磋商文件组成内容及项目采购需求制作磋商响应文件，</w:t>
      </w:r>
      <w:r>
        <w:rPr>
          <w:rFonts w:hint="eastAsia" w:ascii="宋体" w:hAnsi="宋体" w:eastAsia="宋体" w:cs="宋体"/>
          <w:color w:val="000000" w:themeColor="text1"/>
          <w:kern w:val="0"/>
          <w:sz w:val="24"/>
          <w:highlight w:val="none"/>
          <w14:textFill>
            <w14:solidFill>
              <w14:schemeClr w14:val="tx1"/>
            </w14:solidFill>
          </w14:textFill>
        </w:rPr>
        <w:t>不按磋商采购文件要求制作磋商响应文件的将视情处理（拒收、扣分等），由此产生的责任由磋商人自行承担。</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（2）磋商人应对所提供的全部资料的真实性承担法律责任，磋商响应</w:t>
      </w:r>
      <w:r>
        <w:rPr>
          <w:rFonts w:hint="eastAsia" w:ascii="宋体" w:hAnsi="宋体" w:eastAsia="宋体" w:cs="宋体"/>
          <w:color w:val="000000" w:themeColor="text1"/>
          <w:kern w:val="0"/>
          <w:sz w:val="24"/>
          <w:highlight w:val="none"/>
          <w:lang w:val="zh-CN"/>
          <w14:textFill>
            <w14:solidFill>
              <w14:schemeClr w14:val="tx1"/>
            </w14:solidFill>
          </w14:textFill>
        </w:rPr>
        <w:t>文件内容中有要求盖章或签字的地方必须加盖磋商人的公章以及法定代表人或全权代表的盖章或签字。</w:t>
      </w:r>
    </w:p>
    <w:p>
      <w:pPr>
        <w:pageBreakBefore w:val="0"/>
        <w:kinsoku/>
        <w:wordWrap/>
        <w:overflowPunct/>
        <w:topLinePunct w:val="0"/>
        <w:bidi w:val="0"/>
        <w:snapToGrid w:val="0"/>
        <w:spacing w:line="400" w:lineRule="exact"/>
        <w:ind w:left="-336" w:leftChars="-160" w:right="-370" w:rightChars="-176" w:firstLine="456" w:firstLineChars="19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）磋商响应</w:t>
      </w:r>
      <w:r>
        <w:rPr>
          <w:rFonts w:hint="eastAsia" w:ascii="宋体" w:hAnsi="宋体" w:eastAsia="宋体" w:cs="宋体"/>
          <w:color w:val="000000" w:themeColor="text1"/>
          <w:sz w:val="24"/>
          <w:highlight w:val="none"/>
          <w14:textFill>
            <w14:solidFill>
              <w14:schemeClr w14:val="tx1"/>
            </w14:solidFill>
          </w14:textFill>
        </w:rPr>
        <w:t>文件以及磋商供应商与采购组织机构就有关磋商响应事宜的所有来往函电，均应以中文汉语书写。除签字、盖章、专用名称等特殊情形外，以中文汉语以外的文字表述的磋商响应文件视同未提供。</w:t>
      </w:r>
    </w:p>
    <w:p>
      <w:pPr>
        <w:pageBreakBefore w:val="0"/>
        <w:kinsoku/>
        <w:wordWrap/>
        <w:overflowPunct/>
        <w:topLinePunct w:val="0"/>
        <w:bidi w:val="0"/>
        <w:snapToGrid w:val="0"/>
        <w:spacing w:line="400" w:lineRule="exact"/>
        <w:ind w:left="-336" w:leftChars="-160" w:right="-370" w:rightChars="-176" w:firstLine="456" w:firstLineChars="19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（4）磋商计量单位，磋商文件已有明确规定的，使用磋商文件规定的计量单位；磋商文件没有规定的，应采用中华人民共和国法定计量单位（货币单位：人民币元）。</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（5）若供应商不按磋商文件的要求提供资格审查材料，其风险由供应商自行承担。</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与本次磋商无关的内容请不要制作在内，确保磋商文件有针对性、简洁明了。</w:t>
      </w:r>
    </w:p>
    <w:p>
      <w:pPr>
        <w:pageBreakBefore w:val="0"/>
        <w:kinsoku/>
        <w:wordWrap/>
        <w:overflowPunct/>
        <w:topLinePunct w:val="0"/>
        <w:autoSpaceDE w:val="0"/>
        <w:autoSpaceDN w:val="0"/>
        <w:bidi w:val="0"/>
        <w:adjustRightInd w:val="0"/>
        <w:spacing w:line="400" w:lineRule="exact"/>
        <w:ind w:left="-336" w:leftChars="-160" w:right="-370" w:rightChars="-176" w:firstLine="458" w:firstLineChars="19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2、磋商响应文件的</w:t>
      </w:r>
      <w:r>
        <w:rPr>
          <w:rFonts w:hint="eastAsia" w:ascii="宋体" w:hAnsi="宋体" w:eastAsia="宋体" w:cs="宋体"/>
          <w:b/>
          <w:color w:val="000000" w:themeColor="text1"/>
          <w:sz w:val="24"/>
          <w:highlight w:val="none"/>
          <w14:textFill>
            <w14:solidFill>
              <w14:schemeClr w14:val="tx1"/>
            </w14:solidFill>
          </w14:textFill>
        </w:rPr>
        <w:t>签署及规定</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（1）供应商应按本须知的相关要求准备磋商响应文件，注明 “项目编号”、“项目名称”、“资格文件”或“商务技术文件”或“报价文件”、 “磋商供应商”、“时间”等字样。</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（2）磋商响应文件封面和内部有要求盖章或签字的地方必须加盖磋商供应商的单位公章（或CA电子公章）以及法定代表人或全权代表（CA电子签章或签字）。</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（3）电子磋商响应文件：按政采云平台供应商项目采购-电子招投标操作指南https://help.zcygov.cn/web/site_2/2018/12-28/2573.html及本磋商文件要求提交。</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（4）介质存储的数据电文形式的备份电子磋商响应文件：U盘1份，独立密封封装。</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（5）磋商响应文件不得涂改，若有修改错漏处，须加盖单位公章（或CA电子公章）或者法定代表人或授权委托人签字（或CA电子签章）。磋商响应文件因字迹潦草或表达不清所引起的后果由磋商供应商负责。</w:t>
      </w:r>
    </w:p>
    <w:p>
      <w:pPr>
        <w:pageBreakBefore w:val="0"/>
        <w:kinsoku/>
        <w:wordWrap/>
        <w:overflowPunct/>
        <w:topLinePunct w:val="0"/>
        <w:autoSpaceDE w:val="0"/>
        <w:autoSpaceDN w:val="0"/>
        <w:bidi w:val="0"/>
        <w:adjustRightInd w:val="0"/>
        <w:spacing w:line="400" w:lineRule="exact"/>
        <w:ind w:left="-336" w:leftChars="-160" w:right="-370" w:rightChars="-176" w:firstLine="458" w:firstLineChars="19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3、</w:t>
      </w:r>
      <w:r>
        <w:rPr>
          <w:rFonts w:hint="eastAsia" w:ascii="宋体" w:hAnsi="宋体" w:eastAsia="宋体" w:cs="宋体"/>
          <w:b/>
          <w:bCs/>
          <w:color w:val="000000" w:themeColor="text1"/>
          <w:sz w:val="24"/>
          <w:highlight w:val="none"/>
          <w14:textFill>
            <w14:solidFill>
              <w14:schemeClr w14:val="tx1"/>
            </w14:solidFill>
          </w14:textFill>
        </w:rPr>
        <w:t>磋商响应文件的递交要求</w:t>
      </w:r>
    </w:p>
    <w:p>
      <w:pPr>
        <w:pageBreakBefore w:val="0"/>
        <w:tabs>
          <w:tab w:val="left" w:pos="1898"/>
        </w:tabs>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（1）▲在投标截止时间前，磋商供应商应按磋商文件规定的时间、形式上传电子磋商响应文件至政采云平台采购项目中。在投标截止时间后上传提交磋商响应文件的，将被政采云平台拒绝。</w:t>
      </w:r>
    </w:p>
    <w:p>
      <w:pPr>
        <w:pageBreakBefore w:val="0"/>
        <w:tabs>
          <w:tab w:val="left" w:pos="1898"/>
        </w:tabs>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（2）采购代理机构工作人员将做好介质存储的数据电文形式备份电子磋商响应文件签收手续，明确电子磋商响应文件的提交时间、磋商响应文件的份数、提交人等信息。</w:t>
      </w:r>
    </w:p>
    <w:p>
      <w:pPr>
        <w:pageBreakBefore w:val="0"/>
        <w:tabs>
          <w:tab w:val="left" w:pos="1898"/>
        </w:tabs>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（3）因密封不严、标记不明而造成过早启封、失密等情况，采购代理机构概不负责。</w:t>
      </w:r>
    </w:p>
    <w:p>
      <w:pPr>
        <w:pageBreakBefore w:val="0"/>
        <w:tabs>
          <w:tab w:val="left" w:pos="1898"/>
        </w:tabs>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（4）如因故推迟磋商响应文件提交截止时间的，招标采购单位和磋商供应商的权利和义务将受到新的截止时间约束。</w:t>
      </w:r>
    </w:p>
    <w:p>
      <w:pPr>
        <w:pageBreakBefore w:val="0"/>
        <w:tabs>
          <w:tab w:val="left" w:pos="1898"/>
        </w:tabs>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（5）已提交磋商响应文件的供应商，在提交最后报价之前，可以根据磋商情况退出磋商。</w:t>
      </w:r>
    </w:p>
    <w:p>
      <w:pPr>
        <w:pStyle w:val="5"/>
        <w:pageBreakBefore w:val="0"/>
        <w:kinsoku/>
        <w:wordWrap/>
        <w:overflowPunct/>
        <w:topLinePunct w:val="0"/>
        <w:bidi w:val="0"/>
        <w:spacing w:before="0" w:beforeLines="0" w:after="0" w:afterLines="0" w:line="400" w:lineRule="exact"/>
        <w:ind w:left="-336" w:leftChars="-160" w:right="-370" w:rightChars="-176" w:firstLine="458"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（三）磋商响应文件的有效期</w:t>
      </w:r>
    </w:p>
    <w:p>
      <w:pPr>
        <w:pStyle w:val="9"/>
        <w:pageBreakBefore w:val="0"/>
        <w:widowControl w:val="0"/>
        <w:numPr>
          <w:ilvl w:val="0"/>
          <w:numId w:val="0"/>
        </w:numPr>
        <w:tabs>
          <w:tab w:val="left" w:pos="0"/>
          <w:tab w:val="left" w:pos="960"/>
          <w:tab w:val="left" w:pos="1200"/>
          <w:tab w:val="clear" w:pos="454"/>
        </w:tabs>
        <w:kinsoku/>
        <w:wordWrap/>
        <w:overflowPunct/>
        <w:topLinePunct w:val="0"/>
        <w:bidi w:val="0"/>
        <w:snapToGrid w:val="0"/>
        <w:spacing w:after="0" w:afterLines="0" w:line="400" w:lineRule="exact"/>
        <w:ind w:left="-336" w:leftChars="-160" w:right="-370" w:rightChars="-176" w:firstLine="456" w:firstLineChars="190"/>
        <w:textAlignment w:val="auto"/>
        <w:rPr>
          <w:rFonts w:hint="eastAsia" w:ascii="宋体" w:hAnsi="宋体" w:eastAsia="宋体" w:cs="宋体"/>
          <w:color w:val="000000" w:themeColor="text1"/>
          <w:szCs w:val="24"/>
          <w:highlight w:val="none"/>
          <w:lang w:val="en-GB"/>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w:t>
      </w:r>
      <w:r>
        <w:rPr>
          <w:rFonts w:hint="eastAsia" w:ascii="宋体" w:hAnsi="宋体" w:eastAsia="宋体" w:cs="宋体"/>
          <w:color w:val="000000" w:themeColor="text1"/>
          <w:szCs w:val="24"/>
          <w:highlight w:val="none"/>
          <w:lang w:val="en-GB"/>
          <w14:textFill>
            <w14:solidFill>
              <w14:schemeClr w14:val="tx1"/>
            </w14:solidFill>
          </w14:textFill>
        </w:rPr>
        <w:t>自磋商响应截止日起90天磋商响应文件应保持有效。有效期不足的磋商响应文件将被拒绝。</w:t>
      </w:r>
    </w:p>
    <w:p>
      <w:pPr>
        <w:pStyle w:val="9"/>
        <w:pageBreakBefore w:val="0"/>
        <w:widowControl w:val="0"/>
        <w:numPr>
          <w:ilvl w:val="0"/>
          <w:numId w:val="0"/>
        </w:numPr>
        <w:tabs>
          <w:tab w:val="left" w:pos="0"/>
          <w:tab w:val="left" w:pos="960"/>
          <w:tab w:val="left" w:pos="1200"/>
          <w:tab w:val="clear" w:pos="454"/>
        </w:tabs>
        <w:kinsoku/>
        <w:wordWrap/>
        <w:overflowPunct/>
        <w:topLinePunct w:val="0"/>
        <w:bidi w:val="0"/>
        <w:snapToGrid w:val="0"/>
        <w:spacing w:after="0" w:afterLines="0" w:line="400" w:lineRule="exact"/>
        <w:ind w:left="-336" w:leftChars="-160" w:right="-370" w:rightChars="-176" w:firstLine="456" w:firstLineChars="190"/>
        <w:textAlignment w:val="auto"/>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2、在特殊情况下，采购人可与磋商供应商协商延长磋商响应文件的有效期，这种要求和答复均以书面形式进行。</w:t>
      </w:r>
    </w:p>
    <w:p>
      <w:pPr>
        <w:pStyle w:val="9"/>
        <w:pageBreakBefore w:val="0"/>
        <w:widowControl w:val="0"/>
        <w:numPr>
          <w:ilvl w:val="0"/>
          <w:numId w:val="0"/>
        </w:numPr>
        <w:tabs>
          <w:tab w:val="left" w:pos="0"/>
          <w:tab w:val="left" w:pos="960"/>
          <w:tab w:val="left" w:pos="1200"/>
          <w:tab w:val="clear" w:pos="454"/>
        </w:tabs>
        <w:kinsoku/>
        <w:wordWrap/>
        <w:overflowPunct/>
        <w:topLinePunct w:val="0"/>
        <w:bidi w:val="0"/>
        <w:snapToGrid w:val="0"/>
        <w:spacing w:after="0" w:afterLines="0" w:line="400" w:lineRule="exact"/>
        <w:ind w:left="-336" w:leftChars="-160" w:right="-370" w:rightChars="-176" w:firstLine="456" w:firstLineChars="190"/>
        <w:textAlignment w:val="auto"/>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3.成交供应商的磋商响应文件自磋商之日起至合同履行完毕均应保持有效。</w:t>
      </w:r>
    </w:p>
    <w:p>
      <w:pPr>
        <w:pStyle w:val="4"/>
        <w:pageBreakBefore w:val="0"/>
        <w:kinsoku/>
        <w:wordWrap/>
        <w:overflowPunct/>
        <w:topLinePunct w:val="0"/>
        <w:bidi w:val="0"/>
        <w:spacing w:before="0" w:beforeLines="0" w:after="0" w:afterLines="0" w:line="400" w:lineRule="exact"/>
        <w:ind w:left="-336" w:leftChars="-160" w:right="-370" w:rightChars="-176" w:firstLine="458" w:firstLineChars="19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w:t>
      </w:r>
    </w:p>
    <w:p>
      <w:pPr>
        <w:pStyle w:val="5"/>
        <w:pageBreakBefore w:val="0"/>
        <w:kinsoku/>
        <w:wordWrap/>
        <w:overflowPunct/>
        <w:topLinePunct w:val="0"/>
        <w:bidi w:val="0"/>
        <w:spacing w:before="0" w:beforeLines="0" w:after="0" w:afterLines="0" w:line="400" w:lineRule="exact"/>
        <w:ind w:left="-336" w:leftChars="-160" w:right="-370" w:rightChars="-176" w:firstLine="458"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（一）磋商程序</w:t>
      </w:r>
    </w:p>
    <w:p>
      <w:pPr>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 开标程序</w:t>
      </w:r>
    </w:p>
    <w:p>
      <w:pPr>
        <w:pageBreakBefore w:val="0"/>
        <w:numPr>
          <w:ilvl w:val="0"/>
          <w:numId w:val="4"/>
        </w:numPr>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到开标时间后，供应商登录政采云平台，用“项目采购-开标评标”功能对电子磋商响应文件进行在线解密。在线解密电子磋商文件时间为开标时间起半个小时内；</w:t>
      </w:r>
    </w:p>
    <w:p>
      <w:pPr>
        <w:pageBreakBefore w:val="0"/>
        <w:numPr>
          <w:ilvl w:val="0"/>
          <w:numId w:val="4"/>
        </w:numPr>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开标结束后，采购人或采购代理机构依法对供应商的资格进行审查。</w:t>
      </w:r>
      <w:r>
        <w:rPr>
          <w:rFonts w:hint="eastAsia" w:ascii="宋体" w:hAnsi="宋体" w:eastAsia="宋体" w:cs="宋体"/>
          <w:color w:val="000000" w:themeColor="text1"/>
          <w:kern w:val="0"/>
          <w:sz w:val="24"/>
          <w:highlight w:val="none"/>
          <w14:textFill>
            <w14:solidFill>
              <w14:schemeClr w14:val="tx1"/>
            </w14:solidFill>
          </w14:textFill>
        </w:rPr>
        <w:t>审查内容见。2、通过资格审查视作具备磋商资格，审查不合格的磋商响应文件将不进入后续详细评审。</w:t>
      </w:r>
    </w:p>
    <w:p>
      <w:pPr>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 磋商小组根据磋商文件的规定，对磋商响应文件的有效性、完整性和对磋商文件的响应程度进行审查，以确定其是否对磋商文件作出了实质性响应。实质上没有响应磋商文件要求的磋商响应文件将被否决。</w:t>
      </w:r>
    </w:p>
    <w:p>
      <w:pPr>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 评审过程中磋商供应商有义务对磋商小组提出就磋商响应文件中含义不明确、同类问题表述不</w:t>
      </w:r>
      <w:r>
        <w:rPr>
          <w:rFonts w:hint="eastAsia" w:ascii="宋体" w:hAnsi="宋体" w:eastAsia="宋体" w:cs="宋体"/>
          <w:color w:val="000000" w:themeColor="text1"/>
          <w:sz w:val="24"/>
          <w:highlight w:val="none"/>
          <w14:textFill>
            <w14:solidFill>
              <w14:schemeClr w14:val="tx1"/>
            </w14:solidFill>
          </w14:textFill>
        </w:rPr>
        <w:t>一致或者有明显的文字和计算错误的内容进行澄清、说明、或者纠正。并在磋商结束前，对澄清、说明或者纠正的相关内容在政采云平台以书面形式进行最终确认承诺，并由磋商供应商代表签字（签章），但不得改变磋商响应文件的实质性内容。供应商的澄清、说明或者更正应当由法定代表人或其授权代表签字或者加盖公章（CA电子公章）。</w:t>
      </w:r>
    </w:p>
    <w:p>
      <w:pPr>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5、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b/>
          <w:bCs/>
          <w:color w:val="000000" w:themeColor="text1"/>
          <w:sz w:val="24"/>
          <w:highlight w:val="none"/>
          <w:u w:val="single"/>
          <w14:textFill>
            <w14:solidFill>
              <w14:schemeClr w14:val="tx1"/>
            </w14:solidFill>
          </w14:textFill>
        </w:rPr>
        <w:t>经澄清后，若偏差仍存在，且不可接受，磋商供应商则被认为是“没有实质性响应竞争性磋商文件要求”，其磋商不进入下一步评审</w:t>
      </w:r>
      <w:r>
        <w:rPr>
          <w:rFonts w:hint="eastAsia" w:ascii="宋体" w:hAnsi="宋体" w:eastAsia="宋体" w:cs="宋体"/>
          <w:color w:val="000000" w:themeColor="text1"/>
          <w:sz w:val="24"/>
          <w:highlight w:val="none"/>
          <w14:textFill>
            <w14:solidFill>
              <w14:schemeClr w14:val="tx1"/>
            </w14:solidFill>
          </w14:textFill>
        </w:rPr>
        <w:t>。</w:t>
      </w:r>
    </w:p>
    <w:p>
      <w:pPr>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或经电子签章的政采云平台上传文件，下同），并由磋商供应商代表签字。磋商轮次最多不超过3轮。</w:t>
      </w:r>
    </w:p>
    <w:p>
      <w:pPr>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pPr>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8、在磋商过程中，磋商供应商不得向磋商小组成员询问磋商情况，不得进行旨在影响磋商结果的活动，否则将取消其磋商资格。</w:t>
      </w:r>
    </w:p>
    <w:p>
      <w:pPr>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9、在磋商过程中，磋商小组成员不得与磋商供应商私下交换意见，在竞争性磋商结束后，凡与磋商情况有接触的人不得将磋商情况扩散出磋商小组成员外。</w:t>
      </w:r>
    </w:p>
    <w:p>
      <w:pPr>
        <w:pageBreakBefore w:val="0"/>
        <w:kinsoku/>
        <w:wordWrap/>
        <w:overflowPunct/>
        <w:topLinePunct w:val="0"/>
        <w:bidi w:val="0"/>
        <w:spacing w:line="400" w:lineRule="exact"/>
        <w:ind w:left="-336" w:leftChars="-160" w:right="-370" w:rightChars="-176" w:firstLine="458"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10、磋商结束后，磋商小组将要求磋商供应商在规定的时间内，统一进行最后报价，最后报价不得高于首次报价（磋商小组另有决议的除外）。</w:t>
      </w:r>
    </w:p>
    <w:p>
      <w:pPr>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11、宣布评分结果以及最终报价</w:t>
      </w:r>
    </w:p>
    <w:p>
      <w:pPr>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宣布评分结果以及最终报价在政采云电子招投标开标及评审程序中进行。</w:t>
      </w:r>
    </w:p>
    <w:p>
      <w:pPr>
        <w:pStyle w:val="5"/>
        <w:pageBreakBefore w:val="0"/>
        <w:kinsoku/>
        <w:wordWrap/>
        <w:overflowPunct/>
        <w:topLinePunct w:val="0"/>
        <w:bidi w:val="0"/>
        <w:spacing w:before="0" w:beforeLines="0" w:after="0" w:afterLines="0" w:line="400" w:lineRule="exact"/>
        <w:ind w:left="-336" w:leftChars="-160" w:right="-370" w:rightChars="-176" w:firstLine="458"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（二）澄清问题的形式</w:t>
      </w:r>
    </w:p>
    <w:p>
      <w:pPr>
        <w:pageBreakBefore w:val="0"/>
        <w:kinsoku/>
        <w:wordWrap/>
        <w:overflowPunct/>
        <w:topLinePunct w:val="0"/>
        <w:bidi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磋商供应商的澄清、说明或者补正应当采用书面形式，并加盖公章，或者由法定代理人或其授权的代表签字，并不得超出磋商响应文件的范围或者改变磋商响应文件的实质性内容。</w:t>
      </w:r>
    </w:p>
    <w:p>
      <w:pPr>
        <w:pStyle w:val="5"/>
        <w:pageBreakBefore w:val="0"/>
        <w:kinsoku/>
        <w:wordWrap/>
        <w:overflowPunct/>
        <w:topLinePunct w:val="0"/>
        <w:bidi w:val="0"/>
        <w:spacing w:before="0" w:beforeLines="0" w:after="0" w:afterLines="0" w:line="400" w:lineRule="exact"/>
        <w:ind w:left="-336" w:leftChars="-160" w:right="-370" w:rightChars="-176" w:firstLine="458"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（三）错误修正</w:t>
      </w:r>
    </w:p>
    <w:p>
      <w:pPr>
        <w:pStyle w:val="31"/>
        <w:pageBreakBefore w:val="0"/>
        <w:kinsoku/>
        <w:wordWrap/>
        <w:overflowPunct/>
        <w:topLinePunct w:val="0"/>
        <w:bidi w:val="0"/>
        <w:spacing w:before="0" w:beforeLines="0" w:beforeAutospacing="0" w:after="0" w:afterLines="0" w:afterAutospacing="0" w:line="400" w:lineRule="exact"/>
        <w:ind w:left="-336" w:leftChars="-160" w:right="-370" w:rightChars="-176" w:firstLine="456" w:firstLineChars="19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磋商响应文件报价出现前后不一致的，除</w:t>
      </w:r>
      <w:r>
        <w:rPr>
          <w:rFonts w:hint="eastAsia" w:ascii="宋体" w:hAnsi="宋体" w:eastAsia="宋体" w:cs="宋体"/>
          <w:bCs/>
          <w:color w:val="000000" w:themeColor="text1"/>
          <w:highlight w:val="none"/>
          <w14:textFill>
            <w14:solidFill>
              <w14:schemeClr w14:val="tx1"/>
            </w14:solidFill>
          </w14:textFill>
        </w:rPr>
        <w:t>磋商采购文件</w:t>
      </w:r>
      <w:r>
        <w:rPr>
          <w:rFonts w:hint="eastAsia" w:ascii="宋体" w:hAnsi="宋体" w:eastAsia="宋体" w:cs="宋体"/>
          <w:color w:val="000000" w:themeColor="text1"/>
          <w:highlight w:val="none"/>
          <w14:textFill>
            <w14:solidFill>
              <w14:schemeClr w14:val="tx1"/>
            </w14:solidFill>
          </w14:textFill>
        </w:rPr>
        <w:t>另有规定外，按照下列规定修正：</w:t>
      </w:r>
    </w:p>
    <w:p>
      <w:pPr>
        <w:pStyle w:val="31"/>
        <w:pageBreakBefore w:val="0"/>
        <w:kinsoku/>
        <w:wordWrap/>
        <w:overflowPunct/>
        <w:topLinePunct w:val="0"/>
        <w:bidi w:val="0"/>
        <w:spacing w:before="0" w:beforeLines="0" w:beforeAutospacing="0" w:after="0" w:afterLines="0" w:afterAutospacing="0" w:line="400" w:lineRule="exact"/>
        <w:ind w:left="-336" w:leftChars="-160" w:right="-370" w:rightChars="-176" w:firstLine="456" w:firstLineChars="19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1、磋商响应文件中首次报价一览表内容与磋商响应文件中相应内容不一致的，以首次报价一览表为准；</w:t>
      </w:r>
    </w:p>
    <w:p>
      <w:pPr>
        <w:pStyle w:val="31"/>
        <w:pageBreakBefore w:val="0"/>
        <w:kinsoku/>
        <w:wordWrap/>
        <w:overflowPunct/>
        <w:topLinePunct w:val="0"/>
        <w:bidi w:val="0"/>
        <w:spacing w:before="0" w:beforeLines="0" w:beforeAutospacing="0" w:after="0" w:afterLines="0" w:afterAutospacing="0" w:line="400" w:lineRule="exact"/>
        <w:ind w:left="-336" w:leftChars="-160" w:right="-370" w:rightChars="-176" w:firstLine="456" w:firstLineChars="19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2、大写金额和小写金额不一致的，以大写金额为准；</w:t>
      </w:r>
    </w:p>
    <w:p>
      <w:pPr>
        <w:pStyle w:val="31"/>
        <w:pageBreakBefore w:val="0"/>
        <w:kinsoku/>
        <w:wordWrap/>
        <w:overflowPunct/>
        <w:topLinePunct w:val="0"/>
        <w:bidi w:val="0"/>
        <w:spacing w:before="0" w:beforeLines="0" w:beforeAutospacing="0" w:after="0" w:afterLines="0" w:afterAutospacing="0" w:line="400" w:lineRule="exact"/>
        <w:ind w:left="-336" w:leftChars="-160" w:right="-370" w:rightChars="-176" w:firstLine="456" w:firstLineChars="19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3、单价金额小数点或者百分比有明显错位的，以首次报价一览表的总价为准，并修改单价；</w:t>
      </w:r>
    </w:p>
    <w:p>
      <w:pPr>
        <w:pStyle w:val="31"/>
        <w:pageBreakBefore w:val="0"/>
        <w:kinsoku/>
        <w:wordWrap/>
        <w:overflowPunct/>
        <w:topLinePunct w:val="0"/>
        <w:bidi w:val="0"/>
        <w:spacing w:before="0" w:beforeLines="0" w:beforeAutospacing="0" w:after="0" w:afterLines="0" w:afterAutospacing="0" w:line="400" w:lineRule="exact"/>
        <w:ind w:left="-336" w:leftChars="-160" w:right="-370" w:rightChars="-176" w:firstLine="456" w:firstLineChars="19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4、总价金额与按单价汇总金额不一致的，以单价金额计算结果为准。</w:t>
      </w:r>
    </w:p>
    <w:p>
      <w:pPr>
        <w:pStyle w:val="31"/>
        <w:pageBreakBefore w:val="0"/>
        <w:kinsoku/>
        <w:wordWrap/>
        <w:overflowPunct/>
        <w:topLinePunct w:val="0"/>
        <w:bidi w:val="0"/>
        <w:spacing w:before="0" w:beforeLines="0" w:beforeAutospacing="0" w:after="0" w:afterLines="0" w:afterAutospacing="0" w:line="400" w:lineRule="exact"/>
        <w:ind w:left="-336" w:leftChars="-160" w:right="-370" w:rightChars="-176" w:firstLine="456" w:firstLineChars="19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pStyle w:val="5"/>
        <w:pageBreakBefore w:val="0"/>
        <w:kinsoku/>
        <w:wordWrap/>
        <w:overflowPunct/>
        <w:topLinePunct w:val="0"/>
        <w:bidi w:val="0"/>
        <w:spacing w:before="0" w:beforeLines="0" w:after="0" w:afterLines="0" w:line="400" w:lineRule="exact"/>
        <w:ind w:left="-336" w:leftChars="-160" w:right="-370" w:rightChars="-176" w:firstLine="458"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（四）磋商供应商存在下列情况之一的，响应无效，终止磋商</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1、实质上没有响应磋商文件要求的磋商响应文件将被视为无效磋商。供应商不得通过修正或撤消不合要求的偏离或保留从而使其磋商成为实质上响应的磋商。如发生下列情况之一的，其磋商响应文件视为无效：</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2、未提交电子磋商响应文件的；</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3、供应商仅提交备份电子磋商响应文件的；</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4、采用电子投标的，电子磋商响应文件未在规定时间内解密的（出现特殊情况，采用介质存储的数据电文形式的备份响应文件开标、评标的情形除外）；</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5、磋商响应文件未有效授权的；</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6、供应商未按磋商文件规定参加磋商的；</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7、未按规定要求盖章和签字（包括CA签章）的；</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8、磋商小组认为供应商的报价明显低于其他通过符合性审查供应商的报价，有可能影响产品质量或者不能诚信履约的，应当要求其在磋商合理的时间内提供书面说明，必要时提交相关证明材料；关于不能证明其报价合理性的，磋商小组应当将其作为无效投标处理；</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9、未按规定要求递交资格文件、商务技术文件、报价文件的磋商响应文件的；</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10、同一供应商最终报价具有选择性（即出现二个及以上投标总报价的）；</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11、符合竞争性磋商文件中明确作无效标处理或被拒绝的条款；</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12、报价超出磋商文件中规定的预算金额或者最高限价的；</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13、提供虚假材料谋取成交的；</w:t>
      </w:r>
    </w:p>
    <w:p>
      <w:pPr>
        <w:pageBreakBefore w:val="0"/>
        <w:kinsoku/>
        <w:wordWrap/>
        <w:overflowPunct/>
        <w:topLinePunct w:val="0"/>
        <w:autoSpaceDE w:val="0"/>
        <w:autoSpaceDN w:val="0"/>
        <w:bidi w:val="0"/>
        <w:adjustRightInd w:val="0"/>
        <w:spacing w:line="400" w:lineRule="exact"/>
        <w:ind w:left="-336" w:leftChars="-160" w:right="-370" w:rightChars="-176" w:firstLine="456" w:firstLineChars="19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14、不符合法律、法规和磋商文件规定的其他实质性要求的。</w:t>
      </w:r>
    </w:p>
    <w:p>
      <w:pPr>
        <w:pStyle w:val="5"/>
        <w:pageBreakBefore w:val="0"/>
        <w:kinsoku/>
        <w:wordWrap/>
        <w:overflowPunct/>
        <w:topLinePunct w:val="0"/>
        <w:bidi w:val="0"/>
        <w:spacing w:before="0" w:beforeLines="0" w:after="0" w:afterLines="0" w:line="400" w:lineRule="exact"/>
        <w:ind w:left="-336" w:leftChars="-160" w:right="-370" w:rightChars="-176" w:firstLine="458"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（五）有下列情况之一的，本次磋商终止。</w:t>
      </w:r>
    </w:p>
    <w:p>
      <w:pPr>
        <w:pStyle w:val="31"/>
        <w:pageBreakBefore w:val="0"/>
        <w:kinsoku/>
        <w:wordWrap/>
        <w:overflowPunct/>
        <w:topLinePunct w:val="0"/>
        <w:bidi w:val="0"/>
        <w:spacing w:before="0" w:beforeLines="0" w:beforeAutospacing="0" w:after="0" w:afterLines="0" w:afterAutospacing="0" w:line="400" w:lineRule="exact"/>
        <w:ind w:left="-336" w:leftChars="-160" w:right="-370" w:rightChars="-176" w:firstLine="456" w:firstLineChars="19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1、出现影响采购公正的违法、违规行为的；</w:t>
      </w:r>
    </w:p>
    <w:p>
      <w:pPr>
        <w:pStyle w:val="31"/>
        <w:pageBreakBefore w:val="0"/>
        <w:kinsoku/>
        <w:wordWrap/>
        <w:overflowPunct/>
        <w:topLinePunct w:val="0"/>
        <w:bidi w:val="0"/>
        <w:spacing w:before="0" w:beforeLines="0" w:beforeAutospacing="0" w:after="0" w:afterLines="0" w:afterAutospacing="0" w:line="400" w:lineRule="exact"/>
        <w:ind w:left="-336" w:leftChars="-160" w:right="-370" w:rightChars="-176" w:firstLine="456" w:firstLineChars="19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2、磋商小组发现磋商文件存在歧义、重大缺陷导致评审工作无法进行，或者磋商文件内容违反国家有关强制性规定的； </w:t>
      </w:r>
    </w:p>
    <w:p>
      <w:pPr>
        <w:pStyle w:val="31"/>
        <w:pageBreakBefore w:val="0"/>
        <w:kinsoku/>
        <w:wordWrap/>
        <w:overflowPunct/>
        <w:topLinePunct w:val="0"/>
        <w:bidi w:val="0"/>
        <w:spacing w:before="0" w:beforeLines="0" w:beforeAutospacing="0" w:after="0" w:afterLines="0" w:afterAutospacing="0" w:line="400" w:lineRule="exact"/>
        <w:ind w:left="-336" w:leftChars="-160" w:right="-370" w:rightChars="-176" w:firstLine="456" w:firstLineChars="19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3、因重大变故，采购任务取消的；</w:t>
      </w:r>
    </w:p>
    <w:p>
      <w:pPr>
        <w:pStyle w:val="31"/>
        <w:pageBreakBefore w:val="0"/>
        <w:kinsoku/>
        <w:wordWrap/>
        <w:overflowPunct/>
        <w:topLinePunct w:val="0"/>
        <w:bidi w:val="0"/>
        <w:spacing w:before="0" w:beforeLines="0" w:beforeAutospacing="0" w:after="0" w:afterLines="0" w:afterAutospacing="0" w:line="400" w:lineRule="exact"/>
        <w:ind w:left="-336" w:leftChars="-160" w:right="-370" w:rightChars="-176" w:firstLine="456" w:firstLineChars="19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4、法律、法规和磋商文件规定的其他导致评审结果无效的。</w:t>
      </w:r>
    </w:p>
    <w:p>
      <w:pPr>
        <w:pStyle w:val="5"/>
        <w:pageBreakBefore w:val="0"/>
        <w:kinsoku/>
        <w:wordWrap/>
        <w:overflowPunct/>
        <w:topLinePunct w:val="0"/>
        <w:bidi w:val="0"/>
        <w:spacing w:before="0" w:beforeLines="0" w:after="0" w:afterLines="0" w:line="400" w:lineRule="exact"/>
        <w:ind w:left="-336" w:leftChars="-160" w:right="-370" w:rightChars="-176" w:firstLine="458"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（六）磋商原则和方法</w:t>
      </w:r>
    </w:p>
    <w:p>
      <w:pPr>
        <w:pStyle w:val="19"/>
        <w:pageBreakBefore w:val="0"/>
        <w:kinsoku/>
        <w:wordWrap/>
        <w:overflowPunct/>
        <w:topLinePunct w:val="0"/>
        <w:bidi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pPr>
        <w:pStyle w:val="19"/>
        <w:pageBreakBefore w:val="0"/>
        <w:kinsoku/>
        <w:wordWrap/>
        <w:overflowPunct/>
        <w:topLinePunct w:val="0"/>
        <w:bidi w:val="0"/>
        <w:snapToGrid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2、磋商办法。具体磋商内容及评分标准等详见《第三章：评审方法及评分标准》。</w:t>
      </w:r>
    </w:p>
    <w:p>
      <w:pPr>
        <w:pStyle w:val="5"/>
        <w:pageBreakBefore w:val="0"/>
        <w:kinsoku/>
        <w:wordWrap/>
        <w:overflowPunct/>
        <w:topLinePunct w:val="0"/>
        <w:bidi w:val="0"/>
        <w:spacing w:before="0" w:beforeLines="0" w:after="0" w:afterLines="0" w:line="400" w:lineRule="exact"/>
        <w:ind w:left="-336" w:leftChars="-160" w:right="-370" w:rightChars="-176" w:firstLine="458"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（七）评审过程的监控</w:t>
      </w:r>
    </w:p>
    <w:p>
      <w:pPr>
        <w:pStyle w:val="31"/>
        <w:pageBreakBefore w:val="0"/>
        <w:kinsoku/>
        <w:wordWrap/>
        <w:overflowPunct/>
        <w:topLinePunct w:val="0"/>
        <w:bidi w:val="0"/>
        <w:spacing w:before="0" w:beforeLines="0" w:beforeAutospacing="0" w:after="0" w:afterLines="0" w:afterAutospacing="0" w:line="400" w:lineRule="exact"/>
        <w:ind w:left="-336" w:leftChars="-160" w:right="-370" w:rightChars="-176" w:firstLine="456" w:firstLineChars="19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pPr>
        <w:pStyle w:val="4"/>
        <w:pageBreakBefore w:val="0"/>
        <w:kinsoku/>
        <w:wordWrap/>
        <w:overflowPunct/>
        <w:topLinePunct w:val="0"/>
        <w:bidi w:val="0"/>
        <w:spacing w:before="0" w:beforeLines="0" w:after="0" w:afterLines="0" w:line="400" w:lineRule="exact"/>
        <w:ind w:left="-336" w:leftChars="-160" w:right="-370" w:rightChars="-176" w:firstLine="458" w:firstLineChars="19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四、磋商结果确定</w:t>
      </w:r>
    </w:p>
    <w:p>
      <w:pPr>
        <w:pStyle w:val="31"/>
        <w:pageBreakBefore w:val="0"/>
        <w:kinsoku/>
        <w:wordWrap/>
        <w:overflowPunct/>
        <w:topLinePunct w:val="0"/>
        <w:bidi w:val="0"/>
        <w:spacing w:before="0" w:beforeLines="0" w:beforeAutospacing="0" w:after="0" w:afterLines="0" w:afterAutospacing="0" w:line="400" w:lineRule="exact"/>
        <w:ind w:left="-336" w:leftChars="-160" w:right="-370" w:rightChars="-176" w:firstLine="456" w:firstLineChars="19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2、发布成交结果公告。采购组织机构应当在成交供应商确定后2个工作日内，在省级以上财政部门指定的政府采购信息发布媒体及相关网站上公告成交结果，并将磋商文件随同公告。</w:t>
      </w:r>
    </w:p>
    <w:p>
      <w:pPr>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3、发出成交通知书。采购组织机构在发布成交结果同时，向成交供应商发出成交通知书。</w:t>
      </w:r>
    </w:p>
    <w:p>
      <w:pPr>
        <w:pStyle w:val="4"/>
        <w:pageBreakBefore w:val="0"/>
        <w:kinsoku/>
        <w:wordWrap/>
        <w:overflowPunct/>
        <w:topLinePunct w:val="0"/>
        <w:bidi w:val="0"/>
        <w:spacing w:before="0" w:beforeLines="0" w:after="0" w:afterLines="0" w:line="400" w:lineRule="exact"/>
        <w:ind w:left="-336" w:leftChars="-160" w:right="-370" w:rightChars="-176" w:firstLine="458" w:firstLineChars="19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五、合同签订及公告</w:t>
      </w:r>
    </w:p>
    <w:p>
      <w:pPr>
        <w:pStyle w:val="5"/>
        <w:pageBreakBefore w:val="0"/>
        <w:kinsoku/>
        <w:wordWrap/>
        <w:overflowPunct/>
        <w:topLinePunct w:val="0"/>
        <w:bidi w:val="0"/>
        <w:spacing w:before="0" w:beforeLines="0" w:after="0" w:afterLines="0" w:line="400" w:lineRule="exact"/>
        <w:ind w:left="-336" w:leftChars="-160" w:right="-370" w:rightChars="-176" w:firstLine="458"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（一）签订合同</w:t>
      </w:r>
    </w:p>
    <w:p>
      <w:pPr>
        <w:pStyle w:val="11"/>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1．采购人应当自成交通知书发出之日起10个工作日内，按照磋商采购文件确定的合同文本以及采购标的、规格型号、采购金额、采购数量和服务要求等事项签订政府采购合同。</w:t>
      </w:r>
    </w:p>
    <w:p>
      <w:pPr>
        <w:pStyle w:val="31"/>
        <w:pageBreakBefore w:val="0"/>
        <w:kinsoku/>
        <w:wordWrap/>
        <w:overflowPunct/>
        <w:topLinePunct w:val="0"/>
        <w:bidi w:val="0"/>
        <w:spacing w:before="0" w:beforeLines="0" w:beforeAutospacing="0" w:after="0" w:afterLines="0" w:afterAutospacing="0" w:line="400" w:lineRule="exact"/>
        <w:ind w:left="-336" w:leftChars="-160" w:right="-370" w:rightChars="-176" w:firstLine="456" w:firstLineChars="19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31"/>
        <w:pageBreakBefore w:val="0"/>
        <w:kinsoku/>
        <w:wordWrap/>
        <w:overflowPunct/>
        <w:topLinePunct w:val="0"/>
        <w:bidi w:val="0"/>
        <w:spacing w:before="0" w:beforeLines="0" w:beforeAutospacing="0" w:after="0" w:afterLines="0" w:afterAutospacing="0" w:line="400" w:lineRule="exact"/>
        <w:ind w:left="-336" w:leftChars="-160" w:right="-370" w:rightChars="-176" w:firstLine="456" w:firstLineChars="19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3．成交供应商无故拖延、拒签合同的,取消成交资格。</w:t>
      </w:r>
    </w:p>
    <w:p>
      <w:pPr>
        <w:pStyle w:val="31"/>
        <w:pageBreakBefore w:val="0"/>
        <w:kinsoku/>
        <w:wordWrap/>
        <w:overflowPunct/>
        <w:topLinePunct w:val="0"/>
        <w:bidi w:val="0"/>
        <w:spacing w:before="0" w:beforeLines="0" w:beforeAutospacing="0" w:after="0" w:afterLines="0" w:afterAutospacing="0" w:line="400" w:lineRule="exact"/>
        <w:ind w:left="-336" w:leftChars="-160" w:right="-370" w:rightChars="-176" w:firstLine="456" w:firstLineChars="19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31"/>
        <w:pageBreakBefore w:val="0"/>
        <w:kinsoku/>
        <w:wordWrap/>
        <w:overflowPunct/>
        <w:topLinePunct w:val="0"/>
        <w:bidi w:val="0"/>
        <w:spacing w:before="0" w:beforeLines="0" w:beforeAutospacing="0" w:after="0" w:afterLines="0" w:afterAutospacing="0" w:line="400" w:lineRule="exact"/>
        <w:ind w:left="-336" w:leftChars="-160" w:right="-370" w:rightChars="-176" w:firstLine="456" w:firstLineChars="19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pPr>
        <w:pStyle w:val="5"/>
        <w:pageBreakBefore w:val="0"/>
        <w:kinsoku/>
        <w:wordWrap/>
        <w:overflowPunct/>
        <w:topLinePunct w:val="0"/>
        <w:bidi w:val="0"/>
        <w:spacing w:before="0" w:beforeLines="0" w:after="0" w:afterLines="0" w:line="400" w:lineRule="exact"/>
        <w:ind w:left="-336" w:leftChars="-160" w:right="-370" w:rightChars="-176" w:firstLine="458" w:firstLineChars="19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（二）合同公告及备案</w:t>
      </w:r>
    </w:p>
    <w:p>
      <w:pPr>
        <w:pStyle w:val="11"/>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1．采购人应当自政府采购合同签订之日起2个工作日内，在省级以上财政部门指定的政府采购信息发布媒体及相关网站上公告。</w:t>
      </w:r>
    </w:p>
    <w:p>
      <w:pPr>
        <w:pStyle w:val="11"/>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4"/>
        <w:pageBreakBefore w:val="0"/>
        <w:kinsoku/>
        <w:wordWrap/>
        <w:overflowPunct/>
        <w:topLinePunct w:val="0"/>
        <w:bidi w:val="0"/>
        <w:spacing w:before="0" w:beforeLines="0" w:after="0" w:afterLines="0" w:line="400" w:lineRule="exact"/>
        <w:ind w:left="-336" w:leftChars="-160" w:right="-370" w:rightChars="-176" w:firstLine="458" w:firstLineChars="19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六、采购代理费</w:t>
      </w:r>
    </w:p>
    <w:p>
      <w:pPr>
        <w:pStyle w:val="11"/>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成交供应商在领取成交通知书前须支付采购代理费人民币</w:t>
      </w:r>
      <w:r>
        <w:rPr>
          <w:rFonts w:hint="eastAsia" w:hAnsi="宋体" w:cs="宋体"/>
          <w:color w:val="000000" w:themeColor="text1"/>
          <w:sz w:val="24"/>
          <w:highlight w:val="none"/>
          <w:lang w:val="en-US" w:eastAsia="zh-CN"/>
          <w14:textFill>
            <w14:solidFill>
              <w14:schemeClr w14:val="tx1"/>
            </w14:solidFill>
          </w14:textFill>
        </w:rPr>
        <w:t>捌仟元</w:t>
      </w:r>
      <w:r>
        <w:rPr>
          <w:rFonts w:hint="eastAsia" w:ascii="宋体" w:hAnsi="宋体" w:eastAsia="宋体" w:cs="宋体"/>
          <w:color w:val="000000" w:themeColor="text1"/>
          <w:sz w:val="24"/>
          <w:highlight w:val="none"/>
          <w14:textFill>
            <w14:solidFill>
              <w14:schemeClr w14:val="tx1"/>
            </w14:solidFill>
          </w14:textFill>
        </w:rPr>
        <w:t>，采购代理费包含在投标总价中。招标代理服务费汇入以下账户：</w:t>
      </w:r>
    </w:p>
    <w:p>
      <w:pPr>
        <w:pStyle w:val="11"/>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开户名称：杭州华旗招标代理有限公司玉环分公司</w:t>
      </w:r>
    </w:p>
    <w:p>
      <w:pPr>
        <w:pStyle w:val="11"/>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开户银行：浙江玉环农村商业银行股份有限公司营业部</w:t>
      </w:r>
    </w:p>
    <w:p>
      <w:pPr>
        <w:pStyle w:val="11"/>
        <w:pageBreakBefore w:val="0"/>
        <w:kinsoku/>
        <w:wordWrap/>
        <w:overflowPunct/>
        <w:topLinePunct w:val="0"/>
        <w:bidi w:val="0"/>
        <w:spacing w:line="400" w:lineRule="exact"/>
        <w:ind w:left="-336" w:leftChars="-160" w:right="-370" w:rightChars="-176" w:firstLine="456" w:firstLineChars="19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开户账号：201000355923625</w:t>
      </w:r>
    </w:p>
    <w:p>
      <w:pPr>
        <w:pStyle w:val="11"/>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p>
    <w:p>
      <w:pPr>
        <w:pStyle w:val="32"/>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2"/>
        <w:spacing w:before="0" w:after="0" w:line="560" w:lineRule="atLeas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第三章　评审办法及评审标准</w:t>
      </w:r>
    </w:p>
    <w:p>
      <w:pPr>
        <w:keepNext w:val="0"/>
        <w:keepLines w:val="0"/>
        <w:pageBreakBefore w:val="0"/>
        <w:widowControl w:val="0"/>
        <w:kinsoku/>
        <w:wordWrap/>
        <w:overflowPunct/>
        <w:topLinePunct w:val="0"/>
        <w:autoSpaceDE w:val="0"/>
        <w:autoSpaceDN w:val="0"/>
        <w:bidi w:val="0"/>
        <w:snapToGrid/>
        <w:spacing w:line="400" w:lineRule="exact"/>
        <w:ind w:left="-336" w:leftChars="-160" w:right="-414" w:rightChars="-197" w:firstLine="477" w:firstLineChars="199"/>
        <w:textAlignment w:val="auto"/>
        <w:rPr>
          <w:rFonts w:hint="eastAsia" w:ascii="宋体" w:hAnsi="宋体" w:eastAsia="宋体" w:cs="宋体"/>
          <w:b/>
          <w:i/>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一、采购组织机构将组织</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color w:val="000000" w:themeColor="text1"/>
          <w:kern w:val="0"/>
          <w:sz w:val="24"/>
          <w:highlight w:val="none"/>
          <w14:textFill>
            <w14:solidFill>
              <w14:schemeClr w14:val="tx1"/>
            </w14:solidFill>
          </w14:textFill>
        </w:rPr>
        <w:t>，对</w:t>
      </w: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提供的</w:t>
      </w:r>
      <w:r>
        <w:rPr>
          <w:rFonts w:hint="eastAsia" w:ascii="宋体" w:hAnsi="宋体" w:eastAsia="宋体" w:cs="宋体"/>
          <w:color w:val="000000" w:themeColor="text1"/>
          <w:sz w:val="24"/>
          <w:highlight w:val="none"/>
          <w14:textFill>
            <w14:solidFill>
              <w14:schemeClr w14:val="tx1"/>
            </w14:solidFill>
          </w14:textFill>
        </w:rPr>
        <w:t>磋商响应文件</w:t>
      </w:r>
      <w:r>
        <w:rPr>
          <w:rFonts w:hint="eastAsia" w:ascii="宋体" w:hAnsi="宋体" w:eastAsia="宋体" w:cs="宋体"/>
          <w:color w:val="000000" w:themeColor="text1"/>
          <w:kern w:val="0"/>
          <w:sz w:val="24"/>
          <w:highlight w:val="none"/>
          <w14:textFill>
            <w14:solidFill>
              <w14:schemeClr w14:val="tx1"/>
            </w14:solidFill>
          </w14:textFill>
        </w:rPr>
        <w:t xml:space="preserve">进行综合评审。   </w:t>
      </w:r>
    </w:p>
    <w:p>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9" w:firstLineChars="199"/>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二、本次磋商项目的评审方法为综合评分法，总计100分。</w:t>
      </w:r>
    </w:p>
    <w:p>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9" w:firstLineChars="199"/>
        <w:textAlignment w:val="auto"/>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报价评分</w:t>
      </w:r>
      <w:r>
        <w:rPr>
          <w:rFonts w:hint="eastAsia" w:ascii="宋体" w:hAnsi="宋体" w:cs="宋体"/>
          <w:b/>
          <w:bCs/>
          <w:color w:val="000000" w:themeColor="text1"/>
          <w:sz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highlight w:val="none"/>
          <w:lang w:val="en-US" w:eastAsia="zh-CN"/>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 xml:space="preserve">分，商务技术、服务、资信综合评分 </w:t>
      </w: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eastAsia="宋体" w:cs="宋体"/>
          <w:b/>
          <w:bCs/>
          <w:color w:val="000000" w:themeColor="text1"/>
          <w:sz w:val="24"/>
          <w:highlight w:val="none"/>
          <w:lang w:val="en-US" w:eastAsia="zh-CN"/>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7" w:firstLineChars="199"/>
        <w:textAlignment w:val="auto"/>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（一）商务与技术文件中的客观分由</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bCs/>
          <w:color w:val="000000" w:themeColor="text1"/>
          <w:sz w:val="24"/>
          <w:highlight w:val="none"/>
          <w:lang w:val="zh-CN"/>
          <w14:textFill>
            <w14:solidFill>
              <w14:schemeClr w14:val="tx1"/>
            </w14:solidFill>
          </w14:textFill>
        </w:rPr>
        <w:t>讨论后统一打分；其余在规定的分值内单独评定打分。</w:t>
      </w:r>
    </w:p>
    <w:p>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7" w:firstLineChars="199"/>
        <w:textAlignment w:val="auto"/>
        <w:rPr>
          <w:rFonts w:hint="eastAsia" w:ascii="宋体" w:hAnsi="宋体" w:eastAsia="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（二）各磋商供应商商务与技术文件</w:t>
      </w:r>
      <w:r>
        <w:rPr>
          <w:rFonts w:hint="eastAsia" w:ascii="宋体" w:hAnsi="宋体" w:eastAsia="宋体" w:cs="宋体"/>
          <w:color w:val="000000" w:themeColor="text1"/>
          <w:kern w:val="0"/>
          <w:sz w:val="24"/>
          <w:highlight w:val="none"/>
          <w:lang w:val="zh-CN"/>
          <w14:textFill>
            <w14:solidFill>
              <w14:schemeClr w14:val="tx1"/>
            </w14:solidFill>
          </w14:textFill>
        </w:rPr>
        <w:t>得分按照</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color w:val="000000" w:themeColor="text1"/>
          <w:kern w:val="0"/>
          <w:sz w:val="24"/>
          <w:highlight w:val="none"/>
          <w:lang w:val="zh-CN"/>
          <w14:textFill>
            <w14:solidFill>
              <w14:schemeClr w14:val="tx1"/>
            </w14:solidFill>
          </w14:textFill>
        </w:rPr>
        <w:t>成</w:t>
      </w:r>
      <w:r>
        <w:rPr>
          <w:rFonts w:hint="eastAsia" w:ascii="宋体" w:hAnsi="宋体" w:eastAsia="宋体" w:cs="宋体"/>
          <w:bCs/>
          <w:color w:val="000000" w:themeColor="text1"/>
          <w:sz w:val="24"/>
          <w:highlight w:val="none"/>
          <w:lang w:val="zh-CN"/>
          <w14:textFill>
            <w14:solidFill>
              <w14:schemeClr w14:val="tx1"/>
            </w14:solidFill>
          </w14:textFill>
        </w:rPr>
        <w:t>员的独立评分结果汇总后的算术平均分计算，计算公式为：</w:t>
      </w:r>
    </w:p>
    <w:p>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7" w:firstLineChars="199"/>
        <w:textAlignment w:val="auto"/>
        <w:rPr>
          <w:rFonts w:hint="eastAsia" w:ascii="宋体" w:hAnsi="宋体" w:eastAsia="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商务与技术文件得分</w:t>
      </w:r>
      <w:r>
        <w:rPr>
          <w:rFonts w:hint="eastAsia" w:ascii="宋体" w:hAnsi="宋体" w:eastAsia="宋体" w:cs="宋体"/>
          <w:bCs/>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bCs/>
          <w:color w:val="000000" w:themeColor="text1"/>
          <w:sz w:val="24"/>
          <w:highlight w:val="none"/>
          <w:lang w:val="zh-CN"/>
          <w14:textFill>
            <w14:solidFill>
              <w14:schemeClr w14:val="tx1"/>
            </w14:solidFill>
          </w14:textFill>
        </w:rPr>
        <w:t>所有成员评分合计数/</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bCs/>
          <w:color w:val="000000" w:themeColor="text1"/>
          <w:sz w:val="24"/>
          <w:highlight w:val="none"/>
          <w:lang w:val="zh-CN"/>
          <w14:textFill>
            <w14:solidFill>
              <w14:schemeClr w14:val="tx1"/>
            </w14:solidFill>
          </w14:textFill>
        </w:rPr>
        <w:t>组成人员数。</w:t>
      </w:r>
    </w:p>
    <w:p>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7" w:firstLineChars="199"/>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（三）</w:t>
      </w:r>
      <w:r>
        <w:rPr>
          <w:rFonts w:hint="eastAsia" w:ascii="宋体" w:hAnsi="宋体" w:eastAsia="宋体" w:cs="宋体"/>
          <w:color w:val="000000" w:themeColor="text1"/>
          <w:sz w:val="24"/>
          <w:highlight w:val="none"/>
          <w:u w:val="single"/>
          <w14:textFill>
            <w14:solidFill>
              <w14:schemeClr w14:val="tx1"/>
            </w14:solidFill>
          </w14:textFill>
        </w:rPr>
        <w:t>综合评分法中的价格分统一</w:t>
      </w:r>
      <w:r>
        <w:rPr>
          <w:rFonts w:hint="eastAsia" w:ascii="宋体" w:hAnsi="宋体" w:eastAsia="宋体" w:cs="宋体"/>
          <w:color w:val="000000" w:themeColor="text1"/>
          <w:sz w:val="24"/>
          <w:highlight w:val="none"/>
          <w:lang w:val="zh-CN"/>
          <w14:textFill>
            <w14:solidFill>
              <w14:schemeClr w14:val="tx1"/>
            </w14:solidFill>
          </w14:textFill>
        </w:rPr>
        <w:t>采用低价优先法计算，即满足磋商文件要求且最后报价最低的供应商的价格作为磋商基准价，其报价得满分。其他供应商的价格分统一按照下列公式计算：</w:t>
      </w:r>
    </w:p>
    <w:p>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7" w:firstLineChars="199"/>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磋商报价得分=(</w:t>
      </w:r>
      <w:r>
        <w:rPr>
          <w:rFonts w:hint="eastAsia" w:ascii="宋体" w:hAnsi="宋体" w:eastAsia="宋体" w:cs="宋体"/>
          <w:color w:val="000000" w:themeColor="text1"/>
          <w:sz w:val="24"/>
          <w:highlight w:val="none"/>
          <w:u w:val="single"/>
          <w:lang w:val="zh-CN"/>
          <w14:textFill>
            <w14:solidFill>
              <w14:schemeClr w14:val="tx1"/>
            </w14:solidFill>
          </w14:textFill>
        </w:rPr>
        <w:t>磋商基准价</w:t>
      </w:r>
      <w:r>
        <w:rPr>
          <w:rFonts w:hint="eastAsia" w:ascii="宋体" w:hAnsi="宋体" w:eastAsia="宋体" w:cs="宋体"/>
          <w:color w:val="000000" w:themeColor="text1"/>
          <w:sz w:val="24"/>
          <w:highlight w:val="none"/>
          <w:u w:val="single"/>
          <w14:textFill>
            <w14:solidFill>
              <w14:schemeClr w14:val="tx1"/>
            </w14:solidFill>
          </w14:textFill>
        </w:rPr>
        <w:t>／最后磋商报价)×</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highlight w:val="none"/>
          <w:u w:val="single"/>
          <w14:textFill>
            <w14:solidFill>
              <w14:schemeClr w14:val="tx1"/>
            </w14:solidFill>
          </w14:textFill>
        </w:rPr>
        <w:t>%×100 。</w:t>
      </w:r>
    </w:p>
    <w:p>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7" w:firstLineChars="199"/>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三、在最大限度地满足磋商文件实质性要求前提下，</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color w:val="000000" w:themeColor="text1"/>
          <w:sz w:val="24"/>
          <w:highlight w:val="none"/>
          <w:lang w:val="zh-CN"/>
          <w14:textFill>
            <w14:solidFill>
              <w14:schemeClr w14:val="tx1"/>
            </w14:solidFill>
          </w14:textFill>
        </w:rPr>
        <w:t>按照磋商文件中规定的各项因素进行综合评审后，以评审总得分最高的供应商为成交候选供应商。</w:t>
      </w:r>
    </w:p>
    <w:p>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7" w:firstLineChars="199"/>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四、如综合得分相同，最后报价低者为先；如综合得分且最后报价相同的，货物类采购项目以技术性能得分较高者为先，服务类采购项目以实力信誉及业绩得分较高者为先。</w:t>
      </w:r>
    </w:p>
    <w:p>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7" w:firstLineChars="199"/>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五、提供相同品牌产品的不同供应商参加同一合同项下磋商的，按一家供应商认定：（1）采用最低评标价法的采购项目，以其中通过资格审查、符合性审查且报价最低的参加评标；报价相同的，由</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color w:val="000000" w:themeColor="text1"/>
          <w:sz w:val="24"/>
          <w:highlight w:val="none"/>
          <w:lang w:val="zh-CN"/>
          <w14:textFill>
            <w14:solidFill>
              <w14:schemeClr w14:val="tx1"/>
            </w14:solidFill>
          </w14:textFill>
        </w:rPr>
        <w:t>集体确定一个供应商参加磋商，其他供应商不再参加。（2）使用综合评分法的采购项目，评审后得分最高的同品牌供应商获得成交推荐资格；评审得分相同的，由</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color w:val="000000" w:themeColor="text1"/>
          <w:sz w:val="24"/>
          <w:highlight w:val="none"/>
          <w:lang w:val="zh-CN"/>
          <w14:textFill>
            <w14:solidFill>
              <w14:schemeClr w14:val="tx1"/>
            </w14:solidFill>
          </w14:textFill>
        </w:rPr>
        <w:t>集体推荐一个供应商作为成交候选人，其他同品牌供应商不作为成交候选人。</w:t>
      </w:r>
    </w:p>
    <w:p>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7" w:firstLineChars="199"/>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六、本次评分具体分值细化条款如下表：</w:t>
      </w:r>
    </w:p>
    <w:tbl>
      <w:tblPr>
        <w:tblStyle w:val="35"/>
        <w:tblW w:w="54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416"/>
        <w:gridCol w:w="615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763"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评审内容</w:t>
            </w:r>
          </w:p>
        </w:tc>
        <w:tc>
          <w:tcPr>
            <w:tcW w:w="3317"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评分标准</w:t>
            </w:r>
          </w:p>
        </w:tc>
        <w:tc>
          <w:tcPr>
            <w:tcW w:w="541"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763"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企业业绩</w:t>
            </w:r>
          </w:p>
        </w:tc>
        <w:tc>
          <w:tcPr>
            <w:tcW w:w="3317" w:type="pct"/>
            <w:shd w:val="clear" w:color="auto" w:fill="auto"/>
            <w:vAlign w:val="center"/>
          </w:tcPr>
          <w:p>
            <w:pPr>
              <w:pStyle w:val="9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投标人自2021年1月1日起(以合同签订时间为准) 承接过类似服务内容(至少包括PPP绩效考核、PPP付费核算及PPP项目数字化服务)的PPP咨询业绩，每有1个得1分，最高2分。</w:t>
            </w:r>
          </w:p>
          <w:p>
            <w:pPr>
              <w:pStyle w:val="9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证明材料：须同时提供咨询服务合同关键页(封面页、盖章页及合同内容关键页)、中标通知书。</w:t>
            </w:r>
          </w:p>
        </w:tc>
        <w:tc>
          <w:tcPr>
            <w:tcW w:w="541"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763"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企业实力</w:t>
            </w:r>
          </w:p>
        </w:tc>
        <w:tc>
          <w:tcPr>
            <w:tcW w:w="3317"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kern w:val="2"/>
                <w:sz w:val="24"/>
                <w:szCs w:val="24"/>
                <w:highlight w:val="green"/>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1.投标人具有 PPP 咨询专项咨询资信:提供“工程咨询单位甲级资信证书”的得</w:t>
            </w:r>
            <w:r>
              <w:rPr>
                <w:rFonts w:hint="eastAsia" w:ascii="宋体" w:hAnsi="宋体"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分，提供“工程咨询单位乙级资信证书”的得</w:t>
            </w: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分，未提供不得分</w:t>
            </w:r>
            <w:r>
              <w:rPr>
                <w:rFonts w:hint="eastAsia" w:ascii="宋体" w:hAnsi="宋体" w:cs="宋体"/>
                <w:color w:val="000000" w:themeColor="text1"/>
                <w:kern w:val="2"/>
                <w:sz w:val="24"/>
                <w:szCs w:val="24"/>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具备有效的质量管理体系认证证书得2分；投标人具备有效的环境管理体系认证证书的得2分；投标人具备有效的职业健康管理体系认证证书得2分。注：未提供不得分，不重复计分，按最高分计，须提供相关评分资料(除网页截图)的扫描件并加盖单位公章。</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3.投标人具有PPP项目系统软件类著作权登记证书(如 PPP项目类似全过程信息管理系统、PPP项目绩效管理系统软件等),每有1个得2.5分，未提供不得分，本项最高得5分。证明材料：提供证书扫描件。</w:t>
            </w:r>
          </w:p>
        </w:tc>
        <w:tc>
          <w:tcPr>
            <w:tcW w:w="541"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76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项目负责人</w:t>
            </w:r>
          </w:p>
        </w:tc>
        <w:tc>
          <w:tcPr>
            <w:tcW w:w="331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投标人须为本项目派项目负责人一名。拟派的项目负责人情况：</w:t>
            </w:r>
          </w:p>
          <w:p>
            <w:pPr>
              <w:keepNext w:val="0"/>
              <w:keepLines w:val="0"/>
              <w:pageBreakBefore w:val="0"/>
              <w:widowControl w:val="0"/>
              <w:numPr>
                <w:ilvl w:val="0"/>
                <w:numId w:val="5"/>
              </w:numPr>
              <w:kinsoku/>
              <w:wordWrap/>
              <w:overflowPunct/>
              <w:topLinePunct w:val="0"/>
              <w:autoSpaceDE/>
              <w:autoSpaceDN/>
              <w:bidi w:val="0"/>
              <w:adjustRightInd/>
              <w:spacing w:line="400" w:lineRule="exact"/>
              <w:textAlignment w:val="auto"/>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具有高级工程师职称证书的</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，得2分。</w:t>
            </w:r>
          </w:p>
          <w:p>
            <w:pPr>
              <w:keepNext w:val="0"/>
              <w:keepLines w:val="0"/>
              <w:pageBreakBefore w:val="0"/>
              <w:widowControl w:val="0"/>
              <w:numPr>
                <w:ilvl w:val="0"/>
                <w:numId w:val="5"/>
              </w:numPr>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具有咨询工程师资格证书</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的，得2分。</w:t>
            </w:r>
          </w:p>
          <w:p>
            <w:pPr>
              <w:keepNext w:val="0"/>
              <w:keepLines w:val="0"/>
              <w:pageBreakBefore w:val="0"/>
              <w:widowControl w:val="0"/>
              <w:numPr>
                <w:ilvl w:val="0"/>
                <w:numId w:val="5"/>
              </w:numPr>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具有</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注册监理工程师的</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其他不得分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本项最高得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注:证明材料须提供项目负责人相关有效证书及社保机构出具的由本单位或分公司为其缴纳的近3个月中任何1个月的社保证明扫描件并加盖公章。</w:t>
            </w:r>
          </w:p>
        </w:tc>
        <w:tc>
          <w:tcPr>
            <w:tcW w:w="541"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377" w:type="pct"/>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6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3317"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2.符合上述要求的项目负责人具有PPP项目绩效评价(考核)服务咨询负责人业绩的，每有一个得3分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本项最高得6分。注:同时提供咨询服务中标通知书、咨询服务合同关键页(封面页、盖章页)、项目负责人业绩证明文件。</w:t>
            </w:r>
          </w:p>
        </w:tc>
        <w:tc>
          <w:tcPr>
            <w:tcW w:w="541"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763"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团队实力</w:t>
            </w:r>
          </w:p>
        </w:tc>
        <w:tc>
          <w:tcPr>
            <w:tcW w:w="3317"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1.除项目负责人外其他人员中若具有咨询工程师的，每1名得2分，最高得6分；</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2.具有经济师或工程师及以上职称证书，每1名得1分，最高得3分。</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本项最高得9分。注:证明材料须提供其他人员相关有效证书及社保机构出具的由本单位或分公司为其缴纳的近3个月中任何1个月的社保证明扫描件并加盖公章。</w:t>
            </w:r>
          </w:p>
        </w:tc>
        <w:tc>
          <w:tcPr>
            <w:tcW w:w="541"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77"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763"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项目理解</w:t>
            </w:r>
          </w:p>
        </w:tc>
        <w:tc>
          <w:tcPr>
            <w:tcW w:w="331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根据投标人对PPP项目绩效评价相关法规政策分析及项目实施路径分析情况进行综合评审</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分析研判准确、分析深入、要点明晰的得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基本满足</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部分满足得0-2分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541"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763"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项目实施方案</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31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咨询服务实施方案，包括但不仅限于分析各项关键性阶段性工作的重点难点，列明工作条件和工作方案优质服务承诺，咨询人员管理，突发事件处理机制及预案等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内容全面完整，科学合理、可操作性强的得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w:t>
            </w:r>
            <w:r>
              <w:rPr>
                <w:rFonts w:hint="eastAsia" w:ascii="宋体" w:hAnsi="宋体" w:eastAsia="宋体" w:cs="宋体"/>
                <w:color w:val="000000" w:themeColor="text1"/>
                <w:sz w:val="24"/>
                <w:szCs w:val="24"/>
                <w:highlight w:val="none"/>
                <w14:textFill>
                  <w14:solidFill>
                    <w14:schemeClr w14:val="tx1"/>
                  </w14:solidFill>
                </w14:textFill>
              </w:rPr>
              <w:t>完整，科学合理、可操作性</w:t>
            </w:r>
            <w:r>
              <w:rPr>
                <w:rFonts w:hint="eastAsia" w:ascii="宋体" w:hAnsi="宋体" w:eastAsia="宋体" w:cs="宋体"/>
                <w:color w:val="000000" w:themeColor="text1"/>
                <w:sz w:val="24"/>
                <w:szCs w:val="24"/>
                <w:highlight w:val="none"/>
                <w:lang w:val="en-US" w:eastAsia="zh-CN"/>
                <w14:textFill>
                  <w14:solidFill>
                    <w14:schemeClr w14:val="tx1"/>
                  </w14:solidFill>
                </w14:textFill>
              </w:rPr>
              <w:t>一般</w:t>
            </w:r>
            <w:r>
              <w:rPr>
                <w:rFonts w:hint="eastAsia" w:ascii="宋体" w:hAnsi="宋体" w:eastAsia="宋体" w:cs="宋体"/>
                <w:color w:val="000000" w:themeColor="text1"/>
                <w:sz w:val="24"/>
                <w:szCs w:val="24"/>
                <w:highlight w:val="none"/>
                <w14:textFill>
                  <w14:solidFill>
                    <w14:schemeClr w14:val="tx1"/>
                  </w14:solidFill>
                </w14:textFill>
              </w:rPr>
              <w:t>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提供部分</w:t>
            </w:r>
            <w:r>
              <w:rPr>
                <w:rFonts w:hint="eastAsia" w:ascii="宋体" w:hAnsi="宋体" w:eastAsia="宋体" w:cs="宋体"/>
                <w:color w:val="000000" w:themeColor="text1"/>
                <w:sz w:val="24"/>
                <w:szCs w:val="24"/>
                <w:highlight w:val="none"/>
                <w14:textFill>
                  <w14:solidFill>
                    <w14:schemeClr w14:val="tx1"/>
                  </w14:solidFill>
                </w14:textFill>
              </w:rPr>
              <w:t>，科学合理、可操作性</w:t>
            </w:r>
            <w:r>
              <w:rPr>
                <w:rFonts w:hint="eastAsia" w:ascii="宋体" w:hAnsi="宋体" w:eastAsia="宋体" w:cs="宋体"/>
                <w:color w:val="000000" w:themeColor="text1"/>
                <w:sz w:val="24"/>
                <w:szCs w:val="24"/>
                <w:highlight w:val="none"/>
                <w:lang w:val="en-US" w:eastAsia="zh-CN"/>
                <w14:textFill>
                  <w14:solidFill>
                    <w14:schemeClr w14:val="tx1"/>
                  </w14:solidFill>
                </w14:textFill>
              </w:rPr>
              <w:t>弱</w:t>
            </w:r>
            <w:r>
              <w:rPr>
                <w:rFonts w:hint="eastAsia" w:ascii="宋体" w:hAnsi="宋体" w:eastAsia="宋体" w:cs="宋体"/>
                <w:color w:val="000000" w:themeColor="text1"/>
                <w:sz w:val="24"/>
                <w:szCs w:val="24"/>
                <w:highlight w:val="none"/>
                <w14:textFill>
                  <w14:solidFill>
                    <w14:schemeClr w14:val="tx1"/>
                  </w14:solidFill>
                </w14:textFill>
              </w:rPr>
              <w:t>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541"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763"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计划周期安排</w:t>
            </w:r>
          </w:p>
        </w:tc>
        <w:tc>
          <w:tcPr>
            <w:tcW w:w="331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制定咨询工作计划书，包含但不仅限于对咨询工作分解关键性、阶段性工作，实施计划</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关键性、阶段性工作分解合理，计划科学，操作性和可实现性强的得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关键性、阶段性工作分解合理，计划科学，操作性和可实现性一般的得2-5分</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关键性、阶段性工作分解不合理，计划不科学，操作性和可实现性差的得0-2分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541"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763"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项目保障措施</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31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项目保障措施，针对各项工作开展，完成以及人员时间计划的项目实施保障措施方案</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措施全面完整科学合理、可操作性强的得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基本满足2-5分；</w:t>
            </w:r>
            <w:r>
              <w:rPr>
                <w:rFonts w:hint="eastAsia" w:ascii="宋体" w:hAnsi="宋体" w:eastAsia="宋体" w:cs="宋体"/>
                <w:color w:val="000000" w:themeColor="text1"/>
                <w:sz w:val="24"/>
                <w:szCs w:val="24"/>
                <w:highlight w:val="none"/>
                <w:lang w:val="en-US" w:eastAsia="zh-CN"/>
                <w14:textFill>
                  <w14:solidFill>
                    <w14:schemeClr w14:val="tx1"/>
                  </w14:solidFill>
                </w14:textFill>
              </w:rPr>
              <w:t>部分满足0-2分。</w:t>
            </w:r>
          </w:p>
        </w:tc>
        <w:tc>
          <w:tcPr>
            <w:tcW w:w="541"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763"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有效建议与措施</w:t>
            </w:r>
          </w:p>
        </w:tc>
        <w:tc>
          <w:tcPr>
            <w:tcW w:w="331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对项目实施PPP模式的建议:相关研判准确，项目梳理清晰，指导性与操作性强的得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；基本满足2-4分；</w:t>
            </w:r>
            <w:r>
              <w:rPr>
                <w:rFonts w:hint="eastAsia" w:ascii="宋体" w:hAnsi="宋体" w:eastAsia="宋体" w:cs="宋体"/>
                <w:color w:val="000000" w:themeColor="text1"/>
                <w:sz w:val="24"/>
                <w:szCs w:val="24"/>
                <w:highlight w:val="none"/>
                <w:lang w:val="en-US" w:eastAsia="zh-CN"/>
                <w14:textFill>
                  <w14:solidFill>
                    <w14:schemeClr w14:val="tx1"/>
                  </w14:solidFill>
                </w14:textFill>
              </w:rPr>
              <w:t>部分满足0-2分。</w:t>
            </w:r>
          </w:p>
        </w:tc>
        <w:tc>
          <w:tcPr>
            <w:tcW w:w="541"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763"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合理化建议和改进措施</w:t>
            </w:r>
          </w:p>
        </w:tc>
        <w:tc>
          <w:tcPr>
            <w:tcW w:w="3317"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4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对项目合理化建议和改进措施:相关研判准确，项目梳理清晰，指导性与操作性强的得3.6-6分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541"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6分</w:t>
            </w:r>
          </w:p>
        </w:tc>
      </w:tr>
    </w:tbl>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2"/>
        <w:spacing w:before="0" w:after="0" w:line="5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第四章 项目需求</w:t>
      </w:r>
    </w:p>
    <w:p>
      <w:pPr>
        <w:shd w:val="clear"/>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一、招标项目一览表</w:t>
      </w:r>
    </w:p>
    <w:p>
      <w:pPr>
        <w:shd w:val="clear"/>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本次招标共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 </w:t>
      </w:r>
      <w:r>
        <w:rPr>
          <w:rFonts w:hint="eastAsia" w:ascii="宋体" w:hAnsi="宋体" w:eastAsia="宋体" w:cs="宋体"/>
          <w:color w:val="000000" w:themeColor="text1"/>
          <w:sz w:val="24"/>
          <w:szCs w:val="24"/>
          <w:highlight w:val="none"/>
          <w14:textFill>
            <w14:solidFill>
              <w14:schemeClr w14:val="tx1"/>
            </w14:solidFill>
          </w14:textFill>
        </w:rPr>
        <w:t>个</w:t>
      </w:r>
      <w:r>
        <w:rPr>
          <w:rFonts w:hint="eastAsia" w:ascii="宋体" w:hAnsi="宋体" w:eastAsia="宋体" w:cs="宋体"/>
          <w:color w:val="000000" w:themeColor="text1"/>
          <w:sz w:val="24"/>
          <w:szCs w:val="24"/>
          <w:highlight w:val="none"/>
          <w:lang w:eastAsia="zh-CN"/>
          <w14:textFill>
            <w14:solidFill>
              <w14:schemeClr w14:val="tx1"/>
            </w14:solidFill>
          </w14:textFill>
        </w:rPr>
        <w:t>标项</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本项目为</w:t>
      </w:r>
      <w:r>
        <w:rPr>
          <w:rFonts w:hint="eastAsia" w:ascii="宋体" w:hAnsi="宋体" w:eastAsia="宋体" w:cs="宋体"/>
          <w:bCs/>
          <w:color w:val="000000" w:themeColor="text1"/>
          <w:sz w:val="24"/>
          <w:szCs w:val="24"/>
          <w:highlight w:val="none"/>
          <w14:textFill>
            <w14:solidFill>
              <w14:schemeClr w14:val="tx1"/>
            </w14:solidFill>
          </w14:textFill>
        </w:rPr>
        <w:t>运营期</w:t>
      </w:r>
      <w:r>
        <w:rPr>
          <w:rFonts w:hint="eastAsia" w:ascii="宋体" w:hAnsi="宋体" w:cs="宋体"/>
          <w:bCs/>
          <w:color w:val="000000" w:themeColor="text1"/>
          <w:sz w:val="24"/>
          <w:szCs w:val="24"/>
          <w:highlight w:val="none"/>
          <w:lang w:val="en-US" w:eastAsia="zh-CN"/>
          <w14:textFill>
            <w14:solidFill>
              <w14:schemeClr w14:val="tx1"/>
            </w14:solidFill>
          </w14:textFill>
        </w:rPr>
        <w:t>两个年度（2024-2025年度、2025-2026年度）</w:t>
      </w:r>
      <w:r>
        <w:rPr>
          <w:rFonts w:hint="eastAsia" w:ascii="宋体" w:hAnsi="宋体" w:eastAsia="宋体" w:cs="宋体"/>
          <w:bCs/>
          <w:color w:val="000000" w:themeColor="text1"/>
          <w:sz w:val="24"/>
          <w:szCs w:val="24"/>
          <w:highlight w:val="none"/>
          <w14:textFill>
            <w14:solidFill>
              <w14:schemeClr w14:val="tx1"/>
            </w14:solidFill>
          </w14:textFill>
        </w:rPr>
        <w:t>开展相应绩效评价</w:t>
      </w:r>
      <w:r>
        <w:rPr>
          <w:rFonts w:hint="eastAsia" w:ascii="宋体" w:hAnsi="宋体" w:cs="宋体"/>
          <w:bCs/>
          <w:color w:val="000000" w:themeColor="text1"/>
          <w:sz w:val="24"/>
          <w:szCs w:val="24"/>
          <w:highlight w:val="none"/>
          <w:lang w:val="en-US" w:eastAsia="zh-CN"/>
          <w14:textFill>
            <w14:solidFill>
              <w14:schemeClr w14:val="tx1"/>
            </w14:solidFill>
          </w14:textFill>
        </w:rPr>
        <w:t>及PPP数字化服务工作</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具体内容如下：</w:t>
      </w:r>
    </w:p>
    <w:tbl>
      <w:tblPr>
        <w:tblStyle w:val="3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56"/>
        <w:gridCol w:w="3579"/>
        <w:gridCol w:w="1014"/>
        <w:gridCol w:w="1456"/>
        <w:gridCol w:w="14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34" w:hRule="atLeast"/>
          <w:jc w:val="center"/>
        </w:trPr>
        <w:tc>
          <w:tcPr>
            <w:tcW w:w="856" w:type="dxa"/>
            <w:tcMar>
              <w:top w:w="75" w:type="dxa"/>
              <w:left w:w="75" w:type="dxa"/>
              <w:bottom w:w="75" w:type="dxa"/>
              <w:right w:w="75" w:type="dxa"/>
            </w:tcMar>
            <w:vAlign w:val="center"/>
          </w:tcPr>
          <w:p>
            <w:pPr>
              <w:shd w:val="clea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标项</w:t>
            </w:r>
          </w:p>
        </w:tc>
        <w:tc>
          <w:tcPr>
            <w:tcW w:w="3579" w:type="dxa"/>
            <w:tcMar>
              <w:top w:w="75" w:type="dxa"/>
              <w:left w:w="75" w:type="dxa"/>
              <w:bottom w:w="75" w:type="dxa"/>
              <w:right w:w="75" w:type="dxa"/>
            </w:tcMar>
            <w:vAlign w:val="center"/>
          </w:tcPr>
          <w:p>
            <w:pPr>
              <w:shd w:val="clea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项目名称</w:t>
            </w:r>
          </w:p>
        </w:tc>
        <w:tc>
          <w:tcPr>
            <w:tcW w:w="1014" w:type="dxa"/>
            <w:tcMar>
              <w:top w:w="75" w:type="dxa"/>
              <w:left w:w="75" w:type="dxa"/>
              <w:bottom w:w="75" w:type="dxa"/>
              <w:right w:w="75" w:type="dxa"/>
            </w:tcMar>
            <w:vAlign w:val="center"/>
          </w:tcPr>
          <w:p>
            <w:pPr>
              <w:shd w:val="clea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数量</w:t>
            </w:r>
          </w:p>
        </w:tc>
        <w:tc>
          <w:tcPr>
            <w:tcW w:w="1456" w:type="dxa"/>
            <w:tcMar>
              <w:top w:w="75" w:type="dxa"/>
              <w:left w:w="75" w:type="dxa"/>
              <w:bottom w:w="75" w:type="dxa"/>
              <w:right w:w="75" w:type="dxa"/>
            </w:tcMar>
            <w:vAlign w:val="center"/>
          </w:tcPr>
          <w:p>
            <w:pPr>
              <w:shd w:val="clea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预算金额</w:t>
            </w:r>
          </w:p>
          <w:p>
            <w:pPr>
              <w:shd w:val="clear"/>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（万元）</w:t>
            </w:r>
          </w:p>
        </w:tc>
        <w:tc>
          <w:tcPr>
            <w:tcW w:w="1456" w:type="dxa"/>
            <w:tcMar>
              <w:top w:w="75" w:type="dxa"/>
              <w:left w:w="75" w:type="dxa"/>
              <w:bottom w:w="75" w:type="dxa"/>
              <w:right w:w="75" w:type="dxa"/>
            </w:tcMar>
            <w:vAlign w:val="center"/>
          </w:tcPr>
          <w:p>
            <w:pPr>
              <w:shd w:val="clear"/>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最高限价</w:t>
            </w:r>
          </w:p>
          <w:p>
            <w:pPr>
              <w:shd w:val="clear"/>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34" w:hRule="atLeast"/>
          <w:jc w:val="center"/>
        </w:trPr>
        <w:tc>
          <w:tcPr>
            <w:tcW w:w="856" w:type="dxa"/>
            <w:tcMar>
              <w:top w:w="75" w:type="dxa"/>
              <w:left w:w="75" w:type="dxa"/>
              <w:bottom w:w="75" w:type="dxa"/>
              <w:right w:w="75" w:type="dxa"/>
            </w:tcMar>
            <w:vAlign w:val="center"/>
          </w:tcPr>
          <w:p>
            <w:pPr>
              <w:shd w:val="clea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3579" w:type="dxa"/>
            <w:tcMar>
              <w:top w:w="75" w:type="dxa"/>
              <w:left w:w="75" w:type="dxa"/>
              <w:bottom w:w="75" w:type="dxa"/>
              <w:right w:w="75" w:type="dxa"/>
            </w:tcMar>
            <w:vAlign w:val="center"/>
          </w:tcPr>
          <w:p>
            <w:pPr>
              <w:shd w:val="clea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玉环市小城镇环境综合整治工程PPP项目绩效评价服务</w:t>
            </w:r>
          </w:p>
        </w:tc>
        <w:tc>
          <w:tcPr>
            <w:tcW w:w="1014" w:type="dxa"/>
            <w:tcMar>
              <w:top w:w="75" w:type="dxa"/>
              <w:left w:w="75" w:type="dxa"/>
              <w:bottom w:w="75" w:type="dxa"/>
              <w:right w:w="75" w:type="dxa"/>
            </w:tcMar>
            <w:vAlign w:val="center"/>
          </w:tcPr>
          <w:p>
            <w:pPr>
              <w:shd w:val="clea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w:t>
            </w:r>
          </w:p>
        </w:tc>
        <w:tc>
          <w:tcPr>
            <w:tcW w:w="1456" w:type="dxa"/>
            <w:tcMar>
              <w:top w:w="75" w:type="dxa"/>
              <w:left w:w="75" w:type="dxa"/>
              <w:bottom w:w="75" w:type="dxa"/>
              <w:right w:w="75" w:type="dxa"/>
            </w:tcMar>
            <w:vAlign w:val="center"/>
          </w:tcPr>
          <w:p>
            <w:pPr>
              <w:shd w:val="clea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45</w:t>
            </w:r>
          </w:p>
        </w:tc>
        <w:tc>
          <w:tcPr>
            <w:tcW w:w="1456" w:type="dxa"/>
            <w:tcMar>
              <w:top w:w="75" w:type="dxa"/>
              <w:left w:w="75" w:type="dxa"/>
              <w:bottom w:w="75" w:type="dxa"/>
              <w:right w:w="75" w:type="dxa"/>
            </w:tcMar>
            <w:vAlign w:val="center"/>
          </w:tcPr>
          <w:p>
            <w:pPr>
              <w:shd w:val="clea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45</w:t>
            </w:r>
          </w:p>
        </w:tc>
      </w:tr>
    </w:tbl>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二、项目需求</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1、项目概况：</w:t>
      </w:r>
    </w:p>
    <w:p>
      <w:pPr>
        <w:pStyle w:val="15"/>
        <w:keepNext w:val="0"/>
        <w:keepLines w:val="0"/>
        <w:pageBreakBefore w:val="0"/>
        <w:widowControl w:val="0"/>
        <w:kinsoku/>
        <w:wordWrap/>
        <w:overflowPunct/>
        <w:topLinePunct w:val="0"/>
        <w:autoSpaceDE/>
        <w:autoSpaceDN/>
        <w:bidi w:val="0"/>
        <w:adjustRightInd/>
        <w:snapToGrid/>
        <w:spacing w:after="0" w:afterLines="0"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为顺利完成市委市政府部署的“玉环市小城镇环境综合整治”任务，2018年1月30日，玉环市住建局与浙江省基础建设投资集团股份有限公司和中国建筑一局（集团）有限公司联合体（乙方）签署了《玉环市小城镇环境综合整治工程PPP项目合同》，项目合作期限15年。玉环市各乡镇街道的部分沿街立面改造、景观绿化改造、配套设施改造、河道整治等工程。</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2、工作内容</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应根据国家财政部《项目支出绩效评价管理办法》（财预〔2020〕10号）、《政府和社会资本合作（PPP）项目绩效管理操作指引》（财金〔2020〕13号）、浙江省财政厅相关规定和项目实施机构有关绩效评价工作要求、并结合项目在建设期和运营期有关文件资料开展相应绩效评价服务工作。</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主要包括：</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（一）绩效评价服务</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工作内容包括：前期资料收集及调研、制定绩效评价工作方案及考核细则、组织绩效评价工作、编制绩效评价报告等。详见下表。</w:t>
      </w:r>
    </w:p>
    <w:p>
      <w:pPr>
        <w:pStyle w:val="15"/>
        <w:jc w:val="center"/>
        <w:rPr>
          <w:rFonts w:hint="eastAsia"/>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绩效评价服务事项清单表</w:t>
      </w:r>
    </w:p>
    <w:tbl>
      <w:tblPr>
        <w:tblStyle w:val="35"/>
        <w:tblW w:w="9627" w:type="dxa"/>
        <w:jc w:val="center"/>
        <w:tblLayout w:type="fixed"/>
        <w:tblCellMar>
          <w:top w:w="0" w:type="dxa"/>
          <w:left w:w="0" w:type="dxa"/>
          <w:bottom w:w="0" w:type="dxa"/>
          <w:right w:w="0" w:type="dxa"/>
        </w:tblCellMar>
      </w:tblPr>
      <w:tblGrid>
        <w:gridCol w:w="831"/>
        <w:gridCol w:w="1389"/>
        <w:gridCol w:w="5788"/>
        <w:gridCol w:w="1619"/>
      </w:tblGrid>
      <w:tr>
        <w:tblPrEx>
          <w:tblCellMar>
            <w:top w:w="0" w:type="dxa"/>
            <w:left w:w="0" w:type="dxa"/>
            <w:bottom w:w="0" w:type="dxa"/>
            <w:right w:w="0" w:type="dxa"/>
          </w:tblCellMar>
        </w:tblPrEx>
        <w:trPr>
          <w:trHeight w:val="617" w:hRule="atLeast"/>
          <w:tblHeader/>
          <w:jc w:val="center"/>
        </w:trPr>
        <w:tc>
          <w:tcPr>
            <w:tcW w:w="831" w:type="dxa"/>
            <w:tcBorders>
              <w:top w:val="single" w:color="auto" w:sz="4"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389" w:type="dxa"/>
            <w:tcBorders>
              <w:top w:val="single" w:color="auto" w:sz="4"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主要节点</w:t>
            </w:r>
          </w:p>
        </w:tc>
        <w:tc>
          <w:tcPr>
            <w:tcW w:w="5788" w:type="dxa"/>
            <w:tcBorders>
              <w:top w:val="single" w:color="auto" w:sz="4"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主要工作</w:t>
            </w:r>
          </w:p>
        </w:tc>
        <w:tc>
          <w:tcPr>
            <w:tcW w:w="1619" w:type="dxa"/>
            <w:tcBorders>
              <w:top w:val="single" w:color="auto" w:sz="4"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该阶段成果</w:t>
            </w:r>
          </w:p>
        </w:tc>
      </w:tr>
      <w:tr>
        <w:tblPrEx>
          <w:tblCellMar>
            <w:top w:w="0" w:type="dxa"/>
            <w:left w:w="0" w:type="dxa"/>
            <w:bottom w:w="0" w:type="dxa"/>
            <w:right w:w="0" w:type="dxa"/>
          </w:tblCellMar>
        </w:tblPrEx>
        <w:trPr>
          <w:trHeight w:val="577" w:hRule="atLeast"/>
          <w:jc w:val="center"/>
        </w:trPr>
        <w:tc>
          <w:tcPr>
            <w:tcW w:w="831"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p>
        </w:tc>
        <w:tc>
          <w:tcPr>
            <w:tcW w:w="8796" w:type="dxa"/>
            <w:gridSpan w:val="3"/>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firstLine="482" w:firstLineChars="20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评价方案编制与确认</w:t>
            </w:r>
          </w:p>
        </w:tc>
      </w:tr>
      <w:tr>
        <w:tblPrEx>
          <w:tblCellMar>
            <w:top w:w="0" w:type="dxa"/>
            <w:left w:w="0" w:type="dxa"/>
            <w:bottom w:w="0" w:type="dxa"/>
            <w:right w:w="0" w:type="dxa"/>
          </w:tblCellMar>
        </w:tblPrEx>
        <w:trPr>
          <w:trHeight w:val="90" w:hRule="atLeast"/>
          <w:jc w:val="center"/>
        </w:trPr>
        <w:tc>
          <w:tcPr>
            <w:tcW w:w="831"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w:t>
            </w:r>
          </w:p>
        </w:tc>
        <w:tc>
          <w:tcPr>
            <w:tcW w:w="138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27"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项目情况梳理</w:t>
            </w:r>
          </w:p>
        </w:tc>
        <w:tc>
          <w:tcPr>
            <w:tcW w:w="5788"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13" w:right="11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1、现场调查，项目基础资料收集与整合、前期情况摸底；</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13" w:right="11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2、提供需要资料清单，由实施机构牵头项目公司及相关单位配合提供项目资料。</w:t>
            </w:r>
          </w:p>
        </w:tc>
        <w:tc>
          <w:tcPr>
            <w:tcW w:w="161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27" w:right="89"/>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需提供资料清单、会议纪要</w:t>
            </w:r>
          </w:p>
        </w:tc>
      </w:tr>
      <w:tr>
        <w:tblPrEx>
          <w:tblCellMar>
            <w:top w:w="0" w:type="dxa"/>
            <w:left w:w="0" w:type="dxa"/>
            <w:bottom w:w="0" w:type="dxa"/>
            <w:right w:w="0" w:type="dxa"/>
          </w:tblCellMar>
        </w:tblPrEx>
        <w:trPr>
          <w:trHeight w:val="57" w:hRule="atLeast"/>
          <w:jc w:val="center"/>
        </w:trPr>
        <w:tc>
          <w:tcPr>
            <w:tcW w:w="831"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w:t>
            </w:r>
          </w:p>
        </w:tc>
        <w:tc>
          <w:tcPr>
            <w:tcW w:w="138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27"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编制绩效评价实施计划</w:t>
            </w:r>
          </w:p>
        </w:tc>
        <w:tc>
          <w:tcPr>
            <w:tcW w:w="5788"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13" w:right="11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w:t>
            </w:r>
            <w:r>
              <w:rPr>
                <w:rFonts w:hint="eastAsia" w:ascii="宋体" w:hAnsi="宋体" w:eastAsia="宋体" w:cs="宋体"/>
                <w:color w:val="000000" w:themeColor="text1"/>
                <w:spacing w:val="-8"/>
                <w:w w:val="104"/>
                <w:kern w:val="0"/>
                <w:sz w:val="24"/>
                <w:szCs w:val="24"/>
                <w:highlight w:val="none"/>
                <w14:textFill>
                  <w14:solidFill>
                    <w14:schemeClr w14:val="tx1"/>
                  </w14:solidFill>
                </w14:textFill>
              </w:rPr>
              <w:t>各</w:t>
            </w:r>
            <w:r>
              <w:rPr>
                <w:rFonts w:hint="eastAsia" w:ascii="宋体" w:hAnsi="宋体" w:eastAsia="宋体" w:cs="宋体"/>
                <w:color w:val="000000" w:themeColor="text1"/>
                <w:kern w:val="0"/>
                <w:sz w:val="24"/>
                <w:szCs w:val="24"/>
                <w:highlight w:val="none"/>
                <w14:textFill>
                  <w14:solidFill>
                    <w14:schemeClr w14:val="tx1"/>
                  </w14:solidFill>
                </w14:textFill>
              </w:rPr>
              <w:t>单</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位</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工</w:t>
            </w:r>
            <w:r>
              <w:rPr>
                <w:rFonts w:hint="eastAsia" w:ascii="宋体" w:hAnsi="宋体" w:eastAsia="宋体" w:cs="宋体"/>
                <w:color w:val="000000" w:themeColor="text1"/>
                <w:kern w:val="0"/>
                <w:sz w:val="24"/>
                <w:szCs w:val="24"/>
                <w:highlight w:val="none"/>
                <w14:textFill>
                  <w14:solidFill>
                    <w14:schemeClr w14:val="tx1"/>
                  </w14:solidFill>
                </w14:textFill>
              </w:rPr>
              <w:t>及</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职</w:t>
            </w:r>
            <w:r>
              <w:rPr>
                <w:rFonts w:hint="eastAsia" w:ascii="宋体" w:hAnsi="宋体" w:eastAsia="宋体" w:cs="宋体"/>
                <w:color w:val="000000" w:themeColor="text1"/>
                <w:kern w:val="0"/>
                <w:sz w:val="24"/>
                <w:szCs w:val="24"/>
                <w:highlight w:val="none"/>
                <w14:textFill>
                  <w14:solidFill>
                    <w14:schemeClr w14:val="tx1"/>
                  </w14:solidFill>
                </w14:textFill>
              </w:rPr>
              <w:t>责</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结</w:t>
            </w:r>
            <w:r>
              <w:rPr>
                <w:rFonts w:hint="eastAsia" w:ascii="宋体" w:hAnsi="宋体" w:eastAsia="宋体" w:cs="宋体"/>
                <w:color w:val="000000" w:themeColor="text1"/>
                <w:kern w:val="0"/>
                <w:sz w:val="24"/>
                <w:szCs w:val="24"/>
                <w:highlight w:val="none"/>
                <w14:textFill>
                  <w14:solidFill>
                    <w14:schemeClr w14:val="tx1"/>
                  </w14:solidFill>
                </w14:textFill>
              </w:rPr>
              <w:t>合</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绩</w:t>
            </w:r>
            <w:r>
              <w:rPr>
                <w:rFonts w:hint="eastAsia" w:ascii="宋体" w:hAnsi="宋体" w:eastAsia="宋体" w:cs="宋体"/>
                <w:color w:val="000000" w:themeColor="text1"/>
                <w:kern w:val="0"/>
                <w:sz w:val="24"/>
                <w:szCs w:val="24"/>
                <w:highlight w:val="none"/>
                <w14:textFill>
                  <w14:solidFill>
                    <w14:schemeClr w14:val="tx1"/>
                  </w14:solidFill>
                </w14:textFill>
              </w:rPr>
              <w:t>效</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评</w:t>
            </w:r>
            <w:r>
              <w:rPr>
                <w:rFonts w:hint="eastAsia" w:ascii="宋体" w:hAnsi="宋体" w:eastAsia="宋体" w:cs="宋体"/>
                <w:color w:val="000000" w:themeColor="text1"/>
                <w:kern w:val="0"/>
                <w:sz w:val="24"/>
                <w:szCs w:val="24"/>
                <w:highlight w:val="none"/>
                <w14:textFill>
                  <w14:solidFill>
                    <w14:schemeClr w14:val="tx1"/>
                  </w14:solidFill>
                </w14:textFill>
              </w:rPr>
              <w:t>价</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工</w:t>
            </w:r>
            <w:r>
              <w:rPr>
                <w:rFonts w:hint="eastAsia" w:ascii="宋体" w:hAnsi="宋体" w:eastAsia="宋体" w:cs="宋体"/>
                <w:color w:val="000000" w:themeColor="text1"/>
                <w:kern w:val="0"/>
                <w:sz w:val="24"/>
                <w:szCs w:val="24"/>
                <w:highlight w:val="none"/>
                <w14:textFill>
                  <w14:solidFill>
                    <w14:schemeClr w14:val="tx1"/>
                  </w14:solidFill>
                </w14:textFill>
              </w:rPr>
              <w:t>作</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的</w:t>
            </w:r>
            <w:r>
              <w:rPr>
                <w:rFonts w:hint="eastAsia" w:ascii="宋体" w:hAnsi="宋体" w:eastAsia="宋体" w:cs="宋体"/>
                <w:color w:val="000000" w:themeColor="text1"/>
                <w:kern w:val="0"/>
                <w:sz w:val="24"/>
                <w:szCs w:val="24"/>
                <w:highlight w:val="none"/>
                <w14:textFill>
                  <w14:solidFill>
                    <w14:schemeClr w14:val="tx1"/>
                  </w14:solidFill>
                </w14:textFill>
              </w:rPr>
              <w:t>相</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关</w:t>
            </w:r>
            <w:r>
              <w:rPr>
                <w:rFonts w:hint="eastAsia" w:ascii="宋体" w:hAnsi="宋体" w:eastAsia="宋体" w:cs="宋体"/>
                <w:color w:val="000000" w:themeColor="text1"/>
                <w:kern w:val="0"/>
                <w:sz w:val="24"/>
                <w:szCs w:val="24"/>
                <w:highlight w:val="none"/>
                <w14:textFill>
                  <w14:solidFill>
                    <w14:schemeClr w14:val="tx1"/>
                  </w14:solidFill>
                </w14:textFill>
              </w:rPr>
              <w:t>要求</w:t>
            </w:r>
            <w:r>
              <w:rPr>
                <w:rFonts w:hint="eastAsia" w:ascii="宋体" w:hAnsi="宋体" w:eastAsia="宋体" w:cs="宋体"/>
                <w:color w:val="000000" w:themeColor="text1"/>
                <w:spacing w:val="-8"/>
                <w:w w:val="104"/>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编</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制</w:t>
            </w:r>
            <w:r>
              <w:rPr>
                <w:rFonts w:hint="eastAsia" w:ascii="宋体" w:hAnsi="宋体" w:eastAsia="宋体" w:cs="宋体"/>
                <w:color w:val="000000" w:themeColor="text1"/>
                <w:kern w:val="0"/>
                <w:sz w:val="24"/>
                <w:szCs w:val="24"/>
                <w:highlight w:val="none"/>
                <w14:textFill>
                  <w14:solidFill>
                    <w14:schemeClr w14:val="tx1"/>
                  </w14:solidFill>
                </w14:textFill>
              </w:rPr>
              <w:t>绩</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效</w:t>
            </w:r>
            <w:r>
              <w:rPr>
                <w:rFonts w:hint="eastAsia" w:ascii="宋体" w:hAnsi="宋体" w:eastAsia="宋体" w:cs="宋体"/>
                <w:color w:val="000000" w:themeColor="text1"/>
                <w:kern w:val="0"/>
                <w:sz w:val="24"/>
                <w:szCs w:val="24"/>
                <w:highlight w:val="none"/>
                <w14:textFill>
                  <w14:solidFill>
                    <w14:schemeClr w14:val="tx1"/>
                  </w14:solidFill>
                </w14:textFill>
              </w:rPr>
              <w:t>评</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价</w:t>
            </w:r>
            <w:r>
              <w:rPr>
                <w:rFonts w:hint="eastAsia" w:ascii="宋体" w:hAnsi="宋体" w:eastAsia="宋体" w:cs="宋体"/>
                <w:color w:val="000000" w:themeColor="text1"/>
                <w:kern w:val="0"/>
                <w:sz w:val="24"/>
                <w:szCs w:val="24"/>
                <w:highlight w:val="none"/>
                <w14:textFill>
                  <w14:solidFill>
                    <w14:schemeClr w14:val="tx1"/>
                  </w14:solidFill>
                </w14:textFill>
              </w:rPr>
              <w:t>实</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施</w:t>
            </w:r>
            <w:r>
              <w:rPr>
                <w:rFonts w:hint="eastAsia" w:ascii="宋体" w:hAnsi="宋体" w:eastAsia="宋体" w:cs="宋体"/>
                <w:color w:val="000000" w:themeColor="text1"/>
                <w:kern w:val="0"/>
                <w:sz w:val="24"/>
                <w:szCs w:val="24"/>
                <w:highlight w:val="none"/>
                <w14:textFill>
                  <w14:solidFill>
                    <w14:schemeClr w14:val="tx1"/>
                  </w14:solidFill>
                </w14:textFill>
              </w:rPr>
              <w:t>流</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程</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实</w:t>
            </w:r>
            <w:r>
              <w:rPr>
                <w:rFonts w:hint="eastAsia" w:ascii="宋体" w:hAnsi="宋体" w:eastAsia="宋体" w:cs="宋体"/>
                <w:color w:val="000000" w:themeColor="text1"/>
                <w:kern w:val="0"/>
                <w:sz w:val="24"/>
                <w:szCs w:val="24"/>
                <w:highlight w:val="none"/>
                <w14:textFill>
                  <w14:solidFill>
                    <w14:schemeClr w14:val="tx1"/>
                  </w14:solidFill>
                </w14:textFill>
              </w:rPr>
              <w:t>施</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计</w:t>
            </w:r>
            <w:r>
              <w:rPr>
                <w:rFonts w:hint="eastAsia" w:ascii="宋体" w:hAnsi="宋体" w:eastAsia="宋体" w:cs="宋体"/>
                <w:color w:val="000000" w:themeColor="text1"/>
                <w:kern w:val="0"/>
                <w:sz w:val="24"/>
                <w:szCs w:val="24"/>
                <w:highlight w:val="none"/>
                <w14:textFill>
                  <w14:solidFill>
                    <w14:schemeClr w14:val="tx1"/>
                  </w14:solidFill>
                </w14:textFill>
              </w:rPr>
              <w:t>划</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等</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61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27" w:right="89"/>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绩效评价实施计划</w:t>
            </w:r>
          </w:p>
        </w:tc>
      </w:tr>
      <w:tr>
        <w:tblPrEx>
          <w:tblCellMar>
            <w:top w:w="0" w:type="dxa"/>
            <w:left w:w="0" w:type="dxa"/>
            <w:bottom w:w="0" w:type="dxa"/>
            <w:right w:w="0" w:type="dxa"/>
          </w:tblCellMar>
        </w:tblPrEx>
        <w:trPr>
          <w:trHeight w:val="90" w:hRule="atLeast"/>
          <w:jc w:val="center"/>
        </w:trPr>
        <w:tc>
          <w:tcPr>
            <w:tcW w:w="831"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w:t>
            </w:r>
          </w:p>
        </w:tc>
        <w:tc>
          <w:tcPr>
            <w:tcW w:w="138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27"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编写绩效评价工作方案</w:t>
            </w:r>
          </w:p>
        </w:tc>
        <w:tc>
          <w:tcPr>
            <w:tcW w:w="5788"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13" w:right="11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1、根据项目要求、进展情况及上级相关要求等编制项目的绩效评价方案；</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13" w:right="11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2、协助委托方组织政府各相关单位确认方案。</w:t>
            </w:r>
          </w:p>
        </w:tc>
        <w:tc>
          <w:tcPr>
            <w:tcW w:w="161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27" w:right="94"/>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绩效评价工作方案</w:t>
            </w:r>
          </w:p>
        </w:tc>
      </w:tr>
      <w:tr>
        <w:tblPrEx>
          <w:tblCellMar>
            <w:top w:w="0" w:type="dxa"/>
            <w:left w:w="0" w:type="dxa"/>
            <w:bottom w:w="0" w:type="dxa"/>
            <w:right w:w="0" w:type="dxa"/>
          </w:tblCellMar>
        </w:tblPrEx>
        <w:trPr>
          <w:trHeight w:val="57" w:hRule="atLeast"/>
          <w:jc w:val="center"/>
        </w:trPr>
        <w:tc>
          <w:tcPr>
            <w:tcW w:w="831"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138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27"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方案报审主管部门审批</w:t>
            </w:r>
          </w:p>
        </w:tc>
        <w:tc>
          <w:tcPr>
            <w:tcW w:w="5788"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13" w:right="11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协助实施机构将绩效评价方案报送本级主管部门审核。</w:t>
            </w:r>
          </w:p>
        </w:tc>
        <w:tc>
          <w:tcPr>
            <w:tcW w:w="161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27" w:right="263"/>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主管部门审核意见</w:t>
            </w:r>
          </w:p>
        </w:tc>
      </w:tr>
      <w:tr>
        <w:tblPrEx>
          <w:tblCellMar>
            <w:top w:w="0" w:type="dxa"/>
            <w:left w:w="0" w:type="dxa"/>
            <w:bottom w:w="0" w:type="dxa"/>
            <w:right w:w="0" w:type="dxa"/>
          </w:tblCellMar>
        </w:tblPrEx>
        <w:trPr>
          <w:trHeight w:val="57" w:hRule="atLeast"/>
          <w:jc w:val="center"/>
        </w:trPr>
        <w:tc>
          <w:tcPr>
            <w:tcW w:w="831"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w:t>
            </w:r>
          </w:p>
        </w:tc>
        <w:tc>
          <w:tcPr>
            <w:tcW w:w="8796" w:type="dxa"/>
            <w:gridSpan w:val="3"/>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组织考核</w:t>
            </w:r>
          </w:p>
        </w:tc>
      </w:tr>
      <w:tr>
        <w:tblPrEx>
          <w:tblCellMar>
            <w:top w:w="0" w:type="dxa"/>
            <w:left w:w="0" w:type="dxa"/>
            <w:bottom w:w="0" w:type="dxa"/>
            <w:right w:w="0" w:type="dxa"/>
          </w:tblCellMar>
        </w:tblPrEx>
        <w:trPr>
          <w:trHeight w:val="90" w:hRule="atLeast"/>
          <w:jc w:val="center"/>
        </w:trPr>
        <w:tc>
          <w:tcPr>
            <w:tcW w:w="831"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38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27"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下发绩效评价通知</w:t>
            </w:r>
          </w:p>
        </w:tc>
        <w:tc>
          <w:tcPr>
            <w:tcW w:w="5788"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13" w:right="11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1、编制绩效评价通知单（含自评报告编制要求、报审材料清单）；</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13" w:right="11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2、协助实施机构对项目公司下发绩效评价通知；由项目公司提前准备资料，在规定时间提报自评报告和佐证材料等附件。</w:t>
            </w:r>
          </w:p>
        </w:tc>
        <w:tc>
          <w:tcPr>
            <w:tcW w:w="161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27" w:right="263"/>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绩效评价通知单（含自评报告编制要求、报审材料清单）</w:t>
            </w:r>
          </w:p>
        </w:tc>
      </w:tr>
      <w:tr>
        <w:tblPrEx>
          <w:tblCellMar>
            <w:top w:w="0" w:type="dxa"/>
            <w:left w:w="0" w:type="dxa"/>
            <w:bottom w:w="0" w:type="dxa"/>
            <w:right w:w="0" w:type="dxa"/>
          </w:tblCellMar>
        </w:tblPrEx>
        <w:trPr>
          <w:trHeight w:val="2553" w:hRule="atLeast"/>
          <w:jc w:val="center"/>
        </w:trPr>
        <w:tc>
          <w:tcPr>
            <w:tcW w:w="831"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138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27"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编写评价报告初稿</w:t>
            </w:r>
          </w:p>
        </w:tc>
        <w:tc>
          <w:tcPr>
            <w:tcW w:w="5788"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13" w:right="11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1、绩效评价工作小组成员根据自评报告等材料进行审核；</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13" w:right="11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2、评价工作小组在项目运营地点，现场考核评估，并出具初步意见；</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13" w:right="11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3、综合对项目绩效达成情况进行初步评价，出具绩效评价报告初稿。</w:t>
            </w:r>
          </w:p>
        </w:tc>
        <w:tc>
          <w:tcPr>
            <w:tcW w:w="161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27" w:right="263"/>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绩效</w:t>
            </w:r>
            <w:r>
              <w:rPr>
                <w:rFonts w:hint="eastAsia" w:ascii="宋体" w:hAnsi="宋体" w:eastAsia="宋体" w:cs="宋体"/>
                <w:color w:val="000000" w:themeColor="text1"/>
                <w:spacing w:val="-8"/>
                <w:w w:val="104"/>
                <w:kern w:val="0"/>
                <w:sz w:val="24"/>
                <w:szCs w:val="24"/>
                <w:highlight w:val="none"/>
                <w14:textFill>
                  <w14:solidFill>
                    <w14:schemeClr w14:val="tx1"/>
                  </w14:solidFill>
                </w14:textFill>
              </w:rPr>
              <w:t>评</w:t>
            </w:r>
            <w:r>
              <w:rPr>
                <w:rFonts w:hint="eastAsia" w:ascii="宋体" w:hAnsi="宋体" w:eastAsia="宋体" w:cs="宋体"/>
                <w:color w:val="000000" w:themeColor="text1"/>
                <w:kern w:val="0"/>
                <w:sz w:val="24"/>
                <w:szCs w:val="24"/>
                <w:highlight w:val="none"/>
                <w14:textFill>
                  <w14:solidFill>
                    <w14:schemeClr w14:val="tx1"/>
                  </w14:solidFill>
                </w14:textFill>
              </w:rPr>
              <w:t>价</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报</w:t>
            </w:r>
            <w:r>
              <w:rPr>
                <w:rFonts w:hint="eastAsia" w:ascii="宋体" w:hAnsi="宋体" w:eastAsia="宋体" w:cs="宋体"/>
                <w:color w:val="000000" w:themeColor="text1"/>
                <w:kern w:val="0"/>
                <w:sz w:val="24"/>
                <w:szCs w:val="24"/>
                <w:highlight w:val="none"/>
                <w14:textFill>
                  <w14:solidFill>
                    <w14:schemeClr w14:val="tx1"/>
                  </w14:solidFill>
                </w14:textFill>
              </w:rPr>
              <w:t>告初稿</w:t>
            </w:r>
          </w:p>
        </w:tc>
      </w:tr>
      <w:tr>
        <w:tblPrEx>
          <w:tblCellMar>
            <w:top w:w="0" w:type="dxa"/>
            <w:left w:w="0" w:type="dxa"/>
            <w:bottom w:w="0" w:type="dxa"/>
            <w:right w:w="0" w:type="dxa"/>
          </w:tblCellMar>
        </w:tblPrEx>
        <w:trPr>
          <w:trHeight w:val="2519" w:hRule="atLeast"/>
          <w:jc w:val="center"/>
        </w:trPr>
        <w:tc>
          <w:tcPr>
            <w:tcW w:w="831"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138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27"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绩效评价评审会</w:t>
            </w:r>
          </w:p>
        </w:tc>
        <w:tc>
          <w:tcPr>
            <w:tcW w:w="5788"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13" w:right="11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1、协助委托方邀请</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相关</w:t>
            </w:r>
            <w:r>
              <w:rPr>
                <w:rFonts w:hint="eastAsia" w:ascii="宋体" w:hAnsi="宋体" w:eastAsia="宋体" w:cs="宋体"/>
                <w:color w:val="000000" w:themeColor="text1"/>
                <w:kern w:val="0"/>
                <w:sz w:val="24"/>
                <w:szCs w:val="24"/>
                <w:highlight w:val="none"/>
                <w14:textFill>
                  <w14:solidFill>
                    <w14:schemeClr w14:val="tx1"/>
                  </w14:solidFill>
                </w14:textFill>
              </w:rPr>
              <w:t>单位，召开绩效评价评审会；对项目实施情况及绩效达成情况进行综合评价；</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13" w:right="11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2、协助出具评价会议纪要。</w:t>
            </w:r>
          </w:p>
        </w:tc>
        <w:tc>
          <w:tcPr>
            <w:tcW w:w="161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27" w:right="263"/>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会议签到表、各方意见表、会议纪要</w:t>
            </w:r>
          </w:p>
        </w:tc>
      </w:tr>
      <w:tr>
        <w:tblPrEx>
          <w:tblCellMar>
            <w:top w:w="0" w:type="dxa"/>
            <w:left w:w="0" w:type="dxa"/>
            <w:bottom w:w="0" w:type="dxa"/>
            <w:right w:w="0" w:type="dxa"/>
          </w:tblCellMar>
        </w:tblPrEx>
        <w:trPr>
          <w:trHeight w:val="57" w:hRule="atLeast"/>
          <w:jc w:val="center"/>
        </w:trPr>
        <w:tc>
          <w:tcPr>
            <w:tcW w:w="831"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138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27"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绩效评价</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27"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报告</w:t>
            </w:r>
          </w:p>
        </w:tc>
        <w:tc>
          <w:tcPr>
            <w:tcW w:w="5788"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13" w:right="11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1、根据绩效评价评审会的会议纪要完善绩效评价报告；第三方评价机构和项目实施机构对绩效评价报告盖章；</w:t>
            </w:r>
          </w:p>
        </w:tc>
        <w:tc>
          <w:tcPr>
            <w:tcW w:w="161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27" w:right="263"/>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绩效评价报告</w:t>
            </w:r>
          </w:p>
        </w:tc>
      </w:tr>
      <w:tr>
        <w:tblPrEx>
          <w:tblCellMar>
            <w:top w:w="0" w:type="dxa"/>
            <w:left w:w="0" w:type="dxa"/>
            <w:bottom w:w="0" w:type="dxa"/>
            <w:right w:w="0" w:type="dxa"/>
          </w:tblCellMar>
        </w:tblPrEx>
        <w:trPr>
          <w:trHeight w:val="734" w:hRule="atLeast"/>
          <w:jc w:val="center"/>
        </w:trPr>
        <w:tc>
          <w:tcPr>
            <w:tcW w:w="831"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w:t>
            </w:r>
          </w:p>
        </w:tc>
        <w:tc>
          <w:tcPr>
            <w:tcW w:w="8796" w:type="dxa"/>
            <w:gridSpan w:val="3"/>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考核反馈与应用</w:t>
            </w:r>
          </w:p>
        </w:tc>
      </w:tr>
      <w:tr>
        <w:tblPrEx>
          <w:tblCellMar>
            <w:top w:w="0" w:type="dxa"/>
            <w:left w:w="0" w:type="dxa"/>
            <w:bottom w:w="0" w:type="dxa"/>
            <w:right w:w="0" w:type="dxa"/>
          </w:tblCellMar>
        </w:tblPrEx>
        <w:trPr>
          <w:trHeight w:val="1629" w:hRule="atLeast"/>
          <w:jc w:val="center"/>
        </w:trPr>
        <w:tc>
          <w:tcPr>
            <w:tcW w:w="831"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3.1</w:t>
            </w:r>
          </w:p>
        </w:tc>
        <w:tc>
          <w:tcPr>
            <w:tcW w:w="138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27"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整改</w:t>
            </w:r>
            <w:r>
              <w:rPr>
                <w:rFonts w:hint="eastAsia" w:ascii="宋体" w:hAnsi="宋体" w:eastAsia="宋体" w:cs="宋体"/>
                <w:color w:val="000000" w:themeColor="text1"/>
                <w:spacing w:val="-8"/>
                <w:w w:val="104"/>
                <w:kern w:val="0"/>
                <w:sz w:val="24"/>
                <w:szCs w:val="24"/>
                <w:highlight w:val="none"/>
                <w14:textFill>
                  <w14:solidFill>
                    <w14:schemeClr w14:val="tx1"/>
                  </w14:solidFill>
                </w14:textFill>
              </w:rPr>
              <w:t>通</w:t>
            </w:r>
            <w:r>
              <w:rPr>
                <w:rFonts w:hint="eastAsia" w:ascii="宋体" w:hAnsi="宋体" w:eastAsia="宋体" w:cs="宋体"/>
                <w:color w:val="000000" w:themeColor="text1"/>
                <w:kern w:val="0"/>
                <w:sz w:val="24"/>
                <w:szCs w:val="24"/>
                <w:highlight w:val="none"/>
                <w14:textFill>
                  <w14:solidFill>
                    <w14:schemeClr w14:val="tx1"/>
                  </w14:solidFill>
                </w14:textFill>
              </w:rPr>
              <w:t>知</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函</w:t>
            </w:r>
          </w:p>
        </w:tc>
        <w:tc>
          <w:tcPr>
            <w:tcW w:w="5788"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13" w:right="11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根据本次的绩效评价报告，协助实施机构出具并下发整改通知函，项目公司限期整改。</w:t>
            </w:r>
          </w:p>
        </w:tc>
        <w:tc>
          <w:tcPr>
            <w:tcW w:w="161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12"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整改</w:t>
            </w:r>
            <w:r>
              <w:rPr>
                <w:rFonts w:hint="eastAsia" w:ascii="宋体" w:hAnsi="宋体" w:eastAsia="宋体" w:cs="宋体"/>
                <w:color w:val="000000" w:themeColor="text1"/>
                <w:spacing w:val="-8"/>
                <w:w w:val="104"/>
                <w:kern w:val="0"/>
                <w:sz w:val="24"/>
                <w:szCs w:val="24"/>
                <w:highlight w:val="none"/>
                <w14:textFill>
                  <w14:solidFill>
                    <w14:schemeClr w14:val="tx1"/>
                  </w14:solidFill>
                </w14:textFill>
              </w:rPr>
              <w:t>通</w:t>
            </w:r>
            <w:r>
              <w:rPr>
                <w:rFonts w:hint="eastAsia" w:ascii="宋体" w:hAnsi="宋体" w:eastAsia="宋体" w:cs="宋体"/>
                <w:color w:val="000000" w:themeColor="text1"/>
                <w:kern w:val="0"/>
                <w:sz w:val="24"/>
                <w:szCs w:val="24"/>
                <w:highlight w:val="none"/>
                <w14:textFill>
                  <w14:solidFill>
                    <w14:schemeClr w14:val="tx1"/>
                  </w14:solidFill>
                </w14:textFill>
              </w:rPr>
              <w:t>知</w:t>
            </w:r>
            <w:r>
              <w:rPr>
                <w:rFonts w:hint="eastAsia" w:ascii="宋体" w:hAnsi="宋体" w:eastAsia="宋体" w:cs="宋体"/>
                <w:color w:val="000000" w:themeColor="text1"/>
                <w:spacing w:val="-1"/>
                <w:w w:val="101"/>
                <w:kern w:val="0"/>
                <w:sz w:val="24"/>
                <w:szCs w:val="24"/>
                <w:highlight w:val="none"/>
                <w14:textFill>
                  <w14:solidFill>
                    <w14:schemeClr w14:val="tx1"/>
                  </w14:solidFill>
                </w14:textFill>
              </w:rPr>
              <w:t>函</w:t>
            </w:r>
          </w:p>
        </w:tc>
      </w:tr>
      <w:tr>
        <w:tblPrEx>
          <w:tblCellMar>
            <w:top w:w="0" w:type="dxa"/>
            <w:left w:w="0" w:type="dxa"/>
            <w:bottom w:w="0" w:type="dxa"/>
            <w:right w:w="0" w:type="dxa"/>
          </w:tblCellMar>
        </w:tblPrEx>
        <w:trPr>
          <w:trHeight w:val="1035" w:hRule="atLeast"/>
          <w:jc w:val="center"/>
        </w:trPr>
        <w:tc>
          <w:tcPr>
            <w:tcW w:w="831"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w:t>
            </w:r>
          </w:p>
        </w:tc>
        <w:tc>
          <w:tcPr>
            <w:tcW w:w="138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27" w:right="263"/>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绩效评价反馈与应用</w:t>
            </w:r>
          </w:p>
        </w:tc>
        <w:tc>
          <w:tcPr>
            <w:tcW w:w="5788"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13" w:right="11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绩效跟踪、持续性沟通。根据上一频次的绩效评价结果，协助委托方与项目公司就存在的问题进行沟通，提高绩效评价效果。</w:t>
            </w:r>
          </w:p>
        </w:tc>
        <w:tc>
          <w:tcPr>
            <w:tcW w:w="1619"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112" w:right="173"/>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洽谈文件、运营绩效情况分析等咨询建议</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301"/>
        <w:jc w:val="both"/>
        <w:textAlignment w:val="auto"/>
        <w:rPr>
          <w:rFonts w:hint="eastAsia" w:ascii="宋体" w:hAnsi="宋体" w:eastAsia="宋体" w:cs="宋体"/>
          <w:color w:val="000000" w:themeColor="text1"/>
          <w:spacing w:val="-4"/>
          <w:kern w:val="2"/>
          <w:sz w:val="24"/>
          <w:szCs w:val="24"/>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376" w:leftChars="-179" w:right="-672" w:rightChars="-320" w:firstLine="516" w:firstLineChars="215"/>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（二）日常咨询服务</w:t>
      </w:r>
    </w:p>
    <w:p>
      <w:pPr>
        <w:keepNext w:val="0"/>
        <w:keepLines w:val="0"/>
        <w:pageBreakBefore w:val="0"/>
        <w:widowControl w:val="0"/>
        <w:kinsoku/>
        <w:wordWrap/>
        <w:overflowPunct/>
        <w:topLinePunct w:val="0"/>
        <w:autoSpaceDE/>
        <w:autoSpaceDN/>
        <w:bidi w:val="0"/>
        <w:adjustRightInd w:val="0"/>
        <w:snapToGrid w:val="0"/>
        <w:spacing w:line="400" w:lineRule="exact"/>
        <w:ind w:left="-376" w:leftChars="-179" w:right="-672" w:rightChars="-320" w:firstLine="516" w:firstLineChars="215"/>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日常咨询服务内容针对项目在运作过程中涉及的各项日常事务，主要包括政策解读及合规性分析、信息公开、财政支付义务核算、合同解释答疑等。</w:t>
      </w:r>
    </w:p>
    <w:p>
      <w:pPr>
        <w:keepNext w:val="0"/>
        <w:keepLines w:val="0"/>
        <w:pageBreakBefore w:val="0"/>
        <w:widowControl w:val="0"/>
        <w:kinsoku/>
        <w:wordWrap/>
        <w:overflowPunct/>
        <w:topLinePunct w:val="0"/>
        <w:autoSpaceDE/>
        <w:autoSpaceDN/>
        <w:bidi w:val="0"/>
        <w:adjustRightInd w:val="0"/>
        <w:snapToGrid w:val="0"/>
        <w:spacing w:line="400" w:lineRule="exact"/>
        <w:ind w:left="-376" w:leftChars="-179" w:right="-672" w:rightChars="-320" w:firstLine="516" w:firstLineChars="215"/>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政策解读及合规性分析</w:t>
      </w:r>
    </w:p>
    <w:p>
      <w:pPr>
        <w:keepNext w:val="0"/>
        <w:keepLines w:val="0"/>
        <w:pageBreakBefore w:val="0"/>
        <w:widowControl w:val="0"/>
        <w:kinsoku/>
        <w:wordWrap/>
        <w:overflowPunct/>
        <w:topLinePunct w:val="0"/>
        <w:autoSpaceDE/>
        <w:autoSpaceDN/>
        <w:bidi w:val="0"/>
        <w:adjustRightInd w:val="0"/>
        <w:snapToGrid w:val="0"/>
        <w:spacing w:line="400" w:lineRule="exact"/>
        <w:ind w:left="-376" w:leftChars="-179" w:right="-672" w:rightChars="-320" w:firstLine="516" w:firstLineChars="215"/>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项目执行过程中，及时对国家相关部委及省内出台的PPP领域监管政策进行收集和解读，对本项目的合规性及潜在风险进行分析，协助研究和沟通制定方案。</w:t>
      </w:r>
    </w:p>
    <w:p>
      <w:pPr>
        <w:keepNext w:val="0"/>
        <w:keepLines w:val="0"/>
        <w:pageBreakBefore w:val="0"/>
        <w:widowControl w:val="0"/>
        <w:kinsoku/>
        <w:wordWrap/>
        <w:overflowPunct/>
        <w:topLinePunct w:val="0"/>
        <w:autoSpaceDE/>
        <w:autoSpaceDN/>
        <w:bidi w:val="0"/>
        <w:adjustRightInd w:val="0"/>
        <w:snapToGrid w:val="0"/>
        <w:spacing w:line="400" w:lineRule="exact"/>
        <w:ind w:left="-376" w:leftChars="-179" w:right="-672" w:rightChars="-320" w:firstLine="516" w:firstLineChars="215"/>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信息公开</w:t>
      </w:r>
    </w:p>
    <w:p>
      <w:pPr>
        <w:keepNext w:val="0"/>
        <w:keepLines w:val="0"/>
        <w:pageBreakBefore w:val="0"/>
        <w:widowControl w:val="0"/>
        <w:kinsoku/>
        <w:wordWrap/>
        <w:overflowPunct/>
        <w:topLinePunct w:val="0"/>
        <w:autoSpaceDE/>
        <w:autoSpaceDN/>
        <w:bidi w:val="0"/>
        <w:adjustRightInd w:val="0"/>
        <w:snapToGrid w:val="0"/>
        <w:spacing w:line="400" w:lineRule="exact"/>
        <w:ind w:left="-376" w:leftChars="-179" w:right="-672" w:rightChars="-320" w:firstLine="516" w:firstLineChars="215"/>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根据相关政策要求，PPP项目执行过程中，项目实施机构、本级财政部门、项目公司各相关方应及时在财政部综合信息平台上进行项目信息及文件的更新，咨询机构负责定期协助项目相关各方收集录入信息。</w:t>
      </w:r>
    </w:p>
    <w:p>
      <w:pPr>
        <w:keepNext w:val="0"/>
        <w:keepLines w:val="0"/>
        <w:pageBreakBefore w:val="0"/>
        <w:widowControl w:val="0"/>
        <w:kinsoku/>
        <w:wordWrap/>
        <w:overflowPunct/>
        <w:topLinePunct w:val="0"/>
        <w:autoSpaceDE/>
        <w:autoSpaceDN/>
        <w:bidi w:val="0"/>
        <w:adjustRightInd w:val="0"/>
        <w:snapToGrid w:val="0"/>
        <w:spacing w:line="400" w:lineRule="exact"/>
        <w:ind w:left="-376" w:leftChars="-179" w:right="-672" w:rightChars="-320" w:firstLine="516" w:firstLineChars="215"/>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财政支付义务核算</w:t>
      </w:r>
    </w:p>
    <w:p>
      <w:pPr>
        <w:keepNext w:val="0"/>
        <w:keepLines w:val="0"/>
        <w:pageBreakBefore w:val="0"/>
        <w:widowControl w:val="0"/>
        <w:kinsoku/>
        <w:wordWrap/>
        <w:overflowPunct/>
        <w:topLinePunct w:val="0"/>
        <w:autoSpaceDE/>
        <w:autoSpaceDN/>
        <w:bidi w:val="0"/>
        <w:adjustRightInd w:val="0"/>
        <w:snapToGrid w:val="0"/>
        <w:spacing w:line="400" w:lineRule="exact"/>
        <w:ind w:left="-376" w:leftChars="-179" w:right="-672" w:rightChars="-320" w:firstLine="516" w:firstLineChars="215"/>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协助项目实施机构和财政部门完成项目建设期利息，并根据PPP项目合同约定的计算方式，及绩效考核结果，协助核算年度财政支付数据。</w:t>
      </w:r>
    </w:p>
    <w:p>
      <w:pPr>
        <w:keepNext w:val="0"/>
        <w:keepLines w:val="0"/>
        <w:pageBreakBefore w:val="0"/>
        <w:widowControl w:val="0"/>
        <w:kinsoku/>
        <w:wordWrap/>
        <w:overflowPunct/>
        <w:topLinePunct w:val="0"/>
        <w:autoSpaceDE/>
        <w:autoSpaceDN/>
        <w:bidi w:val="0"/>
        <w:adjustRightInd w:val="0"/>
        <w:snapToGrid w:val="0"/>
        <w:spacing w:line="400" w:lineRule="exact"/>
        <w:ind w:left="-376" w:leftChars="-179" w:right="-672" w:rightChars="-320" w:firstLine="516" w:firstLineChars="215"/>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合同解释答疑</w:t>
      </w:r>
    </w:p>
    <w:p>
      <w:pPr>
        <w:keepNext w:val="0"/>
        <w:keepLines w:val="0"/>
        <w:pageBreakBefore w:val="0"/>
        <w:widowControl w:val="0"/>
        <w:kinsoku/>
        <w:wordWrap/>
        <w:overflowPunct/>
        <w:topLinePunct w:val="0"/>
        <w:autoSpaceDE/>
        <w:autoSpaceDN/>
        <w:bidi w:val="0"/>
        <w:adjustRightInd w:val="0"/>
        <w:snapToGrid w:val="0"/>
        <w:spacing w:line="400" w:lineRule="exact"/>
        <w:ind w:left="-376" w:leftChars="-179" w:right="-672" w:rightChars="-320" w:firstLine="516" w:firstLineChars="215"/>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项目运作过程中协助各方理解项目协议具体条款的含义及内容，根据需要对项目合同体系、关键要点进行说明，以便相关工作人员熟悉项目情况。</w:t>
      </w:r>
    </w:p>
    <w:p>
      <w:pPr>
        <w:pStyle w:val="15"/>
        <w:keepNext w:val="0"/>
        <w:keepLines w:val="0"/>
        <w:pageBreakBefore w:val="0"/>
        <w:widowControl w:val="0"/>
        <w:numPr>
          <w:ilvl w:val="0"/>
          <w:numId w:val="6"/>
        </w:numPr>
        <w:kinsoku/>
        <w:wordWrap/>
        <w:overflowPunct/>
        <w:topLinePunct w:val="0"/>
        <w:bidi w:val="0"/>
        <w:spacing w:after="0" w:afterLines="0" w:line="400" w:lineRule="exact"/>
        <w:ind w:left="-376" w:leftChars="-179" w:right="-672" w:rightChars="-320" w:firstLine="516" w:firstLineChars="215"/>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数字化服务</w:t>
      </w:r>
    </w:p>
    <w:p>
      <w:pPr>
        <w:pStyle w:val="16"/>
        <w:keepNext w:val="0"/>
        <w:keepLines w:val="0"/>
        <w:pageBreakBefore w:val="0"/>
        <w:widowControl w:val="0"/>
        <w:numPr>
          <w:ilvl w:val="0"/>
          <w:numId w:val="0"/>
        </w:numPr>
        <w:kinsoku/>
        <w:wordWrap/>
        <w:overflowPunct/>
        <w:topLinePunct w:val="0"/>
        <w:bidi w:val="0"/>
        <w:spacing w:after="0" w:afterLines="0" w:line="400" w:lineRule="exact"/>
        <w:ind w:left="-376" w:leftChars="-179" w:right="-672" w:rightChars="-320" w:firstLine="516" w:firstLineChars="21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在项目绩效评价过程中，运用数字化等手段，对项目进行智慧管理。结合线上管理功能，为线下咨询服务提供数字化辅助支持。</w:t>
      </w:r>
    </w:p>
    <w:p>
      <w:pPr>
        <w:keepNext w:val="0"/>
        <w:keepLines w:val="0"/>
        <w:pageBreakBefore w:val="0"/>
        <w:widowControl w:val="0"/>
        <w:kinsoku/>
        <w:wordWrap/>
        <w:overflowPunct/>
        <w:topLinePunct w:val="0"/>
        <w:autoSpaceDE/>
        <w:autoSpaceDN/>
        <w:bidi w:val="0"/>
        <w:adjustRightInd w:val="0"/>
        <w:snapToGrid w:val="0"/>
        <w:spacing w:line="400" w:lineRule="exact"/>
        <w:ind w:left="-376" w:leftChars="-179" w:right="-672" w:rightChars="-320" w:firstLine="498" w:firstLineChars="215"/>
        <w:jc w:val="both"/>
        <w:textAlignment w:val="auto"/>
        <w:rPr>
          <w:rFonts w:hint="eastAsia" w:ascii="宋体" w:hAnsi="宋体" w:eastAsia="宋体" w:cs="宋体"/>
          <w:bCs/>
          <w:color w:val="000000" w:themeColor="text1"/>
          <w:spacing w:val="-4"/>
          <w:kern w:val="2"/>
          <w:sz w:val="24"/>
          <w:szCs w:val="24"/>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376" w:leftChars="-179" w:right="-672" w:rightChars="-320" w:firstLine="516" w:firstLineChars="215"/>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（三）绩效评价服务要求：</w:t>
      </w:r>
    </w:p>
    <w:p>
      <w:pPr>
        <w:keepNext w:val="0"/>
        <w:keepLines w:val="0"/>
        <w:pageBreakBefore w:val="0"/>
        <w:widowControl w:val="0"/>
        <w:kinsoku/>
        <w:wordWrap/>
        <w:overflowPunct/>
        <w:topLinePunct w:val="0"/>
        <w:autoSpaceDE/>
        <w:autoSpaceDN/>
        <w:bidi w:val="0"/>
        <w:adjustRightInd w:val="0"/>
        <w:snapToGrid w:val="0"/>
        <w:spacing w:line="400" w:lineRule="exact"/>
        <w:ind w:left="-376" w:leftChars="-179" w:right="-672" w:rightChars="-320" w:firstLine="516" w:firstLineChars="215"/>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绩效评价方案作为绩效评价工作的纲领性文件，含绩效指标、评价流程及结果应用，内容要详实、措施要有针对性，整体方案必须要符合项目实际，具有可操作性。</w:t>
      </w:r>
    </w:p>
    <w:p>
      <w:pPr>
        <w:keepNext w:val="0"/>
        <w:keepLines w:val="0"/>
        <w:pageBreakBefore w:val="0"/>
        <w:widowControl w:val="0"/>
        <w:kinsoku/>
        <w:wordWrap/>
        <w:overflowPunct/>
        <w:topLinePunct w:val="0"/>
        <w:autoSpaceDE/>
        <w:autoSpaceDN/>
        <w:bidi w:val="0"/>
        <w:adjustRightInd w:val="0"/>
        <w:snapToGrid w:val="0"/>
        <w:spacing w:line="400" w:lineRule="exact"/>
        <w:ind w:left="-376" w:leftChars="-179" w:right="-672" w:rightChars="-320" w:firstLine="516" w:firstLineChars="215"/>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在PPP合同基础上，指导完善绩效评价指标设置，提供细化、可量化的绩效评价指标，确保绩效评价工作的可执行性、合理性和专业性。</w:t>
      </w:r>
    </w:p>
    <w:p>
      <w:pPr>
        <w:keepNext w:val="0"/>
        <w:keepLines w:val="0"/>
        <w:pageBreakBefore w:val="0"/>
        <w:widowControl w:val="0"/>
        <w:kinsoku/>
        <w:wordWrap/>
        <w:overflowPunct/>
        <w:topLinePunct w:val="0"/>
        <w:autoSpaceDE/>
        <w:autoSpaceDN/>
        <w:bidi w:val="0"/>
        <w:adjustRightInd w:val="0"/>
        <w:snapToGrid w:val="0"/>
        <w:spacing w:line="400" w:lineRule="exact"/>
        <w:ind w:left="-376" w:leftChars="-179" w:right="-672" w:rightChars="-320" w:firstLine="516" w:firstLineChars="215"/>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实施绩效评价。提供从建立绩效评价组织管理机制、绩效评价方案设计、组织绩效评价、编制绩效评价报告、考核反馈与建档的一体化绩效评价服务。</w:t>
      </w:r>
    </w:p>
    <w:p>
      <w:pPr>
        <w:keepNext w:val="0"/>
        <w:keepLines w:val="0"/>
        <w:pageBreakBefore w:val="0"/>
        <w:widowControl w:val="0"/>
        <w:kinsoku/>
        <w:wordWrap/>
        <w:overflowPunct/>
        <w:topLinePunct w:val="0"/>
        <w:autoSpaceDE/>
        <w:autoSpaceDN/>
        <w:bidi w:val="0"/>
        <w:adjustRightInd w:val="0"/>
        <w:snapToGrid w:val="0"/>
        <w:spacing w:line="400" w:lineRule="exact"/>
        <w:ind w:left="-376" w:leftChars="-179" w:right="-672" w:rightChars="-320" w:firstLine="516" w:firstLineChars="215"/>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项目绩效评价服务工作完成时间节点要求。</w:t>
      </w:r>
      <w:r>
        <w:rPr>
          <w:rFonts w:hint="eastAsia" w:ascii="宋体" w:hAnsi="宋体" w:cs="宋体"/>
          <w:bCs/>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bCs/>
          <w:color w:val="000000" w:themeColor="text1"/>
          <w:sz w:val="24"/>
          <w:szCs w:val="24"/>
          <w:highlight w:val="none"/>
          <w14:textFill>
            <w14:solidFill>
              <w14:schemeClr w14:val="tx1"/>
            </w14:solidFill>
          </w14:textFill>
        </w:rPr>
        <w:t>必须在双方合同签订后及时开展运营期绩效评价服务工作，每期绩效评价报告完成时间应自实施机构通知起1个月内完成。因非</w:t>
      </w:r>
      <w:r>
        <w:rPr>
          <w:rFonts w:hint="eastAsia" w:ascii="宋体" w:hAnsi="宋体" w:cs="宋体"/>
          <w:bCs/>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bCs/>
          <w:color w:val="000000" w:themeColor="text1"/>
          <w:sz w:val="24"/>
          <w:szCs w:val="24"/>
          <w:highlight w:val="none"/>
          <w14:textFill>
            <w14:solidFill>
              <w14:schemeClr w14:val="tx1"/>
            </w14:solidFill>
          </w14:textFill>
        </w:rPr>
        <w:t>原因造成绩效评价服务工作未能如期完成并上报，完成时间可相应顺延。</w:t>
      </w:r>
    </w:p>
    <w:p>
      <w:pPr>
        <w:keepNext w:val="0"/>
        <w:keepLines w:val="0"/>
        <w:pageBreakBefore w:val="0"/>
        <w:widowControl w:val="0"/>
        <w:kinsoku/>
        <w:wordWrap/>
        <w:overflowPunct/>
        <w:topLinePunct w:val="0"/>
        <w:autoSpaceDE/>
        <w:autoSpaceDN/>
        <w:bidi w:val="0"/>
        <w:adjustRightInd w:val="0"/>
        <w:snapToGrid w:val="0"/>
        <w:spacing w:line="400" w:lineRule="exact"/>
        <w:ind w:left="-376" w:leftChars="-179" w:right="-672" w:rightChars="-320" w:firstLine="516" w:firstLineChars="215"/>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项目绩效评价服务</w:t>
      </w:r>
      <w:r>
        <w:rPr>
          <w:rFonts w:hint="eastAsia" w:ascii="宋体" w:hAnsi="宋体" w:eastAsia="宋体" w:cs="宋体"/>
          <w:bCs/>
          <w:color w:val="000000" w:themeColor="text1"/>
          <w:sz w:val="24"/>
          <w:szCs w:val="24"/>
          <w:highlight w:val="none"/>
          <w:lang w:eastAsia="zh-CN"/>
          <w14:textFill>
            <w14:solidFill>
              <w14:schemeClr w14:val="tx1"/>
            </w14:solidFill>
          </w14:textFill>
        </w:rPr>
        <w:t>完成后，</w:t>
      </w:r>
      <w:r>
        <w:rPr>
          <w:rFonts w:hint="eastAsia" w:ascii="宋体" w:hAnsi="宋体" w:cs="宋体"/>
          <w:bCs/>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bCs/>
          <w:color w:val="000000" w:themeColor="text1"/>
          <w:sz w:val="24"/>
          <w:szCs w:val="24"/>
          <w:highlight w:val="none"/>
          <w:lang w:eastAsia="zh-CN"/>
          <w14:textFill>
            <w14:solidFill>
              <w14:schemeClr w14:val="tx1"/>
            </w14:solidFill>
          </w14:textFill>
        </w:rPr>
        <w:t>应按采购人及</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PPP项目合同</w:t>
      </w:r>
      <w:r>
        <w:rPr>
          <w:rFonts w:hint="eastAsia" w:ascii="宋体" w:hAnsi="宋体" w:eastAsia="宋体" w:cs="宋体"/>
          <w:bCs/>
          <w:color w:val="000000" w:themeColor="text1"/>
          <w:sz w:val="24"/>
          <w:szCs w:val="24"/>
          <w:highlight w:val="none"/>
          <w:lang w:eastAsia="zh-CN"/>
          <w14:textFill>
            <w14:solidFill>
              <w14:schemeClr w14:val="tx1"/>
            </w14:solidFill>
          </w14:textFill>
        </w:rPr>
        <w:t>的要求出具相应的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绩效考核报告。</w:t>
      </w:r>
    </w:p>
    <w:p>
      <w:pPr>
        <w:keepNext w:val="0"/>
        <w:keepLines w:val="0"/>
        <w:pageBreakBefore w:val="0"/>
        <w:widowControl w:val="0"/>
        <w:shd w:val="clear"/>
        <w:kinsoku/>
        <w:wordWrap/>
        <w:overflowPunct/>
        <w:topLinePunct w:val="0"/>
        <w:bidi w:val="0"/>
        <w:spacing w:line="400" w:lineRule="exact"/>
        <w:ind w:left="-376" w:leftChars="-179" w:right="-672" w:rightChars="-320" w:firstLine="518" w:firstLineChars="215"/>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（三）其他项目要求</w:t>
      </w:r>
    </w:p>
    <w:p>
      <w:pPr>
        <w:keepNext w:val="0"/>
        <w:keepLines w:val="0"/>
        <w:pageBreakBefore w:val="0"/>
        <w:widowControl w:val="0"/>
        <w:shd w:val="clear"/>
        <w:kinsoku/>
        <w:wordWrap/>
        <w:overflowPunct/>
        <w:topLinePunct w:val="0"/>
        <w:bidi w:val="0"/>
        <w:spacing w:line="400" w:lineRule="exact"/>
        <w:ind w:left="-376" w:leftChars="-179" w:right="-672" w:rightChars="-320" w:firstLine="516" w:firstLineChars="215"/>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本招标需求提出的是最低限度的基本技术要求，并未对所有技术细节作出规定，</w:t>
      </w:r>
      <w:r>
        <w:rPr>
          <w:rFonts w:hint="eastAsia" w:ascii="宋体" w:hAnsi="宋体" w:eastAsia="宋体" w:cs="宋体"/>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Cs/>
          <w:color w:val="000000" w:themeColor="text1"/>
          <w:sz w:val="24"/>
          <w:szCs w:val="24"/>
          <w:highlight w:val="none"/>
          <w14:textFill>
            <w14:solidFill>
              <w14:schemeClr w14:val="tx1"/>
            </w14:solidFill>
          </w14:textFill>
        </w:rPr>
        <w:t>应提供符合本技术要求和国家标准、行业标准的</w:t>
      </w:r>
      <w:r>
        <w:rPr>
          <w:rFonts w:hint="eastAsia" w:ascii="宋体" w:hAnsi="宋体" w:eastAsia="宋体" w:cs="宋体"/>
          <w:bCs/>
          <w:color w:val="000000" w:themeColor="text1"/>
          <w:sz w:val="24"/>
          <w:szCs w:val="24"/>
          <w:highlight w:val="none"/>
          <w:lang w:eastAsia="zh-CN"/>
          <w14:textFill>
            <w14:solidFill>
              <w14:schemeClr w14:val="tx1"/>
            </w14:solidFill>
          </w14:textFill>
        </w:rPr>
        <w:t>成果报告</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widowControl w:val="0"/>
        <w:shd w:val="clear"/>
        <w:kinsoku/>
        <w:wordWrap/>
        <w:overflowPunct/>
        <w:topLinePunct w:val="0"/>
        <w:bidi w:val="0"/>
        <w:spacing w:line="400" w:lineRule="exact"/>
        <w:ind w:left="-376" w:leftChars="-179" w:right="-672" w:rightChars="-320" w:firstLine="518" w:firstLineChars="215"/>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（四）服务期</w:t>
      </w:r>
    </w:p>
    <w:p>
      <w:pPr>
        <w:keepNext w:val="0"/>
        <w:keepLines w:val="0"/>
        <w:pageBreakBefore w:val="0"/>
        <w:widowControl w:val="0"/>
        <w:shd w:val="clear"/>
        <w:kinsoku/>
        <w:wordWrap/>
        <w:overflowPunct/>
        <w:topLinePunct w:val="0"/>
        <w:bidi w:val="0"/>
        <w:spacing w:line="400" w:lineRule="exact"/>
        <w:ind w:left="-376" w:leftChars="-179" w:right="-672" w:rightChars="-320" w:firstLine="516" w:firstLineChars="215"/>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服务期限：</w:t>
      </w:r>
      <w:r>
        <w:rPr>
          <w:rFonts w:hint="eastAsia" w:ascii="宋体" w:hAnsi="宋体" w:cs="宋体"/>
          <w:bCs/>
          <w:color w:val="000000" w:themeColor="text1"/>
          <w:sz w:val="24"/>
          <w:szCs w:val="24"/>
          <w:highlight w:val="none"/>
          <w:lang w:val="en-US" w:eastAsia="zh-CN"/>
          <w14:textFill>
            <w14:solidFill>
              <w14:schemeClr w14:val="tx1"/>
            </w14:solidFill>
          </w14:textFill>
        </w:rPr>
        <w:t>两年，从合同签订之日至完成2025年-2026年度绩效评价报告为止。</w:t>
      </w:r>
    </w:p>
    <w:p>
      <w:pPr>
        <w:keepNext w:val="0"/>
        <w:keepLines w:val="0"/>
        <w:pageBreakBefore w:val="0"/>
        <w:widowControl w:val="0"/>
        <w:shd w:val="clear"/>
        <w:kinsoku/>
        <w:wordWrap/>
        <w:overflowPunct/>
        <w:topLinePunct w:val="0"/>
        <w:bidi w:val="0"/>
        <w:spacing w:line="400" w:lineRule="exact"/>
        <w:ind w:left="-376" w:leftChars="-179" w:right="-672" w:rightChars="-320" w:firstLine="518" w:firstLineChars="215"/>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lang w:eastAsia="zh-CN"/>
          <w14:textFill>
            <w14:solidFill>
              <w14:schemeClr w14:val="tx1"/>
            </w14:solidFill>
          </w14:textFill>
        </w:rPr>
        <w:t>付款方式</w:t>
      </w:r>
    </w:p>
    <w:p>
      <w:pPr>
        <w:keepNext w:val="0"/>
        <w:keepLines w:val="0"/>
        <w:pageBreakBefore w:val="0"/>
        <w:widowControl w:val="0"/>
        <w:shd w:val="clear"/>
        <w:kinsoku/>
        <w:wordWrap/>
        <w:overflowPunct/>
        <w:topLinePunct w:val="0"/>
        <w:bidi w:val="0"/>
        <w:spacing w:line="400" w:lineRule="exact"/>
        <w:ind w:left="-376" w:leftChars="-179" w:right="-672" w:rightChars="-320" w:firstLine="516" w:firstLineChars="215"/>
        <w:jc w:val="lef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签订合同后，在合同生效以及具备实施条件后7个工作日内支付合同金额的40%作为预付款。</w:t>
      </w:r>
    </w:p>
    <w:p>
      <w:pPr>
        <w:keepNext w:val="0"/>
        <w:keepLines w:val="0"/>
        <w:pageBreakBefore w:val="0"/>
        <w:widowControl w:val="0"/>
        <w:shd w:val="clear"/>
        <w:kinsoku/>
        <w:wordWrap/>
        <w:overflowPunct/>
        <w:topLinePunct w:val="0"/>
        <w:bidi w:val="0"/>
        <w:spacing w:line="400" w:lineRule="exact"/>
        <w:ind w:left="-376" w:leftChars="-179" w:right="-672" w:rightChars="-320" w:firstLine="516" w:firstLineChars="215"/>
        <w:jc w:val="left"/>
        <w:textAlignment w:val="auto"/>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完成2024年-2025年度运营期绩效评价报告，采购人支付合同金额30%。</w:t>
      </w:r>
    </w:p>
    <w:p>
      <w:pPr>
        <w:keepNext w:val="0"/>
        <w:keepLines w:val="0"/>
        <w:pageBreakBefore w:val="0"/>
        <w:widowControl w:val="0"/>
        <w:shd w:val="clear"/>
        <w:kinsoku/>
        <w:wordWrap/>
        <w:overflowPunct/>
        <w:topLinePunct w:val="0"/>
        <w:bidi w:val="0"/>
        <w:spacing w:line="400" w:lineRule="exact"/>
        <w:ind w:left="-376" w:leftChars="-179" w:right="-672" w:rightChars="-320" w:firstLine="516" w:firstLineChars="215"/>
        <w:jc w:val="left"/>
        <w:textAlignment w:val="auto"/>
        <w:rPr>
          <w:rFonts w:hint="default"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完成2025年-2026年度运营期绩效评价报告，采购人支付合同金额30%。</w:t>
      </w:r>
    </w:p>
    <w:p>
      <w:pPr>
        <w:pStyle w:val="15"/>
        <w:keepNext w:val="0"/>
        <w:keepLines w:val="0"/>
        <w:pageBreakBefore w:val="0"/>
        <w:numPr>
          <w:ilvl w:val="0"/>
          <w:numId w:val="0"/>
        </w:numPr>
        <w:kinsoku/>
        <w:wordWrap/>
        <w:overflowPunct/>
        <w:topLinePunct w:val="0"/>
        <w:bidi w:val="0"/>
        <w:spacing w:after="0" w:afterLines="0"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400" w:lineRule="exact"/>
        <w:ind w:left="-439" w:leftChars="-209" w:right="-433" w:rightChars="-206" w:firstLine="436" w:firstLineChars="182"/>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pStyle w:val="2"/>
        <w:spacing w:before="0" w:after="0" w:line="54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第五章　政府采购合同主要条款指引</w:t>
      </w:r>
    </w:p>
    <w:p>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pStyle w:val="19"/>
        <w:keepNext w:val="0"/>
        <w:keepLines w:val="0"/>
        <w:pageBreakBefore w:val="0"/>
        <w:kinsoku/>
        <w:wordWrap/>
        <w:overflowPunct/>
        <w:topLinePunct w:val="0"/>
        <w:bidi w:val="0"/>
        <w:snapToGrid w:val="0"/>
        <w:spacing w:line="400" w:lineRule="exact"/>
        <w:textAlignment w:val="auto"/>
        <w:rPr>
          <w:rFonts w:hAnsi="宋体"/>
          <w:color w:val="000000" w:themeColor="text1"/>
          <w:sz w:val="24"/>
          <w:highlight w:val="none"/>
          <w14:textFill>
            <w14:solidFill>
              <w14:schemeClr w14:val="tx1"/>
            </w14:solidFill>
          </w14:textFill>
        </w:rPr>
      </w:pPr>
    </w:p>
    <w:p>
      <w:pPr>
        <w:pStyle w:val="19"/>
        <w:keepNext w:val="0"/>
        <w:keepLines w:val="0"/>
        <w:pageBreakBefore w:val="0"/>
        <w:kinsoku/>
        <w:wordWrap/>
        <w:overflowPunct/>
        <w:topLinePunct w:val="0"/>
        <w:bidi w:val="0"/>
        <w:snapToGrid w:val="0"/>
        <w:spacing w:line="400" w:lineRule="exact"/>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项目名称：                                  项目编号：</w:t>
      </w:r>
    </w:p>
    <w:p>
      <w:pPr>
        <w:pStyle w:val="19"/>
        <w:keepNext w:val="0"/>
        <w:keepLines w:val="0"/>
        <w:pageBreakBefore w:val="0"/>
        <w:kinsoku/>
        <w:wordWrap/>
        <w:overflowPunct/>
        <w:topLinePunct w:val="0"/>
        <w:bidi w:val="0"/>
        <w:snapToGrid w:val="0"/>
        <w:spacing w:line="400" w:lineRule="exact"/>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甲方：（</w:t>
      </w:r>
      <w:r>
        <w:rPr>
          <w:rFonts w:hint="eastAsia" w:hAnsi="宋体"/>
          <w:color w:val="000000" w:themeColor="text1"/>
          <w:sz w:val="24"/>
          <w:highlight w:val="none"/>
          <w14:textFill>
            <w14:solidFill>
              <w14:schemeClr w14:val="tx1"/>
            </w14:solidFill>
          </w14:textFill>
        </w:rPr>
        <w:t>采购</w:t>
      </w:r>
      <w:r>
        <w:rPr>
          <w:rFonts w:hAnsi="宋体"/>
          <w:color w:val="000000" w:themeColor="text1"/>
          <w:sz w:val="24"/>
          <w:highlight w:val="none"/>
          <w14:textFill>
            <w14:solidFill>
              <w14:schemeClr w14:val="tx1"/>
            </w14:solidFill>
          </w14:textFill>
        </w:rPr>
        <w:t>人）</w:t>
      </w:r>
      <w:r>
        <w:rPr>
          <w:rFonts w:hint="eastAsia" w:hAnsi="宋体"/>
          <w:color w:val="000000" w:themeColor="text1"/>
          <w:sz w:val="24"/>
          <w:highlight w:val="none"/>
          <w14:textFill>
            <w14:solidFill>
              <w14:schemeClr w14:val="tx1"/>
            </w14:solidFill>
          </w14:textFill>
        </w:rPr>
        <w:t xml:space="preserve">                            所在地：                              </w:t>
      </w:r>
    </w:p>
    <w:p>
      <w:pPr>
        <w:pStyle w:val="19"/>
        <w:keepNext w:val="0"/>
        <w:keepLines w:val="0"/>
        <w:pageBreakBefore w:val="0"/>
        <w:kinsoku/>
        <w:wordWrap/>
        <w:overflowPunct/>
        <w:topLinePunct w:val="0"/>
        <w:bidi w:val="0"/>
        <w:snapToGrid w:val="0"/>
        <w:spacing w:line="400" w:lineRule="exact"/>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w:t>
      </w:r>
      <w:r>
        <w:rPr>
          <w:rFonts w:hint="eastAsia" w:hAnsi="宋体"/>
          <w:color w:val="000000" w:themeColor="text1"/>
          <w:sz w:val="24"/>
          <w:highlight w:val="none"/>
          <w14:textFill>
            <w14:solidFill>
              <w14:schemeClr w14:val="tx1"/>
            </w14:solidFill>
          </w14:textFill>
        </w:rPr>
        <w:t>成交供应商</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w:t>
      </w:r>
    </w:p>
    <w:p>
      <w:pPr>
        <w:keepNext w:val="0"/>
        <w:keepLines w:val="0"/>
        <w:pageBreakBefore w:val="0"/>
        <w:widowControl/>
        <w:shd w:val="clear" w:color="auto" w:fill="FFFFFF"/>
        <w:kinsoku/>
        <w:wordWrap/>
        <w:overflowPunct/>
        <w:topLinePunct w:val="0"/>
        <w:bidi w:val="0"/>
        <w:spacing w:line="400" w:lineRule="exact"/>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甲、乙双方根据</w:t>
      </w:r>
      <w:r>
        <w:rPr>
          <w:rFonts w:hint="eastAsia" w:ascii="宋体" w:hAnsi="宋体" w:cs="Arial"/>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(采购组织机构名称）</w:t>
      </w:r>
      <w:r>
        <w:rPr>
          <w:rFonts w:ascii="宋体" w:hAnsi="宋体"/>
          <w:color w:val="000000" w:themeColor="text1"/>
          <w:sz w:val="24"/>
          <w:highlight w:val="none"/>
          <w14:textFill>
            <w14:solidFill>
              <w14:schemeClr w14:val="tx1"/>
            </w14:solidFill>
          </w14:textFill>
        </w:rPr>
        <w:t>关于</w:t>
      </w:r>
      <w:r>
        <w:rPr>
          <w:rFonts w:hint="eastAsia" w:ascii="宋体" w:hAnsi="宋体" w:cs="Arial"/>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单位</w:t>
      </w:r>
      <w:r>
        <w:rPr>
          <w:rFonts w:hint="eastAsia" w:ascii="宋体" w:hAnsi="宋体" w:cs="Arial"/>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14:textFill>
            <w14:solidFill>
              <w14:schemeClr w14:val="tx1"/>
            </w14:solidFill>
          </w14:textFill>
        </w:rPr>
        <w:t>磋商采购</w:t>
      </w:r>
      <w:r>
        <w:rPr>
          <w:rFonts w:ascii="宋体" w:hAnsi="宋体"/>
          <w:color w:val="000000" w:themeColor="text1"/>
          <w:sz w:val="24"/>
          <w:highlight w:val="none"/>
          <w14:textFill>
            <w14:solidFill>
              <w14:schemeClr w14:val="tx1"/>
            </w14:solidFill>
          </w14:textFill>
        </w:rPr>
        <w:t>的结果，签署本合同。</w:t>
      </w:r>
    </w:p>
    <w:p>
      <w:pPr>
        <w:keepNext w:val="0"/>
        <w:keepLines w:val="0"/>
        <w:pageBreakBefore w:val="0"/>
        <w:kinsoku/>
        <w:wordWrap/>
        <w:overflowPunct/>
        <w:topLinePunct w:val="0"/>
        <w:bidi w:val="0"/>
        <w:spacing w:line="400" w:lineRule="exact"/>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 xml:space="preserve">一、合同文件： </w:t>
      </w:r>
    </w:p>
    <w:p>
      <w:pPr>
        <w:keepNext w:val="0"/>
        <w:keepLines w:val="0"/>
        <w:pageBreakBefore w:val="0"/>
        <w:kinsoku/>
        <w:wordWrap/>
        <w:overflowPunct/>
        <w:topLinePunct w:val="0"/>
        <w:bidi w:val="0"/>
        <w:spacing w:line="400" w:lineRule="exact"/>
        <w:ind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1.合同条款。</w:t>
      </w:r>
    </w:p>
    <w:p>
      <w:pPr>
        <w:keepNext w:val="0"/>
        <w:keepLines w:val="0"/>
        <w:pageBreakBefore w:val="0"/>
        <w:kinsoku/>
        <w:wordWrap/>
        <w:overflowPunct/>
        <w:topLinePunct w:val="0"/>
        <w:bidi w:val="0"/>
        <w:spacing w:line="400" w:lineRule="exact"/>
        <w:ind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2.成交通知书。</w:t>
      </w:r>
    </w:p>
    <w:p>
      <w:pPr>
        <w:keepNext w:val="0"/>
        <w:keepLines w:val="0"/>
        <w:pageBreakBefore w:val="0"/>
        <w:kinsoku/>
        <w:wordWrap/>
        <w:overflowPunct/>
        <w:topLinePunct w:val="0"/>
        <w:bidi w:val="0"/>
        <w:spacing w:line="400" w:lineRule="exact"/>
        <w:ind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3.更正补充文件。</w:t>
      </w:r>
    </w:p>
    <w:p>
      <w:pPr>
        <w:keepNext w:val="0"/>
        <w:keepLines w:val="0"/>
        <w:pageBreakBefore w:val="0"/>
        <w:kinsoku/>
        <w:wordWrap/>
        <w:overflowPunct/>
        <w:topLinePunct w:val="0"/>
        <w:bidi w:val="0"/>
        <w:spacing w:line="400" w:lineRule="exact"/>
        <w:ind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4.磋商采购文件。</w:t>
      </w:r>
    </w:p>
    <w:p>
      <w:pPr>
        <w:keepNext w:val="0"/>
        <w:keepLines w:val="0"/>
        <w:pageBreakBefore w:val="0"/>
        <w:kinsoku/>
        <w:wordWrap/>
        <w:overflowPunct/>
        <w:topLinePunct w:val="0"/>
        <w:bidi w:val="0"/>
        <w:spacing w:line="400" w:lineRule="exact"/>
        <w:ind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5.成交供应商磋商响应文件。</w:t>
      </w:r>
    </w:p>
    <w:p>
      <w:pPr>
        <w:keepNext w:val="0"/>
        <w:keepLines w:val="0"/>
        <w:pageBreakBefore w:val="0"/>
        <w:kinsoku/>
        <w:wordWrap/>
        <w:overflowPunct/>
        <w:topLinePunct w:val="0"/>
        <w:bidi w:val="0"/>
        <w:spacing w:line="400" w:lineRule="exact"/>
        <w:ind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6.其他。</w:t>
      </w:r>
    </w:p>
    <w:p>
      <w:pPr>
        <w:pStyle w:val="19"/>
        <w:keepNext w:val="0"/>
        <w:keepLines w:val="0"/>
        <w:pageBreakBefore w:val="0"/>
        <w:kinsoku/>
        <w:wordWrap/>
        <w:overflowPunct/>
        <w:topLinePunct w:val="0"/>
        <w:bidi w:val="0"/>
        <w:snapToGrid w:val="0"/>
        <w:spacing w:line="400" w:lineRule="exact"/>
        <w:ind w:firstLine="480" w:firstLineChars="200"/>
        <w:textAlignment w:val="auto"/>
        <w:rPr>
          <w:rFonts w:hAnsi="Times New Roman"/>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pPr>
        <w:keepNext w:val="0"/>
        <w:keepLines w:val="0"/>
        <w:pageBreakBefore w:val="0"/>
        <w:widowControl/>
        <w:shd w:val="clear" w:color="auto" w:fill="FFFFFF"/>
        <w:kinsoku/>
        <w:wordWrap/>
        <w:overflowPunct/>
        <w:topLinePunct w:val="0"/>
        <w:bidi w:val="0"/>
        <w:spacing w:line="400" w:lineRule="exact"/>
        <w:jc w:val="left"/>
        <w:textAlignment w:val="auto"/>
        <w:rPr>
          <w:rFonts w:ascii="宋体" w:hAnsi="宋体"/>
          <w:b/>
          <w:color w:val="000000" w:themeColor="text1"/>
          <w:sz w:val="24"/>
          <w:highlight w:val="none"/>
          <w14:textFill>
            <w14:solidFill>
              <w14:schemeClr w14:val="tx1"/>
            </w14:solidFill>
          </w14:textFill>
        </w:rPr>
      </w:pPr>
    </w:p>
    <w:p>
      <w:pPr>
        <w:keepNext w:val="0"/>
        <w:keepLines w:val="0"/>
        <w:pageBreakBefore w:val="0"/>
        <w:widowControl/>
        <w:shd w:val="clear" w:color="auto" w:fill="FFFFFF"/>
        <w:kinsoku/>
        <w:wordWrap/>
        <w:overflowPunct/>
        <w:topLinePunct w:val="0"/>
        <w:bidi w:val="0"/>
        <w:spacing w:line="400" w:lineRule="exact"/>
        <w:jc w:val="left"/>
        <w:textAlignment w:val="auto"/>
        <w:rPr>
          <w:rFonts w:ascii="宋体" w:hAnsi="宋体" w:cs="Arial"/>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w:t>
      </w:r>
      <w:r>
        <w:rPr>
          <w:rFonts w:ascii="宋体" w:hAnsi="宋体"/>
          <w:b/>
          <w:color w:val="000000" w:themeColor="text1"/>
          <w:sz w:val="24"/>
          <w:highlight w:val="none"/>
          <w14:textFill>
            <w14:solidFill>
              <w14:schemeClr w14:val="tx1"/>
            </w14:solidFill>
          </w14:textFill>
        </w:rPr>
        <w:t>、</w:t>
      </w:r>
      <w:r>
        <w:rPr>
          <w:rFonts w:ascii="宋体" w:hAnsi="宋体" w:cs="Arial"/>
          <w:b/>
          <w:color w:val="000000" w:themeColor="text1"/>
          <w:kern w:val="0"/>
          <w:sz w:val="24"/>
          <w:highlight w:val="none"/>
          <w14:textFill>
            <w14:solidFill>
              <w14:schemeClr w14:val="tx1"/>
            </w14:solidFill>
          </w14:textFill>
        </w:rPr>
        <w:t>合同内容及服务标准</w:t>
      </w:r>
    </w:p>
    <w:tbl>
      <w:tblPr>
        <w:tblStyle w:val="35"/>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092"/>
        <w:gridCol w:w="797"/>
        <w:gridCol w:w="904"/>
        <w:gridCol w:w="904"/>
        <w:gridCol w:w="705"/>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93" w:type="dxa"/>
            <w:shd w:val="clear" w:color="000000" w:fill="FFFFFF"/>
            <w:vAlign w:val="center"/>
          </w:tcPr>
          <w:p>
            <w:pPr>
              <w:widowControl/>
              <w:spacing w:line="400" w:lineRule="exac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序号</w:t>
            </w:r>
          </w:p>
        </w:tc>
        <w:tc>
          <w:tcPr>
            <w:tcW w:w="2092" w:type="dxa"/>
            <w:shd w:val="clear" w:color="000000" w:fill="FFFFFF"/>
            <w:vAlign w:val="center"/>
          </w:tcPr>
          <w:p>
            <w:pPr>
              <w:widowControl/>
              <w:spacing w:line="400" w:lineRule="exac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名称</w:t>
            </w:r>
          </w:p>
        </w:tc>
        <w:tc>
          <w:tcPr>
            <w:tcW w:w="797" w:type="dxa"/>
            <w:shd w:val="clear" w:color="000000" w:fill="FFFFFF"/>
            <w:vAlign w:val="center"/>
          </w:tcPr>
          <w:p>
            <w:pPr>
              <w:widowControl/>
              <w:spacing w:line="400" w:lineRule="exac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单位</w:t>
            </w:r>
          </w:p>
        </w:tc>
        <w:tc>
          <w:tcPr>
            <w:tcW w:w="904" w:type="dxa"/>
            <w:shd w:val="clear" w:color="000000" w:fill="FFFFFF"/>
            <w:vAlign w:val="center"/>
          </w:tcPr>
          <w:p>
            <w:pPr>
              <w:widowControl/>
              <w:spacing w:line="400" w:lineRule="exac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单价</w:t>
            </w:r>
          </w:p>
        </w:tc>
        <w:tc>
          <w:tcPr>
            <w:tcW w:w="904" w:type="dxa"/>
            <w:shd w:val="clear" w:color="000000" w:fill="FFFFFF"/>
            <w:vAlign w:val="center"/>
          </w:tcPr>
          <w:p>
            <w:pPr>
              <w:widowControl/>
              <w:spacing w:line="400" w:lineRule="exac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数量</w:t>
            </w:r>
          </w:p>
        </w:tc>
        <w:tc>
          <w:tcPr>
            <w:tcW w:w="705" w:type="dxa"/>
            <w:shd w:val="clear" w:color="000000" w:fill="FFFFFF"/>
            <w:vAlign w:val="center"/>
          </w:tcPr>
          <w:p>
            <w:pPr>
              <w:widowControl/>
              <w:spacing w:line="400" w:lineRule="exac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合计</w:t>
            </w:r>
          </w:p>
        </w:tc>
        <w:tc>
          <w:tcPr>
            <w:tcW w:w="2931" w:type="dxa"/>
            <w:shd w:val="clear" w:color="000000" w:fill="FFFFFF"/>
            <w:vAlign w:val="center"/>
          </w:tcPr>
          <w:p>
            <w:pPr>
              <w:widowControl/>
              <w:spacing w:line="400" w:lineRule="exac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1</w:t>
            </w:r>
          </w:p>
        </w:tc>
        <w:tc>
          <w:tcPr>
            <w:tcW w:w="2092"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797"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904"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904"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705"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2931"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2</w:t>
            </w:r>
          </w:p>
        </w:tc>
        <w:tc>
          <w:tcPr>
            <w:tcW w:w="2092"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797"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904"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904"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705"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2931"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2092"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797"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904"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904"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705"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2931" w:type="dxa"/>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r>
    </w:tbl>
    <w:p>
      <w:pPr>
        <w:pStyle w:val="19"/>
        <w:keepNext w:val="0"/>
        <w:keepLines w:val="0"/>
        <w:pageBreakBefore w:val="0"/>
        <w:kinsoku/>
        <w:wordWrap/>
        <w:overflowPunct/>
        <w:topLinePunct w:val="0"/>
        <w:bidi w:val="0"/>
        <w:snapToGrid w:val="0"/>
        <w:spacing w:line="400" w:lineRule="exact"/>
        <w:textAlignment w:val="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、合同金额</w:t>
      </w:r>
    </w:p>
    <w:p>
      <w:pPr>
        <w:pStyle w:val="19"/>
        <w:keepNext w:val="0"/>
        <w:keepLines w:val="0"/>
        <w:pageBreakBefore w:val="0"/>
        <w:kinsoku/>
        <w:wordWrap/>
        <w:overflowPunct/>
        <w:topLinePunct w:val="0"/>
        <w:bidi w:val="0"/>
        <w:snapToGrid w:val="0"/>
        <w:spacing w:line="400" w:lineRule="exact"/>
        <w:ind w:left="410" w:hanging="410" w:hangingChars="171"/>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本合同金额为（大写）：人民币_____________元（￥_______________元）。</w:t>
      </w:r>
    </w:p>
    <w:p>
      <w:pPr>
        <w:keepNext w:val="0"/>
        <w:keepLines w:val="0"/>
        <w:pageBreakBefore w:val="0"/>
        <w:widowControl/>
        <w:shd w:val="clear" w:color="auto" w:fill="FFFFFF"/>
        <w:kinsoku/>
        <w:wordWrap/>
        <w:overflowPunct/>
        <w:topLinePunct w:val="0"/>
        <w:bidi w:val="0"/>
        <w:spacing w:line="400" w:lineRule="exact"/>
        <w:jc w:val="left"/>
        <w:textAlignment w:val="auto"/>
        <w:rPr>
          <w:rFonts w:ascii="宋体" w:hAnsi="宋体" w:cs="Arial"/>
          <w:b/>
          <w:color w:val="000000" w:themeColor="text1"/>
          <w:kern w:val="0"/>
          <w:sz w:val="24"/>
          <w:highlight w:val="none"/>
          <w14:textFill>
            <w14:solidFill>
              <w14:schemeClr w14:val="tx1"/>
            </w14:solidFill>
          </w14:textFill>
        </w:rPr>
      </w:pPr>
      <w:r>
        <w:rPr>
          <w:rFonts w:hint="eastAsia" w:ascii="宋体" w:hAnsi="宋体" w:cs="Arial"/>
          <w:b/>
          <w:color w:val="000000" w:themeColor="text1"/>
          <w:kern w:val="0"/>
          <w:sz w:val="24"/>
          <w:highlight w:val="none"/>
          <w14:textFill>
            <w14:solidFill>
              <w14:schemeClr w14:val="tx1"/>
            </w14:solidFill>
          </w14:textFill>
        </w:rPr>
        <w:t>四</w:t>
      </w:r>
      <w:r>
        <w:rPr>
          <w:rFonts w:ascii="宋体" w:hAnsi="宋体" w:cs="Arial"/>
          <w:b/>
          <w:color w:val="000000" w:themeColor="text1"/>
          <w:kern w:val="0"/>
          <w:sz w:val="24"/>
          <w:highlight w:val="none"/>
          <w14:textFill>
            <w14:solidFill>
              <w14:schemeClr w14:val="tx1"/>
            </w14:solidFill>
          </w14:textFill>
        </w:rPr>
        <w:t>、甲乙双方责任</w:t>
      </w:r>
    </w:p>
    <w:p>
      <w:pPr>
        <w:pStyle w:val="31"/>
        <w:keepNext w:val="0"/>
        <w:keepLines w:val="0"/>
        <w:pageBreakBefore w:val="0"/>
        <w:shd w:val="clear" w:color="auto" w:fill="FFFFFF"/>
        <w:kinsoku/>
        <w:wordWrap/>
        <w:overflowPunct/>
        <w:topLinePunct w:val="0"/>
        <w:bidi w:val="0"/>
        <w:spacing w:before="0" w:beforeLines="0" w:beforeAutospacing="0" w:after="0" w:afterLines="0" w:afterAutospacing="0" w:line="400" w:lineRule="exact"/>
        <w:ind w:firstLine="480"/>
        <w:textAlignment w:val="auto"/>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（一）甲方责任</w:t>
      </w:r>
    </w:p>
    <w:p>
      <w:pPr>
        <w:pStyle w:val="31"/>
        <w:keepNext w:val="0"/>
        <w:keepLines w:val="0"/>
        <w:pageBreakBefore w:val="0"/>
        <w:shd w:val="clear" w:color="auto" w:fill="FFFFFF"/>
        <w:kinsoku/>
        <w:wordWrap/>
        <w:overflowPunct/>
        <w:topLinePunct w:val="0"/>
        <w:bidi w:val="0"/>
        <w:spacing w:before="0" w:beforeLines="0" w:beforeAutospacing="0" w:after="0" w:afterLines="0" w:afterAutospacing="0" w:line="400" w:lineRule="exact"/>
        <w:ind w:firstLine="480"/>
        <w:textAlignment w:val="auto"/>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（根据磋商采购结果确定）</w:t>
      </w:r>
    </w:p>
    <w:p>
      <w:pPr>
        <w:pStyle w:val="31"/>
        <w:keepNext w:val="0"/>
        <w:keepLines w:val="0"/>
        <w:pageBreakBefore w:val="0"/>
        <w:shd w:val="clear" w:color="auto" w:fill="FFFFFF"/>
        <w:kinsoku/>
        <w:wordWrap/>
        <w:overflowPunct/>
        <w:topLinePunct w:val="0"/>
        <w:bidi w:val="0"/>
        <w:spacing w:before="0" w:beforeLines="0" w:beforeAutospacing="0" w:after="0" w:afterLines="0" w:afterAutospacing="0" w:line="400" w:lineRule="exact"/>
        <w:ind w:firstLine="480"/>
        <w:textAlignment w:val="auto"/>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（二）乙方责任</w:t>
      </w:r>
    </w:p>
    <w:p>
      <w:pPr>
        <w:pStyle w:val="31"/>
        <w:keepNext w:val="0"/>
        <w:keepLines w:val="0"/>
        <w:pageBreakBefore w:val="0"/>
        <w:shd w:val="clear" w:color="auto" w:fill="FFFFFF"/>
        <w:kinsoku/>
        <w:wordWrap/>
        <w:overflowPunct/>
        <w:topLinePunct w:val="0"/>
        <w:bidi w:val="0"/>
        <w:spacing w:before="0" w:beforeLines="0" w:beforeAutospacing="0" w:after="0" w:afterLines="0" w:afterAutospacing="0" w:line="400" w:lineRule="exact"/>
        <w:ind w:firstLine="480"/>
        <w:textAlignment w:val="auto"/>
        <w:rPr>
          <w:rFonts w:hint="default" w:cs="Arial"/>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（根据磋商采购结果确定）</w:t>
      </w:r>
    </w:p>
    <w:p>
      <w:pPr>
        <w:pStyle w:val="19"/>
        <w:keepNext w:val="0"/>
        <w:keepLines w:val="0"/>
        <w:pageBreakBefore w:val="0"/>
        <w:kinsoku/>
        <w:wordWrap/>
        <w:overflowPunct/>
        <w:topLinePunct w:val="0"/>
        <w:bidi w:val="0"/>
        <w:snapToGrid w:val="0"/>
        <w:spacing w:line="400" w:lineRule="exact"/>
        <w:textAlignment w:val="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、技术资料</w:t>
      </w:r>
    </w:p>
    <w:p>
      <w:pPr>
        <w:pStyle w:val="19"/>
        <w:keepNext w:val="0"/>
        <w:keepLines w:val="0"/>
        <w:pageBreakBefore w:val="0"/>
        <w:kinsoku/>
        <w:wordWrap/>
        <w:overflowPunct/>
        <w:topLinePunct w:val="0"/>
        <w:bidi w:val="0"/>
        <w:snapToGrid w:val="0"/>
        <w:spacing w:line="400" w:lineRule="exact"/>
        <w:ind w:left="410" w:hanging="410" w:hangingChars="171"/>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乙方应按</w:t>
      </w:r>
      <w:r>
        <w:rPr>
          <w:rFonts w:hint="eastAsia" w:hAnsi="宋体"/>
          <w:color w:val="000000" w:themeColor="text1"/>
          <w:sz w:val="24"/>
          <w:highlight w:val="none"/>
          <w14:textFill>
            <w14:solidFill>
              <w14:schemeClr w14:val="tx1"/>
            </w14:solidFill>
          </w14:textFill>
        </w:rPr>
        <w:t>磋商采购</w:t>
      </w:r>
      <w:r>
        <w:rPr>
          <w:rFonts w:hAnsi="宋体"/>
          <w:color w:val="000000" w:themeColor="text1"/>
          <w:sz w:val="24"/>
          <w:highlight w:val="none"/>
          <w14:textFill>
            <w14:solidFill>
              <w14:schemeClr w14:val="tx1"/>
            </w14:solidFill>
          </w14:textFill>
        </w:rPr>
        <w:t>文件规定的时间向甲方提供有关技术资料。</w:t>
      </w:r>
    </w:p>
    <w:p>
      <w:pPr>
        <w:pStyle w:val="19"/>
        <w:keepNext w:val="0"/>
        <w:keepLines w:val="0"/>
        <w:pageBreakBefore w:val="0"/>
        <w:kinsoku/>
        <w:wordWrap/>
        <w:overflowPunct/>
        <w:topLinePunct w:val="0"/>
        <w:bidi w:val="0"/>
        <w:snapToGrid w:val="0"/>
        <w:spacing w:line="400" w:lineRule="exact"/>
        <w:ind w:left="410" w:hanging="410" w:hangingChars="171"/>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9"/>
        <w:keepNext w:val="0"/>
        <w:keepLines w:val="0"/>
        <w:pageBreakBefore w:val="0"/>
        <w:kinsoku/>
        <w:wordWrap/>
        <w:overflowPunct/>
        <w:topLinePunct w:val="0"/>
        <w:bidi w:val="0"/>
        <w:snapToGrid w:val="0"/>
        <w:spacing w:line="400" w:lineRule="exact"/>
        <w:ind w:left="412" w:hanging="412" w:hangingChars="171"/>
        <w:textAlignment w:val="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、知识产权</w:t>
      </w:r>
    </w:p>
    <w:p>
      <w:pPr>
        <w:pStyle w:val="19"/>
        <w:keepNext w:val="0"/>
        <w:keepLines w:val="0"/>
        <w:pageBreakBefore w:val="0"/>
        <w:kinsoku/>
        <w:wordWrap/>
        <w:overflowPunct/>
        <w:topLinePunct w:val="0"/>
        <w:bidi w:val="0"/>
        <w:snapToGrid w:val="0"/>
        <w:spacing w:line="400" w:lineRule="exact"/>
        <w:ind w:left="410" w:hanging="410" w:hangingChars="171"/>
        <w:textAlignment w:val="auto"/>
        <w:rPr>
          <w:rFonts w:hAnsi="宋体"/>
          <w:b/>
          <w:bCs/>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乙方应保证提供服务过程中不会侵犯任何第三方的知识产权。</w:t>
      </w:r>
    </w:p>
    <w:p>
      <w:pPr>
        <w:pStyle w:val="19"/>
        <w:keepNext w:val="0"/>
        <w:keepLines w:val="0"/>
        <w:pageBreakBefore w:val="0"/>
        <w:kinsoku/>
        <w:wordWrap/>
        <w:overflowPunct/>
        <w:topLinePunct w:val="0"/>
        <w:bidi w:val="0"/>
        <w:snapToGrid w:val="0"/>
        <w:spacing w:line="400" w:lineRule="exact"/>
        <w:ind w:left="410" w:hanging="410" w:hangingChars="170"/>
        <w:textAlignment w:val="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、履约保证金</w:t>
      </w:r>
    </w:p>
    <w:p>
      <w:pPr>
        <w:keepNext w:val="0"/>
        <w:keepLines w:val="0"/>
        <w:pageBreakBefore w:val="0"/>
        <w:tabs>
          <w:tab w:val="left" w:pos="1418"/>
        </w:tabs>
        <w:kinsoku/>
        <w:wordWrap/>
        <w:overflowPunct/>
        <w:topLinePunct w:val="0"/>
        <w:autoSpaceDE w:val="0"/>
        <w:autoSpaceDN w:val="0"/>
        <w:bidi w:val="0"/>
        <w:adjustRightInd w:val="0"/>
        <w:spacing w:line="400" w:lineRule="exact"/>
        <w:ind w:left="48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本项目履约保证金为合同金额的</w:t>
      </w:r>
      <w:r>
        <w:rPr>
          <w:rFonts w:ascii="宋体" w:hAnsi="宋体"/>
          <w:color w:val="000000" w:themeColor="text1"/>
          <w:sz w:val="24"/>
          <w:highlight w:val="none"/>
          <w14:textFill>
            <w14:solidFill>
              <w14:schemeClr w14:val="tx1"/>
            </w14:solidFill>
          </w14:textFill>
        </w:rPr>
        <w:t>____</w:t>
      </w:r>
      <w:r>
        <w:rPr>
          <w:rFonts w:hint="eastAsia" w:ascii="宋体" w:hAnsi="宋体"/>
          <w:color w:val="000000" w:themeColor="text1"/>
          <w:sz w:val="24"/>
          <w:highlight w:val="none"/>
          <w14:textFill>
            <w14:solidFill>
              <w14:schemeClr w14:val="tx1"/>
            </w14:solidFill>
          </w14:textFill>
        </w:rPr>
        <w:t>% 。</w:t>
      </w:r>
      <w:r>
        <w:rPr>
          <w:rFonts w:hint="eastAsia" w:ascii="宋体" w:hAnsi="宋体"/>
          <w:color w:val="000000" w:themeColor="text1"/>
          <w:sz w:val="24"/>
          <w:highlight w:val="none"/>
          <w:lang w:val="zh-CN"/>
          <w14:textFill>
            <w14:solidFill>
              <w14:schemeClr w14:val="tx1"/>
            </w14:solidFill>
          </w14:textFill>
        </w:rPr>
        <w:t>[履约保证金交至采购人处，在合同约定交货验收合格满（）个月之日起5个工作日内无息退还]</w:t>
      </w:r>
    </w:p>
    <w:p>
      <w:pPr>
        <w:pStyle w:val="19"/>
        <w:keepNext w:val="0"/>
        <w:keepLines w:val="0"/>
        <w:pageBreakBefore w:val="0"/>
        <w:kinsoku/>
        <w:wordWrap/>
        <w:overflowPunct/>
        <w:topLinePunct w:val="0"/>
        <w:bidi w:val="0"/>
        <w:snapToGrid w:val="0"/>
        <w:spacing w:line="400" w:lineRule="exact"/>
        <w:textAlignment w:val="auto"/>
        <w:rPr>
          <w:rFonts w:hAnsi="宋体"/>
          <w:color w:val="000000" w:themeColor="text1"/>
          <w:sz w:val="24"/>
          <w:highlight w:val="none"/>
          <w14:textFill>
            <w14:solidFill>
              <w14:schemeClr w14:val="tx1"/>
            </w14:solidFill>
          </w14:textFill>
        </w:rPr>
      </w:pPr>
      <w:r>
        <w:rPr>
          <w:rFonts w:hint="eastAsia" w:hAnsi="宋体"/>
          <w:b/>
          <w:color w:val="000000" w:themeColor="text1"/>
          <w:sz w:val="24"/>
          <w:highlight w:val="none"/>
          <w:lang w:val="en-US" w:eastAsia="zh-CN"/>
          <w14:textFill>
            <w14:solidFill>
              <w14:schemeClr w14:val="tx1"/>
            </w14:solidFill>
          </w14:textFill>
        </w:rPr>
        <w:t>八</w:t>
      </w:r>
      <w:r>
        <w:rPr>
          <w:rFonts w:hAnsi="宋体"/>
          <w:b/>
          <w:color w:val="000000" w:themeColor="text1"/>
          <w:sz w:val="24"/>
          <w:highlight w:val="none"/>
          <w14:textFill>
            <w14:solidFill>
              <w14:schemeClr w14:val="tx1"/>
            </w14:solidFill>
          </w14:textFill>
        </w:rPr>
        <w:t>、服务质量保证期 (选用)</w:t>
      </w:r>
    </w:p>
    <w:p>
      <w:pPr>
        <w:pStyle w:val="19"/>
        <w:keepNext w:val="0"/>
        <w:keepLines w:val="0"/>
        <w:pageBreakBefore w:val="0"/>
        <w:kinsoku/>
        <w:wordWrap/>
        <w:overflowPunct/>
        <w:topLinePunct w:val="0"/>
        <w:bidi w:val="0"/>
        <w:snapToGrid w:val="0"/>
        <w:spacing w:line="400" w:lineRule="exact"/>
        <w:ind w:left="410" w:hanging="410" w:hangingChars="171"/>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服务质量保证期</w:t>
      </w:r>
      <w:r>
        <w:rPr>
          <w:rFonts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年。（自验收合格之日起计）</w:t>
      </w:r>
    </w:p>
    <w:p>
      <w:pPr>
        <w:pStyle w:val="19"/>
        <w:keepNext w:val="0"/>
        <w:keepLines w:val="0"/>
        <w:pageBreakBefore w:val="0"/>
        <w:kinsoku/>
        <w:wordWrap/>
        <w:overflowPunct/>
        <w:topLinePunct w:val="0"/>
        <w:bidi w:val="0"/>
        <w:snapToGrid w:val="0"/>
        <w:spacing w:line="400" w:lineRule="exact"/>
        <w:textAlignment w:val="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lang w:val="en-US" w:eastAsia="zh-CN"/>
          <w14:textFill>
            <w14:solidFill>
              <w14:schemeClr w14:val="tx1"/>
            </w14:solidFill>
          </w14:textFill>
        </w:rPr>
        <w:t>九</w:t>
      </w:r>
      <w:r>
        <w:rPr>
          <w:rFonts w:hAnsi="宋体"/>
          <w:b/>
          <w:color w:val="000000" w:themeColor="text1"/>
          <w:sz w:val="24"/>
          <w:highlight w:val="none"/>
          <w14:textFill>
            <w14:solidFill>
              <w14:schemeClr w14:val="tx1"/>
            </w14:solidFill>
          </w14:textFill>
        </w:rPr>
        <w:t>、合同履行时间、履行方式及履行地点</w:t>
      </w:r>
    </w:p>
    <w:p>
      <w:pPr>
        <w:pStyle w:val="19"/>
        <w:keepNext w:val="0"/>
        <w:keepLines w:val="0"/>
        <w:pageBreakBefore w:val="0"/>
        <w:kinsoku/>
        <w:wordWrap/>
        <w:overflowPunct/>
        <w:topLinePunct w:val="0"/>
        <w:bidi w:val="0"/>
        <w:snapToGrid w:val="0"/>
        <w:spacing w:line="400" w:lineRule="exact"/>
        <w:textAlignment w:val="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1</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履行时间</w:t>
      </w:r>
      <w:r>
        <w:rPr>
          <w:rFonts w:hAnsi="宋体"/>
          <w:bCs/>
          <w:color w:val="000000" w:themeColor="text1"/>
          <w:sz w:val="24"/>
          <w:highlight w:val="none"/>
          <w14:textFill>
            <w14:solidFill>
              <w14:schemeClr w14:val="tx1"/>
            </w14:solidFill>
          </w14:textFill>
        </w:rPr>
        <w:t>：</w:t>
      </w:r>
    </w:p>
    <w:p>
      <w:pPr>
        <w:pStyle w:val="19"/>
        <w:keepNext w:val="0"/>
        <w:keepLines w:val="0"/>
        <w:pageBreakBefore w:val="0"/>
        <w:kinsoku/>
        <w:wordWrap/>
        <w:overflowPunct/>
        <w:topLinePunct w:val="0"/>
        <w:bidi w:val="0"/>
        <w:snapToGrid w:val="0"/>
        <w:spacing w:line="400" w:lineRule="exact"/>
        <w:textAlignment w:val="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2</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履行方式</w:t>
      </w:r>
      <w:r>
        <w:rPr>
          <w:rFonts w:hAnsi="宋体"/>
          <w:bCs/>
          <w:color w:val="000000" w:themeColor="text1"/>
          <w:sz w:val="24"/>
          <w:highlight w:val="none"/>
          <w14:textFill>
            <w14:solidFill>
              <w14:schemeClr w14:val="tx1"/>
            </w14:solidFill>
          </w14:textFill>
        </w:rPr>
        <w:t>：</w:t>
      </w:r>
    </w:p>
    <w:p>
      <w:pPr>
        <w:pStyle w:val="19"/>
        <w:keepNext w:val="0"/>
        <w:keepLines w:val="0"/>
        <w:pageBreakBefore w:val="0"/>
        <w:kinsoku/>
        <w:wordWrap/>
        <w:overflowPunct/>
        <w:topLinePunct w:val="0"/>
        <w:bidi w:val="0"/>
        <w:snapToGrid w:val="0"/>
        <w:spacing w:line="400" w:lineRule="exact"/>
        <w:textAlignment w:val="auto"/>
        <w:rPr>
          <w:rFonts w:hAnsi="宋体"/>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3</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履行地点</w:t>
      </w:r>
      <w:r>
        <w:rPr>
          <w:rFonts w:hAnsi="宋体"/>
          <w:bCs/>
          <w:color w:val="000000" w:themeColor="text1"/>
          <w:sz w:val="24"/>
          <w:highlight w:val="none"/>
          <w14:textFill>
            <w14:solidFill>
              <w14:schemeClr w14:val="tx1"/>
            </w14:solidFill>
          </w14:textFill>
        </w:rPr>
        <w:t>：</w:t>
      </w:r>
    </w:p>
    <w:p>
      <w:pPr>
        <w:pStyle w:val="19"/>
        <w:keepNext w:val="0"/>
        <w:keepLines w:val="0"/>
        <w:pageBreakBefore w:val="0"/>
        <w:kinsoku/>
        <w:wordWrap/>
        <w:overflowPunct/>
        <w:topLinePunct w:val="0"/>
        <w:bidi w:val="0"/>
        <w:snapToGrid w:val="0"/>
        <w:spacing w:line="400" w:lineRule="exact"/>
        <w:textAlignment w:val="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十</w:t>
      </w:r>
      <w:r>
        <w:rPr>
          <w:rFonts w:hAnsi="宋体"/>
          <w:b/>
          <w:color w:val="000000" w:themeColor="text1"/>
          <w:sz w:val="24"/>
          <w:highlight w:val="none"/>
          <w14:textFill>
            <w14:solidFill>
              <w14:schemeClr w14:val="tx1"/>
            </w14:solidFill>
          </w14:textFill>
        </w:rPr>
        <w:t>、款项支付</w:t>
      </w:r>
    </w:p>
    <w:p>
      <w:pPr>
        <w:pStyle w:val="19"/>
        <w:keepNext w:val="0"/>
        <w:keepLines w:val="0"/>
        <w:pageBreakBefore w:val="0"/>
        <w:kinsoku/>
        <w:wordWrap/>
        <w:overflowPunct/>
        <w:topLinePunct w:val="0"/>
        <w:bidi w:val="0"/>
        <w:snapToGrid w:val="0"/>
        <w:spacing w:line="400" w:lineRule="exact"/>
        <w:textAlignment w:val="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 xml:space="preserve"> 付款方式：</w:t>
      </w:r>
    </w:p>
    <w:p>
      <w:pPr>
        <w:keepNext w:val="0"/>
        <w:keepLines w:val="0"/>
        <w:pageBreakBefore w:val="0"/>
        <w:kinsoku/>
        <w:wordWrap/>
        <w:overflowPunct/>
        <w:topLinePunct w:val="0"/>
        <w:bidi w:val="0"/>
        <w:snapToGrid w:val="0"/>
        <w:spacing w:line="400" w:lineRule="exact"/>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w:t>
      </w:r>
      <w:r>
        <w:rPr>
          <w:rFonts w:hint="eastAsia" w:ascii="宋体" w:hAnsi="宋体"/>
          <w:b/>
          <w:color w:val="000000" w:themeColor="text1"/>
          <w:sz w:val="24"/>
          <w:highlight w:val="none"/>
          <w:lang w:val="en-US" w:eastAsia="zh-CN"/>
          <w14:textFill>
            <w14:solidFill>
              <w14:schemeClr w14:val="tx1"/>
            </w14:solidFill>
          </w14:textFill>
        </w:rPr>
        <w:t>一</w:t>
      </w:r>
      <w:r>
        <w:rPr>
          <w:rFonts w:hint="eastAsia" w:ascii="宋体" w:hAnsi="宋体"/>
          <w:b/>
          <w:color w:val="000000" w:themeColor="text1"/>
          <w:sz w:val="24"/>
          <w:highlight w:val="none"/>
          <w14:textFill>
            <w14:solidFill>
              <w14:schemeClr w14:val="tx1"/>
            </w14:solidFill>
          </w14:textFill>
        </w:rPr>
        <w:t>、税费</w:t>
      </w:r>
    </w:p>
    <w:p>
      <w:pPr>
        <w:keepNext w:val="0"/>
        <w:keepLines w:val="0"/>
        <w:pageBreakBefore w:val="0"/>
        <w:kinsoku/>
        <w:wordWrap/>
        <w:overflowPunct/>
        <w:topLinePunct w:val="0"/>
        <w:bidi w:val="0"/>
        <w:snapToGrid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本合同执行中相关的一切税费均由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方负担。</w:t>
      </w:r>
    </w:p>
    <w:p>
      <w:pPr>
        <w:pStyle w:val="19"/>
        <w:keepNext w:val="0"/>
        <w:keepLines w:val="0"/>
        <w:pageBreakBefore w:val="0"/>
        <w:kinsoku/>
        <w:wordWrap/>
        <w:overflowPunct/>
        <w:topLinePunct w:val="0"/>
        <w:bidi w:val="0"/>
        <w:snapToGrid w:val="0"/>
        <w:spacing w:line="400" w:lineRule="exact"/>
        <w:ind w:left="412" w:hanging="412" w:hangingChars="171"/>
        <w:textAlignment w:val="auto"/>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lang w:val="en-US" w:eastAsia="zh-CN"/>
          <w14:textFill>
            <w14:solidFill>
              <w14:schemeClr w14:val="tx1"/>
            </w14:solidFill>
          </w14:textFill>
        </w:rPr>
        <w:t>二</w:t>
      </w:r>
      <w:r>
        <w:rPr>
          <w:rFonts w:hAnsi="宋体"/>
          <w:b/>
          <w:color w:val="000000" w:themeColor="text1"/>
          <w:sz w:val="24"/>
          <w:highlight w:val="none"/>
          <w14:textFill>
            <w14:solidFill>
              <w14:schemeClr w14:val="tx1"/>
            </w14:solidFill>
          </w14:textFill>
        </w:rPr>
        <w:t>、质量保证及后续服务</w:t>
      </w:r>
    </w:p>
    <w:p>
      <w:pPr>
        <w:pStyle w:val="19"/>
        <w:keepNext w:val="0"/>
        <w:keepLines w:val="0"/>
        <w:pageBreakBefore w:val="0"/>
        <w:kinsoku/>
        <w:wordWrap/>
        <w:overflowPunct/>
        <w:topLinePunct w:val="0"/>
        <w:bidi w:val="0"/>
        <w:snapToGrid w:val="0"/>
        <w:spacing w:line="400" w:lineRule="exact"/>
        <w:ind w:left="410" w:hanging="410" w:hangingChars="171"/>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乙方应按</w:t>
      </w:r>
      <w:r>
        <w:rPr>
          <w:rFonts w:hint="eastAsia" w:hAnsi="宋体"/>
          <w:color w:val="000000" w:themeColor="text1"/>
          <w:sz w:val="24"/>
          <w:highlight w:val="none"/>
          <w14:textFill>
            <w14:solidFill>
              <w14:schemeClr w14:val="tx1"/>
            </w14:solidFill>
          </w14:textFill>
        </w:rPr>
        <w:t>磋商采购</w:t>
      </w:r>
      <w:r>
        <w:rPr>
          <w:rFonts w:hAnsi="宋体"/>
          <w:color w:val="000000" w:themeColor="text1"/>
          <w:sz w:val="24"/>
          <w:highlight w:val="none"/>
          <w14:textFill>
            <w14:solidFill>
              <w14:schemeClr w14:val="tx1"/>
            </w14:solidFill>
          </w14:textFill>
        </w:rPr>
        <w:t>文件规定向甲方提供服务。</w:t>
      </w:r>
    </w:p>
    <w:p>
      <w:pPr>
        <w:pStyle w:val="19"/>
        <w:keepNext w:val="0"/>
        <w:keepLines w:val="0"/>
        <w:pageBreakBefore w:val="0"/>
        <w:kinsoku/>
        <w:wordWrap/>
        <w:overflowPunct/>
        <w:topLinePunct w:val="0"/>
        <w:bidi w:val="0"/>
        <w:snapToGrid w:val="0"/>
        <w:spacing w:line="400" w:lineRule="exact"/>
        <w:ind w:left="480" w:hanging="480" w:hangingChars="200"/>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pPr>
        <w:pStyle w:val="19"/>
        <w:keepNext w:val="0"/>
        <w:keepLines w:val="0"/>
        <w:pageBreakBefore w:val="0"/>
        <w:kinsoku/>
        <w:wordWrap/>
        <w:overflowPunct/>
        <w:topLinePunct w:val="0"/>
        <w:bidi w:val="0"/>
        <w:snapToGrid w:val="0"/>
        <w:spacing w:line="400" w:lineRule="exact"/>
        <w:ind w:firstLine="420"/>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⑴重做：由乙方承担所发生的全部费用。</w:t>
      </w:r>
    </w:p>
    <w:p>
      <w:pPr>
        <w:pStyle w:val="19"/>
        <w:keepNext w:val="0"/>
        <w:keepLines w:val="0"/>
        <w:pageBreakBefore w:val="0"/>
        <w:kinsoku/>
        <w:wordWrap/>
        <w:overflowPunct/>
        <w:topLinePunct w:val="0"/>
        <w:bidi w:val="0"/>
        <w:snapToGrid w:val="0"/>
        <w:spacing w:line="400" w:lineRule="exact"/>
        <w:ind w:firstLine="420"/>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⑵贬值处理：由甲乙双方合议定价。</w:t>
      </w:r>
    </w:p>
    <w:p>
      <w:pPr>
        <w:pStyle w:val="19"/>
        <w:keepNext w:val="0"/>
        <w:keepLines w:val="0"/>
        <w:pageBreakBefore w:val="0"/>
        <w:kinsoku/>
        <w:wordWrap/>
        <w:overflowPunct/>
        <w:topLinePunct w:val="0"/>
        <w:bidi w:val="0"/>
        <w:snapToGrid w:val="0"/>
        <w:spacing w:line="400" w:lineRule="exact"/>
        <w:ind w:left="420" w:leftChars="200"/>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⑶解除合同。</w:t>
      </w:r>
    </w:p>
    <w:p>
      <w:pPr>
        <w:pStyle w:val="19"/>
        <w:keepNext w:val="0"/>
        <w:keepLines w:val="0"/>
        <w:pageBreakBefore w:val="0"/>
        <w:kinsoku/>
        <w:wordWrap/>
        <w:overflowPunct/>
        <w:topLinePunct w:val="0"/>
        <w:bidi w:val="0"/>
        <w:snapToGrid w:val="0"/>
        <w:spacing w:line="400" w:lineRule="exact"/>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如在使用过程中发生问题，乙方在接到甲方通知后在</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小时内到达甲方现场。</w:t>
      </w:r>
    </w:p>
    <w:p>
      <w:pPr>
        <w:pStyle w:val="19"/>
        <w:keepNext w:val="0"/>
        <w:keepLines w:val="0"/>
        <w:pageBreakBefore w:val="0"/>
        <w:kinsoku/>
        <w:wordWrap/>
        <w:overflowPunct/>
        <w:topLinePunct w:val="0"/>
        <w:bidi w:val="0"/>
        <w:snapToGrid w:val="0"/>
        <w:spacing w:line="400" w:lineRule="exact"/>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在</w:t>
      </w:r>
      <w:r>
        <w:rPr>
          <w:rFonts w:hAnsi="宋体"/>
          <w:bCs/>
          <w:color w:val="000000" w:themeColor="text1"/>
          <w:sz w:val="24"/>
          <w:highlight w:val="none"/>
          <w14:textFill>
            <w14:solidFill>
              <w14:schemeClr w14:val="tx1"/>
            </w14:solidFill>
          </w14:textFill>
        </w:rPr>
        <w:t>服务质量保证期</w:t>
      </w:r>
      <w:r>
        <w:rPr>
          <w:rFonts w:hAnsi="宋体"/>
          <w:color w:val="000000" w:themeColor="text1"/>
          <w:sz w:val="24"/>
          <w:highlight w:val="none"/>
          <w14:textFill>
            <w14:solidFill>
              <w14:schemeClr w14:val="tx1"/>
            </w14:solidFill>
          </w14:textFill>
        </w:rPr>
        <w:t>内，乙方应对出现的质量及安全问题负责处理解决并承担</w:t>
      </w:r>
    </w:p>
    <w:p>
      <w:pPr>
        <w:pStyle w:val="19"/>
        <w:keepNext w:val="0"/>
        <w:keepLines w:val="0"/>
        <w:pageBreakBefore w:val="0"/>
        <w:kinsoku/>
        <w:wordWrap/>
        <w:overflowPunct/>
        <w:topLinePunct w:val="0"/>
        <w:bidi w:val="0"/>
        <w:snapToGrid w:val="0"/>
        <w:spacing w:line="400" w:lineRule="exact"/>
        <w:ind w:firstLine="360" w:firstLineChars="150"/>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一切费用。</w:t>
      </w:r>
    </w:p>
    <w:p>
      <w:pPr>
        <w:pStyle w:val="19"/>
        <w:keepNext w:val="0"/>
        <w:keepLines w:val="0"/>
        <w:pageBreakBefore w:val="0"/>
        <w:kinsoku/>
        <w:wordWrap/>
        <w:overflowPunct/>
        <w:topLinePunct w:val="0"/>
        <w:bidi w:val="0"/>
        <w:snapToGrid w:val="0"/>
        <w:spacing w:line="400" w:lineRule="exact"/>
        <w:textAlignment w:val="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lang w:val="en-US" w:eastAsia="zh-CN"/>
          <w14:textFill>
            <w14:solidFill>
              <w14:schemeClr w14:val="tx1"/>
            </w14:solidFill>
          </w14:textFill>
        </w:rPr>
        <w:t>三</w:t>
      </w:r>
      <w:r>
        <w:rPr>
          <w:rFonts w:hAnsi="宋体"/>
          <w:b/>
          <w:color w:val="000000" w:themeColor="text1"/>
          <w:sz w:val="24"/>
          <w:highlight w:val="none"/>
          <w14:textFill>
            <w14:solidFill>
              <w14:schemeClr w14:val="tx1"/>
            </w14:solidFill>
          </w14:textFill>
        </w:rPr>
        <w:t>、违约责任</w:t>
      </w:r>
    </w:p>
    <w:p>
      <w:pPr>
        <w:pStyle w:val="19"/>
        <w:keepNext w:val="0"/>
        <w:keepLines w:val="0"/>
        <w:pageBreakBefore w:val="0"/>
        <w:kinsoku/>
        <w:wordWrap/>
        <w:overflowPunct/>
        <w:topLinePunct w:val="0"/>
        <w:bidi w:val="0"/>
        <w:snapToGrid w:val="0"/>
        <w:spacing w:line="400" w:lineRule="exact"/>
        <w:ind w:left="410" w:hanging="410" w:hangingChars="171"/>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甲方无正当理由拒收接受服务的，甲方向乙方偿付合同款项</w:t>
      </w:r>
      <w:r>
        <w:rPr>
          <w:rFonts w:hAnsi="宋体"/>
          <w:color w:val="000000" w:themeColor="text1"/>
          <w:sz w:val="24"/>
          <w:highlight w:val="none"/>
          <w:u w:val="single"/>
          <w14:textFill>
            <w14:solidFill>
              <w14:schemeClr w14:val="tx1"/>
            </w14:solidFill>
          </w14:textFill>
        </w:rPr>
        <w:t>百分之五</w:t>
      </w:r>
      <w:r>
        <w:rPr>
          <w:rFonts w:hAnsi="宋体"/>
          <w:color w:val="000000" w:themeColor="text1"/>
          <w:sz w:val="24"/>
          <w:highlight w:val="none"/>
          <w14:textFill>
            <w14:solidFill>
              <w14:schemeClr w14:val="tx1"/>
            </w14:solidFill>
          </w14:textFill>
        </w:rPr>
        <w:t>作为违约金。</w:t>
      </w:r>
    </w:p>
    <w:p>
      <w:pPr>
        <w:pStyle w:val="19"/>
        <w:keepNext w:val="0"/>
        <w:keepLines w:val="0"/>
        <w:pageBreakBefore w:val="0"/>
        <w:kinsoku/>
        <w:wordWrap/>
        <w:overflowPunct/>
        <w:topLinePunct w:val="0"/>
        <w:bidi w:val="0"/>
        <w:snapToGrid w:val="0"/>
        <w:spacing w:line="400" w:lineRule="exact"/>
        <w:ind w:left="410" w:hanging="410" w:hangingChars="171"/>
        <w:textAlignment w:val="auto"/>
        <w:rPr>
          <w:rFonts w:hAnsi="宋体"/>
          <w:color w:val="000000" w:themeColor="text1"/>
          <w:sz w:val="24"/>
          <w:highlight w:val="none"/>
          <w:u w:val="singl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甲方无故逾期验收和办理款项支付手续的,甲方应按逾期付款总额</w:t>
      </w:r>
      <w:r>
        <w:rPr>
          <w:rFonts w:hAnsi="宋体"/>
          <w:color w:val="000000" w:themeColor="text1"/>
          <w:sz w:val="24"/>
          <w:highlight w:val="none"/>
          <w:u w:val="single"/>
          <w14:textFill>
            <w14:solidFill>
              <w14:schemeClr w14:val="tx1"/>
            </w14:solidFill>
          </w14:textFill>
        </w:rPr>
        <w:t>每日万分之</w:t>
      </w:r>
    </w:p>
    <w:p>
      <w:pPr>
        <w:pStyle w:val="19"/>
        <w:keepNext w:val="0"/>
        <w:keepLines w:val="0"/>
        <w:pageBreakBefore w:val="0"/>
        <w:kinsoku/>
        <w:wordWrap/>
        <w:overflowPunct/>
        <w:topLinePunct w:val="0"/>
        <w:bidi w:val="0"/>
        <w:snapToGrid w:val="0"/>
        <w:spacing w:line="400" w:lineRule="exact"/>
        <w:ind w:left="407" w:leftChars="114" w:hanging="168" w:hangingChars="70"/>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u w:val="single"/>
          <w14:textFill>
            <w14:solidFill>
              <w14:schemeClr w14:val="tx1"/>
            </w14:solidFill>
          </w14:textFill>
        </w:rPr>
        <w:t>五</w:t>
      </w:r>
      <w:r>
        <w:rPr>
          <w:rFonts w:hAnsi="宋体"/>
          <w:color w:val="000000" w:themeColor="text1"/>
          <w:sz w:val="24"/>
          <w:highlight w:val="none"/>
          <w14:textFill>
            <w14:solidFill>
              <w14:schemeClr w14:val="tx1"/>
            </w14:solidFill>
          </w14:textFill>
        </w:rPr>
        <w:t>向乙方支付违约金。</w:t>
      </w:r>
    </w:p>
    <w:p>
      <w:pPr>
        <w:pStyle w:val="19"/>
        <w:keepNext w:val="0"/>
        <w:keepLines w:val="0"/>
        <w:pageBreakBefore w:val="0"/>
        <w:kinsoku/>
        <w:wordWrap/>
        <w:overflowPunct/>
        <w:topLinePunct w:val="0"/>
        <w:bidi w:val="0"/>
        <w:snapToGrid w:val="0"/>
        <w:spacing w:line="400" w:lineRule="exact"/>
        <w:ind w:left="410" w:hanging="410" w:hangingChars="171"/>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w:t>
      </w:r>
      <w:r>
        <w:rPr>
          <w:rFonts w:hint="eastAsia" w:hAnsi="宋体"/>
          <w:color w:val="000000" w:themeColor="text1"/>
          <w:sz w:val="24"/>
          <w:highlight w:val="none"/>
          <w14:textFill>
            <w14:solidFill>
              <w14:schemeClr w14:val="tx1"/>
            </w14:solidFill>
          </w14:textFill>
        </w:rPr>
        <w:t>未能如</w:t>
      </w:r>
      <w:r>
        <w:rPr>
          <w:rFonts w:hAnsi="宋体"/>
          <w:color w:val="000000" w:themeColor="text1"/>
          <w:sz w:val="24"/>
          <w:highlight w:val="none"/>
          <w14:textFill>
            <w14:solidFill>
              <w14:schemeClr w14:val="tx1"/>
            </w14:solidFill>
          </w14:textFill>
        </w:rPr>
        <w:t>期提供服务的，每日向甲方支付</w:t>
      </w:r>
      <w:r>
        <w:rPr>
          <w:rFonts w:hint="eastAsia" w:hAnsi="宋体"/>
          <w:color w:val="000000" w:themeColor="text1"/>
          <w:sz w:val="24"/>
          <w:highlight w:val="none"/>
          <w14:textFill>
            <w14:solidFill>
              <w14:schemeClr w14:val="tx1"/>
            </w14:solidFill>
          </w14:textFill>
        </w:rPr>
        <w:t>合同款项的</w:t>
      </w:r>
      <w:r>
        <w:rPr>
          <w:rFonts w:hAnsi="宋体"/>
          <w:color w:val="000000" w:themeColor="text1"/>
          <w:sz w:val="24"/>
          <w:highlight w:val="none"/>
          <w:u w:val="single"/>
          <w14:textFill>
            <w14:solidFill>
              <w14:schemeClr w14:val="tx1"/>
            </w14:solidFill>
          </w14:textFill>
        </w:rPr>
        <w:t>千分之六</w:t>
      </w:r>
      <w:r>
        <w:rPr>
          <w:rFonts w:hint="eastAsia" w:hAnsi="宋体"/>
          <w:color w:val="000000" w:themeColor="text1"/>
          <w:sz w:val="24"/>
          <w:highlight w:val="none"/>
          <w14:textFill>
            <w14:solidFill>
              <w14:schemeClr w14:val="tx1"/>
            </w14:solidFill>
          </w14:textFill>
        </w:rPr>
        <w:t>作为</w:t>
      </w:r>
      <w:r>
        <w:rPr>
          <w:rFonts w:hAnsi="宋体"/>
          <w:color w:val="000000" w:themeColor="text1"/>
          <w:sz w:val="24"/>
          <w:highlight w:val="none"/>
          <w14:textFill>
            <w14:solidFill>
              <w14:schemeClr w14:val="tx1"/>
            </w14:solidFill>
          </w14:textFill>
        </w:rPr>
        <w:t>违约金。乙方超过约定日期10个工作日</w:t>
      </w:r>
      <w:r>
        <w:rPr>
          <w:rFonts w:hint="eastAsia" w:hAnsi="宋体"/>
          <w:color w:val="000000" w:themeColor="text1"/>
          <w:sz w:val="24"/>
          <w:highlight w:val="none"/>
          <w14:textFill>
            <w14:solidFill>
              <w14:schemeClr w14:val="tx1"/>
            </w14:solidFill>
          </w14:textFill>
        </w:rPr>
        <w:t>仍</w:t>
      </w:r>
      <w:r>
        <w:rPr>
          <w:rFonts w:hAnsi="宋体"/>
          <w:color w:val="000000" w:themeColor="text1"/>
          <w:sz w:val="24"/>
          <w:highlight w:val="none"/>
          <w14:textFill>
            <w14:solidFill>
              <w14:schemeClr w14:val="tx1"/>
            </w14:solidFill>
          </w14:textFill>
        </w:rPr>
        <w:t>不能</w:t>
      </w:r>
      <w:r>
        <w:rPr>
          <w:rFonts w:hint="eastAsia" w:hAnsi="宋体"/>
          <w:color w:val="000000" w:themeColor="text1"/>
          <w:sz w:val="24"/>
          <w:highlight w:val="none"/>
          <w14:textFill>
            <w14:solidFill>
              <w14:schemeClr w14:val="tx1"/>
            </w14:solidFill>
          </w14:textFill>
        </w:rPr>
        <w:t>提供服务</w:t>
      </w:r>
      <w:r>
        <w:rPr>
          <w:rFonts w:hAnsi="宋体"/>
          <w:color w:val="000000" w:themeColor="text1"/>
          <w:sz w:val="24"/>
          <w:highlight w:val="none"/>
          <w14:textFill>
            <w14:solidFill>
              <w14:schemeClr w14:val="tx1"/>
            </w14:solidFill>
          </w14:textFill>
        </w:rPr>
        <w:t>的，甲方可解除本合同。乙方因</w:t>
      </w:r>
      <w:r>
        <w:rPr>
          <w:rFonts w:hint="eastAsia" w:hAnsi="宋体"/>
          <w:color w:val="000000" w:themeColor="text1"/>
          <w:sz w:val="24"/>
          <w:highlight w:val="none"/>
          <w14:textFill>
            <w14:solidFill>
              <w14:schemeClr w14:val="tx1"/>
            </w14:solidFill>
          </w14:textFill>
        </w:rPr>
        <w:t>未能如</w:t>
      </w:r>
      <w:r>
        <w:rPr>
          <w:rFonts w:hAnsi="宋体"/>
          <w:color w:val="000000" w:themeColor="text1"/>
          <w:sz w:val="24"/>
          <w:highlight w:val="none"/>
          <w14:textFill>
            <w14:solidFill>
              <w14:schemeClr w14:val="tx1"/>
            </w14:solidFill>
          </w14:textFill>
        </w:rPr>
        <w:t>期提供服务或因其他违约行为导致甲方解除合同的，乙方应向甲方支付合同总值</w:t>
      </w:r>
      <w:r>
        <w:rPr>
          <w:rFonts w:hAnsi="宋体"/>
          <w:color w:val="000000" w:themeColor="text1"/>
          <w:sz w:val="24"/>
          <w:highlight w:val="none"/>
          <w:u w:val="single"/>
          <w14:textFill>
            <w14:solidFill>
              <w14:schemeClr w14:val="tx1"/>
            </w14:solidFill>
          </w14:textFill>
        </w:rPr>
        <w:t>5%</w:t>
      </w:r>
      <w:r>
        <w:rPr>
          <w:rFonts w:hAnsi="宋体"/>
          <w:color w:val="000000" w:themeColor="text1"/>
          <w:sz w:val="24"/>
          <w:highlight w:val="none"/>
          <w14:textFill>
            <w14:solidFill>
              <w14:schemeClr w14:val="tx1"/>
            </w14:solidFill>
          </w14:textFill>
        </w:rPr>
        <w:t xml:space="preserve">的违约金，如造成甲方损失超过违约金的，超出部分由乙方继续承担赔偿责任。 </w:t>
      </w:r>
    </w:p>
    <w:p>
      <w:pPr>
        <w:pStyle w:val="19"/>
        <w:keepNext w:val="0"/>
        <w:keepLines w:val="0"/>
        <w:pageBreakBefore w:val="0"/>
        <w:kinsoku/>
        <w:wordWrap/>
        <w:overflowPunct/>
        <w:topLinePunct w:val="0"/>
        <w:bidi w:val="0"/>
        <w:snapToGrid w:val="0"/>
        <w:spacing w:line="400" w:lineRule="exact"/>
        <w:textAlignment w:val="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lang w:val="en-US" w:eastAsia="zh-CN"/>
          <w14:textFill>
            <w14:solidFill>
              <w14:schemeClr w14:val="tx1"/>
            </w14:solidFill>
          </w14:textFill>
        </w:rPr>
        <w:t>四</w:t>
      </w:r>
      <w:r>
        <w:rPr>
          <w:rFonts w:hAnsi="宋体"/>
          <w:b/>
          <w:color w:val="000000" w:themeColor="text1"/>
          <w:sz w:val="24"/>
          <w:highlight w:val="none"/>
          <w14:textFill>
            <w14:solidFill>
              <w14:schemeClr w14:val="tx1"/>
            </w14:solidFill>
          </w14:textFill>
        </w:rPr>
        <w:t>、不可抗力事件处理</w:t>
      </w:r>
    </w:p>
    <w:p>
      <w:pPr>
        <w:pStyle w:val="19"/>
        <w:keepNext w:val="0"/>
        <w:keepLines w:val="0"/>
        <w:pageBreakBefore w:val="0"/>
        <w:kinsoku/>
        <w:wordWrap/>
        <w:overflowPunct/>
        <w:topLinePunct w:val="0"/>
        <w:bidi w:val="0"/>
        <w:snapToGrid w:val="0"/>
        <w:spacing w:line="400" w:lineRule="exact"/>
        <w:ind w:left="480" w:hanging="480" w:hangingChars="200"/>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在合同有效期内，任何一方因不可抗力事件导致不能履行合同，则合同履行</w:t>
      </w:r>
    </w:p>
    <w:p>
      <w:pPr>
        <w:pStyle w:val="19"/>
        <w:keepNext w:val="0"/>
        <w:keepLines w:val="0"/>
        <w:pageBreakBefore w:val="0"/>
        <w:kinsoku/>
        <w:wordWrap/>
        <w:overflowPunct/>
        <w:topLinePunct w:val="0"/>
        <w:bidi w:val="0"/>
        <w:snapToGrid w:val="0"/>
        <w:spacing w:line="400" w:lineRule="exact"/>
        <w:ind w:firstLine="360" w:firstLineChars="150"/>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期可延长，其延长期与不可抗力影响期相同。</w:t>
      </w:r>
    </w:p>
    <w:p>
      <w:pPr>
        <w:pStyle w:val="19"/>
        <w:keepNext w:val="0"/>
        <w:keepLines w:val="0"/>
        <w:pageBreakBefore w:val="0"/>
        <w:kinsoku/>
        <w:wordWrap/>
        <w:overflowPunct/>
        <w:topLinePunct w:val="0"/>
        <w:bidi w:val="0"/>
        <w:snapToGrid w:val="0"/>
        <w:spacing w:line="400" w:lineRule="exact"/>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不可抗力事件发生后，应立即通知对方，并寄送有关权威机构出具的证明。</w:t>
      </w:r>
    </w:p>
    <w:p>
      <w:pPr>
        <w:pStyle w:val="19"/>
        <w:keepNext w:val="0"/>
        <w:keepLines w:val="0"/>
        <w:pageBreakBefore w:val="0"/>
        <w:kinsoku/>
        <w:wordWrap/>
        <w:overflowPunct/>
        <w:topLinePunct w:val="0"/>
        <w:bidi w:val="0"/>
        <w:snapToGrid w:val="0"/>
        <w:spacing w:line="400" w:lineRule="exact"/>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不可抗力事件延续120天以上，双方应通过友好协商，确定是否继续履行合</w:t>
      </w:r>
    </w:p>
    <w:p>
      <w:pPr>
        <w:pStyle w:val="19"/>
        <w:keepNext w:val="0"/>
        <w:keepLines w:val="0"/>
        <w:pageBreakBefore w:val="0"/>
        <w:kinsoku/>
        <w:wordWrap/>
        <w:overflowPunct/>
        <w:topLinePunct w:val="0"/>
        <w:bidi w:val="0"/>
        <w:snapToGrid w:val="0"/>
        <w:spacing w:line="400" w:lineRule="exact"/>
        <w:ind w:firstLine="360" w:firstLineChars="150"/>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同。</w:t>
      </w:r>
    </w:p>
    <w:p>
      <w:pPr>
        <w:pStyle w:val="19"/>
        <w:keepNext w:val="0"/>
        <w:keepLines w:val="0"/>
        <w:pageBreakBefore w:val="0"/>
        <w:kinsoku/>
        <w:wordWrap/>
        <w:overflowPunct/>
        <w:topLinePunct w:val="0"/>
        <w:bidi w:val="0"/>
        <w:snapToGrid w:val="0"/>
        <w:spacing w:line="400" w:lineRule="exact"/>
        <w:textAlignment w:val="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lang w:val="en-US" w:eastAsia="zh-CN"/>
          <w14:textFill>
            <w14:solidFill>
              <w14:schemeClr w14:val="tx1"/>
            </w14:solidFill>
          </w14:textFill>
        </w:rPr>
        <w:t>五</w:t>
      </w:r>
      <w:r>
        <w:rPr>
          <w:rFonts w:hAnsi="宋体"/>
          <w:b/>
          <w:color w:val="000000" w:themeColor="text1"/>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解决争议的方法</w:t>
      </w:r>
    </w:p>
    <w:p>
      <w:pPr>
        <w:pStyle w:val="19"/>
        <w:keepNext w:val="0"/>
        <w:keepLines w:val="0"/>
        <w:pageBreakBefore w:val="0"/>
        <w:kinsoku/>
        <w:wordWrap/>
        <w:overflowPunct/>
        <w:topLinePunct w:val="0"/>
        <w:bidi w:val="0"/>
        <w:snapToGrid w:val="0"/>
        <w:spacing w:line="400" w:lineRule="exact"/>
        <w:textAlignment w:val="auto"/>
        <w:rPr>
          <w:rFonts w:hAnsi="宋体" w:cs="宋体"/>
          <w:color w:val="000000" w:themeColor="text1"/>
          <w:kern w:val="0"/>
          <w:sz w:val="24"/>
          <w:highlight w:val="none"/>
          <w:lang w:bidi="ar"/>
          <w14:textFill>
            <w14:solidFill>
              <w14:schemeClr w14:val="tx1"/>
            </w14:solidFill>
          </w14:textFill>
        </w:rPr>
      </w:pPr>
      <w:r>
        <w:rPr>
          <w:rFonts w:hint="eastAsia" w:hAnsi="宋体" w:cs="宋体"/>
          <w:color w:val="000000" w:themeColor="text1"/>
          <w:kern w:val="0"/>
          <w:sz w:val="24"/>
          <w:highlight w:val="none"/>
          <w:lang w:bidi="ar"/>
          <w14:textFill>
            <w14:solidFill>
              <w14:schemeClr w14:val="tx1"/>
            </w14:solidFill>
          </w14:textFill>
        </w:rPr>
        <w:t xml:space="preserve">1. </w:t>
      </w:r>
      <w:r>
        <w:rPr>
          <w:rFonts w:hAnsi="宋体" w:cs="宋体"/>
          <w:color w:val="000000" w:themeColor="text1"/>
          <w:kern w:val="0"/>
          <w:sz w:val="24"/>
          <w:highlight w:val="none"/>
          <w:lang w:bidi="ar"/>
          <w14:textFill>
            <w14:solidFill>
              <w14:schemeClr w14:val="tx1"/>
            </w14:solidFill>
          </w14:textFill>
        </w:rPr>
        <w:t>如双方在履行合同时发生纠纷，应协商解决；协商不成时，可提请政府采购管理部门调解；调解不成的</w:t>
      </w:r>
      <w:r>
        <w:rPr>
          <w:rFonts w:hint="eastAsia" w:hAnsi="宋体" w:cs="宋体"/>
          <w:color w:val="000000" w:themeColor="text1"/>
          <w:kern w:val="0"/>
          <w:sz w:val="24"/>
          <w:highlight w:val="none"/>
          <w:lang w:eastAsia="zh-CN" w:bidi="ar"/>
          <w14:textFill>
            <w14:solidFill>
              <w14:schemeClr w14:val="tx1"/>
            </w14:solidFill>
          </w14:textFill>
        </w:rPr>
        <w:t>，</w:t>
      </w:r>
      <w:r>
        <w:rPr>
          <w:rFonts w:hAnsi="宋体" w:cs="宋体"/>
          <w:color w:val="000000" w:themeColor="text1"/>
          <w:kern w:val="0"/>
          <w:sz w:val="24"/>
          <w:highlight w:val="none"/>
          <w:lang w:bidi="ar"/>
          <w14:textFill>
            <w14:solidFill>
              <w14:schemeClr w14:val="tx1"/>
            </w14:solidFill>
          </w14:textFill>
        </w:rPr>
        <w:t>依法向</w:t>
      </w:r>
      <w:r>
        <w:rPr>
          <w:rFonts w:hint="eastAsia" w:hAnsi="宋体" w:cs="宋体"/>
          <w:color w:val="000000" w:themeColor="text1"/>
          <w:kern w:val="0"/>
          <w:sz w:val="24"/>
          <w:highlight w:val="none"/>
          <w:lang w:val="en-US" w:eastAsia="zh-CN" w:bidi="ar"/>
          <w14:textFill>
            <w14:solidFill>
              <w14:schemeClr w14:val="tx1"/>
            </w14:solidFill>
          </w14:textFill>
        </w:rPr>
        <w:t>玉环市</w:t>
      </w:r>
      <w:r>
        <w:rPr>
          <w:rFonts w:hAnsi="宋体" w:cs="宋体"/>
          <w:color w:val="000000" w:themeColor="text1"/>
          <w:kern w:val="0"/>
          <w:sz w:val="24"/>
          <w:highlight w:val="none"/>
          <w:lang w:bidi="ar"/>
          <w14:textFill>
            <w14:solidFill>
              <w14:schemeClr w14:val="tx1"/>
            </w14:solidFill>
          </w14:textFill>
        </w:rPr>
        <w:t>人民法院提起诉讼。</w:t>
      </w:r>
    </w:p>
    <w:p>
      <w:pPr>
        <w:pStyle w:val="19"/>
        <w:keepNext w:val="0"/>
        <w:keepLines w:val="0"/>
        <w:pageBreakBefore w:val="0"/>
        <w:kinsoku/>
        <w:wordWrap/>
        <w:overflowPunct/>
        <w:topLinePunct w:val="0"/>
        <w:bidi w:val="0"/>
        <w:snapToGrid w:val="0"/>
        <w:spacing w:line="400" w:lineRule="exact"/>
        <w:textAlignment w:val="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lang w:val="en-US" w:eastAsia="zh-CN"/>
          <w14:textFill>
            <w14:solidFill>
              <w14:schemeClr w14:val="tx1"/>
            </w14:solidFill>
          </w14:textFill>
        </w:rPr>
        <w:t>六</w:t>
      </w:r>
      <w:r>
        <w:rPr>
          <w:rFonts w:hAnsi="宋体"/>
          <w:b/>
          <w:color w:val="000000" w:themeColor="text1"/>
          <w:sz w:val="24"/>
          <w:highlight w:val="none"/>
          <w14:textFill>
            <w14:solidFill>
              <w14:schemeClr w14:val="tx1"/>
            </w14:solidFill>
          </w14:textFill>
        </w:rPr>
        <w:t>、合同生效及其它</w:t>
      </w:r>
    </w:p>
    <w:p>
      <w:pPr>
        <w:pStyle w:val="19"/>
        <w:keepNext w:val="0"/>
        <w:keepLines w:val="0"/>
        <w:pageBreakBefore w:val="0"/>
        <w:kinsoku/>
        <w:wordWrap/>
        <w:overflowPunct/>
        <w:topLinePunct w:val="0"/>
        <w:bidi w:val="0"/>
        <w:snapToGrid w:val="0"/>
        <w:spacing w:line="400" w:lineRule="exact"/>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合同经双方法定代表人或授权代表</w:t>
      </w:r>
      <w:r>
        <w:rPr>
          <w:rFonts w:hint="eastAsia" w:hAnsi="宋体"/>
          <w:color w:val="000000" w:themeColor="text1"/>
          <w:sz w:val="24"/>
          <w:highlight w:val="none"/>
          <w14:textFill>
            <w14:solidFill>
              <w14:schemeClr w14:val="tx1"/>
            </w14:solidFill>
          </w14:textFill>
        </w:rPr>
        <w:t>签字</w:t>
      </w:r>
      <w:r>
        <w:rPr>
          <w:rFonts w:hAnsi="宋体"/>
          <w:color w:val="000000" w:themeColor="text1"/>
          <w:sz w:val="24"/>
          <w:highlight w:val="none"/>
          <w14:textFill>
            <w14:solidFill>
              <w14:schemeClr w14:val="tx1"/>
            </w14:solidFill>
          </w14:textFill>
        </w:rPr>
        <w:t>并加盖单位公章后生效。</w:t>
      </w:r>
    </w:p>
    <w:p>
      <w:pPr>
        <w:pStyle w:val="19"/>
        <w:keepNext w:val="0"/>
        <w:keepLines w:val="0"/>
        <w:pageBreakBefore w:val="0"/>
        <w:kinsoku/>
        <w:wordWrap/>
        <w:overflowPunct/>
        <w:topLinePunct w:val="0"/>
        <w:bidi w:val="0"/>
        <w:snapToGrid w:val="0"/>
        <w:spacing w:line="400" w:lineRule="exact"/>
        <w:ind w:left="480" w:hanging="480" w:hangingChars="200"/>
        <w:textAlignment w:val="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2. </w:t>
      </w:r>
      <w:r>
        <w:rPr>
          <w:rFonts w:hAnsi="宋体"/>
          <w:color w:val="000000" w:themeColor="text1"/>
          <w:sz w:val="24"/>
          <w:highlight w:val="none"/>
          <w14:textFill>
            <w14:solidFill>
              <w14:schemeClr w14:val="tx1"/>
            </w14:solidFill>
          </w14:textFill>
        </w:rPr>
        <w:t>本合同未尽事宜，遵照《</w:t>
      </w:r>
      <w:r>
        <w:rPr>
          <w:rFonts w:hint="eastAsia" w:hAnsi="宋体"/>
          <w:color w:val="000000" w:themeColor="text1"/>
          <w:sz w:val="24"/>
          <w:highlight w:val="none"/>
          <w:lang w:val="en-US" w:eastAsia="zh-CN"/>
          <w14:textFill>
            <w14:solidFill>
              <w14:schemeClr w14:val="tx1"/>
            </w14:solidFill>
          </w14:textFill>
        </w:rPr>
        <w:t>民法典</w:t>
      </w:r>
      <w:r>
        <w:rPr>
          <w:rFonts w:hAnsi="宋体"/>
          <w:color w:val="000000" w:themeColor="text1"/>
          <w:sz w:val="24"/>
          <w:highlight w:val="none"/>
          <w14:textFill>
            <w14:solidFill>
              <w14:schemeClr w14:val="tx1"/>
            </w14:solidFill>
          </w14:textFill>
        </w:rPr>
        <w:t>》有关条文执行。</w:t>
      </w:r>
    </w:p>
    <w:p>
      <w:pPr>
        <w:keepNext w:val="0"/>
        <w:keepLines w:val="0"/>
        <w:pageBreakBefore w:val="0"/>
        <w:widowControl/>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本合同一式四份。甲、乙双方各执一份。本项目未尽事宜以磋商采购文件、磋商响应文件及澄清文件等为准。</w:t>
      </w:r>
    </w:p>
    <w:p>
      <w:pPr>
        <w:keepNext w:val="0"/>
        <w:keepLines w:val="0"/>
        <w:pageBreakBefore w:val="0"/>
        <w:widowControl/>
        <w:kinsoku/>
        <w:wordWrap/>
        <w:overflowPunct/>
        <w:topLinePunct w:val="0"/>
        <w:bidi w:val="0"/>
        <w:spacing w:line="400" w:lineRule="exact"/>
        <w:textAlignment w:val="auto"/>
        <w:rPr>
          <w:rFonts w:ascii="宋体" w:hAnsi="宋体"/>
          <w:b/>
          <w:color w:val="000000" w:themeColor="text1"/>
          <w:sz w:val="24"/>
          <w:highlight w:val="none"/>
          <w14:textFill>
            <w14:solidFill>
              <w14:schemeClr w14:val="tx1"/>
            </w14:solidFill>
          </w14:textFill>
        </w:rPr>
      </w:pPr>
    </w:p>
    <w:p>
      <w:pPr>
        <w:keepNext w:val="0"/>
        <w:keepLines w:val="0"/>
        <w:pageBreakBefore w:val="0"/>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甲方（公章）                                     乙方（公章）</w:t>
      </w:r>
    </w:p>
    <w:p>
      <w:pPr>
        <w:keepNext w:val="0"/>
        <w:keepLines w:val="0"/>
        <w:pageBreakBefore w:val="0"/>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                                     法定代表人：</w:t>
      </w:r>
    </w:p>
    <w:p>
      <w:pPr>
        <w:keepNext w:val="0"/>
        <w:keepLines w:val="0"/>
        <w:pageBreakBefore w:val="0"/>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                                     委托代理人：</w:t>
      </w:r>
    </w:p>
    <w:p>
      <w:pPr>
        <w:keepNext w:val="0"/>
        <w:keepLines w:val="0"/>
        <w:pageBreakBefore w:val="0"/>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                                       联系电话：</w:t>
      </w:r>
    </w:p>
    <w:p>
      <w:pPr>
        <w:keepNext w:val="0"/>
        <w:keepLines w:val="0"/>
        <w:pageBreakBefore w:val="0"/>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开户银行：</w:t>
      </w:r>
    </w:p>
    <w:p>
      <w:pPr>
        <w:keepNext w:val="0"/>
        <w:keepLines w:val="0"/>
        <w:pageBreakBefore w:val="0"/>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帐号：                                           帐号：</w:t>
      </w:r>
    </w:p>
    <w:p>
      <w:pPr>
        <w:keepNext w:val="0"/>
        <w:keepLines w:val="0"/>
        <w:pageBreakBefore w:val="0"/>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地址及邮编：                                     地址及邮编：</w:t>
      </w:r>
    </w:p>
    <w:p>
      <w:pPr>
        <w:keepNext w:val="0"/>
        <w:keepLines w:val="0"/>
        <w:pageBreakBefore w:val="0"/>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p>
    <w:p>
      <w:pPr>
        <w:keepNext w:val="0"/>
        <w:keepLines w:val="0"/>
        <w:pageBreakBefore w:val="0"/>
        <w:kinsoku/>
        <w:wordWrap/>
        <w:overflowPunct/>
        <w:topLinePunct w:val="0"/>
        <w:bidi w:val="0"/>
        <w:spacing w:line="400" w:lineRule="exact"/>
        <w:ind w:firstLine="4920" w:firstLineChars="205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签订时间：    年   月    日</w:t>
      </w:r>
    </w:p>
    <w:p>
      <w:pPr>
        <w:pStyle w:val="2"/>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第六章：响应文件格式附件</w:t>
      </w:r>
    </w:p>
    <w:p>
      <w:pPr>
        <w:pStyle w:val="4"/>
        <w:keepNext/>
        <w:keepLines/>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8"/>
          <w:highlight w:val="none"/>
          <w14:textFill>
            <w14:solidFill>
              <w14:schemeClr w14:val="tx1"/>
            </w14:solidFill>
          </w14:textFill>
        </w:rPr>
        <w:t xml:space="preserve">        </w:t>
      </w:r>
    </w:p>
    <w:p>
      <w:pPr>
        <w:spacing w:line="360" w:lineRule="auto"/>
        <w:ind w:right="-514" w:rightChars="0" w:firstLine="1120" w:firstLineChars="200"/>
        <w:jc w:val="both"/>
        <w:rPr>
          <w:rFonts w:hint="eastAsia" w:ascii="宋体" w:hAnsi="宋体" w:eastAsia="宋体" w:cs="宋体"/>
          <w:color w:val="000000" w:themeColor="text1"/>
          <w:spacing w:val="40"/>
          <w:sz w:val="48"/>
          <w:szCs w:val="48"/>
          <w:highlight w:val="none"/>
          <w:lang w:eastAsia="zh-CN"/>
          <w14:textFill>
            <w14:solidFill>
              <w14:schemeClr w14:val="tx1"/>
            </w14:solidFill>
          </w14:textFill>
        </w:rPr>
      </w:pPr>
      <w:r>
        <w:rPr>
          <w:rFonts w:hint="eastAsia" w:ascii="宋体" w:hAnsi="宋体" w:cs="宋体"/>
          <w:color w:val="000000" w:themeColor="text1"/>
          <w:spacing w:val="40"/>
          <w:sz w:val="48"/>
          <w:szCs w:val="48"/>
          <w:highlight w:val="none"/>
          <w:lang w:eastAsia="zh-CN"/>
          <w14:textFill>
            <w14:solidFill>
              <w14:schemeClr w14:val="tx1"/>
            </w14:solidFill>
          </w14:textFill>
        </w:rPr>
        <w:t>玉环市小城镇环境综合整治工程PPP项目绩效评价服务</w:t>
      </w:r>
    </w:p>
    <w:p>
      <w:pPr>
        <w:spacing w:before="312" w:beforeLines="100" w:line="360" w:lineRule="auto"/>
        <w:ind w:right="-108" w:firstLine="1800" w:firstLineChars="50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r>
        <w:rPr>
          <w:rFonts w:hint="eastAsia" w:ascii="宋体" w:hAnsi="宋体" w:eastAsia="宋体" w:cs="宋体"/>
          <w:color w:val="000000" w:themeColor="text1"/>
          <w:sz w:val="36"/>
          <w:szCs w:val="36"/>
          <w:highlight w:val="none"/>
          <w:u w:val="single"/>
          <w14:textFill>
            <w14:solidFill>
              <w14:schemeClr w14:val="tx1"/>
            </w14:solidFill>
          </w14:textFill>
        </w:rPr>
        <w:t xml:space="preserve">            </w:t>
      </w:r>
    </w:p>
    <w:p>
      <w:pPr>
        <w:spacing w:before="312" w:beforeLines="100" w:line="240" w:lineRule="atLeast"/>
        <w:ind w:right="-108"/>
        <w:jc w:val="center"/>
        <w:rPr>
          <w:rFonts w:hint="eastAsia" w:ascii="宋体" w:hAnsi="宋体" w:eastAsia="宋体" w:cs="宋体"/>
          <w:color w:val="000000" w:themeColor="text1"/>
          <w:sz w:val="32"/>
          <w:szCs w:val="32"/>
          <w:highlight w:val="none"/>
          <w14:textFill>
            <w14:solidFill>
              <w14:schemeClr w14:val="tx1"/>
            </w14:solidFill>
          </w14:textFill>
        </w:rPr>
      </w:pPr>
    </w:p>
    <w:p>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磋</w:t>
      </w:r>
    </w:p>
    <w:p>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商</w:t>
      </w:r>
    </w:p>
    <w:p>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响</w:t>
      </w:r>
    </w:p>
    <w:p>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应</w:t>
      </w:r>
    </w:p>
    <w:p>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文</w:t>
      </w:r>
    </w:p>
    <w:p>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件</w:t>
      </w:r>
    </w:p>
    <w:p>
      <w:pPr>
        <w:spacing w:line="500" w:lineRule="exact"/>
        <w:ind w:right="532" w:firstLine="720" w:firstLineChars="20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供应商全称（公章）：</w:t>
      </w:r>
    </w:p>
    <w:p>
      <w:pPr>
        <w:wordWrap w:val="0"/>
        <w:spacing w:line="500" w:lineRule="exact"/>
        <w:ind w:right="-108" w:firstLine="720" w:firstLineChars="20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    址：</w:t>
      </w:r>
    </w:p>
    <w:p>
      <w:pPr>
        <w:wordWrap w:val="0"/>
        <w:spacing w:line="500" w:lineRule="exact"/>
        <w:ind w:right="-108" w:firstLine="720" w:firstLineChars="20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    间：</w:t>
      </w:r>
    </w:p>
    <w:p>
      <w:pPr>
        <w:snapToGrid w:val="0"/>
        <w:spacing w:before="50" w:after="50"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napToGrid w:val="0"/>
        <w:spacing w:before="50" w:after="50"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磋商响应文件目录</w:t>
      </w:r>
    </w:p>
    <w:p>
      <w:pPr>
        <w:snapToGrid w:val="0"/>
        <w:spacing w:before="50" w:after="50" w:line="360" w:lineRule="auto"/>
        <w:ind w:firstLine="422" w:firstLineChars="15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第一部分：资格证明部分</w:t>
      </w:r>
    </w:p>
    <w:p>
      <w:pPr>
        <w:numPr>
          <w:ilvl w:val="0"/>
          <w:numId w:val="7"/>
        </w:numPr>
        <w:snapToGrid w:val="0"/>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磋商声明书（附件2）</w:t>
      </w:r>
      <w:r>
        <w:rPr>
          <w:rFonts w:hint="eastAsia" w:ascii="宋体" w:hAnsi="宋体" w:cs="宋体"/>
          <w:color w:val="000000" w:themeColor="text1"/>
          <w:sz w:val="24"/>
          <w:highlight w:val="none"/>
          <w:lang w:eastAsia="zh-CN"/>
          <w14:textFill>
            <w14:solidFill>
              <w14:schemeClr w14:val="tx1"/>
            </w14:solidFill>
          </w14:textFill>
        </w:rPr>
        <w:t>；</w:t>
      </w:r>
    </w:p>
    <w:p>
      <w:pPr>
        <w:numPr>
          <w:ilvl w:val="0"/>
          <w:numId w:val="7"/>
        </w:numPr>
        <w:snapToGrid w:val="0"/>
        <w:spacing w:line="360" w:lineRule="auto"/>
        <w:ind w:firstLine="470" w:firstLineChars="196"/>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授权委托书（附件3）</w:t>
      </w:r>
      <w:r>
        <w:rPr>
          <w:rFonts w:hint="eastAsia" w:ascii="宋体" w:hAnsi="宋体" w:cs="宋体"/>
          <w:bCs/>
          <w:color w:val="000000" w:themeColor="text1"/>
          <w:sz w:val="24"/>
          <w:highlight w:val="none"/>
          <w:lang w:eastAsia="zh-CN"/>
          <w14:textFill>
            <w14:solidFill>
              <w14:schemeClr w14:val="tx1"/>
            </w14:solidFill>
          </w14:textFill>
        </w:rPr>
        <w:t>；</w:t>
      </w:r>
    </w:p>
    <w:p>
      <w:pPr>
        <w:snapToGrid w:val="0"/>
        <w:spacing w:line="360" w:lineRule="auto"/>
        <w:ind w:firstLine="470" w:firstLineChars="196"/>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3、法人或者其他组织的营业执照等证明文件，自然人的身份证明</w:t>
      </w:r>
      <w:r>
        <w:rPr>
          <w:rFonts w:hint="eastAsia" w:ascii="宋体" w:hAnsi="宋体" w:cs="宋体"/>
          <w:color w:val="000000" w:themeColor="text1"/>
          <w:sz w:val="24"/>
          <w:highlight w:val="none"/>
          <w:lang w:eastAsia="zh-CN"/>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财务状况报告，依法缴纳税收和社会保障资金的相关材料</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允许采用承诺函形式</w:t>
      </w:r>
      <w:r>
        <w:rPr>
          <w:rFonts w:hint="eastAsia" w:ascii="宋体" w:hAnsi="宋体" w:cs="宋体"/>
          <w:color w:val="000000" w:themeColor="text1"/>
          <w:sz w:val="24"/>
          <w:highlight w:val="none"/>
          <w:lang w:eastAsia="zh-CN"/>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5、具备履行合同所必需的设备和专业技术能力的证明材料</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允许采用承诺函形式</w:t>
      </w:r>
      <w:r>
        <w:rPr>
          <w:rFonts w:hint="eastAsia" w:ascii="宋体" w:hAnsi="宋体" w:cs="宋体"/>
          <w:color w:val="000000" w:themeColor="text1"/>
          <w:sz w:val="24"/>
          <w:highlight w:val="none"/>
          <w:lang w:eastAsia="zh-CN"/>
          <w14:textFill>
            <w14:solidFill>
              <w14:schemeClr w14:val="tx1"/>
            </w14:solidFill>
          </w14:textFill>
        </w:rPr>
        <w:t>）；</w:t>
      </w:r>
    </w:p>
    <w:p>
      <w:pPr>
        <w:snapToGrid w:val="0"/>
        <w:spacing w:line="360" w:lineRule="auto"/>
        <w:ind w:firstLine="480" w:firstLineChars="200"/>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6、本项目要求的特定资质证书</w:t>
      </w:r>
      <w:r>
        <w:rPr>
          <w:rFonts w:hint="eastAsia" w:ascii="宋体" w:hAnsi="宋体" w:cs="宋体"/>
          <w:color w:val="000000" w:themeColor="text1"/>
          <w:sz w:val="24"/>
          <w:highlight w:val="none"/>
          <w:lang w:eastAsia="zh-CN"/>
          <w14:textFill>
            <w14:solidFill>
              <w14:schemeClr w14:val="tx1"/>
            </w14:solidFill>
          </w14:textFill>
        </w:rPr>
        <w:t>；</w:t>
      </w:r>
    </w:p>
    <w:p>
      <w:pPr>
        <w:snapToGrid w:val="0"/>
        <w:spacing w:line="360" w:lineRule="auto"/>
        <w:ind w:firstLine="422" w:firstLineChars="15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第二部分：商务与技术</w:t>
      </w:r>
      <w:r>
        <w:rPr>
          <w:rFonts w:hint="eastAsia" w:ascii="宋体" w:hAnsi="宋体" w:eastAsia="宋体" w:cs="宋体"/>
          <w:b/>
          <w:bCs/>
          <w:color w:val="000000" w:themeColor="text1"/>
          <w:sz w:val="28"/>
          <w:szCs w:val="28"/>
          <w:highlight w:val="none"/>
          <w14:textFill>
            <w14:solidFill>
              <w14:schemeClr w14:val="tx1"/>
            </w14:solidFill>
          </w14:textFill>
        </w:rPr>
        <w:t>部分</w:t>
      </w:r>
    </w:p>
    <w:p>
      <w:pPr>
        <w:snapToGrid w:val="0"/>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供应商情况介绍（附件4）</w:t>
      </w:r>
      <w:r>
        <w:rPr>
          <w:rFonts w:hint="eastAsia" w:ascii="宋体" w:hAnsi="宋体" w:cs="宋体"/>
          <w:color w:val="000000" w:themeColor="text1"/>
          <w:kern w:val="0"/>
          <w:sz w:val="24"/>
          <w:highlight w:val="none"/>
          <w:lang w:eastAsia="zh-CN"/>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2、项目组织实施方案(附件5、附件6)； </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3、商务及技术响应表</w:t>
      </w:r>
      <w:r>
        <w:rPr>
          <w:rFonts w:hint="eastAsia" w:ascii="宋体" w:hAnsi="宋体" w:eastAsia="宋体" w:cs="宋体"/>
          <w:color w:val="000000" w:themeColor="text1"/>
          <w:sz w:val="24"/>
          <w:highlight w:val="none"/>
          <w14:textFill>
            <w14:solidFill>
              <w14:schemeClr w14:val="tx1"/>
            </w14:solidFill>
          </w14:textFill>
        </w:rPr>
        <w:t>（附件7）；</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4、证书一览表（附件8）；</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类似项目业绩一览表</w:t>
      </w:r>
      <w:r>
        <w:rPr>
          <w:rFonts w:hint="eastAsia" w:ascii="宋体" w:hAnsi="宋体" w:eastAsia="宋体" w:cs="宋体"/>
          <w:color w:val="000000" w:themeColor="text1"/>
          <w:kern w:val="0"/>
          <w:sz w:val="24"/>
          <w:highlight w:val="none"/>
          <w14:textFill>
            <w14:solidFill>
              <w14:schemeClr w14:val="tx1"/>
            </w14:solidFill>
          </w14:textFill>
        </w:rPr>
        <w:t>（附件9）</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售后服务措施及承诺</w:t>
      </w:r>
      <w:r>
        <w:rPr>
          <w:rFonts w:hint="eastAsia" w:ascii="宋体" w:hAnsi="宋体" w:eastAsia="宋体" w:cs="宋体"/>
          <w:color w:val="000000" w:themeColor="text1"/>
          <w:kern w:val="0"/>
          <w:sz w:val="24"/>
          <w:highlight w:val="none"/>
          <w14:textFill>
            <w14:solidFill>
              <w14:schemeClr w14:val="tx1"/>
            </w14:solidFill>
          </w14:textFill>
        </w:rPr>
        <w:t>（附件10）；</w:t>
      </w:r>
    </w:p>
    <w:p>
      <w:pPr>
        <w:spacing w:line="360" w:lineRule="auto"/>
        <w:ind w:right="-108" w:firstLine="422"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第三部分 ：</w:t>
      </w:r>
      <w:r>
        <w:rPr>
          <w:rFonts w:hint="eastAsia" w:ascii="宋体" w:hAnsi="宋体" w:eastAsia="宋体" w:cs="宋体"/>
          <w:b/>
          <w:color w:val="000000" w:themeColor="text1"/>
          <w:sz w:val="28"/>
          <w:szCs w:val="28"/>
          <w:highlight w:val="none"/>
          <w14:textFill>
            <w14:solidFill>
              <w14:schemeClr w14:val="tx1"/>
            </w14:solidFill>
          </w14:textFill>
        </w:rPr>
        <w:t>报价</w:t>
      </w:r>
      <w:r>
        <w:rPr>
          <w:rFonts w:hint="eastAsia" w:ascii="宋体" w:hAnsi="宋体" w:eastAsia="宋体" w:cs="宋体"/>
          <w:b/>
          <w:bCs/>
          <w:color w:val="000000" w:themeColor="text1"/>
          <w:sz w:val="28"/>
          <w:szCs w:val="28"/>
          <w:highlight w:val="none"/>
          <w14:textFill>
            <w14:solidFill>
              <w14:schemeClr w14:val="tx1"/>
            </w14:solidFill>
          </w14:textFill>
        </w:rPr>
        <w:t>部分</w:t>
      </w:r>
    </w:p>
    <w:p>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1、首次报价一览表（附件11）；</w:t>
      </w:r>
    </w:p>
    <w:p>
      <w:pPr>
        <w:pStyle w:val="20"/>
        <w:snapToGrid w:val="0"/>
        <w:spacing w:line="360" w:lineRule="auto"/>
        <w:ind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2、报价明细表（附件12）；</w:t>
      </w:r>
    </w:p>
    <w:p>
      <w:pPr>
        <w:spacing w:line="360" w:lineRule="auto"/>
        <w:ind w:left="216" w:leftChars="103" w:right="-108" w:firstLine="202" w:firstLineChars="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第四部分 ：</w:t>
      </w:r>
      <w:r>
        <w:rPr>
          <w:rFonts w:hint="eastAsia" w:ascii="宋体" w:hAnsi="宋体" w:eastAsia="宋体" w:cs="宋体"/>
          <w:b/>
          <w:color w:val="000000" w:themeColor="text1"/>
          <w:sz w:val="28"/>
          <w:szCs w:val="28"/>
          <w:highlight w:val="none"/>
          <w14:textFill>
            <w14:solidFill>
              <w14:schemeClr w14:val="tx1"/>
            </w14:solidFill>
          </w14:textFill>
        </w:rPr>
        <w:t>其他</w:t>
      </w:r>
      <w:r>
        <w:rPr>
          <w:rFonts w:hint="eastAsia" w:ascii="宋体" w:hAnsi="宋体" w:eastAsia="宋体" w:cs="宋体"/>
          <w:b/>
          <w:bCs/>
          <w:color w:val="000000" w:themeColor="text1"/>
          <w:sz w:val="28"/>
          <w:szCs w:val="28"/>
          <w:highlight w:val="none"/>
          <w14:textFill>
            <w14:solidFill>
              <w14:schemeClr w14:val="tx1"/>
            </w14:solidFill>
          </w14:textFill>
        </w:rPr>
        <w:t>部分</w:t>
      </w:r>
    </w:p>
    <w:p>
      <w:pPr>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1、针对磋商，响应供应商认为其他需要说明的；</w:t>
      </w:r>
    </w:p>
    <w:p>
      <w:pPr>
        <w:snapToGrid w:val="0"/>
        <w:spacing w:line="360" w:lineRule="auto"/>
        <w:ind w:left="837" w:leftChars="223" w:hanging="369" w:hangingChars="154"/>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（以上内容具体描述详见“第二章 供应商须知”中“二、磋商响应文件”的组成说明）</w:t>
      </w:r>
    </w:p>
    <w:p>
      <w:pPr>
        <w:pStyle w:val="15"/>
        <w:rPr>
          <w:rFonts w:hint="eastAsia" w:ascii="宋体" w:hAnsi="宋体" w:eastAsia="宋体" w:cs="宋体"/>
          <w:color w:val="000000" w:themeColor="text1"/>
          <w:szCs w:val="21"/>
          <w:highlight w:val="none"/>
          <w14:textFill>
            <w14:solidFill>
              <w14:schemeClr w14:val="tx1"/>
            </w14:solidFill>
          </w14:textFill>
        </w:rPr>
      </w:pPr>
    </w:p>
    <w:p>
      <w:pPr>
        <w:pStyle w:val="15"/>
        <w:ind w:firstLine="3373" w:firstLineChars="1200"/>
        <w:rPr>
          <w:rFonts w:hint="eastAsia" w:ascii="宋体" w:hAnsi="宋体" w:eastAsia="宋体" w:cs="宋体"/>
          <w:b/>
          <w:color w:val="000000" w:themeColor="text1"/>
          <w:sz w:val="28"/>
          <w:highlight w:val="none"/>
          <w14:textFill>
            <w14:solidFill>
              <w14:schemeClr w14:val="tx1"/>
            </w14:solidFill>
          </w14:textFill>
        </w:rPr>
      </w:pPr>
    </w:p>
    <w:p>
      <w:pPr>
        <w:pStyle w:val="15"/>
        <w:ind w:firstLine="3373" w:firstLineChars="1200"/>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目录索引</w:t>
      </w:r>
    </w:p>
    <w:tbl>
      <w:tblPr>
        <w:tblStyle w:val="35"/>
        <w:tblW w:w="61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415"/>
        <w:gridCol w:w="5387"/>
        <w:gridCol w:w="1003"/>
        <w:gridCol w:w="1003"/>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673"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评审内容</w:t>
            </w:r>
          </w:p>
        </w:tc>
        <w:tc>
          <w:tcPr>
            <w:tcW w:w="2562"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评分标准</w:t>
            </w:r>
          </w:p>
        </w:tc>
        <w:tc>
          <w:tcPr>
            <w:tcW w:w="477"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c>
          <w:tcPr>
            <w:tcW w:w="477"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页码</w:t>
            </w:r>
          </w:p>
        </w:tc>
        <w:tc>
          <w:tcPr>
            <w:tcW w:w="477"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673"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企业业绩</w:t>
            </w:r>
          </w:p>
        </w:tc>
        <w:tc>
          <w:tcPr>
            <w:tcW w:w="2562" w:type="pct"/>
            <w:shd w:val="clear" w:color="auto" w:fill="auto"/>
            <w:vAlign w:val="center"/>
          </w:tcPr>
          <w:p>
            <w:pPr>
              <w:pStyle w:val="9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投标人自2021年1月1日起(以合同签订时间为准) 承接过类似服务内容(至少包括PPP绩效考核、PPP付费核算及PPP项目数字化服务)的PPP咨询业绩，每有1个得1分，最高2分。</w:t>
            </w:r>
          </w:p>
          <w:p>
            <w:pPr>
              <w:pStyle w:val="9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证明材料：须同时提供咨询服务合同关键页(封面页、盖章页及合同内容关键页)、中标通知书。</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2分</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673"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企业实力</w:t>
            </w:r>
          </w:p>
        </w:tc>
        <w:tc>
          <w:tcPr>
            <w:tcW w:w="2562"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en-US" w:eastAsia="zh-CN" w:bidi="ar-SA"/>
                <w14:textFill>
                  <w14:solidFill>
                    <w14:schemeClr w14:val="tx1"/>
                  </w14:solidFill>
                </w14:textFill>
              </w:rPr>
              <w:t>.投标人具有 PPP 咨询专项咨询资信:提供“工程咨询单位甲级资信证书”的得6分，提供“工程咨询单位乙级资信证书”的得3分，未提供不得分</w:t>
            </w:r>
            <w:r>
              <w:rPr>
                <w:rFonts w:hint="eastAsia" w:ascii="宋体" w:hAnsi="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具备有效的质量管理体系认证证书得2分；投标人具备有效的环境管理体系认证证书的得2分；投标人具备有效的职业健康管理体系认证证书得2分。注：未提供不得分，不重复计分，按最高分计，须提供相关评分资料(除网页截图)的扫描件并加盖单位公章。</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3.投标人具有PPP项目系统软件类著作权登记证书(如 PPP项目类似全过程信息管理系统、PPP项目绩效管理系统软件等),每有1个得2.5分，未提供不得分，本项最高得5分。证明材料：提供证书扫描件。</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17分</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0" w:type="pct"/>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67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项目负责人</w:t>
            </w:r>
          </w:p>
        </w:tc>
        <w:tc>
          <w:tcPr>
            <w:tcW w:w="2562"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投标人须为本项目派项目负责人一名。拟派的项目负责人情况：</w:t>
            </w:r>
          </w:p>
          <w:p>
            <w:pPr>
              <w:keepNext w:val="0"/>
              <w:keepLines w:val="0"/>
              <w:pageBreakBefore w:val="0"/>
              <w:widowControl w:val="0"/>
              <w:numPr>
                <w:ilvl w:val="0"/>
                <w:numId w:val="5"/>
              </w:numPr>
              <w:kinsoku/>
              <w:wordWrap/>
              <w:overflowPunct/>
              <w:topLinePunct w:val="0"/>
              <w:autoSpaceDE/>
              <w:autoSpaceDN/>
              <w:bidi w:val="0"/>
              <w:adjustRightInd/>
              <w:spacing w:line="400" w:lineRule="exact"/>
              <w:textAlignment w:val="auto"/>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具有高级工程师职称证书的</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，得2分。</w:t>
            </w:r>
          </w:p>
          <w:p>
            <w:pPr>
              <w:keepNext w:val="0"/>
              <w:keepLines w:val="0"/>
              <w:pageBreakBefore w:val="0"/>
              <w:widowControl w:val="0"/>
              <w:numPr>
                <w:ilvl w:val="0"/>
                <w:numId w:val="5"/>
              </w:numPr>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具有咨询工程师资格证书</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的，得2分。</w:t>
            </w:r>
          </w:p>
          <w:p>
            <w:pPr>
              <w:keepNext w:val="0"/>
              <w:keepLines w:val="0"/>
              <w:pageBreakBefore w:val="0"/>
              <w:widowControl w:val="0"/>
              <w:numPr>
                <w:ilvl w:val="0"/>
                <w:numId w:val="5"/>
              </w:numPr>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具有</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注册监理工程师的</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其他不得分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本项最高得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注:证明材料须提供项目负责人相关有效证书及社保机构出具的由本单位或分公司为其缴纳的近3个月中任何1个月的社保证明扫描件并加盖公章。</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330" w:type="pct"/>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7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2562"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2.符合上述要求的项目负责人具有PPP项目绩效评价(考核)服务咨询负责人业绩的，每有一个得3分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本项最高得6分。注:同时提供咨询服务中标通知书、咨询服务合同关键页(封面页、盖章页)、项目负责人业绩证明文件。</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6分</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0"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673"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团队实力</w:t>
            </w:r>
          </w:p>
        </w:tc>
        <w:tc>
          <w:tcPr>
            <w:tcW w:w="2562"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1.除项目负责人外其他人员中若具有咨询工程师的，每1名得2分，最高得6分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2.具有经济师或工程师及以上职称证书，每1名得1分，最高得3分。</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本项最高得9分。注:证明材料须提供其他人员相关有效证书及社保机构出具的由本单位或分公司为其缴纳的近3个月中任何1个月的社保证明扫描件并加盖公章。</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9分</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30"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673"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项目理解</w:t>
            </w:r>
          </w:p>
        </w:tc>
        <w:tc>
          <w:tcPr>
            <w:tcW w:w="2562"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根据投标人对PPP项目绩效评价相关法规政策分析及项目实施路径分析情况进行综合评审</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分析研判准确、分析深入、要点明晰的得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基本满足</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部分满足得0-2分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0"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673"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项目实施方案</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562"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咨询服务实施方案，包括但不仅限于分析各项关键性阶段性工作的重点难点，列明工作条件和工作方案优质服务承诺，咨询人员管理，突发事件处理机制及预案等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内容全面完整，科学合理、可操作性强的得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w:t>
            </w:r>
            <w:r>
              <w:rPr>
                <w:rFonts w:hint="eastAsia" w:ascii="宋体" w:hAnsi="宋体" w:eastAsia="宋体" w:cs="宋体"/>
                <w:color w:val="000000" w:themeColor="text1"/>
                <w:sz w:val="24"/>
                <w:szCs w:val="24"/>
                <w:highlight w:val="none"/>
                <w14:textFill>
                  <w14:solidFill>
                    <w14:schemeClr w14:val="tx1"/>
                  </w14:solidFill>
                </w14:textFill>
              </w:rPr>
              <w:t>完整，科学合理、可操作性</w:t>
            </w:r>
            <w:r>
              <w:rPr>
                <w:rFonts w:hint="eastAsia" w:ascii="宋体" w:hAnsi="宋体" w:eastAsia="宋体" w:cs="宋体"/>
                <w:color w:val="000000" w:themeColor="text1"/>
                <w:sz w:val="24"/>
                <w:szCs w:val="24"/>
                <w:highlight w:val="none"/>
                <w:lang w:val="en-US" w:eastAsia="zh-CN"/>
                <w14:textFill>
                  <w14:solidFill>
                    <w14:schemeClr w14:val="tx1"/>
                  </w14:solidFill>
                </w14:textFill>
              </w:rPr>
              <w:t>一般</w:t>
            </w:r>
            <w:r>
              <w:rPr>
                <w:rFonts w:hint="eastAsia" w:ascii="宋体" w:hAnsi="宋体" w:eastAsia="宋体" w:cs="宋体"/>
                <w:color w:val="000000" w:themeColor="text1"/>
                <w:sz w:val="24"/>
                <w:szCs w:val="24"/>
                <w:highlight w:val="none"/>
                <w14:textFill>
                  <w14:solidFill>
                    <w14:schemeClr w14:val="tx1"/>
                  </w14:solidFill>
                </w14:textFill>
              </w:rPr>
              <w:t>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提供部分</w:t>
            </w:r>
            <w:r>
              <w:rPr>
                <w:rFonts w:hint="eastAsia" w:ascii="宋体" w:hAnsi="宋体" w:eastAsia="宋体" w:cs="宋体"/>
                <w:color w:val="000000" w:themeColor="text1"/>
                <w:sz w:val="24"/>
                <w:szCs w:val="24"/>
                <w:highlight w:val="none"/>
                <w14:textFill>
                  <w14:solidFill>
                    <w14:schemeClr w14:val="tx1"/>
                  </w14:solidFill>
                </w14:textFill>
              </w:rPr>
              <w:t>，科学合理、可操作性</w:t>
            </w:r>
            <w:r>
              <w:rPr>
                <w:rFonts w:hint="eastAsia" w:ascii="宋体" w:hAnsi="宋体" w:eastAsia="宋体" w:cs="宋体"/>
                <w:color w:val="000000" w:themeColor="text1"/>
                <w:sz w:val="24"/>
                <w:szCs w:val="24"/>
                <w:highlight w:val="none"/>
                <w:lang w:val="en-US" w:eastAsia="zh-CN"/>
                <w14:textFill>
                  <w14:solidFill>
                    <w14:schemeClr w14:val="tx1"/>
                  </w14:solidFill>
                </w14:textFill>
              </w:rPr>
              <w:t>弱</w:t>
            </w:r>
            <w:r>
              <w:rPr>
                <w:rFonts w:hint="eastAsia" w:ascii="宋体" w:hAnsi="宋体" w:eastAsia="宋体" w:cs="宋体"/>
                <w:color w:val="000000" w:themeColor="text1"/>
                <w:sz w:val="24"/>
                <w:szCs w:val="24"/>
                <w:highlight w:val="none"/>
                <w14:textFill>
                  <w14:solidFill>
                    <w14:schemeClr w14:val="tx1"/>
                  </w14:solidFill>
                </w14:textFill>
              </w:rPr>
              <w:t>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0"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673"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计划周期安排</w:t>
            </w:r>
          </w:p>
        </w:tc>
        <w:tc>
          <w:tcPr>
            <w:tcW w:w="2562"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制定咨询工作计划书，包含但不仅限于对咨询工作分解关键性、阶段性工作，实施计划</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关键性、阶段性工作分解合理，计划科学，操作性和可实现性强的得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关键性、阶段性工作分解合理，计划科学，操作性和可实现性一般的得2-5分</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关键性、阶段性工作分解不合理，计划不科学，操作性和可实现性差的得0-2分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0"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673"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项目保障措施</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562"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项目保障措施，针对各项工作开展，完成以及人员时间计划的项目实施保障措施方案</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措施全面完整科学合理、可操作性强的得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基本满足2-5分；</w:t>
            </w:r>
            <w:r>
              <w:rPr>
                <w:rFonts w:hint="eastAsia" w:ascii="宋体" w:hAnsi="宋体" w:eastAsia="宋体" w:cs="宋体"/>
                <w:color w:val="000000" w:themeColor="text1"/>
                <w:sz w:val="24"/>
                <w:szCs w:val="24"/>
                <w:highlight w:val="none"/>
                <w:lang w:val="en-US" w:eastAsia="zh-CN"/>
                <w14:textFill>
                  <w14:solidFill>
                    <w14:schemeClr w14:val="tx1"/>
                  </w14:solidFill>
                </w14:textFill>
              </w:rPr>
              <w:t>部分满足0-2分。</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0"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673"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有效建议与措施</w:t>
            </w:r>
          </w:p>
        </w:tc>
        <w:tc>
          <w:tcPr>
            <w:tcW w:w="2562"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对项目实施PPP模式的建议:相关研判准确，项目梳理清晰，指导性与操作性强的得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；基本满足2-4分；</w:t>
            </w:r>
            <w:r>
              <w:rPr>
                <w:rFonts w:hint="eastAsia" w:ascii="宋体" w:hAnsi="宋体" w:eastAsia="宋体" w:cs="宋体"/>
                <w:color w:val="000000" w:themeColor="text1"/>
                <w:sz w:val="24"/>
                <w:szCs w:val="24"/>
                <w:highlight w:val="none"/>
                <w:lang w:val="en-US" w:eastAsia="zh-CN"/>
                <w14:textFill>
                  <w14:solidFill>
                    <w14:schemeClr w14:val="tx1"/>
                  </w14:solidFill>
                </w14:textFill>
              </w:rPr>
              <w:t>部分满足0-2分。</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0"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bookmarkStart w:id="38" w:name="_GoBack"/>
            <w:bookmarkEnd w:id="38"/>
          </w:p>
        </w:tc>
        <w:tc>
          <w:tcPr>
            <w:tcW w:w="673"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合理化建议和改进措施</w:t>
            </w:r>
          </w:p>
        </w:tc>
        <w:tc>
          <w:tcPr>
            <w:tcW w:w="2562"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4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对项目合理化建议和改进措施:相关研判准确，项目梳理清晰，指导性与操作性强的得3.6-6分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6分</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bl>
    <w:p>
      <w:pPr>
        <w:pStyle w:val="16"/>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16"/>
        <w:rPr>
          <w:rFonts w:hint="eastAsia"/>
          <w:color w:val="000000" w:themeColor="text1"/>
          <w:highlight w:val="none"/>
          <w14:textFill>
            <w14:solidFill>
              <w14:schemeClr w14:val="tx1"/>
            </w14:solidFill>
          </w14:textFill>
        </w:rPr>
      </w:pPr>
    </w:p>
    <w:p>
      <w:pPr>
        <w:pStyle w:val="4"/>
        <w:jc w:val="center"/>
        <w:rPr>
          <w:rStyle w:val="40"/>
          <w:rFonts w:hint="eastAsia" w:ascii="宋体" w:hAnsi="宋体" w:eastAsia="宋体" w:cs="宋体"/>
          <w:b w:val="0"/>
          <w:color w:val="000000" w:themeColor="text1"/>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附件2：</w:t>
      </w:r>
      <w:r>
        <w:rPr>
          <w:rStyle w:val="40"/>
          <w:rFonts w:hint="eastAsia" w:ascii="宋体" w:hAnsi="宋体" w:eastAsia="宋体" w:cs="宋体"/>
          <w:b w:val="0"/>
          <w:color w:val="000000" w:themeColor="text1"/>
          <w:highlight w:val="none"/>
          <w:u w:val="none"/>
          <w14:textFill>
            <w14:solidFill>
              <w14:schemeClr w14:val="tx1"/>
            </w14:solidFill>
          </w14:textFill>
        </w:rPr>
        <w:t>磋商声明书</w:t>
      </w:r>
    </w:p>
    <w:p>
      <w:pPr>
        <w:keepNext w:val="0"/>
        <w:keepLines w:val="0"/>
        <w:pageBreakBefore w:val="0"/>
        <w:widowControl w:val="0"/>
        <w:kinsoku/>
        <w:wordWrap/>
        <w:overflowPunct/>
        <w:topLinePunct w:val="0"/>
        <w:autoSpaceDE/>
        <w:autoSpaceDN/>
        <w:bidi w:val="0"/>
        <w:snapToGrid w:val="0"/>
        <w:spacing w:line="400" w:lineRule="exact"/>
        <w:ind w:firstLine="0" w:firstLineChars="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杭州华旗招标代理有限公司：</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（供应商名称）系中华人民共和国合法企业，经营地址</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 w:val="24"/>
          <w:highlight w:val="none"/>
          <w:u w:val="single"/>
          <w14:textFill>
            <w14:solidFill>
              <w14:schemeClr w14:val="tx1"/>
            </w14:solidFill>
          </w14:textFill>
        </w:rPr>
        <w:t xml:space="preserve"> 姓名 </w:t>
      </w:r>
      <w:r>
        <w:rPr>
          <w:rFonts w:hint="eastAsia" w:ascii="宋体" w:hAnsi="宋体" w:eastAsia="宋体" w:cs="宋体"/>
          <w:color w:val="000000" w:themeColor="text1"/>
          <w:kern w:val="0"/>
          <w:sz w:val="24"/>
          <w:highlight w:val="none"/>
          <w14:textFill>
            <w14:solidFill>
              <w14:schemeClr w14:val="tx1"/>
            </w14:solidFill>
          </w14:textFill>
        </w:rPr>
        <w:t>）系（</w:t>
      </w:r>
      <w:r>
        <w:rPr>
          <w:rFonts w:hint="eastAsia" w:ascii="宋体" w:hAnsi="宋体" w:eastAsia="宋体" w:cs="宋体"/>
          <w:color w:val="000000" w:themeColor="text1"/>
          <w:kern w:val="0"/>
          <w:sz w:val="24"/>
          <w:highlight w:val="none"/>
          <w:u w:val="single"/>
          <w14:textFill>
            <w14:solidFill>
              <w14:schemeClr w14:val="tx1"/>
            </w14:solidFill>
          </w14:textFill>
        </w:rPr>
        <w:t xml:space="preserve"> 供应商名称 </w:t>
      </w:r>
      <w:r>
        <w:rPr>
          <w:rFonts w:hint="eastAsia" w:ascii="宋体" w:hAnsi="宋体" w:eastAsia="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eastAsia="zh-CN"/>
          <w14:textFill>
            <w14:solidFill>
              <w14:schemeClr w14:val="tx1"/>
            </w14:solidFill>
          </w14:textFill>
        </w:rPr>
        <w:t>玉环市小城镇环境综合整治工程PPP项目绩效评价服务</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HQ-YHZFCG-2024-0801</w:t>
      </w:r>
      <w:r>
        <w:rPr>
          <w:rFonts w:hint="eastAsia" w:ascii="宋体" w:hAnsi="宋体" w:eastAsia="宋体" w:cs="宋体"/>
          <w:color w:val="000000" w:themeColor="text1"/>
          <w:kern w:val="0"/>
          <w:sz w:val="24"/>
          <w:highlight w:val="none"/>
          <w14:textFill>
            <w14:solidFill>
              <w14:schemeClr w14:val="tx1"/>
            </w14:solidFill>
          </w14:textFill>
        </w:rPr>
        <w:t>）的磋商，为此，我公司就本次磋商有关事项郑重声明如下：</w:t>
      </w:r>
    </w:p>
    <w:p>
      <w:pPr>
        <w:keepNext w:val="0"/>
        <w:keepLines w:val="0"/>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b w:val="0"/>
          <w:bCs/>
          <w:color w:val="000000" w:themeColor="text1"/>
          <w:sz w:val="24"/>
          <w:highlight w:val="none"/>
          <w14:textFill>
            <w14:solidFill>
              <w14:schemeClr w14:val="tx1"/>
            </w14:solidFill>
          </w14:textFill>
        </w:rPr>
        <w:t>我</w:t>
      </w:r>
      <w:r>
        <w:rPr>
          <w:rFonts w:hint="eastAsia" w:ascii="宋体" w:hAnsi="宋体" w:eastAsia="宋体" w:cs="宋体"/>
          <w:color w:val="000000" w:themeColor="text1"/>
          <w:sz w:val="24"/>
          <w:highlight w:val="none"/>
          <w14:textFill>
            <w14:solidFill>
              <w14:schemeClr w14:val="tx1"/>
            </w14:solidFill>
          </w14:textFill>
        </w:rPr>
        <w:t>公司声明截止磋商时间近三年以来：在参加政府采购活动过程中无重大违法记录（重大违法记录是指供应商因违法经营受到刑事处罚或者责令停产停业、吊销许可证或者执照、较大数额罚款等行政处罚）。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kern w:val="0"/>
          <w:sz w:val="24"/>
          <w:highlight w:val="none"/>
          <w:lang w:val="af-Z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kern w:val="0"/>
          <w:sz w:val="24"/>
          <w:highlight w:val="none"/>
          <w14:textFill>
            <w14:solidFill>
              <w14:schemeClr w14:val="tx1"/>
            </w14:solidFill>
          </w14:textFill>
        </w:rPr>
        <w:t>保证，</w:t>
      </w:r>
      <w:r>
        <w:rPr>
          <w:rFonts w:hint="eastAsia" w:ascii="宋体" w:hAnsi="宋体" w:eastAsia="宋体" w:cs="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kern w:val="0"/>
          <w:sz w:val="24"/>
          <w:highlight w:val="none"/>
          <w:lang w:val="af-ZA"/>
          <w14:textFill>
            <w14:solidFill>
              <w14:schemeClr w14:val="tx1"/>
            </w14:solidFill>
          </w14:textFill>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af-ZA"/>
          <w14:textFill>
            <w14:solidFill>
              <w14:schemeClr w14:val="tx1"/>
            </w14:solidFill>
          </w14:textFill>
        </w:rPr>
        <w:t>5、我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6、以上事项如有虚假或隐瞒，我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sz w:val="24"/>
          <w:highlight w:val="none"/>
          <w14:textFill>
            <w14:solidFill>
              <w14:schemeClr w14:val="tx1"/>
            </w14:solidFill>
          </w14:textFill>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color w:val="000000" w:themeColor="text1"/>
          <w:kern w:val="0"/>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firstLine="4680" w:firstLineChars="195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供应商名称(公章)：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法定代表人或授权委托人(</w:t>
      </w:r>
      <w:r>
        <w:rPr>
          <w:rFonts w:hint="eastAsia" w:ascii="宋体" w:hAnsi="宋体" w:cs="宋体"/>
          <w:color w:val="000000" w:themeColor="text1"/>
          <w:kern w:val="0"/>
          <w:sz w:val="24"/>
          <w:highlight w:val="none"/>
          <w:lang w:val="zh-CN"/>
          <w14:textFill>
            <w14:solidFill>
              <w14:schemeClr w14:val="tx1"/>
            </w14:solidFill>
          </w14:textFill>
        </w:rPr>
        <w:t>签字或盖章</w:t>
      </w:r>
      <w:r>
        <w:rPr>
          <w:rFonts w:hint="eastAsia" w:ascii="宋体" w:hAnsi="宋体" w:eastAsia="宋体" w:cs="宋体"/>
          <w:color w:val="000000" w:themeColor="text1"/>
          <w:kern w:val="0"/>
          <w:sz w:val="24"/>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00" w:lineRule="exact"/>
        <w:ind w:right="480"/>
        <w:jc w:val="center"/>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日期：年  月   日</w:t>
      </w:r>
    </w:p>
    <w:p>
      <w:pPr>
        <w:keepNext w:val="0"/>
        <w:keepLines w:val="0"/>
        <w:pageBreakBefore w:val="0"/>
        <w:widowControl w:val="0"/>
        <w:kinsoku/>
        <w:wordWrap/>
        <w:overflowPunct/>
        <w:topLinePunct w:val="0"/>
        <w:autoSpaceDE/>
        <w:autoSpaceDN/>
        <w:bidi w:val="0"/>
        <w:adjustRightInd w:val="0"/>
        <w:snapToGrid w:val="0"/>
        <w:spacing w:line="400" w:lineRule="exact"/>
        <w:ind w:right="480"/>
        <w:jc w:val="center"/>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p>
    <w:p>
      <w:pPr>
        <w:pStyle w:val="15"/>
        <w:rPr>
          <w:rFonts w:hint="eastAsia"/>
          <w:color w:val="000000" w:themeColor="text1"/>
          <w:highlight w:val="none"/>
          <w:lang w:val="zh-CN"/>
          <w14:textFill>
            <w14:solidFill>
              <w14:schemeClr w14:val="tx1"/>
            </w14:solidFill>
          </w14:textFill>
        </w:rPr>
      </w:pPr>
    </w:p>
    <w:p>
      <w:pPr>
        <w:pStyle w:val="4"/>
        <w:jc w:val="center"/>
        <w:rPr>
          <w:rFonts w:hint="eastAsia" w:ascii="宋体" w:hAnsi="宋体" w:eastAsia="宋体" w:cs="宋体"/>
          <w:b w:val="0"/>
          <w:color w:val="000000" w:themeColor="text1"/>
          <w:highlight w:val="none"/>
          <w:u w:val="singl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附件3</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b w:val="0"/>
          <w:color w:val="000000" w:themeColor="text1"/>
          <w:highlight w:val="none"/>
          <w14:textFill>
            <w14:solidFill>
              <w14:schemeClr w14:val="tx1"/>
            </w14:solidFill>
          </w14:textFill>
        </w:rPr>
        <w:t>授权委托书</w:t>
      </w:r>
    </w:p>
    <w:p>
      <w:pPr>
        <w:pStyle w:val="19"/>
        <w:spacing w:line="50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杭州华旗招标代理有限公司</w:t>
      </w:r>
      <w:r>
        <w:rPr>
          <w:rFonts w:hint="eastAsia" w:ascii="宋体" w:hAnsi="宋体" w:eastAsia="宋体" w:cs="宋体"/>
          <w:b/>
          <w:color w:val="000000" w:themeColor="text1"/>
          <w:sz w:val="24"/>
          <w:highlight w:val="none"/>
          <w14:textFill>
            <w14:solidFill>
              <w14:schemeClr w14:val="tx1"/>
            </w14:solidFill>
          </w14:textFill>
        </w:rPr>
        <w:t>：</w:t>
      </w:r>
    </w:p>
    <w:p>
      <w:pPr>
        <w:pStyle w:val="19"/>
        <w:spacing w:line="500" w:lineRule="exact"/>
        <w:ind w:left="240" w:hanging="240" w:hanging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（供应商全称）  </w:t>
      </w:r>
      <w:r>
        <w:rPr>
          <w:rFonts w:hint="eastAsia" w:ascii="宋体" w:hAnsi="宋体" w:eastAsia="宋体" w:cs="宋体"/>
          <w:color w:val="000000" w:themeColor="text1"/>
          <w:sz w:val="24"/>
          <w:highlight w:val="none"/>
          <w14:textFill>
            <w14:solidFill>
              <w14:schemeClr w14:val="tx1"/>
            </w14:solidFill>
          </w14:textFill>
        </w:rPr>
        <w:t>法定代表人（或营业执照中单位负责人）</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ascii="宋体" w:hAnsi="宋体" w:eastAsia="宋体" w:cs="宋体"/>
          <w:color w:val="000000" w:themeColor="text1"/>
          <w:sz w:val="24"/>
          <w:highlight w:val="none"/>
          <w14:textFill>
            <w14:solidFill>
              <w14:schemeClr w14:val="tx1"/>
            </w14:solidFill>
          </w14:textFill>
        </w:rPr>
        <w:t>授权</w:t>
      </w:r>
      <w:r>
        <w:rPr>
          <w:rFonts w:hint="eastAsia" w:ascii="宋体" w:hAnsi="宋体" w:eastAsia="宋体" w:cs="宋体"/>
          <w:color w:val="000000" w:themeColor="text1"/>
          <w:sz w:val="24"/>
          <w:highlight w:val="none"/>
          <w:u w:val="single"/>
          <w14:textFill>
            <w14:solidFill>
              <w14:schemeClr w14:val="tx1"/>
            </w14:solidFill>
          </w14:textFill>
        </w:rPr>
        <w:t xml:space="preserve">   （全权代表姓名） </w:t>
      </w:r>
      <w:r>
        <w:rPr>
          <w:rFonts w:hint="eastAsia" w:ascii="宋体" w:hAnsi="宋体" w:eastAsia="宋体" w:cs="宋体"/>
          <w:color w:val="000000" w:themeColor="text1"/>
          <w:sz w:val="24"/>
          <w:highlight w:val="none"/>
          <w14:textFill>
            <w14:solidFill>
              <w14:schemeClr w14:val="tx1"/>
            </w14:solidFill>
          </w14:textFill>
        </w:rPr>
        <w:t>为全权代表，参加贵单位组织的</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项目的采购活动，并代表我方全权办理针对上述项目的磋商、签约等具体事务和签署相关文件。我方对全权代表的签字事项负全部责任。</w:t>
      </w:r>
    </w:p>
    <w:p>
      <w:pPr>
        <w:pStyle w:val="19"/>
        <w:spacing w:line="500" w:lineRule="exact"/>
        <w:ind w:left="139" w:leftChars="66"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9"/>
        <w:spacing w:line="500" w:lineRule="exact"/>
        <w:ind w:left="139" w:leftChars="66"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全权代表无转委托权，特此委托。</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法定代表人签字或盖章：</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供应商全称（公章）：                              日期：</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w:t>
      </w:r>
    </w:p>
    <w:tbl>
      <w:tblPr>
        <w:tblStyle w:val="3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ind w:firstLine="361" w:firstLineChars="15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法定代表身份证复印件粘帖处</w:t>
            </w:r>
          </w:p>
        </w:tc>
      </w:tr>
    </w:tbl>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法定代表人姓名：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电话：</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tbl>
      <w:tblPr>
        <w:tblStyle w:val="3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noWrap w:val="0"/>
            <w:vAlign w:val="top"/>
          </w:tcPr>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ind w:firstLine="361" w:firstLineChars="15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全权代表身份证复印件粘帖处</w:t>
            </w:r>
          </w:p>
        </w:tc>
      </w:tr>
    </w:tbl>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全权代表姓名：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职务：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电话：</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pPr>
        <w:pStyle w:val="15"/>
        <w:rPr>
          <w:rFonts w:hint="eastAsia" w:ascii="宋体" w:hAnsi="宋体" w:eastAsia="宋体" w:cs="宋体"/>
          <w:color w:val="000000" w:themeColor="text1"/>
          <w:sz w:val="24"/>
          <w:highlight w:val="none"/>
          <w14:textFill>
            <w14:solidFill>
              <w14:schemeClr w14:val="tx1"/>
            </w14:solidFill>
          </w14:textFill>
        </w:rPr>
      </w:pPr>
    </w:p>
    <w:p>
      <w:pPr>
        <w:pStyle w:val="15"/>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附件3（2）</w:t>
      </w:r>
    </w:p>
    <w:p>
      <w:pPr>
        <w:ind w:firstLine="643" w:firstLineChars="200"/>
        <w:rPr>
          <w:rFonts w:hint="eastAsia"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符合参加政府采购活动应当具备的一般条件的承诺函</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pPr>
        <w:spacing w:line="440" w:lineRule="exact"/>
        <w:ind w:firstLine="720" w:firstLineChars="3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我公司参与</w:t>
      </w:r>
      <w:r>
        <w:rPr>
          <w:rFonts w:hint="eastAsia" w:ascii="宋体" w:hAnsi="宋体" w:cs="宋体"/>
          <w:color w:val="000000" w:themeColor="text1"/>
          <w:kern w:val="0"/>
          <w:sz w:val="24"/>
          <w:highlight w:val="none"/>
          <w:u w:val="single"/>
          <w:lang w:val="zh-CN"/>
          <w14:textFill>
            <w14:solidFill>
              <w14:schemeClr w14:val="tx1"/>
            </w14:solidFill>
          </w14:textFill>
        </w:rPr>
        <w:t>                （招标项目名称）（编号为         ）</w:t>
      </w:r>
      <w:r>
        <w:rPr>
          <w:rFonts w:hint="eastAsia" w:ascii="宋体" w:hAnsi="宋体" w:cs="宋体"/>
          <w:color w:val="000000" w:themeColor="text1"/>
          <w:kern w:val="0"/>
          <w:sz w:val="24"/>
          <w:highlight w:val="none"/>
          <w:lang w:val="zh-CN"/>
          <w14:textFill>
            <w14:solidFill>
              <w14:schemeClr w14:val="tx1"/>
            </w14:solidFill>
          </w14:textFill>
        </w:rPr>
        <w:t>政府采购活动，郑重承诺：</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（一）具备《中华人民共和国政府采购法》第二十二条第一款规定的条件：</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1、具有独立承担民事责任的能力；</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2、具有良好的商业信誉和健全的财务会计制度； </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3、具有履行合同所必需的设备和专业技术能力；</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4、有依法缴纳税收和社会保障资金的良好记录；</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5、参加政府采购活动前三年内，在经营活动中没有重大违法记录；</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6、具有法律、行政法规规定的其他条件。</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投标人名称(公章)：</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法定代表人或授权委托人(签字)：</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pPr>
        <w:pStyle w:val="6"/>
        <w:rPr>
          <w:rFonts w:hint="eastAsia"/>
          <w:color w:val="000000" w:themeColor="text1"/>
          <w:highlight w:val="none"/>
          <w:lang w:val="zh-CN"/>
          <w14:textFill>
            <w14:solidFill>
              <w14:schemeClr w14:val="tx1"/>
            </w14:solidFill>
          </w14:textFill>
        </w:rPr>
      </w:pPr>
    </w:p>
    <w:p>
      <w:pPr>
        <w:pStyle w:val="16"/>
        <w:rPr>
          <w:rFonts w:hint="eastAsia"/>
          <w:color w:val="000000" w:themeColor="text1"/>
          <w:highlight w:val="none"/>
          <w14:textFill>
            <w14:solidFill>
              <w14:schemeClr w14:val="tx1"/>
            </w14:solidFill>
          </w14:textFill>
        </w:rPr>
      </w:pPr>
    </w:p>
    <w:p>
      <w:pPr>
        <w:pStyle w:val="4"/>
        <w:jc w:val="center"/>
        <w:rPr>
          <w:rFonts w:hint="eastAsia" w:ascii="宋体" w:hAnsi="宋体" w:eastAsia="宋体" w:cs="宋体"/>
          <w:b w:val="0"/>
          <w:bCs w:val="0"/>
          <w:color w:val="000000" w:themeColor="text1"/>
          <w:spacing w:val="2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附件4：</w:t>
      </w:r>
      <w:r>
        <w:rPr>
          <w:rFonts w:hint="eastAsia" w:ascii="宋体" w:hAnsi="宋体" w:eastAsia="宋体" w:cs="宋体"/>
          <w:b w:val="0"/>
          <w:color w:val="000000" w:themeColor="text1"/>
          <w:highlight w:val="none"/>
          <w14:textFill>
            <w14:solidFill>
              <w14:schemeClr w14:val="tx1"/>
            </w14:solidFill>
          </w14:textFill>
        </w:rPr>
        <w:t>供应商</w:t>
      </w:r>
      <w:r>
        <w:rPr>
          <w:rFonts w:hint="eastAsia" w:ascii="宋体" w:hAnsi="宋体" w:eastAsia="宋体" w:cs="宋体"/>
          <w:b w:val="0"/>
          <w:bCs w:val="0"/>
          <w:color w:val="000000" w:themeColor="text1"/>
          <w:spacing w:val="21"/>
          <w:highlight w:val="none"/>
          <w14:textFill>
            <w14:solidFill>
              <w14:schemeClr w14:val="tx1"/>
            </w14:solidFill>
          </w14:textFill>
        </w:rPr>
        <w:t>基本情况表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noWrap w:val="0"/>
            <w:vAlign w:val="top"/>
          </w:tcPr>
          <w:p>
            <w:pPr>
              <w:pStyle w:val="79"/>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企业名称</w:t>
            </w:r>
          </w:p>
        </w:tc>
        <w:tc>
          <w:tcPr>
            <w:tcW w:w="3979" w:type="dxa"/>
            <w:gridSpan w:val="6"/>
            <w:noWrap w:val="0"/>
            <w:vAlign w:val="top"/>
          </w:tcPr>
          <w:p>
            <w:pPr>
              <w:pStyle w:val="79"/>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2001" w:type="dxa"/>
            <w:gridSpan w:val="3"/>
            <w:noWrap w:val="0"/>
            <w:vAlign w:val="top"/>
          </w:tcPr>
          <w:p>
            <w:pPr>
              <w:pStyle w:val="79"/>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法人代表</w:t>
            </w:r>
          </w:p>
        </w:tc>
        <w:tc>
          <w:tcPr>
            <w:tcW w:w="2151" w:type="dxa"/>
            <w:gridSpan w:val="2"/>
            <w:noWrap w:val="0"/>
            <w:vAlign w:val="top"/>
          </w:tcPr>
          <w:p>
            <w:pPr>
              <w:pStyle w:val="79"/>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企业性质</w:t>
            </w:r>
          </w:p>
        </w:tc>
        <w:tc>
          <w:tcPr>
            <w:tcW w:w="2151" w:type="dxa"/>
            <w:gridSpan w:val="2"/>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股东姓名</w:t>
            </w:r>
          </w:p>
        </w:tc>
        <w:tc>
          <w:tcPr>
            <w:tcW w:w="701" w:type="dxa"/>
            <w:tcBorders>
              <w:bottom w:val="single" w:color="auto" w:sz="4" w:space="0"/>
            </w:tcBorders>
            <w:noWrap w:val="0"/>
            <w:vAlign w:val="top"/>
          </w:tcPr>
          <w:p>
            <w:pPr>
              <w:pStyle w:val="79"/>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910" w:type="dxa"/>
            <w:gridSpan w:val="2"/>
            <w:tcBorders>
              <w:bottom w:val="single" w:color="auto" w:sz="4" w:space="0"/>
            </w:tcBorders>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noWrap w:val="0"/>
            <w:vAlign w:val="top"/>
          </w:tcPr>
          <w:p>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noWrap w:val="0"/>
            <w:vAlign w:val="top"/>
          </w:tcPr>
          <w:p>
            <w:pPr>
              <w:pStyle w:val="79"/>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股东关系</w:t>
            </w:r>
          </w:p>
        </w:tc>
        <w:tc>
          <w:tcPr>
            <w:tcW w:w="2151" w:type="dxa"/>
            <w:gridSpan w:val="2"/>
            <w:noWrap w:val="0"/>
            <w:vAlign w:val="top"/>
          </w:tcPr>
          <w:p>
            <w:pPr>
              <w:pStyle w:val="79"/>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联系人</w:t>
            </w:r>
            <w:r>
              <w:rPr>
                <w:rFonts w:hint="eastAsia" w:ascii="宋体" w:hAnsi="宋体" w:eastAsia="宋体" w:cs="宋体"/>
                <w:bCs/>
                <w:color w:val="000000" w:themeColor="text1"/>
                <w:spacing w:val="27"/>
                <w:highlight w:val="none"/>
                <w14:textFill>
                  <w14:solidFill>
                    <w14:schemeClr w14:val="tx1"/>
                  </w14:solidFill>
                </w14:textFill>
              </w:rPr>
              <w:t>姓名</w:t>
            </w:r>
          </w:p>
        </w:tc>
        <w:tc>
          <w:tcPr>
            <w:tcW w:w="701" w:type="dxa"/>
            <w:vMerge w:val="restart"/>
            <w:tcBorders>
              <w:top w:val="nil"/>
            </w:tcBorders>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noWrap w:val="0"/>
            <w:vAlign w:val="top"/>
          </w:tcPr>
          <w:p>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vMerge w:val="restart"/>
            <w:noWrap w:val="0"/>
            <w:vAlign w:val="top"/>
          </w:tcPr>
          <w:p>
            <w:pPr>
              <w:pStyle w:val="79"/>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传真</w:t>
            </w:r>
          </w:p>
        </w:tc>
        <w:tc>
          <w:tcPr>
            <w:tcW w:w="2151" w:type="dxa"/>
            <w:gridSpan w:val="2"/>
            <w:vMerge w:val="restart"/>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noWrap w:val="0"/>
            <w:vAlign w:val="top"/>
          </w:tcPr>
          <w:p>
            <w:pPr>
              <w:pStyle w:val="79"/>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vMerge w:val="continue"/>
            <w:tcBorders>
              <w:bottom w:val="single" w:color="auto" w:sz="4" w:space="0"/>
            </w:tcBorders>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910" w:type="dxa"/>
            <w:gridSpan w:val="2"/>
            <w:tcBorders>
              <w:bottom w:val="single" w:color="auto" w:sz="4" w:space="0"/>
            </w:tcBorders>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vMerge w:val="continue"/>
            <w:tcBorders>
              <w:bottom w:val="single" w:color="auto" w:sz="4" w:space="0"/>
            </w:tcBorders>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151" w:type="dxa"/>
            <w:gridSpan w:val="2"/>
            <w:vMerge w:val="continue"/>
            <w:tcBorders>
              <w:bottom w:val="single" w:color="auto" w:sz="4" w:space="0"/>
            </w:tcBorders>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noWrap w:val="0"/>
            <w:vAlign w:val="top"/>
          </w:tcPr>
          <w:p>
            <w:pPr>
              <w:pStyle w:val="79"/>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p>
          <w:p>
            <w:pPr>
              <w:pStyle w:val="79"/>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p>
          <w:p>
            <w:pPr>
              <w:pStyle w:val="79"/>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业</w:t>
            </w:r>
          </w:p>
          <w:p>
            <w:pPr>
              <w:pStyle w:val="79"/>
              <w:shd w:val="clear" w:color="auto" w:fill="FFFFFF"/>
              <w:spacing w:line="360" w:lineRule="auto"/>
              <w:ind w:left="107"/>
              <w:rPr>
                <w:rFonts w:hint="eastAsia" w:ascii="宋体" w:hAnsi="宋体" w:eastAsia="宋体" w:cs="宋体"/>
                <w:bCs/>
                <w:color w:val="000000" w:themeColor="text1"/>
                <w:spacing w:val="27"/>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概</w:t>
            </w:r>
          </w:p>
          <w:p>
            <w:pPr>
              <w:pStyle w:val="79"/>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况</w:t>
            </w:r>
          </w:p>
        </w:tc>
        <w:tc>
          <w:tcPr>
            <w:tcW w:w="701" w:type="dxa"/>
            <w:tcBorders>
              <w:top w:val="single" w:color="auto" w:sz="4" w:space="0"/>
            </w:tcBorders>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职工人数</w:t>
            </w:r>
          </w:p>
        </w:tc>
        <w:tc>
          <w:tcPr>
            <w:tcW w:w="910" w:type="dxa"/>
            <w:gridSpan w:val="2"/>
            <w:tcBorders>
              <w:top w:val="single" w:color="auto" w:sz="4" w:space="0"/>
            </w:tcBorders>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1163" w:type="dxa"/>
            <w:tcBorders>
              <w:top w:val="single" w:color="auto" w:sz="4" w:space="0"/>
            </w:tcBorders>
            <w:noWrap w:val="0"/>
            <w:vAlign w:val="top"/>
          </w:tcPr>
          <w:p>
            <w:pPr>
              <w:pStyle w:val="79"/>
              <w:shd w:val="clear" w:color="auto" w:fill="FFFFFF"/>
              <w:spacing w:before="0" w:beforeAutospacing="0" w:after="0" w:afterAutospacing="0"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8"/>
                <w:highlight w:val="none"/>
                <w14:textFill>
                  <w14:solidFill>
                    <w14:schemeClr w14:val="tx1"/>
                  </w14:solidFill>
                </w14:textFill>
              </w:rPr>
              <w:t>具备大专以</w:t>
            </w:r>
            <w:r>
              <w:rPr>
                <w:rFonts w:hint="eastAsia" w:ascii="宋体" w:hAnsi="宋体" w:eastAsia="宋体" w:cs="宋体"/>
                <w:bCs/>
                <w:color w:val="000000" w:themeColor="text1"/>
                <w:spacing w:val="12"/>
                <w:highlight w:val="none"/>
                <w14:textFill>
                  <w14:solidFill>
                    <w14:schemeClr w14:val="tx1"/>
                  </w14:solidFill>
                </w14:textFill>
              </w:rPr>
              <w:t>上学历人数</w:t>
            </w:r>
          </w:p>
        </w:tc>
        <w:tc>
          <w:tcPr>
            <w:tcW w:w="1205" w:type="dxa"/>
            <w:gridSpan w:val="2"/>
            <w:tcBorders>
              <w:top w:val="single" w:color="auto" w:sz="4" w:space="0"/>
            </w:tcBorders>
            <w:noWrap w:val="0"/>
            <w:vAlign w:val="top"/>
          </w:tcPr>
          <w:p>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tcBorders>
              <w:top w:val="single" w:color="auto" w:sz="4" w:space="0"/>
            </w:tcBorders>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65"/>
                <w:highlight w:val="none"/>
                <w14:textFill>
                  <w14:solidFill>
                    <w14:schemeClr w14:val="tx1"/>
                  </w14:solidFill>
                </w14:textFill>
              </w:rPr>
              <w:t>国家授予技</w:t>
            </w:r>
            <w:r>
              <w:rPr>
                <w:rFonts w:hint="eastAsia" w:ascii="宋体" w:hAnsi="宋体" w:eastAsia="宋体" w:cs="宋体"/>
                <w:bCs/>
                <w:color w:val="000000" w:themeColor="text1"/>
                <w:spacing w:val="12"/>
                <w:highlight w:val="none"/>
                <w14:textFill>
                  <w14:solidFill>
                    <w14:schemeClr w14:val="tx1"/>
                  </w14:solidFill>
                </w14:textFill>
              </w:rPr>
              <w:t>术职称人数</w:t>
            </w:r>
          </w:p>
        </w:tc>
        <w:tc>
          <w:tcPr>
            <w:tcW w:w="2151" w:type="dxa"/>
            <w:gridSpan w:val="2"/>
            <w:tcBorders>
              <w:top w:val="single" w:color="auto" w:sz="4" w:space="0"/>
            </w:tcBorders>
            <w:noWrap w:val="0"/>
            <w:vAlign w:val="top"/>
          </w:tcPr>
          <w:p>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noWrap w:val="0"/>
            <w:vAlign w:val="top"/>
          </w:tcPr>
          <w:p>
            <w:pPr>
              <w:pStyle w:val="79"/>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noWrap w:val="0"/>
            <w:vAlign w:val="top"/>
          </w:tcPr>
          <w:p>
            <w:pPr>
              <w:pStyle w:val="79"/>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占地面积</w:t>
            </w:r>
          </w:p>
        </w:tc>
        <w:tc>
          <w:tcPr>
            <w:tcW w:w="910" w:type="dxa"/>
            <w:gridSpan w:val="2"/>
            <w:noWrap w:val="0"/>
            <w:vAlign w:val="top"/>
          </w:tcPr>
          <w:p>
            <w:pPr>
              <w:pStyle w:val="79"/>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163" w:type="dxa"/>
            <w:noWrap w:val="0"/>
            <w:vAlign w:val="top"/>
          </w:tcPr>
          <w:p>
            <w:pPr>
              <w:pStyle w:val="79"/>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建筑面积</w:t>
            </w:r>
          </w:p>
        </w:tc>
        <w:tc>
          <w:tcPr>
            <w:tcW w:w="1205" w:type="dxa"/>
            <w:gridSpan w:val="2"/>
            <w:noWrap w:val="0"/>
            <w:vAlign w:val="top"/>
          </w:tcPr>
          <w:p>
            <w:pPr>
              <w:pStyle w:val="79"/>
              <w:shd w:val="clear" w:color="auto" w:fill="FFFFFF"/>
              <w:spacing w:line="360" w:lineRule="auto"/>
              <w:ind w:firstLine="48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平方米 </w:t>
            </w:r>
          </w:p>
          <w:p>
            <w:pPr>
              <w:pStyle w:val="79"/>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□自有□租賃</w:t>
            </w:r>
          </w:p>
        </w:tc>
        <w:tc>
          <w:tcPr>
            <w:tcW w:w="2001" w:type="dxa"/>
            <w:gridSpan w:val="3"/>
            <w:noWrap w:val="0"/>
            <w:vAlign w:val="top"/>
          </w:tcPr>
          <w:p>
            <w:pPr>
              <w:pStyle w:val="79"/>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生产经营场所及场所的设施与设备</w:t>
            </w:r>
          </w:p>
        </w:tc>
        <w:tc>
          <w:tcPr>
            <w:tcW w:w="2151" w:type="dxa"/>
            <w:gridSpan w:val="2"/>
            <w:noWrap w:val="0"/>
            <w:vAlign w:val="top"/>
          </w:tcPr>
          <w:p>
            <w:pPr>
              <w:pStyle w:val="79"/>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noWrap w:val="0"/>
            <w:vAlign w:val="top"/>
          </w:tcPr>
          <w:p>
            <w:pPr>
              <w:pStyle w:val="79"/>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noWrap w:val="0"/>
            <w:vAlign w:val="top"/>
          </w:tcPr>
          <w:p>
            <w:pPr>
              <w:pStyle w:val="79"/>
              <w:shd w:val="clear" w:color="auto" w:fill="FFFFFF"/>
              <w:spacing w:line="360" w:lineRule="auto"/>
              <w:ind w:left="2"/>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注册资金</w:t>
            </w:r>
          </w:p>
        </w:tc>
        <w:tc>
          <w:tcPr>
            <w:tcW w:w="910" w:type="dxa"/>
            <w:gridSpan w:val="2"/>
            <w:noWrap w:val="0"/>
            <w:vAlign w:val="top"/>
          </w:tcPr>
          <w:p>
            <w:pPr>
              <w:pStyle w:val="79"/>
              <w:shd w:val="clear" w:color="auto" w:fill="FFFFFF"/>
              <w:spacing w:line="360" w:lineRule="auto"/>
              <w:ind w:left="2"/>
              <w:rPr>
                <w:rFonts w:hint="eastAsia" w:ascii="宋体" w:hAnsi="宋体" w:eastAsia="宋体" w:cs="宋体"/>
                <w:bCs/>
                <w:color w:val="000000" w:themeColor="text1"/>
                <w:highlight w:val="none"/>
                <w14:textFill>
                  <w14:solidFill>
                    <w14:schemeClr w14:val="tx1"/>
                  </w14:solidFill>
                </w14:textFill>
              </w:rPr>
            </w:pPr>
          </w:p>
        </w:tc>
        <w:tc>
          <w:tcPr>
            <w:tcW w:w="1163" w:type="dxa"/>
            <w:noWrap w:val="0"/>
            <w:vAlign w:val="top"/>
          </w:tcPr>
          <w:p>
            <w:pPr>
              <w:pStyle w:val="79"/>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注册发证</w:t>
            </w:r>
            <w:r>
              <w:rPr>
                <w:rFonts w:hint="eastAsia" w:ascii="宋体" w:hAnsi="宋体" w:eastAsia="宋体" w:cs="宋体"/>
                <w:bCs/>
                <w:color w:val="000000" w:themeColor="text1"/>
                <w:spacing w:val="27"/>
                <w:highlight w:val="none"/>
                <w14:textFill>
                  <w14:solidFill>
                    <w14:schemeClr w14:val="tx1"/>
                  </w14:solidFill>
                </w14:textFill>
              </w:rPr>
              <w:t>机关</w:t>
            </w:r>
          </w:p>
        </w:tc>
        <w:tc>
          <w:tcPr>
            <w:tcW w:w="3206" w:type="dxa"/>
            <w:gridSpan w:val="5"/>
            <w:noWrap w:val="0"/>
            <w:vAlign w:val="top"/>
          </w:tcPr>
          <w:p>
            <w:pPr>
              <w:widowControl/>
              <w:spacing w:line="360" w:lineRule="auto"/>
              <w:jc w:val="left"/>
              <w:rPr>
                <w:rFonts w:hint="eastAsia" w:ascii="宋体" w:hAnsi="宋体" w:eastAsia="宋体" w:cs="宋体"/>
                <w:bCs/>
                <w:color w:val="000000" w:themeColor="text1"/>
                <w:kern w:val="0"/>
                <w:sz w:val="24"/>
                <w:highlight w:val="none"/>
                <w14:textFill>
                  <w14:solidFill>
                    <w14:schemeClr w14:val="tx1"/>
                  </w14:solidFill>
                </w14:textFill>
              </w:rPr>
            </w:pPr>
          </w:p>
          <w:p>
            <w:pPr>
              <w:pStyle w:val="79"/>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1218" w:type="dxa"/>
            <w:noWrap w:val="0"/>
            <w:vAlign w:val="top"/>
          </w:tcPr>
          <w:p>
            <w:pPr>
              <w:pStyle w:val="79"/>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公司成</w:t>
            </w:r>
            <w:r>
              <w:rPr>
                <w:rFonts w:hint="eastAsia" w:ascii="宋体" w:hAnsi="宋体" w:eastAsia="宋体" w:cs="宋体"/>
                <w:bCs/>
                <w:color w:val="000000" w:themeColor="text1"/>
                <w:spacing w:val="12"/>
                <w:highlight w:val="none"/>
                <w14:textFill>
                  <w14:solidFill>
                    <w14:schemeClr w14:val="tx1"/>
                  </w14:solidFill>
                </w14:textFill>
              </w:rPr>
              <w:t>立时间</w:t>
            </w:r>
          </w:p>
        </w:tc>
        <w:tc>
          <w:tcPr>
            <w:tcW w:w="933" w:type="dxa"/>
            <w:noWrap w:val="0"/>
            <w:vAlign w:val="top"/>
          </w:tcPr>
          <w:p>
            <w:pPr>
              <w:pStyle w:val="79"/>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noWrap w:val="0"/>
            <w:vAlign w:val="top"/>
          </w:tcPr>
          <w:p>
            <w:pPr>
              <w:pStyle w:val="79"/>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noWrap w:val="0"/>
            <w:vAlign w:val="top"/>
          </w:tcPr>
          <w:p>
            <w:pPr>
              <w:pStyle w:val="79"/>
              <w:shd w:val="clear" w:color="auto" w:fill="FFFFFF"/>
              <w:spacing w:line="360" w:lineRule="auto"/>
              <w:ind w:left="2"/>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核准经营范围</w:t>
            </w:r>
          </w:p>
        </w:tc>
        <w:tc>
          <w:tcPr>
            <w:tcW w:w="7430" w:type="dxa"/>
            <w:gridSpan w:val="10"/>
            <w:noWrap w:val="0"/>
            <w:vAlign w:val="top"/>
          </w:tcPr>
          <w:p>
            <w:pPr>
              <w:pStyle w:val="79"/>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noWrap w:val="0"/>
            <w:vAlign w:val="top"/>
          </w:tcPr>
          <w:p>
            <w:pPr>
              <w:pStyle w:val="79"/>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8131" w:type="dxa"/>
            <w:gridSpan w:val="11"/>
            <w:noWrap w:val="0"/>
            <w:vAlign w:val="top"/>
          </w:tcPr>
          <w:p>
            <w:pPr>
              <w:pStyle w:val="79"/>
              <w:shd w:val="clear" w:color="auto" w:fill="FFFFFF"/>
              <w:spacing w:line="360" w:lineRule="auto"/>
              <w:rPr>
                <w:rFonts w:hint="eastAsia" w:ascii="宋体" w:hAnsi="宋体" w:eastAsia="宋体" w:cs="宋体"/>
                <w:bCs/>
                <w:color w:val="000000" w:themeColor="text1"/>
                <w:spacing w:val="13"/>
                <w:highlight w:val="none"/>
                <w14:textFill>
                  <w14:solidFill>
                    <w14:schemeClr w14:val="tx1"/>
                  </w14:solidFill>
                </w14:textFill>
              </w:rPr>
            </w:pPr>
            <w:r>
              <w:rPr>
                <w:rFonts w:hint="eastAsia" w:ascii="宋体" w:hAnsi="宋体" w:eastAsia="宋体" w:cs="宋体"/>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noWrap w:val="0"/>
            <w:vAlign w:val="top"/>
          </w:tcPr>
          <w:p>
            <w:pPr>
              <w:pStyle w:val="79"/>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w:t>
            </w:r>
          </w:p>
          <w:p>
            <w:pPr>
              <w:pStyle w:val="79"/>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r>
              <w:rPr>
                <w:rFonts w:hint="eastAsia" w:ascii="宋体" w:hAnsi="宋体" w:eastAsia="宋体" w:cs="宋体"/>
                <w:bCs/>
                <w:color w:val="000000" w:themeColor="text1"/>
                <w:spacing w:val="12"/>
                <w:highlight w:val="none"/>
                <w14:textFill>
                  <w14:solidFill>
                    <w14:schemeClr w14:val="tx1"/>
                  </w14:solidFill>
                </w14:textFill>
              </w:rPr>
              <w:t>业有关资质获证情况</w:t>
            </w:r>
          </w:p>
        </w:tc>
        <w:tc>
          <w:tcPr>
            <w:tcW w:w="1553" w:type="dxa"/>
            <w:gridSpan w:val="2"/>
            <w:vMerge w:val="restart"/>
            <w:noWrap w:val="0"/>
            <w:vAlign w:val="top"/>
          </w:tcPr>
          <w:p>
            <w:pPr>
              <w:pStyle w:val="79"/>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产品生产许可证情况</w:t>
            </w:r>
            <w:r>
              <w:rPr>
                <w:rFonts w:hint="eastAsia" w:ascii="宋体" w:hAnsi="宋体" w:eastAsia="宋体" w:cs="宋体"/>
                <w:bCs/>
                <w:color w:val="000000" w:themeColor="text1"/>
                <w:spacing w:val="41"/>
                <w:highlight w:val="none"/>
                <w14:textFill>
                  <w14:solidFill>
                    <w14:schemeClr w14:val="tx1"/>
                  </w14:solidFill>
                </w14:textFill>
              </w:rPr>
              <w:t>（对需获得生产许可证的</w:t>
            </w:r>
            <w:r>
              <w:rPr>
                <w:rFonts w:hint="eastAsia" w:ascii="宋体" w:hAnsi="宋体" w:eastAsia="宋体" w:cs="宋体"/>
                <w:bCs/>
                <w:color w:val="000000" w:themeColor="text1"/>
                <w:spacing w:val="11"/>
                <w:highlight w:val="none"/>
                <w14:textFill>
                  <w14:solidFill>
                    <w14:schemeClr w14:val="tx1"/>
                  </w14:solidFill>
                </w14:textFill>
              </w:rPr>
              <w:t>产品要填写此栏）</w:t>
            </w:r>
          </w:p>
        </w:tc>
        <w:tc>
          <w:tcPr>
            <w:tcW w:w="1333" w:type="dxa"/>
            <w:gridSpan w:val="3"/>
            <w:noWrap w:val="0"/>
            <w:vAlign w:val="top"/>
          </w:tcPr>
          <w:p>
            <w:pPr>
              <w:pStyle w:val="79"/>
              <w:shd w:val="clear" w:color="auto" w:fill="FFFFFF"/>
              <w:spacing w:line="360" w:lineRule="auto"/>
              <w:ind w:right="-78" w:rightChars="-37"/>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产品名称</w:t>
            </w:r>
          </w:p>
        </w:tc>
        <w:tc>
          <w:tcPr>
            <w:tcW w:w="1418" w:type="dxa"/>
            <w:gridSpan w:val="2"/>
            <w:noWrap w:val="0"/>
            <w:vAlign w:val="top"/>
          </w:tcPr>
          <w:p>
            <w:pPr>
              <w:pStyle w:val="79"/>
              <w:shd w:val="clear" w:color="auto" w:fill="FFFFFF"/>
              <w:spacing w:before="0" w:beforeAutospacing="0" w:after="0" w:afterAutospacing="0"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发证机关</w:t>
            </w:r>
          </w:p>
        </w:tc>
        <w:tc>
          <w:tcPr>
            <w:tcW w:w="1276" w:type="dxa"/>
            <w:noWrap w:val="0"/>
            <w:vAlign w:val="top"/>
          </w:tcPr>
          <w:p>
            <w:pPr>
              <w:pStyle w:val="79"/>
              <w:shd w:val="clear" w:color="auto" w:fill="FFFFFF"/>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编号</w:t>
            </w:r>
          </w:p>
        </w:tc>
        <w:tc>
          <w:tcPr>
            <w:tcW w:w="1618" w:type="dxa"/>
            <w:gridSpan w:val="2"/>
            <w:noWrap w:val="0"/>
            <w:vAlign w:val="top"/>
          </w:tcPr>
          <w:p>
            <w:pPr>
              <w:pStyle w:val="79"/>
              <w:shd w:val="clear" w:color="auto" w:fill="FFFFFF"/>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发证时间</w:t>
            </w:r>
          </w:p>
        </w:tc>
        <w:tc>
          <w:tcPr>
            <w:tcW w:w="933" w:type="dxa"/>
            <w:noWrap w:val="0"/>
            <w:vAlign w:val="top"/>
          </w:tcPr>
          <w:p>
            <w:pPr>
              <w:pStyle w:val="79"/>
              <w:shd w:val="clear" w:color="auto" w:fill="FFFFFF"/>
              <w:spacing w:before="0" w:beforeAutospacing="0" w:after="0" w:afterAutospacing="0"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noWrap w:val="0"/>
            <w:vAlign w:val="top"/>
          </w:tcPr>
          <w:p>
            <w:pPr>
              <w:pStyle w:val="79"/>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1553" w:type="dxa"/>
            <w:gridSpan w:val="2"/>
            <w:vMerge w:val="continue"/>
            <w:noWrap w:val="0"/>
            <w:vAlign w:val="top"/>
          </w:tcPr>
          <w:p>
            <w:pPr>
              <w:pStyle w:val="79"/>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333" w:type="dxa"/>
            <w:gridSpan w:val="3"/>
            <w:noWrap w:val="0"/>
            <w:vAlign w:val="top"/>
          </w:tcPr>
          <w:p>
            <w:pPr>
              <w:pStyle w:val="79"/>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418" w:type="dxa"/>
            <w:gridSpan w:val="2"/>
            <w:noWrap w:val="0"/>
            <w:vAlign w:val="top"/>
          </w:tcPr>
          <w:p>
            <w:pPr>
              <w:pStyle w:val="79"/>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276" w:type="dxa"/>
            <w:noWrap w:val="0"/>
            <w:vAlign w:val="top"/>
          </w:tcPr>
          <w:p>
            <w:pPr>
              <w:pStyle w:val="79"/>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2551" w:type="dxa"/>
            <w:gridSpan w:val="3"/>
            <w:noWrap w:val="0"/>
            <w:vAlign w:val="top"/>
          </w:tcPr>
          <w:p>
            <w:pPr>
              <w:pStyle w:val="79"/>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noWrap w:val="0"/>
            <w:vAlign w:val="top"/>
          </w:tcPr>
          <w:p>
            <w:pPr>
              <w:pStyle w:val="79"/>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p>
        </w:tc>
        <w:tc>
          <w:tcPr>
            <w:tcW w:w="1553" w:type="dxa"/>
            <w:gridSpan w:val="2"/>
            <w:noWrap w:val="0"/>
            <w:vAlign w:val="top"/>
          </w:tcPr>
          <w:p>
            <w:pPr>
              <w:pStyle w:val="79"/>
              <w:shd w:val="clear" w:color="auto" w:fill="FFFFFF"/>
              <w:spacing w:before="0" w:beforeAutospacing="0" w:after="0" w:afterAutospacing="0" w:line="360" w:lineRule="auto"/>
              <w:ind w:right="-107" w:rightChars="-51"/>
              <w:rPr>
                <w:rFonts w:hint="eastAsia" w:ascii="宋体" w:hAnsi="宋体" w:eastAsia="宋体" w:cs="宋体"/>
                <w:bCs/>
                <w:color w:val="000000" w:themeColor="text1"/>
                <w:spacing w:val="41"/>
                <w:highlight w:val="none"/>
                <w14:textFill>
                  <w14:solidFill>
                    <w14:schemeClr w14:val="tx1"/>
                  </w14:solidFill>
                </w14:textFill>
              </w:rPr>
            </w:pPr>
            <w:r>
              <w:rPr>
                <w:rFonts w:hint="eastAsia" w:ascii="宋体" w:hAnsi="宋体" w:eastAsia="宋体" w:cs="宋体"/>
                <w:bCs/>
                <w:color w:val="000000" w:themeColor="text1"/>
                <w:spacing w:val="41"/>
                <w:highlight w:val="none"/>
                <w14:textFill>
                  <w14:solidFill>
                    <w14:schemeClr w14:val="tx1"/>
                  </w14:solidFill>
                </w14:textFill>
              </w:rPr>
              <w:t>企业通过质量体系、环保</w:t>
            </w:r>
            <w:r>
              <w:rPr>
                <w:rFonts w:hint="eastAsia" w:ascii="宋体" w:hAnsi="宋体" w:eastAsia="宋体" w:cs="宋体"/>
                <w:bCs/>
                <w:color w:val="000000" w:themeColor="text1"/>
                <w:spacing w:val="11"/>
                <w:highlight w:val="none"/>
                <w14:textFill>
                  <w14:solidFill>
                    <w14:schemeClr w14:val="tx1"/>
                  </w14:solidFill>
                </w14:textFill>
              </w:rPr>
              <w:t>体系、计量等认证情况</w:t>
            </w:r>
          </w:p>
        </w:tc>
        <w:tc>
          <w:tcPr>
            <w:tcW w:w="6578" w:type="dxa"/>
            <w:gridSpan w:val="9"/>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noWrap w:val="0"/>
            <w:vAlign w:val="top"/>
          </w:tcPr>
          <w:p>
            <w:pPr>
              <w:pStyle w:val="79"/>
              <w:shd w:val="clear" w:color="auto" w:fill="FFFFFF"/>
              <w:spacing w:line="360" w:lineRule="auto"/>
              <w:ind w:left="107"/>
              <w:rPr>
                <w:rFonts w:hint="eastAsia" w:ascii="宋体" w:hAnsi="宋体" w:eastAsia="宋体" w:cs="宋体"/>
                <w:bCs/>
                <w:color w:val="000000" w:themeColor="text1"/>
                <w:spacing w:val="27"/>
                <w:highlight w:val="none"/>
                <w14:textFill>
                  <w14:solidFill>
                    <w14:schemeClr w14:val="tx1"/>
                  </w14:solidFill>
                </w14:textFill>
              </w:rPr>
            </w:pPr>
          </w:p>
        </w:tc>
        <w:tc>
          <w:tcPr>
            <w:tcW w:w="1553" w:type="dxa"/>
            <w:gridSpan w:val="2"/>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0"/>
                <w:highlight w:val="none"/>
                <w14:textFill>
                  <w14:solidFill>
                    <w14:schemeClr w14:val="tx1"/>
                  </w14:solidFill>
                </w14:textFill>
              </w:rPr>
              <w:t>企业获得专利情况</w:t>
            </w:r>
          </w:p>
        </w:tc>
        <w:tc>
          <w:tcPr>
            <w:tcW w:w="6578" w:type="dxa"/>
            <w:gridSpan w:val="9"/>
            <w:noWrap w:val="0"/>
            <w:vAlign w:val="top"/>
          </w:tcPr>
          <w:p>
            <w:pPr>
              <w:pStyle w:val="79"/>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bl>
    <w:p>
      <w:pPr>
        <w:pStyle w:val="79"/>
        <w:shd w:val="clear" w:color="auto" w:fill="FFFFFF"/>
        <w:spacing w:before="0" w:beforeAutospacing="0" w:after="0" w:afterAutospacing="0" w:line="360" w:lineRule="auto"/>
        <w:rPr>
          <w:rFonts w:hint="eastAsia" w:ascii="宋体" w:hAnsi="宋体" w:eastAsia="宋体" w:cs="宋体"/>
          <w:color w:val="000000" w:themeColor="text1"/>
          <w:highlight w:val="none"/>
          <w14:textFill>
            <w14:solidFill>
              <w14:schemeClr w14:val="tx1"/>
            </w14:solidFill>
          </w14:textFill>
        </w:rPr>
      </w:pPr>
    </w:p>
    <w:p>
      <w:pPr>
        <w:pStyle w:val="79"/>
        <w:shd w:val="clear" w:color="auto" w:fill="FFFFFF"/>
        <w:spacing w:before="0" w:beforeAutospacing="0" w:after="0" w:afterAutospacing="0"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要求：</w:t>
      </w:r>
    </w:p>
    <w:p>
      <w:pPr>
        <w:pStyle w:val="79"/>
        <w:shd w:val="clear" w:color="auto" w:fill="FFFFFF"/>
        <w:spacing w:before="0" w:beforeAutospacing="0" w:after="0" w:afterAutospacing="0" w:line="360" w:lineRule="auto"/>
        <w:ind w:firstLine="42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1.姓名栏必须将所有股东都统计在内，若非股份公司此行（第三行）无需填写；</w:t>
      </w:r>
    </w:p>
    <w:p>
      <w:pPr>
        <w:rPr>
          <w:rFonts w:hint="eastAsia" w:ascii="宋体" w:hAnsi="宋体" w:eastAsia="宋体" w:cs="宋体"/>
          <w:color w:val="000000" w:themeColor="text1"/>
          <w:sz w:val="24"/>
          <w:highlight w:val="none"/>
          <w14:textFill>
            <w14:solidFill>
              <w14:schemeClr w14:val="tx1"/>
            </w14:solidFill>
          </w14:textFill>
        </w:rPr>
      </w:pPr>
    </w:p>
    <w:p>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ind w:left="420"/>
        <w:rPr>
          <w:rFonts w:hint="eastAsia" w:ascii="宋体" w:hAnsi="宋体" w:eastAsia="宋体" w:cs="宋体"/>
          <w:color w:val="000000" w:themeColor="text1"/>
          <w:sz w:val="24"/>
          <w:highlight w:val="none"/>
          <w14:textFill>
            <w14:solidFill>
              <w14:schemeClr w14:val="tx1"/>
            </w14:solidFill>
          </w14:textFill>
        </w:rPr>
      </w:pPr>
    </w:p>
    <w:p>
      <w:pPr>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ind w:firstLine="435"/>
        <w:rPr>
          <w:rFonts w:hint="eastAsia" w:ascii="宋体" w:hAnsi="宋体" w:eastAsia="宋体" w:cs="宋体"/>
          <w:color w:val="000000" w:themeColor="text1"/>
          <w:sz w:val="24"/>
          <w:highlight w:val="none"/>
          <w14:textFill>
            <w14:solidFill>
              <w14:schemeClr w14:val="tx1"/>
            </w14:solidFill>
          </w14:textFill>
        </w:rPr>
      </w:pPr>
    </w:p>
    <w:p>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rPr>
          <w:rFonts w:hint="eastAsia" w:ascii="宋体" w:hAnsi="宋体" w:eastAsia="宋体" w:cs="宋体"/>
          <w:color w:val="000000" w:themeColor="text1"/>
          <w:sz w:val="24"/>
          <w:highlight w:val="none"/>
          <w14:textFill>
            <w14:solidFill>
              <w14:schemeClr w14:val="tx1"/>
            </w14:solidFill>
          </w14:textFill>
        </w:rPr>
      </w:pPr>
    </w:p>
    <w:p>
      <w:pPr>
        <w:pStyle w:val="79"/>
        <w:shd w:val="clear" w:color="auto" w:fill="FFFFFF"/>
        <w:spacing w:before="0" w:beforeAutospacing="0" w:after="0" w:afterAutospacing="0"/>
        <w:ind w:firstLine="424" w:firstLineChars="177"/>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pPr>
        <w:pStyle w:val="4"/>
        <w:jc w:val="center"/>
        <w:rPr>
          <w:rFonts w:hint="eastAsia" w:ascii="宋体" w:hAnsi="宋体" w:eastAsia="宋体" w:cs="宋体"/>
          <w:b w:val="0"/>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附件5：</w:t>
      </w:r>
      <w:r>
        <w:rPr>
          <w:rFonts w:hint="eastAsia" w:ascii="宋体" w:hAnsi="宋体" w:eastAsia="宋体" w:cs="宋体"/>
          <w:b w:val="0"/>
          <w:color w:val="000000" w:themeColor="text1"/>
          <w:highlight w:val="none"/>
          <w14:textFill>
            <w14:solidFill>
              <w14:schemeClr w14:val="tx1"/>
            </w14:solidFill>
          </w14:textFill>
        </w:rPr>
        <w:t>项目实施人员一览表</w:t>
      </w:r>
    </w:p>
    <w:p>
      <w:pPr>
        <w:snapToGrid w:val="0"/>
        <w:spacing w:before="156" w:beforeLines="50" w:after="50" w:line="360" w:lineRule="auto"/>
        <w:ind w:firstLine="2400" w:firstLineChars="10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（主要从业人员及其技术资格）</w:t>
      </w:r>
    </w:p>
    <w:tbl>
      <w:tblPr>
        <w:tblStyle w:val="35"/>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56" w:beforeLines="50" w:after="50" w:line="360" w:lineRule="auto"/>
              <w:ind w:left="5250"/>
              <w:rPr>
                <w:rFonts w:hint="eastAsia" w:ascii="宋体" w:hAnsi="宋体" w:eastAsia="宋体" w:cs="宋体"/>
                <w:b/>
                <w:color w:val="000000" w:themeColor="text1"/>
                <w:kern w:val="4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56" w:beforeLines="50" w:after="50" w:line="360" w:lineRule="auto"/>
              <w:ind w:left="5250"/>
              <w:rPr>
                <w:rFonts w:hint="eastAsia" w:ascii="宋体" w:hAnsi="宋体" w:eastAsia="宋体" w:cs="宋体"/>
                <w:b/>
                <w:color w:val="000000" w:themeColor="text1"/>
                <w:kern w:val="4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0"/>
              <w:spacing w:line="360" w:lineRule="auto"/>
              <w:ind w:left="5250"/>
              <w:rPr>
                <w:rFonts w:hint="eastAsia" w:ascii="宋体" w:hAnsi="宋体" w:eastAsia="宋体" w:cs="宋体"/>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bl>
    <w:p>
      <w:pPr>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pPr>
        <w:spacing w:line="360" w:lineRule="auto"/>
        <w:ind w:left="43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在填写时，如本表格不适合供应商的实际情况，可根据本表格式自行划表填写。</w:t>
      </w:r>
    </w:p>
    <w:p>
      <w:pPr>
        <w:pStyle w:val="61"/>
        <w:spacing w:line="360" w:lineRule="auto"/>
        <w:ind w:left="424" w:left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2.附人员证书复印件；</w:t>
      </w:r>
    </w:p>
    <w:p>
      <w:pPr>
        <w:pStyle w:val="61"/>
        <w:spacing w:line="360" w:lineRule="auto"/>
        <w:ind w:left="424" w:hanging="424" w:hanging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3.出具上述人员在本单位服务的外部证明，如：磋商截止日之前六个月以内的代缴个税税单、参加社会保险的《投保单》或《社会保险参保人员证明》等。</w:t>
      </w:r>
    </w:p>
    <w:p>
      <w:pPr>
        <w:snapToGrid w:val="0"/>
        <w:spacing w:before="50" w:after="156" w:afterLines="50" w:line="360" w:lineRule="auto"/>
        <w:jc w:val="left"/>
        <w:rPr>
          <w:rFonts w:hint="eastAsia" w:ascii="宋体" w:hAnsi="宋体" w:eastAsia="宋体" w:cs="宋体"/>
          <w:color w:val="000000" w:themeColor="text1"/>
          <w:sz w:val="24"/>
          <w:szCs w:val="20"/>
          <w:highlight w:val="none"/>
          <w14:textFill>
            <w14:solidFill>
              <w14:schemeClr w14:val="tx1"/>
            </w14:solidFill>
          </w14:textFill>
        </w:rPr>
      </w:pPr>
    </w:p>
    <w:p>
      <w:pPr>
        <w:spacing w:line="360" w:lineRule="auto"/>
        <w:ind w:left="42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4"/>
        <w:jc w:val="center"/>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附件6：</w:t>
      </w:r>
      <w:r>
        <w:rPr>
          <w:rFonts w:hint="eastAsia" w:ascii="宋体" w:hAnsi="宋体" w:eastAsia="宋体" w:cs="宋体"/>
          <w:b w:val="0"/>
          <w:bCs w:val="0"/>
          <w:color w:val="000000" w:themeColor="text1"/>
          <w:highlight w:val="none"/>
          <w14:textFill>
            <w14:solidFill>
              <w14:schemeClr w14:val="tx1"/>
            </w14:solidFill>
          </w14:textFill>
        </w:rPr>
        <w:t>项目负责人资格情况表</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采购项目：                                            采购编号：</w:t>
      </w:r>
    </w:p>
    <w:tbl>
      <w:tblPr>
        <w:tblStyle w:val="35"/>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（供货合同或成交通知书）。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bl>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4"/>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附件7：</w:t>
      </w:r>
      <w:r>
        <w:rPr>
          <w:rFonts w:hint="eastAsia" w:ascii="宋体" w:hAnsi="宋体" w:eastAsia="宋体" w:cs="宋体"/>
          <w:b w:val="0"/>
          <w:color w:val="000000" w:themeColor="text1"/>
          <w:highlight w:val="none"/>
          <w14:textFill>
            <w14:solidFill>
              <w14:schemeClr w14:val="tx1"/>
            </w14:solidFill>
          </w14:textFill>
        </w:rPr>
        <w:t>商务及技术响应表</w:t>
      </w:r>
    </w:p>
    <w:p>
      <w:pPr>
        <w:pStyle w:val="19"/>
        <w:adjustRightInd w:val="0"/>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项目名称及编号：</w:t>
      </w:r>
    </w:p>
    <w:tbl>
      <w:tblPr>
        <w:tblStyle w:val="35"/>
        <w:tblW w:w="9190" w:type="dxa"/>
        <w:tblInd w:w="-439" w:type="dxa"/>
        <w:tblLayout w:type="fixed"/>
        <w:tblCellMar>
          <w:top w:w="0" w:type="dxa"/>
          <w:left w:w="108" w:type="dxa"/>
          <w:bottom w:w="0" w:type="dxa"/>
          <w:right w:w="108" w:type="dxa"/>
        </w:tblCellMar>
      </w:tblPr>
      <w:tblGrid>
        <w:gridCol w:w="1202"/>
        <w:gridCol w:w="1831"/>
        <w:gridCol w:w="2558"/>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内容</w:t>
            </w: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磋商文件服务技术要求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磋商响应文件</w:t>
            </w:r>
          </w:p>
          <w:p>
            <w:pPr>
              <w:pStyle w:val="19"/>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服务技术响应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内容</w:t>
            </w: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磋商文件服务技术要求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磋商响应文件服务技术响应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00" w:lineRule="exact"/>
              <w:ind w:right="25"/>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00" w:lineRule="exact"/>
              <w:ind w:right="25"/>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rPr>
                <w:rFonts w:hint="eastAsia" w:ascii="宋体" w:hAnsi="宋体" w:eastAsia="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00" w:lineRule="exact"/>
              <w:ind w:right="25"/>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top"/>
          </w:tcPr>
          <w:p>
            <w:pPr>
              <w:tabs>
                <w:tab w:val="left" w:pos="8280"/>
              </w:tabs>
              <w:autoSpaceDE w:val="0"/>
              <w:autoSpaceDN w:val="0"/>
              <w:adjustRightInd w:val="0"/>
              <w:spacing w:line="300" w:lineRule="exact"/>
              <w:ind w:right="25"/>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top"/>
          </w:tcPr>
          <w:p>
            <w:pPr>
              <w:pStyle w:val="19"/>
              <w:adjustRightInd w:val="0"/>
              <w:snapToGrid w:val="0"/>
              <w:spacing w:line="300" w:lineRule="exact"/>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top"/>
          </w:tcPr>
          <w:p>
            <w:pPr>
              <w:pStyle w:val="19"/>
              <w:adjustRightInd w:val="0"/>
              <w:snapToGrid w:val="0"/>
              <w:spacing w:line="300" w:lineRule="exact"/>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bl>
    <w:p>
      <w:pPr>
        <w:pStyle w:val="19"/>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备注：供应商在填写其中的“磋商响应文件</w:t>
      </w:r>
      <w:r>
        <w:rPr>
          <w:rFonts w:hint="eastAsia" w:hAnsi="宋体" w:cs="宋体"/>
          <w:color w:val="000000" w:themeColor="text1"/>
          <w:sz w:val="24"/>
          <w:highlight w:val="none"/>
          <w:lang w:val="en-US"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技术响应”内容时，必须对照本磋商文件“</w:t>
      </w:r>
      <w:r>
        <w:rPr>
          <w:rFonts w:hint="eastAsia" w:hAnsi="宋体" w:cs="宋体"/>
          <w:color w:val="000000" w:themeColor="text1"/>
          <w:sz w:val="24"/>
          <w:highlight w:val="none"/>
          <w:lang w:val="en-US"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技术要求”中各指标项逐条说明，写出各磋商</w:t>
      </w:r>
      <w:r>
        <w:rPr>
          <w:rFonts w:hint="eastAsia" w:hAnsi="宋体" w:cs="宋体"/>
          <w:color w:val="000000" w:themeColor="text1"/>
          <w:sz w:val="24"/>
          <w:highlight w:val="none"/>
          <w:lang w:val="en-US"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的具体参数响应内容，不得以“符合”或“满足”等词语作简单回答或者完全复制本项目采购需求中参数内容，否则磋商小组有权视其磋商响应文件未响应磋商文件要求。</w:t>
      </w:r>
    </w:p>
    <w:p>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ind w:left="420"/>
        <w:rPr>
          <w:rFonts w:hint="eastAsia" w:ascii="宋体" w:hAnsi="宋体" w:eastAsia="宋体" w:cs="宋体"/>
          <w:color w:val="000000" w:themeColor="text1"/>
          <w:sz w:val="24"/>
          <w:highlight w:val="none"/>
          <w14:textFill>
            <w14:solidFill>
              <w14:schemeClr w14:val="tx1"/>
            </w14:solidFill>
          </w14:textFill>
        </w:rPr>
      </w:pPr>
    </w:p>
    <w:p>
      <w:pPr>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ind w:firstLine="435"/>
        <w:rPr>
          <w:rFonts w:hint="eastAsia" w:ascii="宋体" w:hAnsi="宋体" w:eastAsia="宋体" w:cs="宋体"/>
          <w:color w:val="000000" w:themeColor="text1"/>
          <w:sz w:val="24"/>
          <w:highlight w:val="none"/>
          <w14:textFill>
            <w14:solidFill>
              <w14:schemeClr w14:val="tx1"/>
            </w14:solidFill>
          </w14:textFill>
        </w:rPr>
      </w:pPr>
    </w:p>
    <w:p>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rPr>
          <w:rFonts w:hint="eastAsia" w:ascii="宋体" w:hAnsi="宋体" w:eastAsia="宋体" w:cs="宋体"/>
          <w:color w:val="000000" w:themeColor="text1"/>
          <w:sz w:val="24"/>
          <w:highlight w:val="none"/>
          <w14:textFill>
            <w14:solidFill>
              <w14:schemeClr w14:val="tx1"/>
            </w14:solidFill>
          </w14:textFill>
        </w:rPr>
      </w:pPr>
    </w:p>
    <w:p>
      <w:pPr>
        <w:pStyle w:val="79"/>
        <w:shd w:val="clear" w:color="auto" w:fill="FFFFFF"/>
        <w:spacing w:before="0" w:beforeAutospacing="0" w:after="0" w:afterAutospacing="0"/>
        <w:ind w:firstLine="424" w:firstLineChars="177"/>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pPr>
        <w:pStyle w:val="26"/>
        <w:rPr>
          <w:rFonts w:hint="eastAsia" w:ascii="宋体" w:hAnsi="宋体" w:eastAsia="宋体" w:cs="宋体"/>
          <w:b/>
          <w:color w:val="000000" w:themeColor="text1"/>
          <w:sz w:val="28"/>
          <w:highlight w:val="none"/>
          <w14:textFill>
            <w14:solidFill>
              <w14:schemeClr w14:val="tx1"/>
            </w14:solidFill>
          </w14:textFill>
        </w:rPr>
      </w:pPr>
    </w:p>
    <w:p>
      <w:pPr>
        <w:rPr>
          <w:rFonts w:hint="eastAsia" w:ascii="宋体" w:hAnsi="宋体" w:eastAsia="宋体" w:cs="宋体"/>
          <w:b/>
          <w:color w:val="000000" w:themeColor="text1"/>
          <w:sz w:val="28"/>
          <w:highlight w:val="none"/>
          <w14:textFill>
            <w14:solidFill>
              <w14:schemeClr w14:val="tx1"/>
            </w14:solidFill>
          </w14:textFill>
        </w:rPr>
      </w:pPr>
    </w:p>
    <w:p>
      <w:pPr>
        <w:pStyle w:val="4"/>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附件8：</w:t>
      </w:r>
      <w:r>
        <w:rPr>
          <w:rFonts w:hint="eastAsia" w:ascii="宋体" w:hAnsi="宋体" w:eastAsia="宋体" w:cs="宋体"/>
          <w:b w:val="0"/>
          <w:color w:val="000000" w:themeColor="text1"/>
          <w:highlight w:val="none"/>
          <w14:textFill>
            <w14:solidFill>
              <w14:schemeClr w14:val="tx1"/>
            </w14:solidFill>
          </w14:textFill>
        </w:rPr>
        <w:t>证书一览表</w:t>
      </w:r>
    </w:p>
    <w:p>
      <w:pPr>
        <w:pStyle w:val="72"/>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pPr>
              <w:pStyle w:val="72"/>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noWrap w:val="0"/>
            <w:vAlign w:val="top"/>
          </w:tcPr>
          <w:p>
            <w:pPr>
              <w:pStyle w:val="72"/>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noWrap w:val="0"/>
            <w:vAlign w:val="top"/>
          </w:tcPr>
          <w:p>
            <w:pPr>
              <w:pStyle w:val="72"/>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noWrap w:val="0"/>
            <w:vAlign w:val="top"/>
          </w:tcPr>
          <w:p>
            <w:pPr>
              <w:pStyle w:val="72"/>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Borders>
              <w:top w:val="single" w:color="auto" w:sz="4" w:space="0"/>
            </w:tcBorders>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Borders>
              <w:top w:val="single" w:color="auto" w:sz="4" w:space="0"/>
            </w:tcBorders>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Borders>
              <w:bottom w:val="single" w:color="auto" w:sz="4" w:space="0"/>
            </w:tcBorders>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Borders>
              <w:bottom w:val="single" w:color="auto" w:sz="4" w:space="0"/>
            </w:tcBorders>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noWrap w:val="0"/>
            <w:vAlign w:val="top"/>
          </w:tcPr>
          <w:p>
            <w:pPr>
              <w:pStyle w:val="72"/>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pPr>
        <w:pStyle w:val="72"/>
        <w:tabs>
          <w:tab w:val="left" w:pos="1050"/>
        </w:tabs>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72"/>
        <w:tabs>
          <w:tab w:val="left" w:pos="105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pPr>
        <w:pStyle w:val="72"/>
        <w:tabs>
          <w:tab w:val="left" w:pos="1050"/>
        </w:tabs>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1.填写磋商供应商获得资质、认证或企业信誉证书。</w:t>
      </w:r>
    </w:p>
    <w:p>
      <w:pPr>
        <w:pStyle w:val="72"/>
        <w:tabs>
          <w:tab w:val="left" w:pos="1050"/>
        </w:tabs>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2.附所列证书复印件或其他证明材料。</w:t>
      </w:r>
    </w:p>
    <w:p>
      <w:pPr>
        <w:pStyle w:val="72"/>
        <w:tabs>
          <w:tab w:val="left" w:pos="1050"/>
        </w:tabs>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p>
    <w:p>
      <w:pPr>
        <w:pStyle w:val="72"/>
        <w:tabs>
          <w:tab w:val="left" w:pos="1050"/>
        </w:tabs>
        <w:spacing w:line="360" w:lineRule="auto"/>
        <w:ind w:firstLine="720" w:firstLineChars="300"/>
        <w:rPr>
          <w:rFonts w:hint="eastAsia" w:ascii="宋体" w:hAnsi="宋体" w:eastAsia="宋体" w:cs="宋体"/>
          <w:color w:val="000000" w:themeColor="text1"/>
          <w:sz w:val="24"/>
          <w:highlight w:val="none"/>
          <w14:textFill>
            <w14:solidFill>
              <w14:schemeClr w14:val="tx1"/>
            </w14:solidFill>
          </w14:textFill>
        </w:rPr>
      </w:pPr>
    </w:p>
    <w:p>
      <w:pPr>
        <w:pStyle w:val="72"/>
        <w:tabs>
          <w:tab w:val="left" w:pos="1050"/>
        </w:tabs>
        <w:spacing w:line="360" w:lineRule="auto"/>
        <w:ind w:firstLine="720" w:firstLineChars="300"/>
        <w:rPr>
          <w:rFonts w:hint="eastAsia" w:ascii="宋体" w:hAnsi="宋体" w:eastAsia="宋体" w:cs="宋体"/>
          <w:color w:val="000000" w:themeColor="text1"/>
          <w:sz w:val="24"/>
          <w:highlight w:val="none"/>
          <w14:textFill>
            <w14:solidFill>
              <w14:schemeClr w14:val="tx1"/>
            </w14:solidFill>
          </w14:textFill>
        </w:rPr>
      </w:pPr>
    </w:p>
    <w:p>
      <w:pPr>
        <w:pStyle w:val="72"/>
        <w:tabs>
          <w:tab w:val="left" w:pos="1050"/>
        </w:tabs>
        <w:spacing w:line="360" w:lineRule="auto"/>
        <w:ind w:firstLine="720" w:firstLineChars="3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79"/>
        <w:shd w:val="clear" w:color="auto" w:fill="FFFFFF"/>
        <w:spacing w:before="0" w:beforeAutospacing="0" w:after="0" w:afterAutospacing="0" w:line="360" w:lineRule="auto"/>
        <w:ind w:firstLine="424" w:firstLineChars="177"/>
        <w:rPr>
          <w:rFonts w:hint="eastAsia" w:ascii="宋体" w:hAnsi="宋体" w:eastAsia="宋体" w:cs="宋体"/>
          <w:b/>
          <w:bCs/>
          <w:color w:val="000000" w:themeColor="text1"/>
          <w:spacing w:val="1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pPr>
        <w:spacing w:line="360" w:lineRule="auto"/>
        <w:rPr>
          <w:rFonts w:hint="eastAsia" w:ascii="宋体" w:hAnsi="宋体" w:eastAsia="宋体" w:cs="宋体"/>
          <w:b/>
          <w:color w:val="000000" w:themeColor="text1"/>
          <w:sz w:val="28"/>
          <w:highlight w:val="none"/>
          <w14:textFill>
            <w14:solidFill>
              <w14:schemeClr w14:val="tx1"/>
            </w14:solidFill>
          </w14:textFill>
        </w:rPr>
      </w:pPr>
    </w:p>
    <w:p>
      <w:pPr>
        <w:spacing w:line="360" w:lineRule="auto"/>
        <w:rPr>
          <w:rFonts w:hint="eastAsia" w:ascii="宋体" w:hAnsi="宋体" w:eastAsia="宋体" w:cs="宋体"/>
          <w:b/>
          <w:color w:val="000000" w:themeColor="text1"/>
          <w:sz w:val="28"/>
          <w:highlight w:val="none"/>
          <w14:textFill>
            <w14:solidFill>
              <w14:schemeClr w14:val="tx1"/>
            </w14:solidFill>
          </w14:textFill>
        </w:rPr>
      </w:pPr>
    </w:p>
    <w:p>
      <w:pPr>
        <w:pStyle w:val="4"/>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附件9：</w:t>
      </w:r>
      <w:r>
        <w:rPr>
          <w:rFonts w:hint="eastAsia" w:ascii="宋体" w:hAnsi="宋体" w:eastAsia="宋体" w:cs="宋体"/>
          <w:b w:val="0"/>
          <w:color w:val="000000" w:themeColor="text1"/>
          <w:highlight w:val="none"/>
          <w14:textFill>
            <w14:solidFill>
              <w14:schemeClr w14:val="tx1"/>
            </w14:solidFill>
          </w14:textFill>
        </w:rPr>
        <w:t>类似项目实施情况一览表</w:t>
      </w:r>
    </w:p>
    <w:p>
      <w:pPr>
        <w:pStyle w:val="66"/>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66"/>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66"/>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pStyle w:val="66"/>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66"/>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pPr>
              <w:pStyle w:val="66"/>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pStyle w:val="66"/>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pPr>
              <w:pStyle w:val="66"/>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pPr>
        <w:autoSpaceDE w:val="0"/>
        <w:autoSpaceDN w:val="0"/>
        <w:adjustRightInd w:val="0"/>
        <w:spacing w:before="156" w:beforeLines="50"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pPr>
        <w:autoSpaceDE w:val="0"/>
        <w:autoSpaceDN w:val="0"/>
        <w:adjustRightInd w:val="0"/>
        <w:spacing w:before="156" w:beforeLines="50" w:line="360" w:lineRule="auto"/>
        <w:ind w:firstLine="424" w:firstLineChars="202"/>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1.业绩证明应提供证明材料（合同复印件可只提供首页、含金额页、盖章页并加盖磋商供应商公章）；</w:t>
      </w:r>
    </w:p>
    <w:p>
      <w:pPr>
        <w:spacing w:line="360" w:lineRule="auto"/>
        <w:ind w:firstLine="424" w:firstLineChars="20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2.磋商供应商可按此表格式复制。</w:t>
      </w:r>
    </w:p>
    <w:p>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pPr>
        <w:spacing w:line="360" w:lineRule="auto"/>
        <w:ind w:left="42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jc w:val="center"/>
        <w:rPr>
          <w:rFonts w:hint="eastAsia" w:ascii="宋体" w:hAnsi="宋体" w:eastAsia="宋体" w:cs="宋体"/>
          <w:snapToGrid w:val="0"/>
          <w:color w:val="000000" w:themeColor="text1"/>
          <w:kern w:val="0"/>
          <w:sz w:val="24"/>
          <w:highlight w:val="none"/>
          <w14:textFill>
            <w14:solidFill>
              <w14:schemeClr w14:val="tx1"/>
            </w14:solidFill>
          </w14:textFill>
        </w:rPr>
      </w:pPr>
    </w:p>
    <w:p>
      <w:pPr>
        <w:pStyle w:val="4"/>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附件10：</w:t>
      </w:r>
      <w:r>
        <w:rPr>
          <w:rFonts w:hint="eastAsia" w:ascii="宋体" w:hAnsi="宋体" w:eastAsia="宋体" w:cs="宋体"/>
          <w:b w:val="0"/>
          <w:color w:val="000000" w:themeColor="text1"/>
          <w:highlight w:val="none"/>
          <w14:textFill>
            <w14:solidFill>
              <w14:schemeClr w14:val="tx1"/>
            </w14:solidFill>
          </w14:textFill>
        </w:rPr>
        <w:t>售后服务情况表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pPr>
              <w:pStyle w:val="63"/>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355" w:type="dxa"/>
            <w:noWrap w:val="0"/>
            <w:vAlign w:val="center"/>
          </w:tcPr>
          <w:p>
            <w:pPr>
              <w:pStyle w:val="63"/>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w:t>
            </w:r>
          </w:p>
        </w:tc>
        <w:tc>
          <w:tcPr>
            <w:tcW w:w="4061" w:type="dxa"/>
            <w:noWrap w:val="0"/>
            <w:vAlign w:val="center"/>
          </w:tcPr>
          <w:p>
            <w:pPr>
              <w:pStyle w:val="63"/>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磋商供应商承诺</w:t>
            </w:r>
          </w:p>
        </w:tc>
        <w:tc>
          <w:tcPr>
            <w:tcW w:w="1373" w:type="dxa"/>
            <w:noWrap w:val="0"/>
            <w:vAlign w:val="center"/>
          </w:tcPr>
          <w:p>
            <w:pPr>
              <w:pStyle w:val="63"/>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pPr>
              <w:pStyle w:val="63"/>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p>
        </w:tc>
        <w:tc>
          <w:tcPr>
            <w:tcW w:w="2355" w:type="dxa"/>
            <w:noWrap w:val="0"/>
            <w:vAlign w:val="center"/>
          </w:tcPr>
          <w:p>
            <w:pPr>
              <w:pStyle w:val="63"/>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服务期内售后服务情况(服务方式、服务网点、售后服务的内容和措施等等，可用附页和宣传材料)</w:t>
            </w:r>
          </w:p>
        </w:tc>
        <w:tc>
          <w:tcPr>
            <w:tcW w:w="4061" w:type="dxa"/>
            <w:noWrap w:val="0"/>
            <w:vAlign w:val="top"/>
          </w:tcPr>
          <w:p>
            <w:pPr>
              <w:pStyle w:val="63"/>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磋商供应商售后服务情况：</w:t>
            </w:r>
          </w:p>
        </w:tc>
        <w:tc>
          <w:tcPr>
            <w:tcW w:w="1373" w:type="dxa"/>
            <w:noWrap w:val="0"/>
            <w:vAlign w:val="top"/>
          </w:tcPr>
          <w:p>
            <w:pPr>
              <w:pStyle w:val="63"/>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pPr>
              <w:pStyle w:val="63"/>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w:t>
            </w:r>
          </w:p>
        </w:tc>
        <w:tc>
          <w:tcPr>
            <w:tcW w:w="2355" w:type="dxa"/>
            <w:noWrap w:val="0"/>
            <w:vAlign w:val="center"/>
          </w:tcPr>
          <w:p>
            <w:pPr>
              <w:pStyle w:val="63"/>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服务期后售后服务</w:t>
            </w:r>
          </w:p>
        </w:tc>
        <w:tc>
          <w:tcPr>
            <w:tcW w:w="4061" w:type="dxa"/>
            <w:noWrap w:val="0"/>
            <w:vAlign w:val="top"/>
          </w:tcPr>
          <w:p>
            <w:pPr>
              <w:pStyle w:val="63"/>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63"/>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63"/>
              <w:spacing w:line="360" w:lineRule="auto"/>
              <w:rPr>
                <w:rFonts w:hint="eastAsia" w:ascii="宋体" w:hAnsi="宋体" w:eastAsia="宋体" w:cs="宋体"/>
                <w:bCs/>
                <w:color w:val="000000" w:themeColor="text1"/>
                <w:sz w:val="24"/>
                <w:highlight w:val="none"/>
                <w14:textFill>
                  <w14:solidFill>
                    <w14:schemeClr w14:val="tx1"/>
                  </w14:solidFill>
                </w14:textFill>
              </w:rPr>
            </w:pPr>
          </w:p>
        </w:tc>
        <w:tc>
          <w:tcPr>
            <w:tcW w:w="1373" w:type="dxa"/>
            <w:noWrap w:val="0"/>
            <w:vAlign w:val="top"/>
          </w:tcPr>
          <w:p>
            <w:pPr>
              <w:pStyle w:val="63"/>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63"/>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63"/>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pPr>
              <w:pStyle w:val="63"/>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 3</w:t>
            </w:r>
          </w:p>
        </w:tc>
        <w:tc>
          <w:tcPr>
            <w:tcW w:w="2355" w:type="dxa"/>
            <w:noWrap w:val="0"/>
            <w:vAlign w:val="center"/>
          </w:tcPr>
          <w:p>
            <w:pPr>
              <w:pStyle w:val="63"/>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4061" w:type="dxa"/>
            <w:noWrap w:val="0"/>
            <w:vAlign w:val="top"/>
          </w:tcPr>
          <w:p>
            <w:pPr>
              <w:pStyle w:val="63"/>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63"/>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c>
          <w:tcPr>
            <w:tcW w:w="1373" w:type="dxa"/>
            <w:noWrap w:val="0"/>
            <w:vAlign w:val="top"/>
          </w:tcPr>
          <w:p>
            <w:pPr>
              <w:pStyle w:val="63"/>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63"/>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63"/>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pPr>
              <w:pStyle w:val="63"/>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2355" w:type="dxa"/>
            <w:noWrap w:val="0"/>
            <w:vAlign w:val="center"/>
          </w:tcPr>
          <w:p>
            <w:pPr>
              <w:pStyle w:val="63"/>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4061" w:type="dxa"/>
            <w:noWrap w:val="0"/>
            <w:vAlign w:val="top"/>
          </w:tcPr>
          <w:p>
            <w:pPr>
              <w:pStyle w:val="63"/>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1373" w:type="dxa"/>
            <w:noWrap w:val="0"/>
            <w:vAlign w:val="top"/>
          </w:tcPr>
          <w:p>
            <w:pPr>
              <w:pStyle w:val="63"/>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r>
    </w:tbl>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pPr>
        <w:spacing w:line="360" w:lineRule="auto"/>
        <w:ind w:left="42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u w:val="single"/>
          <w14:textFill>
            <w14:solidFill>
              <w14:schemeClr w14:val="tx1"/>
            </w14:solidFill>
          </w14:textFill>
        </w:rPr>
      </w:pPr>
    </w:p>
    <w:p>
      <w:pPr>
        <w:spacing w:line="360" w:lineRule="auto"/>
        <w:rPr>
          <w:rFonts w:hint="eastAsia" w:ascii="宋体" w:hAnsi="宋体" w:eastAsia="宋体" w:cs="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pPr>
        <w:pStyle w:val="4"/>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附件11：</w:t>
      </w:r>
      <w:r>
        <w:rPr>
          <w:rFonts w:hint="eastAsia" w:ascii="宋体" w:hAnsi="宋体" w:eastAsia="宋体" w:cs="宋体"/>
          <w:b w:val="0"/>
          <w:color w:val="000000" w:themeColor="text1"/>
          <w:highlight w:val="none"/>
          <w14:textFill>
            <w14:solidFill>
              <w14:schemeClr w14:val="tx1"/>
            </w14:solidFill>
          </w14:textFill>
        </w:rPr>
        <w:t>首次报价一览表</w:t>
      </w:r>
    </w:p>
    <w:p>
      <w:pPr>
        <w:pStyle w:val="19"/>
        <w:spacing w:line="320" w:lineRule="exact"/>
        <w:rPr>
          <w:rFonts w:hint="eastAsia" w:ascii="宋体" w:hAnsi="宋体" w:eastAsia="宋体" w:cs="宋体"/>
          <w:b/>
          <w:color w:val="000000" w:themeColor="text1"/>
          <w:sz w:val="24"/>
          <w:highlight w:val="none"/>
          <w14:textFill>
            <w14:solidFill>
              <w14:schemeClr w14:val="tx1"/>
            </w14:solidFill>
          </w14:textFill>
        </w:rPr>
      </w:pPr>
    </w:p>
    <w:p>
      <w:pPr>
        <w:pStyle w:val="19"/>
        <w:spacing w:line="320" w:lineRule="exact"/>
        <w:rPr>
          <w:rFonts w:hint="eastAsia"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eastAsia="宋体" w:cs="宋体"/>
          <w:b/>
          <w:color w:val="000000" w:themeColor="text1"/>
          <w:sz w:val="24"/>
          <w:highlight w:val="none"/>
          <w:u w:val="single"/>
          <w14:textFill>
            <w14:solidFill>
              <w14:schemeClr w14:val="tx1"/>
            </w14:solidFill>
          </w14:textFill>
        </w:rPr>
        <w:t xml:space="preserve">               </w:t>
      </w:r>
    </w:p>
    <w:p>
      <w:pPr>
        <w:pStyle w:val="59"/>
        <w:spacing w:line="360" w:lineRule="auto"/>
        <w:ind w:right="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项目名称：</w:t>
      </w:r>
      <w:r>
        <w:rPr>
          <w:rFonts w:hint="eastAsia" w:ascii="宋体" w:hAnsi="宋体" w:eastAsia="宋体" w:cs="宋体"/>
          <w:b/>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noWrap w:val="0"/>
            <w:vAlign w:val="center"/>
          </w:tcPr>
          <w:p>
            <w:pP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投标报价（元）</w:t>
            </w:r>
          </w:p>
        </w:tc>
        <w:tc>
          <w:tcPr>
            <w:tcW w:w="1349" w:type="dxa"/>
            <w:noWrap w:val="0"/>
            <w:vAlign w:val="center"/>
          </w:tcPr>
          <w:p>
            <w:pP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大写</w:t>
            </w:r>
          </w:p>
        </w:tc>
        <w:tc>
          <w:tcPr>
            <w:tcW w:w="4629" w:type="dxa"/>
            <w:noWrap w:val="0"/>
            <w:vAlign w:val="center"/>
          </w:tcPr>
          <w:p>
            <w:pPr>
              <w:autoSpaceDE w:val="0"/>
              <w:autoSpaceDN w:val="0"/>
              <w:spacing w:line="450" w:lineRule="exact"/>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349" w:type="dxa"/>
            <w:noWrap w:val="0"/>
            <w:vAlign w:val="center"/>
          </w:tcPr>
          <w:p>
            <w:pP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小写</w:t>
            </w:r>
          </w:p>
        </w:tc>
        <w:tc>
          <w:tcPr>
            <w:tcW w:w="4629" w:type="dxa"/>
            <w:noWrap w:val="0"/>
            <w:vAlign w:val="center"/>
          </w:tcPr>
          <w:p>
            <w:pPr>
              <w:autoSpaceDE w:val="0"/>
              <w:autoSpaceDN w:val="0"/>
              <w:spacing w:line="450" w:lineRule="exact"/>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w:t>
            </w:r>
          </w:p>
        </w:tc>
      </w:tr>
    </w:tbl>
    <w:p>
      <w:pPr>
        <w:spacing w:line="360" w:lineRule="auto"/>
        <w:ind w:left="480"/>
        <w:rPr>
          <w:rFonts w:hint="eastAsia" w:ascii="宋体" w:hAnsi="宋体" w:eastAsia="宋体" w:cs="宋体"/>
          <w:b/>
          <w:color w:val="000000" w:themeColor="text1"/>
          <w:sz w:val="30"/>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填报要求：</w:t>
      </w:r>
    </w:p>
    <w:p>
      <w:pPr>
        <w:pStyle w:val="1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1.报价应包括投标人</w:t>
      </w:r>
      <w:r>
        <w:rPr>
          <w:rFonts w:hint="eastAsia" w:ascii="宋体" w:hAnsi="宋体" w:cs="宋体"/>
          <w:color w:val="000000" w:themeColor="text1"/>
          <w:kern w:val="0"/>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kern w:val="0"/>
          <w:sz w:val="24"/>
          <w:szCs w:val="24"/>
          <w:highlight w:val="none"/>
          <w14:textFill>
            <w14:solidFill>
              <w14:schemeClr w14:val="tx1"/>
            </w14:solidFill>
          </w14:textFill>
        </w:rPr>
        <w:t>后为完成合同规定的全部工作需支付的一切费用（含税金）、拟获得的利润，并考虑了应承担的风险，但不包括合同规定的价格调整。包括人工费用、设备费用、机械设备费用、材料费用、劳保福利、管理费、税金、利润及为完成合同所需所有工作开支、政策性文件规定及合同包含的所有风险、责任等各项全部费用。</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2.报价一经涂改，应在涂改处加盖单位公章，或者由法定代表人或全权代表签字或盖章，否则作无效标处理。</w:t>
      </w:r>
    </w:p>
    <w:p>
      <w:pPr>
        <w:pStyle w:val="10"/>
        <w:rPr>
          <w:rFonts w:hint="eastAsia" w:ascii="宋体" w:hAnsi="宋体" w:eastAsia="宋体" w:cs="宋体"/>
          <w:color w:val="000000" w:themeColor="text1"/>
          <w:highlight w:val="none"/>
          <w14:textFill>
            <w14:solidFill>
              <w14:schemeClr w14:val="tx1"/>
            </w14:solidFill>
          </w14:textFill>
        </w:rPr>
      </w:pPr>
    </w:p>
    <w:p>
      <w:pPr>
        <w:spacing w:line="320" w:lineRule="exact"/>
        <w:ind w:left="420"/>
        <w:rPr>
          <w:rFonts w:hint="eastAsia" w:ascii="宋体" w:hAnsi="宋体" w:eastAsia="宋体" w:cs="宋体"/>
          <w:color w:val="000000" w:themeColor="text1"/>
          <w:sz w:val="24"/>
          <w:highlight w:val="none"/>
          <w14:textFill>
            <w14:solidFill>
              <w14:schemeClr w14:val="tx1"/>
            </w14:solidFill>
          </w14:textFill>
        </w:rPr>
      </w:pPr>
    </w:p>
    <w:p>
      <w:pPr>
        <w:spacing w:line="320" w:lineRule="exact"/>
        <w:ind w:left="42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20" w:lineRule="exact"/>
        <w:ind w:left="420"/>
        <w:rPr>
          <w:rFonts w:hint="eastAsia" w:ascii="宋体" w:hAnsi="宋体" w:eastAsia="宋体" w:cs="宋体"/>
          <w:color w:val="000000" w:themeColor="text1"/>
          <w:sz w:val="24"/>
          <w:highlight w:val="none"/>
          <w14:textFill>
            <w14:solidFill>
              <w14:schemeClr w14:val="tx1"/>
            </w14:solidFill>
          </w14:textFill>
        </w:rPr>
      </w:pPr>
    </w:p>
    <w:p>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p>
    <w:p>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p>
    <w:p>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adjustRightInd w:val="0"/>
        <w:snapToGrid w:val="0"/>
        <w:spacing w:line="360" w:lineRule="auto"/>
        <w:ind w:right="480"/>
        <w:jc w:val="center"/>
        <w:rPr>
          <w:rFonts w:hint="eastAsia" w:ascii="宋体" w:hAnsi="宋体" w:eastAsia="宋体" w:cs="宋体"/>
          <w:color w:val="000000" w:themeColor="text1"/>
          <w:kern w:val="0"/>
          <w:sz w:val="24"/>
          <w:highlight w:val="none"/>
          <w:lang w:val="zh-CN"/>
          <w14:textFill>
            <w14:solidFill>
              <w14:schemeClr w14:val="tx1"/>
            </w14:solidFill>
          </w14:textFill>
        </w:rPr>
      </w:pPr>
    </w:p>
    <w:p>
      <w:pPr>
        <w:spacing w:line="360" w:lineRule="atLeast"/>
        <w:ind w:left="480"/>
        <w:rPr>
          <w:rFonts w:hint="eastAsia" w:ascii="宋体" w:hAnsi="宋体" w:eastAsia="宋体" w:cs="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pPr>
        <w:pStyle w:val="4"/>
        <w:jc w:val="center"/>
        <w:rPr>
          <w:rFonts w:hint="eastAsia" w:ascii="宋体" w:hAnsi="宋体" w:eastAsia="宋体"/>
          <w:color w:val="000000" w:themeColor="text1"/>
          <w:highlight w:val="none"/>
          <w:lang w:eastAsia="zh-CN"/>
          <w14:textFill>
            <w14:solidFill>
              <w14:schemeClr w14:val="tx1"/>
            </w14:solidFill>
          </w14:textFill>
        </w:rPr>
      </w:pPr>
      <w:r>
        <w:rPr>
          <w:rFonts w:hint="eastAsia"/>
          <w:color w:val="000000" w:themeColor="text1"/>
          <w:kern w:val="0"/>
          <w:sz w:val="28"/>
          <w:szCs w:val="28"/>
          <w:highlight w:val="none"/>
          <w14:textFill>
            <w14:solidFill>
              <w14:schemeClr w14:val="tx1"/>
            </w14:solidFill>
          </w14:textFill>
        </w:rPr>
        <w:t>附件1</w:t>
      </w:r>
      <w:r>
        <w:rPr>
          <w:rFonts w:hint="eastAsia"/>
          <w:color w:val="000000" w:themeColor="text1"/>
          <w:kern w:val="0"/>
          <w:sz w:val="28"/>
          <w:szCs w:val="28"/>
          <w:highlight w:val="none"/>
          <w:lang w:val="en-US" w:eastAsia="zh-CN"/>
          <w14:textFill>
            <w14:solidFill>
              <w14:schemeClr w14:val="tx1"/>
            </w14:solidFill>
          </w14:textFill>
        </w:rPr>
        <w:t>2</w:t>
      </w:r>
      <w:r>
        <w:rPr>
          <w:rFonts w:hint="eastAsia"/>
          <w:color w:val="000000" w:themeColor="text1"/>
          <w:kern w:val="0"/>
          <w:sz w:val="28"/>
          <w:szCs w:val="28"/>
          <w:highlight w:val="none"/>
          <w14:textFill>
            <w14:solidFill>
              <w14:schemeClr w14:val="tx1"/>
            </w14:solidFill>
          </w14:textFill>
        </w:rPr>
        <w:t>:</w:t>
      </w:r>
      <w:r>
        <w:rPr>
          <w:rFonts w:hint="eastAsia" w:ascii="宋体" w:hAnsi="宋体"/>
          <w:bCs w:val="0"/>
          <w:color w:val="000000" w:themeColor="text1"/>
          <w:highlight w:val="none"/>
          <w14:textFill>
            <w14:solidFill>
              <w14:schemeClr w14:val="tx1"/>
            </w14:solidFill>
          </w14:textFill>
        </w:rPr>
        <w:t xml:space="preserve"> </w:t>
      </w:r>
      <w:r>
        <w:rPr>
          <w:rFonts w:hint="eastAsia" w:ascii="宋体" w:hAnsi="宋体"/>
          <w:b w:val="0"/>
          <w:color w:val="000000" w:themeColor="text1"/>
          <w:highlight w:val="none"/>
          <w14:textFill>
            <w14:solidFill>
              <w14:schemeClr w14:val="tx1"/>
            </w14:solidFill>
          </w14:textFill>
        </w:rPr>
        <w:t>报价明细表</w:t>
      </w:r>
      <w:r>
        <w:rPr>
          <w:rFonts w:hint="eastAsia" w:ascii="宋体" w:hAnsi="宋体"/>
          <w:b w:val="0"/>
          <w:color w:val="000000" w:themeColor="text1"/>
          <w:highlight w:val="none"/>
          <w:lang w:eastAsia="zh-CN"/>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1</w:t>
      </w:r>
      <w:r>
        <w:rPr>
          <w:rFonts w:hint="eastAsia" w:ascii="宋体" w:hAnsi="宋体"/>
          <w:b w:val="0"/>
          <w:color w:val="000000" w:themeColor="text1"/>
          <w:highlight w:val="none"/>
          <w:lang w:eastAsia="zh-CN"/>
          <w14:textFill>
            <w14:solidFill>
              <w14:schemeClr w14:val="tx1"/>
            </w14:solidFill>
          </w14:textFill>
        </w:rPr>
        <w:t>）</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[货币单位：人民币元]</w:t>
      </w:r>
    </w:p>
    <w:tbl>
      <w:tblPr>
        <w:tblStyle w:val="35"/>
        <w:tblW w:w="9415"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5"/>
        <w:gridCol w:w="3159"/>
        <w:gridCol w:w="1850"/>
        <w:gridCol w:w="1850"/>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dxa"/>
            <w:noWrap w:val="0"/>
            <w:vAlign w:val="center"/>
          </w:tcPr>
          <w:p>
            <w:pPr>
              <w:pStyle w:val="19"/>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序号</w:t>
            </w:r>
          </w:p>
        </w:tc>
        <w:tc>
          <w:tcPr>
            <w:tcW w:w="3164" w:type="dxa"/>
            <w:gridSpan w:val="2"/>
            <w:noWrap w:val="0"/>
            <w:vAlign w:val="center"/>
          </w:tcPr>
          <w:p>
            <w:pPr>
              <w:pStyle w:val="19"/>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项目名称</w:t>
            </w:r>
          </w:p>
        </w:tc>
        <w:tc>
          <w:tcPr>
            <w:tcW w:w="1850" w:type="dxa"/>
            <w:noWrap w:val="0"/>
            <w:vAlign w:val="center"/>
          </w:tcPr>
          <w:p>
            <w:pPr>
              <w:pStyle w:val="19"/>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数量</w:t>
            </w:r>
          </w:p>
        </w:tc>
        <w:tc>
          <w:tcPr>
            <w:tcW w:w="1850" w:type="dxa"/>
            <w:noWrap w:val="0"/>
            <w:vAlign w:val="center"/>
          </w:tcPr>
          <w:p>
            <w:pPr>
              <w:pStyle w:val="19"/>
              <w:jc w:val="center"/>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val="0"/>
                <w:color w:val="000000" w:themeColor="text1"/>
                <w:kern w:val="2"/>
                <w:sz w:val="24"/>
                <w:szCs w:val="24"/>
                <w:highlight w:val="none"/>
                <w:lang w:val="en-US" w:eastAsia="zh-CN" w:bidi="ar-SA"/>
                <w14:textFill>
                  <w14:solidFill>
                    <w14:schemeClr w14:val="tx1"/>
                  </w14:solidFill>
                </w14:textFill>
              </w:rPr>
              <w:t>报价（元）</w:t>
            </w:r>
          </w:p>
        </w:tc>
        <w:tc>
          <w:tcPr>
            <w:tcW w:w="1720" w:type="dxa"/>
            <w:noWrap w:val="0"/>
            <w:vAlign w:val="center"/>
          </w:tcPr>
          <w:p>
            <w:pPr>
              <w:pStyle w:val="19"/>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备注</w:t>
            </w:r>
          </w:p>
          <w:p>
            <w:pPr>
              <w:pStyle w:val="19"/>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31" w:type="dxa"/>
            <w:noWrap w:val="0"/>
            <w:vAlign w:val="center"/>
          </w:tcPr>
          <w:p>
            <w:pPr>
              <w:pStyle w:val="21"/>
              <w:adjustRightInd w:val="0"/>
              <w:snapToGrid w:val="0"/>
              <w:spacing w:before="100" w:after="50" w:line="360" w:lineRule="atLeast"/>
              <w:ind w:left="0" w:leftChars="0" w:firstLine="0" w:firstLineChars="0"/>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p>
        </w:tc>
        <w:tc>
          <w:tcPr>
            <w:tcW w:w="3164" w:type="dxa"/>
            <w:gridSpan w:val="2"/>
            <w:noWrap w:val="0"/>
            <w:vAlign w:val="center"/>
          </w:tcPr>
          <w:p>
            <w:pPr>
              <w:snapToGrid w:val="0"/>
              <w:spacing w:beforeLines="0" w:afterLines="0" w:line="264"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720" w:type="dxa"/>
            <w:noWrap w:val="0"/>
            <w:vAlign w:val="center"/>
          </w:tcPr>
          <w:p>
            <w:pPr>
              <w:snapToGrid w:val="0"/>
              <w:spacing w:beforeLines="0" w:afterLines="0" w:line="264" w:lineRule="auto"/>
              <w:jc w:val="center"/>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31" w:type="dxa"/>
            <w:noWrap w:val="0"/>
            <w:vAlign w:val="center"/>
          </w:tcPr>
          <w:p>
            <w:pPr>
              <w:pStyle w:val="21"/>
              <w:adjustRightInd w:val="0"/>
              <w:snapToGrid w:val="0"/>
              <w:spacing w:before="100" w:after="50" w:line="360" w:lineRule="atLeast"/>
              <w:ind w:left="0" w:leftChars="0" w:firstLine="0" w:firstLineChars="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p>
        </w:tc>
        <w:tc>
          <w:tcPr>
            <w:tcW w:w="3164" w:type="dxa"/>
            <w:gridSpan w:val="2"/>
            <w:noWrap w:val="0"/>
            <w:vAlign w:val="center"/>
          </w:tcPr>
          <w:p>
            <w:pPr>
              <w:snapToGrid w:val="0"/>
              <w:spacing w:beforeLines="0" w:afterLines="0" w:line="264" w:lineRule="auto"/>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p>
        </w:tc>
        <w:tc>
          <w:tcPr>
            <w:tcW w:w="1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720" w:type="dxa"/>
            <w:noWrap w:val="0"/>
            <w:vAlign w:val="center"/>
          </w:tcPr>
          <w:p>
            <w:pPr>
              <w:snapToGrid w:val="0"/>
              <w:spacing w:beforeLines="0" w:afterLines="0" w:line="264" w:lineRule="auto"/>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31" w:type="dxa"/>
            <w:noWrap w:val="0"/>
            <w:vAlign w:val="center"/>
          </w:tcPr>
          <w:p>
            <w:pPr>
              <w:pStyle w:val="21"/>
              <w:adjustRightInd w:val="0"/>
              <w:snapToGrid w:val="0"/>
              <w:spacing w:before="100" w:after="50" w:line="360" w:lineRule="atLeast"/>
              <w:ind w:left="0" w:leftChars="0" w:firstLine="0" w:firstLineChars="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c>
          <w:tcPr>
            <w:tcW w:w="3164" w:type="dxa"/>
            <w:gridSpan w:val="2"/>
            <w:noWrap w:val="0"/>
            <w:vAlign w:val="center"/>
          </w:tcPr>
          <w:p>
            <w:pPr>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p>
        </w:tc>
        <w:tc>
          <w:tcPr>
            <w:tcW w:w="1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720" w:type="dxa"/>
            <w:noWrap w:val="0"/>
            <w:vAlign w:val="center"/>
          </w:tcPr>
          <w:p>
            <w:pPr>
              <w:snapToGrid w:val="0"/>
              <w:spacing w:beforeLines="0" w:afterLines="0" w:line="264" w:lineRule="auto"/>
              <w:jc w:val="center"/>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31" w:type="dxa"/>
            <w:noWrap w:val="0"/>
            <w:vAlign w:val="center"/>
          </w:tcPr>
          <w:p>
            <w:pPr>
              <w:pStyle w:val="21"/>
              <w:adjustRightInd w:val="0"/>
              <w:snapToGrid w:val="0"/>
              <w:spacing w:before="100" w:after="50" w:line="360" w:lineRule="atLeast"/>
              <w:ind w:left="0" w:leftChars="0" w:firstLine="0" w:firstLineChars="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p>
        </w:tc>
        <w:tc>
          <w:tcPr>
            <w:tcW w:w="3164" w:type="dxa"/>
            <w:gridSpan w:val="2"/>
            <w:noWrap w:val="0"/>
            <w:vAlign w:val="center"/>
          </w:tcPr>
          <w:p>
            <w:pPr>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p>
        </w:tc>
        <w:tc>
          <w:tcPr>
            <w:tcW w:w="1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720" w:type="dxa"/>
            <w:noWrap w:val="0"/>
            <w:vAlign w:val="center"/>
          </w:tcPr>
          <w:p>
            <w:pPr>
              <w:snapToGrid w:val="0"/>
              <w:spacing w:beforeLines="0" w:afterLines="0" w:line="264" w:lineRule="auto"/>
              <w:jc w:val="center"/>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31" w:type="dxa"/>
            <w:noWrap w:val="0"/>
            <w:vAlign w:val="center"/>
          </w:tcPr>
          <w:p>
            <w:pPr>
              <w:pStyle w:val="21"/>
              <w:adjustRightInd w:val="0"/>
              <w:snapToGrid w:val="0"/>
              <w:spacing w:before="100" w:after="50" w:line="360" w:lineRule="atLeast"/>
              <w:ind w:left="0" w:leftChars="0" w:firstLine="0" w:firstLineChars="0"/>
              <w:jc w:val="both"/>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p>
        </w:tc>
        <w:tc>
          <w:tcPr>
            <w:tcW w:w="3164" w:type="dxa"/>
            <w:gridSpan w:val="2"/>
            <w:noWrap w:val="0"/>
            <w:vAlign w:val="center"/>
          </w:tcPr>
          <w:p>
            <w:pPr>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p>
        </w:tc>
        <w:tc>
          <w:tcPr>
            <w:tcW w:w="1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720" w:type="dxa"/>
            <w:noWrap w:val="0"/>
            <w:vAlign w:val="center"/>
          </w:tcPr>
          <w:p>
            <w:pPr>
              <w:snapToGrid w:val="0"/>
              <w:spacing w:beforeLines="0" w:afterLines="0" w:line="264" w:lineRule="auto"/>
              <w:jc w:val="center"/>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trPr>
        <w:tc>
          <w:tcPr>
            <w:tcW w:w="836" w:type="dxa"/>
            <w:gridSpan w:val="2"/>
            <w:noWrap w:val="0"/>
            <w:vAlign w:val="center"/>
            <mc:AlternateContent>
              <mc:Choice Requires="wpsCustomData">
                <wpsCustomData:diagonals>
                  <wpsCustomData:diagonal from="0" to="20000">
                    <wpsCustomData:border w:val="single" w:color="auto" w:sz="4" w:space="0"/>
                  </wpsCustomData:diagonal>
                </wpsCustomData:diagonals>
              </mc:Choice>
            </mc:AlternateContent>
          </w:tcPr>
          <w:p>
            <w:pPr>
              <w:pStyle w:val="21"/>
              <w:adjustRightInd w:val="0"/>
              <w:snapToGrid w:val="0"/>
              <w:spacing w:before="100" w:after="50" w:line="240" w:lineRule="auto"/>
              <w:ind w:left="0" w:leftChars="0" w:firstLine="0" w:firstLineChars="0"/>
              <w:jc w:val="both"/>
              <mc:AlternateContent>
                <mc:Choice Requires="wpsCustomData">
                  <wpsCustomData:diagonalParaType/>
                </mc:Choice>
              </mc:AlternateConten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pPr>
              <w:pStyle w:val="21"/>
              <w:adjustRightInd w:val="0"/>
              <w:snapToGrid w:val="0"/>
              <w:spacing w:before="100" w:after="50" w:line="360" w:lineRule="atLeast"/>
              <w:ind w:left="0" w:leftChars="0" w:firstLine="0" w:firstLineChars="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3159" w:type="dxa"/>
            <w:noWrap w:val="0"/>
            <w:vAlign w:val="center"/>
          </w:tcPr>
          <w:p>
            <w:pPr>
              <w:pStyle w:val="21"/>
              <w:adjustRightInd w:val="0"/>
              <w:snapToGrid w:val="0"/>
              <w:spacing w:before="100" w:after="50" w:line="360" w:lineRule="atLeast"/>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合计</w:t>
            </w:r>
          </w:p>
        </w:tc>
        <w:tc>
          <w:tcPr>
            <w:tcW w:w="5420" w:type="dxa"/>
            <w:gridSpan w:val="3"/>
            <w:noWrap w:val="0"/>
            <w:vAlign w:val="center"/>
          </w:tcPr>
          <w:p>
            <w:pPr>
              <w:pStyle w:val="19"/>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大写：</w:t>
            </w:r>
          </w:p>
          <w:p>
            <w:pPr>
              <w:pStyle w:val="20"/>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小写：</w:t>
            </w:r>
          </w:p>
        </w:tc>
      </w:tr>
    </w:tbl>
    <w:p>
      <w:pPr>
        <w:keepNext w:val="0"/>
        <w:keepLines w:val="0"/>
        <w:pageBreakBefore w:val="0"/>
        <w:widowControl w:val="0"/>
        <w:kinsoku/>
        <w:wordWrap/>
        <w:overflowPunct/>
        <w:topLinePunct w:val="0"/>
        <w:bidi w:val="0"/>
        <w:snapToGrid/>
        <w:spacing w:line="320" w:lineRule="exact"/>
        <w:rPr>
          <w:rFonts w:hint="eastAsia" w:ascii="宋体" w:hAnsi="宋体" w:cs="宋体"/>
          <w:b/>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要求：</w:t>
      </w:r>
    </w:p>
    <w:p>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 本表为《开标一览表》的报价明细表，如有缺项、漏项，视为投标报价中已包含相关费用，采购人无需另外支付任何费用。</w:t>
      </w:r>
    </w:p>
    <w:p>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2.“报价明细表”中的报价合计应与“开标一览表”中的投标总报价相一致，不一致时，以开标一览表为准。</w:t>
      </w:r>
    </w:p>
    <w:p>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3.投标报价明细表所填内容按招标文件采购设备清单要求为准。如有漏报的，视同已包含在投标总价内或已作优惠处理。有重大缺项的将作无效标处理。</w:t>
      </w:r>
    </w:p>
    <w:p>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供应商名称（盖章）：</w:t>
      </w:r>
    </w:p>
    <w:p>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供应商代表签字或盖章：</w:t>
      </w:r>
    </w:p>
    <w:p>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职        务：</w:t>
      </w:r>
    </w:p>
    <w:p>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日        期：</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pPr>
        <w:pStyle w:val="15"/>
        <w:rPr>
          <w:rFonts w:hint="eastAsia" w:ascii="宋体" w:hAnsi="宋体" w:eastAsia="宋体" w:cs="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eastAsia="宋体" w:cs="宋体"/>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cs="宋体"/>
          <w:b/>
          <w:color w:val="000000" w:themeColor="text1"/>
          <w:sz w:val="28"/>
          <w:highlight w:val="none"/>
          <w:lang w:val="en-US" w:eastAsia="zh-CN"/>
          <w14:textFill>
            <w14:solidFill>
              <w14:schemeClr w14:val="tx1"/>
            </w14:solidFill>
          </w14:textFill>
        </w:rPr>
        <w:t>3</w:t>
      </w:r>
    </w:p>
    <w:p>
      <w:pPr>
        <w:spacing w:line="656" w:lineRule="exact"/>
        <w:ind w:right="21"/>
        <w:jc w:val="center"/>
        <w:rPr>
          <w:rFonts w:hint="eastAsia" w:ascii="宋体" w:hAnsi="宋体" w:eastAsia="宋体" w:cs="宋体"/>
          <w:b/>
          <w:color w:val="000000" w:themeColor="text1"/>
          <w:sz w:val="36"/>
          <w:highlight w:val="none"/>
          <w:lang w:eastAsia="zh-CN"/>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中小企业声明函</w:t>
      </w:r>
      <w:r>
        <w:rPr>
          <w:rFonts w:hint="eastAsia" w:ascii="宋体" w:hAnsi="宋体" w:cs="宋体"/>
          <w:b/>
          <w:color w:val="000000" w:themeColor="text1"/>
          <w:sz w:val="36"/>
          <w:highlight w:val="none"/>
          <w:lang w:eastAsia="zh-CN"/>
          <w14:textFill>
            <w14:solidFill>
              <w14:schemeClr w14:val="tx1"/>
            </w14:solidFill>
          </w14:textFill>
        </w:rPr>
        <w:t>（</w:t>
      </w:r>
      <w:r>
        <w:rPr>
          <w:rFonts w:hint="eastAsia" w:ascii="宋体" w:hAnsi="宋体" w:cs="宋体"/>
          <w:b/>
          <w:color w:val="000000" w:themeColor="text1"/>
          <w:sz w:val="36"/>
          <w:highlight w:val="none"/>
          <w:lang w:val="en-US" w:eastAsia="zh-CN"/>
          <w14:textFill>
            <w14:solidFill>
              <w14:schemeClr w14:val="tx1"/>
            </w14:solidFill>
          </w14:textFill>
        </w:rPr>
        <w:t>服务</w:t>
      </w:r>
      <w:r>
        <w:rPr>
          <w:rFonts w:hint="eastAsia" w:ascii="宋体" w:hAnsi="宋体" w:cs="宋体"/>
          <w:b/>
          <w:color w:val="000000" w:themeColor="text1"/>
          <w:sz w:val="36"/>
          <w:highlight w:val="none"/>
          <w:lang w:eastAsia="zh-CN"/>
          <w14:textFill>
            <w14:solidFill>
              <w14:schemeClr w14:val="tx1"/>
            </w14:solidFill>
          </w14:textFill>
        </w:rPr>
        <w:t>）</w:t>
      </w:r>
    </w:p>
    <w:p>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w:t>
      </w:r>
      <w:r>
        <w:rPr>
          <w:rFonts w:hint="eastAsia" w:ascii="宋体" w:hAnsi="宋体" w:eastAsia="宋体" w:cs="宋体"/>
          <w:color w:val="000000" w:themeColor="text1"/>
          <w:sz w:val="24"/>
          <w:highlight w:val="none"/>
          <w:u w:val="single"/>
          <w14:textFill>
            <w14:solidFill>
              <w14:schemeClr w14:val="tx1"/>
            </w14:solidFill>
          </w14:textFill>
        </w:rPr>
        <w:t>（联合体）</w:t>
      </w:r>
      <w:r>
        <w:rPr>
          <w:rFonts w:hint="eastAsia" w:ascii="宋体" w:hAnsi="宋体" w:eastAsia="宋体" w:cs="宋体"/>
          <w:color w:val="000000" w:themeColor="text1"/>
          <w:sz w:val="24"/>
          <w:highlight w:val="none"/>
          <w14:textFill>
            <w14:solidFill>
              <w14:schemeClr w14:val="tx1"/>
            </w14:solidFill>
          </w14:textFill>
        </w:rPr>
        <w:t>参加</w:t>
      </w:r>
      <w:r>
        <w:rPr>
          <w:rFonts w:hint="eastAsia" w:ascii="宋体" w:hAnsi="宋体" w:eastAsia="宋体" w:cs="宋体"/>
          <w:color w:val="000000" w:themeColor="text1"/>
          <w:sz w:val="24"/>
          <w:highlight w:val="none"/>
          <w:u w:val="single"/>
          <w14:textFill>
            <w14:solidFill>
              <w14:schemeClr w14:val="tx1"/>
            </w14:solidFill>
          </w14:textFill>
        </w:rPr>
        <w:t xml:space="preserve">    （单位名称）</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       （项目名称）</w:t>
      </w:r>
      <w:r>
        <w:rPr>
          <w:rFonts w:hint="eastAsia" w:ascii="宋体" w:hAnsi="宋体" w:eastAsia="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pPr>
        <w:numPr>
          <w:ilvl w:val="0"/>
          <w:numId w:val="8"/>
        </w:num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其他未列明行业；</w:t>
      </w:r>
      <w:r>
        <w:rPr>
          <w:rFonts w:hint="eastAsia" w:ascii="宋体" w:hAnsi="宋体" w:eastAsia="宋体" w:cs="宋体"/>
          <w:color w:val="000000" w:themeColor="text1"/>
          <w:sz w:val="24"/>
          <w:highlight w:val="none"/>
          <w14:textFill>
            <w14:solidFill>
              <w14:schemeClr w14:val="tx1"/>
            </w14:solidFill>
          </w14:textFill>
        </w:rPr>
        <w:t>承建（承接）企业为</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   人</w:t>
      </w:r>
      <w:r>
        <w:rPr>
          <w:rFonts w:hint="eastAsia" w:ascii="宋体" w:hAnsi="宋体" w:eastAsia="宋体" w:cs="宋体"/>
          <w:color w:val="000000" w:themeColor="text1"/>
          <w:sz w:val="24"/>
          <w:highlight w:val="none"/>
          <w14:textFill>
            <w14:solidFill>
              <w14:schemeClr w14:val="tx1"/>
            </w14:solidFill>
          </w14:textFill>
        </w:rPr>
        <w:t>，营业收入为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万元</w:t>
      </w:r>
      <w:r>
        <w:rPr>
          <w:rFonts w:hint="eastAsia" w:ascii="宋体" w:hAnsi="宋体" w:eastAsia="宋体" w:cs="宋体"/>
          <w:color w:val="000000" w:themeColor="text1"/>
          <w:sz w:val="24"/>
          <w:highlight w:val="none"/>
          <w14:textFill>
            <w14:solidFill>
              <w14:schemeClr w14:val="tx1"/>
            </w14:solidFill>
          </w14:textFill>
        </w:rPr>
        <w:t>，资产总额为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万元</w:t>
      </w:r>
      <w:r>
        <w:rPr>
          <w:rFonts w:hint="eastAsia" w:ascii="宋体" w:hAnsi="宋体" w:eastAsia="宋体" w:cs="宋体"/>
          <w:color w:val="000000" w:themeColor="text1"/>
          <w:sz w:val="24"/>
          <w:highlight w:val="none"/>
          <w14:textFill>
            <w14:solidFill>
              <w14:schemeClr w14:val="tx1"/>
            </w14:solidFill>
          </w14:textFill>
        </w:rPr>
        <w:t>，属于（中型企业、小型企业、微型企业）；</w:t>
      </w:r>
    </w:p>
    <w:p>
      <w:pPr>
        <w:numPr>
          <w:ilvl w:val="0"/>
          <w:numId w:val="8"/>
        </w:num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其他未列明行业</w:t>
      </w:r>
      <w:r>
        <w:rPr>
          <w:rFonts w:hint="eastAsia" w:ascii="宋体" w:hAnsi="宋体" w:eastAsia="宋体" w:cs="宋体"/>
          <w:color w:val="000000" w:themeColor="text1"/>
          <w:sz w:val="24"/>
          <w:highlight w:val="none"/>
          <w14:textFill>
            <w14:solidFill>
              <w14:schemeClr w14:val="tx1"/>
            </w14:solidFill>
          </w14:textFill>
        </w:rPr>
        <w:t>；承建（承接）企业为</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人</w:t>
      </w:r>
      <w:r>
        <w:rPr>
          <w:rFonts w:hint="eastAsia" w:ascii="宋体" w:hAnsi="宋体" w:eastAsia="宋体" w:cs="宋体"/>
          <w:color w:val="000000" w:themeColor="text1"/>
          <w:sz w:val="24"/>
          <w:highlight w:val="none"/>
          <w14:textFill>
            <w14:solidFill>
              <w14:schemeClr w14:val="tx1"/>
            </w14:solidFill>
          </w14:textFill>
        </w:rPr>
        <w:t xml:space="preserve">，营业收入为 </w:t>
      </w:r>
      <w:r>
        <w:rPr>
          <w:rFonts w:hint="eastAsia" w:ascii="宋体" w:hAnsi="宋体" w:eastAsia="宋体" w:cs="宋体"/>
          <w:color w:val="000000" w:themeColor="text1"/>
          <w:sz w:val="24"/>
          <w:highlight w:val="none"/>
          <w:u w:val="single"/>
          <w14:textFill>
            <w14:solidFill>
              <w14:schemeClr w14:val="tx1"/>
            </w14:solidFill>
          </w14:textFill>
        </w:rPr>
        <w:t xml:space="preserve">   万元</w:t>
      </w:r>
      <w:r>
        <w:rPr>
          <w:rFonts w:hint="eastAsia" w:ascii="宋体" w:hAnsi="宋体" w:eastAsia="宋体" w:cs="宋体"/>
          <w:color w:val="000000" w:themeColor="text1"/>
          <w:sz w:val="24"/>
          <w:highlight w:val="none"/>
          <w14:textFill>
            <w14:solidFill>
              <w14:schemeClr w14:val="tx1"/>
            </w14:solidFill>
          </w14:textFill>
        </w:rPr>
        <w:t>，资产总额为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万元</w:t>
      </w:r>
      <w:r>
        <w:rPr>
          <w:rFonts w:hint="eastAsia" w:ascii="宋体" w:hAnsi="宋体" w:eastAsia="宋体" w:cs="宋体"/>
          <w:color w:val="000000" w:themeColor="text1"/>
          <w:sz w:val="24"/>
          <w:highlight w:val="none"/>
          <w14:textFill>
            <w14:solidFill>
              <w14:schemeClr w14:val="tx1"/>
            </w14:solidFill>
          </w14:textFill>
        </w:rPr>
        <w:t>， 属于（中型企业、小型企业、微型企业）；</w:t>
      </w:r>
    </w:p>
    <w:p>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pPr>
        <w:pStyle w:val="15"/>
        <w:rPr>
          <w:rFonts w:hint="eastAsia" w:ascii="宋体" w:hAnsi="宋体" w:eastAsia="宋体" w:cs="宋体"/>
          <w:color w:val="000000" w:themeColor="text1"/>
          <w:sz w:val="24"/>
          <w:highlight w:val="none"/>
          <w14:textFill>
            <w14:solidFill>
              <w14:schemeClr w14:val="tx1"/>
            </w14:solidFill>
          </w14:textFill>
        </w:rPr>
      </w:pPr>
    </w:p>
    <w:p>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企业名称（盖章）：</w:t>
      </w:r>
    </w:p>
    <w:p>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pStyle w:val="83"/>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83"/>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83"/>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83"/>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备注：从业人员、营业收入、资产总额填报上一年度数据，无上一年度数据的新成立企业可不填报。</w:t>
      </w:r>
    </w:p>
    <w:p>
      <w:pPr>
        <w:pStyle w:val="19"/>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p>
    <w:p>
      <w:pPr>
        <w:pStyle w:val="30"/>
        <w:ind w:firstLine="627"/>
        <w:rPr>
          <w:rFonts w:hint="eastAsia" w:ascii="宋体" w:hAnsi="宋体" w:eastAsia="宋体" w:cs="宋体"/>
          <w:b w:val="0"/>
          <w:color w:val="000000" w:themeColor="text1"/>
          <w:sz w:val="32"/>
          <w:szCs w:val="32"/>
          <w:highlight w:val="none"/>
          <w:lang w:val="en-GB"/>
          <w14:textFill>
            <w14:solidFill>
              <w14:schemeClr w14:val="tx1"/>
            </w14:solidFill>
          </w14:textFill>
        </w:rPr>
      </w:pPr>
    </w:p>
    <w:p>
      <w:pPr>
        <w:rPr>
          <w:rFonts w:hint="eastAsia" w:ascii="宋体" w:hAnsi="宋体" w:eastAsia="宋体" w:cs="宋体"/>
          <w:b/>
          <w:color w:val="000000" w:themeColor="text1"/>
          <w:sz w:val="32"/>
          <w:szCs w:val="32"/>
          <w:highlight w:val="none"/>
          <w:lang w:val="en-GB"/>
          <w14:textFill>
            <w14:solidFill>
              <w14:schemeClr w14:val="tx1"/>
            </w14:solidFill>
          </w14:textFill>
        </w:rPr>
      </w:pPr>
    </w:p>
    <w:p>
      <w:pPr>
        <w:pStyle w:val="15"/>
        <w:rPr>
          <w:rFonts w:hint="eastAsia" w:ascii="宋体" w:hAnsi="宋体" w:eastAsia="宋体" w:cs="宋体"/>
          <w:color w:val="000000" w:themeColor="text1"/>
          <w:highlight w:val="none"/>
          <w:lang w:val="en-GB"/>
          <w14:textFill>
            <w14:solidFill>
              <w14:schemeClr w14:val="tx1"/>
            </w14:solidFill>
          </w14:textFill>
        </w:rPr>
      </w:pPr>
    </w:p>
    <w:p>
      <w:pPr>
        <w:pStyle w:val="16"/>
        <w:ind w:firstLine="3240" w:firstLineChars="900"/>
        <w:rPr>
          <w:rFonts w:hint="eastAsia" w:ascii="宋体" w:hAnsi="宋体" w:eastAsia="宋体" w:cs="宋体"/>
          <w:color w:val="000000" w:themeColor="text1"/>
          <w:sz w:val="36"/>
          <w:szCs w:val="36"/>
          <w:highlight w:val="none"/>
          <w:lang w:val="en-GB"/>
          <w14:textFill>
            <w14:solidFill>
              <w14:schemeClr w14:val="tx1"/>
            </w14:solidFill>
          </w14:textFill>
        </w:rPr>
      </w:pPr>
      <w:r>
        <w:rPr>
          <w:rFonts w:hint="eastAsia" w:ascii="宋体" w:hAnsi="宋体" w:eastAsia="宋体" w:cs="宋体"/>
          <w:color w:val="000000" w:themeColor="text1"/>
          <w:sz w:val="36"/>
          <w:szCs w:val="36"/>
          <w:highlight w:val="none"/>
          <w:lang w:val="en-GB"/>
          <w14:textFill>
            <w14:solidFill>
              <w14:schemeClr w14:val="tx1"/>
            </w14:solidFill>
          </w14:textFill>
        </w:rPr>
        <w:t>中小企业划型标准规定</w:t>
      </w:r>
    </w:p>
    <w:p>
      <w:pPr>
        <w:pStyle w:val="16"/>
        <w:ind w:firstLine="3600" w:firstLineChars="15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工信部联企业【2011】300 号</w:t>
      </w:r>
    </w:p>
    <w:tbl>
      <w:tblPr>
        <w:tblStyle w:val="35"/>
        <w:tblW w:w="10177" w:type="dxa"/>
        <w:tblInd w:w="-7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322"/>
        <w:gridCol w:w="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noWrap w:val="0"/>
            <w:vAlign w:val="center"/>
          </w:tcPr>
          <w:p>
            <w:pPr>
              <w:pStyle w:val="76"/>
              <w:spacing w:before="68"/>
              <w:ind w:left="41" w:right="32"/>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860" w:type="dxa"/>
            <w:noWrap w:val="0"/>
            <w:vAlign w:val="center"/>
          </w:tcPr>
          <w:p>
            <w:pPr>
              <w:pStyle w:val="76"/>
              <w:spacing w:before="68"/>
              <w:ind w:left="10" w:right="2"/>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行业</w:t>
            </w:r>
          </w:p>
        </w:tc>
        <w:tc>
          <w:tcPr>
            <w:tcW w:w="2157" w:type="dxa"/>
            <w:noWrap w:val="0"/>
            <w:vAlign w:val="center"/>
          </w:tcPr>
          <w:p>
            <w:pPr>
              <w:pStyle w:val="76"/>
              <w:spacing w:before="68"/>
              <w:ind w:left="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原则</w:t>
            </w:r>
          </w:p>
        </w:tc>
        <w:tc>
          <w:tcPr>
            <w:tcW w:w="5537" w:type="dxa"/>
            <w:gridSpan w:val="2"/>
            <w:noWrap w:val="0"/>
            <w:vAlign w:val="center"/>
          </w:tcPr>
          <w:p>
            <w:pPr>
              <w:pStyle w:val="76"/>
              <w:spacing w:before="68"/>
              <w:ind w:left="2472" w:right="1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具体规定</w:t>
            </w:r>
          </w:p>
        </w:tc>
        <w:tc>
          <w:tcPr>
            <w:tcW w:w="1099" w:type="dxa"/>
            <w:noWrap w:val="0"/>
            <w:vAlign w:val="center"/>
          </w:tcPr>
          <w:p>
            <w:pPr>
              <w:pStyle w:val="76"/>
              <w:spacing w:before="68"/>
              <w:ind w:left="32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pPr>
              <w:pStyle w:val="76"/>
              <w:spacing w:before="7"/>
              <w:rPr>
                <w:rFonts w:hint="eastAsia" w:ascii="宋体" w:hAnsi="宋体" w:eastAsia="宋体" w:cs="宋体"/>
                <w:b/>
                <w:color w:val="000000" w:themeColor="text1"/>
                <w:sz w:val="24"/>
                <w:highlight w:val="none"/>
                <w14:textFill>
                  <w14:solidFill>
                    <w14:schemeClr w14:val="tx1"/>
                  </w14:solidFill>
                </w14:textFill>
              </w:rPr>
            </w:pPr>
          </w:p>
          <w:p>
            <w:pPr>
              <w:pStyle w:val="76"/>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1</w:t>
            </w:r>
          </w:p>
        </w:tc>
        <w:tc>
          <w:tcPr>
            <w:tcW w:w="860" w:type="dxa"/>
            <w:vMerge w:val="restart"/>
            <w:noWrap w:val="0"/>
            <w:vAlign w:val="center"/>
          </w:tcPr>
          <w:p>
            <w:pPr>
              <w:pStyle w:val="76"/>
              <w:spacing w:before="3"/>
              <w:rPr>
                <w:rFonts w:hint="eastAsia" w:ascii="宋体" w:hAnsi="宋体" w:eastAsia="宋体" w:cs="宋体"/>
                <w:b/>
                <w:color w:val="000000" w:themeColor="text1"/>
                <w:sz w:val="24"/>
                <w:highlight w:val="none"/>
                <w14:textFill>
                  <w14:solidFill>
                    <w14:schemeClr w14:val="tx1"/>
                  </w14:solidFill>
                </w14:textFill>
              </w:rPr>
            </w:pPr>
          </w:p>
          <w:p>
            <w:pPr>
              <w:pStyle w:val="76"/>
              <w:spacing w:before="1" w:line="292" w:lineRule="auto"/>
              <w:ind w:left="13" w:right="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农、林、牧、渔业</w:t>
            </w:r>
          </w:p>
        </w:tc>
        <w:tc>
          <w:tcPr>
            <w:tcW w:w="2157" w:type="dxa"/>
            <w:vMerge w:val="restart"/>
            <w:noWrap w:val="0"/>
            <w:vAlign w:val="center"/>
          </w:tcPr>
          <w:p>
            <w:pPr>
              <w:pStyle w:val="76"/>
              <w:spacing w:before="3"/>
              <w:rPr>
                <w:rFonts w:hint="eastAsia" w:ascii="宋体" w:hAnsi="宋体" w:eastAsia="宋体" w:cs="宋体"/>
                <w:b/>
                <w:color w:val="000000" w:themeColor="text1"/>
                <w:sz w:val="24"/>
                <w:highlight w:val="none"/>
                <w14:textFill>
                  <w14:solidFill>
                    <w14:schemeClr w14:val="tx1"/>
                  </w14:solidFill>
                </w14:textFill>
              </w:rPr>
            </w:pPr>
          </w:p>
          <w:p>
            <w:pPr>
              <w:pStyle w:val="76"/>
              <w:spacing w:before="1" w:line="292" w:lineRule="auto"/>
              <w:ind w:left="15" w:right="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20000 万元以下的为中小微型企业</w:t>
            </w:r>
          </w:p>
        </w:tc>
        <w:tc>
          <w:tcPr>
            <w:tcW w:w="1215" w:type="dxa"/>
            <w:noWrap w:val="0"/>
            <w:vAlign w:val="center"/>
          </w:tcPr>
          <w:p>
            <w:pPr>
              <w:pStyle w:val="76"/>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6"/>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500 万元及以上的</w:t>
            </w:r>
          </w:p>
        </w:tc>
        <w:tc>
          <w:tcPr>
            <w:tcW w:w="1099" w:type="dxa"/>
            <w:vMerge w:val="restart"/>
            <w:noWrap w:val="0"/>
            <w:vAlign w:val="center"/>
          </w:tcPr>
          <w:p>
            <w:pPr>
              <w:pStyle w:val="76"/>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6"/>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50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6"/>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50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6"/>
              <w:spacing w:before="6"/>
              <w:rPr>
                <w:rFonts w:hint="eastAsia" w:ascii="宋体" w:hAnsi="宋体" w:eastAsia="宋体" w:cs="宋体"/>
                <w:b/>
                <w:color w:val="000000" w:themeColor="text1"/>
                <w:sz w:val="24"/>
                <w:highlight w:val="none"/>
                <w14:textFill>
                  <w14:solidFill>
                    <w14:schemeClr w14:val="tx1"/>
                  </w14:solidFill>
                </w14:textFill>
              </w:rPr>
            </w:pPr>
          </w:p>
          <w:p>
            <w:pPr>
              <w:pStyle w:val="76"/>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2</w:t>
            </w:r>
          </w:p>
        </w:tc>
        <w:tc>
          <w:tcPr>
            <w:tcW w:w="860" w:type="dxa"/>
            <w:vMerge w:val="restart"/>
            <w:noWrap w:val="0"/>
            <w:vAlign w:val="center"/>
          </w:tcPr>
          <w:p>
            <w:pPr>
              <w:pStyle w:val="76"/>
              <w:spacing w:before="11"/>
              <w:rPr>
                <w:rFonts w:hint="eastAsia" w:ascii="宋体" w:hAnsi="宋体" w:eastAsia="宋体" w:cs="宋体"/>
                <w:b/>
                <w:color w:val="000000" w:themeColor="text1"/>
                <w:sz w:val="24"/>
                <w:highlight w:val="none"/>
                <w14:textFill>
                  <w14:solidFill>
                    <w14:schemeClr w14:val="tx1"/>
                  </w14:solidFill>
                </w14:textFill>
              </w:rPr>
            </w:pPr>
          </w:p>
          <w:p>
            <w:pPr>
              <w:pStyle w:val="76"/>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工业</w:t>
            </w:r>
          </w:p>
        </w:tc>
        <w:tc>
          <w:tcPr>
            <w:tcW w:w="2157" w:type="dxa"/>
            <w:vMerge w:val="restart"/>
            <w:noWrap w:val="0"/>
            <w:vAlign w:val="center"/>
          </w:tcPr>
          <w:p>
            <w:pPr>
              <w:pStyle w:val="76"/>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8"/>
                <w:sz w:val="24"/>
                <w:highlight w:val="none"/>
                <w14:textFill>
                  <w14:solidFill>
                    <w14:schemeClr w14:val="tx1"/>
                  </w14:solidFill>
                </w14:textFill>
              </w:rPr>
              <w:t xml:space="preserve"> 人以下或</w:t>
            </w:r>
            <w:r>
              <w:rPr>
                <w:rFonts w:hint="eastAsia" w:ascii="宋体" w:hAnsi="宋体" w:eastAsia="宋体" w:cs="宋体"/>
                <w:color w:val="000000" w:themeColor="text1"/>
                <w:sz w:val="24"/>
                <w:highlight w:val="none"/>
                <w14:textFill>
                  <w14:solidFill>
                    <w14:schemeClr w14:val="tx1"/>
                  </w14:solidFill>
                </w14:textFill>
              </w:rPr>
              <w:t>营业收入 40000 万元以下的为中小微型企业</w:t>
            </w: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6"/>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6"/>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300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4" w:type="dxa"/>
            <w:vMerge w:val="restart"/>
            <w:noWrap w:val="0"/>
            <w:vAlign w:val="center"/>
          </w:tcPr>
          <w:p>
            <w:pPr>
              <w:pStyle w:val="76"/>
              <w:rPr>
                <w:rFonts w:hint="eastAsia" w:ascii="宋体" w:hAnsi="宋体" w:eastAsia="宋体" w:cs="宋体"/>
                <w:b/>
                <w:color w:val="000000" w:themeColor="text1"/>
                <w:sz w:val="24"/>
                <w:highlight w:val="none"/>
                <w14:textFill>
                  <w14:solidFill>
                    <w14:schemeClr w14:val="tx1"/>
                  </w14:solidFill>
                </w14:textFill>
              </w:rPr>
            </w:pPr>
          </w:p>
          <w:p>
            <w:pPr>
              <w:pStyle w:val="76"/>
              <w:spacing w:before="15"/>
              <w:rPr>
                <w:rFonts w:hint="eastAsia" w:ascii="宋体" w:hAnsi="宋体" w:eastAsia="宋体" w:cs="宋体"/>
                <w:b/>
                <w:color w:val="000000" w:themeColor="text1"/>
                <w:sz w:val="24"/>
                <w:highlight w:val="none"/>
                <w14:textFill>
                  <w14:solidFill>
                    <w14:schemeClr w14:val="tx1"/>
                  </w14:solidFill>
                </w14:textFill>
              </w:rPr>
            </w:pPr>
          </w:p>
          <w:p>
            <w:pPr>
              <w:pStyle w:val="76"/>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3</w:t>
            </w:r>
          </w:p>
        </w:tc>
        <w:tc>
          <w:tcPr>
            <w:tcW w:w="860" w:type="dxa"/>
            <w:vMerge w:val="restart"/>
            <w:noWrap w:val="0"/>
            <w:vAlign w:val="center"/>
          </w:tcPr>
          <w:p>
            <w:pPr>
              <w:pStyle w:val="76"/>
              <w:rPr>
                <w:rFonts w:hint="eastAsia" w:ascii="宋体" w:hAnsi="宋体" w:eastAsia="宋体" w:cs="宋体"/>
                <w:b/>
                <w:color w:val="000000" w:themeColor="text1"/>
                <w:sz w:val="24"/>
                <w:highlight w:val="none"/>
                <w14:textFill>
                  <w14:solidFill>
                    <w14:schemeClr w14:val="tx1"/>
                  </w14:solidFill>
                </w14:textFill>
              </w:rPr>
            </w:pPr>
          </w:p>
          <w:p>
            <w:pPr>
              <w:pStyle w:val="76"/>
              <w:spacing w:before="2"/>
              <w:rPr>
                <w:rFonts w:hint="eastAsia" w:ascii="宋体" w:hAnsi="宋体" w:eastAsia="宋体" w:cs="宋体"/>
                <w:b/>
                <w:color w:val="000000" w:themeColor="text1"/>
                <w:sz w:val="24"/>
                <w:highlight w:val="none"/>
                <w14:textFill>
                  <w14:solidFill>
                    <w14:schemeClr w14:val="tx1"/>
                  </w14:solidFill>
                </w14:textFill>
              </w:rPr>
            </w:pPr>
          </w:p>
          <w:p>
            <w:pPr>
              <w:pStyle w:val="76"/>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建筑业</w:t>
            </w:r>
          </w:p>
        </w:tc>
        <w:tc>
          <w:tcPr>
            <w:tcW w:w="2157" w:type="dxa"/>
            <w:vMerge w:val="restart"/>
            <w:noWrap w:val="0"/>
            <w:vAlign w:val="center"/>
          </w:tcPr>
          <w:p>
            <w:pPr>
              <w:pStyle w:val="76"/>
              <w:ind w:left="15"/>
              <w:rPr>
                <w:rFonts w:hint="eastAsia" w:ascii="宋体" w:hAnsi="宋体" w:eastAsia="宋体" w:cs="宋体"/>
                <w:b/>
                <w:color w:val="000000" w:themeColor="text1"/>
                <w:sz w:val="24"/>
                <w:highlight w:val="none"/>
                <w14:textFill>
                  <w14:solidFill>
                    <w14:schemeClr w14:val="tx1"/>
                  </w14:solidFill>
                </w14:textFill>
              </w:rPr>
            </w:pPr>
          </w:p>
          <w:p>
            <w:pPr>
              <w:pStyle w:val="76"/>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80000 万元以下或资产总额 80000 万元以下的为中小微型企业</w:t>
            </w:r>
          </w:p>
        </w:tc>
        <w:tc>
          <w:tcPr>
            <w:tcW w:w="1215" w:type="dxa"/>
            <w:noWrap w:val="0"/>
            <w:vAlign w:val="center"/>
          </w:tcPr>
          <w:p>
            <w:pPr>
              <w:pStyle w:val="76"/>
              <w:spacing w:before="2"/>
              <w:rPr>
                <w:rFonts w:hint="eastAsia" w:ascii="宋体" w:hAnsi="宋体" w:eastAsia="宋体" w:cs="宋体"/>
                <w:b/>
                <w:color w:val="000000" w:themeColor="text1"/>
                <w:sz w:val="24"/>
                <w:highlight w:val="none"/>
                <w14:textFill>
                  <w14:solidFill>
                    <w14:schemeClr w14:val="tx1"/>
                  </w14:solidFill>
                </w14:textFill>
              </w:rPr>
            </w:pPr>
          </w:p>
          <w:p>
            <w:pPr>
              <w:pStyle w:val="76"/>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6"/>
              <w:spacing w:before="4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营业收入 </w:t>
            </w:r>
            <w:r>
              <w:rPr>
                <w:rFonts w:hint="eastAsia" w:ascii="宋体" w:hAnsi="宋体" w:eastAsia="宋体" w:cs="宋体"/>
                <w:color w:val="000000" w:themeColor="text1"/>
                <w:sz w:val="24"/>
                <w:highlight w:val="none"/>
                <w14:textFill>
                  <w14:solidFill>
                    <w14:schemeClr w14:val="tx1"/>
                  </w14:solidFill>
                </w14:textFill>
              </w:rPr>
              <w:t>6000</w:t>
            </w:r>
            <w:r>
              <w:rPr>
                <w:rFonts w:hint="eastAsia" w:ascii="宋体" w:hAnsi="宋体" w:eastAsia="宋体" w:cs="宋体"/>
                <w:color w:val="000000" w:themeColor="text1"/>
                <w:spacing w:val="-6"/>
                <w:sz w:val="24"/>
                <w:highlight w:val="none"/>
                <w14:textFill>
                  <w14:solidFill>
                    <w14:schemeClr w14:val="tx1"/>
                  </w14:solidFill>
                </w14:textFill>
              </w:rPr>
              <w:t xml:space="preserve"> 万元及以上，且资产总额 </w:t>
            </w:r>
            <w:r>
              <w:rPr>
                <w:rFonts w:hint="eastAsia" w:ascii="宋体" w:hAnsi="宋体" w:eastAsia="宋体" w:cs="宋体"/>
                <w:color w:val="000000" w:themeColor="text1"/>
                <w:sz w:val="24"/>
                <w:highlight w:val="none"/>
                <w14:textFill>
                  <w14:solidFill>
                    <w14:schemeClr w14:val="tx1"/>
                  </w14:solidFill>
                </w14:textFill>
              </w:rPr>
              <w:t>5000</w:t>
            </w:r>
            <w:r>
              <w:rPr>
                <w:rFonts w:hint="eastAsia" w:ascii="宋体" w:hAnsi="宋体" w:eastAsia="宋体" w:cs="宋体"/>
                <w:color w:val="000000" w:themeColor="text1"/>
                <w:spacing w:val="-8"/>
                <w:sz w:val="24"/>
                <w:highlight w:val="none"/>
                <w14:textFill>
                  <w14:solidFill>
                    <w14:schemeClr w14:val="tx1"/>
                  </w14:solidFill>
                </w14:textFill>
              </w:rPr>
              <w:t xml:space="preserve"> 万元及以</w:t>
            </w:r>
          </w:p>
          <w:p>
            <w:pPr>
              <w:pStyle w:val="76"/>
              <w:spacing w:before="56"/>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上的</w:t>
            </w:r>
          </w:p>
        </w:tc>
        <w:tc>
          <w:tcPr>
            <w:tcW w:w="1099" w:type="dxa"/>
            <w:vMerge w:val="restart"/>
            <w:noWrap w:val="0"/>
            <w:vAlign w:val="center"/>
          </w:tcPr>
          <w:p>
            <w:pPr>
              <w:pStyle w:val="76"/>
              <w:spacing w:before="2"/>
              <w:rPr>
                <w:rFonts w:hint="eastAsia" w:ascii="宋体" w:hAnsi="宋体" w:eastAsia="宋体" w:cs="宋体"/>
                <w:b/>
                <w:color w:val="000000" w:themeColor="text1"/>
                <w:sz w:val="24"/>
                <w:highlight w:val="none"/>
                <w14:textFill>
                  <w14:solidFill>
                    <w14:schemeClr w14:val="tx1"/>
                  </w14:solidFill>
                </w14:textFill>
              </w:rPr>
            </w:pPr>
          </w:p>
          <w:p>
            <w:pPr>
              <w:pStyle w:val="76"/>
              <w:spacing w:line="61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16"/>
              <w:rPr>
                <w:rFonts w:hint="eastAsia" w:ascii="宋体" w:hAnsi="宋体" w:eastAsia="宋体" w:cs="宋体"/>
                <w:b/>
                <w:color w:val="000000" w:themeColor="text1"/>
                <w:sz w:val="24"/>
                <w:highlight w:val="none"/>
                <w14:textFill>
                  <w14:solidFill>
                    <w14:schemeClr w14:val="tx1"/>
                  </w14:solidFill>
                </w14:textFill>
              </w:rPr>
            </w:pPr>
          </w:p>
          <w:p>
            <w:pPr>
              <w:pStyle w:val="76"/>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6"/>
              <w:spacing w:before="45"/>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 xml:space="preserve">营业收入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7"/>
                <w:sz w:val="24"/>
                <w:highlight w:val="none"/>
                <w14:textFill>
                  <w14:solidFill>
                    <w14:schemeClr w14:val="tx1"/>
                  </w14:solidFill>
                </w14:textFill>
              </w:rPr>
              <w:t xml:space="preserve"> 万元及以上，且资产总额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8"/>
                <w:sz w:val="24"/>
                <w:highlight w:val="none"/>
                <w14:textFill>
                  <w14:solidFill>
                    <w14:schemeClr w14:val="tx1"/>
                  </w14:solidFill>
                </w14:textFill>
              </w:rPr>
              <w:t xml:space="preserve"> 万元及以上</w:t>
            </w:r>
          </w:p>
          <w:p>
            <w:pPr>
              <w:pStyle w:val="76"/>
              <w:spacing w:before="55"/>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6"/>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300 万元以下或资产总额 300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pPr>
              <w:pStyle w:val="76"/>
              <w:spacing w:before="7"/>
              <w:rPr>
                <w:rFonts w:hint="eastAsia" w:ascii="宋体" w:hAnsi="宋体" w:eastAsia="宋体" w:cs="宋体"/>
                <w:b/>
                <w:color w:val="000000" w:themeColor="text1"/>
                <w:sz w:val="24"/>
                <w:highlight w:val="none"/>
                <w14:textFill>
                  <w14:solidFill>
                    <w14:schemeClr w14:val="tx1"/>
                  </w14:solidFill>
                </w14:textFill>
              </w:rPr>
            </w:pPr>
          </w:p>
          <w:p>
            <w:pPr>
              <w:pStyle w:val="76"/>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4</w:t>
            </w:r>
          </w:p>
        </w:tc>
        <w:tc>
          <w:tcPr>
            <w:tcW w:w="860" w:type="dxa"/>
            <w:vMerge w:val="restart"/>
            <w:noWrap w:val="0"/>
            <w:vAlign w:val="center"/>
          </w:tcPr>
          <w:p>
            <w:pPr>
              <w:pStyle w:val="76"/>
              <w:spacing w:before="12"/>
              <w:rPr>
                <w:rFonts w:hint="eastAsia" w:ascii="宋体" w:hAnsi="宋体" w:eastAsia="宋体" w:cs="宋体"/>
                <w:b/>
                <w:color w:val="000000" w:themeColor="text1"/>
                <w:sz w:val="24"/>
                <w:highlight w:val="none"/>
                <w14:textFill>
                  <w14:solidFill>
                    <w14:schemeClr w14:val="tx1"/>
                  </w14:solidFill>
                </w14:textFill>
              </w:rPr>
            </w:pPr>
          </w:p>
          <w:p>
            <w:pPr>
              <w:pStyle w:val="76"/>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批发业</w:t>
            </w:r>
          </w:p>
        </w:tc>
        <w:tc>
          <w:tcPr>
            <w:tcW w:w="2157" w:type="dxa"/>
            <w:vMerge w:val="restart"/>
            <w:noWrap w:val="0"/>
            <w:vAlign w:val="center"/>
          </w:tcPr>
          <w:p>
            <w:pPr>
              <w:pStyle w:val="76"/>
              <w:spacing w:before="142"/>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200 人以下或营业收入 40000 万元以下的为中小微型企业</w:t>
            </w:r>
          </w:p>
        </w:tc>
        <w:tc>
          <w:tcPr>
            <w:tcW w:w="1215" w:type="dxa"/>
            <w:noWrap w:val="0"/>
            <w:vAlign w:val="center"/>
          </w:tcPr>
          <w:p>
            <w:pPr>
              <w:pStyle w:val="76"/>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6"/>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5000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6"/>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6"/>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6"/>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5 人以下或营业收入 1000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6"/>
              <w:spacing w:before="6"/>
              <w:rPr>
                <w:rFonts w:hint="eastAsia" w:ascii="宋体" w:hAnsi="宋体" w:eastAsia="宋体" w:cs="宋体"/>
                <w:b/>
                <w:color w:val="000000" w:themeColor="text1"/>
                <w:sz w:val="24"/>
                <w:highlight w:val="none"/>
                <w14:textFill>
                  <w14:solidFill>
                    <w14:schemeClr w14:val="tx1"/>
                  </w14:solidFill>
                </w14:textFill>
              </w:rPr>
            </w:pPr>
          </w:p>
          <w:p>
            <w:pPr>
              <w:pStyle w:val="76"/>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5</w:t>
            </w:r>
          </w:p>
        </w:tc>
        <w:tc>
          <w:tcPr>
            <w:tcW w:w="860" w:type="dxa"/>
            <w:vMerge w:val="restart"/>
            <w:noWrap w:val="0"/>
            <w:vAlign w:val="center"/>
          </w:tcPr>
          <w:p>
            <w:pPr>
              <w:pStyle w:val="76"/>
              <w:spacing w:before="11"/>
              <w:rPr>
                <w:rFonts w:hint="eastAsia" w:ascii="宋体" w:hAnsi="宋体" w:eastAsia="宋体" w:cs="宋体"/>
                <w:b/>
                <w:color w:val="000000" w:themeColor="text1"/>
                <w:sz w:val="24"/>
                <w:highlight w:val="none"/>
                <w14:textFill>
                  <w14:solidFill>
                    <w14:schemeClr w14:val="tx1"/>
                  </w14:solidFill>
                </w14:textFill>
              </w:rPr>
            </w:pPr>
          </w:p>
          <w:p>
            <w:pPr>
              <w:pStyle w:val="76"/>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零售业</w:t>
            </w:r>
          </w:p>
        </w:tc>
        <w:tc>
          <w:tcPr>
            <w:tcW w:w="2157" w:type="dxa"/>
            <w:vMerge w:val="restart"/>
            <w:noWrap w:val="0"/>
            <w:vAlign w:val="center"/>
          </w:tcPr>
          <w:p>
            <w:pPr>
              <w:pStyle w:val="76"/>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300 人以下或营业收入 20000 万元以下的为中小微型企业</w:t>
            </w: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50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500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6"/>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6"/>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10 人以下或营业收入 100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6"/>
              <w:spacing w:before="7"/>
              <w:rPr>
                <w:rFonts w:hint="eastAsia" w:ascii="宋体" w:hAnsi="宋体" w:eastAsia="宋体" w:cs="宋体"/>
                <w:b/>
                <w:color w:val="000000" w:themeColor="text1"/>
                <w:sz w:val="24"/>
                <w:highlight w:val="none"/>
                <w14:textFill>
                  <w14:solidFill>
                    <w14:schemeClr w14:val="tx1"/>
                  </w14:solidFill>
                </w14:textFill>
              </w:rPr>
            </w:pPr>
          </w:p>
          <w:p>
            <w:pPr>
              <w:pStyle w:val="76"/>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6</w:t>
            </w:r>
          </w:p>
        </w:tc>
        <w:tc>
          <w:tcPr>
            <w:tcW w:w="860" w:type="dxa"/>
            <w:vMerge w:val="restart"/>
            <w:noWrap w:val="0"/>
            <w:vAlign w:val="center"/>
          </w:tcPr>
          <w:p>
            <w:pPr>
              <w:pStyle w:val="76"/>
              <w:spacing w:before="3"/>
              <w:rPr>
                <w:rFonts w:hint="eastAsia" w:ascii="宋体" w:hAnsi="宋体" w:eastAsia="宋体" w:cs="宋体"/>
                <w:b/>
                <w:color w:val="000000" w:themeColor="text1"/>
                <w:sz w:val="24"/>
                <w:highlight w:val="none"/>
                <w14:textFill>
                  <w14:solidFill>
                    <w14:schemeClr w14:val="tx1"/>
                  </w14:solidFill>
                </w14:textFill>
              </w:rPr>
            </w:pPr>
          </w:p>
          <w:p>
            <w:pPr>
              <w:pStyle w:val="76"/>
              <w:spacing w:before="1" w:line="292" w:lineRule="auto"/>
              <w:ind w:left="13" w:right="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交通运输业</w:t>
            </w:r>
          </w:p>
        </w:tc>
        <w:tc>
          <w:tcPr>
            <w:tcW w:w="2157" w:type="dxa"/>
            <w:vMerge w:val="restart"/>
            <w:noWrap w:val="0"/>
            <w:vAlign w:val="center"/>
          </w:tcPr>
          <w:p>
            <w:pPr>
              <w:pStyle w:val="76"/>
              <w:spacing w:before="142"/>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8"/>
                <w:sz w:val="24"/>
                <w:highlight w:val="none"/>
                <w14:textFill>
                  <w14:solidFill>
                    <w14:schemeClr w14:val="tx1"/>
                  </w14:solidFill>
                </w14:textFill>
              </w:rPr>
              <w:t xml:space="preserve"> 人以下或</w:t>
            </w:r>
            <w:r>
              <w:rPr>
                <w:rFonts w:hint="eastAsia" w:ascii="宋体" w:hAnsi="宋体" w:eastAsia="宋体" w:cs="宋体"/>
                <w:color w:val="000000" w:themeColor="text1"/>
                <w:sz w:val="24"/>
                <w:highlight w:val="none"/>
                <w14:textFill>
                  <w14:solidFill>
                    <w14:schemeClr w14:val="tx1"/>
                  </w14:solidFill>
                </w14:textFill>
              </w:rPr>
              <w:t>营业收入 30000 万元以下的为中小微型企业</w:t>
            </w:r>
          </w:p>
        </w:tc>
        <w:tc>
          <w:tcPr>
            <w:tcW w:w="1215" w:type="dxa"/>
            <w:noWrap w:val="0"/>
            <w:vAlign w:val="center"/>
          </w:tcPr>
          <w:p>
            <w:pPr>
              <w:pStyle w:val="76"/>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6"/>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3000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6"/>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6"/>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6"/>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200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pPr>
              <w:pStyle w:val="76"/>
              <w:spacing w:before="6"/>
              <w:rPr>
                <w:rFonts w:hint="eastAsia" w:ascii="宋体" w:hAnsi="宋体" w:eastAsia="宋体" w:cs="宋体"/>
                <w:b/>
                <w:color w:val="000000" w:themeColor="text1"/>
                <w:sz w:val="24"/>
                <w:highlight w:val="none"/>
                <w14:textFill>
                  <w14:solidFill>
                    <w14:schemeClr w14:val="tx1"/>
                  </w14:solidFill>
                </w14:textFill>
              </w:rPr>
            </w:pPr>
          </w:p>
          <w:p>
            <w:pPr>
              <w:pStyle w:val="76"/>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7</w:t>
            </w:r>
          </w:p>
        </w:tc>
        <w:tc>
          <w:tcPr>
            <w:tcW w:w="860" w:type="dxa"/>
            <w:vMerge w:val="restart"/>
            <w:noWrap w:val="0"/>
            <w:vAlign w:val="center"/>
          </w:tcPr>
          <w:p>
            <w:pPr>
              <w:pStyle w:val="76"/>
              <w:spacing w:before="11"/>
              <w:rPr>
                <w:rFonts w:hint="eastAsia" w:ascii="宋体" w:hAnsi="宋体" w:eastAsia="宋体" w:cs="宋体"/>
                <w:b/>
                <w:color w:val="000000" w:themeColor="text1"/>
                <w:sz w:val="24"/>
                <w:highlight w:val="none"/>
                <w14:textFill>
                  <w14:solidFill>
                    <w14:schemeClr w14:val="tx1"/>
                  </w14:solidFill>
                </w14:textFill>
              </w:rPr>
            </w:pPr>
          </w:p>
          <w:p>
            <w:pPr>
              <w:pStyle w:val="76"/>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仓储业</w:t>
            </w:r>
          </w:p>
        </w:tc>
        <w:tc>
          <w:tcPr>
            <w:tcW w:w="2157" w:type="dxa"/>
            <w:vMerge w:val="restart"/>
            <w:noWrap w:val="0"/>
            <w:vAlign w:val="center"/>
          </w:tcPr>
          <w:p>
            <w:pPr>
              <w:pStyle w:val="76"/>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200 人以下或营业收入 30000 万元以下的为中小微型企业</w:t>
            </w: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6"/>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6"/>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100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6"/>
              <w:spacing w:before="7"/>
              <w:rPr>
                <w:rFonts w:hint="eastAsia" w:ascii="宋体" w:hAnsi="宋体" w:eastAsia="宋体" w:cs="宋体"/>
                <w:b/>
                <w:color w:val="000000" w:themeColor="text1"/>
                <w:sz w:val="24"/>
                <w:highlight w:val="none"/>
                <w14:textFill>
                  <w14:solidFill>
                    <w14:schemeClr w14:val="tx1"/>
                  </w14:solidFill>
                </w14:textFill>
              </w:rPr>
            </w:pPr>
          </w:p>
          <w:p>
            <w:pPr>
              <w:pStyle w:val="76"/>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8</w:t>
            </w:r>
          </w:p>
        </w:tc>
        <w:tc>
          <w:tcPr>
            <w:tcW w:w="860" w:type="dxa"/>
            <w:vMerge w:val="restart"/>
            <w:noWrap w:val="0"/>
            <w:vAlign w:val="center"/>
          </w:tcPr>
          <w:p>
            <w:pPr>
              <w:pStyle w:val="76"/>
              <w:spacing w:before="12"/>
              <w:rPr>
                <w:rFonts w:hint="eastAsia" w:ascii="宋体" w:hAnsi="宋体" w:eastAsia="宋体" w:cs="宋体"/>
                <w:b/>
                <w:color w:val="000000" w:themeColor="text1"/>
                <w:sz w:val="24"/>
                <w:highlight w:val="none"/>
                <w14:textFill>
                  <w14:solidFill>
                    <w14:schemeClr w14:val="tx1"/>
                  </w14:solidFill>
                </w14:textFill>
              </w:rPr>
            </w:pPr>
          </w:p>
          <w:p>
            <w:pPr>
              <w:pStyle w:val="76"/>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邮政业</w:t>
            </w:r>
          </w:p>
        </w:tc>
        <w:tc>
          <w:tcPr>
            <w:tcW w:w="2157" w:type="dxa"/>
            <w:vMerge w:val="restart"/>
            <w:noWrap w:val="0"/>
            <w:vAlign w:val="center"/>
          </w:tcPr>
          <w:p>
            <w:pPr>
              <w:pStyle w:val="76"/>
              <w:spacing w:before="143"/>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8"/>
                <w:sz w:val="24"/>
                <w:highlight w:val="none"/>
                <w14:textFill>
                  <w14:solidFill>
                    <w14:schemeClr w14:val="tx1"/>
                  </w14:solidFill>
                </w14:textFill>
              </w:rPr>
              <w:t xml:space="preserve"> 人以下或</w:t>
            </w:r>
            <w:r>
              <w:rPr>
                <w:rFonts w:hint="eastAsia" w:ascii="宋体" w:hAnsi="宋体" w:eastAsia="宋体" w:cs="宋体"/>
                <w:color w:val="000000" w:themeColor="text1"/>
                <w:sz w:val="24"/>
                <w:highlight w:val="none"/>
                <w14:textFill>
                  <w14:solidFill>
                    <w14:schemeClr w14:val="tx1"/>
                  </w14:solidFill>
                </w14:textFill>
              </w:rPr>
              <w:t>营业收入 30000 万元以下的为中小微型企业</w:t>
            </w:r>
          </w:p>
        </w:tc>
        <w:tc>
          <w:tcPr>
            <w:tcW w:w="1215" w:type="dxa"/>
            <w:noWrap w:val="0"/>
            <w:vAlign w:val="center"/>
          </w:tcPr>
          <w:p>
            <w:pPr>
              <w:pStyle w:val="76"/>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6"/>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6"/>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6"/>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6"/>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100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6"/>
              <w:spacing w:before="6"/>
              <w:rPr>
                <w:rFonts w:hint="eastAsia" w:ascii="宋体" w:hAnsi="宋体" w:eastAsia="宋体" w:cs="宋体"/>
                <w:b/>
                <w:color w:val="000000" w:themeColor="text1"/>
                <w:sz w:val="24"/>
                <w:highlight w:val="none"/>
                <w14:textFill>
                  <w14:solidFill>
                    <w14:schemeClr w14:val="tx1"/>
                  </w14:solidFill>
                </w14:textFill>
              </w:rPr>
            </w:pPr>
          </w:p>
          <w:p>
            <w:pPr>
              <w:pStyle w:val="76"/>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9</w:t>
            </w:r>
          </w:p>
        </w:tc>
        <w:tc>
          <w:tcPr>
            <w:tcW w:w="860" w:type="dxa"/>
            <w:vMerge w:val="restart"/>
            <w:noWrap w:val="0"/>
            <w:vAlign w:val="center"/>
          </w:tcPr>
          <w:p>
            <w:pPr>
              <w:pStyle w:val="76"/>
              <w:spacing w:before="11"/>
              <w:rPr>
                <w:rFonts w:hint="eastAsia" w:ascii="宋体" w:hAnsi="宋体" w:eastAsia="宋体" w:cs="宋体"/>
                <w:b/>
                <w:color w:val="000000" w:themeColor="text1"/>
                <w:sz w:val="24"/>
                <w:highlight w:val="none"/>
                <w14:textFill>
                  <w14:solidFill>
                    <w14:schemeClr w14:val="tx1"/>
                  </w14:solidFill>
                </w14:textFill>
              </w:rPr>
            </w:pPr>
          </w:p>
          <w:p>
            <w:pPr>
              <w:pStyle w:val="76"/>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住宿业</w:t>
            </w:r>
          </w:p>
        </w:tc>
        <w:tc>
          <w:tcPr>
            <w:tcW w:w="2157" w:type="dxa"/>
            <w:vMerge w:val="restart"/>
            <w:noWrap w:val="0"/>
            <w:vAlign w:val="center"/>
          </w:tcPr>
          <w:p>
            <w:pPr>
              <w:pStyle w:val="76"/>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300 人以下或营业收入 10000 万元以下的为中小微型企业</w:t>
            </w: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6"/>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6"/>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10 人以下或营业收入 100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pPr>
              <w:pStyle w:val="76"/>
              <w:spacing w:before="7"/>
              <w:rPr>
                <w:rFonts w:hint="eastAsia" w:ascii="宋体" w:hAnsi="宋体" w:eastAsia="宋体" w:cs="宋体"/>
                <w:b/>
                <w:color w:val="000000" w:themeColor="text1"/>
                <w:sz w:val="24"/>
                <w:highlight w:val="none"/>
                <w14:textFill>
                  <w14:solidFill>
                    <w14:schemeClr w14:val="tx1"/>
                  </w14:solidFill>
                </w14:textFill>
              </w:rPr>
            </w:pPr>
          </w:p>
          <w:p>
            <w:pPr>
              <w:pStyle w:val="7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860" w:type="dxa"/>
            <w:vMerge w:val="restart"/>
            <w:noWrap w:val="0"/>
            <w:vAlign w:val="center"/>
          </w:tcPr>
          <w:p>
            <w:pPr>
              <w:pStyle w:val="76"/>
              <w:spacing w:before="12"/>
              <w:rPr>
                <w:rFonts w:hint="eastAsia" w:ascii="宋体" w:hAnsi="宋体" w:eastAsia="宋体" w:cs="宋体"/>
                <w:b/>
                <w:color w:val="000000" w:themeColor="text1"/>
                <w:sz w:val="24"/>
                <w:highlight w:val="none"/>
                <w14:textFill>
                  <w14:solidFill>
                    <w14:schemeClr w14:val="tx1"/>
                  </w14:solidFill>
                </w14:textFill>
              </w:rPr>
            </w:pPr>
          </w:p>
          <w:p>
            <w:pPr>
              <w:pStyle w:val="76"/>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餐饮业</w:t>
            </w:r>
          </w:p>
        </w:tc>
        <w:tc>
          <w:tcPr>
            <w:tcW w:w="2157" w:type="dxa"/>
            <w:vMerge w:val="restart"/>
            <w:noWrap w:val="0"/>
            <w:vAlign w:val="center"/>
          </w:tcPr>
          <w:p>
            <w:pPr>
              <w:pStyle w:val="76"/>
              <w:spacing w:before="142"/>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300 人以下或营业收入 10000 万元以下的为中小微型企业</w:t>
            </w:r>
          </w:p>
        </w:tc>
        <w:tc>
          <w:tcPr>
            <w:tcW w:w="1215" w:type="dxa"/>
            <w:noWrap w:val="0"/>
            <w:vAlign w:val="center"/>
          </w:tcPr>
          <w:p>
            <w:pPr>
              <w:pStyle w:val="76"/>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6"/>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6"/>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6"/>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6"/>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6"/>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10 人以下或营业收入 100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6"/>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860" w:type="dxa"/>
            <w:vMerge w:val="restart"/>
            <w:noWrap w:val="0"/>
            <w:vAlign w:val="center"/>
          </w:tcPr>
          <w:p>
            <w:pPr>
              <w:pStyle w:val="76"/>
              <w:spacing w:before="67"/>
              <w:ind w:left="7" w:right="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信息传输</w:t>
            </w:r>
          </w:p>
        </w:tc>
        <w:tc>
          <w:tcPr>
            <w:tcW w:w="2157" w:type="dxa"/>
            <w:vMerge w:val="restart"/>
            <w:noWrap w:val="0"/>
            <w:vAlign w:val="center"/>
          </w:tcPr>
          <w:p>
            <w:pPr>
              <w:pStyle w:val="76"/>
              <w:spacing w:before="67"/>
              <w:ind w:left="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从业人员2000人以下或营业收入100000万元以下的为中小微型企业。</w:t>
            </w: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6"/>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6"/>
              <w:spacing w:before="67"/>
              <w:ind w:left="7" w:right="2"/>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pStyle w:val="76"/>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pPr>
              <w:pStyle w:val="76"/>
              <w:spacing w:before="67"/>
              <w:ind w:left="15"/>
              <w:rPr>
                <w:rFonts w:hint="eastAsia" w:ascii="宋体" w:hAnsi="宋体" w:eastAsia="宋体" w:cs="宋体"/>
                <w:color w:val="000000" w:themeColor="text1"/>
                <w:spacing w:val="-1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从业人员10人及以上，且营业收入100万元及以上的</w:t>
            </w:r>
          </w:p>
        </w:tc>
        <w:tc>
          <w:tcPr>
            <w:tcW w:w="1099" w:type="dxa"/>
            <w:vMerge w:val="continue"/>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6"/>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6"/>
              <w:spacing w:before="67"/>
              <w:ind w:left="7" w:right="2"/>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pStyle w:val="76"/>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pPr>
              <w:pStyle w:val="76"/>
              <w:spacing w:before="67"/>
              <w:ind w:left="15"/>
              <w:rPr>
                <w:rFonts w:hint="eastAsia" w:ascii="宋体" w:hAnsi="宋体" w:eastAsia="宋体" w:cs="宋体"/>
                <w:color w:val="000000" w:themeColor="text1"/>
                <w:spacing w:val="-1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从业人员10人以下或营业收入100万元以下的为</w:t>
            </w:r>
          </w:p>
        </w:tc>
        <w:tc>
          <w:tcPr>
            <w:tcW w:w="1099" w:type="dxa"/>
            <w:vMerge w:val="continue"/>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6"/>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860" w:type="dxa"/>
            <w:vMerge w:val="restart"/>
            <w:noWrap w:val="0"/>
            <w:vAlign w:val="center"/>
          </w:tcPr>
          <w:p>
            <w:pPr>
              <w:pStyle w:val="76"/>
              <w:spacing w:before="67"/>
              <w:ind w:left="7" w:right="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软件和信息技术服务业</w:t>
            </w:r>
          </w:p>
        </w:tc>
        <w:tc>
          <w:tcPr>
            <w:tcW w:w="2157" w:type="dxa"/>
            <w:vMerge w:val="restart"/>
            <w:noWrap w:val="0"/>
            <w:vAlign w:val="center"/>
          </w:tcPr>
          <w:p>
            <w:pPr>
              <w:pStyle w:val="76"/>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从业人员300人以下或营业收入10000万元以下的为中小微型企业</w:t>
            </w: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pPr>
              <w:pStyle w:val="76"/>
              <w:spacing w:before="67"/>
              <w:ind w:left="15"/>
              <w:rPr>
                <w:rFonts w:hint="eastAsia" w:ascii="宋体" w:hAnsi="宋体" w:eastAsia="宋体" w:cs="宋体"/>
                <w:color w:val="000000" w:themeColor="text1"/>
                <w:spacing w:val="-1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从业人员100人及以上，且营业收入1000万元及以上的</w:t>
            </w:r>
          </w:p>
        </w:tc>
        <w:tc>
          <w:tcPr>
            <w:tcW w:w="1099" w:type="dxa"/>
            <w:vMerge w:val="restart"/>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6"/>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6"/>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6"/>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从业人员10人及以上，且营业收入50万元及以上的</w:t>
            </w:r>
          </w:p>
        </w:tc>
        <w:tc>
          <w:tcPr>
            <w:tcW w:w="1099" w:type="dxa"/>
            <w:vMerge w:val="continue"/>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6"/>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6"/>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6"/>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从业人员10人以下或营业收入50万元以下的</w:t>
            </w:r>
          </w:p>
        </w:tc>
        <w:tc>
          <w:tcPr>
            <w:tcW w:w="1099" w:type="dxa"/>
            <w:vMerge w:val="continue"/>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6"/>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860" w:type="dxa"/>
            <w:vMerge w:val="restart"/>
            <w:noWrap w:val="0"/>
            <w:vAlign w:val="center"/>
          </w:tcPr>
          <w:p>
            <w:pPr>
              <w:pStyle w:val="76"/>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房地产开发经营</w:t>
            </w:r>
          </w:p>
        </w:tc>
        <w:tc>
          <w:tcPr>
            <w:tcW w:w="2157" w:type="dxa"/>
            <w:vMerge w:val="restart"/>
            <w:noWrap w:val="0"/>
            <w:vAlign w:val="center"/>
          </w:tcPr>
          <w:p>
            <w:pPr>
              <w:pStyle w:val="76"/>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营业收入200000万元以下或资产总额10000万元以下的为中小微型企业</w:t>
            </w: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营业收入1000万元及以上，且资产总额5000万元及以上的</w:t>
            </w:r>
          </w:p>
        </w:tc>
        <w:tc>
          <w:tcPr>
            <w:tcW w:w="1099" w:type="dxa"/>
            <w:vMerge w:val="restart"/>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6"/>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6"/>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6"/>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营业收入100万元及以上，且资产总额2000万元及以上的</w:t>
            </w:r>
          </w:p>
        </w:tc>
        <w:tc>
          <w:tcPr>
            <w:tcW w:w="1099" w:type="dxa"/>
            <w:vMerge w:val="continue"/>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6"/>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6"/>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6"/>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营业收入100万元以下或资产总额2000万元以下的</w:t>
            </w:r>
          </w:p>
        </w:tc>
        <w:tc>
          <w:tcPr>
            <w:tcW w:w="1099" w:type="dxa"/>
            <w:vMerge w:val="continue"/>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6"/>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p>
        </w:tc>
        <w:tc>
          <w:tcPr>
            <w:tcW w:w="860" w:type="dxa"/>
            <w:vMerge w:val="restart"/>
            <w:noWrap w:val="0"/>
            <w:vAlign w:val="center"/>
          </w:tcPr>
          <w:p>
            <w:pPr>
              <w:pStyle w:val="76"/>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物业管理</w:t>
            </w:r>
          </w:p>
        </w:tc>
        <w:tc>
          <w:tcPr>
            <w:tcW w:w="2157" w:type="dxa"/>
            <w:vMerge w:val="restart"/>
            <w:noWrap w:val="0"/>
            <w:vAlign w:val="center"/>
          </w:tcPr>
          <w:p>
            <w:pPr>
              <w:pStyle w:val="76"/>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从业人员1000人以下或营业收入5000万元以下的为中小微型企业</w:t>
            </w: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从业人员300人及以上，且营业收入1000万元及以上的</w:t>
            </w:r>
          </w:p>
        </w:tc>
        <w:tc>
          <w:tcPr>
            <w:tcW w:w="1099" w:type="dxa"/>
            <w:vMerge w:val="restart"/>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6"/>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6"/>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6"/>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从业人员100人及以上，且营业收入500万元及以上的</w:t>
            </w:r>
          </w:p>
        </w:tc>
        <w:tc>
          <w:tcPr>
            <w:tcW w:w="1099" w:type="dxa"/>
            <w:vMerge w:val="continue"/>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6"/>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6"/>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6"/>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从业人员100人以下或营业收入500万元以下的为</w:t>
            </w:r>
          </w:p>
        </w:tc>
        <w:tc>
          <w:tcPr>
            <w:tcW w:w="1099" w:type="dxa"/>
            <w:vMerge w:val="continue"/>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6"/>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w:t>
            </w:r>
          </w:p>
        </w:tc>
        <w:tc>
          <w:tcPr>
            <w:tcW w:w="860" w:type="dxa"/>
            <w:vMerge w:val="restart"/>
            <w:noWrap w:val="0"/>
            <w:vAlign w:val="center"/>
          </w:tcPr>
          <w:p>
            <w:pPr>
              <w:pStyle w:val="76"/>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租赁和商务服务业</w:t>
            </w:r>
          </w:p>
        </w:tc>
        <w:tc>
          <w:tcPr>
            <w:tcW w:w="2157" w:type="dxa"/>
            <w:vMerge w:val="restart"/>
            <w:noWrap w:val="0"/>
            <w:vAlign w:val="center"/>
          </w:tcPr>
          <w:p>
            <w:pPr>
              <w:pStyle w:val="76"/>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从业人员300人以下或资产总额120000万元以下的为中小微型企业</w:t>
            </w: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从业人员100人及以上，且资产总额8000万元及以上的</w:t>
            </w:r>
          </w:p>
        </w:tc>
        <w:tc>
          <w:tcPr>
            <w:tcW w:w="1099" w:type="dxa"/>
            <w:vMerge w:val="restart"/>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6"/>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6"/>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6"/>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从业人员10人及以上，且资产总额100万元及以上的</w:t>
            </w:r>
          </w:p>
        </w:tc>
        <w:tc>
          <w:tcPr>
            <w:tcW w:w="1099" w:type="dxa"/>
            <w:vMerge w:val="continue"/>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6"/>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6"/>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6"/>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从业人员10人以下或资产总额100万元以下的</w:t>
            </w:r>
          </w:p>
        </w:tc>
        <w:tc>
          <w:tcPr>
            <w:tcW w:w="1099" w:type="dxa"/>
            <w:vMerge w:val="continue"/>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6"/>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w:t>
            </w:r>
          </w:p>
        </w:tc>
        <w:tc>
          <w:tcPr>
            <w:tcW w:w="860" w:type="dxa"/>
            <w:vMerge w:val="restart"/>
            <w:noWrap w:val="0"/>
            <w:vAlign w:val="center"/>
          </w:tcPr>
          <w:p>
            <w:pPr>
              <w:pStyle w:val="76"/>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其他未列明行业</w:t>
            </w:r>
          </w:p>
        </w:tc>
        <w:tc>
          <w:tcPr>
            <w:tcW w:w="2157" w:type="dxa"/>
            <w:vMerge w:val="restart"/>
            <w:noWrap w:val="0"/>
            <w:vAlign w:val="center"/>
          </w:tcPr>
          <w:p>
            <w:pPr>
              <w:pStyle w:val="76"/>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从业人员300人以下的为中小微型企业。</w:t>
            </w: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从业人员100人及以上的</w:t>
            </w:r>
          </w:p>
        </w:tc>
        <w:tc>
          <w:tcPr>
            <w:tcW w:w="1099" w:type="dxa"/>
            <w:vMerge w:val="restart"/>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6"/>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6"/>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6"/>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从业人员10人及以上的</w:t>
            </w:r>
          </w:p>
        </w:tc>
        <w:tc>
          <w:tcPr>
            <w:tcW w:w="1099" w:type="dxa"/>
            <w:vMerge w:val="continue"/>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6"/>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6"/>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6"/>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6"/>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pPr>
              <w:pStyle w:val="76"/>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从业人员10人以下的</w:t>
            </w:r>
          </w:p>
        </w:tc>
        <w:tc>
          <w:tcPr>
            <w:tcW w:w="1099" w:type="dxa"/>
            <w:vMerge w:val="continue"/>
            <w:noWrap w:val="0"/>
            <w:vAlign w:val="center"/>
          </w:tcPr>
          <w:p>
            <w:pPr>
              <w:pStyle w:val="76"/>
              <w:spacing w:before="67"/>
              <w:ind w:left="15"/>
              <w:rPr>
                <w:rFonts w:hint="eastAsia" w:ascii="宋体" w:hAnsi="宋体" w:eastAsia="宋体" w:cs="宋体"/>
                <w:color w:val="000000" w:themeColor="text1"/>
                <w:sz w:val="24"/>
                <w:highlight w:val="none"/>
                <w14:textFill>
                  <w14:solidFill>
                    <w14:schemeClr w14:val="tx1"/>
                  </w14:solidFill>
                </w14:textFill>
              </w:rPr>
            </w:pPr>
          </w:p>
        </w:tc>
      </w:tr>
    </w:tbl>
    <w:p>
      <w:pPr>
        <w:pStyle w:val="16"/>
        <w:ind w:firstLine="210"/>
        <w:rPr>
          <w:rFonts w:hint="eastAsia" w:ascii="宋体" w:hAnsi="宋体" w:eastAsia="宋体" w:cs="宋体"/>
          <w:color w:val="000000" w:themeColor="text1"/>
          <w:highlight w:val="none"/>
          <w:lang w:val="en-GB"/>
          <w14:textFill>
            <w14:solidFill>
              <w14:schemeClr w14:val="tx1"/>
            </w14:solidFill>
          </w14:textFill>
        </w:rPr>
      </w:pPr>
    </w:p>
    <w:p>
      <w:pPr>
        <w:rPr>
          <w:rFonts w:hint="eastAsia" w:ascii="宋体" w:hAnsi="宋体" w:eastAsia="宋体" w:cs="宋体"/>
          <w:color w:val="000000" w:themeColor="text1"/>
          <w:highlight w:val="none"/>
          <w:lang w:val="en-GB"/>
          <w14:textFill>
            <w14:solidFill>
              <w14:schemeClr w14:val="tx1"/>
            </w14:solidFill>
          </w14:textFill>
        </w:rPr>
      </w:pPr>
    </w:p>
    <w:p>
      <w:pPr>
        <w:pStyle w:val="15"/>
        <w:rPr>
          <w:rFonts w:hint="eastAsia" w:ascii="宋体" w:hAnsi="宋体" w:eastAsia="宋体" w:cs="宋体"/>
          <w:color w:val="000000" w:themeColor="text1"/>
          <w:highlight w:val="none"/>
          <w:lang w:val="en-GB"/>
          <w14:textFill>
            <w14:solidFill>
              <w14:schemeClr w14:val="tx1"/>
            </w14:solidFill>
          </w14:textFill>
        </w:rPr>
      </w:pPr>
      <w:r>
        <w:rPr>
          <w:rFonts w:hint="eastAsia" w:ascii="宋体" w:hAnsi="宋体" w:eastAsia="宋体" w:cs="宋体"/>
          <w:color w:val="000000" w:themeColor="text1"/>
          <w:highlight w:val="none"/>
          <w:lang w:val="en-GB"/>
          <w14:textFill>
            <w14:solidFill>
              <w14:schemeClr w14:val="tx1"/>
            </w14:solidFill>
          </w14:textFill>
        </w:rPr>
        <w:t>该附件可供投标人参考。</w:t>
      </w:r>
    </w:p>
    <w:p>
      <w:pPr>
        <w:pStyle w:val="16"/>
        <w:ind w:firstLine="210"/>
        <w:rPr>
          <w:rFonts w:hint="eastAsia" w:ascii="宋体" w:hAnsi="宋体" w:eastAsia="宋体" w:cs="宋体"/>
          <w:color w:val="000000" w:themeColor="text1"/>
          <w:highlight w:val="none"/>
          <w:lang w:val="en-GB"/>
          <w14:textFill>
            <w14:solidFill>
              <w14:schemeClr w14:val="tx1"/>
            </w14:solidFill>
          </w14:textFill>
        </w:rPr>
      </w:pPr>
    </w:p>
    <w:p>
      <w:pPr>
        <w:rPr>
          <w:rFonts w:hint="eastAsia" w:ascii="宋体" w:hAnsi="宋体" w:eastAsia="宋体" w:cs="宋体"/>
          <w:color w:val="000000" w:themeColor="text1"/>
          <w:highlight w:val="none"/>
          <w:lang w:val="en-GB"/>
          <w14:textFill>
            <w14:solidFill>
              <w14:schemeClr w14:val="tx1"/>
            </w14:solidFill>
          </w14:textFill>
        </w:rPr>
      </w:pPr>
    </w:p>
    <w:p>
      <w:pPr>
        <w:pStyle w:val="16"/>
        <w:ind w:firstLine="210"/>
        <w:rPr>
          <w:rFonts w:hint="eastAsia" w:ascii="宋体" w:hAnsi="宋体" w:eastAsia="宋体" w:cs="宋体"/>
          <w:color w:val="000000" w:themeColor="text1"/>
          <w:highlight w:val="none"/>
          <w:lang w:val="en-GB"/>
          <w14:textFill>
            <w14:solidFill>
              <w14:schemeClr w14:val="tx1"/>
            </w14:solidFill>
          </w14:textFill>
        </w:rPr>
      </w:pPr>
    </w:p>
    <w:p>
      <w:pPr>
        <w:rPr>
          <w:rFonts w:hint="eastAsia" w:ascii="宋体" w:hAnsi="宋体" w:eastAsia="宋体" w:cs="宋体"/>
          <w:color w:val="000000" w:themeColor="text1"/>
          <w:highlight w:val="none"/>
          <w:lang w:val="en-GB"/>
          <w14:textFill>
            <w14:solidFill>
              <w14:schemeClr w14:val="tx1"/>
            </w14:solidFill>
          </w14:textFill>
        </w:rPr>
      </w:pPr>
    </w:p>
    <w:p>
      <w:pPr>
        <w:pStyle w:val="15"/>
        <w:rPr>
          <w:rFonts w:hint="eastAsia" w:ascii="宋体" w:hAnsi="宋体" w:eastAsia="宋体" w:cs="宋体"/>
          <w:color w:val="000000" w:themeColor="text1"/>
          <w:highlight w:val="none"/>
          <w:lang w:val="en-GB"/>
          <w14:textFill>
            <w14:solidFill>
              <w14:schemeClr w14:val="tx1"/>
            </w14:solidFill>
          </w14:textFill>
        </w:rPr>
      </w:pPr>
    </w:p>
    <w:p>
      <w:pPr>
        <w:pStyle w:val="25"/>
        <w:rPr>
          <w:rFonts w:hint="eastAsia"/>
          <w:color w:val="000000" w:themeColor="text1"/>
          <w:highlight w:val="none"/>
          <w:lang w:val="en-GB"/>
          <w14:textFill>
            <w14:solidFill>
              <w14:schemeClr w14:val="tx1"/>
            </w14:solidFill>
          </w14:textFill>
        </w:rPr>
      </w:pPr>
    </w:p>
    <w:p>
      <w:pPr>
        <w:pStyle w:val="16"/>
        <w:ind w:firstLine="210"/>
        <w:rPr>
          <w:rFonts w:hint="eastAsia" w:ascii="宋体" w:hAnsi="宋体" w:eastAsia="宋体" w:cs="宋体"/>
          <w:color w:val="000000" w:themeColor="text1"/>
          <w:highlight w:val="none"/>
          <w:lang w:val="en-GB"/>
          <w14:textFill>
            <w14:solidFill>
              <w14:schemeClr w14:val="tx1"/>
            </w14:solidFill>
          </w14:textFill>
        </w:rPr>
      </w:pPr>
    </w:p>
    <w:p>
      <w:pPr>
        <w:rPr>
          <w:rFonts w:hint="eastAsia" w:ascii="宋体" w:hAnsi="宋体" w:eastAsia="宋体" w:cs="宋体"/>
          <w:color w:val="000000" w:themeColor="text1"/>
          <w:highlight w:val="none"/>
          <w:lang w:val="en-GB"/>
          <w14:textFill>
            <w14:solidFill>
              <w14:schemeClr w14:val="tx1"/>
            </w14:solidFill>
          </w14:textFill>
        </w:rPr>
      </w:pPr>
    </w:p>
    <w:p>
      <w:pPr>
        <w:pStyle w:val="15"/>
        <w:rPr>
          <w:rFonts w:hint="eastAsia" w:ascii="宋体" w:hAnsi="宋体" w:eastAsia="宋体" w:cs="宋体"/>
          <w:color w:val="000000" w:themeColor="text1"/>
          <w:highlight w:val="none"/>
          <w:lang w:val="en-GB"/>
          <w14:textFill>
            <w14:solidFill>
              <w14:schemeClr w14:val="tx1"/>
            </w14:solidFill>
          </w14:textFill>
        </w:rPr>
      </w:pPr>
    </w:p>
    <w:p>
      <w:pPr>
        <w:pStyle w:val="16"/>
        <w:ind w:firstLine="210"/>
        <w:rPr>
          <w:rFonts w:hint="eastAsia" w:ascii="宋体" w:hAnsi="宋体" w:eastAsia="宋体" w:cs="宋体"/>
          <w:color w:val="000000" w:themeColor="text1"/>
          <w:highlight w:val="none"/>
          <w:lang w:val="en-GB"/>
          <w14:textFill>
            <w14:solidFill>
              <w14:schemeClr w14:val="tx1"/>
            </w14:solidFill>
          </w14:textFill>
        </w:rPr>
      </w:pPr>
    </w:p>
    <w:p>
      <w:pPr>
        <w:rPr>
          <w:rFonts w:hint="eastAsia" w:ascii="宋体" w:hAnsi="宋体" w:eastAsia="宋体" w:cs="宋体"/>
          <w:color w:val="000000" w:themeColor="text1"/>
          <w:highlight w:val="none"/>
          <w:lang w:val="en-GB"/>
          <w14:textFill>
            <w14:solidFill>
              <w14:schemeClr w14:val="tx1"/>
            </w14:solidFill>
          </w14:textFill>
        </w:rPr>
      </w:pPr>
    </w:p>
    <w:p>
      <w:pPr>
        <w:pStyle w:val="19"/>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r>
        <w:rPr>
          <w:rFonts w:hint="eastAsia" w:ascii="宋体" w:hAnsi="宋体" w:eastAsia="宋体" w:cs="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 xml:space="preserve">       日  期：</w:t>
      </w:r>
    </w:p>
    <w:p>
      <w:pPr>
        <w:pStyle w:val="79"/>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9"/>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9"/>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9"/>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9"/>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9"/>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9"/>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9"/>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9"/>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9"/>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9"/>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9"/>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9"/>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9"/>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rPr>
      <w:t>玉环市政府采购竞争性磋商文件</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5468B"/>
    <w:multiLevelType w:val="singleLevel"/>
    <w:tmpl w:val="A025468B"/>
    <w:lvl w:ilvl="0" w:tentative="0">
      <w:start w:val="5"/>
      <w:numFmt w:val="decimal"/>
      <w:suff w:val="nothing"/>
      <w:lvlText w:val="%1、"/>
      <w:lvlJc w:val="left"/>
    </w:lvl>
  </w:abstractNum>
  <w:abstractNum w:abstractNumId="1">
    <w:nsid w:val="F0EADC9C"/>
    <w:multiLevelType w:val="singleLevel"/>
    <w:tmpl w:val="F0EADC9C"/>
    <w:lvl w:ilvl="0" w:tentative="0">
      <w:start w:val="1"/>
      <w:numFmt w:val="decimal"/>
      <w:suff w:val="space"/>
      <w:lvlText w:val="%1、"/>
      <w:lvlJc w:val="left"/>
    </w:lvl>
  </w:abstractNum>
  <w:abstractNum w:abstractNumId="2">
    <w:nsid w:val="F1391CFB"/>
    <w:multiLevelType w:val="singleLevel"/>
    <w:tmpl w:val="F1391CFB"/>
    <w:lvl w:ilvl="0" w:tentative="0">
      <w:start w:val="1"/>
      <w:numFmt w:val="decimal"/>
      <w:pStyle w:val="86"/>
      <w:lvlText w:val="%1."/>
      <w:lvlJc w:val="left"/>
      <w:pPr>
        <w:ind w:left="425" w:hanging="425"/>
      </w:pPr>
      <w:rPr>
        <w:rFonts w:hint="default"/>
      </w:rPr>
    </w:lvl>
  </w:abstractNum>
  <w:abstractNum w:abstractNumId="3">
    <w:nsid w:val="00000008"/>
    <w:multiLevelType w:val="multilevel"/>
    <w:tmpl w:val="00000008"/>
    <w:lvl w:ilvl="0" w:tentative="0">
      <w:start w:val="1"/>
      <w:numFmt w:val="decimal"/>
      <w:suff w:val="nothing"/>
      <w:lvlText w:val="%1、"/>
      <w:lvlJc w:val="left"/>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A"/>
    <w:multiLevelType w:val="singleLevel"/>
    <w:tmpl w:val="0000000A"/>
    <w:lvl w:ilvl="0" w:tentative="0">
      <w:start w:val="1"/>
      <w:numFmt w:val="japaneseCounting"/>
      <w:pStyle w:val="9"/>
      <w:lvlText w:val="%1、"/>
      <w:lvlJc w:val="left"/>
      <w:pPr>
        <w:tabs>
          <w:tab w:val="left" w:pos="960"/>
        </w:tabs>
        <w:ind w:left="960" w:hanging="600"/>
      </w:pPr>
      <w:rPr>
        <w:rFonts w:hint="eastAsia"/>
        <w:lang w:val="en-US"/>
      </w:rPr>
    </w:lvl>
  </w:abstractNum>
  <w:abstractNum w:abstractNumId="5">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6">
    <w:nsid w:val="11DA1479"/>
    <w:multiLevelType w:val="singleLevel"/>
    <w:tmpl w:val="11DA1479"/>
    <w:lvl w:ilvl="0" w:tentative="0">
      <w:start w:val="1"/>
      <w:numFmt w:val="decimal"/>
      <w:suff w:val="nothing"/>
      <w:lvlText w:val="（%1）"/>
      <w:lvlJc w:val="left"/>
    </w:lvl>
  </w:abstractNum>
  <w:abstractNum w:abstractNumId="7">
    <w:nsid w:val="3380FA00"/>
    <w:multiLevelType w:val="singleLevel"/>
    <w:tmpl w:val="3380FA00"/>
    <w:lvl w:ilvl="0" w:tentative="0">
      <w:start w:val="1"/>
      <w:numFmt w:val="decimal"/>
      <w:suff w:val="nothing"/>
      <w:lvlText w:val="%1）"/>
      <w:lvlJc w:val="left"/>
    </w:lvl>
  </w:abstractNum>
  <w:num w:numId="1">
    <w:abstractNumId w:val="4"/>
  </w:num>
  <w:num w:numId="2">
    <w:abstractNumId w:val="2"/>
  </w:num>
  <w:num w:numId="3">
    <w:abstractNumId w:val="5"/>
  </w:num>
  <w:num w:numId="4">
    <w:abstractNumId w:val="7"/>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42E5A"/>
    <w:rsid w:val="00057246"/>
    <w:rsid w:val="00060AEB"/>
    <w:rsid w:val="00084834"/>
    <w:rsid w:val="00085416"/>
    <w:rsid w:val="00096373"/>
    <w:rsid w:val="000E112E"/>
    <w:rsid w:val="000E2DCE"/>
    <w:rsid w:val="0013617F"/>
    <w:rsid w:val="00195C28"/>
    <w:rsid w:val="001B4837"/>
    <w:rsid w:val="0025429C"/>
    <w:rsid w:val="00257737"/>
    <w:rsid w:val="002A7177"/>
    <w:rsid w:val="002B470D"/>
    <w:rsid w:val="002B542A"/>
    <w:rsid w:val="002C25E0"/>
    <w:rsid w:val="003513A2"/>
    <w:rsid w:val="003B064B"/>
    <w:rsid w:val="003E124B"/>
    <w:rsid w:val="003F70BD"/>
    <w:rsid w:val="00412CB2"/>
    <w:rsid w:val="0042047A"/>
    <w:rsid w:val="00450B23"/>
    <w:rsid w:val="004D1412"/>
    <w:rsid w:val="00501645"/>
    <w:rsid w:val="00506F8B"/>
    <w:rsid w:val="00510ED9"/>
    <w:rsid w:val="00521D20"/>
    <w:rsid w:val="0052569A"/>
    <w:rsid w:val="00574551"/>
    <w:rsid w:val="00585FD0"/>
    <w:rsid w:val="005875C1"/>
    <w:rsid w:val="005E752D"/>
    <w:rsid w:val="00602421"/>
    <w:rsid w:val="006209C4"/>
    <w:rsid w:val="00636698"/>
    <w:rsid w:val="00645E9C"/>
    <w:rsid w:val="00657460"/>
    <w:rsid w:val="006778C1"/>
    <w:rsid w:val="00695B46"/>
    <w:rsid w:val="006A7E1B"/>
    <w:rsid w:val="006B2CA3"/>
    <w:rsid w:val="00714CC4"/>
    <w:rsid w:val="007501B4"/>
    <w:rsid w:val="007742E7"/>
    <w:rsid w:val="007B3F33"/>
    <w:rsid w:val="00862569"/>
    <w:rsid w:val="008D5038"/>
    <w:rsid w:val="008D786D"/>
    <w:rsid w:val="008E3D5A"/>
    <w:rsid w:val="009075C4"/>
    <w:rsid w:val="00913FE0"/>
    <w:rsid w:val="00936533"/>
    <w:rsid w:val="009E0CB5"/>
    <w:rsid w:val="009F4598"/>
    <w:rsid w:val="00A422F5"/>
    <w:rsid w:val="00A91D72"/>
    <w:rsid w:val="00A92440"/>
    <w:rsid w:val="00AC2004"/>
    <w:rsid w:val="00AD3AE0"/>
    <w:rsid w:val="00AF1C6B"/>
    <w:rsid w:val="00AF1D2E"/>
    <w:rsid w:val="00BA0984"/>
    <w:rsid w:val="00BA0FCD"/>
    <w:rsid w:val="00BE5EBB"/>
    <w:rsid w:val="00C020AE"/>
    <w:rsid w:val="00C74CD7"/>
    <w:rsid w:val="00C77233"/>
    <w:rsid w:val="00C8020B"/>
    <w:rsid w:val="00C93DB2"/>
    <w:rsid w:val="00CC3574"/>
    <w:rsid w:val="00CC5B2E"/>
    <w:rsid w:val="00CD215B"/>
    <w:rsid w:val="00D27EC2"/>
    <w:rsid w:val="00D32F3E"/>
    <w:rsid w:val="00D415AD"/>
    <w:rsid w:val="00D77AF6"/>
    <w:rsid w:val="00E17442"/>
    <w:rsid w:val="00E63783"/>
    <w:rsid w:val="00E64EEB"/>
    <w:rsid w:val="00E77F2D"/>
    <w:rsid w:val="00ED1E59"/>
    <w:rsid w:val="00EF2362"/>
    <w:rsid w:val="00F6654D"/>
    <w:rsid w:val="00FD1985"/>
    <w:rsid w:val="015A1305"/>
    <w:rsid w:val="01713E00"/>
    <w:rsid w:val="01731F7D"/>
    <w:rsid w:val="01DF7235"/>
    <w:rsid w:val="04436EBB"/>
    <w:rsid w:val="04C70F47"/>
    <w:rsid w:val="05787054"/>
    <w:rsid w:val="05E31CF0"/>
    <w:rsid w:val="060D7519"/>
    <w:rsid w:val="06C23C3F"/>
    <w:rsid w:val="09356CE4"/>
    <w:rsid w:val="097E3F6A"/>
    <w:rsid w:val="09BE263C"/>
    <w:rsid w:val="0C0546C8"/>
    <w:rsid w:val="0C7F345E"/>
    <w:rsid w:val="0D307C59"/>
    <w:rsid w:val="0EB43BBF"/>
    <w:rsid w:val="0F282F85"/>
    <w:rsid w:val="0F3A152F"/>
    <w:rsid w:val="11E825EC"/>
    <w:rsid w:val="12AC6286"/>
    <w:rsid w:val="154E1005"/>
    <w:rsid w:val="15BD53F5"/>
    <w:rsid w:val="15C52ACA"/>
    <w:rsid w:val="16AB26CE"/>
    <w:rsid w:val="16F917B8"/>
    <w:rsid w:val="17433165"/>
    <w:rsid w:val="17912B3F"/>
    <w:rsid w:val="19CB5539"/>
    <w:rsid w:val="1A8644BD"/>
    <w:rsid w:val="1B44229E"/>
    <w:rsid w:val="1B693E71"/>
    <w:rsid w:val="1BFB6CD4"/>
    <w:rsid w:val="1C79754F"/>
    <w:rsid w:val="1CBD1FC0"/>
    <w:rsid w:val="1DA869BB"/>
    <w:rsid w:val="1E9F5FDB"/>
    <w:rsid w:val="1EE052A5"/>
    <w:rsid w:val="1F6E6FF9"/>
    <w:rsid w:val="1FAF4D67"/>
    <w:rsid w:val="1FDF000F"/>
    <w:rsid w:val="20446136"/>
    <w:rsid w:val="215944E2"/>
    <w:rsid w:val="219A3C4F"/>
    <w:rsid w:val="222F25D4"/>
    <w:rsid w:val="224B504B"/>
    <w:rsid w:val="22A94D9E"/>
    <w:rsid w:val="22C7390A"/>
    <w:rsid w:val="22D56919"/>
    <w:rsid w:val="23BE4E88"/>
    <w:rsid w:val="252871B3"/>
    <w:rsid w:val="255F0466"/>
    <w:rsid w:val="256D3777"/>
    <w:rsid w:val="25822815"/>
    <w:rsid w:val="26454CFF"/>
    <w:rsid w:val="266424F1"/>
    <w:rsid w:val="27503D14"/>
    <w:rsid w:val="275E3AAA"/>
    <w:rsid w:val="277A5C23"/>
    <w:rsid w:val="27AA07AE"/>
    <w:rsid w:val="281738F2"/>
    <w:rsid w:val="2899474C"/>
    <w:rsid w:val="28E23EB1"/>
    <w:rsid w:val="29476B08"/>
    <w:rsid w:val="2A227A6A"/>
    <w:rsid w:val="2CDE24A4"/>
    <w:rsid w:val="2E655F96"/>
    <w:rsid w:val="2F0837F4"/>
    <w:rsid w:val="2F345C8E"/>
    <w:rsid w:val="2F3659E5"/>
    <w:rsid w:val="2F4D31F2"/>
    <w:rsid w:val="304E6E71"/>
    <w:rsid w:val="30AC16BA"/>
    <w:rsid w:val="30EF0166"/>
    <w:rsid w:val="32453068"/>
    <w:rsid w:val="325F167A"/>
    <w:rsid w:val="33BA1B1D"/>
    <w:rsid w:val="347A0CC1"/>
    <w:rsid w:val="347A36B8"/>
    <w:rsid w:val="351778F5"/>
    <w:rsid w:val="35981373"/>
    <w:rsid w:val="36373CE2"/>
    <w:rsid w:val="36401CCC"/>
    <w:rsid w:val="36DD68E2"/>
    <w:rsid w:val="37402797"/>
    <w:rsid w:val="378F345B"/>
    <w:rsid w:val="37D75168"/>
    <w:rsid w:val="37EA3568"/>
    <w:rsid w:val="387713A7"/>
    <w:rsid w:val="38B461DA"/>
    <w:rsid w:val="39A07C62"/>
    <w:rsid w:val="3A8943B7"/>
    <w:rsid w:val="3AD93B32"/>
    <w:rsid w:val="3B3B6311"/>
    <w:rsid w:val="3BF62510"/>
    <w:rsid w:val="3C180E01"/>
    <w:rsid w:val="3CDE7D02"/>
    <w:rsid w:val="3D396A5F"/>
    <w:rsid w:val="3E51357F"/>
    <w:rsid w:val="3E8455B2"/>
    <w:rsid w:val="3F1D59BF"/>
    <w:rsid w:val="3F5B598E"/>
    <w:rsid w:val="3FC13371"/>
    <w:rsid w:val="3FC63D24"/>
    <w:rsid w:val="40490E05"/>
    <w:rsid w:val="40974D22"/>
    <w:rsid w:val="40F33077"/>
    <w:rsid w:val="414D3EAF"/>
    <w:rsid w:val="417F01B8"/>
    <w:rsid w:val="419F78C7"/>
    <w:rsid w:val="41D7007F"/>
    <w:rsid w:val="41E1532F"/>
    <w:rsid w:val="4509021E"/>
    <w:rsid w:val="45112884"/>
    <w:rsid w:val="46E26868"/>
    <w:rsid w:val="46F20DA7"/>
    <w:rsid w:val="48091F41"/>
    <w:rsid w:val="48EE6122"/>
    <w:rsid w:val="48FD4805"/>
    <w:rsid w:val="49D00F6E"/>
    <w:rsid w:val="4AD267A4"/>
    <w:rsid w:val="4AE702C8"/>
    <w:rsid w:val="4AF0232E"/>
    <w:rsid w:val="4AF5558E"/>
    <w:rsid w:val="4B07665D"/>
    <w:rsid w:val="4BB31BAF"/>
    <w:rsid w:val="4C027E79"/>
    <w:rsid w:val="4C681A14"/>
    <w:rsid w:val="4C816674"/>
    <w:rsid w:val="4CE06828"/>
    <w:rsid w:val="4D3120B0"/>
    <w:rsid w:val="4D84279B"/>
    <w:rsid w:val="4E452571"/>
    <w:rsid w:val="4EDB6B5A"/>
    <w:rsid w:val="4FDF2071"/>
    <w:rsid w:val="504113B7"/>
    <w:rsid w:val="50643C23"/>
    <w:rsid w:val="50F825B3"/>
    <w:rsid w:val="518C3E45"/>
    <w:rsid w:val="519D5BDA"/>
    <w:rsid w:val="51E31065"/>
    <w:rsid w:val="52994455"/>
    <w:rsid w:val="53A20B3D"/>
    <w:rsid w:val="53F1698C"/>
    <w:rsid w:val="54770D63"/>
    <w:rsid w:val="54862B3B"/>
    <w:rsid w:val="55260C43"/>
    <w:rsid w:val="55D44648"/>
    <w:rsid w:val="56323AF5"/>
    <w:rsid w:val="563A68E2"/>
    <w:rsid w:val="574F3BDC"/>
    <w:rsid w:val="57640856"/>
    <w:rsid w:val="576B7CB8"/>
    <w:rsid w:val="57EE5435"/>
    <w:rsid w:val="580A5AE5"/>
    <w:rsid w:val="58902710"/>
    <w:rsid w:val="599E32FA"/>
    <w:rsid w:val="59C75EEA"/>
    <w:rsid w:val="5A3C40AB"/>
    <w:rsid w:val="5AB55796"/>
    <w:rsid w:val="5B466488"/>
    <w:rsid w:val="5BCD50AF"/>
    <w:rsid w:val="5BE91D34"/>
    <w:rsid w:val="5BF77A5B"/>
    <w:rsid w:val="5C123859"/>
    <w:rsid w:val="5C7656B8"/>
    <w:rsid w:val="5CE974A1"/>
    <w:rsid w:val="5D083396"/>
    <w:rsid w:val="5D5E0B25"/>
    <w:rsid w:val="5D7631BF"/>
    <w:rsid w:val="5E002F34"/>
    <w:rsid w:val="5E660166"/>
    <w:rsid w:val="5E8A6D0B"/>
    <w:rsid w:val="5EAF1B3A"/>
    <w:rsid w:val="5ECC3001"/>
    <w:rsid w:val="5F471947"/>
    <w:rsid w:val="5FFE3A25"/>
    <w:rsid w:val="60F65CA8"/>
    <w:rsid w:val="614378DA"/>
    <w:rsid w:val="6186668A"/>
    <w:rsid w:val="61E30428"/>
    <w:rsid w:val="61EF10C7"/>
    <w:rsid w:val="62B67D2C"/>
    <w:rsid w:val="639A4204"/>
    <w:rsid w:val="64E1270B"/>
    <w:rsid w:val="652A70DC"/>
    <w:rsid w:val="653B79AE"/>
    <w:rsid w:val="65B322CE"/>
    <w:rsid w:val="666F0EF8"/>
    <w:rsid w:val="67034B7C"/>
    <w:rsid w:val="67167495"/>
    <w:rsid w:val="67206500"/>
    <w:rsid w:val="67253540"/>
    <w:rsid w:val="67755468"/>
    <w:rsid w:val="67B760A5"/>
    <w:rsid w:val="67D424D9"/>
    <w:rsid w:val="68866F70"/>
    <w:rsid w:val="689A152D"/>
    <w:rsid w:val="6996494C"/>
    <w:rsid w:val="6A037BC4"/>
    <w:rsid w:val="6A192242"/>
    <w:rsid w:val="6A900633"/>
    <w:rsid w:val="6AD5781A"/>
    <w:rsid w:val="6AE356DD"/>
    <w:rsid w:val="6AFE23F0"/>
    <w:rsid w:val="6B380995"/>
    <w:rsid w:val="6C6F7C07"/>
    <w:rsid w:val="6CA2193A"/>
    <w:rsid w:val="6DD07C38"/>
    <w:rsid w:val="6F5757FD"/>
    <w:rsid w:val="6F7503A0"/>
    <w:rsid w:val="6F8959E9"/>
    <w:rsid w:val="7006529C"/>
    <w:rsid w:val="70761FC8"/>
    <w:rsid w:val="709A5CAE"/>
    <w:rsid w:val="70EE20BC"/>
    <w:rsid w:val="72843211"/>
    <w:rsid w:val="72DF33FB"/>
    <w:rsid w:val="73BB7E48"/>
    <w:rsid w:val="750F1A33"/>
    <w:rsid w:val="75190CEB"/>
    <w:rsid w:val="75472989"/>
    <w:rsid w:val="75665BE0"/>
    <w:rsid w:val="75DA7ADF"/>
    <w:rsid w:val="76362718"/>
    <w:rsid w:val="7665792F"/>
    <w:rsid w:val="76BB6B3C"/>
    <w:rsid w:val="76EE37DD"/>
    <w:rsid w:val="77C7602D"/>
    <w:rsid w:val="78CC7DE6"/>
    <w:rsid w:val="797C5C3C"/>
    <w:rsid w:val="79CD59E4"/>
    <w:rsid w:val="7A0929CB"/>
    <w:rsid w:val="7A35088C"/>
    <w:rsid w:val="7A87290A"/>
    <w:rsid w:val="7AA565F7"/>
    <w:rsid w:val="7AD75C27"/>
    <w:rsid w:val="7B0D29D5"/>
    <w:rsid w:val="7CBA671B"/>
    <w:rsid w:val="7D23590C"/>
    <w:rsid w:val="7D6E713D"/>
    <w:rsid w:val="7F2E10F5"/>
    <w:rsid w:val="7F5117E4"/>
    <w:rsid w:val="7FC21D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iPriority="39"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45"/>
    <w:autoRedefine/>
    <w:qFormat/>
    <w:uiPriority w:val="0"/>
    <w:pPr>
      <w:keepNext/>
      <w:keepLines/>
      <w:pageBreakBefore/>
      <w:spacing w:before="340" w:after="330" w:line="576" w:lineRule="auto"/>
      <w:outlineLvl w:val="0"/>
    </w:pPr>
    <w:rPr>
      <w:b/>
      <w:bCs/>
      <w:kern w:val="44"/>
      <w:sz w:val="44"/>
      <w:szCs w:val="44"/>
    </w:rPr>
  </w:style>
  <w:style w:type="paragraph" w:styleId="4">
    <w:name w:val="heading 2"/>
    <w:basedOn w:val="1"/>
    <w:next w:val="1"/>
    <w:link w:val="46"/>
    <w:autoRedefine/>
    <w:qFormat/>
    <w:uiPriority w:val="0"/>
    <w:pPr>
      <w:keepNext/>
      <w:keepLines/>
      <w:spacing w:before="260" w:beforeLines="0" w:after="260" w:afterLines="0" w:line="413" w:lineRule="auto"/>
      <w:outlineLvl w:val="1"/>
    </w:pPr>
    <w:rPr>
      <w:rFonts w:ascii="Cambria" w:hAnsi="Cambria"/>
      <w:b/>
      <w:bCs/>
      <w:kern w:val="2"/>
      <w:sz w:val="32"/>
      <w:szCs w:val="32"/>
    </w:rPr>
  </w:style>
  <w:style w:type="paragraph" w:styleId="5">
    <w:name w:val="heading 3"/>
    <w:basedOn w:val="1"/>
    <w:next w:val="1"/>
    <w:autoRedefine/>
    <w:qFormat/>
    <w:uiPriority w:val="0"/>
    <w:pPr>
      <w:keepNext/>
      <w:keepLines/>
      <w:spacing w:before="260" w:beforeLines="0" w:after="260" w:afterLines="0" w:line="360" w:lineRule="auto"/>
      <w:ind w:firstLine="602" w:firstLineChars="200"/>
      <w:outlineLvl w:val="2"/>
    </w:pPr>
    <w:rPr>
      <w:rFonts w:ascii="仿宋_GB2312" w:eastAsia="仿宋_GB2312"/>
      <w:b/>
      <w:bCs/>
      <w:sz w:val="30"/>
      <w:szCs w:val="20"/>
    </w:rPr>
  </w:style>
  <w:style w:type="paragraph" w:styleId="6">
    <w:name w:val="heading 4"/>
    <w:basedOn w:val="1"/>
    <w:next w:val="1"/>
    <w:autoRedefine/>
    <w:qFormat/>
    <w:uiPriority w:val="0"/>
    <w:pPr>
      <w:keepNext/>
      <w:keepLines/>
      <w:spacing w:before="280" w:beforeLines="0" w:after="290" w:afterLines="0" w:line="372" w:lineRule="auto"/>
      <w:outlineLvl w:val="3"/>
    </w:pPr>
    <w:rPr>
      <w:rFonts w:ascii="Cambria" w:hAnsi="Cambria"/>
      <w:b/>
      <w:bCs/>
      <w:szCs w:val="28"/>
    </w:rPr>
  </w:style>
  <w:style w:type="paragraph" w:styleId="7">
    <w:name w:val="heading 5"/>
    <w:basedOn w:val="1"/>
    <w:next w:val="1"/>
    <w:autoRedefine/>
    <w:qFormat/>
    <w:uiPriority w:val="0"/>
    <w:pPr>
      <w:keepNext/>
      <w:keepLines/>
      <w:spacing w:before="280" w:after="290" w:line="372" w:lineRule="auto"/>
      <w:outlineLvl w:val="4"/>
    </w:pPr>
    <w:rPr>
      <w:rFonts w:ascii="仿宋_GB2312" w:hAnsi="Tahoma"/>
      <w:b/>
      <w:bCs/>
      <w:sz w:val="28"/>
      <w:szCs w:val="28"/>
    </w:rPr>
  </w:style>
  <w:style w:type="character" w:default="1" w:styleId="37">
    <w:name w:val="Default Paragraph Font"/>
    <w:autoRedefine/>
    <w:qFormat/>
    <w:uiPriority w:val="0"/>
  </w:style>
  <w:style w:type="table" w:default="1" w:styleId="35">
    <w:name w:val="Normal Table"/>
    <w:autoRedefine/>
    <w:semiHidden/>
    <w:qFormat/>
    <w:uiPriority w:val="0"/>
    <w:tblPr>
      <w:tblCellMar>
        <w:top w:w="0" w:type="dxa"/>
        <w:left w:w="108" w:type="dxa"/>
        <w:bottom w:w="0" w:type="dxa"/>
        <w:right w:w="108" w:type="dxa"/>
      </w:tblCellMar>
    </w:tblPr>
  </w:style>
  <w:style w:type="paragraph" w:customStyle="1" w:styleId="3">
    <w:name w:val="sf正文"/>
    <w:basedOn w:val="1"/>
    <w:autoRedefine/>
    <w:qFormat/>
    <w:uiPriority w:val="0"/>
    <w:pPr>
      <w:adjustRightInd w:val="0"/>
      <w:snapToGrid w:val="0"/>
      <w:ind w:firstLine="200" w:firstLineChars="200"/>
      <w:jc w:val="both"/>
    </w:pPr>
    <w:rPr>
      <w:rFonts w:ascii="Arial" w:hAnsi="Arial" w:eastAsia="仿宋"/>
      <w:sz w:val="30"/>
    </w:rPr>
  </w:style>
  <w:style w:type="paragraph" w:styleId="8">
    <w:name w:val="table of authorities"/>
    <w:basedOn w:val="1"/>
    <w:next w:val="1"/>
    <w:autoRedefine/>
    <w:qFormat/>
    <w:uiPriority w:val="0"/>
    <w:pPr>
      <w:ind w:left="420" w:leftChars="200"/>
    </w:pPr>
    <w:rPr>
      <w:rFonts w:ascii="Calibri" w:hAnsi="Calibri" w:eastAsia="宋体"/>
      <w:sz w:val="24"/>
      <w:szCs w:val="22"/>
    </w:rPr>
  </w:style>
  <w:style w:type="paragraph" w:styleId="9">
    <w:name w:val="List Number"/>
    <w:basedOn w:val="1"/>
    <w:autoRedefine/>
    <w:qFormat/>
    <w:uiPriority w:val="0"/>
    <w:pPr>
      <w:widowControl/>
      <w:numPr>
        <w:ilvl w:val="0"/>
        <w:numId w:val="1"/>
      </w:numPr>
      <w:tabs>
        <w:tab w:val="left" w:pos="454"/>
        <w:tab w:val="left" w:pos="720"/>
        <w:tab w:val="left" w:pos="899"/>
        <w:tab w:val="clear" w:pos="960"/>
      </w:tabs>
      <w:spacing w:after="156" w:afterLines="50"/>
      <w:jc w:val="left"/>
    </w:pPr>
    <w:rPr>
      <w:kern w:val="0"/>
      <w:sz w:val="24"/>
      <w:szCs w:val="20"/>
    </w:rPr>
  </w:style>
  <w:style w:type="paragraph" w:styleId="10">
    <w:name w:val="Normal Indent"/>
    <w:basedOn w:val="1"/>
    <w:next w:val="11"/>
    <w:autoRedefine/>
    <w:qFormat/>
    <w:uiPriority w:val="0"/>
    <w:pPr>
      <w:ind w:firstLine="420"/>
    </w:pPr>
    <w:rPr>
      <w:szCs w:val="20"/>
    </w:rPr>
  </w:style>
  <w:style w:type="paragraph" w:styleId="11">
    <w:name w:val="Body Text Indent"/>
    <w:basedOn w:val="1"/>
    <w:next w:val="1"/>
    <w:link w:val="47"/>
    <w:autoRedefine/>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styleId="12">
    <w:name w:val="caption"/>
    <w:basedOn w:val="1"/>
    <w:next w:val="1"/>
    <w:autoRedefine/>
    <w:qFormat/>
    <w:uiPriority w:val="0"/>
    <w:pPr>
      <w:spacing w:before="152" w:beforeLines="0" w:after="160" w:afterLines="0"/>
    </w:pPr>
    <w:rPr>
      <w:rFonts w:ascii="Arial" w:hAnsi="Arial" w:eastAsia="黑体" w:cs="Arial"/>
      <w:sz w:val="20"/>
      <w:szCs w:val="20"/>
    </w:rPr>
  </w:style>
  <w:style w:type="paragraph" w:styleId="13">
    <w:name w:val="annotation text"/>
    <w:basedOn w:val="1"/>
    <w:link w:val="48"/>
    <w:autoRedefine/>
    <w:qFormat/>
    <w:uiPriority w:val="0"/>
    <w:pPr>
      <w:jc w:val="left"/>
    </w:pPr>
    <w:rPr>
      <w:kern w:val="2"/>
      <w:sz w:val="21"/>
      <w:szCs w:val="24"/>
    </w:rPr>
  </w:style>
  <w:style w:type="paragraph" w:styleId="14">
    <w:name w:val="Body Text 3"/>
    <w:basedOn w:val="1"/>
    <w:autoRedefine/>
    <w:qFormat/>
    <w:uiPriority w:val="0"/>
    <w:pPr>
      <w:spacing w:after="120" w:afterLines="0"/>
    </w:pPr>
    <w:rPr>
      <w:sz w:val="16"/>
      <w:szCs w:val="16"/>
    </w:rPr>
  </w:style>
  <w:style w:type="paragraph" w:styleId="15">
    <w:name w:val="Body Text"/>
    <w:basedOn w:val="1"/>
    <w:next w:val="16"/>
    <w:autoRedefine/>
    <w:qFormat/>
    <w:uiPriority w:val="0"/>
    <w:pPr>
      <w:spacing w:after="120" w:afterLines="0"/>
    </w:pPr>
  </w:style>
  <w:style w:type="paragraph" w:styleId="16">
    <w:name w:val="Body Text First Indent"/>
    <w:basedOn w:val="15"/>
    <w:next w:val="1"/>
    <w:autoRedefine/>
    <w:qFormat/>
    <w:uiPriority w:val="0"/>
    <w:pPr>
      <w:autoSpaceDE w:val="0"/>
      <w:autoSpaceDN w:val="0"/>
      <w:adjustRightInd w:val="0"/>
      <w:spacing w:line="360" w:lineRule="auto"/>
      <w:ind w:firstLine="420" w:firstLineChars="100"/>
    </w:pPr>
    <w:rPr>
      <w:szCs w:val="24"/>
    </w:rPr>
  </w:style>
  <w:style w:type="paragraph" w:styleId="17">
    <w:name w:val="List 2"/>
    <w:basedOn w:val="1"/>
    <w:autoRedefine/>
    <w:qFormat/>
    <w:uiPriority w:val="0"/>
    <w:pPr>
      <w:ind w:left="100" w:leftChars="200" w:hanging="200" w:hangingChars="200"/>
    </w:pPr>
  </w:style>
  <w:style w:type="paragraph" w:styleId="18">
    <w:name w:val="toc 5"/>
    <w:basedOn w:val="1"/>
    <w:next w:val="1"/>
    <w:autoRedefine/>
    <w:qFormat/>
    <w:uiPriority w:val="0"/>
    <w:pPr>
      <w:ind w:left="1680" w:leftChars="800"/>
    </w:pPr>
  </w:style>
  <w:style w:type="paragraph" w:styleId="19">
    <w:name w:val="Plain Text"/>
    <w:basedOn w:val="1"/>
    <w:next w:val="20"/>
    <w:link w:val="49"/>
    <w:autoRedefine/>
    <w:qFormat/>
    <w:uiPriority w:val="0"/>
    <w:rPr>
      <w:rFonts w:ascii="宋体" w:hAnsi="Courier New" w:eastAsia="宋体"/>
      <w:kern w:val="2"/>
      <w:sz w:val="21"/>
      <w:szCs w:val="24"/>
      <w:lang w:val="en-US" w:eastAsia="zh-CN" w:bidi="ar-SA"/>
    </w:rPr>
  </w:style>
  <w:style w:type="paragraph" w:styleId="20">
    <w:name w:val="Date"/>
    <w:basedOn w:val="1"/>
    <w:next w:val="1"/>
    <w:autoRedefine/>
    <w:qFormat/>
    <w:uiPriority w:val="0"/>
    <w:pPr>
      <w:ind w:leftChars="2500"/>
    </w:pPr>
    <w:rPr>
      <w:rFonts w:eastAsia="楷体_GB2312"/>
      <w:sz w:val="32"/>
      <w:szCs w:val="20"/>
    </w:rPr>
  </w:style>
  <w:style w:type="paragraph" w:styleId="21">
    <w:name w:val="Body Text Indent 2"/>
    <w:basedOn w:val="1"/>
    <w:autoRedefine/>
    <w:qFormat/>
    <w:uiPriority w:val="0"/>
    <w:pPr>
      <w:spacing w:after="120" w:afterLines="0" w:line="480" w:lineRule="auto"/>
      <w:ind w:left="420" w:leftChars="200"/>
    </w:pPr>
  </w:style>
  <w:style w:type="paragraph" w:styleId="22">
    <w:name w:val="Balloon Text"/>
    <w:basedOn w:val="1"/>
    <w:link w:val="50"/>
    <w:autoRedefine/>
    <w:qFormat/>
    <w:uiPriority w:val="0"/>
    <w:rPr>
      <w:kern w:val="2"/>
      <w:sz w:val="18"/>
      <w:szCs w:val="18"/>
    </w:rPr>
  </w:style>
  <w:style w:type="paragraph" w:styleId="23">
    <w:name w:val="footer"/>
    <w:basedOn w:val="1"/>
    <w:link w:val="51"/>
    <w:autoRedefine/>
    <w:qFormat/>
    <w:uiPriority w:val="0"/>
    <w:pPr>
      <w:tabs>
        <w:tab w:val="center" w:pos="4153"/>
        <w:tab w:val="right" w:pos="8306"/>
      </w:tabs>
      <w:snapToGrid w:val="0"/>
      <w:jc w:val="left"/>
    </w:pPr>
    <w:rPr>
      <w:kern w:val="2"/>
      <w:sz w:val="18"/>
      <w:szCs w:val="18"/>
    </w:rPr>
  </w:style>
  <w:style w:type="paragraph" w:styleId="24">
    <w:name w:val="header"/>
    <w:basedOn w:val="1"/>
    <w:link w:val="52"/>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25">
    <w:name w:val="toc 4"/>
    <w:basedOn w:val="1"/>
    <w:next w:val="1"/>
    <w:autoRedefine/>
    <w:unhideWhenUsed/>
    <w:qFormat/>
    <w:uiPriority w:val="39"/>
    <w:pPr>
      <w:ind w:left="1260" w:leftChars="600"/>
    </w:pPr>
    <w:rPr>
      <w:rFonts w:ascii="Calibri" w:hAnsi="Calibri"/>
      <w:szCs w:val="22"/>
    </w:rPr>
  </w:style>
  <w:style w:type="paragraph" w:styleId="26">
    <w:name w:val="Subtitle"/>
    <w:basedOn w:val="1"/>
    <w:next w:val="1"/>
    <w:autoRedefine/>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27">
    <w:name w:val="List"/>
    <w:basedOn w:val="1"/>
    <w:autoRedefine/>
    <w:qFormat/>
    <w:uiPriority w:val="0"/>
    <w:pPr>
      <w:ind w:left="200" w:hanging="200" w:hangingChars="200"/>
    </w:pPr>
    <w:rPr>
      <w:sz w:val="28"/>
    </w:rPr>
  </w:style>
  <w:style w:type="paragraph" w:styleId="28">
    <w:name w:val="toc 6"/>
    <w:basedOn w:val="1"/>
    <w:next w:val="1"/>
    <w:autoRedefine/>
    <w:qFormat/>
    <w:uiPriority w:val="99"/>
    <w:pPr>
      <w:widowControl/>
      <w:ind w:left="1000"/>
      <w:jc w:val="left"/>
    </w:pPr>
    <w:rPr>
      <w:kern w:val="0"/>
      <w:sz w:val="18"/>
      <w:szCs w:val="20"/>
    </w:rPr>
  </w:style>
  <w:style w:type="paragraph" w:styleId="29">
    <w:name w:val="Body Text Indent 3"/>
    <w:basedOn w:val="1"/>
    <w:autoRedefine/>
    <w:qFormat/>
    <w:uiPriority w:val="0"/>
    <w:pPr>
      <w:spacing w:line="500" w:lineRule="exact"/>
      <w:ind w:left="511" w:hanging="511" w:hangingChars="213"/>
    </w:pPr>
    <w:rPr>
      <w:sz w:val="24"/>
    </w:rPr>
  </w:style>
  <w:style w:type="paragraph" w:styleId="30">
    <w:name w:val="toc 2"/>
    <w:basedOn w:val="1"/>
    <w:next w:val="1"/>
    <w:autoRedefine/>
    <w:qFormat/>
    <w:uiPriority w:val="0"/>
    <w:pPr>
      <w:spacing w:line="360" w:lineRule="auto"/>
      <w:ind w:left="210" w:leftChars="100" w:firstLine="472" w:firstLineChars="196"/>
      <w:jc w:val="left"/>
    </w:pPr>
    <w:rPr>
      <w:rFonts w:ascii="宋体" w:hAnsi="宋体"/>
      <w:b/>
      <w:sz w:val="24"/>
    </w:rPr>
  </w:style>
  <w:style w:type="paragraph" w:styleId="31">
    <w:name w:val="Normal (Web)"/>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styleId="32">
    <w:name w:val="Title"/>
    <w:basedOn w:val="1"/>
    <w:next w:val="1"/>
    <w:autoRedefine/>
    <w:qFormat/>
    <w:uiPriority w:val="0"/>
    <w:pPr>
      <w:spacing w:before="240" w:beforeLines="0" w:after="60" w:afterLines="0"/>
      <w:jc w:val="center"/>
      <w:outlineLvl w:val="0"/>
    </w:pPr>
    <w:rPr>
      <w:rFonts w:ascii="Arial" w:hAnsi="Arial" w:cs="Arial"/>
      <w:sz w:val="32"/>
      <w:szCs w:val="32"/>
    </w:rPr>
  </w:style>
  <w:style w:type="paragraph" w:styleId="33">
    <w:name w:val="annotation subject"/>
    <w:basedOn w:val="13"/>
    <w:next w:val="13"/>
    <w:link w:val="53"/>
    <w:autoRedefine/>
    <w:qFormat/>
    <w:uiPriority w:val="0"/>
  </w:style>
  <w:style w:type="paragraph" w:styleId="34">
    <w:name w:val="Body Text First Indent 2"/>
    <w:basedOn w:val="11"/>
    <w:next w:val="1"/>
    <w:autoRedefine/>
    <w:qFormat/>
    <w:uiPriority w:val="99"/>
    <w:pPr>
      <w:spacing w:line="200" w:lineRule="atLeast"/>
      <w:ind w:firstLine="420"/>
    </w:pPr>
    <w:rPr>
      <w:rFonts w:ascii="宋体" w:hAnsi="Courier New"/>
      <w:spacing w:val="-4"/>
      <w:sz w:val="18"/>
    </w:r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autoRedefine/>
    <w:qFormat/>
    <w:uiPriority w:val="0"/>
  </w:style>
  <w:style w:type="character" w:styleId="39">
    <w:name w:val="Emphasis"/>
    <w:autoRedefine/>
    <w:qFormat/>
    <w:uiPriority w:val="0"/>
    <w:rPr>
      <w:rFonts w:ascii="宋体" w:hAnsi="宋体" w:eastAsia="宋体"/>
      <w:i/>
      <w:kern w:val="2"/>
      <w:sz w:val="18"/>
      <w:szCs w:val="18"/>
      <w:lang w:val="en-GB" w:eastAsia="zh-CN" w:bidi="ar-SA"/>
    </w:rPr>
  </w:style>
  <w:style w:type="character" w:styleId="40">
    <w:name w:val="Hyperlink"/>
    <w:autoRedefine/>
    <w:qFormat/>
    <w:uiPriority w:val="0"/>
    <w:rPr>
      <w:color w:val="0000FF"/>
      <w:u w:val="single"/>
    </w:rPr>
  </w:style>
  <w:style w:type="character" w:styleId="41">
    <w:name w:val="annotation reference"/>
    <w:autoRedefine/>
    <w:qFormat/>
    <w:uiPriority w:val="0"/>
    <w:rPr>
      <w:sz w:val="21"/>
      <w:szCs w:val="21"/>
    </w:rPr>
  </w:style>
  <w:style w:type="paragraph" w:customStyle="1" w:styleId="42">
    <w:name w:val="[Normal]"/>
    <w:autoRedefine/>
    <w:qFormat/>
    <w:uiPriority w:val="0"/>
    <w:rPr>
      <w:rFonts w:ascii="宋体" w:hAnsi="宋体" w:eastAsia="宋体" w:cs="Times New Roman"/>
      <w:sz w:val="24"/>
      <w:szCs w:val="22"/>
      <w:lang w:val="zh-CN" w:eastAsia="zh-CN" w:bidi="ar-SA"/>
    </w:rPr>
  </w:style>
  <w:style w:type="paragraph" w:customStyle="1" w:styleId="43">
    <w:name w:val="表格文字"/>
    <w:basedOn w:val="11"/>
    <w:next w:val="15"/>
    <w:autoRedefine/>
    <w:qFormat/>
    <w:uiPriority w:val="0"/>
    <w:pPr>
      <w:adjustRightInd w:val="0"/>
      <w:spacing w:line="420" w:lineRule="atLeast"/>
      <w:jc w:val="left"/>
      <w:textAlignment w:val="baseline"/>
    </w:pPr>
    <w:rPr>
      <w:rFonts w:ascii="Times New Roman" w:hAnsi="Times New Roman" w:cs="Times New Roman"/>
      <w:kern w:val="0"/>
      <w:szCs w:val="24"/>
    </w:rPr>
  </w:style>
  <w:style w:type="paragraph" w:customStyle="1" w:styleId="44">
    <w:name w:val="正文（首行缩进2字符）"/>
    <w:basedOn w:val="1"/>
    <w:autoRedefine/>
    <w:qFormat/>
    <w:uiPriority w:val="0"/>
    <w:pPr>
      <w:spacing w:line="360" w:lineRule="auto"/>
      <w:ind w:firstLine="420" w:firstLineChars="200"/>
    </w:pPr>
    <w:rPr>
      <w:szCs w:val="21"/>
    </w:rPr>
  </w:style>
  <w:style w:type="character" w:customStyle="1" w:styleId="45">
    <w:name w:val="标题 1 字符"/>
    <w:link w:val="2"/>
    <w:autoRedefine/>
    <w:qFormat/>
    <w:uiPriority w:val="0"/>
    <w:rPr>
      <w:b/>
      <w:bCs/>
      <w:kern w:val="44"/>
      <w:sz w:val="44"/>
      <w:szCs w:val="44"/>
    </w:rPr>
  </w:style>
  <w:style w:type="character" w:customStyle="1" w:styleId="46">
    <w:name w:val="标题 2 字符"/>
    <w:link w:val="4"/>
    <w:autoRedefine/>
    <w:qFormat/>
    <w:uiPriority w:val="0"/>
    <w:rPr>
      <w:rFonts w:ascii="Cambria" w:hAnsi="Cambria"/>
      <w:b/>
      <w:bCs/>
      <w:kern w:val="2"/>
      <w:sz w:val="32"/>
      <w:szCs w:val="32"/>
    </w:rPr>
  </w:style>
  <w:style w:type="character" w:customStyle="1" w:styleId="47">
    <w:name w:val="正文文本缩进 字符"/>
    <w:link w:val="11"/>
    <w:autoRedefine/>
    <w:qFormat/>
    <w:uiPriority w:val="0"/>
    <w:rPr>
      <w:rFonts w:ascii="宋体"/>
      <w:color w:val="000000"/>
      <w:sz w:val="24"/>
    </w:rPr>
  </w:style>
  <w:style w:type="character" w:customStyle="1" w:styleId="48">
    <w:name w:val="批注文字 字符"/>
    <w:link w:val="13"/>
    <w:autoRedefine/>
    <w:qFormat/>
    <w:uiPriority w:val="0"/>
    <w:rPr>
      <w:kern w:val="2"/>
      <w:sz w:val="21"/>
      <w:szCs w:val="24"/>
    </w:rPr>
  </w:style>
  <w:style w:type="character" w:customStyle="1" w:styleId="49">
    <w:name w:val="纯文本 字符"/>
    <w:link w:val="19"/>
    <w:autoRedefine/>
    <w:qFormat/>
    <w:uiPriority w:val="0"/>
    <w:rPr>
      <w:rFonts w:ascii="宋体" w:hAnsi="Courier New" w:eastAsia="宋体"/>
      <w:kern w:val="2"/>
      <w:sz w:val="21"/>
      <w:szCs w:val="24"/>
      <w:lang w:val="en-US" w:eastAsia="zh-CN" w:bidi="ar-SA"/>
    </w:rPr>
  </w:style>
  <w:style w:type="character" w:customStyle="1" w:styleId="50">
    <w:name w:val="批注框文本 字符"/>
    <w:link w:val="22"/>
    <w:autoRedefine/>
    <w:qFormat/>
    <w:uiPriority w:val="0"/>
    <w:rPr>
      <w:kern w:val="2"/>
      <w:sz w:val="18"/>
      <w:szCs w:val="18"/>
    </w:rPr>
  </w:style>
  <w:style w:type="character" w:customStyle="1" w:styleId="51">
    <w:name w:val="页脚 字符"/>
    <w:link w:val="23"/>
    <w:autoRedefine/>
    <w:qFormat/>
    <w:uiPriority w:val="0"/>
    <w:rPr>
      <w:kern w:val="2"/>
      <w:sz w:val="18"/>
      <w:szCs w:val="18"/>
    </w:rPr>
  </w:style>
  <w:style w:type="character" w:customStyle="1" w:styleId="52">
    <w:name w:val="页眉 字符"/>
    <w:link w:val="24"/>
    <w:autoRedefine/>
    <w:qFormat/>
    <w:uiPriority w:val="0"/>
    <w:rPr>
      <w:kern w:val="2"/>
      <w:sz w:val="18"/>
      <w:szCs w:val="18"/>
    </w:rPr>
  </w:style>
  <w:style w:type="character" w:customStyle="1" w:styleId="53">
    <w:name w:val="批注主题 字符"/>
    <w:link w:val="33"/>
    <w:autoRedefine/>
    <w:qFormat/>
    <w:uiPriority w:val="0"/>
  </w:style>
  <w:style w:type="paragraph" w:customStyle="1" w:styleId="54">
    <w:name w:val="正文首行缩进 21"/>
    <w:basedOn w:val="11"/>
    <w:next w:val="55"/>
    <w:link w:val="56"/>
    <w:autoRedefine/>
    <w:qFormat/>
    <w:uiPriority w:val="0"/>
    <w:pPr>
      <w:tabs>
        <w:tab w:val="clear" w:pos="720"/>
        <w:tab w:val="clear" w:pos="1260"/>
        <w:tab w:val="clear" w:pos="2160"/>
        <w:tab w:val="clear" w:pos="2880"/>
        <w:tab w:val="clear" w:pos="3600"/>
        <w:tab w:val="clear" w:pos="4320"/>
        <w:tab w:val="clear" w:pos="5040"/>
        <w:tab w:val="clear" w:pos="5760"/>
      </w:tabs>
      <w:autoSpaceDE/>
      <w:autoSpaceDN/>
      <w:adjustRightInd/>
      <w:spacing w:after="120" w:afterLines="0" w:line="240" w:lineRule="auto"/>
      <w:ind w:left="420" w:leftChars="200" w:right="0" w:rightChars="0" w:firstLine="420" w:firstLineChars="200"/>
      <w:jc w:val="both"/>
    </w:pPr>
    <w:rPr>
      <w:rFonts w:ascii="宋体"/>
      <w:color w:val="000000"/>
      <w:kern w:val="2"/>
      <w:sz w:val="21"/>
      <w:szCs w:val="24"/>
    </w:rPr>
  </w:style>
  <w:style w:type="paragraph" w:customStyle="1" w:styleId="5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56">
    <w:name w:val="正文文本首行缩进 2 字符"/>
    <w:link w:val="54"/>
    <w:autoRedefine/>
    <w:qFormat/>
    <w:uiPriority w:val="0"/>
    <w:rPr>
      <w:rFonts w:ascii="宋体"/>
      <w:color w:val="000000"/>
      <w:kern w:val="2"/>
      <w:sz w:val="21"/>
      <w:szCs w:val="24"/>
    </w:rPr>
  </w:style>
  <w:style w:type="character" w:customStyle="1" w:styleId="57">
    <w:name w:val="font61"/>
    <w:basedOn w:val="37"/>
    <w:autoRedefine/>
    <w:qFormat/>
    <w:uiPriority w:val="0"/>
    <w:rPr>
      <w:rFonts w:hint="eastAsia" w:ascii="宋体" w:hAnsi="宋体" w:eastAsia="宋体"/>
      <w:b/>
      <w:bCs/>
      <w:color w:val="000000"/>
      <w:sz w:val="21"/>
      <w:szCs w:val="21"/>
      <w:u w:val="none"/>
    </w:rPr>
  </w:style>
  <w:style w:type="paragraph" w:customStyle="1" w:styleId="58">
    <w:name w:val="样式 标题 3 + (中文) 黑体 小四 非加粗 段前: 7.8 磅 段后: 0 磅 行距: 固定值 20 磅"/>
    <w:basedOn w:val="5"/>
    <w:autoRedefine/>
    <w:qFormat/>
    <w:uiPriority w:val="0"/>
    <w:pPr>
      <w:spacing w:line="400" w:lineRule="exact"/>
    </w:pPr>
    <w:rPr>
      <w:rFonts w:eastAsia="黑体" w:cs="宋体"/>
      <w:b w:val="0"/>
      <w:bCs w:val="0"/>
      <w:szCs w:val="20"/>
    </w:rPr>
  </w:style>
  <w:style w:type="paragraph" w:customStyle="1" w:styleId="59">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1"/>
    <w:basedOn w:val="1"/>
    <w:autoRedefine/>
    <w:qFormat/>
    <w:uiPriority w:val="0"/>
    <w:pPr>
      <w:ind w:firstLine="600" w:firstLineChars="200"/>
      <w:jc w:val="left"/>
    </w:pPr>
    <w:rPr>
      <w:rFonts w:ascii="Times New Roman" w:hAnsi="Times New Roman" w:eastAsia="仿宋_GB2312" w:cs="Times New Roman"/>
      <w:sz w:val="30"/>
      <w:szCs w:val="30"/>
    </w:rPr>
  </w:style>
  <w:style w:type="paragraph" w:customStyle="1" w:styleId="61">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har"/>
    <w:basedOn w:val="1"/>
    <w:autoRedefine/>
    <w:qFormat/>
    <w:uiPriority w:val="0"/>
  </w:style>
  <w:style w:type="paragraph" w:customStyle="1" w:styleId="63">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样式 首行缩进:  2 字符"/>
    <w:basedOn w:val="1"/>
    <w:autoRedefine/>
    <w:qFormat/>
    <w:uiPriority w:val="0"/>
    <w:pPr>
      <w:tabs>
        <w:tab w:val="left" w:pos="3465"/>
        <w:tab w:val="left" w:pos="3600"/>
        <w:tab w:val="left" w:pos="3675"/>
      </w:tabs>
      <w:spacing w:line="430" w:lineRule="exact"/>
      <w:jc w:val="left"/>
    </w:pPr>
    <w:rPr>
      <w:rFonts w:eastAsia="仿宋_GB2312"/>
      <w:sz w:val="28"/>
      <w:szCs w:val="20"/>
    </w:rPr>
  </w:style>
  <w:style w:type="paragraph" w:customStyle="1" w:styleId="65">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6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列出段落21"/>
    <w:basedOn w:val="1"/>
    <w:autoRedefine/>
    <w:qFormat/>
    <w:uiPriority w:val="0"/>
    <w:pPr>
      <w:ind w:firstLine="420" w:firstLineChars="200"/>
    </w:pPr>
    <w:rPr>
      <w:rFonts w:ascii="Calibri" w:hAnsi="Calibri" w:cs="黑体"/>
      <w:szCs w:val="22"/>
    </w:rPr>
  </w:style>
  <w:style w:type="paragraph" w:styleId="68">
    <w:name w:val="List Paragraph"/>
    <w:basedOn w:val="1"/>
    <w:autoRedefine/>
    <w:qFormat/>
    <w:uiPriority w:val="0"/>
    <w:pPr>
      <w:ind w:firstLine="420" w:firstLineChars="200"/>
    </w:pPr>
    <w:rPr>
      <w:rFonts w:ascii="Calibri" w:hAnsi="Calibri" w:eastAsia="宋体" w:cs="Times New Roman"/>
      <w:szCs w:val="22"/>
    </w:rPr>
  </w:style>
  <w:style w:type="paragraph" w:customStyle="1" w:styleId="69">
    <w:name w:val="正文_14"/>
    <w:autoRedefine/>
    <w:qFormat/>
    <w:uiPriority w:val="0"/>
    <w:rPr>
      <w:rFonts w:ascii="Times New Roman" w:hAnsi="Times New Roman" w:eastAsia="宋体" w:cs="Times New Roman"/>
      <w:sz w:val="21"/>
      <w:lang w:val="en-US" w:eastAsia="zh-CN" w:bidi="ar-SA"/>
    </w:rPr>
  </w:style>
  <w:style w:type="paragraph" w:customStyle="1" w:styleId="70">
    <w:name w:val="p0"/>
    <w:basedOn w:val="1"/>
    <w:autoRedefine/>
    <w:qFormat/>
    <w:uiPriority w:val="0"/>
    <w:pPr>
      <w:widowControl/>
    </w:pPr>
    <w:rPr>
      <w:rFonts w:ascii="仿宋_GB2312" w:hAnsi="宋体" w:eastAsia="仿宋_GB2312" w:cs="宋体"/>
      <w:b/>
      <w:bCs/>
      <w:color w:val="000000"/>
      <w:kern w:val="0"/>
      <w:szCs w:val="21"/>
    </w:rPr>
  </w:style>
  <w:style w:type="paragraph" w:customStyle="1" w:styleId="71">
    <w:name w:val="默认段落字体 Para Char Char Char Char Char Char Char Char Char1 Char Char Char Char"/>
    <w:basedOn w:val="1"/>
    <w:autoRedefine/>
    <w:qFormat/>
    <w:uiPriority w:val="0"/>
    <w:rPr>
      <w:rFonts w:ascii="Tahoma" w:hAnsi="Tahoma"/>
      <w:sz w:val="24"/>
      <w:szCs w:val="20"/>
    </w:rPr>
  </w:style>
  <w:style w:type="paragraph" w:customStyle="1" w:styleId="72">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 Char"/>
    <w:basedOn w:val="1"/>
    <w:autoRedefine/>
    <w:qFormat/>
    <w:uiPriority w:val="0"/>
  </w:style>
  <w:style w:type="paragraph" w:customStyle="1" w:styleId="74">
    <w:name w:val="正文文本缩进1"/>
    <w:basedOn w:val="1"/>
    <w:autoRedefine/>
    <w:qFormat/>
    <w:uiPriority w:val="0"/>
    <w:pPr>
      <w:spacing w:line="360" w:lineRule="auto"/>
      <w:ind w:firstLine="435"/>
    </w:pPr>
    <w:rPr>
      <w:sz w:val="28"/>
      <w:szCs w:val="24"/>
    </w:rPr>
  </w:style>
  <w:style w:type="paragraph" w:customStyle="1" w:styleId="75">
    <w:name w:val="No Spacing"/>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76">
    <w:name w:val="Table Paragraph"/>
    <w:basedOn w:val="1"/>
    <w:autoRedefine/>
    <w:qFormat/>
    <w:uiPriority w:val="1"/>
    <w:rPr>
      <w:rFonts w:ascii="宋体" w:hAnsi="宋体" w:eastAsia="宋体" w:cs="宋体"/>
      <w:lang w:val="zh-CN" w:eastAsia="zh-CN" w:bidi="zh-CN"/>
    </w:rPr>
  </w:style>
  <w:style w:type="paragraph" w:customStyle="1" w:styleId="7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zw"/>
    <w:basedOn w:val="1"/>
    <w:autoRedefine/>
    <w:qFormat/>
    <w:uiPriority w:val="0"/>
    <w:pPr>
      <w:widowControl/>
      <w:spacing w:before="30" w:beforeLines="0"/>
      <w:ind w:left="100" w:right="100"/>
    </w:pPr>
    <w:rPr>
      <w:rFonts w:ascii="方正书宋简体" w:hAnsi="宋体" w:eastAsia="方正书宋简体"/>
      <w:color w:val="000000"/>
      <w:kern w:val="0"/>
      <w:szCs w:val="21"/>
    </w:rPr>
  </w:style>
  <w:style w:type="paragraph" w:customStyle="1" w:styleId="79">
    <w:name w:val="reader-word-layer"/>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0">
    <w:name w:val="列出段落1"/>
    <w:basedOn w:val="1"/>
    <w:autoRedefine/>
    <w:qFormat/>
    <w:uiPriority w:val="0"/>
    <w:pPr>
      <w:ind w:firstLine="420" w:firstLineChars="200"/>
    </w:pPr>
    <w:rPr>
      <w:rFonts w:ascii="Calibri" w:hAnsi="Calibri"/>
      <w:kern w:val="0"/>
      <w:szCs w:val="20"/>
    </w:rPr>
  </w:style>
  <w:style w:type="paragraph" w:customStyle="1" w:styleId="81">
    <w:name w:val="无间隔1"/>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82">
    <w:name w:val="列出段落3"/>
    <w:basedOn w:val="1"/>
    <w:autoRedefine/>
    <w:qFormat/>
    <w:uiPriority w:val="0"/>
    <w:pPr>
      <w:ind w:firstLine="420" w:firstLineChars="200"/>
    </w:pPr>
    <w:rPr>
      <w:rFonts w:ascii="Calibri" w:hAnsi="Calibri"/>
    </w:rPr>
  </w:style>
  <w:style w:type="paragraph" w:customStyle="1" w:styleId="8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img"/>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5">
    <w:name w:val="文章正文"/>
    <w:basedOn w:val="1"/>
    <w:autoRedefine/>
    <w:qFormat/>
    <w:uiPriority w:val="0"/>
    <w:pPr>
      <w:spacing w:line="360" w:lineRule="auto"/>
      <w:ind w:firstLine="560" w:firstLineChars="200"/>
    </w:pPr>
    <w:rPr>
      <w:rFonts w:eastAsia="仿宋_GB2312"/>
      <w:kern w:val="0"/>
      <w:sz w:val="28"/>
      <w:szCs w:val="24"/>
    </w:rPr>
  </w:style>
  <w:style w:type="paragraph" w:customStyle="1" w:styleId="86">
    <w:name w:val="样式3"/>
    <w:basedOn w:val="1"/>
    <w:autoRedefine/>
    <w:qFormat/>
    <w:uiPriority w:val="0"/>
    <w:pPr>
      <w:widowControl/>
      <w:numPr>
        <w:ilvl w:val="0"/>
        <w:numId w:val="2"/>
      </w:numPr>
      <w:jc w:val="center"/>
      <w:textAlignment w:val="center"/>
    </w:pPr>
    <w:rPr>
      <w:rFonts w:hint="eastAsia" w:ascii="宋体" w:hAnsi="宋体" w:eastAsia="宋体" w:cs="宋体"/>
      <w:color w:val="auto"/>
      <w:kern w:val="0"/>
      <w:szCs w:val="21"/>
      <w:lang w:bidi="ar"/>
    </w:rPr>
  </w:style>
  <w:style w:type="paragraph" w:customStyle="1" w:styleId="87">
    <w:name w:val="DAS正文"/>
    <w:basedOn w:val="1"/>
    <w:autoRedefine/>
    <w:qFormat/>
    <w:uiPriority w:val="0"/>
    <w:pPr>
      <w:spacing w:line="360" w:lineRule="auto"/>
      <w:ind w:right="181" w:firstLine="480" w:firstLineChars="200"/>
    </w:pPr>
    <w:rPr>
      <w:rFonts w:ascii="Verdana" w:hAnsi="Verdana"/>
    </w:rPr>
  </w:style>
  <w:style w:type="paragraph" w:customStyle="1" w:styleId="88">
    <w:name w:val="一级标题"/>
    <w:basedOn w:val="1"/>
    <w:next w:val="15"/>
    <w:autoRedefine/>
    <w:qFormat/>
    <w:uiPriority w:val="0"/>
    <w:pPr>
      <w:outlineLvl w:val="0"/>
    </w:pPr>
    <w:rPr>
      <w:b/>
      <w:bCs/>
      <w:sz w:val="32"/>
    </w:rPr>
  </w:style>
  <w:style w:type="paragraph" w:customStyle="1" w:styleId="89">
    <w:name w:val="Other|1"/>
    <w:basedOn w:val="1"/>
    <w:autoRedefine/>
    <w:qFormat/>
    <w:uiPriority w:val="0"/>
    <w:pPr>
      <w:widowControl w:val="0"/>
      <w:shd w:val="clear" w:color="auto" w:fill="auto"/>
    </w:pPr>
    <w:rPr>
      <w:sz w:val="10"/>
      <w:szCs w:val="10"/>
      <w:u w:val="none"/>
      <w:shd w:val="clear" w:color="auto" w:fill="auto"/>
      <w:lang w:val="zh-TW" w:eastAsia="zh-TW" w:bidi="zh-TW"/>
    </w:rPr>
  </w:style>
  <w:style w:type="paragraph" w:customStyle="1" w:styleId="90">
    <w:name w:val="sf表格标题"/>
    <w:basedOn w:val="1"/>
    <w:next w:val="1"/>
    <w:autoRedefine/>
    <w:qFormat/>
    <w:uiPriority w:val="0"/>
    <w:pPr>
      <w:widowControl w:val="0"/>
      <w:adjustRightInd w:val="0"/>
      <w:snapToGrid w:val="0"/>
      <w:spacing w:line="240" w:lineRule="auto"/>
      <w:jc w:val="center"/>
    </w:pPr>
    <w:rPr>
      <w:rFonts w:ascii="Arial" w:hAnsi="Arial" w:eastAsia="仿宋"/>
      <w:sz w:val="28"/>
    </w:rPr>
  </w:style>
  <w:style w:type="character" w:customStyle="1" w:styleId="91">
    <w:name w:val="font71"/>
    <w:basedOn w:val="37"/>
    <w:autoRedefine/>
    <w:qFormat/>
    <w:uiPriority w:val="0"/>
    <w:rPr>
      <w:rFonts w:hint="eastAsia" w:ascii="宋体" w:hAnsi="宋体" w:eastAsia="宋体" w:cs="宋体"/>
      <w:b/>
      <w:bCs/>
      <w:color w:val="000000"/>
      <w:sz w:val="21"/>
      <w:szCs w:val="21"/>
      <w:u w:val="none"/>
    </w:rPr>
  </w:style>
  <w:style w:type="character" w:customStyle="1" w:styleId="92">
    <w:name w:val="font11"/>
    <w:basedOn w:val="37"/>
    <w:autoRedefine/>
    <w:qFormat/>
    <w:uiPriority w:val="0"/>
    <w:rPr>
      <w:rFonts w:hint="eastAsia" w:ascii="宋体" w:hAnsi="宋体" w:eastAsia="宋体" w:cs="宋体"/>
      <w:color w:val="000000"/>
      <w:sz w:val="21"/>
      <w:szCs w:val="21"/>
      <w:u w:val="none"/>
    </w:rPr>
  </w:style>
  <w:style w:type="character" w:customStyle="1" w:styleId="93">
    <w:name w:val="font31"/>
    <w:basedOn w:val="37"/>
    <w:autoRedefine/>
    <w:qFormat/>
    <w:uiPriority w:val="0"/>
    <w:rPr>
      <w:rFonts w:hint="eastAsia" w:ascii="宋体" w:hAnsi="宋体" w:eastAsia="宋体" w:cs="宋体"/>
      <w:b/>
      <w:bCs/>
      <w:color w:val="000000"/>
      <w:sz w:val="21"/>
      <w:szCs w:val="21"/>
      <w:u w:val="none"/>
    </w:rPr>
  </w:style>
  <w:style w:type="character" w:customStyle="1" w:styleId="94">
    <w:name w:val="font01"/>
    <w:basedOn w:val="37"/>
    <w:autoRedefine/>
    <w:qFormat/>
    <w:uiPriority w:val="0"/>
    <w:rPr>
      <w:rFonts w:hint="eastAsia" w:ascii="宋体" w:hAnsi="宋体" w:eastAsia="宋体" w:cs="宋体"/>
      <w:b/>
      <w:bCs/>
      <w:color w:val="000000"/>
      <w:sz w:val="21"/>
      <w:szCs w:val="21"/>
      <w:u w:val="none"/>
    </w:rPr>
  </w:style>
  <w:style w:type="character" w:customStyle="1" w:styleId="95">
    <w:name w:val="NormalCharacter"/>
    <w:autoRedefine/>
    <w:qFormat/>
    <w:uiPriority w:val="0"/>
    <w:rPr>
      <w:kern w:val="2"/>
      <w:sz w:val="21"/>
      <w:szCs w:val="24"/>
      <w:lang w:val="en-US" w:eastAsia="zh-CN" w:bidi="ar-SA"/>
    </w:rPr>
  </w:style>
  <w:style w:type="paragraph" w:customStyle="1" w:styleId="96">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Table Text"/>
    <w:basedOn w:val="1"/>
    <w:semiHidden/>
    <w:qFormat/>
    <w:uiPriority w:val="0"/>
    <w:rPr>
      <w:rFonts w:ascii="宋体" w:hAnsi="宋体" w:eastAsia="宋体" w:cs="宋体"/>
      <w:sz w:val="28"/>
      <w:szCs w:val="28"/>
      <w:lang w:val="en-US" w:eastAsia="en-US" w:bidi="ar-SA"/>
    </w:rPr>
  </w:style>
  <w:style w:type="table" w:customStyle="1" w:styleId="9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50</Pages>
  <Words>24663</Words>
  <Characters>25891</Characters>
  <Lines>218</Lines>
  <Paragraphs>61</Paragraphs>
  <TotalTime>9</TotalTime>
  <ScaleCrop>false</ScaleCrop>
  <LinksUpToDate>false</LinksUpToDate>
  <CharactersWithSpaces>28196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2021-12-01T03:17:00Z</dcterms:created>
  <dc:creator>dell</dc:creator>
  <cp:lastModifiedBy>Le.YonG.</cp:lastModifiedBy>
  <cp:lastPrinted>2021-11-30T02:20:00Z</cp:lastPrinted>
  <dcterms:modified xsi:type="dcterms:W3CDTF">2024-08-01T09:46:26Z</dcterms:modified>
  <dc:title>玉环市政府采购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5C604A6A7B16464EBFC94CC1F26BC907_13</vt:lpwstr>
  </property>
</Properties>
</file>