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47FA81C">
      <w:pPr>
        <w:rPr>
          <w:rFonts w:hint="eastAsia" w:ascii="宋体" w:hAnsi="宋体" w:eastAsia="宋体" w:cs="宋体"/>
          <w:color w:val="000000" w:themeColor="text1"/>
          <w:highlight w:val="none"/>
          <w14:textFill>
            <w14:solidFill>
              <w14:schemeClr w14:val="tx1"/>
            </w14:solidFill>
          </w14:textFill>
        </w:rPr>
      </w:pPr>
    </w:p>
    <w:p w14:paraId="4382A854">
      <w:pPr>
        <w:rPr>
          <w:rFonts w:hint="eastAsia" w:ascii="宋体" w:hAnsi="宋体" w:eastAsia="宋体" w:cs="宋体"/>
          <w:color w:val="000000" w:themeColor="text1"/>
          <w:highlight w:val="none"/>
          <w14:textFill>
            <w14:solidFill>
              <w14:schemeClr w14:val="tx1"/>
            </w14:solidFill>
          </w14:textFill>
        </w:rPr>
      </w:pPr>
    </w:p>
    <w:p w14:paraId="56B4F18D">
      <w:pPr>
        <w:pStyle w:val="28"/>
        <w:rPr>
          <w:rFonts w:hint="eastAsia" w:ascii="宋体" w:hAnsi="宋体" w:eastAsia="宋体" w:cs="宋体"/>
          <w:color w:val="000000" w:themeColor="text1"/>
          <w:highlight w:val="none"/>
          <w14:textFill>
            <w14:solidFill>
              <w14:schemeClr w14:val="tx1"/>
            </w14:solidFill>
          </w14:textFill>
        </w:rPr>
      </w:pPr>
    </w:p>
    <w:p w14:paraId="4022C3B2">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hAnsi="宋体" w:eastAsia="宋体" w:cs="宋体"/>
          <w:b/>
          <w:color w:val="000000" w:themeColor="text1"/>
          <w:kern w:val="0"/>
          <w:sz w:val="52"/>
          <w:highlight w:val="none"/>
          <w14:textFill>
            <w14:solidFill>
              <w14:schemeClr w14:val="tx1"/>
            </w14:solidFill>
          </w14:textFill>
        </w:rPr>
      </w:pPr>
      <w:r>
        <w:rPr>
          <w:rFonts w:hint="eastAsia" w:ascii="宋体" w:hAnsi="宋体" w:eastAsia="宋体" w:cs="宋体"/>
          <w:b/>
          <w:color w:val="000000" w:themeColor="text1"/>
          <w:kern w:val="0"/>
          <w:sz w:val="52"/>
          <w:szCs w:val="52"/>
          <w:highlight w:val="none"/>
          <w14:textFill>
            <w14:solidFill>
              <w14:schemeClr w14:val="tx1"/>
            </w14:solidFill>
          </w14:textFill>
        </w:rPr>
        <w:t>玉环市政府</w:t>
      </w:r>
      <w:r>
        <w:rPr>
          <w:rFonts w:hint="eastAsia" w:ascii="宋体" w:hAnsi="宋体" w:eastAsia="宋体" w:cs="宋体"/>
          <w:b/>
          <w:color w:val="000000" w:themeColor="text1"/>
          <w:kern w:val="0"/>
          <w:sz w:val="52"/>
          <w:highlight w:val="none"/>
          <w14:textFill>
            <w14:solidFill>
              <w14:schemeClr w14:val="tx1"/>
            </w14:solidFill>
          </w14:textFill>
        </w:rPr>
        <w:t>采购</w:t>
      </w:r>
    </w:p>
    <w:p w14:paraId="622CBF0A">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hAnsi="宋体" w:eastAsia="宋体" w:cs="宋体"/>
          <w:b/>
          <w:color w:val="000000" w:themeColor="text1"/>
          <w:kern w:val="0"/>
          <w:sz w:val="52"/>
          <w:szCs w:val="52"/>
          <w:highlight w:val="none"/>
          <w14:textFill>
            <w14:solidFill>
              <w14:schemeClr w14:val="tx1"/>
            </w14:solidFill>
          </w14:textFill>
        </w:rPr>
      </w:pPr>
      <w:r>
        <w:rPr>
          <w:rFonts w:hint="eastAsia" w:ascii="宋体" w:hAnsi="宋体" w:eastAsia="宋体" w:cs="宋体"/>
          <w:b/>
          <w:color w:val="000000" w:themeColor="text1"/>
          <w:kern w:val="0"/>
          <w:sz w:val="52"/>
          <w:szCs w:val="52"/>
          <w:highlight w:val="none"/>
          <w14:textFill>
            <w14:solidFill>
              <w14:schemeClr w14:val="tx1"/>
            </w14:solidFill>
          </w14:textFill>
        </w:rPr>
        <w:t>竞争性磋商文件</w:t>
      </w:r>
    </w:p>
    <w:p w14:paraId="702A970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hint="eastAsia" w:ascii="宋体" w:hAnsi="宋体" w:eastAsia="宋体" w:cs="宋体"/>
          <w:color w:val="000000" w:themeColor="text1"/>
          <w:kern w:val="0"/>
          <w:sz w:val="30"/>
          <w:szCs w:val="30"/>
          <w:highlight w:val="none"/>
          <w:lang w:val="en-US" w:eastAsia="zh-CN"/>
          <w14:textFill>
            <w14:solidFill>
              <w14:schemeClr w14:val="tx1"/>
            </w14:solidFill>
          </w14:textFill>
        </w:rPr>
      </w:pPr>
    </w:p>
    <w:p w14:paraId="4CA7B03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94" w:rightChars="0"/>
        <w:jc w:val="center"/>
        <w:rPr>
          <w:rFonts w:hint="default" w:ascii="宋体" w:hAnsi="宋体" w:eastAsia="宋体" w:cs="宋体"/>
          <w:b/>
          <w:bCs/>
          <w:color w:val="000000" w:themeColor="text1"/>
          <w:kern w:val="0"/>
          <w:sz w:val="32"/>
          <w:szCs w:val="32"/>
          <w:highlight w:val="none"/>
          <w:lang w:eastAsia="zh-CN"/>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t>项目编号：</w:t>
      </w:r>
      <w:r>
        <w:rPr>
          <w:rFonts w:hint="eastAsia" w:ascii="宋体" w:hAnsi="宋体" w:cs="宋体"/>
          <w:b/>
          <w:color w:val="000000" w:themeColor="text1"/>
          <w:kern w:val="0"/>
          <w:sz w:val="32"/>
          <w:szCs w:val="32"/>
          <w:highlight w:val="none"/>
          <w:lang w:eastAsia="zh-CN"/>
          <w14:textFill>
            <w14:solidFill>
              <w14:schemeClr w14:val="tx1"/>
            </w14:solidFill>
          </w14:textFill>
        </w:rPr>
        <w:t>HQ-YHZFCG-2024-1004</w:t>
      </w:r>
    </w:p>
    <w:p w14:paraId="6834202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hint="eastAsia" w:ascii="宋体" w:hAnsi="宋体" w:eastAsia="宋体" w:cs="宋体"/>
          <w:color w:val="000000" w:themeColor="text1"/>
          <w:kern w:val="0"/>
          <w:sz w:val="30"/>
          <w:szCs w:val="30"/>
          <w:highlight w:val="none"/>
          <w14:textFill>
            <w14:solidFill>
              <w14:schemeClr w14:val="tx1"/>
            </w14:solidFill>
          </w14:textFill>
        </w:rPr>
      </w:pPr>
    </w:p>
    <w:p w14:paraId="1CF7D886">
      <w:pPr>
        <w:pStyle w:val="48"/>
        <w:ind w:firstLine="600"/>
        <w:rPr>
          <w:rFonts w:hint="eastAsia" w:ascii="宋体" w:hAnsi="宋体" w:eastAsia="宋体" w:cs="宋体"/>
          <w:color w:val="000000" w:themeColor="text1"/>
          <w:kern w:val="0"/>
          <w:sz w:val="30"/>
          <w:szCs w:val="30"/>
          <w:highlight w:val="none"/>
          <w14:textFill>
            <w14:solidFill>
              <w14:schemeClr w14:val="tx1"/>
            </w14:solidFill>
          </w14:textFill>
        </w:rPr>
      </w:pPr>
    </w:p>
    <w:p w14:paraId="3D23D99D">
      <w:pPr>
        <w:pStyle w:val="48"/>
        <w:ind w:firstLine="600"/>
        <w:rPr>
          <w:rFonts w:hint="eastAsia" w:ascii="宋体" w:hAnsi="宋体" w:eastAsia="宋体" w:cs="宋体"/>
          <w:color w:val="000000" w:themeColor="text1"/>
          <w:kern w:val="0"/>
          <w:sz w:val="30"/>
          <w:szCs w:val="30"/>
          <w:highlight w:val="none"/>
          <w14:textFill>
            <w14:solidFill>
              <w14:schemeClr w14:val="tx1"/>
            </w14:solidFill>
          </w14:textFill>
        </w:rPr>
      </w:pPr>
    </w:p>
    <w:p w14:paraId="48878567">
      <w:pPr>
        <w:pStyle w:val="34"/>
        <w:rPr>
          <w:rFonts w:hint="eastAsia" w:ascii="宋体" w:hAnsi="宋体" w:eastAsia="宋体" w:cs="宋体"/>
          <w:color w:val="000000" w:themeColor="text1"/>
          <w:highlight w:val="none"/>
          <w14:textFill>
            <w14:solidFill>
              <w14:schemeClr w14:val="tx1"/>
            </w14:solidFill>
          </w14:textFill>
        </w:rPr>
      </w:pPr>
    </w:p>
    <w:p w14:paraId="48980FBF">
      <w:pPr>
        <w:tabs>
          <w:tab w:val="left" w:pos="720"/>
          <w:tab w:val="left" w:pos="1440"/>
          <w:tab w:val="left" w:pos="2160"/>
          <w:tab w:val="left" w:pos="2880"/>
          <w:tab w:val="left" w:pos="4320"/>
          <w:tab w:val="left" w:pos="5040"/>
          <w:tab w:val="left" w:pos="5760"/>
        </w:tabs>
        <w:autoSpaceDE w:val="0"/>
        <w:autoSpaceDN w:val="0"/>
        <w:adjustRightInd w:val="0"/>
        <w:spacing w:line="360" w:lineRule="auto"/>
        <w:ind w:right="-314" w:rightChars="0"/>
        <w:jc w:val="center"/>
        <w:rPr>
          <w:rFonts w:hint="eastAsia" w:ascii="宋体" w:hAnsi="宋体" w:eastAsia="宋体" w:cs="宋体"/>
          <w:color w:val="000000" w:themeColor="text1"/>
          <w:kern w:val="0"/>
          <w:sz w:val="28"/>
          <w:szCs w:val="28"/>
          <w:highlight w:val="none"/>
          <w:lang w:eastAsia="zh-CN"/>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采购项目：</w:t>
      </w:r>
      <w:r>
        <w:rPr>
          <w:rFonts w:hint="eastAsia" w:ascii="宋体" w:hAnsi="宋体" w:cs="宋体"/>
          <w:color w:val="000000" w:themeColor="text1"/>
          <w:kern w:val="0"/>
          <w:sz w:val="28"/>
          <w:szCs w:val="28"/>
          <w:highlight w:val="none"/>
          <w:lang w:eastAsia="zh-CN"/>
          <w14:textFill>
            <w14:solidFill>
              <w14:schemeClr w14:val="tx1"/>
            </w14:solidFill>
          </w14:textFill>
        </w:rPr>
        <w:t>玉环水库自然资源统一确权调查服务</w:t>
      </w:r>
    </w:p>
    <w:p w14:paraId="2FDB2DF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hint="eastAsia" w:ascii="宋体" w:hAnsi="宋体" w:eastAsia="宋体" w:cs="宋体"/>
          <w:color w:val="000000" w:themeColor="text1"/>
          <w:kern w:val="0"/>
          <w:sz w:val="28"/>
          <w:szCs w:val="28"/>
          <w:highlight w:val="none"/>
          <w:lang w:eastAsia="zh-CN"/>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采购人：</w:t>
      </w:r>
      <w:r>
        <w:rPr>
          <w:rFonts w:hint="eastAsia" w:ascii="宋体" w:hAnsi="宋体" w:cs="宋体"/>
          <w:color w:val="000000" w:themeColor="text1"/>
          <w:kern w:val="0"/>
          <w:sz w:val="28"/>
          <w:szCs w:val="28"/>
          <w:highlight w:val="none"/>
          <w:lang w:eastAsia="zh-CN"/>
          <w14:textFill>
            <w14:solidFill>
              <w14:schemeClr w14:val="tx1"/>
            </w14:solidFill>
          </w14:textFill>
        </w:rPr>
        <w:t>玉环市不动产登记服务中心</w:t>
      </w:r>
    </w:p>
    <w:p w14:paraId="0495291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left"/>
        <w:rPr>
          <w:rFonts w:hint="eastAsia" w:ascii="宋体" w:hAnsi="宋体" w:eastAsia="宋体" w:cs="宋体"/>
          <w:color w:val="000000" w:themeColor="text1"/>
          <w:kern w:val="0"/>
          <w:sz w:val="30"/>
          <w:szCs w:val="30"/>
          <w:highlight w:val="none"/>
          <w14:textFill>
            <w14:solidFill>
              <w14:schemeClr w14:val="tx1"/>
            </w14:solidFill>
          </w14:textFill>
        </w:rPr>
      </w:pPr>
      <w:r>
        <w:rPr>
          <w:rFonts w:hint="eastAsia" w:ascii="宋体" w:hAnsi="宋体" w:eastAsia="宋体" w:cs="宋体"/>
          <w:color w:val="000000" w:themeColor="text1"/>
          <w:kern w:val="0"/>
          <w:sz w:val="30"/>
          <w:szCs w:val="30"/>
          <w:highlight w:val="none"/>
          <w14:textFill>
            <w14:solidFill>
              <w14:schemeClr w14:val="tx1"/>
            </w14:solidFill>
          </w14:textFill>
        </w:rPr>
        <w:t xml:space="preserve">                   </w:t>
      </w:r>
    </w:p>
    <w:p w14:paraId="1929C094">
      <w:pPr>
        <w:pStyle w:val="28"/>
        <w:rPr>
          <w:rFonts w:hint="eastAsia" w:ascii="宋体" w:hAnsi="宋体" w:eastAsia="宋体" w:cs="宋体"/>
          <w:color w:val="000000" w:themeColor="text1"/>
          <w:highlight w:val="none"/>
          <w14:textFill>
            <w14:solidFill>
              <w14:schemeClr w14:val="tx1"/>
            </w14:solidFill>
          </w14:textFill>
        </w:rPr>
      </w:pPr>
    </w:p>
    <w:p w14:paraId="4155DA33">
      <w:pPr>
        <w:rPr>
          <w:rFonts w:hint="eastAsia" w:ascii="宋体" w:hAnsi="宋体" w:eastAsia="宋体" w:cs="宋体"/>
          <w:color w:val="000000" w:themeColor="text1"/>
          <w:highlight w:val="none"/>
          <w14:textFill>
            <w14:solidFill>
              <w14:schemeClr w14:val="tx1"/>
            </w14:solidFill>
          </w14:textFill>
        </w:rPr>
      </w:pPr>
    </w:p>
    <w:p w14:paraId="5F1DB7E1">
      <w:pPr>
        <w:pStyle w:val="2"/>
        <w:rPr>
          <w:rFonts w:hint="eastAsia" w:ascii="宋体" w:hAnsi="宋体" w:eastAsia="宋体" w:cs="宋体"/>
          <w:color w:val="000000" w:themeColor="text1"/>
          <w:highlight w:val="none"/>
          <w14:textFill>
            <w14:solidFill>
              <w14:schemeClr w14:val="tx1"/>
            </w14:solidFill>
          </w14:textFill>
        </w:rPr>
      </w:pPr>
    </w:p>
    <w:p w14:paraId="330123D5">
      <w:pPr>
        <w:pStyle w:val="2"/>
        <w:rPr>
          <w:rFonts w:hint="eastAsia" w:ascii="宋体" w:hAnsi="宋体" w:eastAsia="宋体" w:cs="宋体"/>
          <w:color w:val="000000" w:themeColor="text1"/>
          <w:highlight w:val="none"/>
          <w14:textFill>
            <w14:solidFill>
              <w14:schemeClr w14:val="tx1"/>
            </w14:solidFill>
          </w14:textFill>
        </w:rPr>
      </w:pPr>
    </w:p>
    <w:p w14:paraId="76CEFEF8">
      <w:pPr>
        <w:pStyle w:val="2"/>
        <w:rPr>
          <w:rFonts w:hint="eastAsia" w:ascii="宋体" w:hAnsi="宋体" w:eastAsia="宋体" w:cs="宋体"/>
          <w:color w:val="000000" w:themeColor="text1"/>
          <w:highlight w:val="none"/>
          <w14:textFill>
            <w14:solidFill>
              <w14:schemeClr w14:val="tx1"/>
            </w14:solidFill>
          </w14:textFill>
        </w:rPr>
      </w:pPr>
    </w:p>
    <w:p w14:paraId="1FB7071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30"/>
          <w:szCs w:val="30"/>
          <w:highlight w:val="none"/>
          <w14:textFill>
            <w14:solidFill>
              <w14:schemeClr w14:val="tx1"/>
            </w14:solidFill>
          </w14:textFill>
        </w:rPr>
        <w:t xml:space="preserve">   </w:t>
      </w:r>
      <w:r>
        <w:rPr>
          <w:rFonts w:hint="eastAsia" w:ascii="宋体" w:hAnsi="宋体" w:eastAsia="宋体" w:cs="宋体"/>
          <w:color w:val="000000" w:themeColor="text1"/>
          <w:kern w:val="0"/>
          <w:sz w:val="28"/>
          <w:szCs w:val="28"/>
          <w:highlight w:val="none"/>
          <w14:textFill>
            <w14:solidFill>
              <w14:schemeClr w14:val="tx1"/>
            </w14:solidFill>
          </w14:textFill>
        </w:rPr>
        <w:t>杭州华旗招标代理有限公司</w:t>
      </w:r>
    </w:p>
    <w:p w14:paraId="56A4634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2024年</w:t>
      </w:r>
      <w:r>
        <w:rPr>
          <w:rFonts w:hint="eastAsia" w:ascii="宋体" w:hAnsi="宋体" w:cs="宋体"/>
          <w:color w:val="000000" w:themeColor="text1"/>
          <w:sz w:val="28"/>
          <w:szCs w:val="28"/>
          <w:highlight w:val="none"/>
          <w:lang w:val="en-US" w:eastAsia="zh-CN"/>
          <w14:textFill>
            <w14:solidFill>
              <w14:schemeClr w14:val="tx1"/>
            </w14:solidFill>
          </w14:textFill>
        </w:rPr>
        <w:t>10月31日</w:t>
      </w:r>
    </w:p>
    <w:p w14:paraId="5017539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eastAsia="宋体" w:cs="宋体"/>
          <w:color w:val="000000" w:themeColor="text1"/>
          <w:kern w:val="0"/>
          <w:sz w:val="28"/>
          <w:szCs w:val="28"/>
          <w:highlight w:val="none"/>
          <w14:textFill>
            <w14:solidFill>
              <w14:schemeClr w14:val="tx1"/>
            </w14:solidFill>
          </w14:textFill>
        </w:rPr>
      </w:pPr>
    </w:p>
    <w:p w14:paraId="40AE33FD">
      <w:pPr>
        <w:pStyle w:val="2"/>
        <w:rPr>
          <w:rFonts w:hint="eastAsia" w:ascii="宋体" w:hAnsi="宋体" w:eastAsia="宋体" w:cs="宋体"/>
          <w:color w:val="000000" w:themeColor="text1"/>
          <w:kern w:val="0"/>
          <w:sz w:val="28"/>
          <w:szCs w:val="28"/>
          <w:highlight w:val="none"/>
          <w14:textFill>
            <w14:solidFill>
              <w14:schemeClr w14:val="tx1"/>
            </w14:solidFill>
          </w14:textFill>
        </w:rPr>
      </w:pPr>
    </w:p>
    <w:p w14:paraId="1DBDC1D2">
      <w:pPr>
        <w:pStyle w:val="2"/>
        <w:rPr>
          <w:rFonts w:hint="eastAsia" w:ascii="宋体" w:hAnsi="宋体" w:eastAsia="宋体" w:cs="宋体"/>
          <w:color w:val="000000" w:themeColor="text1"/>
          <w:kern w:val="0"/>
          <w:sz w:val="28"/>
          <w:szCs w:val="28"/>
          <w:highlight w:val="none"/>
          <w14:textFill>
            <w14:solidFill>
              <w14:schemeClr w14:val="tx1"/>
            </w14:solidFill>
          </w14:textFill>
        </w:rPr>
      </w:pPr>
    </w:p>
    <w:p w14:paraId="44E01B1F">
      <w:pPr>
        <w:jc w:val="center"/>
        <w:rPr>
          <w:rFonts w:hint="eastAsia" w:ascii="宋体" w:hAnsi="宋体" w:eastAsia="宋体" w:cs="宋体"/>
          <w:b/>
          <w:bCs/>
          <w:color w:val="000000" w:themeColor="text1"/>
          <w:sz w:val="36"/>
          <w:szCs w:val="36"/>
          <w:highlight w:val="none"/>
          <w14:textFill>
            <w14:solidFill>
              <w14:schemeClr w14:val="tx1"/>
            </w14:solidFill>
          </w14:textFill>
        </w:rPr>
      </w:pPr>
    </w:p>
    <w:p w14:paraId="4D9BD4FE">
      <w:pPr>
        <w:jc w:val="center"/>
        <w:rPr>
          <w:rFonts w:hint="eastAsia" w:ascii="宋体" w:hAnsi="宋体" w:eastAsia="宋体" w:cs="宋体"/>
          <w:b/>
          <w:bCs/>
          <w:color w:val="000000" w:themeColor="text1"/>
          <w:sz w:val="36"/>
          <w:szCs w:val="36"/>
          <w:highlight w:val="none"/>
          <w14:textFill>
            <w14:solidFill>
              <w14:schemeClr w14:val="tx1"/>
            </w14:solidFill>
          </w14:textFill>
        </w:rPr>
      </w:pPr>
    </w:p>
    <w:p w14:paraId="27F028F2">
      <w:pPr>
        <w:jc w:val="center"/>
        <w:rPr>
          <w:rFonts w:hint="eastAsia" w:ascii="宋体" w:hAnsi="宋体" w:eastAsia="宋体" w:cs="宋体"/>
          <w:b/>
          <w:bCs/>
          <w:color w:val="000000" w:themeColor="text1"/>
          <w:sz w:val="36"/>
          <w:szCs w:val="36"/>
          <w:highlight w:val="none"/>
          <w14:textFill>
            <w14:solidFill>
              <w14:schemeClr w14:val="tx1"/>
            </w14:solidFill>
          </w14:textFill>
        </w:rPr>
      </w:pPr>
    </w:p>
    <w:p w14:paraId="1481FA8A">
      <w:pPr>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目    录</w:t>
      </w:r>
    </w:p>
    <w:p w14:paraId="43DC265C">
      <w:pPr>
        <w:spacing w:line="360" w:lineRule="auto"/>
        <w:ind w:left="359" w:leftChars="171" w:firstLine="481" w:firstLineChars="171"/>
        <w:rPr>
          <w:rFonts w:hint="eastAsia" w:ascii="宋体" w:hAnsi="宋体" w:eastAsia="宋体" w:cs="宋体"/>
          <w:b/>
          <w:color w:val="000000" w:themeColor="text1"/>
          <w:sz w:val="28"/>
          <w:szCs w:val="28"/>
          <w:highlight w:val="none"/>
          <w14:textFill>
            <w14:solidFill>
              <w14:schemeClr w14:val="tx1"/>
            </w14:solidFill>
          </w14:textFill>
        </w:rPr>
      </w:pPr>
    </w:p>
    <w:p w14:paraId="6A6BD347">
      <w:pPr>
        <w:spacing w:line="360" w:lineRule="auto"/>
        <w:ind w:left="359" w:leftChars="171" w:firstLine="481" w:firstLineChars="171"/>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一、竞争性磋商公告</w:t>
      </w:r>
    </w:p>
    <w:p w14:paraId="79CB6487">
      <w:pPr>
        <w:spacing w:line="360" w:lineRule="auto"/>
        <w:ind w:left="359" w:leftChars="171" w:firstLine="481" w:firstLineChars="171"/>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二、供应商须知</w:t>
      </w:r>
    </w:p>
    <w:p w14:paraId="3C723E6E">
      <w:pPr>
        <w:spacing w:line="360" w:lineRule="auto"/>
        <w:ind w:left="359" w:leftChars="171" w:firstLine="481" w:firstLineChars="171"/>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 xml:space="preserve">三、评审办法及评审标准  </w:t>
      </w:r>
    </w:p>
    <w:p w14:paraId="370DFADD">
      <w:pPr>
        <w:spacing w:line="360" w:lineRule="auto"/>
        <w:ind w:left="359" w:leftChars="171" w:firstLine="481" w:firstLineChars="171"/>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四、</w:t>
      </w:r>
      <w:r>
        <w:rPr>
          <w:rFonts w:hint="eastAsia" w:ascii="宋体" w:hAnsi="宋体" w:eastAsia="宋体" w:cs="宋体"/>
          <w:b/>
          <w:color w:val="000000" w:themeColor="text1"/>
          <w:kern w:val="0"/>
          <w:sz w:val="28"/>
          <w:szCs w:val="28"/>
          <w:highlight w:val="none"/>
          <w14:textFill>
            <w14:solidFill>
              <w14:schemeClr w14:val="tx1"/>
            </w14:solidFill>
          </w14:textFill>
        </w:rPr>
        <w:t>项目需求</w:t>
      </w:r>
    </w:p>
    <w:p w14:paraId="2901EC87">
      <w:pPr>
        <w:spacing w:line="360" w:lineRule="auto"/>
        <w:ind w:firstLine="703" w:firstLineChars="250"/>
        <w:jc w:val="lef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 xml:space="preserve"> 五、政府采购合同主要条款指引       </w:t>
      </w:r>
    </w:p>
    <w:p w14:paraId="6D0F5FB8">
      <w:pPr>
        <w:spacing w:line="360" w:lineRule="auto"/>
        <w:ind w:left="359" w:leftChars="171" w:firstLine="481" w:firstLineChars="171"/>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六、响应文件格式附件</w:t>
      </w:r>
    </w:p>
    <w:p w14:paraId="15C25C07">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49F6CDE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hint="eastAsia" w:ascii="宋体" w:hAnsi="宋体" w:eastAsia="宋体" w:cs="宋体"/>
          <w:color w:val="000000" w:themeColor="text1"/>
          <w:kern w:val="0"/>
          <w:sz w:val="30"/>
          <w:szCs w:val="30"/>
          <w:highlight w:val="none"/>
          <w14:textFill>
            <w14:solidFill>
              <w14:schemeClr w14:val="tx1"/>
            </w14:solidFill>
          </w14:textFill>
        </w:rPr>
      </w:pPr>
    </w:p>
    <w:p w14:paraId="42BD0BB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hint="eastAsia" w:ascii="宋体" w:hAnsi="宋体" w:eastAsia="宋体" w:cs="宋体"/>
          <w:color w:val="000000" w:themeColor="text1"/>
          <w:kern w:val="0"/>
          <w:sz w:val="30"/>
          <w:szCs w:val="30"/>
          <w:highlight w:val="none"/>
          <w14:textFill>
            <w14:solidFill>
              <w14:schemeClr w14:val="tx1"/>
            </w14:solidFill>
          </w14:textFill>
        </w:rPr>
      </w:pPr>
    </w:p>
    <w:p w14:paraId="1900139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hint="eastAsia" w:ascii="宋体" w:hAnsi="宋体" w:eastAsia="宋体" w:cs="宋体"/>
          <w:color w:val="000000" w:themeColor="text1"/>
          <w:kern w:val="0"/>
          <w:sz w:val="30"/>
          <w:szCs w:val="30"/>
          <w:highlight w:val="none"/>
          <w14:textFill>
            <w14:solidFill>
              <w14:schemeClr w14:val="tx1"/>
            </w14:solidFill>
          </w14:textFill>
        </w:rPr>
      </w:pPr>
    </w:p>
    <w:p w14:paraId="67821982">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2BD1FA8B">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3D250681">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6ECD4B91">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31959C5D">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477CF283">
      <w:pPr>
        <w:pStyle w:val="45"/>
        <w:rPr>
          <w:rFonts w:hint="eastAsia" w:ascii="宋体" w:hAnsi="宋体" w:eastAsia="宋体" w:cs="宋体"/>
          <w:color w:val="000000" w:themeColor="text1"/>
          <w:highlight w:val="none"/>
          <w14:textFill>
            <w14:solidFill>
              <w14:schemeClr w14:val="tx1"/>
            </w14:solidFill>
          </w14:textFill>
        </w:rPr>
      </w:pPr>
    </w:p>
    <w:p w14:paraId="05143774">
      <w:pPr>
        <w:pStyle w:val="3"/>
        <w:spacing w:before="0" w:after="0" w:line="520" w:lineRule="exact"/>
        <w:jc w:val="center"/>
        <w:rPr>
          <w:rFonts w:hint="eastAsia" w:ascii="宋体" w:hAnsi="宋体" w:eastAsia="宋体" w:cs="宋体"/>
          <w:color w:val="000000" w:themeColor="text1"/>
          <w:kern w:val="0"/>
          <w:sz w:val="30"/>
          <w:szCs w:val="30"/>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第一章  竞争性磋商公告</w:t>
      </w:r>
      <w:r>
        <w:rPr>
          <w:rFonts w:hint="eastAsia" w:ascii="宋体" w:hAnsi="宋体" w:eastAsia="宋体" w:cs="宋体"/>
          <w:color w:val="000000" w:themeColor="text1"/>
          <w:kern w:val="0"/>
          <w:sz w:val="30"/>
          <w:szCs w:val="30"/>
          <w:highlight w:val="none"/>
          <w14:textFill>
            <w14:solidFill>
              <w14:schemeClr w14:val="tx1"/>
            </w14:solidFill>
          </w14:textFill>
        </w:rPr>
        <w:t xml:space="preserve"> </w:t>
      </w:r>
    </w:p>
    <w:tbl>
      <w:tblPr>
        <w:tblStyle w:val="37"/>
        <w:tblpPr w:leftFromText="180" w:rightFromText="180" w:vertAnchor="text" w:tblpX="-44" w:tblpY="20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6"/>
      </w:tblGrid>
      <w:tr w14:paraId="1E59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5000" w:type="pct"/>
            <w:noWrap w:val="0"/>
            <w:vAlign w:val="top"/>
          </w:tcPr>
          <w:p w14:paraId="196CEB00">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项目概况</w:t>
            </w:r>
          </w:p>
          <w:p w14:paraId="0563AFCB">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480" w:firstLineChars="200"/>
              <w:textAlignment w:val="auto"/>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玉环水库自然资源统一确权调查服务</w:t>
            </w:r>
            <w:r>
              <w:rPr>
                <w:rFonts w:hint="eastAsia" w:ascii="宋体" w:hAnsi="宋体" w:eastAsia="宋体" w:cs="宋体"/>
                <w:color w:val="000000" w:themeColor="text1"/>
                <w:sz w:val="24"/>
                <w:szCs w:val="24"/>
                <w:highlight w:val="none"/>
                <w14:textFill>
                  <w14:solidFill>
                    <w14:schemeClr w14:val="tx1"/>
                  </w14:solidFill>
                </w14:textFill>
              </w:rPr>
              <w:t>采购项目的潜在供应商应在政采云平台获取（下载）采购文件，并于</w:t>
            </w:r>
            <w:r>
              <w:rPr>
                <w:rFonts w:hint="eastAsia" w:ascii="宋体" w:hAnsi="宋体" w:eastAsia="宋体" w:cs="宋体"/>
                <w:color w:val="000000" w:themeColor="text1"/>
                <w:sz w:val="24"/>
                <w:szCs w:val="24"/>
                <w:highlight w:val="none"/>
                <w:lang w:eastAsia="zh-CN"/>
                <w14:textFill>
                  <w14:solidFill>
                    <w14:schemeClr w14:val="tx1"/>
                  </w14:solidFill>
                </w14:textFill>
              </w:rPr>
              <w:t>2024年</w:t>
            </w:r>
            <w:r>
              <w:rPr>
                <w:rFonts w:hint="eastAsia" w:cs="宋体"/>
                <w:color w:val="000000" w:themeColor="text1"/>
                <w:sz w:val="24"/>
                <w:szCs w:val="24"/>
                <w:highlight w:val="none"/>
                <w:lang w:val="en-US" w:eastAsia="zh-CN"/>
                <w14:textFill>
                  <w14:solidFill>
                    <w14:schemeClr w14:val="tx1"/>
                  </w14:solidFill>
                </w14:textFill>
              </w:rPr>
              <w:t>11月12日14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（北京时间）前提交（上传）响应文件</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 xml:space="preserve">。    </w:t>
            </w:r>
          </w:p>
        </w:tc>
      </w:tr>
    </w:tbl>
    <w:p w14:paraId="0F4821F2">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20AE58B2">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40"/>
          <w:rFonts w:hint="eastAsia" w:ascii="宋体" w:hAnsi="宋体" w:eastAsia="宋体" w:cs="宋体"/>
          <w:color w:val="000000" w:themeColor="text1"/>
          <w:sz w:val="24"/>
          <w:szCs w:val="24"/>
          <w:highlight w:val="none"/>
          <w14:textFill>
            <w14:solidFill>
              <w14:schemeClr w14:val="tx1"/>
            </w14:solidFill>
          </w14:textFill>
        </w:rPr>
        <w:t>一、项目基本情况</w:t>
      </w:r>
    </w:p>
    <w:p w14:paraId="384554FD">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leftChars="-95" w:hanging="199" w:hangingChars="83"/>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项目编号：</w:t>
      </w:r>
      <w:r>
        <w:rPr>
          <w:rFonts w:hint="eastAsia" w:cs="宋体"/>
          <w:color w:val="000000" w:themeColor="text1"/>
          <w:sz w:val="24"/>
          <w:szCs w:val="24"/>
          <w:highlight w:val="none"/>
          <w:lang w:eastAsia="zh-CN"/>
          <w14:textFill>
            <w14:solidFill>
              <w14:schemeClr w14:val="tx1"/>
            </w14:solidFill>
          </w14:textFill>
        </w:rPr>
        <w:t>HQ-YHZFCG-2024-1004</w:t>
      </w:r>
      <w:r>
        <w:rPr>
          <w:rFonts w:hint="eastAsia" w:ascii="宋体" w:hAnsi="宋体" w:eastAsia="宋体" w:cs="宋体"/>
          <w:color w:val="000000" w:themeColor="text1"/>
          <w:sz w:val="24"/>
          <w:szCs w:val="24"/>
          <w:highlight w:val="none"/>
          <w14:textFill>
            <w14:solidFill>
              <w14:schemeClr w14:val="tx1"/>
            </w14:solidFill>
          </w14:textFill>
        </w:rPr>
        <w:t> </w:t>
      </w:r>
    </w:p>
    <w:p w14:paraId="113C6196">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leftChars="-95" w:hanging="199" w:hangingChars="83"/>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项目名称：</w:t>
      </w:r>
      <w:r>
        <w:rPr>
          <w:rFonts w:hint="eastAsia" w:ascii="宋体" w:hAnsi="宋体" w:eastAsia="宋体" w:cs="宋体"/>
          <w:color w:val="000000" w:themeColor="text1"/>
          <w:sz w:val="24"/>
          <w:szCs w:val="24"/>
          <w:highlight w:val="none"/>
          <w:lang w:eastAsia="zh-CN"/>
          <w14:textFill>
            <w14:solidFill>
              <w14:schemeClr w14:val="tx1"/>
            </w14:solidFill>
          </w14:textFill>
        </w:rPr>
        <w:t>玉环水库自然资源统一确权调查服务</w:t>
      </w:r>
      <w:r>
        <w:rPr>
          <w:rFonts w:hint="eastAsia" w:ascii="宋体" w:hAnsi="宋体" w:eastAsia="宋体" w:cs="宋体"/>
          <w:color w:val="000000" w:themeColor="text1"/>
          <w:sz w:val="24"/>
          <w:szCs w:val="24"/>
          <w:highlight w:val="none"/>
          <w14:textFill>
            <w14:solidFill>
              <w14:schemeClr w14:val="tx1"/>
            </w14:solidFill>
          </w14:textFill>
        </w:rPr>
        <w:t> </w:t>
      </w:r>
    </w:p>
    <w:p w14:paraId="2A583297">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leftChars="-95" w:hanging="199" w:hangingChars="83"/>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采购方式：竞争性磋商 </w:t>
      </w:r>
    </w:p>
    <w:p w14:paraId="49BCBD46">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leftChars="-95" w:hanging="199" w:hangingChars="83"/>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预算金额（元）：</w:t>
      </w:r>
      <w:r>
        <w:rPr>
          <w:rFonts w:hint="eastAsia" w:ascii="宋体" w:hAnsi="宋体" w:eastAsia="宋体" w:cs="宋体"/>
          <w:color w:val="000000" w:themeColor="text1"/>
          <w:sz w:val="24"/>
          <w:szCs w:val="24"/>
          <w:highlight w:val="none"/>
          <w:lang w:eastAsia="zh-CN"/>
          <w14:textFill>
            <w14:solidFill>
              <w14:schemeClr w14:val="tx1"/>
            </w14:solidFill>
          </w14:textFill>
        </w:rPr>
        <w:t>700000</w:t>
      </w:r>
      <w:r>
        <w:rPr>
          <w:rFonts w:hint="eastAsia" w:ascii="宋体" w:hAnsi="宋体" w:eastAsia="宋体" w:cs="宋体"/>
          <w:color w:val="000000" w:themeColor="text1"/>
          <w:sz w:val="24"/>
          <w:szCs w:val="24"/>
          <w:highlight w:val="none"/>
          <w14:textFill>
            <w14:solidFill>
              <w14:schemeClr w14:val="tx1"/>
            </w14:solidFill>
          </w14:textFill>
        </w:rPr>
        <w:t>  </w:t>
      </w:r>
    </w:p>
    <w:p w14:paraId="033C727A">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leftChars="-95" w:hanging="199" w:hangingChars="83"/>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最高限价（元）：</w:t>
      </w:r>
      <w:r>
        <w:rPr>
          <w:rFonts w:hint="eastAsia" w:ascii="宋体" w:hAnsi="宋体" w:eastAsia="宋体" w:cs="宋体"/>
          <w:color w:val="000000" w:themeColor="text1"/>
          <w:sz w:val="24"/>
          <w:szCs w:val="24"/>
          <w:highlight w:val="none"/>
          <w:lang w:eastAsia="zh-CN"/>
          <w14:textFill>
            <w14:solidFill>
              <w14:schemeClr w14:val="tx1"/>
            </w14:solidFill>
          </w14:textFill>
        </w:rPr>
        <w:t>700000</w:t>
      </w:r>
      <w:r>
        <w:rPr>
          <w:rFonts w:hint="eastAsia" w:ascii="宋体" w:hAnsi="宋体" w:eastAsia="宋体" w:cs="宋体"/>
          <w:color w:val="000000" w:themeColor="text1"/>
          <w:sz w:val="24"/>
          <w:szCs w:val="24"/>
          <w:highlight w:val="none"/>
          <w14:textFill>
            <w14:solidFill>
              <w14:schemeClr w14:val="tx1"/>
            </w14:solidFill>
          </w14:textFill>
        </w:rPr>
        <w:t>  </w:t>
      </w:r>
    </w:p>
    <w:p w14:paraId="3404C68F">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leftChars="-95" w:hanging="199" w:hangingChars="83"/>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采购需求：</w:t>
      </w:r>
    </w:p>
    <w:p w14:paraId="62388832">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95" w:hanging="199" w:hangingChars="83"/>
        <w:jc w:val="left"/>
        <w:textAlignment w:val="auto"/>
        <w:rPr>
          <w:rFonts w:hint="eastAsia" w:ascii="宋体" w:hAnsi="宋体" w:eastAsia="宋体" w:cs="宋体"/>
          <w:color w:val="000000" w:themeColor="text1"/>
          <w:kern w:val="0"/>
          <w:sz w:val="24"/>
          <w:szCs w:val="24"/>
          <w:highlight w:val="none"/>
          <w:lang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         </w:t>
      </w:r>
    </w:p>
    <w:p w14:paraId="707C583B">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95" w:hanging="199" w:hangingChars="83"/>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   数量：</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4"/>
          <w:szCs w:val="24"/>
          <w:highlight w:val="none"/>
          <w:lang w:bidi="ar"/>
          <w14:textFill>
            <w14:solidFill>
              <w14:schemeClr w14:val="tx1"/>
            </w14:solidFill>
          </w14:textFill>
        </w:rPr>
        <w:t>       </w:t>
      </w:r>
    </w:p>
    <w:p w14:paraId="676E1D0D">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leftChars="-95" w:hanging="199" w:hangingChars="83"/>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预算金额（元）：</w:t>
      </w:r>
      <w:r>
        <w:rPr>
          <w:rFonts w:hint="eastAsia" w:ascii="宋体" w:hAnsi="宋体" w:eastAsia="宋体" w:cs="宋体"/>
          <w:color w:val="000000" w:themeColor="text1"/>
          <w:sz w:val="24"/>
          <w:szCs w:val="24"/>
          <w:highlight w:val="none"/>
          <w:lang w:eastAsia="zh-CN"/>
          <w14:textFill>
            <w14:solidFill>
              <w14:schemeClr w14:val="tx1"/>
            </w14:solidFill>
          </w14:textFill>
        </w:rPr>
        <w:t>700000</w:t>
      </w:r>
    </w:p>
    <w:p w14:paraId="1DC2C4A9">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leftChars="-95" w:hanging="199" w:hangingChars="83"/>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单位：</w:t>
      </w:r>
      <w:r>
        <w:rPr>
          <w:rFonts w:hint="eastAsia" w:ascii="宋体" w:hAnsi="宋体" w:eastAsia="宋体" w:cs="宋体"/>
          <w:color w:val="000000" w:themeColor="text1"/>
          <w:sz w:val="24"/>
          <w:szCs w:val="24"/>
          <w:highlight w:val="none"/>
          <w:lang w:val="en-US" w:eastAsia="zh-CN"/>
          <w14:textFill>
            <w14:solidFill>
              <w14:schemeClr w14:val="tx1"/>
            </w14:solidFill>
          </w14:textFill>
        </w:rPr>
        <w:t>项</w:t>
      </w:r>
      <w:r>
        <w:rPr>
          <w:rFonts w:hint="eastAsia" w:ascii="宋体" w:hAnsi="宋体" w:eastAsia="宋体" w:cs="宋体"/>
          <w:color w:val="000000" w:themeColor="text1"/>
          <w:sz w:val="24"/>
          <w:szCs w:val="24"/>
          <w:highlight w:val="none"/>
          <w14:textFill>
            <w14:solidFill>
              <w14:schemeClr w14:val="tx1"/>
            </w14:solidFill>
          </w14:textFill>
        </w:rPr>
        <w:t> </w:t>
      </w:r>
    </w:p>
    <w:p w14:paraId="59FC7A4F">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leftChars="-95" w:hanging="199" w:hangingChars="83"/>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简要规格描述：</w:t>
      </w:r>
      <w:r>
        <w:rPr>
          <w:rFonts w:hint="eastAsia" w:ascii="宋体" w:hAnsi="宋体" w:eastAsia="宋体" w:cs="宋体"/>
          <w:color w:val="000000" w:themeColor="text1"/>
          <w:sz w:val="24"/>
          <w:szCs w:val="24"/>
          <w:highlight w:val="none"/>
          <w:lang w:eastAsia="zh-CN"/>
          <w14:textFill>
            <w14:solidFill>
              <w14:schemeClr w14:val="tx1"/>
            </w14:solidFill>
          </w14:textFill>
        </w:rPr>
        <w:t>玉环水库自然资源统一确权调查服务</w:t>
      </w:r>
      <w:r>
        <w:rPr>
          <w:rFonts w:hint="eastAsia" w:ascii="宋体" w:hAnsi="宋体" w:eastAsia="宋体" w:cs="宋体"/>
          <w:color w:val="000000" w:themeColor="text1"/>
          <w:sz w:val="24"/>
          <w:szCs w:val="24"/>
          <w:highlight w:val="none"/>
          <w14:textFill>
            <w14:solidFill>
              <w14:schemeClr w14:val="tx1"/>
            </w14:solidFill>
          </w14:textFill>
        </w:rPr>
        <w:t> </w:t>
      </w:r>
    </w:p>
    <w:p w14:paraId="7E912FFE">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leftChars="-95" w:hanging="199" w:hangingChars="83"/>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备注： </w:t>
      </w:r>
    </w:p>
    <w:p w14:paraId="034877EB">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leftChars="-95" w:hanging="199" w:hangingChars="83"/>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合同履约期限：标项 1，自详见采购文件。  </w:t>
      </w:r>
    </w:p>
    <w:p w14:paraId="00E31C8F">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leftChars="-95" w:hanging="199" w:hangingChars="83"/>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本项目（否）接受联合体投标。  </w:t>
      </w:r>
    </w:p>
    <w:p w14:paraId="5F59472A">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40"/>
          <w:rFonts w:hint="eastAsia" w:ascii="宋体" w:hAnsi="宋体" w:eastAsia="宋体" w:cs="宋体"/>
          <w:color w:val="000000" w:themeColor="text1"/>
          <w:sz w:val="24"/>
          <w:szCs w:val="24"/>
          <w:highlight w:val="none"/>
          <w14:textFill>
            <w14:solidFill>
              <w14:schemeClr w14:val="tx1"/>
            </w14:solidFill>
          </w14:textFill>
        </w:rPr>
        <w:t>二、申请人的资格要求：</w:t>
      </w:r>
    </w:p>
    <w:p w14:paraId="7F52415D">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1.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03D6FAD">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2.落实政府采购政策需满足的资格要求：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无</w:t>
      </w:r>
      <w:r>
        <w:rPr>
          <w:rFonts w:hint="eastAsia" w:ascii="宋体" w:hAnsi="宋体" w:eastAsia="宋体" w:cs="宋体"/>
          <w:color w:val="000000" w:themeColor="text1"/>
          <w:sz w:val="24"/>
          <w:szCs w:val="24"/>
          <w:highlight w:val="none"/>
          <w14:textFill>
            <w14:solidFill>
              <w14:schemeClr w14:val="tx1"/>
            </w14:solidFill>
          </w14:textFill>
        </w:rPr>
        <w:t>； </w:t>
      </w:r>
    </w:p>
    <w:p w14:paraId="0B718053">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3.本项目的特定资格要求：无</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87993FD">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40"/>
          <w:rFonts w:hint="eastAsia" w:ascii="宋体" w:hAnsi="宋体" w:eastAsia="宋体" w:cs="宋体"/>
          <w:color w:val="000000" w:themeColor="text1"/>
          <w:sz w:val="24"/>
          <w:szCs w:val="24"/>
          <w:highlight w:val="none"/>
          <w14:textFill>
            <w14:solidFill>
              <w14:schemeClr w14:val="tx1"/>
            </w14:solidFill>
          </w14:textFill>
        </w:rPr>
        <w:t>三、获取（下载）采购文件</w:t>
      </w:r>
    </w:p>
    <w:p w14:paraId="0EFA7348">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时间：/至</w:t>
      </w:r>
      <w:r>
        <w:rPr>
          <w:rFonts w:hint="eastAsia" w:ascii="宋体" w:hAnsi="宋体" w:eastAsia="宋体" w:cs="宋体"/>
          <w:color w:val="000000" w:themeColor="text1"/>
          <w:sz w:val="24"/>
          <w:szCs w:val="24"/>
          <w:highlight w:val="none"/>
          <w:lang w:eastAsia="zh-CN"/>
          <w14:textFill>
            <w14:solidFill>
              <w14:schemeClr w14:val="tx1"/>
            </w14:solidFill>
          </w14:textFill>
        </w:rPr>
        <w:t>2024年</w:t>
      </w:r>
      <w:r>
        <w:rPr>
          <w:rFonts w:hint="eastAsia" w:cs="宋体"/>
          <w:color w:val="000000" w:themeColor="text1"/>
          <w:sz w:val="24"/>
          <w:szCs w:val="24"/>
          <w:highlight w:val="none"/>
          <w:lang w:val="en-US" w:eastAsia="zh-CN"/>
          <w14:textFill>
            <w14:solidFill>
              <w14:schemeClr w14:val="tx1"/>
            </w14:solidFill>
          </w14:textFill>
        </w:rPr>
        <w:t>11月12日</w:t>
      </w:r>
      <w:r>
        <w:rPr>
          <w:rFonts w:hint="eastAsia" w:ascii="宋体" w:hAnsi="宋体" w:eastAsia="宋体" w:cs="宋体"/>
          <w:color w:val="000000" w:themeColor="text1"/>
          <w:sz w:val="24"/>
          <w:szCs w:val="24"/>
          <w:highlight w:val="none"/>
          <w14:textFill>
            <w14:solidFill>
              <w14:schemeClr w14:val="tx1"/>
            </w14:solidFill>
          </w14:textFill>
        </w:rPr>
        <w:t>，每天上午00:00至12:00，下午12:00至23:59（北京时间，线上获取法定节假日均可，线下获取文件法定节假日除外）</w:t>
      </w:r>
    </w:p>
    <w:p w14:paraId="1D71C8A9">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地点（网址）：政采云平台线上获取 </w:t>
      </w:r>
    </w:p>
    <w:p w14:paraId="037241FD">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方式：供应商登录政采云平台https://www.zcygov.cn/在线申请获取采购文件（进入“项目采购”应用，在获取采购文件菜单中选择项目，申请获取采购文件） </w:t>
      </w:r>
    </w:p>
    <w:p w14:paraId="62311D8B">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售价（元）：0 </w:t>
      </w:r>
    </w:p>
    <w:p w14:paraId="20651FAB">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40"/>
          <w:rFonts w:hint="eastAsia" w:ascii="宋体" w:hAnsi="宋体" w:eastAsia="宋体" w:cs="宋体"/>
          <w:color w:val="000000" w:themeColor="text1"/>
          <w:sz w:val="24"/>
          <w:szCs w:val="24"/>
          <w:highlight w:val="none"/>
          <w14:textFill>
            <w14:solidFill>
              <w14:schemeClr w14:val="tx1"/>
            </w14:solidFill>
          </w14:textFill>
        </w:rPr>
        <w:t>四、响应文件提交（上传）</w:t>
      </w:r>
      <w:r>
        <w:rPr>
          <w:rFonts w:hint="eastAsia" w:ascii="宋体" w:hAnsi="宋体" w:eastAsia="宋体" w:cs="宋体"/>
          <w:color w:val="000000" w:themeColor="text1"/>
          <w:sz w:val="24"/>
          <w:szCs w:val="24"/>
          <w:highlight w:val="none"/>
          <w14:textFill>
            <w14:solidFill>
              <w14:schemeClr w14:val="tx1"/>
            </w14:solidFill>
          </w14:textFill>
        </w:rPr>
        <w:t> </w:t>
      </w:r>
    </w:p>
    <w:p w14:paraId="1232D856">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截止时间：</w:t>
      </w:r>
      <w:r>
        <w:rPr>
          <w:rFonts w:hint="eastAsia" w:ascii="宋体" w:hAnsi="宋体" w:eastAsia="宋体" w:cs="宋体"/>
          <w:color w:val="000000" w:themeColor="text1"/>
          <w:sz w:val="24"/>
          <w:szCs w:val="24"/>
          <w:highlight w:val="none"/>
          <w:lang w:eastAsia="zh-CN"/>
          <w14:textFill>
            <w14:solidFill>
              <w14:schemeClr w14:val="tx1"/>
            </w14:solidFill>
          </w14:textFill>
        </w:rPr>
        <w:t>2024年</w:t>
      </w:r>
      <w:r>
        <w:rPr>
          <w:rFonts w:hint="eastAsia" w:cs="宋体"/>
          <w:color w:val="000000" w:themeColor="text1"/>
          <w:sz w:val="24"/>
          <w:szCs w:val="24"/>
          <w:highlight w:val="none"/>
          <w:lang w:val="en-US" w:eastAsia="zh-CN"/>
          <w14:textFill>
            <w14:solidFill>
              <w14:schemeClr w14:val="tx1"/>
            </w14:solidFill>
          </w14:textFill>
        </w:rPr>
        <w:t>11月12日14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（北京时间）</w:t>
      </w:r>
    </w:p>
    <w:p w14:paraId="31AEA78D">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地点（网址）：请登录政采云投标客户端投标  </w:t>
      </w:r>
    </w:p>
    <w:p w14:paraId="30B9CE8A">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40"/>
          <w:rFonts w:hint="eastAsia" w:ascii="宋体" w:hAnsi="宋体" w:eastAsia="宋体" w:cs="宋体"/>
          <w:color w:val="000000" w:themeColor="text1"/>
          <w:sz w:val="24"/>
          <w:szCs w:val="24"/>
          <w:highlight w:val="none"/>
          <w14:textFill>
            <w14:solidFill>
              <w14:schemeClr w14:val="tx1"/>
            </w14:solidFill>
          </w14:textFill>
        </w:rPr>
        <w:t>五、响应文件开启</w:t>
      </w:r>
      <w:r>
        <w:rPr>
          <w:rFonts w:hint="eastAsia" w:ascii="宋体" w:hAnsi="宋体" w:eastAsia="宋体" w:cs="宋体"/>
          <w:color w:val="000000" w:themeColor="text1"/>
          <w:sz w:val="24"/>
          <w:szCs w:val="24"/>
          <w:highlight w:val="none"/>
          <w14:textFill>
            <w14:solidFill>
              <w14:schemeClr w14:val="tx1"/>
            </w14:solidFill>
          </w14:textFill>
        </w:rPr>
        <w:t> </w:t>
      </w:r>
    </w:p>
    <w:p w14:paraId="562B98D6">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开启时间：</w:t>
      </w:r>
      <w:r>
        <w:rPr>
          <w:rFonts w:hint="eastAsia" w:ascii="宋体" w:hAnsi="宋体" w:eastAsia="宋体" w:cs="宋体"/>
          <w:color w:val="000000" w:themeColor="text1"/>
          <w:sz w:val="24"/>
          <w:szCs w:val="24"/>
          <w:highlight w:val="none"/>
          <w:lang w:eastAsia="zh-CN"/>
          <w14:textFill>
            <w14:solidFill>
              <w14:schemeClr w14:val="tx1"/>
            </w14:solidFill>
          </w14:textFill>
        </w:rPr>
        <w:t>2024年</w:t>
      </w:r>
      <w:r>
        <w:rPr>
          <w:rFonts w:hint="eastAsia" w:cs="宋体"/>
          <w:color w:val="000000" w:themeColor="text1"/>
          <w:sz w:val="24"/>
          <w:szCs w:val="24"/>
          <w:highlight w:val="none"/>
          <w:lang w:val="en-US" w:eastAsia="zh-CN"/>
          <w14:textFill>
            <w14:solidFill>
              <w14:schemeClr w14:val="tx1"/>
            </w14:solidFill>
          </w14:textFill>
        </w:rPr>
        <w:t>11月12日14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（北京时间）</w:t>
      </w:r>
    </w:p>
    <w:p w14:paraId="03F2E8FB">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地点（网址）：政采云 </w:t>
      </w:r>
    </w:p>
    <w:p w14:paraId="2DADF33B">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40"/>
          <w:rFonts w:hint="eastAsia" w:ascii="宋体" w:hAnsi="宋体" w:eastAsia="宋体" w:cs="宋体"/>
          <w:color w:val="000000" w:themeColor="text1"/>
          <w:sz w:val="24"/>
          <w:szCs w:val="24"/>
          <w:highlight w:val="none"/>
          <w14:textFill>
            <w14:solidFill>
              <w14:schemeClr w14:val="tx1"/>
            </w14:solidFill>
          </w14:textFill>
        </w:rPr>
        <w:t>六、公告期限</w:t>
      </w:r>
    </w:p>
    <w:p w14:paraId="32B646BD">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自本公告发布之日起3个工作日。</w:t>
      </w:r>
    </w:p>
    <w:p w14:paraId="2C192AA6">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40"/>
          <w:rFonts w:hint="eastAsia" w:ascii="宋体" w:hAnsi="宋体" w:eastAsia="宋体" w:cs="宋体"/>
          <w:color w:val="000000" w:themeColor="text1"/>
          <w:sz w:val="24"/>
          <w:szCs w:val="24"/>
          <w:highlight w:val="none"/>
          <w14:textFill>
            <w14:solidFill>
              <w14:schemeClr w14:val="tx1"/>
            </w14:solidFill>
          </w14:textFill>
        </w:rPr>
        <w:t>七、其他补充事宜</w:t>
      </w:r>
      <w:r>
        <w:rPr>
          <w:rFonts w:hint="eastAsia" w:ascii="宋体" w:hAnsi="宋体" w:eastAsia="宋体" w:cs="宋体"/>
          <w:color w:val="000000" w:themeColor="text1"/>
          <w:sz w:val="24"/>
          <w:szCs w:val="24"/>
          <w:highlight w:val="none"/>
          <w14:textFill>
            <w14:solidFill>
              <w14:schemeClr w14:val="tx1"/>
            </w14:solidFill>
          </w14:textFill>
        </w:rPr>
        <w:t> </w:t>
      </w:r>
    </w:p>
    <w:p w14:paraId="30D08727">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1161AD3">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05272EA">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0403590">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4.其他事项：无</w:t>
      </w:r>
    </w:p>
    <w:p w14:paraId="60CA016A">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40"/>
          <w:rFonts w:hint="eastAsia" w:ascii="宋体" w:hAnsi="宋体" w:eastAsia="宋体" w:cs="宋体"/>
          <w:color w:val="000000" w:themeColor="text1"/>
          <w:sz w:val="24"/>
          <w:szCs w:val="24"/>
          <w:highlight w:val="none"/>
          <w14:textFill>
            <w14:solidFill>
              <w14:schemeClr w14:val="tx1"/>
            </w14:solidFill>
          </w14:textFill>
        </w:rPr>
        <w:t>八、凡对本次招标提出询问、质疑、投诉，请按以下方式联系</w:t>
      </w:r>
    </w:p>
    <w:p w14:paraId="13FBA3C7">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1.采购人信息</w:t>
      </w:r>
    </w:p>
    <w:p w14:paraId="6465077D">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    称：</w:t>
      </w:r>
      <w:r>
        <w:rPr>
          <w:rFonts w:hint="eastAsia" w:ascii="宋体" w:hAnsi="宋体" w:eastAsia="宋体" w:cs="宋体"/>
          <w:color w:val="000000" w:themeColor="text1"/>
          <w:sz w:val="24"/>
          <w:szCs w:val="24"/>
          <w:highlight w:val="none"/>
          <w:lang w:eastAsia="zh-CN"/>
          <w14:textFill>
            <w14:solidFill>
              <w14:schemeClr w14:val="tx1"/>
            </w14:solidFill>
          </w14:textFill>
        </w:rPr>
        <w:t>玉环市不动产登记服务中心</w:t>
      </w:r>
    </w:p>
    <w:p w14:paraId="13683C07">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址：浙江省玉环市玉城街道双港路187号</w:t>
      </w:r>
    </w:p>
    <w:p w14:paraId="670034B0">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cs="宋体"/>
          <w:color w:val="000000" w:themeColor="text1"/>
          <w:sz w:val="24"/>
          <w:szCs w:val="24"/>
          <w:highlight w:val="none"/>
          <w:lang w:val="en-US" w:eastAsia="zh-CN"/>
          <w14:textFill>
            <w14:solidFill>
              <w14:schemeClr w14:val="tx1"/>
            </w14:solidFill>
          </w14:textFill>
        </w:rPr>
        <w:t>柳</w:t>
      </w:r>
      <w:r>
        <w:rPr>
          <w:rFonts w:hint="eastAsia" w:ascii="宋体" w:hAnsi="宋体" w:eastAsia="宋体" w:cs="宋体"/>
          <w:color w:val="000000" w:themeColor="text1"/>
          <w:sz w:val="24"/>
          <w:szCs w:val="24"/>
          <w:highlight w:val="none"/>
          <w:lang w:val="en-US" w:eastAsia="zh-CN"/>
          <w14:textFill>
            <w14:solidFill>
              <w14:schemeClr w14:val="tx1"/>
            </w14:solidFill>
          </w14:textFill>
        </w:rPr>
        <w:t>先生</w:t>
      </w:r>
    </w:p>
    <w:p w14:paraId="32504B72">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联系方式：0576-81751017</w:t>
      </w:r>
    </w:p>
    <w:p w14:paraId="1E750B62">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质疑联系人：</w:t>
      </w:r>
      <w:r>
        <w:rPr>
          <w:rFonts w:hint="eastAsia" w:cs="宋体"/>
          <w:color w:val="000000" w:themeColor="text1"/>
          <w:sz w:val="24"/>
          <w:szCs w:val="24"/>
          <w:highlight w:val="none"/>
          <w:lang w:val="en-US" w:eastAsia="zh-CN"/>
          <w14:textFill>
            <w14:solidFill>
              <w14:schemeClr w14:val="tx1"/>
            </w14:solidFill>
          </w14:textFill>
        </w:rPr>
        <w:t>柳</w:t>
      </w:r>
      <w:bookmarkStart w:id="1" w:name="_GoBack"/>
      <w:bookmarkEnd w:id="1"/>
      <w:r>
        <w:rPr>
          <w:rFonts w:hint="eastAsia" w:ascii="宋体" w:hAnsi="宋体" w:eastAsia="宋体" w:cs="宋体"/>
          <w:color w:val="000000" w:themeColor="text1"/>
          <w:sz w:val="24"/>
          <w:szCs w:val="24"/>
          <w:highlight w:val="none"/>
          <w:lang w:val="en-US" w:eastAsia="zh-CN"/>
          <w14:textFill>
            <w14:solidFill>
              <w14:schemeClr w14:val="tx1"/>
            </w14:solidFill>
          </w14:textFill>
        </w:rPr>
        <w:t>先生</w:t>
      </w:r>
    </w:p>
    <w:p w14:paraId="45CC2EBB">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质疑联系方式：0576-81751017</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791BE755">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p w14:paraId="617ED8CB">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2.采购代理机构信息</w:t>
      </w:r>
    </w:p>
    <w:p w14:paraId="5DE0932C">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名   称：杭州华旗招标代理有限公司 </w:t>
      </w:r>
    </w:p>
    <w:p w14:paraId="1644A7BB">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地   址：台州市玉环市李家小区二期2号楼601室 </w:t>
      </w:r>
    </w:p>
    <w:p w14:paraId="1B7A25DA">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传   真：  </w:t>
      </w:r>
      <w:r>
        <w:rPr>
          <w:rFonts w:hint="eastAsia" w:cs="宋体"/>
          <w:color w:val="000000" w:themeColor="text1"/>
          <w:sz w:val="24"/>
          <w:szCs w:val="24"/>
          <w:highlight w:val="none"/>
          <w:lang w:val="en-US" w:eastAsia="zh-CN"/>
          <w14:textFill>
            <w14:solidFill>
              <w14:schemeClr w14:val="tx1"/>
            </w14:solidFill>
          </w14:textFill>
        </w:rPr>
        <w:t>/</w:t>
      </w:r>
    </w:p>
    <w:p w14:paraId="063DDDB3">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项目联系人（询问）：胡先生 </w:t>
      </w:r>
      <w:r>
        <w:rPr>
          <w:rFonts w:hint="eastAsia" w:ascii="宋体" w:hAnsi="宋体" w:eastAsia="宋体" w:cs="宋体"/>
          <w:color w:val="000000" w:themeColor="text1"/>
          <w:sz w:val="24"/>
          <w:szCs w:val="24"/>
          <w:highlight w:val="none"/>
          <w:lang w:val="en-US" w:eastAsia="zh-CN"/>
          <w14:textFill>
            <w14:solidFill>
              <w14:schemeClr w14:val="tx1"/>
            </w14:solidFill>
          </w14:textFill>
        </w:rPr>
        <w:t>林先生</w:t>
      </w:r>
    </w:p>
    <w:p w14:paraId="2B46CE6D">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项目联系方式（询问）：</w:t>
      </w:r>
      <w:r>
        <w:rPr>
          <w:rFonts w:hint="eastAsia" w:ascii="宋体" w:hAnsi="宋体" w:eastAsia="宋体" w:cs="宋体"/>
          <w:color w:val="000000" w:themeColor="text1"/>
          <w:sz w:val="24"/>
          <w:szCs w:val="24"/>
          <w:highlight w:val="none"/>
          <w:lang w:val="en-US" w:eastAsia="zh-CN"/>
          <w14:textFill>
            <w14:solidFill>
              <w14:schemeClr w14:val="tx1"/>
            </w14:solidFill>
          </w14:textFill>
        </w:rPr>
        <w:t>15967041020</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18057685959</w:t>
      </w:r>
      <w:r>
        <w:rPr>
          <w:rFonts w:hint="eastAsia" w:ascii="宋体" w:hAnsi="宋体" w:eastAsia="宋体" w:cs="宋体"/>
          <w:color w:val="000000" w:themeColor="text1"/>
          <w:sz w:val="24"/>
          <w:szCs w:val="24"/>
          <w:highlight w:val="none"/>
          <w14:textFill>
            <w14:solidFill>
              <w14:schemeClr w14:val="tx1"/>
            </w14:solidFill>
          </w14:textFill>
        </w:rPr>
        <w:t> </w:t>
      </w:r>
    </w:p>
    <w:p w14:paraId="0606B7D3">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质疑联系人：</w:t>
      </w:r>
      <w:r>
        <w:rPr>
          <w:rFonts w:hint="eastAsia" w:ascii="宋体" w:hAnsi="宋体" w:eastAsia="宋体" w:cs="宋体"/>
          <w:color w:val="000000" w:themeColor="text1"/>
          <w:sz w:val="24"/>
          <w:szCs w:val="24"/>
          <w:highlight w:val="none"/>
          <w:lang w:val="en-US" w:eastAsia="zh-CN"/>
          <w14:textFill>
            <w14:solidFill>
              <w14:schemeClr w14:val="tx1"/>
            </w14:solidFill>
          </w14:textFill>
        </w:rPr>
        <w:t>林先生</w:t>
      </w:r>
      <w:r>
        <w:rPr>
          <w:rFonts w:hint="eastAsia" w:ascii="宋体" w:hAnsi="宋体" w:eastAsia="宋体" w:cs="宋体"/>
          <w:color w:val="000000" w:themeColor="text1"/>
          <w:sz w:val="24"/>
          <w:szCs w:val="24"/>
          <w:highlight w:val="none"/>
          <w14:textFill>
            <w14:solidFill>
              <w14:schemeClr w14:val="tx1"/>
            </w14:solidFill>
          </w14:textFill>
        </w:rPr>
        <w:t> </w:t>
      </w:r>
    </w:p>
    <w:p w14:paraId="0915C513">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质疑联系方式：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18057685959</w:t>
      </w:r>
    </w:p>
    <w:p w14:paraId="198B7155">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p w14:paraId="1F50458D">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3. 同级政府采购监督管理部门</w:t>
      </w:r>
    </w:p>
    <w:p w14:paraId="423A74FD">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名   称：玉环市财政局政府采购监督管理科</w:t>
      </w:r>
    </w:p>
    <w:p w14:paraId="610FE7E8">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地   址：玉环市广陵路130号财政大楼5楼</w:t>
      </w:r>
    </w:p>
    <w:p w14:paraId="1744C812">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传   真：</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12A54096">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联 系 人：</w:t>
      </w:r>
      <w:r>
        <w:rPr>
          <w:rFonts w:hint="eastAsia" w:ascii="宋体" w:hAnsi="宋体" w:eastAsia="宋体" w:cs="宋体"/>
          <w:color w:val="000000" w:themeColor="text1"/>
          <w:sz w:val="24"/>
          <w:szCs w:val="24"/>
          <w:highlight w:val="none"/>
          <w:lang w:val="en-US" w:eastAsia="zh-CN"/>
          <w14:textFill>
            <w14:solidFill>
              <w14:schemeClr w14:val="tx1"/>
            </w14:solidFill>
          </w14:textFill>
        </w:rPr>
        <w:t>李</w:t>
      </w:r>
      <w:r>
        <w:rPr>
          <w:rFonts w:hint="eastAsia" w:ascii="宋体" w:hAnsi="宋体" w:eastAsia="宋体" w:cs="宋体"/>
          <w:color w:val="000000" w:themeColor="text1"/>
          <w:sz w:val="24"/>
          <w:szCs w:val="24"/>
          <w:highlight w:val="none"/>
          <w14:textFill>
            <w14:solidFill>
              <w14:schemeClr w14:val="tx1"/>
            </w14:solidFill>
          </w14:textFill>
        </w:rPr>
        <w:t>主任</w:t>
      </w:r>
    </w:p>
    <w:p w14:paraId="1F6C5A6B">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监督投诉电话：0576-87250185</w:t>
      </w:r>
    </w:p>
    <w:p w14:paraId="7DC81F61">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745D0E18">
      <w:pPr>
        <w:keepNext w:val="0"/>
        <w:keepLines w:val="0"/>
        <w:pageBreakBefore w:val="0"/>
        <w:kinsoku/>
        <w:wordWrap/>
        <w:overflowPunct/>
        <w:topLinePunct w:val="0"/>
        <w:autoSpaceDE/>
        <w:autoSpaceDN/>
        <w:bidi w:val="0"/>
        <w:adjustRightInd/>
        <w:snapToGrid/>
        <w:spacing w:beforeAutospacing="0" w:afterAutospacing="0" w:line="400" w:lineRule="exact"/>
        <w:ind w:firstLine="0" w:firstLineChars="0"/>
        <w:jc w:val="left"/>
        <w:textAlignment w:val="auto"/>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p>
    <w:p w14:paraId="249592E0">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0" w:firstLineChars="0"/>
        <w:textAlignment w:val="auto"/>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1CAC9E52">
      <w:pPr>
        <w:pStyle w:val="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0" w:firstLineChars="0"/>
        <w:textAlignment w:val="auto"/>
        <w:rPr>
          <w:rFonts w:hint="eastAsia" w:ascii="仿宋" w:hAnsi="仿宋" w:eastAsia="仿宋" w:cs="仿宋"/>
          <w:color w:val="000000" w:themeColor="text1"/>
          <w:kern w:val="0"/>
          <w:sz w:val="22"/>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CA问题联系电话（人工）：汇信CA 400-888-4636；天谷CA 400-087-8198。</w:t>
      </w: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p>
    <w:p w14:paraId="155DE9A6">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420" w:lineRule="exact"/>
        <w:ind w:right="23" w:firstLine="539"/>
        <w:jc w:val="center"/>
        <w:rPr>
          <w:rFonts w:hint="eastAsia" w:ascii="宋体" w:hAnsi="宋体" w:cs="宋体"/>
          <w:color w:val="000000" w:themeColor="text1"/>
          <w:sz w:val="24"/>
          <w:highlight w:val="none"/>
          <w14:textFill>
            <w14:solidFill>
              <w14:schemeClr w14:val="tx1"/>
            </w14:solidFill>
          </w14:textFill>
        </w:rPr>
      </w:pPr>
    </w:p>
    <w:p w14:paraId="4FE2D0C1">
      <w:pPr>
        <w:pStyle w:val="3"/>
        <w:keepNext/>
        <w:keepLines/>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第二章  供应商须知</w:t>
      </w:r>
    </w:p>
    <w:p w14:paraId="2BEE7A4F">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前附表</w:t>
      </w:r>
    </w:p>
    <w:tbl>
      <w:tblPr>
        <w:tblStyle w:val="37"/>
        <w:tblW w:w="94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0"/>
        <w:gridCol w:w="2002"/>
        <w:gridCol w:w="6577"/>
      </w:tblGrid>
      <w:tr w14:paraId="635EE2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0" w:type="dxa"/>
            <w:tcBorders>
              <w:top w:val="single" w:color="auto" w:sz="12" w:space="0"/>
            </w:tcBorders>
            <w:noWrap w:val="0"/>
            <w:vAlign w:val="center"/>
          </w:tcPr>
          <w:p w14:paraId="1D27C305">
            <w:pPr>
              <w:spacing w:line="400" w:lineRule="exact"/>
              <w:ind w:right="-214" w:rightChars="-102"/>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项号</w:t>
            </w:r>
          </w:p>
        </w:tc>
        <w:tc>
          <w:tcPr>
            <w:tcW w:w="2002" w:type="dxa"/>
            <w:tcBorders>
              <w:top w:val="single" w:color="auto" w:sz="12" w:space="0"/>
            </w:tcBorders>
            <w:noWrap w:val="0"/>
            <w:vAlign w:val="center"/>
          </w:tcPr>
          <w:p w14:paraId="4A613B4C">
            <w:pPr>
              <w:spacing w:line="400" w:lineRule="exact"/>
              <w:ind w:left="12" w:right="199" w:rightChars="95" w:hanging="12" w:hangingChars="5"/>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内容</w:t>
            </w:r>
          </w:p>
        </w:tc>
        <w:tc>
          <w:tcPr>
            <w:tcW w:w="6577" w:type="dxa"/>
            <w:tcBorders>
              <w:top w:val="single" w:color="auto" w:sz="12" w:space="0"/>
            </w:tcBorders>
            <w:noWrap w:val="0"/>
            <w:vAlign w:val="center"/>
          </w:tcPr>
          <w:p w14:paraId="500287AB">
            <w:pPr>
              <w:spacing w:line="400" w:lineRule="exact"/>
              <w:ind w:left="19" w:right="199" w:rightChars="95" w:hanging="19" w:hangingChars="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说明与要求</w:t>
            </w:r>
          </w:p>
        </w:tc>
      </w:tr>
      <w:tr w14:paraId="60E5C1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0" w:type="dxa"/>
            <w:noWrap w:val="0"/>
            <w:vAlign w:val="center"/>
          </w:tcPr>
          <w:p w14:paraId="46635A10">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29D9D4AF">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6577" w:type="dxa"/>
            <w:noWrap w:val="0"/>
            <w:vAlign w:val="center"/>
          </w:tcPr>
          <w:p w14:paraId="3B8632A3">
            <w:pPr>
              <w:spacing w:line="400" w:lineRule="exact"/>
              <w:ind w:left="19" w:right="199" w:rightChars="95" w:hanging="19" w:hangingChars="8"/>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玉环水库自然资源统一确权调查服务</w:t>
            </w:r>
          </w:p>
        </w:tc>
      </w:tr>
      <w:tr w14:paraId="53F4A5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0" w:type="dxa"/>
            <w:noWrap w:val="0"/>
            <w:vAlign w:val="center"/>
          </w:tcPr>
          <w:p w14:paraId="524BD43F">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2002" w:type="dxa"/>
            <w:noWrap w:val="0"/>
            <w:vAlign w:val="center"/>
          </w:tcPr>
          <w:p w14:paraId="4679B19A">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p>
        </w:tc>
        <w:tc>
          <w:tcPr>
            <w:tcW w:w="6577" w:type="dxa"/>
            <w:noWrap w:val="0"/>
            <w:vAlign w:val="center"/>
          </w:tcPr>
          <w:p w14:paraId="2D37B43A">
            <w:pPr>
              <w:spacing w:line="400" w:lineRule="exact"/>
              <w:ind w:left="19" w:right="199" w:rightChars="95" w:hanging="19" w:hangingChars="8"/>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HQ-YHZFCG-2024-1004</w:t>
            </w:r>
          </w:p>
        </w:tc>
      </w:tr>
      <w:tr w14:paraId="1CC80E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0" w:type="dxa"/>
            <w:noWrap w:val="0"/>
            <w:vAlign w:val="center"/>
          </w:tcPr>
          <w:p w14:paraId="12299BF4">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7718CE55">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资金来源</w:t>
            </w:r>
          </w:p>
        </w:tc>
        <w:tc>
          <w:tcPr>
            <w:tcW w:w="6577" w:type="dxa"/>
            <w:noWrap w:val="0"/>
            <w:vAlign w:val="center"/>
          </w:tcPr>
          <w:p w14:paraId="64104FF6">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财政性资金</w:t>
            </w:r>
          </w:p>
        </w:tc>
      </w:tr>
      <w:tr w14:paraId="55D1C4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0" w:type="dxa"/>
            <w:noWrap w:val="0"/>
            <w:vAlign w:val="center"/>
          </w:tcPr>
          <w:p w14:paraId="3FBD407A">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2A2140C8">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采购方式</w:t>
            </w:r>
          </w:p>
        </w:tc>
        <w:tc>
          <w:tcPr>
            <w:tcW w:w="6577" w:type="dxa"/>
            <w:noWrap w:val="0"/>
            <w:vAlign w:val="center"/>
          </w:tcPr>
          <w:p w14:paraId="53D87D81">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竞争性磋商</w:t>
            </w:r>
          </w:p>
        </w:tc>
      </w:tr>
      <w:tr w14:paraId="18B75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0" w:type="dxa"/>
            <w:noWrap w:val="0"/>
            <w:vAlign w:val="center"/>
          </w:tcPr>
          <w:p w14:paraId="689C1FA6">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10706EEE">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采购预算</w:t>
            </w:r>
          </w:p>
        </w:tc>
        <w:tc>
          <w:tcPr>
            <w:tcW w:w="6577" w:type="dxa"/>
            <w:noWrap w:val="0"/>
            <w:vAlign w:val="center"/>
          </w:tcPr>
          <w:p w14:paraId="5A20E482">
            <w:pPr>
              <w:spacing w:line="400" w:lineRule="exact"/>
              <w:ind w:left="19" w:leftChars="0"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700000</w:t>
            </w:r>
            <w:r>
              <w:rPr>
                <w:rFonts w:hint="eastAsia" w:ascii="宋体" w:hAnsi="宋体" w:eastAsia="宋体" w:cs="宋体"/>
                <w:color w:val="000000" w:themeColor="text1"/>
                <w:sz w:val="24"/>
                <w:highlight w:val="none"/>
                <w14:textFill>
                  <w14:solidFill>
                    <w14:schemeClr w14:val="tx1"/>
                  </w14:solidFill>
                </w14:textFill>
              </w:rPr>
              <w:t>元</w:t>
            </w:r>
          </w:p>
        </w:tc>
      </w:tr>
      <w:tr w14:paraId="26799A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0" w:type="dxa"/>
            <w:noWrap w:val="0"/>
            <w:vAlign w:val="center"/>
          </w:tcPr>
          <w:p w14:paraId="54A017D5">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438FAA61">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最高限价</w:t>
            </w:r>
          </w:p>
        </w:tc>
        <w:tc>
          <w:tcPr>
            <w:tcW w:w="6577" w:type="dxa"/>
            <w:noWrap w:val="0"/>
            <w:vAlign w:val="center"/>
          </w:tcPr>
          <w:p w14:paraId="4D639A23">
            <w:pPr>
              <w:spacing w:line="400" w:lineRule="exact"/>
              <w:ind w:left="19" w:leftChars="0"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700000</w:t>
            </w:r>
            <w:r>
              <w:rPr>
                <w:rFonts w:hint="eastAsia" w:ascii="宋体" w:hAnsi="宋体" w:eastAsia="宋体" w:cs="宋体"/>
                <w:color w:val="000000" w:themeColor="text1"/>
                <w:sz w:val="24"/>
                <w:highlight w:val="none"/>
                <w14:textFill>
                  <w14:solidFill>
                    <w14:schemeClr w14:val="tx1"/>
                  </w14:solidFill>
                </w14:textFill>
              </w:rPr>
              <w:t>元</w:t>
            </w:r>
          </w:p>
        </w:tc>
      </w:tr>
      <w:tr w14:paraId="0ED582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0" w:type="dxa"/>
            <w:noWrap w:val="0"/>
            <w:vAlign w:val="center"/>
          </w:tcPr>
          <w:p w14:paraId="2AD0C401">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05C0060E">
            <w:pPr>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w:t>
            </w:r>
          </w:p>
        </w:tc>
        <w:tc>
          <w:tcPr>
            <w:tcW w:w="6577" w:type="dxa"/>
            <w:noWrap w:val="0"/>
            <w:vAlign w:val="center"/>
          </w:tcPr>
          <w:p w14:paraId="19BA1DB9">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玉环市不动产登记服务中心</w:t>
            </w:r>
          </w:p>
        </w:tc>
      </w:tr>
      <w:tr w14:paraId="076CE9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0" w:type="dxa"/>
            <w:noWrap w:val="0"/>
            <w:vAlign w:val="center"/>
          </w:tcPr>
          <w:p w14:paraId="0B809F44">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2002" w:type="dxa"/>
            <w:noWrap w:val="0"/>
            <w:vAlign w:val="center"/>
          </w:tcPr>
          <w:p w14:paraId="18B29ADD">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招标代理机构</w:t>
            </w:r>
          </w:p>
        </w:tc>
        <w:tc>
          <w:tcPr>
            <w:tcW w:w="6577" w:type="dxa"/>
            <w:noWrap w:val="0"/>
            <w:vAlign w:val="center"/>
          </w:tcPr>
          <w:p w14:paraId="559A792A">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杭州华旗招标代理有限公司</w:t>
            </w:r>
          </w:p>
        </w:tc>
      </w:tr>
      <w:tr w14:paraId="36CA1D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0" w:type="dxa"/>
            <w:noWrap w:val="0"/>
            <w:vAlign w:val="center"/>
          </w:tcPr>
          <w:p w14:paraId="7E40AFED">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4C1023E2">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评标办法</w:t>
            </w:r>
          </w:p>
        </w:tc>
        <w:tc>
          <w:tcPr>
            <w:tcW w:w="6577" w:type="dxa"/>
            <w:noWrap w:val="0"/>
            <w:vAlign w:val="center"/>
          </w:tcPr>
          <w:p w14:paraId="7CE5EDA2">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综合评分法</w:t>
            </w:r>
          </w:p>
        </w:tc>
      </w:tr>
      <w:tr w14:paraId="579BE9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0" w:type="dxa"/>
            <w:noWrap w:val="0"/>
            <w:vAlign w:val="center"/>
          </w:tcPr>
          <w:p w14:paraId="742125D8">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5E44570A">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招标内容</w:t>
            </w:r>
          </w:p>
        </w:tc>
        <w:tc>
          <w:tcPr>
            <w:tcW w:w="6577" w:type="dxa"/>
            <w:noWrap w:val="0"/>
            <w:vAlign w:val="center"/>
          </w:tcPr>
          <w:p w14:paraId="3F6072BA">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具体内容见招标文件</w:t>
            </w:r>
          </w:p>
        </w:tc>
      </w:tr>
      <w:tr w14:paraId="093780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0" w:type="dxa"/>
            <w:noWrap w:val="0"/>
            <w:vAlign w:val="center"/>
          </w:tcPr>
          <w:p w14:paraId="380CE053">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4309B0CD">
            <w:pPr>
              <w:spacing w:line="400" w:lineRule="exact"/>
              <w:ind w:left="12" w:right="199" w:rightChars="95" w:hanging="12" w:hangingChars="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投标供应商</w:t>
            </w:r>
          </w:p>
          <w:p w14:paraId="6B55E9D4">
            <w:pPr>
              <w:spacing w:line="400" w:lineRule="exact"/>
              <w:ind w:left="12" w:leftChars="0"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资格要求</w:t>
            </w:r>
          </w:p>
        </w:tc>
        <w:tc>
          <w:tcPr>
            <w:tcW w:w="6577" w:type="dxa"/>
            <w:noWrap w:val="0"/>
            <w:vAlign w:val="center"/>
          </w:tcPr>
          <w:p w14:paraId="33A8BA1F">
            <w:pPr>
              <w:spacing w:line="400" w:lineRule="exact"/>
              <w:ind w:right="199" w:rightChars="95"/>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见采购公告</w:t>
            </w:r>
          </w:p>
        </w:tc>
      </w:tr>
      <w:tr w14:paraId="5FBF26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0" w:type="dxa"/>
            <w:noWrap w:val="0"/>
            <w:vAlign w:val="center"/>
          </w:tcPr>
          <w:p w14:paraId="5C9B589C">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3FBBE346">
            <w:pPr>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是否接受联合体投标</w:t>
            </w:r>
          </w:p>
        </w:tc>
        <w:tc>
          <w:tcPr>
            <w:tcW w:w="6577" w:type="dxa"/>
            <w:noWrap w:val="0"/>
            <w:vAlign w:val="center"/>
          </w:tcPr>
          <w:p w14:paraId="715BD365">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position w:val="0"/>
                <w:sz w:val="24"/>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不接受</w:t>
            </w:r>
          </w:p>
          <w:p w14:paraId="4C77AFB5">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□接受</w:t>
            </w:r>
          </w:p>
        </w:tc>
      </w:tr>
      <w:tr w14:paraId="000864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0" w:type="dxa"/>
            <w:noWrap w:val="0"/>
            <w:vAlign w:val="center"/>
          </w:tcPr>
          <w:p w14:paraId="4850EF26">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237A2947">
            <w:pPr>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踏勘现场</w:t>
            </w:r>
          </w:p>
        </w:tc>
        <w:tc>
          <w:tcPr>
            <w:tcW w:w="6577" w:type="dxa"/>
            <w:noWrap w:val="0"/>
            <w:vAlign w:val="center"/>
          </w:tcPr>
          <w:p w14:paraId="2420B06E">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fldChar w:fldCharType="begin"/>
            </w:r>
            <w:r>
              <w:rPr>
                <w:rFonts w:hint="eastAsia" w:ascii="宋体" w:hAnsi="宋体" w:eastAsia="宋体" w:cs="宋体"/>
                <w:b/>
                <w:bCs/>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b/>
                <w:bCs/>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b/>
                <w:bCs/>
                <w:color w:val="000000" w:themeColor="text1"/>
                <w:position w:val="0"/>
                <w:sz w:val="24"/>
                <w:szCs w:val="24"/>
                <w:highlight w:val="none"/>
                <w14:textFill>
                  <w14:solidFill>
                    <w14:schemeClr w14:val="tx1"/>
                  </w14:solidFill>
                </w14:textFill>
              </w:rPr>
              <w:instrText xml:space="preserve">,√)</w:instrText>
            </w:r>
            <w:r>
              <w:rPr>
                <w:rFonts w:hint="eastAsia" w:ascii="宋体" w:hAnsi="宋体" w:eastAsia="宋体" w:cs="宋体"/>
                <w:b/>
                <w:bCs/>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不组织</w:t>
            </w:r>
          </w:p>
          <w:p w14:paraId="65BF3005">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□组织   </w:t>
            </w:r>
          </w:p>
        </w:tc>
      </w:tr>
      <w:tr w14:paraId="0370EA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0" w:type="dxa"/>
            <w:noWrap w:val="0"/>
            <w:vAlign w:val="center"/>
          </w:tcPr>
          <w:p w14:paraId="34FB8028">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249EC251">
            <w:pPr>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是否允许递交备选投标方案</w:t>
            </w:r>
          </w:p>
        </w:tc>
        <w:tc>
          <w:tcPr>
            <w:tcW w:w="6577" w:type="dxa"/>
            <w:noWrap w:val="0"/>
            <w:vAlign w:val="center"/>
          </w:tcPr>
          <w:p w14:paraId="6AB4C74A">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fldChar w:fldCharType="begin"/>
            </w:r>
            <w:r>
              <w:rPr>
                <w:rFonts w:hint="eastAsia" w:ascii="宋体" w:hAnsi="宋体" w:eastAsia="宋体" w:cs="宋体"/>
                <w:b/>
                <w:bCs/>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b/>
                <w:bCs/>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b/>
                <w:bCs/>
                <w:color w:val="000000" w:themeColor="text1"/>
                <w:position w:val="0"/>
                <w:sz w:val="24"/>
                <w:szCs w:val="24"/>
                <w:highlight w:val="none"/>
                <w14:textFill>
                  <w14:solidFill>
                    <w14:schemeClr w14:val="tx1"/>
                  </w14:solidFill>
                </w14:textFill>
              </w:rPr>
              <w:instrText xml:space="preserve">,√)</w:instrText>
            </w:r>
            <w:r>
              <w:rPr>
                <w:rFonts w:hint="eastAsia" w:ascii="宋体" w:hAnsi="宋体" w:eastAsia="宋体" w:cs="宋体"/>
                <w:b/>
                <w:bCs/>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 xml:space="preserve"> 不允许</w:t>
            </w:r>
          </w:p>
          <w:p w14:paraId="63B635F3">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允许</w:t>
            </w:r>
          </w:p>
        </w:tc>
      </w:tr>
      <w:tr w14:paraId="52EA20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840" w:type="dxa"/>
            <w:noWrap w:val="0"/>
            <w:vAlign w:val="center"/>
          </w:tcPr>
          <w:p w14:paraId="3B25E67C">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4CD86217">
            <w:pPr>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投标货币</w:t>
            </w:r>
          </w:p>
        </w:tc>
        <w:tc>
          <w:tcPr>
            <w:tcW w:w="6577" w:type="dxa"/>
            <w:noWrap w:val="0"/>
            <w:vAlign w:val="center"/>
          </w:tcPr>
          <w:p w14:paraId="6A11C4CE">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人民币</w:t>
            </w:r>
          </w:p>
        </w:tc>
      </w:tr>
      <w:tr w14:paraId="53CF44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0" w:type="dxa"/>
            <w:noWrap w:val="0"/>
            <w:vAlign w:val="center"/>
          </w:tcPr>
          <w:p w14:paraId="2497F045">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6F8F6ADF">
            <w:pPr>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投标语言</w:t>
            </w:r>
          </w:p>
        </w:tc>
        <w:tc>
          <w:tcPr>
            <w:tcW w:w="6577" w:type="dxa"/>
            <w:noWrap w:val="0"/>
            <w:vAlign w:val="center"/>
          </w:tcPr>
          <w:p w14:paraId="275AE23F">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中文</w:t>
            </w:r>
          </w:p>
        </w:tc>
      </w:tr>
      <w:tr w14:paraId="1BE6C3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840" w:type="dxa"/>
            <w:noWrap w:val="0"/>
            <w:vAlign w:val="center"/>
          </w:tcPr>
          <w:p w14:paraId="2A033091">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00EB89ED">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磋商</w:t>
            </w:r>
            <w:r>
              <w:rPr>
                <w:rFonts w:hint="eastAsia" w:ascii="宋体" w:hAnsi="宋体" w:eastAsia="宋体" w:cs="宋体"/>
                <w:b/>
                <w:bCs/>
                <w:color w:val="000000" w:themeColor="text1"/>
                <w:sz w:val="24"/>
                <w:szCs w:val="24"/>
                <w:highlight w:val="none"/>
                <w:lang w:val="zh-CN"/>
                <w14:textFill>
                  <w14:solidFill>
                    <w14:schemeClr w14:val="tx1"/>
                  </w14:solidFill>
                </w14:textFill>
              </w:rPr>
              <w:t>文件</w:t>
            </w:r>
            <w:r>
              <w:rPr>
                <w:rFonts w:hint="eastAsia" w:ascii="宋体" w:hAnsi="宋体" w:eastAsia="宋体" w:cs="宋体"/>
                <w:b/>
                <w:bCs/>
                <w:color w:val="000000" w:themeColor="text1"/>
                <w:sz w:val="24"/>
                <w:szCs w:val="24"/>
                <w:highlight w:val="none"/>
                <w14:textFill>
                  <w14:solidFill>
                    <w14:schemeClr w14:val="tx1"/>
                  </w14:solidFill>
                </w14:textFill>
              </w:rPr>
              <w:t>说明</w:t>
            </w:r>
          </w:p>
        </w:tc>
        <w:tc>
          <w:tcPr>
            <w:tcW w:w="6577" w:type="dxa"/>
            <w:noWrap w:val="0"/>
            <w:vAlign w:val="center"/>
          </w:tcPr>
          <w:p w14:paraId="1A73AED5">
            <w:pPr>
              <w:autoSpaceDE w:val="0"/>
              <w:autoSpaceDN w:val="0"/>
              <w:adjustRightInd w:val="0"/>
              <w:spacing w:line="400" w:lineRule="exact"/>
              <w:ind w:left="19" w:right="199" w:rightChars="95" w:hanging="19" w:hangingChars="8"/>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w:t>
            </w:r>
            <w:r>
              <w:rPr>
                <w:rFonts w:hint="eastAsia" w:ascii="宋体" w:hAnsi="宋体" w:eastAsia="宋体" w:cs="宋体"/>
                <w:b/>
                <w:bCs/>
                <w:color w:val="000000" w:themeColor="text1"/>
                <w:sz w:val="24"/>
                <w:szCs w:val="24"/>
                <w:highlight w:val="none"/>
                <w:lang w:val="zh-CN"/>
                <w14:textFill>
                  <w14:solidFill>
                    <w14:schemeClr w14:val="tx1"/>
                  </w14:solidFill>
                </w14:textFill>
              </w:rPr>
              <w:t>磋商文件组成：</w:t>
            </w:r>
            <w:r>
              <w:rPr>
                <w:rFonts w:hint="eastAsia" w:ascii="宋体" w:hAnsi="宋体" w:eastAsia="宋体" w:cs="宋体"/>
                <w:color w:val="000000" w:themeColor="text1"/>
                <w:sz w:val="24"/>
                <w:szCs w:val="24"/>
                <w:highlight w:val="none"/>
                <w:lang w:val="zh-CN"/>
                <w14:textFill>
                  <w14:solidFill>
                    <w14:schemeClr w14:val="tx1"/>
                  </w14:solidFill>
                </w14:textFill>
              </w:rPr>
              <w:t>《资格文件》及《商务技术文件》和《报价文件》。</w:t>
            </w:r>
          </w:p>
          <w:p w14:paraId="68F35BBC">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磋商文件编制：</w:t>
            </w:r>
            <w:r>
              <w:rPr>
                <w:rFonts w:hint="eastAsia" w:ascii="宋体" w:hAnsi="宋体" w:eastAsia="宋体" w:cs="宋体"/>
                <w:color w:val="000000" w:themeColor="text1"/>
                <w:sz w:val="24"/>
                <w:szCs w:val="24"/>
                <w:highlight w:val="none"/>
                <w14:textFill>
                  <w14:solidFill>
                    <w14:schemeClr w14:val="tx1"/>
                  </w14:solidFill>
                </w14:textFill>
              </w:rPr>
              <w:t>供应商应先安装“政采云电子交易客户端”，并按照本采购文件和“政府采购云平台”的要求，通过“政采云电子交易客户端”编制并加密磋商文件。</w:t>
            </w:r>
          </w:p>
          <w:p w14:paraId="120F1B8C">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b/>
                <w:bCs/>
                <w:color w:val="000000" w:themeColor="text1"/>
                <w:sz w:val="24"/>
                <w:szCs w:val="24"/>
                <w:highlight w:val="none"/>
                <w14:textFill>
                  <w14:solidFill>
                    <w14:schemeClr w14:val="tx1"/>
                  </w14:solidFill>
                </w14:textFill>
              </w:rPr>
              <w:t>磋商文件的签章：</w:t>
            </w:r>
            <w:r>
              <w:rPr>
                <w:rFonts w:hint="eastAsia" w:ascii="宋体" w:hAnsi="宋体" w:eastAsia="宋体" w:cs="宋体"/>
                <w:color w:val="000000" w:themeColor="text1"/>
                <w:sz w:val="24"/>
                <w:szCs w:val="24"/>
                <w:highlight w:val="none"/>
                <w14:textFill>
                  <w14:solidFill>
                    <w14:schemeClr w14:val="tx1"/>
                  </w14:solidFill>
                </w14:textFill>
              </w:rPr>
              <w:t>电子签章。</w:t>
            </w:r>
          </w:p>
          <w:p w14:paraId="0ACE83CC">
            <w:pPr>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b/>
                <w:bCs/>
                <w:color w:val="000000" w:themeColor="text1"/>
                <w:sz w:val="24"/>
                <w:szCs w:val="24"/>
                <w:highlight w:val="none"/>
                <w14:textFill>
                  <w14:solidFill>
                    <w14:schemeClr w14:val="tx1"/>
                  </w14:solidFill>
                </w14:textFill>
              </w:rPr>
              <w:t>磋商文件的形式：</w:t>
            </w:r>
            <w:r>
              <w:rPr>
                <w:rFonts w:hint="eastAsia" w:ascii="宋体" w:hAnsi="宋体" w:eastAsia="宋体" w:cs="宋体"/>
                <w:color w:val="000000" w:themeColor="text1"/>
                <w:sz w:val="24"/>
                <w:szCs w:val="24"/>
                <w:highlight w:val="none"/>
                <w14:textFill>
                  <w14:solidFill>
                    <w14:schemeClr w14:val="tx1"/>
                  </w14:solidFill>
                </w14:textFill>
              </w:rPr>
              <w:t>☑电子磋商文件（包括“</w:t>
            </w:r>
            <w:r>
              <w:rPr>
                <w:rFonts w:hint="eastAsia" w:ascii="宋体" w:hAnsi="宋体" w:eastAsia="宋体" w:cs="宋体"/>
                <w:color w:val="000000" w:themeColor="text1"/>
                <w:sz w:val="24"/>
                <w:szCs w:val="24"/>
                <w:highlight w:val="none"/>
                <w:lang w:bidi="ar"/>
                <w14:textFill>
                  <w14:solidFill>
                    <w14:schemeClr w14:val="tx1"/>
                  </w14:solidFill>
                </w14:textFill>
              </w:rPr>
              <w:t>电子加密磋商文件”和“备份磋商文件”，在磋商文件编制完成后同时生成）；</w:t>
            </w:r>
          </w:p>
          <w:p w14:paraId="3009902E">
            <w:pPr>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（1）“电子加密磋商文件”是指通过“政采云电子交易客户端”完成磋商文件编制后生成并加密的数据电文形式的磋商文件。</w:t>
            </w:r>
          </w:p>
          <w:p w14:paraId="7690FD2E">
            <w:pPr>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（2）“备份磋商文件”是指与“电子加密磋商文件”同时生成的数据电文形式的电子文件（备份标书），其他方式编制的备份磋商文件视为无效备份磋商文件。</w:t>
            </w:r>
          </w:p>
          <w:p w14:paraId="3E865062">
            <w:pPr>
              <w:autoSpaceDE w:val="0"/>
              <w:autoSpaceDN w:val="0"/>
              <w:adjustRightInd w:val="0"/>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b/>
                <w:bCs/>
                <w:color w:val="000000" w:themeColor="text1"/>
                <w:sz w:val="24"/>
                <w:szCs w:val="24"/>
                <w:highlight w:val="none"/>
                <w:lang w:bidi="ar"/>
                <w14:textFill>
                  <w14:solidFill>
                    <w14:schemeClr w14:val="tx1"/>
                  </w14:solidFill>
                </w14:textFill>
              </w:rPr>
              <w:t>5、磋商文件份数：</w:t>
            </w:r>
            <w:r>
              <w:rPr>
                <w:rFonts w:hint="eastAsia" w:ascii="宋体" w:hAnsi="宋体" w:eastAsia="宋体" w:cs="宋体"/>
                <w:color w:val="000000" w:themeColor="text1"/>
                <w:sz w:val="24"/>
                <w:szCs w:val="24"/>
                <w:highlight w:val="none"/>
                <w:lang w:bidi="ar"/>
                <w14:textFill>
                  <w14:solidFill>
                    <w14:schemeClr w14:val="tx1"/>
                  </w14:solidFill>
                </w14:textFill>
              </w:rPr>
              <w:t>（1）“电子加密磋商文件”：在线上传递交。按政采云平台供应商项目采购-电子招投标操作指南https://help.zcygov.cn/web/site_2/2018/12-28/2573.html及本磋商文件要求提交。</w:t>
            </w:r>
          </w:p>
          <w:p w14:paraId="7DB95A2E">
            <w:pPr>
              <w:autoSpaceDE w:val="0"/>
              <w:autoSpaceDN w:val="0"/>
              <w:adjustRightInd w:val="0"/>
              <w:spacing w:line="400" w:lineRule="exact"/>
              <w:ind w:left="19" w:right="199" w:rightChars="95" w:hanging="19" w:hangingChars="8"/>
              <w:rPr>
                <w:rFonts w:hint="eastAsia" w:ascii="宋体" w:hAnsi="宋体" w:eastAsia="宋体" w:cs="宋体"/>
                <w:color w:val="000000" w:themeColor="text1"/>
                <w:sz w:val="24"/>
                <w:szCs w:val="24"/>
                <w:highlight w:val="none"/>
                <w:lang w:eastAsia="zh-CN"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（2）“备份磋商文件”：密封包装后投标截止时间前递交</w:t>
            </w:r>
            <w:r>
              <w:rPr>
                <w:rFonts w:hint="eastAsia" w:ascii="宋体" w:hAnsi="宋体" w:cs="宋体"/>
                <w:color w:val="000000" w:themeColor="text1"/>
                <w:sz w:val="24"/>
                <w:szCs w:val="24"/>
                <w:highlight w:val="none"/>
                <w:lang w:eastAsia="zh-CN" w:bidi="ar"/>
                <w14:textFill>
                  <w14:solidFill>
                    <w14:schemeClr w14:val="tx1"/>
                  </w14:solidFill>
                </w14:textFill>
              </w:rPr>
              <w:t>，</w:t>
            </w:r>
            <w:r>
              <w:rPr>
                <w:rFonts w:hint="eastAsia" w:ascii="宋体" w:hAnsi="宋体" w:eastAsia="宋体" w:cs="宋体"/>
                <w:color w:val="000000" w:themeColor="text1"/>
                <w:sz w:val="24"/>
                <w:szCs w:val="24"/>
                <w:highlight w:val="none"/>
                <w:lang w:bidi="ar"/>
                <w14:textFill>
                  <w14:solidFill>
                    <w14:schemeClr w14:val="tx1"/>
                  </w14:solidFill>
                </w14:textFill>
              </w:rPr>
              <w:t>一份</w:t>
            </w:r>
            <w:r>
              <w:rPr>
                <w:rFonts w:hint="eastAsia" w:ascii="宋体" w:hAnsi="宋体" w:cs="宋体"/>
                <w:color w:val="000000" w:themeColor="text1"/>
                <w:sz w:val="24"/>
                <w:szCs w:val="24"/>
                <w:highlight w:val="none"/>
                <w:lang w:eastAsia="zh-CN" w:bidi="ar"/>
                <w14:textFill>
                  <w14:solidFill>
                    <w14:schemeClr w14:val="tx1"/>
                  </w14:solidFill>
                </w14:textFill>
              </w:rPr>
              <w:t>。</w:t>
            </w:r>
          </w:p>
          <w:p w14:paraId="2D158ABA">
            <w:pPr>
              <w:spacing w:line="400" w:lineRule="exact"/>
              <w:ind w:left="19" w:right="199" w:rightChars="95" w:hanging="19" w:hangingChars="8"/>
              <w:rPr>
                <w:rFonts w:hint="eastAsia" w:ascii="宋体" w:hAnsi="宋体" w:eastAsia="宋体" w:cs="宋体"/>
                <w:b/>
                <w:bCs/>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6、</w:t>
            </w:r>
            <w:r>
              <w:rPr>
                <w:rFonts w:hint="eastAsia" w:ascii="宋体" w:hAnsi="宋体" w:eastAsia="宋体" w:cs="宋体"/>
                <w:b/>
                <w:bCs/>
                <w:color w:val="000000" w:themeColor="text1"/>
                <w:sz w:val="24"/>
                <w:szCs w:val="24"/>
                <w:highlight w:val="none"/>
                <w:lang w:bidi="ar"/>
                <w14:textFill>
                  <w14:solidFill>
                    <w14:schemeClr w14:val="tx1"/>
                  </w14:solidFill>
                </w14:textFill>
              </w:rPr>
              <w:t>磋商文件的上传和递交：</w:t>
            </w:r>
          </w:p>
          <w:p w14:paraId="75F0AA9B">
            <w:pPr>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（1）“电子加密磋商文件”的上传、递交：</w:t>
            </w:r>
          </w:p>
          <w:p w14:paraId="3ACDF863">
            <w:pPr>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a.供应商应在投标截止时间前将“电子加密磋商文件”成功上传递交至“政府采购云平台”，否则投标无效。</w:t>
            </w:r>
          </w:p>
          <w:p w14:paraId="78F7E57E">
            <w:pPr>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b.“电子加密磋商文件”成功上传递交后，供应商可自行打印磋商文件接收回执。</w:t>
            </w:r>
          </w:p>
          <w:p w14:paraId="07D54877">
            <w:pPr>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（2）“备份磋商文件”的密封包装、递交：</w:t>
            </w:r>
          </w:p>
          <w:p w14:paraId="204800FB">
            <w:pPr>
              <w:autoSpaceDE w:val="0"/>
              <w:autoSpaceDN w:val="0"/>
              <w:adjustRightInd w:val="0"/>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a.供应商在“政府采购云平台”完成“电子加密磋商文件”的上传递交后， 投标供应商如需递交“备份磋商文件”的，应在投标截止时间前递交一份以介质（U盘）存储的“备份磋商文件”到杭州华旗招标代理有限公司（地址玉环市李家小区二期</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2</w:t>
            </w:r>
            <w:r>
              <w:rPr>
                <w:rFonts w:hint="eastAsia" w:ascii="宋体" w:hAnsi="宋体" w:eastAsia="宋体" w:cs="宋体"/>
                <w:color w:val="000000" w:themeColor="text1"/>
                <w:sz w:val="24"/>
                <w:szCs w:val="24"/>
                <w:highlight w:val="none"/>
                <w:lang w:bidi="ar"/>
                <w14:textFill>
                  <w14:solidFill>
                    <w14:schemeClr w14:val="tx1"/>
                  </w14:solidFill>
                </w14:textFill>
              </w:rPr>
              <w:t>号楼</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601</w:t>
            </w:r>
            <w:r>
              <w:rPr>
                <w:rFonts w:hint="eastAsia" w:ascii="宋体" w:hAnsi="宋体" w:eastAsia="宋体" w:cs="宋体"/>
                <w:color w:val="000000" w:themeColor="text1"/>
                <w:sz w:val="24"/>
                <w:szCs w:val="24"/>
                <w:highlight w:val="none"/>
                <w:lang w:bidi="ar"/>
                <w14:textFill>
                  <w14:solidFill>
                    <w14:schemeClr w14:val="tx1"/>
                  </w14:solidFill>
                </w14:textFill>
              </w:rPr>
              <w:t>室，胡先生15967041020）或备份磋商文件压缩包形式投标截止前发送至邮箱153997632@qq.com。</w:t>
            </w:r>
          </w:p>
          <w:p w14:paraId="7D8244D7">
            <w:pPr>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b.“备份磋商文件”应当密封包装，并在包装上标注投标项目名称、投标单位名称并加盖公章。没有密封包装或者逾期邮寄送达至投标地点的“备份磋商文件”将不予接收；</w:t>
            </w:r>
          </w:p>
          <w:p w14:paraId="7B49CE4C">
            <w:pPr>
              <w:autoSpaceDE w:val="0"/>
              <w:autoSpaceDN w:val="0"/>
              <w:adjustRightInd w:val="0"/>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c.通过“政府采购云平台”成功上传递交的“电子加密磋商文件”已按时解密的，“备份磋商文件”自动失效。投标截止时间前，供应商仅递交了“备份磋商文件”而未将“电子加密磋商文件”成功上传至“政府采购云平台”的，投标无效。</w:t>
            </w:r>
          </w:p>
          <w:p w14:paraId="09A9D255">
            <w:pPr>
              <w:spacing w:line="400" w:lineRule="exact"/>
              <w:ind w:left="19" w:right="199" w:rightChars="95" w:hanging="19" w:hangingChars="8"/>
              <w:rPr>
                <w:rFonts w:hint="eastAsia" w:ascii="宋体" w:hAnsi="宋体" w:eastAsia="宋体" w:cs="宋体"/>
                <w:b/>
                <w:bCs/>
                <w:color w:val="000000" w:themeColor="text1"/>
                <w:sz w:val="24"/>
                <w:szCs w:val="24"/>
                <w:highlight w:val="none"/>
                <w:lang w:bidi="ar"/>
                <w14:textFill>
                  <w14:solidFill>
                    <w14:schemeClr w14:val="tx1"/>
                  </w14:solidFill>
                </w14:textFill>
              </w:rPr>
            </w:pPr>
            <w:r>
              <w:rPr>
                <w:rFonts w:hint="eastAsia" w:ascii="宋体" w:hAnsi="宋体" w:eastAsia="宋体" w:cs="宋体"/>
                <w:b/>
                <w:bCs/>
                <w:color w:val="000000" w:themeColor="text1"/>
                <w:sz w:val="24"/>
                <w:szCs w:val="24"/>
                <w:highlight w:val="none"/>
                <w:lang w:bidi="ar"/>
                <w14:textFill>
                  <w14:solidFill>
                    <w14:schemeClr w14:val="tx1"/>
                  </w14:solidFill>
                </w14:textFill>
              </w:rPr>
              <w:t>7、电子加密磋商文件的解密和异常情况处理：</w:t>
            </w:r>
          </w:p>
          <w:p w14:paraId="6304E6C1">
            <w:pPr>
              <w:autoSpaceDE w:val="0"/>
              <w:autoSpaceDN w:val="0"/>
              <w:adjustRightInd w:val="0"/>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（1）开标后，采购组织机构将向各供应商发出“电子加密磋商文件”的解密通知，各供应商代表应当在接到解密通知后30分钟内自行完成“电子加密磋商文件”的在线解密。</w:t>
            </w:r>
          </w:p>
          <w:p w14:paraId="42CCDB5E">
            <w:pPr>
              <w:autoSpaceDE w:val="0"/>
              <w:autoSpaceDN w:val="0"/>
              <w:adjustRightInd w:val="0"/>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2）通过“政府采购云平台”成功上传递交的“电子加密磋商文件”无法按时解密，供应商如按规定递交了“备份磋商文件”的，以“备份磋商文件”为依据（由采购组织机构按“政府采购云平台”操作规范将“备份磋商文件”上传至“政府采购云平台”，上传成功后，“电子加密磋商文件”自动失效），否则视为磋商文件撤回。</w:t>
            </w:r>
          </w:p>
          <w:p w14:paraId="03437D4C">
            <w:pPr>
              <w:autoSpaceDE w:val="0"/>
              <w:autoSpaceDN w:val="0"/>
              <w:adjustRightInd w:val="0"/>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（3）投标截止时间前，供应商仅递交了“备份磋商文件”而未将电子加密磋商文件上传至“政府采购云平台”的，投标无效。</w:t>
            </w:r>
          </w:p>
          <w:p w14:paraId="78C68135">
            <w:pPr>
              <w:snapToGrid w:val="0"/>
              <w:spacing w:line="400" w:lineRule="exact"/>
              <w:ind w:left="19" w:right="199" w:rightChars="95" w:hanging="19" w:hangingChars="8"/>
              <w:rPr>
                <w:rFonts w:hint="eastAsia" w:ascii="宋体" w:hAnsi="宋体" w:eastAsia="宋体" w:cs="宋体"/>
                <w:color w:val="000000" w:themeColor="text1"/>
                <w:sz w:val="24"/>
                <w:szCs w:val="24"/>
                <w:highlight w:val="none"/>
                <w:lang w:eastAsia="zh-CN"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8、投标截止后，在投标有效期内，供应商不能撤销磋商文件</w:t>
            </w:r>
            <w:r>
              <w:rPr>
                <w:rFonts w:hint="eastAsia" w:ascii="宋体" w:hAnsi="宋体" w:cs="宋体"/>
                <w:color w:val="000000" w:themeColor="text1"/>
                <w:sz w:val="24"/>
                <w:szCs w:val="24"/>
                <w:highlight w:val="none"/>
                <w:lang w:eastAsia="zh-CN" w:bidi="ar"/>
                <w14:textFill>
                  <w14:solidFill>
                    <w14:schemeClr w14:val="tx1"/>
                  </w14:solidFill>
                </w14:textFill>
              </w:rPr>
              <w:t>。</w:t>
            </w:r>
          </w:p>
          <w:p w14:paraId="2ABCEA1D">
            <w:pPr>
              <w:snapToGrid w:val="0"/>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9、成交后，供应商拒绝签订合同的，采购人可以按照评审报告推荐的成交候选人名单排序，确定下一候选人为成交供应商，也可以重新开展政府采购活动。</w:t>
            </w:r>
          </w:p>
          <w:p w14:paraId="05EC369D">
            <w:pPr>
              <w:snapToGrid w:val="0"/>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10、存在下列行为的，招标代理机构将其失信行为上报政府采购主管部门，由主管部门按有关规定对其违法失信行为记录进行公开：</w:t>
            </w:r>
          </w:p>
          <w:p w14:paraId="32926CB4">
            <w:pPr>
              <w:snapToGrid w:val="0"/>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（1）成交或者成交后，拒绝签订政府采购合同的；</w:t>
            </w:r>
          </w:p>
          <w:p w14:paraId="7F4BE688">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（2）投标有效期内撤销磋商文件的</w:t>
            </w:r>
          </w:p>
        </w:tc>
      </w:tr>
      <w:tr w14:paraId="44E1E7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40" w:type="dxa"/>
            <w:noWrap w:val="0"/>
            <w:vAlign w:val="center"/>
          </w:tcPr>
          <w:p w14:paraId="5C127285">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48751FCE">
            <w:pPr>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投标样品</w:t>
            </w:r>
          </w:p>
        </w:tc>
        <w:tc>
          <w:tcPr>
            <w:tcW w:w="6577" w:type="dxa"/>
            <w:noWrap w:val="0"/>
            <w:vAlign w:val="center"/>
          </w:tcPr>
          <w:p w14:paraId="2AD1B8C3">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position w:val="0"/>
                <w:sz w:val="24"/>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不需要</w:t>
            </w:r>
          </w:p>
          <w:p w14:paraId="483D7341">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□需要</w:t>
            </w:r>
          </w:p>
        </w:tc>
      </w:tr>
      <w:tr w14:paraId="1A968B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7" w:hRule="atLeast"/>
          <w:jc w:val="center"/>
        </w:trPr>
        <w:tc>
          <w:tcPr>
            <w:tcW w:w="840" w:type="dxa"/>
            <w:noWrap w:val="0"/>
            <w:vAlign w:val="center"/>
          </w:tcPr>
          <w:p w14:paraId="09407E4A">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434750DD">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投标保证金</w:t>
            </w:r>
          </w:p>
        </w:tc>
        <w:tc>
          <w:tcPr>
            <w:tcW w:w="6577" w:type="dxa"/>
            <w:noWrap w:val="0"/>
            <w:vAlign w:val="center"/>
          </w:tcPr>
          <w:p w14:paraId="7456A3B9">
            <w:pPr>
              <w:widowControl/>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无</w:t>
            </w:r>
          </w:p>
        </w:tc>
      </w:tr>
      <w:tr w14:paraId="7DB072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840" w:type="dxa"/>
            <w:noWrap w:val="0"/>
            <w:vAlign w:val="center"/>
          </w:tcPr>
          <w:p w14:paraId="36476B97">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59D3D4AB">
            <w:pPr>
              <w:adjustRightInd w:val="0"/>
              <w:spacing w:line="400" w:lineRule="exact"/>
              <w:ind w:left="12" w:leftChars="0"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履约担保</w:t>
            </w:r>
          </w:p>
        </w:tc>
        <w:tc>
          <w:tcPr>
            <w:tcW w:w="6577" w:type="dxa"/>
            <w:noWrap w:val="0"/>
            <w:vAlign w:val="center"/>
          </w:tcPr>
          <w:p w14:paraId="1DC240C5">
            <w:pPr>
              <w:spacing w:line="400" w:lineRule="exact"/>
              <w:ind w:left="19"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fldChar w:fldCharType="begin"/>
            </w:r>
            <w:r>
              <w:rPr>
                <w:rFonts w:hint="eastAsia" w:ascii="宋体" w:hAnsi="宋体" w:eastAsia="宋体" w:cs="宋体"/>
                <w:color w:val="000000" w:themeColor="text1"/>
                <w:sz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highlight w:val="none"/>
                <w14:textFill>
                  <w14:solidFill>
                    <w14:schemeClr w14:val="tx1"/>
                  </w14:solidFill>
                </w14:textFill>
              </w:rPr>
              <w:instrText xml:space="preserve">□</w:instrText>
            </w:r>
            <w:r>
              <w:rPr>
                <w:rFonts w:hint="eastAsia" w:ascii="宋体" w:hAnsi="宋体" w:eastAsia="宋体" w:cs="宋体"/>
                <w:color w:val="000000" w:themeColor="text1"/>
                <w:position w:val="-4"/>
                <w:sz w:val="36"/>
                <w:highlight w:val="none"/>
                <w:lang w:eastAsia="zh-CN"/>
                <w14:textFill>
                  <w14:solidFill>
                    <w14:schemeClr w14:val="tx1"/>
                  </w14:solidFill>
                </w14:textFill>
              </w:rPr>
              <w:instrText xml:space="preserve">,</w:instrText>
            </w:r>
            <w:r>
              <w:rPr>
                <w:rFonts w:hint="eastAsia" w:ascii="宋体" w:hAnsi="宋体" w:eastAsia="宋体" w:cs="宋体"/>
                <w:color w:val="000000" w:themeColor="text1"/>
                <w:position w:val="0"/>
                <w:sz w:val="25"/>
                <w:highlight w:val="none"/>
                <w:lang w:eastAsia="zh-CN"/>
                <w14:textFill>
                  <w14:solidFill>
                    <w14:schemeClr w14:val="tx1"/>
                  </w14:solidFill>
                </w14:textFill>
              </w:rPr>
              <w:instrText xml:space="preserve">√</w:instrText>
            </w:r>
            <w:r>
              <w:rPr>
                <w:rFonts w:hint="eastAsia" w:ascii="宋体" w:hAnsi="宋体" w:eastAsia="宋体" w:cs="宋体"/>
                <w:color w:val="000000" w:themeColor="text1"/>
                <w:sz w:val="24"/>
                <w:highlight w:val="none"/>
                <w14:textFill>
                  <w14:solidFill>
                    <w14:schemeClr w14:val="tx1"/>
                  </w14:solidFill>
                </w14:textFill>
              </w:rPr>
              <w:instrText xml:space="preserve">)</w:instrText>
            </w:r>
            <w:r>
              <w:rPr>
                <w:rFonts w:hint="eastAsia" w:ascii="宋体" w:hAnsi="宋体" w:eastAsia="宋体" w:cs="宋体"/>
                <w:color w:val="000000" w:themeColor="text1"/>
                <w:sz w:val="24"/>
                <w:highlight w:val="none"/>
                <w14:textFill>
                  <w14:solidFill>
                    <w14:schemeClr w14:val="tx1"/>
                  </w14:solidFill>
                </w14:textFill>
              </w:rPr>
              <w:fldChar w:fldCharType="end"/>
            </w:r>
            <w:r>
              <w:rPr>
                <w:rFonts w:hint="eastAsia" w:ascii="宋体" w:hAnsi="宋体" w:eastAsia="宋体" w:cs="宋体"/>
                <w:color w:val="000000" w:themeColor="text1"/>
                <w:sz w:val="24"/>
                <w:highlight w:val="none"/>
                <w14:textFill>
                  <w14:solidFill>
                    <w14:schemeClr w14:val="tx1"/>
                  </w14:solidFill>
                </w14:textFill>
              </w:rPr>
              <w:t>不需要</w:t>
            </w:r>
          </w:p>
          <w:p w14:paraId="4FB6F234">
            <w:pPr>
              <w:spacing w:line="400" w:lineRule="exact"/>
              <w:ind w:left="19" w:leftChars="0"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fldChar w:fldCharType="begin"/>
            </w:r>
            <w:r>
              <w:rPr>
                <w:rFonts w:hint="eastAsia" w:ascii="宋体" w:hAnsi="宋体" w:eastAsia="宋体" w:cs="宋体"/>
                <w:color w:val="000000" w:themeColor="text1"/>
                <w:sz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highlight w:val="none"/>
                <w14:textFill>
                  <w14:solidFill>
                    <w14:schemeClr w14:val="tx1"/>
                  </w14:solidFill>
                </w14:textFill>
              </w:rPr>
              <w:instrText xml:space="preserve">□</w:instrText>
            </w:r>
            <w:r>
              <w:rPr>
                <w:rFonts w:hint="eastAsia" w:ascii="宋体" w:hAnsi="宋体" w:eastAsia="宋体" w:cs="宋体"/>
                <w:color w:val="000000" w:themeColor="text1"/>
                <w:sz w:val="24"/>
                <w:highlight w:val="none"/>
                <w14:textFill>
                  <w14:solidFill>
                    <w14:schemeClr w14:val="tx1"/>
                  </w14:solidFill>
                </w14:textFill>
              </w:rPr>
              <w:instrText xml:space="preserve">)</w:instrText>
            </w:r>
            <w:r>
              <w:rPr>
                <w:rFonts w:hint="eastAsia" w:ascii="宋体" w:hAnsi="宋体" w:eastAsia="宋体" w:cs="宋体"/>
                <w:color w:val="000000" w:themeColor="text1"/>
                <w:sz w:val="24"/>
                <w:highlight w:val="none"/>
                <w14:textFill>
                  <w14:solidFill>
                    <w14:schemeClr w14:val="tx1"/>
                  </w14:solidFill>
                </w14:textFill>
              </w:rPr>
              <w:fldChar w:fldCharType="end"/>
            </w:r>
            <w:r>
              <w:rPr>
                <w:rFonts w:hint="eastAsia" w:ascii="宋体" w:hAnsi="宋体" w:eastAsia="宋体" w:cs="宋体"/>
                <w:color w:val="000000" w:themeColor="text1"/>
                <w:sz w:val="24"/>
                <w:highlight w:val="none"/>
                <w14:textFill>
                  <w14:solidFill>
                    <w14:schemeClr w14:val="tx1"/>
                  </w14:solidFill>
                </w14:textFill>
              </w:rPr>
              <w:t>需要</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签订合同后，中标（成交）方须在10日内向采购人提交合同金额1%的履约保证金</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鼓励供应商开展政采贷、履约保函等政府采购金融服务，供应商</w:t>
            </w:r>
            <w:r>
              <w:rPr>
                <w:rFonts w:hint="eastAsia" w:ascii="宋体" w:hAnsi="宋体" w:eastAsia="宋体" w:cs="宋体"/>
                <w:color w:val="000000" w:themeColor="text1"/>
                <w:sz w:val="24"/>
                <w:highlight w:val="none"/>
                <w:lang w:val="en-US" w:eastAsia="zh-CN"/>
                <w14:textFill>
                  <w14:solidFill>
                    <w14:schemeClr w14:val="tx1"/>
                  </w14:solidFill>
                </w14:textFill>
              </w:rPr>
              <w:t>可</w:t>
            </w:r>
            <w:r>
              <w:rPr>
                <w:rFonts w:hint="eastAsia" w:ascii="宋体" w:hAnsi="宋体" w:eastAsia="宋体" w:cs="宋体"/>
                <w:color w:val="000000" w:themeColor="text1"/>
                <w:sz w:val="24"/>
                <w:highlight w:val="none"/>
                <w14:textFill>
                  <w14:solidFill>
                    <w14:schemeClr w14:val="tx1"/>
                  </w14:solidFill>
                </w14:textFill>
              </w:rPr>
              <w:t>以银行、保险公司出具保函形式提交履约保证金</w:t>
            </w:r>
            <w:r>
              <w:rPr>
                <w:rFonts w:hint="eastAsia" w:ascii="宋体" w:hAnsi="宋体" w:eastAsia="宋体" w:cs="宋体"/>
                <w:color w:val="000000" w:themeColor="text1"/>
                <w:sz w:val="24"/>
                <w:highlight w:val="none"/>
                <w:lang w:val="zh-CN"/>
                <w14:textFill>
                  <w14:solidFill>
                    <w14:schemeClr w14:val="tx1"/>
                  </w14:solidFill>
                </w14:textFill>
              </w:rPr>
              <w:t>。</w:t>
            </w:r>
          </w:p>
        </w:tc>
      </w:tr>
      <w:tr w14:paraId="1A6934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840" w:type="dxa"/>
            <w:noWrap w:val="0"/>
            <w:vAlign w:val="center"/>
          </w:tcPr>
          <w:p w14:paraId="06258F68">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6F428037">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磋商文件获取方式</w:t>
            </w:r>
          </w:p>
        </w:tc>
        <w:tc>
          <w:tcPr>
            <w:tcW w:w="6577" w:type="dxa"/>
            <w:noWrap w:val="0"/>
            <w:vAlign w:val="center"/>
          </w:tcPr>
          <w:p w14:paraId="75C1CBE0">
            <w:pPr>
              <w:spacing w:line="400" w:lineRule="exact"/>
              <w:ind w:left="19" w:right="199" w:rightChars="95" w:hanging="19" w:hangingChars="8"/>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登录浙江省政府采购网（网址：</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"http://www.zjzfcg.gov.cn）查找本项目并获取采购文件，获取采购文件时应填写正确的电子邮箱。"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http://www.zjzfcg.gov.cn）查找本项目并获取采购文件，获取采购文件时应填写正确的电子邮箱（开标时文件传输均发至此邮箱）。</w:t>
            </w:r>
          </w:p>
          <w:p w14:paraId="131C7283">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采购文件获取截止时间：本项目开标时间。</w:t>
            </w:r>
          </w:p>
        </w:tc>
      </w:tr>
      <w:tr w14:paraId="352BA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840" w:type="dxa"/>
            <w:noWrap w:val="0"/>
            <w:vAlign w:val="center"/>
          </w:tcPr>
          <w:p w14:paraId="0AF6DD5C">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7EDA765B">
            <w:pPr>
              <w:spacing w:line="400" w:lineRule="exact"/>
              <w:ind w:left="12" w:leftChars="0"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磋商截止时间</w:t>
            </w:r>
          </w:p>
        </w:tc>
        <w:tc>
          <w:tcPr>
            <w:tcW w:w="6577" w:type="dxa"/>
            <w:noWrap w:val="0"/>
            <w:vAlign w:val="center"/>
          </w:tcPr>
          <w:p w14:paraId="47A9C3C3">
            <w:pPr>
              <w:spacing w:line="400" w:lineRule="exact"/>
              <w:ind w:left="19" w:leftChars="0"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2024年</w:t>
            </w:r>
            <w:r>
              <w:rPr>
                <w:rFonts w:hint="eastAsia" w:ascii="宋体" w:hAnsi="宋体" w:cs="宋体"/>
                <w:b/>
                <w:color w:val="000000" w:themeColor="text1"/>
                <w:sz w:val="24"/>
                <w:highlight w:val="none"/>
                <w:lang w:val="en-US" w:eastAsia="zh-CN"/>
                <w14:textFill>
                  <w14:solidFill>
                    <w14:schemeClr w14:val="tx1"/>
                  </w14:solidFill>
                </w14:textFill>
              </w:rPr>
              <w:t>11月12日14</w:t>
            </w: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lang w:val="en-US" w:eastAsia="zh-CN"/>
                <w14:textFill>
                  <w14:solidFill>
                    <w14:schemeClr w14:val="tx1"/>
                  </w14:solidFill>
                </w14:textFill>
              </w:rPr>
              <w:t>0</w:t>
            </w:r>
            <w:r>
              <w:rPr>
                <w:rFonts w:hint="eastAsia" w:ascii="宋体" w:hAnsi="宋体" w:eastAsia="宋体" w:cs="宋体"/>
                <w:b/>
                <w:color w:val="000000" w:themeColor="text1"/>
                <w:sz w:val="24"/>
                <w:highlight w:val="none"/>
                <w14:textFill>
                  <w14:solidFill>
                    <w14:schemeClr w14:val="tx1"/>
                  </w14:solidFill>
                </w14:textFill>
              </w:rPr>
              <w:t>0（北京时间）</w:t>
            </w:r>
          </w:p>
        </w:tc>
      </w:tr>
      <w:tr w14:paraId="2AA20B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840" w:type="dxa"/>
            <w:noWrap w:val="0"/>
            <w:vAlign w:val="center"/>
          </w:tcPr>
          <w:p w14:paraId="1BCE3816">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096D70EA">
            <w:pPr>
              <w:spacing w:line="400" w:lineRule="exact"/>
              <w:ind w:left="12" w:leftChars="0"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磋商响应文件</w:t>
            </w:r>
            <w:r>
              <w:rPr>
                <w:rFonts w:hint="eastAsia" w:ascii="宋体" w:hAnsi="宋体" w:eastAsia="宋体" w:cs="宋体"/>
                <w:color w:val="000000" w:themeColor="text1"/>
                <w:sz w:val="24"/>
                <w:highlight w:val="none"/>
                <w14:textFill>
                  <w14:solidFill>
                    <w14:schemeClr w14:val="tx1"/>
                  </w14:solidFill>
                </w14:textFill>
              </w:rPr>
              <w:t>递交地点</w:t>
            </w:r>
          </w:p>
        </w:tc>
        <w:tc>
          <w:tcPr>
            <w:tcW w:w="6577" w:type="dxa"/>
            <w:noWrap w:val="0"/>
            <w:vAlign w:val="center"/>
          </w:tcPr>
          <w:p w14:paraId="5F40ABAA">
            <w:pPr>
              <w:spacing w:line="400" w:lineRule="exact"/>
              <w:ind w:left="19" w:leftChars="0"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通过“政府采购云平台（www.zcygov.cn）”实行在线投标响应</w:t>
            </w:r>
          </w:p>
        </w:tc>
      </w:tr>
      <w:tr w14:paraId="79DB3E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840" w:type="dxa"/>
            <w:noWrap w:val="0"/>
            <w:vAlign w:val="center"/>
          </w:tcPr>
          <w:p w14:paraId="4A752043">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5DA9E704">
            <w:pPr>
              <w:spacing w:line="400" w:lineRule="exact"/>
              <w:ind w:left="12" w:right="199" w:rightChars="95" w:hanging="12" w:hangingChars="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磋商时间</w:t>
            </w:r>
          </w:p>
          <w:p w14:paraId="74458FE0">
            <w:pPr>
              <w:spacing w:line="400" w:lineRule="exact"/>
              <w:ind w:left="12" w:leftChars="0"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磋商地点</w:t>
            </w:r>
          </w:p>
        </w:tc>
        <w:tc>
          <w:tcPr>
            <w:tcW w:w="6577" w:type="dxa"/>
            <w:noWrap w:val="0"/>
            <w:vAlign w:val="center"/>
          </w:tcPr>
          <w:p w14:paraId="12367432">
            <w:pPr>
              <w:spacing w:line="400" w:lineRule="exact"/>
              <w:ind w:left="19" w:right="199" w:rightChars="95" w:hanging="19" w:hangingChars="8"/>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开标时间：</w:t>
            </w:r>
            <w:r>
              <w:rPr>
                <w:rFonts w:hint="eastAsia" w:ascii="宋体" w:hAnsi="宋体" w:eastAsia="宋体" w:cs="宋体"/>
                <w:b/>
                <w:color w:val="000000" w:themeColor="text1"/>
                <w:sz w:val="24"/>
                <w:highlight w:val="none"/>
                <w:lang w:eastAsia="zh-CN"/>
                <w14:textFill>
                  <w14:solidFill>
                    <w14:schemeClr w14:val="tx1"/>
                  </w14:solidFill>
                </w14:textFill>
              </w:rPr>
              <w:t>2024年</w:t>
            </w:r>
            <w:r>
              <w:rPr>
                <w:rFonts w:hint="eastAsia" w:ascii="宋体" w:hAnsi="宋体" w:cs="宋体"/>
                <w:b/>
                <w:color w:val="000000" w:themeColor="text1"/>
                <w:sz w:val="24"/>
                <w:highlight w:val="none"/>
                <w:lang w:val="en-US" w:eastAsia="zh-CN"/>
                <w14:textFill>
                  <w14:solidFill>
                    <w14:schemeClr w14:val="tx1"/>
                  </w14:solidFill>
                </w14:textFill>
              </w:rPr>
              <w:t>11月12日14</w:t>
            </w: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lang w:val="en-US" w:eastAsia="zh-CN"/>
                <w14:textFill>
                  <w14:solidFill>
                    <w14:schemeClr w14:val="tx1"/>
                  </w14:solidFill>
                </w14:textFill>
              </w:rPr>
              <w:t>0</w:t>
            </w:r>
            <w:r>
              <w:rPr>
                <w:rFonts w:hint="eastAsia" w:ascii="宋体" w:hAnsi="宋体" w:eastAsia="宋体" w:cs="宋体"/>
                <w:b/>
                <w:color w:val="000000" w:themeColor="text1"/>
                <w:sz w:val="24"/>
                <w:highlight w:val="none"/>
                <w14:textFill>
                  <w14:solidFill>
                    <w14:schemeClr w14:val="tx1"/>
                  </w14:solidFill>
                </w14:textFill>
              </w:rPr>
              <w:t>0（北京时间）</w:t>
            </w:r>
          </w:p>
          <w:p w14:paraId="47B7559F">
            <w:pPr>
              <w:spacing w:line="400" w:lineRule="exact"/>
              <w:ind w:left="19" w:leftChars="0"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开标地点：“政府采购云平台”线上开标</w:t>
            </w:r>
          </w:p>
        </w:tc>
      </w:tr>
      <w:tr w14:paraId="12D603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3" w:hRule="atLeast"/>
          <w:jc w:val="center"/>
        </w:trPr>
        <w:tc>
          <w:tcPr>
            <w:tcW w:w="840" w:type="dxa"/>
            <w:noWrap w:val="0"/>
            <w:vAlign w:val="center"/>
          </w:tcPr>
          <w:p w14:paraId="74AA9A83">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7573ED73">
            <w:pPr>
              <w:spacing w:line="400" w:lineRule="exact"/>
              <w:ind w:left="12" w:leftChars="0"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竞争性磋商小组的组建</w:t>
            </w:r>
          </w:p>
        </w:tc>
        <w:tc>
          <w:tcPr>
            <w:tcW w:w="6577" w:type="dxa"/>
            <w:noWrap w:val="0"/>
            <w:vAlign w:val="center"/>
          </w:tcPr>
          <w:p w14:paraId="16106B37">
            <w:pPr>
              <w:spacing w:line="400" w:lineRule="exact"/>
              <w:ind w:left="19" w:leftChars="0"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由采购人代表以及有关技术、经济等方面的专家组成，成员为3人及以上单数，其中技术、经济类专家不得少于总人数的2/3；评标专家确定方式：按相关规定从专家库中抽取。</w:t>
            </w:r>
          </w:p>
        </w:tc>
      </w:tr>
      <w:tr w14:paraId="1B9F26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0" w:type="dxa"/>
            <w:noWrap w:val="0"/>
            <w:vAlign w:val="center"/>
          </w:tcPr>
          <w:p w14:paraId="39AF4A6B">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2B34540D">
            <w:pPr>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政府采购</w:t>
            </w:r>
          </w:p>
          <w:p w14:paraId="0DD1A201">
            <w:pPr>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扶持政策</w:t>
            </w:r>
          </w:p>
        </w:tc>
        <w:tc>
          <w:tcPr>
            <w:tcW w:w="6577" w:type="dxa"/>
            <w:noWrap w:val="0"/>
            <w:vAlign w:val="center"/>
          </w:tcPr>
          <w:p w14:paraId="5402E7AC">
            <w:pPr>
              <w:spacing w:line="400" w:lineRule="exact"/>
              <w:ind w:left="19" w:right="199" w:rightChars="95" w:hanging="19" w:hangingChars="8"/>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1、对符合财政扶持政策的小微企业（或监狱企业、或残疾人福利性单位）给予评标价格折扣。供应商企业属于以上多种性质的，不重复享受扶持政策。</w:t>
            </w:r>
          </w:p>
          <w:p w14:paraId="6D27BACB">
            <w:pPr>
              <w:spacing w:line="400" w:lineRule="exact"/>
              <w:ind w:left="19" w:right="199" w:rightChars="95" w:hanging="19" w:hangingChars="8"/>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2、对节能、环保产品优先采购。</w:t>
            </w:r>
          </w:p>
        </w:tc>
      </w:tr>
      <w:tr w14:paraId="24F058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0" w:type="dxa"/>
            <w:noWrap w:val="0"/>
            <w:vAlign w:val="center"/>
          </w:tcPr>
          <w:p w14:paraId="7E1B981D">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3F46A682">
            <w:pPr>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本项目采购文件明确采购的标的所属行业</w:t>
            </w:r>
          </w:p>
        </w:tc>
        <w:tc>
          <w:tcPr>
            <w:tcW w:w="6577" w:type="dxa"/>
            <w:noWrap w:val="0"/>
            <w:vAlign w:val="center"/>
          </w:tcPr>
          <w:p w14:paraId="3BF7BC86">
            <w:pPr>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软件和信息技术服务业</w:t>
            </w:r>
          </w:p>
        </w:tc>
      </w:tr>
      <w:tr w14:paraId="4D257A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40" w:type="dxa"/>
            <w:noWrap w:val="0"/>
            <w:vAlign w:val="center"/>
          </w:tcPr>
          <w:p w14:paraId="105BD9FE">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720B29CC">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供应商信用查询</w:t>
            </w:r>
          </w:p>
        </w:tc>
        <w:tc>
          <w:tcPr>
            <w:tcW w:w="6577" w:type="dxa"/>
            <w:noWrap w:val="0"/>
            <w:vAlign w:val="center"/>
          </w:tcPr>
          <w:p w14:paraId="0E2AEFE2">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1、投标供应商信用信息查询的查询渠道：“信用中国”(</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"http://www.creditchina.gov.cn/"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www.creditchina.gov.cn</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)；“中国政府采购网”（http://www.ccgp.gov.cn/）；</w:t>
            </w:r>
          </w:p>
          <w:p w14:paraId="67AF7AA5">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2、投标供应商信用信息查询截止时点：本项目投标截止时间。</w:t>
            </w:r>
          </w:p>
          <w:p w14:paraId="63768EA2">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3、投标供应商信用信息查询记录和证据留存的具体方式：网页截图打印；</w:t>
            </w:r>
          </w:p>
          <w:p w14:paraId="3F58FB32">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4、信用信息的使用规则：“信用中国”被列入失信被执行人名单、重大税收违法案件当事人名单的供应商，或“中国政府采购网”具有严重违法失信行为信息记录的供应商，其投标做无效投标处理。</w:t>
            </w:r>
          </w:p>
        </w:tc>
      </w:tr>
      <w:tr w14:paraId="0E851C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40" w:type="dxa"/>
            <w:noWrap w:val="0"/>
            <w:vAlign w:val="center"/>
          </w:tcPr>
          <w:p w14:paraId="704158E8">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72DE1026">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磋商文件备案</w:t>
            </w:r>
          </w:p>
        </w:tc>
        <w:tc>
          <w:tcPr>
            <w:tcW w:w="6577" w:type="dxa"/>
            <w:noWrap w:val="0"/>
            <w:vAlign w:val="center"/>
          </w:tcPr>
          <w:p w14:paraId="607C15E4">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成交单位需在成交确认后7个工作日内，邮寄1套纸质投标资料至招标代理处。</w:t>
            </w:r>
          </w:p>
        </w:tc>
      </w:tr>
      <w:tr w14:paraId="559D4D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0" w:type="dxa"/>
            <w:noWrap w:val="0"/>
            <w:vAlign w:val="center"/>
          </w:tcPr>
          <w:p w14:paraId="40E6F693">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344AD9F4">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合同备案</w:t>
            </w:r>
          </w:p>
        </w:tc>
        <w:tc>
          <w:tcPr>
            <w:tcW w:w="6577" w:type="dxa"/>
            <w:noWrap w:val="0"/>
            <w:vAlign w:val="center"/>
          </w:tcPr>
          <w:p w14:paraId="279776D0">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1、成交方须在发出成交通知书之日起30日历天内与采购人签订合同。</w:t>
            </w:r>
          </w:p>
          <w:p w14:paraId="5DB5E932">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2、成交方与采购人签订合同后，2日历天内将合同原件交给招标代理机构备案。</w:t>
            </w:r>
          </w:p>
          <w:p w14:paraId="39133EB9">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3、本项目政府采购合同按规定在浙江政府采购网（http://www.zjzfcg.gov.cn/）予以公告。</w:t>
            </w:r>
          </w:p>
        </w:tc>
      </w:tr>
      <w:tr w14:paraId="2ABE6C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0" w:type="dxa"/>
            <w:noWrap w:val="0"/>
            <w:vAlign w:val="center"/>
          </w:tcPr>
          <w:p w14:paraId="776673D2">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223A7C16">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合同履约管理</w:t>
            </w:r>
          </w:p>
        </w:tc>
        <w:tc>
          <w:tcPr>
            <w:tcW w:w="6577" w:type="dxa"/>
            <w:noWrap w:val="0"/>
            <w:vAlign w:val="center"/>
          </w:tcPr>
          <w:p w14:paraId="251647AC">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合同签订后，采购人依法加强对合同履约进行管理，并在成交单位供货、项目验收等重要关节，如实填写《合同验收报告》（表附合同条款中），并及时向同级财政部门报告验收过程中遇到的问题。</w:t>
            </w:r>
          </w:p>
        </w:tc>
      </w:tr>
      <w:tr w14:paraId="1B569C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16" w:hRule="atLeast"/>
          <w:jc w:val="center"/>
        </w:trPr>
        <w:tc>
          <w:tcPr>
            <w:tcW w:w="840" w:type="dxa"/>
            <w:noWrap w:val="0"/>
            <w:vAlign w:val="center"/>
          </w:tcPr>
          <w:p w14:paraId="3A1DAA5A">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5F59EDD0">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免责声明</w:t>
            </w:r>
          </w:p>
        </w:tc>
        <w:tc>
          <w:tcPr>
            <w:tcW w:w="6577" w:type="dxa"/>
            <w:noWrap w:val="0"/>
            <w:vAlign w:val="center"/>
          </w:tcPr>
          <w:p w14:paraId="4E01FC85">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1、投标供应商自行承担投标过程中产生的费用。无论何种因素导致采购项目延期开标、废标（流标）、投标供应商未成交、项目终止采购的，采购人与代理机构均不承担供应商投标费用。</w:t>
            </w:r>
          </w:p>
          <w:p w14:paraId="76212738">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2、投标供应商在投标、合同履行过程中必须做好安全保障工作，不因项目实施而危及自身及第三方人员、财产安全。若发生任何安全事故，由成交方自行承担一切责任并赔偿损失。</w:t>
            </w:r>
          </w:p>
        </w:tc>
      </w:tr>
      <w:tr w14:paraId="04137C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0" w:type="dxa"/>
            <w:noWrap w:val="0"/>
            <w:vAlign w:val="center"/>
          </w:tcPr>
          <w:p w14:paraId="2799999B">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57316BDB">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解释权</w:t>
            </w:r>
          </w:p>
        </w:tc>
        <w:tc>
          <w:tcPr>
            <w:tcW w:w="6577" w:type="dxa"/>
            <w:noWrap w:val="0"/>
            <w:vAlign w:val="center"/>
          </w:tcPr>
          <w:p w14:paraId="005CDA56">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磋商文件格式的先后顺序解释；同一文件中就同一事项的约定不一致的，以逻辑顺序在后者为准；同一文件不同版本之间有不一致的，以形成时间在后者为准。按本款前述约定仍不能形成结论的，由招标代理机构或采购人负责解释。</w:t>
            </w:r>
          </w:p>
        </w:tc>
      </w:tr>
      <w:tr w14:paraId="7AD62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0" w:type="dxa"/>
            <w:tcBorders>
              <w:bottom w:val="single" w:color="auto" w:sz="12" w:space="0"/>
            </w:tcBorders>
            <w:noWrap w:val="0"/>
            <w:vAlign w:val="center"/>
          </w:tcPr>
          <w:p w14:paraId="65EC9A96">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tcBorders>
              <w:bottom w:val="single" w:color="auto" w:sz="12" w:space="0"/>
            </w:tcBorders>
            <w:noWrap w:val="0"/>
            <w:vAlign w:val="center"/>
          </w:tcPr>
          <w:p w14:paraId="06AFD7F6">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注意事项</w:t>
            </w:r>
          </w:p>
        </w:tc>
        <w:tc>
          <w:tcPr>
            <w:tcW w:w="6577" w:type="dxa"/>
            <w:tcBorders>
              <w:bottom w:val="single" w:color="auto" w:sz="12" w:space="0"/>
            </w:tcBorders>
            <w:noWrap w:val="0"/>
            <w:vAlign w:val="center"/>
          </w:tcPr>
          <w:p w14:paraId="32BE8701">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1.请务必确保磋商文件制作客户端为最新版本，旧版本可能导致磋商文件解密失败。</w:t>
            </w:r>
          </w:p>
          <w:p w14:paraId="3E6B400C">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2.请务必确保磋商文件制作时所用的 CA 锁与磋商文件解密时的 CA 锁为同一把，否则可能导致磋商文件解密失败。</w:t>
            </w:r>
          </w:p>
        </w:tc>
      </w:tr>
    </w:tbl>
    <w:p w14:paraId="18B22395">
      <w:pPr>
        <w:pStyle w:val="20"/>
        <w:spacing w:line="380" w:lineRule="exact"/>
        <w:jc w:val="center"/>
        <w:outlineLvl w:val="1"/>
        <w:rPr>
          <w:rFonts w:hint="eastAsia" w:ascii="宋体" w:hAnsi="宋体" w:eastAsia="宋体" w:cs="宋体"/>
          <w:b/>
          <w:color w:val="000000" w:themeColor="text1"/>
          <w:sz w:val="24"/>
          <w:highlight w:val="none"/>
          <w14:textFill>
            <w14:solidFill>
              <w14:schemeClr w14:val="tx1"/>
            </w14:solidFill>
          </w14:textFill>
        </w:rPr>
      </w:pPr>
    </w:p>
    <w:p w14:paraId="631D98BC">
      <w:pPr>
        <w:rPr>
          <w:rFonts w:hint="eastAsia" w:ascii="宋体" w:hAnsi="宋体" w:eastAsia="宋体" w:cs="宋体"/>
          <w:b/>
          <w:color w:val="000000" w:themeColor="text1"/>
          <w:sz w:val="24"/>
          <w:highlight w:val="none"/>
          <w14:textFill>
            <w14:solidFill>
              <w14:schemeClr w14:val="tx1"/>
            </w14:solidFill>
          </w14:textFill>
        </w:rPr>
      </w:pPr>
    </w:p>
    <w:p w14:paraId="63907240">
      <w:pPr>
        <w:pStyle w:val="2"/>
        <w:rPr>
          <w:rFonts w:hint="eastAsia"/>
        </w:rPr>
      </w:pPr>
    </w:p>
    <w:p w14:paraId="4F3CF83F">
      <w:pPr>
        <w:pStyle w:val="20"/>
        <w:pageBreakBefore w:val="0"/>
        <w:widowControl w:val="0"/>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b/>
          <w:color w:val="000000" w:themeColor="text1"/>
          <w:sz w:val="24"/>
          <w:highlight w:val="none"/>
          <w:lang w:val="en-GB"/>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前附表2.</w:t>
      </w:r>
      <w:r>
        <w:rPr>
          <w:rFonts w:hint="eastAsia" w:ascii="宋体" w:hAnsi="宋体" w:eastAsia="宋体" w:cs="宋体"/>
          <w:b/>
          <w:color w:val="000000" w:themeColor="text1"/>
          <w:sz w:val="24"/>
          <w:highlight w:val="none"/>
          <w:lang w:val="en-GB"/>
          <w14:textFill>
            <w14:solidFill>
              <w14:schemeClr w14:val="tx1"/>
            </w14:solidFill>
          </w14:textFill>
        </w:rPr>
        <w:t>关于支持中小企业政府采购信用融资</w:t>
      </w:r>
    </w:p>
    <w:p w14:paraId="3BA16A9C">
      <w:pPr>
        <w:pStyle w:val="2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1"/>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为优化政府采购营商环境，缓解供应商资金难题，政府采购已推广应用“政采贷”、“政采保”等服务，供应商可以银行保函、保险公司保单、融资担保公司保函、银行转账（或电汇）等方式缴纳至采购人指定账户。</w:t>
      </w:r>
    </w:p>
    <w:p w14:paraId="0F1739A4">
      <w:pPr>
        <w:rPr>
          <w:rFonts w:hint="eastAsia"/>
        </w:rPr>
      </w:pPr>
    </w:p>
    <w:p w14:paraId="7A78554A">
      <w:pPr>
        <w:pStyle w:val="4"/>
        <w:pageBreakBefore w:val="0"/>
        <w:kinsoku/>
        <w:wordWrap/>
        <w:overflowPunct/>
        <w:topLinePunct w:val="0"/>
        <w:bidi w:val="0"/>
        <w:spacing w:before="0" w:beforeLines="0" w:after="0" w:afterLines="0"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 、总  则</w:t>
      </w:r>
    </w:p>
    <w:p w14:paraId="2FB2A9A0">
      <w:pPr>
        <w:pStyle w:val="5"/>
        <w:pageBreakBefore w:val="0"/>
        <w:kinsoku/>
        <w:wordWrap/>
        <w:overflowPunct/>
        <w:topLinePunct w:val="0"/>
        <w:bidi w:val="0"/>
        <w:spacing w:before="0" w:beforeLines="0" w:after="0" w:afterLines="0" w:line="400" w:lineRule="exact"/>
        <w:ind w:firstLine="482"/>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 适用范围</w:t>
      </w:r>
    </w:p>
    <w:p w14:paraId="4B8C0A4A">
      <w:pPr>
        <w:pageBreakBefore w:val="0"/>
        <w:kinsoku/>
        <w:wordWrap/>
        <w:overflowPunct/>
        <w:topLinePunct w:val="0"/>
        <w:bidi w:val="0"/>
        <w:snapToGrid w:val="0"/>
        <w:spacing w:line="400" w:lineRule="exact"/>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w:t>
      </w:r>
      <w:r>
        <w:rPr>
          <w:rFonts w:hint="eastAsia" w:ascii="宋体" w:hAnsi="宋体" w:eastAsia="宋体" w:cs="宋体"/>
          <w:bCs/>
          <w:color w:val="000000" w:themeColor="text1"/>
          <w:sz w:val="24"/>
          <w:highlight w:val="none"/>
          <w14:textFill>
            <w14:solidFill>
              <w14:schemeClr w14:val="tx1"/>
            </w14:solidFill>
          </w14:textFill>
        </w:rPr>
        <w:t>磋商文件</w:t>
      </w:r>
      <w:r>
        <w:rPr>
          <w:rFonts w:hint="eastAsia" w:ascii="宋体" w:hAnsi="宋体" w:eastAsia="宋体" w:cs="宋体"/>
          <w:color w:val="000000" w:themeColor="text1"/>
          <w:sz w:val="24"/>
          <w:highlight w:val="none"/>
          <w14:textFill>
            <w14:solidFill>
              <w14:schemeClr w14:val="tx1"/>
            </w14:solidFill>
          </w14:textFill>
        </w:rPr>
        <w:t>适用于</w:t>
      </w:r>
      <w:r>
        <w:rPr>
          <w:rFonts w:hint="eastAsia" w:ascii="宋体" w:hAnsi="宋体" w:eastAsia="宋体" w:cs="宋体"/>
          <w:bCs/>
          <w:color w:val="000000" w:themeColor="text1"/>
          <w:sz w:val="24"/>
          <w:highlight w:val="none"/>
          <w14:textFill>
            <w14:solidFill>
              <w14:schemeClr w14:val="tx1"/>
            </w14:solidFill>
          </w14:textFill>
        </w:rPr>
        <w:t>本次</w:t>
      </w:r>
      <w:r>
        <w:rPr>
          <w:rFonts w:hint="eastAsia" w:ascii="宋体" w:hAnsi="宋体" w:eastAsia="宋体" w:cs="宋体"/>
          <w:color w:val="000000" w:themeColor="text1"/>
          <w:sz w:val="24"/>
          <w:highlight w:val="none"/>
          <w14:textFill>
            <w14:solidFill>
              <w14:schemeClr w14:val="tx1"/>
            </w14:solidFill>
          </w14:textFill>
        </w:rPr>
        <w:t>项目的磋商、</w:t>
      </w:r>
      <w:r>
        <w:rPr>
          <w:rFonts w:hint="eastAsia" w:ascii="宋体" w:hAnsi="宋体" w:eastAsia="宋体" w:cs="宋体"/>
          <w:bCs/>
          <w:color w:val="000000" w:themeColor="text1"/>
          <w:sz w:val="24"/>
          <w:highlight w:val="none"/>
          <w14:textFill>
            <w14:solidFill>
              <w14:schemeClr w14:val="tx1"/>
            </w14:solidFill>
          </w14:textFill>
        </w:rPr>
        <w:t>评审、确定成交供应商</w:t>
      </w:r>
      <w:r>
        <w:rPr>
          <w:rFonts w:hint="eastAsia" w:ascii="宋体" w:hAnsi="宋体" w:eastAsia="宋体" w:cs="宋体"/>
          <w:color w:val="000000" w:themeColor="text1"/>
          <w:sz w:val="24"/>
          <w:highlight w:val="none"/>
          <w14:textFill>
            <w14:solidFill>
              <w14:schemeClr w14:val="tx1"/>
            </w14:solidFill>
          </w14:textFill>
        </w:rPr>
        <w:t>、验收、合同履约、付款等行为（法律、法规另有规定的，从其规定）。</w:t>
      </w:r>
    </w:p>
    <w:p w14:paraId="20625F0F">
      <w:pPr>
        <w:pStyle w:val="5"/>
        <w:pageBreakBefore w:val="0"/>
        <w:kinsoku/>
        <w:wordWrap/>
        <w:overflowPunct/>
        <w:topLinePunct w:val="0"/>
        <w:bidi w:val="0"/>
        <w:spacing w:before="0" w:beforeLines="0" w:after="0" w:afterLines="0" w:line="400" w:lineRule="exact"/>
        <w:ind w:firstLine="482"/>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（二）定义</w:t>
      </w:r>
    </w:p>
    <w:p w14:paraId="117DEE44">
      <w:pPr>
        <w:pStyle w:val="20"/>
        <w:pageBreakBefore w:val="0"/>
        <w:kinsoku/>
        <w:wordWrap/>
        <w:overflowPunct/>
        <w:topLinePunct w:val="0"/>
        <w:bidi w:val="0"/>
        <w:spacing w:line="400" w:lineRule="exact"/>
        <w:ind w:firstLine="566" w:firstLineChars="236"/>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1、“采购组织机构”指采购人委托组织磋商的集中采购机构或采购代理机构。</w:t>
      </w:r>
    </w:p>
    <w:p w14:paraId="1F1FD231">
      <w:pPr>
        <w:pageBreakBefore w:val="0"/>
        <w:kinsoku/>
        <w:wordWrap/>
        <w:overflowPunct/>
        <w:topLinePunct w:val="0"/>
        <w:bidi w:val="0"/>
        <w:snapToGrid w:val="0"/>
        <w:spacing w:line="400" w:lineRule="exact"/>
        <w:ind w:firstLine="566" w:firstLineChars="236"/>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2、采购人：是指委托</w:t>
      </w:r>
      <w:r>
        <w:rPr>
          <w:rFonts w:hint="eastAsia" w:ascii="宋体" w:hAnsi="宋体" w:eastAsia="宋体" w:cs="宋体"/>
          <w:color w:val="000000" w:themeColor="text1"/>
          <w:sz w:val="24"/>
          <w:highlight w:val="none"/>
          <w:lang w:val="zh-CN"/>
          <w14:textFill>
            <w14:solidFill>
              <w14:schemeClr w14:val="tx1"/>
            </w14:solidFill>
          </w14:textFill>
        </w:rPr>
        <w:t>集中采购机构或</w:t>
      </w:r>
      <w:r>
        <w:rPr>
          <w:rFonts w:hint="eastAsia" w:ascii="宋体" w:hAnsi="宋体" w:eastAsia="宋体" w:cs="宋体"/>
          <w:color w:val="000000" w:themeColor="text1"/>
          <w:sz w:val="24"/>
          <w:highlight w:val="none"/>
          <w14:textFill>
            <w14:solidFill>
              <w14:schemeClr w14:val="tx1"/>
            </w14:solidFill>
          </w14:textFill>
        </w:rPr>
        <w:t>采购代理机构采购本次项目的国家机关、事业单位和团体组织。</w:t>
      </w:r>
    </w:p>
    <w:p w14:paraId="50075697">
      <w:pPr>
        <w:pageBreakBefore w:val="0"/>
        <w:kinsoku/>
        <w:wordWrap/>
        <w:overflowPunct/>
        <w:topLinePunct w:val="0"/>
        <w:bidi w:val="0"/>
        <w:snapToGrid w:val="0"/>
        <w:spacing w:line="400" w:lineRule="exact"/>
        <w:ind w:left="424" w:leftChars="202" w:firstLine="141" w:firstLineChars="59"/>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3、磋商供应商：是指向</w:t>
      </w:r>
      <w:r>
        <w:rPr>
          <w:rFonts w:hint="eastAsia" w:ascii="宋体" w:hAnsi="宋体" w:eastAsia="宋体" w:cs="宋体"/>
          <w:color w:val="000000" w:themeColor="text1"/>
          <w:sz w:val="24"/>
          <w:highlight w:val="none"/>
          <w:lang w:val="zh-CN"/>
          <w14:textFill>
            <w14:solidFill>
              <w14:schemeClr w14:val="tx1"/>
            </w14:solidFill>
          </w14:textFill>
        </w:rPr>
        <w:t>采购组织机构</w:t>
      </w:r>
      <w:r>
        <w:rPr>
          <w:rFonts w:hint="eastAsia" w:ascii="宋体" w:hAnsi="宋体" w:eastAsia="宋体" w:cs="宋体"/>
          <w:color w:val="000000" w:themeColor="text1"/>
          <w:sz w:val="24"/>
          <w:highlight w:val="none"/>
          <w14:textFill>
            <w14:solidFill>
              <w14:schemeClr w14:val="tx1"/>
            </w14:solidFill>
          </w14:textFill>
        </w:rPr>
        <w:t>提交磋商响应文件的单位或个人。</w:t>
      </w:r>
    </w:p>
    <w:p w14:paraId="580AEC0C">
      <w:pPr>
        <w:pageBreakBefore w:val="0"/>
        <w:kinsoku/>
        <w:wordWrap/>
        <w:overflowPunct/>
        <w:topLinePunct w:val="0"/>
        <w:bidi w:val="0"/>
        <w:snapToGrid w:val="0"/>
        <w:spacing w:line="400" w:lineRule="exact"/>
        <w:ind w:left="424" w:leftChars="202" w:firstLine="143"/>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4、货物：是指各种形态和种类的物品，包括原材料、燃料、设备、产品等。</w:t>
      </w:r>
    </w:p>
    <w:p w14:paraId="6156D83D">
      <w:pPr>
        <w:pageBreakBefore w:val="0"/>
        <w:kinsoku/>
        <w:wordWrap/>
        <w:overflowPunct/>
        <w:topLinePunct w:val="0"/>
        <w:bidi w:val="0"/>
        <w:snapToGrid w:val="0"/>
        <w:spacing w:line="400" w:lineRule="exact"/>
        <w:ind w:firstLine="566" w:firstLineChars="236"/>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5、服务：是指除货物和工程以外的政府采购对象，包括各类专业服务、信息网络开发服务、金融保险服务、运输服务，以及维修与维护服务等。</w:t>
      </w:r>
    </w:p>
    <w:p w14:paraId="19994015">
      <w:pPr>
        <w:pageBreakBefore w:val="0"/>
        <w:kinsoku/>
        <w:wordWrap/>
        <w:overflowPunct/>
        <w:topLinePunct w:val="0"/>
        <w:bidi w:val="0"/>
        <w:snapToGrid w:val="0"/>
        <w:spacing w:line="400" w:lineRule="exact"/>
        <w:ind w:firstLine="566" w:firstLineChars="236"/>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6、“书面形式”包括信函、传真等。</w:t>
      </w:r>
    </w:p>
    <w:p w14:paraId="0A5036F2">
      <w:pPr>
        <w:pageBreakBefore w:val="0"/>
        <w:kinsoku/>
        <w:wordWrap/>
        <w:overflowPunct/>
        <w:topLinePunct w:val="0"/>
        <w:bidi w:val="0"/>
        <w:snapToGrid w:val="0"/>
        <w:spacing w:line="400" w:lineRule="exact"/>
        <w:ind w:firstLine="566" w:firstLineChars="236"/>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7、“▲”为重要参数</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不可偏离。</w:t>
      </w:r>
    </w:p>
    <w:p w14:paraId="792F064E">
      <w:pPr>
        <w:pStyle w:val="5"/>
        <w:pageBreakBefore w:val="0"/>
        <w:kinsoku/>
        <w:wordWrap/>
        <w:overflowPunct/>
        <w:topLinePunct w:val="0"/>
        <w:bidi w:val="0"/>
        <w:spacing w:before="0" w:beforeLines="0" w:after="0" w:afterLines="0" w:line="400" w:lineRule="exact"/>
        <w:ind w:firstLine="482"/>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（三）磋商费用</w:t>
      </w:r>
    </w:p>
    <w:p w14:paraId="3972C57E">
      <w:pPr>
        <w:pageBreakBefore w:val="0"/>
        <w:kinsoku/>
        <w:wordWrap/>
        <w:overflowPunct/>
        <w:topLinePunct w:val="0"/>
        <w:bidi w:val="0"/>
        <w:snapToGrid w:val="0"/>
        <w:spacing w:line="400" w:lineRule="exact"/>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不论磋商结果如何，供应商均应自行承担所有与磋商有关的全部费用（</w:t>
      </w:r>
      <w:r>
        <w:rPr>
          <w:rFonts w:hint="eastAsia" w:ascii="宋体" w:hAnsi="宋体" w:eastAsia="宋体" w:cs="宋体"/>
          <w:bCs/>
          <w:color w:val="000000" w:themeColor="text1"/>
          <w:sz w:val="24"/>
          <w:highlight w:val="none"/>
          <w14:textFill>
            <w14:solidFill>
              <w14:schemeClr w14:val="tx1"/>
            </w14:solidFill>
          </w14:textFill>
        </w:rPr>
        <w:t>磋商文件</w:t>
      </w:r>
      <w:r>
        <w:rPr>
          <w:rFonts w:hint="eastAsia" w:ascii="宋体" w:hAnsi="宋体" w:eastAsia="宋体" w:cs="宋体"/>
          <w:color w:val="000000" w:themeColor="text1"/>
          <w:sz w:val="24"/>
          <w:highlight w:val="none"/>
          <w14:textFill>
            <w14:solidFill>
              <w14:schemeClr w14:val="tx1"/>
            </w14:solidFill>
          </w14:textFill>
        </w:rPr>
        <w:t>有相关规定除外）。</w:t>
      </w:r>
    </w:p>
    <w:p w14:paraId="026CB79A">
      <w:pPr>
        <w:pStyle w:val="5"/>
        <w:pageBreakBefore w:val="0"/>
        <w:kinsoku/>
        <w:wordWrap/>
        <w:overflowPunct/>
        <w:topLinePunct w:val="0"/>
        <w:bidi w:val="0"/>
        <w:spacing w:before="0" w:beforeLines="0" w:after="0" w:afterLines="0" w:line="400" w:lineRule="exact"/>
        <w:ind w:firstLine="482"/>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（四）特别说明</w:t>
      </w:r>
    </w:p>
    <w:p w14:paraId="5E96D071">
      <w:pPr>
        <w:pStyle w:val="20"/>
        <w:pageBreakBefore w:val="0"/>
        <w:kinsoku/>
        <w:wordWrap/>
        <w:overflowPunct/>
        <w:topLinePunct w:val="0"/>
        <w:bidi w:val="0"/>
        <w:snapToGrid w:val="0"/>
        <w:spacing w:line="400" w:lineRule="exact"/>
        <w:ind w:left="2" w:leftChars="1"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1、供应商磋商所使用的资格、信誉、荣誉、业绩与企业认证必须为本法人所拥有。供应商磋商所使用的采购项目实施人员必须为本法人员工（指必须为本法人或控股公司正式员工）。</w:t>
      </w:r>
    </w:p>
    <w:p w14:paraId="36A05C34">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2、供应商所标产品除</w:t>
      </w:r>
      <w:r>
        <w:rPr>
          <w:rFonts w:hint="eastAsia" w:ascii="宋体" w:hAnsi="宋体" w:eastAsia="宋体" w:cs="宋体"/>
          <w:bCs/>
          <w:color w:val="000000" w:themeColor="text1"/>
          <w:sz w:val="24"/>
          <w:highlight w:val="none"/>
          <w14:textFill>
            <w14:solidFill>
              <w14:schemeClr w14:val="tx1"/>
            </w14:solidFill>
          </w14:textFill>
        </w:rPr>
        <w:t>磋商文件</w:t>
      </w:r>
      <w:r>
        <w:rPr>
          <w:rFonts w:hint="eastAsia" w:ascii="宋体" w:hAnsi="宋体" w:eastAsia="宋体" w:cs="宋体"/>
          <w:color w:val="000000" w:themeColor="text1"/>
          <w:sz w:val="24"/>
          <w:highlight w:val="none"/>
          <w14:textFill>
            <w14:solidFill>
              <w14:schemeClr w14:val="tx1"/>
            </w14:solidFill>
          </w14:textFill>
        </w:rPr>
        <w:t>中明确规定要求“提供官网截图或相应检测报告的证明材料”以外，所有技术参数描述均以磋商响应文件为准。</w:t>
      </w:r>
      <w:r>
        <w:rPr>
          <w:rFonts w:hint="eastAsia" w:ascii="宋体" w:hAnsi="宋体" w:eastAsia="宋体" w:cs="宋体"/>
          <w:b/>
          <w:color w:val="000000" w:themeColor="text1"/>
          <w:sz w:val="24"/>
          <w:highlight w:val="none"/>
          <w14:textFill>
            <w14:solidFill>
              <w14:schemeClr w14:val="tx1"/>
            </w14:solidFill>
          </w14:textFill>
        </w:rPr>
        <w:t>磋商供应商对所标产品技术参数的真实性承担法律责任。</w:t>
      </w:r>
      <w:r>
        <w:rPr>
          <w:rFonts w:hint="eastAsia" w:ascii="宋体" w:hAnsi="宋体" w:eastAsia="宋体" w:cs="宋体"/>
          <w:color w:val="000000" w:themeColor="text1"/>
          <w:sz w:val="24"/>
          <w:highlight w:val="none"/>
          <w14:textFill>
            <w14:solidFill>
              <w14:schemeClr w14:val="tx1"/>
            </w14:solidFill>
          </w14:textFill>
        </w:rPr>
        <w:t>项目</w:t>
      </w:r>
      <w:r>
        <w:rPr>
          <w:rFonts w:hint="eastAsia" w:ascii="宋体" w:hAnsi="宋体" w:eastAsia="宋体" w:cs="宋体"/>
          <w:bCs/>
          <w:color w:val="000000" w:themeColor="text1"/>
          <w:sz w:val="24"/>
          <w:highlight w:val="none"/>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000000" w:themeColor="text1"/>
          <w:sz w:val="24"/>
          <w:highlight w:val="none"/>
          <w14:textFill>
            <w14:solidFill>
              <w14:schemeClr w14:val="tx1"/>
            </w14:solidFill>
          </w14:textFill>
        </w:rPr>
        <w:tab/>
      </w:r>
    </w:p>
    <w:p w14:paraId="7BCAB530">
      <w:pPr>
        <w:pStyle w:val="72"/>
        <w:pageBreakBefore w:val="0"/>
        <w:kinsoku/>
        <w:wordWrap/>
        <w:overflowPunct/>
        <w:topLinePunct w:val="0"/>
        <w:bidi w:val="0"/>
        <w:snapToGrid w:val="0"/>
        <w:spacing w:line="400" w:lineRule="exact"/>
        <w:ind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3、供应商在</w:t>
      </w:r>
      <w:r>
        <w:rPr>
          <w:rFonts w:hint="eastAsia" w:ascii="宋体" w:hAnsi="宋体" w:eastAsia="宋体" w:cs="宋体"/>
          <w:bCs/>
          <w:color w:val="000000" w:themeColor="text1"/>
          <w:sz w:val="24"/>
          <w:szCs w:val="24"/>
          <w:highlight w:val="none"/>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2AFBB0F">
      <w:pPr>
        <w:pStyle w:val="72"/>
        <w:pageBreakBefore w:val="0"/>
        <w:kinsoku/>
        <w:wordWrap/>
        <w:overflowPunct/>
        <w:topLinePunct w:val="0"/>
        <w:bidi w:val="0"/>
        <w:snapToGrid w:val="0"/>
        <w:spacing w:line="400" w:lineRule="exact"/>
        <w:ind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4、供应商不得相互串通磋商报价，不得妨碍其他供应商的公平竞争，不得损害采购人或其他供应商的合法权益，供应商不得以向采购人、磋商小组成员行贿或者采取其他不正当手段谋取成交。</w:t>
      </w:r>
    </w:p>
    <w:p w14:paraId="648B7DF1">
      <w:pPr>
        <w:pStyle w:val="72"/>
        <w:pageBreakBefore w:val="0"/>
        <w:kinsoku/>
        <w:wordWrap/>
        <w:overflowPunct/>
        <w:topLinePunct w:val="0"/>
        <w:bidi w:val="0"/>
        <w:snapToGrid w:val="0"/>
        <w:spacing w:line="400" w:lineRule="exact"/>
        <w:ind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5、为采购项目提供整体设计、规范编制或者项目管理、监理、检测等服务的供应商，不得再参加该采购项目的其他采购活动。</w:t>
      </w:r>
    </w:p>
    <w:p w14:paraId="35CA8D14">
      <w:pPr>
        <w:pStyle w:val="72"/>
        <w:pageBreakBefore w:val="0"/>
        <w:kinsoku/>
        <w:wordWrap/>
        <w:overflowPunct/>
        <w:topLinePunct w:val="0"/>
        <w:bidi w:val="0"/>
        <w:snapToGrid w:val="0"/>
        <w:spacing w:line="400" w:lineRule="exact"/>
        <w:ind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6、磋商响应文件格式中的表格式样可以根据项目差别做适当调整,但应当保持表格样式基本形态不变。</w:t>
      </w:r>
    </w:p>
    <w:p w14:paraId="59CD7FB5">
      <w:pPr>
        <w:pStyle w:val="72"/>
        <w:pageBreakBefore w:val="0"/>
        <w:kinsoku/>
        <w:wordWrap/>
        <w:overflowPunct/>
        <w:topLinePunct w:val="0"/>
        <w:bidi w:val="0"/>
        <w:snapToGrid w:val="0"/>
        <w:spacing w:line="400" w:lineRule="exact"/>
        <w:ind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7、单位负责人为同一人或者存在直接控股、管理关系的不同供应商，不得参加同一合同项下的政府采购活动。</w:t>
      </w:r>
    </w:p>
    <w:p w14:paraId="763E2795">
      <w:pPr>
        <w:pStyle w:val="4"/>
        <w:pageBreakBefore w:val="0"/>
        <w:kinsoku/>
        <w:wordWrap/>
        <w:overflowPunct/>
        <w:topLinePunct w:val="0"/>
        <w:bidi w:val="0"/>
        <w:spacing w:before="0" w:beforeLines="0" w:after="0" w:afterLines="0"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二、磋商响应文件</w:t>
      </w:r>
    </w:p>
    <w:p w14:paraId="6FA31682">
      <w:pPr>
        <w:pStyle w:val="5"/>
        <w:pageBreakBefore w:val="0"/>
        <w:kinsoku/>
        <w:wordWrap/>
        <w:overflowPunct/>
        <w:topLinePunct w:val="0"/>
        <w:bidi w:val="0"/>
        <w:spacing w:before="0" w:beforeLines="0" w:after="0" w:afterLines="0" w:line="400" w:lineRule="exact"/>
        <w:ind w:firstLine="482"/>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（一）磋商响应文件的组成</w:t>
      </w:r>
    </w:p>
    <w:p w14:paraId="5C247281">
      <w:pPr>
        <w:pageBreakBefore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供应商应仔细阅读磋商采购文件的所有内容，按磋商采购文件的要求，详细编制磋商响应文件</w:t>
      </w:r>
      <w:r>
        <w:rPr>
          <w:rFonts w:hint="eastAsia" w:ascii="宋体" w:hAnsi="宋体" w:eastAsia="宋体" w:cs="宋体"/>
          <w:color w:val="000000" w:themeColor="text1"/>
          <w:sz w:val="24"/>
          <w:highlight w:val="none"/>
          <w14:textFill>
            <w14:solidFill>
              <w14:schemeClr w14:val="tx1"/>
            </w14:solidFill>
          </w14:textFill>
        </w:rPr>
        <w:t>。</w:t>
      </w:r>
    </w:p>
    <w:p w14:paraId="5A37583D">
      <w:pPr>
        <w:pageBreakBefore w:val="0"/>
        <w:kinsoku/>
        <w:wordWrap/>
        <w:overflowPunct/>
        <w:topLinePunct w:val="0"/>
        <w:bidi w:val="0"/>
        <w:snapToGrid w:val="0"/>
        <w:spacing w:line="400" w:lineRule="exact"/>
        <w:ind w:firstLine="482"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▲1、资格证明内容的组成：</w:t>
      </w:r>
    </w:p>
    <w:p w14:paraId="44FB2025">
      <w:pPr>
        <w:pStyle w:val="32"/>
        <w:pageBreakBefore w:val="0"/>
        <w:kinsoku/>
        <w:wordWrap/>
        <w:overflowPunct/>
        <w:topLinePunct w:val="0"/>
        <w:bidi w:val="0"/>
        <w:spacing w:line="400" w:lineRule="exact"/>
        <w:ind w:left="0" w:leftChars="0" w:firstLine="470"/>
        <w:textAlignment w:val="auto"/>
        <w:rPr>
          <w:rStyle w:val="43"/>
          <w:rFonts w:hint="eastAsia" w:ascii="宋体" w:hAnsi="宋体" w:eastAsia="宋体" w:cs="宋体"/>
          <w:b w:val="0"/>
          <w:color w:val="000000" w:themeColor="text1"/>
          <w:highlight w:val="none"/>
          <w:u w:val="none"/>
          <w:lang w:eastAsia="zh-CN"/>
          <w14:textFill>
            <w14:solidFill>
              <w14:schemeClr w14:val="tx1"/>
            </w14:solidFill>
          </w14:textFill>
        </w:rPr>
      </w:pPr>
      <w:r>
        <w:rPr>
          <w:rStyle w:val="43"/>
          <w:rFonts w:hint="eastAsia" w:ascii="宋体" w:hAnsi="宋体" w:eastAsia="宋体" w:cs="宋体"/>
          <w:b w:val="0"/>
          <w:color w:val="000000" w:themeColor="text1"/>
          <w:highlight w:val="none"/>
          <w:u w:val="none"/>
          <w14:textFill>
            <w14:solidFill>
              <w14:schemeClr w14:val="tx1"/>
            </w14:solidFill>
          </w14:textFill>
        </w:rPr>
        <w:t>（1）磋商声明书</w:t>
      </w:r>
      <w:r>
        <w:rPr>
          <w:rStyle w:val="43"/>
          <w:rFonts w:hint="eastAsia" w:cs="宋体"/>
          <w:b w:val="0"/>
          <w:color w:val="000000" w:themeColor="text1"/>
          <w:highlight w:val="none"/>
          <w:u w:val="none"/>
          <w:lang w:eastAsia="zh-CN"/>
          <w14:textFill>
            <w14:solidFill>
              <w14:schemeClr w14:val="tx1"/>
            </w14:solidFill>
          </w14:textFill>
        </w:rPr>
        <w:t>；</w:t>
      </w:r>
    </w:p>
    <w:p w14:paraId="089265BE">
      <w:pPr>
        <w:pStyle w:val="32"/>
        <w:pageBreakBefore w:val="0"/>
        <w:kinsoku/>
        <w:wordWrap/>
        <w:overflowPunct/>
        <w:topLinePunct w:val="0"/>
        <w:bidi w:val="0"/>
        <w:spacing w:line="400" w:lineRule="exact"/>
        <w:ind w:left="0" w:leftChars="0" w:firstLine="470"/>
        <w:textAlignment w:val="auto"/>
        <w:rPr>
          <w:rStyle w:val="43"/>
          <w:rFonts w:hint="eastAsia" w:ascii="宋体" w:hAnsi="宋体" w:eastAsia="宋体" w:cs="宋体"/>
          <w:b w:val="0"/>
          <w:color w:val="000000" w:themeColor="text1"/>
          <w:highlight w:val="none"/>
          <w:u w:val="none"/>
          <w14:textFill>
            <w14:solidFill>
              <w14:schemeClr w14:val="tx1"/>
            </w14:solidFill>
          </w14:textFill>
        </w:rPr>
      </w:pPr>
      <w:r>
        <w:rPr>
          <w:rStyle w:val="43"/>
          <w:rFonts w:hint="eastAsia" w:ascii="宋体" w:hAnsi="宋体" w:eastAsia="宋体" w:cs="宋体"/>
          <w:b w:val="0"/>
          <w:color w:val="000000" w:themeColor="text1"/>
          <w:highlight w:val="none"/>
          <w:u w:val="none"/>
          <w14:textFill>
            <w14:solidFill>
              <w14:schemeClr w14:val="tx1"/>
            </w14:solidFill>
          </w14:textFill>
        </w:rPr>
        <w:t>（2）授权委托书（法定代表人亲自办理磋商响应事宜的，则无需提交)；</w:t>
      </w:r>
    </w:p>
    <w:p w14:paraId="218EE288">
      <w:pPr>
        <w:pStyle w:val="32"/>
        <w:pageBreakBefore w:val="0"/>
        <w:kinsoku/>
        <w:wordWrap/>
        <w:overflowPunct/>
        <w:topLinePunct w:val="0"/>
        <w:bidi w:val="0"/>
        <w:spacing w:line="400" w:lineRule="exact"/>
        <w:ind w:left="0" w:leftChars="0" w:firstLine="470"/>
        <w:textAlignment w:val="auto"/>
        <w:rPr>
          <w:rStyle w:val="43"/>
          <w:rFonts w:hint="eastAsia" w:ascii="宋体" w:hAnsi="宋体" w:eastAsia="宋体" w:cs="宋体"/>
          <w:b w:val="0"/>
          <w:color w:val="000000" w:themeColor="text1"/>
          <w:highlight w:val="none"/>
          <w:u w:val="none"/>
          <w14:textFill>
            <w14:solidFill>
              <w14:schemeClr w14:val="tx1"/>
            </w14:solidFill>
          </w14:textFill>
        </w:rPr>
      </w:pPr>
      <w:r>
        <w:rPr>
          <w:rStyle w:val="43"/>
          <w:rFonts w:hint="eastAsia" w:ascii="宋体" w:hAnsi="宋体" w:eastAsia="宋体" w:cs="宋体"/>
          <w:b w:val="0"/>
          <w:color w:val="000000" w:themeColor="text1"/>
          <w:highlight w:val="none"/>
          <w:u w:val="none"/>
          <w14:textFill>
            <w14:solidFill>
              <w14:schemeClr w14:val="tx1"/>
            </w14:solidFill>
          </w14:textFill>
        </w:rPr>
        <w:t>（3）法人或者其他组织的营业执照等证明文件，自然人的身份证明；</w:t>
      </w:r>
    </w:p>
    <w:p w14:paraId="58649621">
      <w:pPr>
        <w:pStyle w:val="32"/>
        <w:pageBreakBefore w:val="0"/>
        <w:kinsoku/>
        <w:wordWrap/>
        <w:overflowPunct/>
        <w:topLinePunct w:val="0"/>
        <w:bidi w:val="0"/>
        <w:spacing w:line="400" w:lineRule="exact"/>
        <w:ind w:left="0" w:leftChars="0" w:firstLine="470"/>
        <w:textAlignment w:val="auto"/>
        <w:rPr>
          <w:rStyle w:val="43"/>
          <w:rFonts w:hint="eastAsia" w:ascii="宋体" w:hAnsi="宋体" w:eastAsia="宋体" w:cs="宋体"/>
          <w:b w:val="0"/>
          <w:color w:val="000000" w:themeColor="text1"/>
          <w:highlight w:val="none"/>
          <w:u w:val="none"/>
          <w14:textFill>
            <w14:solidFill>
              <w14:schemeClr w14:val="tx1"/>
            </w14:solidFill>
          </w14:textFill>
        </w:rPr>
      </w:pPr>
      <w:r>
        <w:rPr>
          <w:rStyle w:val="43"/>
          <w:rFonts w:hint="eastAsia" w:ascii="宋体" w:hAnsi="宋体" w:eastAsia="宋体" w:cs="宋体"/>
          <w:b w:val="0"/>
          <w:color w:val="000000" w:themeColor="text1"/>
          <w:highlight w:val="none"/>
          <w:u w:val="none"/>
          <w14:textFill>
            <w14:solidFill>
              <w14:schemeClr w14:val="tx1"/>
            </w14:solidFill>
          </w14:textFill>
        </w:rPr>
        <w:t>（4）财务状况报告，依法缴纳税收和社会保障资金的相关材料</w:t>
      </w:r>
      <w:r>
        <w:rPr>
          <w:rStyle w:val="43"/>
          <w:rFonts w:hint="eastAsia" w:cs="宋体"/>
          <w:b w:val="0"/>
          <w:color w:val="000000" w:themeColor="text1"/>
          <w:highlight w:val="none"/>
          <w:u w:val="none"/>
          <w:lang w:eastAsia="zh-CN"/>
          <w14:textFill>
            <w14:solidFill>
              <w14:schemeClr w14:val="tx1"/>
            </w14:solidFill>
          </w14:textFill>
        </w:rPr>
        <w:t>（</w:t>
      </w:r>
      <w:r>
        <w:rPr>
          <w:rStyle w:val="43"/>
          <w:rFonts w:hint="eastAsia" w:cs="宋体"/>
          <w:b w:val="0"/>
          <w:color w:val="000000" w:themeColor="text1"/>
          <w:highlight w:val="none"/>
          <w:u w:val="none"/>
          <w:lang w:val="en-US" w:eastAsia="zh-CN"/>
          <w14:textFill>
            <w14:solidFill>
              <w14:schemeClr w14:val="tx1"/>
            </w14:solidFill>
          </w14:textFill>
        </w:rPr>
        <w:t>允许承诺函形式</w:t>
      </w:r>
      <w:r>
        <w:rPr>
          <w:rStyle w:val="43"/>
          <w:rFonts w:hint="eastAsia" w:cs="宋体"/>
          <w:b w:val="0"/>
          <w:color w:val="000000" w:themeColor="text1"/>
          <w:highlight w:val="none"/>
          <w:u w:val="none"/>
          <w:lang w:eastAsia="zh-CN"/>
          <w14:textFill>
            <w14:solidFill>
              <w14:schemeClr w14:val="tx1"/>
            </w14:solidFill>
          </w14:textFill>
        </w:rPr>
        <w:t>）</w:t>
      </w:r>
      <w:r>
        <w:rPr>
          <w:rStyle w:val="43"/>
          <w:rFonts w:hint="eastAsia" w:ascii="宋体" w:hAnsi="宋体" w:eastAsia="宋体" w:cs="宋体"/>
          <w:b w:val="0"/>
          <w:color w:val="000000" w:themeColor="text1"/>
          <w:highlight w:val="none"/>
          <w:u w:val="none"/>
          <w14:textFill>
            <w14:solidFill>
              <w14:schemeClr w14:val="tx1"/>
            </w14:solidFill>
          </w14:textFill>
        </w:rPr>
        <w:t>；</w:t>
      </w:r>
    </w:p>
    <w:p w14:paraId="7BD517E3">
      <w:pPr>
        <w:pStyle w:val="32"/>
        <w:pageBreakBefore w:val="0"/>
        <w:kinsoku/>
        <w:wordWrap/>
        <w:overflowPunct/>
        <w:topLinePunct w:val="0"/>
        <w:bidi w:val="0"/>
        <w:spacing w:line="400" w:lineRule="exact"/>
        <w:ind w:left="0" w:leftChars="0" w:firstLine="470"/>
        <w:textAlignment w:val="auto"/>
        <w:rPr>
          <w:rStyle w:val="43"/>
          <w:rFonts w:hint="eastAsia" w:ascii="宋体" w:hAnsi="宋体" w:eastAsia="宋体" w:cs="宋体"/>
          <w:b w:val="0"/>
          <w:color w:val="000000" w:themeColor="text1"/>
          <w:highlight w:val="none"/>
          <w:u w:val="none"/>
          <w14:textFill>
            <w14:solidFill>
              <w14:schemeClr w14:val="tx1"/>
            </w14:solidFill>
          </w14:textFill>
        </w:rPr>
      </w:pPr>
      <w:r>
        <w:rPr>
          <w:rStyle w:val="43"/>
          <w:rFonts w:hint="eastAsia" w:ascii="宋体" w:hAnsi="宋体" w:eastAsia="宋体" w:cs="宋体"/>
          <w:b w:val="0"/>
          <w:color w:val="000000" w:themeColor="text1"/>
          <w:highlight w:val="none"/>
          <w:u w:val="none"/>
          <w14:textFill>
            <w14:solidFill>
              <w14:schemeClr w14:val="tx1"/>
            </w14:solidFill>
          </w14:textFill>
        </w:rPr>
        <w:t>（5）具备履行合同所必需的设备和专业技术能力的证明材料(根据项目性质提供)；</w:t>
      </w:r>
    </w:p>
    <w:p w14:paraId="172AB14B">
      <w:pPr>
        <w:pStyle w:val="32"/>
        <w:pageBreakBefore w:val="0"/>
        <w:kinsoku/>
        <w:wordWrap/>
        <w:overflowPunct/>
        <w:topLinePunct w:val="0"/>
        <w:bidi w:val="0"/>
        <w:spacing w:line="400" w:lineRule="exact"/>
        <w:ind w:left="0" w:leftChars="0" w:firstLine="470"/>
        <w:textAlignment w:val="auto"/>
        <w:rPr>
          <w:rStyle w:val="43"/>
          <w:rFonts w:hint="eastAsia" w:ascii="宋体" w:hAnsi="宋体" w:eastAsia="宋体" w:cs="宋体"/>
          <w:b w:val="0"/>
          <w:color w:val="000000" w:themeColor="text1"/>
          <w:highlight w:val="none"/>
          <w:u w:val="none"/>
          <w14:textFill>
            <w14:solidFill>
              <w14:schemeClr w14:val="tx1"/>
            </w14:solidFill>
          </w14:textFill>
        </w:rPr>
      </w:pPr>
      <w:r>
        <w:rPr>
          <w:rStyle w:val="43"/>
          <w:rFonts w:hint="eastAsia" w:ascii="宋体" w:hAnsi="宋体" w:eastAsia="宋体" w:cs="宋体"/>
          <w:b w:val="0"/>
          <w:color w:val="000000" w:themeColor="text1"/>
          <w:highlight w:val="none"/>
          <w:u w:val="none"/>
          <w14:textFill>
            <w14:solidFill>
              <w14:schemeClr w14:val="tx1"/>
            </w14:solidFill>
          </w14:textFill>
        </w:rPr>
        <w:t>（6）提供采购公告中符合供应商特定条件的有效资质证书复印件（磋商供应商特定条件中有要求的必须提供），以及需要说明的其他资料；</w:t>
      </w:r>
    </w:p>
    <w:p w14:paraId="5457DB2F">
      <w:pPr>
        <w:pStyle w:val="32"/>
        <w:pageBreakBefore w:val="0"/>
        <w:kinsoku/>
        <w:wordWrap/>
        <w:overflowPunct/>
        <w:topLinePunct w:val="0"/>
        <w:bidi w:val="0"/>
        <w:spacing w:line="400" w:lineRule="exact"/>
        <w:ind w:left="0" w:leftChars="0" w:firstLine="470"/>
        <w:textAlignment w:val="auto"/>
        <w:rPr>
          <w:rStyle w:val="43"/>
          <w:rFonts w:hint="eastAsia" w:ascii="宋体" w:hAnsi="宋体" w:eastAsia="宋体" w:cs="宋体"/>
          <w:b w:val="0"/>
          <w:bCs/>
          <w:color w:val="000000" w:themeColor="text1"/>
          <w:highlight w:val="none"/>
          <w:u w:val="none"/>
          <w:lang w:eastAsia="zh-CN"/>
          <w14:textFill>
            <w14:solidFill>
              <w14:schemeClr w14:val="tx1"/>
            </w14:solidFill>
          </w14:textFill>
        </w:rPr>
      </w:pPr>
      <w:r>
        <w:rPr>
          <w:rStyle w:val="43"/>
          <w:rFonts w:hint="eastAsia" w:ascii="宋体" w:hAnsi="宋体" w:eastAsia="宋体" w:cs="宋体"/>
          <w:b w:val="0"/>
          <w:color w:val="000000" w:themeColor="text1"/>
          <w:highlight w:val="none"/>
          <w:u w:val="none"/>
          <w:lang w:eastAsia="zh-CN"/>
          <w14:textFill>
            <w14:solidFill>
              <w14:schemeClr w14:val="tx1"/>
            </w14:solidFill>
          </w14:textFill>
        </w:rPr>
        <w:t>（</w:t>
      </w:r>
      <w:r>
        <w:rPr>
          <w:rStyle w:val="43"/>
          <w:rFonts w:hint="eastAsia" w:ascii="宋体" w:hAnsi="宋体" w:eastAsia="宋体" w:cs="宋体"/>
          <w:b w:val="0"/>
          <w:color w:val="000000" w:themeColor="text1"/>
          <w:highlight w:val="none"/>
          <w:u w:val="none"/>
          <w:lang w:val="en-US" w:eastAsia="zh-CN"/>
          <w14:textFill>
            <w14:solidFill>
              <w14:schemeClr w14:val="tx1"/>
            </w14:solidFill>
          </w14:textFill>
        </w:rPr>
        <w:t>7</w:t>
      </w:r>
      <w:r>
        <w:rPr>
          <w:rStyle w:val="43"/>
          <w:rFonts w:hint="eastAsia" w:ascii="宋体" w:hAnsi="宋体" w:eastAsia="宋体" w:cs="宋体"/>
          <w:b w:val="0"/>
          <w:color w:val="000000" w:themeColor="text1"/>
          <w:highlight w:val="none"/>
          <w:u w:val="none"/>
          <w:lang w:eastAsia="zh-CN"/>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中小企业声明函（服务）</w:t>
      </w:r>
    </w:p>
    <w:p w14:paraId="00E0DFAB">
      <w:pPr>
        <w:pageBreakBefore w:val="0"/>
        <w:kinsoku/>
        <w:wordWrap/>
        <w:overflowPunct/>
        <w:topLinePunct w:val="0"/>
        <w:bidi w:val="0"/>
        <w:snapToGrid w:val="0"/>
        <w:spacing w:line="400" w:lineRule="exact"/>
        <w:ind w:firstLine="482" w:firstLineChars="200"/>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2、商务与技术内容的组成：</w:t>
      </w:r>
    </w:p>
    <w:p w14:paraId="476AD111">
      <w:pPr>
        <w:pStyle w:val="11"/>
        <w:pageBreakBefore w:val="0"/>
        <w:widowControl/>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（1）供应商情况介绍。</w:t>
      </w:r>
    </w:p>
    <w:p w14:paraId="73EB2670">
      <w:pPr>
        <w:pStyle w:val="11"/>
        <w:pageBreakBefore w:val="0"/>
        <w:widowControl/>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（2）磋商响应方案描述：</w:t>
      </w:r>
    </w:p>
    <w:p w14:paraId="6B256D46">
      <w:pPr>
        <w:pStyle w:val="11"/>
        <w:pageBreakBefore w:val="0"/>
        <w:widowControl/>
        <w:kinsoku/>
        <w:wordWrap/>
        <w:overflowPunct/>
        <w:topLinePunct w:val="0"/>
        <w:bidi w:val="0"/>
        <w:adjustRightInd w:val="0"/>
        <w:snapToGrid w:val="0"/>
        <w:spacing w:line="400" w:lineRule="exact"/>
        <w:ind w:left="218" w:leftChars="104" w:firstLine="619" w:firstLineChars="25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w:t>
      </w:r>
      <w:r>
        <w:rPr>
          <w:rFonts w:hint="eastAsia" w:ascii="宋体" w:hAnsi="宋体" w:cs="宋体"/>
          <w:color w:val="000000" w:themeColor="text1"/>
          <w:sz w:val="24"/>
          <w:szCs w:val="24"/>
          <w:highlight w:val="none"/>
          <w:lang w:val="en-US" w:eastAsia="zh-CN"/>
          <w14:textFill>
            <w14:solidFill>
              <w14:schemeClr w14:val="tx1"/>
            </w14:solidFill>
          </w14:textFill>
        </w:rPr>
        <w:t>技术服务方案</w:t>
      </w:r>
      <w:r>
        <w:rPr>
          <w:rFonts w:hint="eastAsia" w:ascii="宋体" w:hAnsi="宋体" w:eastAsia="宋体" w:cs="宋体"/>
          <w:color w:val="000000" w:themeColor="text1"/>
          <w:sz w:val="24"/>
          <w:szCs w:val="24"/>
          <w:highlight w:val="none"/>
          <w14:textFill>
            <w14:solidFill>
              <w14:schemeClr w14:val="tx1"/>
            </w14:solidFill>
          </w14:textFill>
        </w:rPr>
        <w:t>。</w:t>
      </w:r>
    </w:p>
    <w:p w14:paraId="40A6C954">
      <w:pPr>
        <w:pStyle w:val="11"/>
        <w:pageBreakBefore w:val="0"/>
        <w:widowControl/>
        <w:kinsoku/>
        <w:wordWrap/>
        <w:overflowPunct/>
        <w:topLinePunct w:val="0"/>
        <w:bidi w:val="0"/>
        <w:adjustRightInd w:val="0"/>
        <w:snapToGrid w:val="0"/>
        <w:spacing w:line="400" w:lineRule="exact"/>
        <w:ind w:left="218" w:leftChars="104" w:firstLine="619" w:firstLineChars="25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B.项目实施人员一览表</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项目负责人资格情况表。</w:t>
      </w:r>
    </w:p>
    <w:p w14:paraId="0B017DBC">
      <w:pPr>
        <w:pageBreakBefore w:val="0"/>
        <w:kinsoku/>
        <w:wordWrap/>
        <w:overflowPunct/>
        <w:topLinePunct w:val="0"/>
        <w:autoSpaceDE w:val="0"/>
        <w:autoSpaceDN w:val="0"/>
        <w:bidi w:val="0"/>
        <w:adjustRightInd w:val="0"/>
        <w:spacing w:line="400" w:lineRule="exact"/>
        <w:ind w:firstLine="424" w:firstLineChars="177"/>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（3）供应商通过的</w:t>
      </w:r>
      <w:r>
        <w:rPr>
          <w:rFonts w:hint="eastAsia" w:ascii="宋体" w:hAnsi="宋体" w:eastAsia="宋体" w:cs="宋体"/>
          <w:color w:val="000000" w:themeColor="text1"/>
          <w:sz w:val="24"/>
          <w:highlight w:val="none"/>
          <w14:textFill>
            <w14:solidFill>
              <w14:schemeClr w14:val="tx1"/>
            </w14:solidFill>
          </w14:textFill>
        </w:rPr>
        <w:t>自主创新相关证书、软件著作权证等等与本项目相关</w:t>
      </w:r>
      <w:r>
        <w:rPr>
          <w:rFonts w:hint="eastAsia" w:ascii="宋体" w:hAnsi="宋体" w:eastAsia="宋体" w:cs="宋体"/>
          <w:color w:val="000000" w:themeColor="text1"/>
          <w:kern w:val="0"/>
          <w:sz w:val="24"/>
          <w:highlight w:val="none"/>
          <w14:textFill>
            <w14:solidFill>
              <w14:schemeClr w14:val="tx1"/>
            </w14:solidFill>
          </w14:textFill>
        </w:rPr>
        <w:t>的认证证书或文件；</w:t>
      </w:r>
    </w:p>
    <w:p w14:paraId="6A22B9F0">
      <w:pPr>
        <w:pStyle w:val="11"/>
        <w:pageBreakBefore w:val="0"/>
        <w:widowControl/>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（4）类似项目业绩一览表；</w:t>
      </w:r>
    </w:p>
    <w:p w14:paraId="719C3C0F">
      <w:pPr>
        <w:pageBreakBefore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（5）供应商认为需要提供的其他资料（包括可能影响供应商商务与技术内容评分的各类证明材料）。</w:t>
      </w:r>
    </w:p>
    <w:p w14:paraId="2B359FD4">
      <w:pPr>
        <w:pStyle w:val="11"/>
        <w:pageBreakBefore w:val="0"/>
        <w:widowControl/>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（6）售后服务描述及承诺：</w:t>
      </w:r>
    </w:p>
    <w:p w14:paraId="11D1F4E6">
      <w:pPr>
        <w:pStyle w:val="11"/>
        <w:pageBreakBefore w:val="0"/>
        <w:widowControl/>
        <w:kinsoku/>
        <w:wordWrap/>
        <w:overflowPunct/>
        <w:topLinePunct w:val="0"/>
        <w:bidi w:val="0"/>
        <w:adjustRightInd w:val="0"/>
        <w:snapToGrid w:val="0"/>
        <w:spacing w:line="400" w:lineRule="exact"/>
        <w:ind w:left="218" w:leftChars="104" w:firstLine="619" w:firstLineChars="25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A.距采购人最近的服务网点详细介绍（包括地理位置、资质资格、技术力量、工作业绩、服务内容及联系电话等）。</w:t>
      </w:r>
    </w:p>
    <w:p w14:paraId="20397B94">
      <w:pPr>
        <w:pStyle w:val="11"/>
        <w:pageBreakBefore w:val="0"/>
        <w:widowControl/>
        <w:kinsoku/>
        <w:wordWrap/>
        <w:overflowPunct/>
        <w:topLinePunct w:val="0"/>
        <w:bidi w:val="0"/>
        <w:adjustRightInd w:val="0"/>
        <w:snapToGrid w:val="0"/>
        <w:spacing w:line="400" w:lineRule="exact"/>
        <w:ind w:left="218" w:leftChars="104" w:firstLine="619" w:firstLineChars="25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B.针对本项目的售后服务措施及承诺（售后技术服务方案、人员配备、故障响应时间、技术培训方案等）。</w:t>
      </w:r>
    </w:p>
    <w:p w14:paraId="3055C3C3">
      <w:pPr>
        <w:pageBreakBefore w:val="0"/>
        <w:kinsoku/>
        <w:wordWrap/>
        <w:overflowPunct/>
        <w:topLinePunct w:val="0"/>
        <w:autoSpaceDE w:val="0"/>
        <w:autoSpaceDN w:val="0"/>
        <w:bidi w:val="0"/>
        <w:adjustRightInd w:val="0"/>
        <w:spacing w:line="400" w:lineRule="exact"/>
        <w:ind w:left="426" w:firstLine="65" w:firstLineChars="27"/>
        <w:textAlignment w:val="auto"/>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3、报价内容的组成</w:t>
      </w:r>
    </w:p>
    <w:p w14:paraId="6780CF41">
      <w:pPr>
        <w:pStyle w:val="32"/>
        <w:pageBreakBefore w:val="0"/>
        <w:kinsoku/>
        <w:wordWrap/>
        <w:overflowPunct/>
        <w:topLinePunct w:val="0"/>
        <w:bidi w:val="0"/>
        <w:spacing w:line="400" w:lineRule="exact"/>
        <w:ind w:left="0" w:leftChars="0" w:firstLine="470"/>
        <w:textAlignment w:val="auto"/>
        <w:rPr>
          <w:rFonts w:hint="eastAsia" w:ascii="宋体" w:hAnsi="宋体" w:eastAsia="宋体" w:cs="宋体"/>
          <w:b w:val="0"/>
          <w:color w:val="000000" w:themeColor="text1"/>
          <w:kern w:val="0"/>
          <w:highlight w:val="none"/>
          <w14:textFill>
            <w14:solidFill>
              <w14:schemeClr w14:val="tx1"/>
            </w14:solidFill>
          </w14:textFill>
        </w:rPr>
      </w:pPr>
      <w:r>
        <w:rPr>
          <w:rFonts w:hint="eastAsia" w:ascii="宋体" w:hAnsi="宋体" w:eastAsia="宋体" w:cs="宋体"/>
          <w:b w:val="0"/>
          <w:color w:val="000000" w:themeColor="text1"/>
          <w:kern w:val="0"/>
          <w:highlight w:val="none"/>
          <w14:textFill>
            <w14:solidFill>
              <w14:schemeClr w14:val="tx1"/>
            </w14:solidFill>
          </w14:textFill>
        </w:rPr>
        <w:t>（1）报价内容由首次报价一览表、报价明细表，以及供应商认为其他需要说明的内容组成。</w:t>
      </w:r>
    </w:p>
    <w:p w14:paraId="3F6BD4A0">
      <w:pPr>
        <w:pStyle w:val="32"/>
        <w:pageBreakBefore w:val="0"/>
        <w:kinsoku/>
        <w:wordWrap/>
        <w:overflowPunct/>
        <w:topLinePunct w:val="0"/>
        <w:bidi w:val="0"/>
        <w:spacing w:line="400" w:lineRule="exact"/>
        <w:ind w:left="0" w:leftChars="0" w:firstLine="470"/>
        <w:textAlignment w:val="auto"/>
        <w:rPr>
          <w:rFonts w:hint="eastAsia" w:ascii="宋体" w:hAnsi="宋体" w:eastAsia="宋体" w:cs="宋体"/>
          <w:b w:val="0"/>
          <w:color w:val="000000" w:themeColor="text1"/>
          <w:kern w:val="0"/>
          <w:highlight w:val="none"/>
          <w14:textFill>
            <w14:solidFill>
              <w14:schemeClr w14:val="tx1"/>
            </w14:solidFill>
          </w14:textFill>
        </w:rPr>
      </w:pPr>
      <w:r>
        <w:rPr>
          <w:rFonts w:hint="eastAsia" w:ascii="宋体" w:hAnsi="宋体" w:eastAsia="宋体" w:cs="宋体"/>
          <w:b w:val="0"/>
          <w:color w:val="000000" w:themeColor="text1"/>
          <w:kern w:val="0"/>
          <w:highlight w:val="none"/>
          <w14:textFill>
            <w14:solidFill>
              <w14:schemeClr w14:val="tx1"/>
            </w14:solidFill>
          </w14:textFill>
        </w:rPr>
        <w:t>（2）此报价为供应商针对本项目报出的唯一的首次报价，包含其它一切所要涉及到的费用，有选择的报价将被拒绝。</w:t>
      </w:r>
    </w:p>
    <w:p w14:paraId="4483960C">
      <w:pPr>
        <w:pStyle w:val="32"/>
        <w:pageBreakBefore w:val="0"/>
        <w:kinsoku/>
        <w:wordWrap/>
        <w:overflowPunct/>
        <w:topLinePunct w:val="0"/>
        <w:bidi w:val="0"/>
        <w:spacing w:line="400" w:lineRule="exact"/>
        <w:ind w:left="0" w:leftChars="0" w:firstLine="470"/>
        <w:textAlignment w:val="auto"/>
        <w:rPr>
          <w:rFonts w:hint="eastAsia" w:ascii="宋体" w:hAnsi="宋体" w:eastAsia="宋体" w:cs="宋体"/>
          <w:b w:val="0"/>
          <w:color w:val="000000" w:themeColor="text1"/>
          <w:kern w:val="0"/>
          <w:highlight w:val="none"/>
          <w14:textFill>
            <w14:solidFill>
              <w14:schemeClr w14:val="tx1"/>
            </w14:solidFill>
          </w14:textFill>
        </w:rPr>
      </w:pPr>
      <w:r>
        <w:rPr>
          <w:rFonts w:hint="eastAsia" w:ascii="宋体" w:hAnsi="宋体" w:eastAsia="宋体" w:cs="宋体"/>
          <w:b w:val="0"/>
          <w:color w:val="000000" w:themeColor="text1"/>
          <w:kern w:val="0"/>
          <w:highlight w:val="none"/>
          <w14:textFill>
            <w14:solidFill>
              <w14:schemeClr w14:val="tx1"/>
            </w14:solidFill>
          </w14:textFill>
        </w:rPr>
        <w:t>（3）</w:t>
      </w:r>
      <w:r>
        <w:rPr>
          <w:rFonts w:hint="eastAsia" w:ascii="宋体" w:hAnsi="宋体" w:eastAsia="宋体" w:cs="宋体"/>
          <w:b w:val="0"/>
          <w:color w:val="000000" w:themeColor="text1"/>
          <w:kern w:val="0"/>
          <w:highlight w:val="none"/>
          <w:lang w:val="zh-CN"/>
          <w14:textFill>
            <w14:solidFill>
              <w14:schemeClr w14:val="tx1"/>
            </w14:solidFill>
          </w14:textFill>
        </w:rPr>
        <w:t>报价包括</w:t>
      </w:r>
      <w:r>
        <w:rPr>
          <w:rFonts w:hint="eastAsia" w:ascii="宋体" w:hAnsi="宋体" w:eastAsia="宋体" w:cs="宋体"/>
          <w:b w:val="0"/>
          <w:color w:val="000000" w:themeColor="text1"/>
          <w:kern w:val="0"/>
          <w:highlight w:val="none"/>
          <w14:textFill>
            <w14:solidFill>
              <w14:schemeClr w14:val="tx1"/>
            </w14:solidFill>
          </w14:textFill>
        </w:rPr>
        <w:t>相关</w:t>
      </w:r>
      <w:r>
        <w:rPr>
          <w:rFonts w:hint="eastAsia" w:ascii="宋体" w:hAnsi="宋体" w:eastAsia="宋体" w:cs="宋体"/>
          <w:b w:val="0"/>
          <w:color w:val="000000" w:themeColor="text1"/>
          <w:kern w:val="0"/>
          <w:highlight w:val="none"/>
          <w:lang w:val="zh-CN"/>
          <w14:textFill>
            <w14:solidFill>
              <w14:schemeClr w14:val="tx1"/>
            </w14:solidFill>
          </w14:textFill>
        </w:rPr>
        <w:t>人工费、材料费、设备使用费、人员来往的交通、通信、食宿、企业管理费、利润、税金、售后服务费、技术服务费、技术培训费、</w:t>
      </w:r>
      <w:r>
        <w:rPr>
          <w:rFonts w:hint="eastAsia" w:ascii="宋体" w:hAnsi="宋体" w:eastAsia="宋体" w:cs="宋体"/>
          <w:b w:val="0"/>
          <w:color w:val="000000" w:themeColor="text1"/>
          <w:kern w:val="0"/>
          <w:highlight w:val="none"/>
          <w14:textFill>
            <w14:solidFill>
              <w14:schemeClr w14:val="tx1"/>
            </w14:solidFill>
          </w14:textFill>
        </w:rPr>
        <w:t>招标代理服务费、</w:t>
      </w:r>
      <w:r>
        <w:rPr>
          <w:rFonts w:hint="eastAsia" w:ascii="宋体" w:hAnsi="宋体" w:eastAsia="宋体" w:cs="宋体"/>
          <w:b w:val="0"/>
          <w:color w:val="000000" w:themeColor="text1"/>
          <w:kern w:val="0"/>
          <w:highlight w:val="none"/>
          <w:lang w:val="zh-CN"/>
          <w14:textFill>
            <w14:solidFill>
              <w14:schemeClr w14:val="tx1"/>
            </w14:solidFill>
          </w14:textFill>
        </w:rPr>
        <w:t>政策性文件规定及合同包含的所有风险、责任、成果验收以及采购文件约定工作内容所包含的等一切费用。供应商应列入而未列入其中的费用，均视为已包含在内，不得再要求追加任何费用</w:t>
      </w:r>
      <w:r>
        <w:rPr>
          <w:rFonts w:hint="eastAsia" w:ascii="宋体" w:hAnsi="宋体" w:eastAsia="宋体" w:cs="宋体"/>
          <w:b w:val="0"/>
          <w:color w:val="000000" w:themeColor="text1"/>
          <w:kern w:val="0"/>
          <w:highlight w:val="none"/>
          <w14:textFill>
            <w14:solidFill>
              <w14:schemeClr w14:val="tx1"/>
            </w14:solidFill>
          </w14:textFill>
        </w:rPr>
        <w:t>。</w:t>
      </w:r>
    </w:p>
    <w:p w14:paraId="7E7076BB">
      <w:pPr>
        <w:pStyle w:val="32"/>
        <w:pageBreakBefore w:val="0"/>
        <w:kinsoku/>
        <w:wordWrap/>
        <w:overflowPunct/>
        <w:topLinePunct w:val="0"/>
        <w:bidi w:val="0"/>
        <w:spacing w:line="400" w:lineRule="exact"/>
        <w:ind w:left="0" w:leftChars="0" w:firstLine="470"/>
        <w:textAlignment w:val="auto"/>
        <w:rPr>
          <w:rFonts w:hint="eastAsia" w:ascii="宋体" w:hAnsi="宋体" w:eastAsia="宋体" w:cs="宋体"/>
          <w:b w:val="0"/>
          <w:color w:val="000000" w:themeColor="text1"/>
          <w:kern w:val="0"/>
          <w:highlight w:val="none"/>
          <w14:textFill>
            <w14:solidFill>
              <w14:schemeClr w14:val="tx1"/>
            </w14:solidFill>
          </w14:textFill>
        </w:rPr>
      </w:pPr>
      <w:r>
        <w:rPr>
          <w:rFonts w:hint="eastAsia" w:ascii="宋体" w:hAnsi="宋体" w:eastAsia="宋体" w:cs="宋体"/>
          <w:b w:val="0"/>
          <w:color w:val="000000" w:themeColor="text1"/>
          <w:kern w:val="0"/>
          <w:highlight w:val="none"/>
          <w14:textFill>
            <w14:solidFill>
              <w14:schemeClr w14:val="tx1"/>
            </w14:solidFill>
          </w14:textFill>
        </w:rPr>
        <w:t>（4）相关报价表需打印或用不退色的墨水填写， 磋商响应报价表不得涂改和增删，如有错漏必须修改，修改处须由同一签署人签字或盖章。由于字迹模糊或表达不清引起的后果由供应商负责。</w:t>
      </w:r>
    </w:p>
    <w:p w14:paraId="63F05272">
      <w:pPr>
        <w:pStyle w:val="32"/>
        <w:pageBreakBefore w:val="0"/>
        <w:kinsoku/>
        <w:wordWrap/>
        <w:overflowPunct/>
        <w:topLinePunct w:val="0"/>
        <w:bidi w:val="0"/>
        <w:spacing w:line="400" w:lineRule="exact"/>
        <w:ind w:left="0" w:leftChars="0" w:firstLine="470"/>
        <w:textAlignment w:val="auto"/>
        <w:rPr>
          <w:rFonts w:hint="eastAsia" w:ascii="宋体" w:hAnsi="宋体" w:eastAsia="宋体" w:cs="宋体"/>
          <w:b w:val="0"/>
          <w:color w:val="000000" w:themeColor="text1"/>
          <w:kern w:val="0"/>
          <w:highlight w:val="none"/>
          <w14:textFill>
            <w14:solidFill>
              <w14:schemeClr w14:val="tx1"/>
            </w14:solidFill>
          </w14:textFill>
        </w:rPr>
      </w:pPr>
      <w:r>
        <w:rPr>
          <w:rFonts w:hint="eastAsia" w:ascii="宋体" w:hAnsi="宋体" w:eastAsia="宋体" w:cs="宋体"/>
          <w:b w:val="0"/>
          <w:color w:val="000000" w:themeColor="text1"/>
          <w:kern w:val="0"/>
          <w:highlight w:val="none"/>
          <w14:textFill>
            <w14:solidFill>
              <w14:schemeClr w14:val="tx1"/>
            </w14:solidFill>
          </w14:textFill>
        </w:rPr>
        <w:t>报价有关表格应按磋商采购文件中相关附表格式填写。</w:t>
      </w:r>
    </w:p>
    <w:p w14:paraId="6C726C94">
      <w:pPr>
        <w:pStyle w:val="5"/>
        <w:pageBreakBefore w:val="0"/>
        <w:kinsoku/>
        <w:wordWrap/>
        <w:overflowPunct/>
        <w:topLinePunct w:val="0"/>
        <w:bidi w:val="0"/>
        <w:spacing w:before="0" w:beforeLines="0" w:after="0" w:afterLines="0" w:line="400" w:lineRule="exact"/>
        <w:ind w:firstLine="482"/>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（二）磋商响应文件的制作、封装及递交要求</w:t>
      </w:r>
    </w:p>
    <w:p w14:paraId="77A5446B">
      <w:pPr>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w:t>
      </w:r>
      <w:r>
        <w:rPr>
          <w:rFonts w:hint="eastAsia" w:ascii="宋体" w:hAnsi="宋体" w:eastAsia="宋体" w:cs="宋体"/>
          <w:b/>
          <w:bCs/>
          <w:color w:val="000000" w:themeColor="text1"/>
          <w:kern w:val="0"/>
          <w:sz w:val="24"/>
          <w:highlight w:val="none"/>
          <w14:textFill>
            <w14:solidFill>
              <w14:schemeClr w14:val="tx1"/>
            </w14:solidFill>
          </w14:textFill>
        </w:rPr>
        <w:t>磋商响应</w:t>
      </w:r>
      <w:r>
        <w:rPr>
          <w:rFonts w:hint="eastAsia" w:ascii="宋体" w:hAnsi="宋体" w:eastAsia="宋体" w:cs="宋体"/>
          <w:b/>
          <w:bCs/>
          <w:color w:val="000000" w:themeColor="text1"/>
          <w:sz w:val="24"/>
          <w:highlight w:val="none"/>
          <w14:textFill>
            <w14:solidFill>
              <w14:schemeClr w14:val="tx1"/>
            </w14:solidFill>
          </w14:textFill>
        </w:rPr>
        <w:t>文件的制作要求</w:t>
      </w:r>
    </w:p>
    <w:p w14:paraId="467E5D2E">
      <w:pPr>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（1）磋商人应按照磋商文件组成内容及项目采购需求制作磋商响应文件，</w:t>
      </w:r>
      <w:r>
        <w:rPr>
          <w:rFonts w:hint="eastAsia" w:ascii="宋体" w:hAnsi="宋体" w:eastAsia="宋体" w:cs="宋体"/>
          <w:color w:val="000000" w:themeColor="text1"/>
          <w:kern w:val="0"/>
          <w:sz w:val="24"/>
          <w:highlight w:val="none"/>
          <w14:textFill>
            <w14:solidFill>
              <w14:schemeClr w14:val="tx1"/>
            </w14:solidFill>
          </w14:textFill>
        </w:rPr>
        <w:t>不按磋商采购文件要求制作磋商响应文件的将视情处理（拒收、扣分等），由此产生的责任由磋商人自行承担。</w:t>
      </w:r>
    </w:p>
    <w:p w14:paraId="1ADB1E69">
      <w:pPr>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（2）磋商人应对所提供的全部资料的真实性承担法律责任，磋商响应</w:t>
      </w:r>
      <w:r>
        <w:rPr>
          <w:rFonts w:hint="eastAsia" w:ascii="宋体" w:hAnsi="宋体" w:eastAsia="宋体" w:cs="宋体"/>
          <w:color w:val="000000" w:themeColor="text1"/>
          <w:kern w:val="0"/>
          <w:sz w:val="24"/>
          <w:highlight w:val="none"/>
          <w:lang w:val="zh-CN"/>
          <w14:textFill>
            <w14:solidFill>
              <w14:schemeClr w14:val="tx1"/>
            </w14:solidFill>
          </w14:textFill>
        </w:rPr>
        <w:t>文件内容中有要求盖章或签字的地方必须加盖磋商人的公章以及法定代表人或全权代表的盖章或签字。</w:t>
      </w:r>
    </w:p>
    <w:p w14:paraId="2A197520">
      <w:pPr>
        <w:pageBreakBefore w:val="0"/>
        <w:kinsoku/>
        <w:wordWrap/>
        <w:overflowPunct/>
        <w:topLinePunct w:val="0"/>
        <w:bidi w:val="0"/>
        <w:snapToGrid w:val="0"/>
        <w:spacing w:line="400" w:lineRule="exact"/>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）磋商响应</w:t>
      </w:r>
      <w:r>
        <w:rPr>
          <w:rFonts w:hint="eastAsia" w:ascii="宋体" w:hAnsi="宋体" w:eastAsia="宋体" w:cs="宋体"/>
          <w:color w:val="000000" w:themeColor="text1"/>
          <w:sz w:val="24"/>
          <w:highlight w:val="none"/>
          <w14:textFill>
            <w14:solidFill>
              <w14:schemeClr w14:val="tx1"/>
            </w14:solidFill>
          </w14:textFill>
        </w:rPr>
        <w:t>文件以及磋商供应商与采购组织机构就有关磋商响应事宜的所有来往函电，均应以中文汉语书写。除签字、盖章、专用名称等特殊情形外，以中文汉语以外的文字表述的磋商响应文件视同未提供。</w:t>
      </w:r>
    </w:p>
    <w:p w14:paraId="1FB3C462">
      <w:pPr>
        <w:pageBreakBefore w:val="0"/>
        <w:kinsoku/>
        <w:wordWrap/>
        <w:overflowPunct/>
        <w:topLinePunct w:val="0"/>
        <w:bidi w:val="0"/>
        <w:snapToGrid w:val="0"/>
        <w:spacing w:line="400" w:lineRule="exact"/>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（4）磋商计量单位，磋商文件已有明确规定的，使用磋商文件规定的计量单位；磋商文件没有规定的，应采用中华人民共和国法定计量单位（货币单位：人民币元）。</w:t>
      </w:r>
    </w:p>
    <w:p w14:paraId="3C5BC2A4">
      <w:pPr>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（5）若供应商不按磋商文件的要求提供资格审查材料，其风险由供应商自行承担。</w:t>
      </w:r>
    </w:p>
    <w:p w14:paraId="7CF089C0">
      <w:pPr>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与本次磋商无关的内容请不要制作在内，确保磋商文件有针对性、简洁明了。</w:t>
      </w:r>
    </w:p>
    <w:p w14:paraId="4A946787">
      <w:pPr>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2、磋商响应文件的</w:t>
      </w:r>
      <w:r>
        <w:rPr>
          <w:rFonts w:hint="eastAsia" w:ascii="宋体" w:hAnsi="宋体" w:eastAsia="宋体" w:cs="宋体"/>
          <w:b/>
          <w:color w:val="000000" w:themeColor="text1"/>
          <w:sz w:val="24"/>
          <w:highlight w:val="none"/>
          <w14:textFill>
            <w14:solidFill>
              <w14:schemeClr w14:val="tx1"/>
            </w14:solidFill>
          </w14:textFill>
        </w:rPr>
        <w:t>签署及规定</w:t>
      </w:r>
    </w:p>
    <w:p w14:paraId="34C9B027">
      <w:pPr>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（1）供应商应按本须知的相关要求准备磋商响应文件，注明 “项目编号”、“项目名称”、“资格文件”或“商务技术文件”或“报价文件”、 “磋商供应商”、“时间”等字样。</w:t>
      </w:r>
    </w:p>
    <w:p w14:paraId="3707FD77">
      <w:pPr>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（2）磋商响应文件封面和内部有要求盖章或签字的地方必须加盖磋商供应商的单位公章（或CA电子公章）以及法定代表人或全权代表（CA电子签章或签字）。</w:t>
      </w:r>
    </w:p>
    <w:p w14:paraId="69C871EA">
      <w:pPr>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（3）电子磋商响应文件：按政采云平台供应商项目采购-电子招投标操作指南https://help.zcygov.cn/web/site_2/2018/12-28/2573.html及本磋商文件要求提交。</w:t>
      </w:r>
    </w:p>
    <w:p w14:paraId="40D19CA0">
      <w:pPr>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（4）介质存储的数据电文形式的备份电子磋商响应文件：U盘1份，独立密封封装。</w:t>
      </w:r>
    </w:p>
    <w:p w14:paraId="568DA9B0">
      <w:pPr>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（5）磋商响应文件不得涂改，若有修改错漏处，须加盖单位公章（或CA电子公章）或者法定代表人或授权委托人签字（或CA电子签章）。磋商响应文件因字迹潦草或表达不清所引起的后果由磋商供应商负责。</w:t>
      </w:r>
    </w:p>
    <w:p w14:paraId="24AF2258">
      <w:pPr>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3、</w:t>
      </w:r>
      <w:r>
        <w:rPr>
          <w:rFonts w:hint="eastAsia" w:ascii="宋体" w:hAnsi="宋体" w:eastAsia="宋体" w:cs="宋体"/>
          <w:b/>
          <w:bCs/>
          <w:color w:val="000000" w:themeColor="text1"/>
          <w:sz w:val="24"/>
          <w:highlight w:val="none"/>
          <w14:textFill>
            <w14:solidFill>
              <w14:schemeClr w14:val="tx1"/>
            </w14:solidFill>
          </w14:textFill>
        </w:rPr>
        <w:t>磋商响应文件的递交要求</w:t>
      </w:r>
    </w:p>
    <w:p w14:paraId="048730A3">
      <w:pPr>
        <w:pageBreakBefore w:val="0"/>
        <w:tabs>
          <w:tab w:val="left" w:pos="1898"/>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（1）▲在投标截止时间前，磋商供应商应按磋商文件规定的时间、形式上传电子磋商响应文件至政采云平台采购项目中。在投标截止时间后上传提交磋商响应文件的，将被政采云平台拒绝。</w:t>
      </w:r>
    </w:p>
    <w:p w14:paraId="026FC603">
      <w:pPr>
        <w:pageBreakBefore w:val="0"/>
        <w:tabs>
          <w:tab w:val="left" w:pos="1898"/>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（2）采购代理机构工作人员将做好介质存储的数据电文形式备份电子磋商响应文件签收手续，明确电子磋商响应文件的提交时间、磋商响应文件的份数、提交人等信息。</w:t>
      </w:r>
    </w:p>
    <w:p w14:paraId="3493E713">
      <w:pPr>
        <w:pageBreakBefore w:val="0"/>
        <w:tabs>
          <w:tab w:val="left" w:pos="1898"/>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（3）因密封不严、标记不明而造成过早启封、失密等情况，采购代理机构概不负责。</w:t>
      </w:r>
    </w:p>
    <w:p w14:paraId="19133D78">
      <w:pPr>
        <w:pageBreakBefore w:val="0"/>
        <w:tabs>
          <w:tab w:val="left" w:pos="1898"/>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（4）如因故推迟磋商响应文件提交截止时间的，招标采购单位和磋商供应商的权利和义务将受到新的截止时间约束。</w:t>
      </w:r>
    </w:p>
    <w:p w14:paraId="0A33731D">
      <w:pPr>
        <w:pageBreakBefore w:val="0"/>
        <w:tabs>
          <w:tab w:val="left" w:pos="1898"/>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（5）已提交磋商响应文件的供应商，在提交最后报价之前，可以根据磋商情况退出磋商。</w:t>
      </w:r>
    </w:p>
    <w:p w14:paraId="2DF04F6F">
      <w:pPr>
        <w:pStyle w:val="5"/>
        <w:pageBreakBefore w:val="0"/>
        <w:kinsoku/>
        <w:wordWrap/>
        <w:overflowPunct/>
        <w:topLinePunct w:val="0"/>
        <w:bidi w:val="0"/>
        <w:spacing w:before="0" w:beforeLines="0" w:after="0" w:afterLines="0" w:line="400" w:lineRule="exact"/>
        <w:ind w:firstLine="482"/>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（三）磋商响应文件的有效期</w:t>
      </w:r>
    </w:p>
    <w:p w14:paraId="44DE0EA5">
      <w:pPr>
        <w:pStyle w:val="10"/>
        <w:pageBreakBefore w:val="0"/>
        <w:widowControl w:val="0"/>
        <w:numPr>
          <w:ilvl w:val="0"/>
          <w:numId w:val="0"/>
        </w:numPr>
        <w:tabs>
          <w:tab w:val="left" w:pos="0"/>
          <w:tab w:val="left" w:pos="960"/>
          <w:tab w:val="left" w:pos="1200"/>
          <w:tab w:val="clear" w:pos="454"/>
        </w:tabs>
        <w:kinsoku/>
        <w:wordWrap/>
        <w:overflowPunct/>
        <w:topLinePunct w:val="0"/>
        <w:bidi w:val="0"/>
        <w:snapToGrid w:val="0"/>
        <w:spacing w:after="0" w:afterLines="0" w:line="400" w:lineRule="exact"/>
        <w:ind w:firstLine="480" w:firstLineChars="200"/>
        <w:textAlignment w:val="auto"/>
        <w:rPr>
          <w:rFonts w:hint="eastAsia" w:ascii="宋体" w:hAnsi="宋体" w:eastAsia="宋体" w:cs="宋体"/>
          <w:color w:val="000000" w:themeColor="text1"/>
          <w:szCs w:val="24"/>
          <w:highlight w:val="none"/>
          <w:lang w:val="en-GB"/>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w:t>
      </w:r>
      <w:r>
        <w:rPr>
          <w:rFonts w:hint="eastAsia" w:ascii="宋体" w:hAnsi="宋体" w:eastAsia="宋体" w:cs="宋体"/>
          <w:color w:val="000000" w:themeColor="text1"/>
          <w:szCs w:val="24"/>
          <w:highlight w:val="none"/>
          <w:lang w:val="en-GB"/>
          <w14:textFill>
            <w14:solidFill>
              <w14:schemeClr w14:val="tx1"/>
            </w14:solidFill>
          </w14:textFill>
        </w:rPr>
        <w:t>自磋商响应截止日起90天磋商响应文件应保持有效。有效期不足的磋商响应文件将被拒绝。</w:t>
      </w:r>
    </w:p>
    <w:p w14:paraId="6B3A34AD">
      <w:pPr>
        <w:pStyle w:val="10"/>
        <w:pageBreakBefore w:val="0"/>
        <w:widowControl w:val="0"/>
        <w:numPr>
          <w:ilvl w:val="0"/>
          <w:numId w:val="0"/>
        </w:numPr>
        <w:tabs>
          <w:tab w:val="left" w:pos="0"/>
          <w:tab w:val="left" w:pos="960"/>
          <w:tab w:val="left" w:pos="1200"/>
          <w:tab w:val="clear" w:pos="454"/>
        </w:tabs>
        <w:kinsoku/>
        <w:wordWrap/>
        <w:overflowPunct/>
        <w:topLinePunct w:val="0"/>
        <w:bidi w:val="0"/>
        <w:snapToGrid w:val="0"/>
        <w:spacing w:after="0" w:afterLines="0" w:line="400" w:lineRule="exact"/>
        <w:ind w:firstLine="480" w:firstLineChars="200"/>
        <w:textAlignment w:val="auto"/>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2、在特殊情况下，采购人可与磋商供应商协商延长磋商响应文件的有效期，这种要求和答复均以书面形式进行。</w:t>
      </w:r>
    </w:p>
    <w:p w14:paraId="611530D1">
      <w:pPr>
        <w:pStyle w:val="10"/>
        <w:pageBreakBefore w:val="0"/>
        <w:widowControl w:val="0"/>
        <w:numPr>
          <w:ilvl w:val="0"/>
          <w:numId w:val="0"/>
        </w:numPr>
        <w:tabs>
          <w:tab w:val="left" w:pos="0"/>
          <w:tab w:val="left" w:pos="960"/>
          <w:tab w:val="left" w:pos="1200"/>
          <w:tab w:val="clear" w:pos="454"/>
        </w:tabs>
        <w:kinsoku/>
        <w:wordWrap/>
        <w:overflowPunct/>
        <w:topLinePunct w:val="0"/>
        <w:bidi w:val="0"/>
        <w:snapToGrid w:val="0"/>
        <w:spacing w:after="0" w:afterLines="0" w:line="400" w:lineRule="exact"/>
        <w:ind w:firstLine="480" w:firstLineChars="200"/>
        <w:textAlignment w:val="auto"/>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3.成交供应商的磋商响应文件自磋商之日起至合同履行完毕均应保持有效。</w:t>
      </w:r>
    </w:p>
    <w:p w14:paraId="656A30E4">
      <w:pPr>
        <w:pStyle w:val="4"/>
        <w:pageBreakBefore w:val="0"/>
        <w:kinsoku/>
        <w:wordWrap/>
        <w:overflowPunct/>
        <w:topLinePunct w:val="0"/>
        <w:bidi w:val="0"/>
        <w:spacing w:before="0" w:beforeLines="0" w:after="0" w:afterLines="0"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三、磋商</w:t>
      </w:r>
    </w:p>
    <w:p w14:paraId="089A316E">
      <w:pPr>
        <w:pStyle w:val="5"/>
        <w:pageBreakBefore w:val="0"/>
        <w:kinsoku/>
        <w:wordWrap/>
        <w:overflowPunct/>
        <w:topLinePunct w:val="0"/>
        <w:bidi w:val="0"/>
        <w:spacing w:before="0" w:beforeLines="0" w:after="0" w:afterLines="0" w:line="400" w:lineRule="exact"/>
        <w:ind w:firstLine="482"/>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（一）磋商程序</w:t>
      </w:r>
    </w:p>
    <w:p w14:paraId="1FC2E8FF">
      <w:pPr>
        <w:pageBreakBefore w:val="0"/>
        <w:kinsoku/>
        <w:wordWrap/>
        <w:overflowPunct/>
        <w:topLinePunct w:val="0"/>
        <w:bidi w:val="0"/>
        <w:spacing w:line="400" w:lineRule="exact"/>
        <w:ind w:firstLine="456" w:firstLineChars="19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 开标程序</w:t>
      </w:r>
    </w:p>
    <w:p w14:paraId="6FAB5414">
      <w:pPr>
        <w:pageBreakBefore w:val="0"/>
        <w:numPr>
          <w:ilvl w:val="0"/>
          <w:numId w:val="4"/>
        </w:numPr>
        <w:kinsoku/>
        <w:wordWrap/>
        <w:overflowPunct/>
        <w:topLinePunct w:val="0"/>
        <w:bidi w:val="0"/>
        <w:spacing w:line="400" w:lineRule="exact"/>
        <w:ind w:firstLine="456" w:firstLineChars="19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到开标时间后，供应商登录政采云平台，用“项目采购-开标评标”功能对电子磋商响应文件进行在线解密。在线解密电子磋商文件时间为开标时间起半个小时内；</w:t>
      </w:r>
    </w:p>
    <w:p w14:paraId="62BCFD7E">
      <w:pPr>
        <w:pageBreakBefore w:val="0"/>
        <w:numPr>
          <w:ilvl w:val="0"/>
          <w:numId w:val="4"/>
        </w:numPr>
        <w:kinsoku/>
        <w:wordWrap/>
        <w:overflowPunct/>
        <w:topLinePunct w:val="0"/>
        <w:bidi w:val="0"/>
        <w:spacing w:line="400" w:lineRule="exact"/>
        <w:ind w:firstLine="456" w:firstLineChars="19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开标结束后，采购人或采购代理机构依法对供应商的资格进行审查。</w:t>
      </w:r>
      <w:r>
        <w:rPr>
          <w:rFonts w:hint="eastAsia" w:ascii="宋体" w:hAnsi="宋体" w:eastAsia="宋体" w:cs="宋体"/>
          <w:color w:val="000000" w:themeColor="text1"/>
          <w:kern w:val="0"/>
          <w:sz w:val="24"/>
          <w:highlight w:val="none"/>
          <w14:textFill>
            <w14:solidFill>
              <w14:schemeClr w14:val="tx1"/>
            </w14:solidFill>
          </w14:textFill>
        </w:rPr>
        <w:t>审查内容见。2、通过资格审查视作具备磋商资格，审查不合格的磋商响应文件将不进入后续详细评审。</w:t>
      </w:r>
    </w:p>
    <w:p w14:paraId="36D2B8E3">
      <w:pPr>
        <w:pageBreakBefore w:val="0"/>
        <w:kinsoku/>
        <w:wordWrap/>
        <w:overflowPunct/>
        <w:topLinePunct w:val="0"/>
        <w:bidi w:val="0"/>
        <w:spacing w:line="400" w:lineRule="exact"/>
        <w:ind w:firstLine="456" w:firstLineChars="19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 磋商小组根据磋商文件的规定，对磋商响应文件的有效性、完整性和对磋商文件的响应程度进行审查，以确定其是否对磋商文件作出了实质性响应。实质上没有响应磋商文件要求的磋商响应文件将被否决。</w:t>
      </w:r>
    </w:p>
    <w:p w14:paraId="2A746ABC">
      <w:pPr>
        <w:pageBreakBefore w:val="0"/>
        <w:kinsoku/>
        <w:wordWrap/>
        <w:overflowPunct/>
        <w:topLinePunct w:val="0"/>
        <w:bidi w:val="0"/>
        <w:spacing w:line="400" w:lineRule="exact"/>
        <w:ind w:firstLine="456" w:firstLineChars="19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 评审过程中磋商供应商有义务对磋商小组提出就磋商响应文件中含义不明确、同类问题表述不</w:t>
      </w:r>
      <w:r>
        <w:rPr>
          <w:rFonts w:hint="eastAsia" w:ascii="宋体" w:hAnsi="宋体" w:eastAsia="宋体" w:cs="宋体"/>
          <w:color w:val="000000" w:themeColor="text1"/>
          <w:sz w:val="24"/>
          <w:highlight w:val="none"/>
          <w14:textFill>
            <w14:solidFill>
              <w14:schemeClr w14:val="tx1"/>
            </w14:solidFill>
          </w14:textFill>
        </w:rPr>
        <w:t>一致或者有明显的文字和计算错误的内容进行澄清、说明、或者纠正。并在磋商结束前，对澄清、说明或者纠正的相关内容在政采云平台以书面形式进行最终确认承诺，并由磋商供应商代表签字（签章），但不得改变磋商响应文件的实质性内容。供应商的澄清、说明或者更正应当由法定代表人或其授权代表签字或者加盖公章（CA电子公章）。</w:t>
      </w:r>
    </w:p>
    <w:p w14:paraId="2A6B13F6">
      <w:pPr>
        <w:pageBreakBefore w:val="0"/>
        <w:kinsoku/>
        <w:wordWrap/>
        <w:overflowPunct/>
        <w:topLinePunct w:val="0"/>
        <w:bidi w:val="0"/>
        <w:spacing w:line="400" w:lineRule="exact"/>
        <w:ind w:firstLine="456" w:firstLineChars="19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5、 </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b/>
          <w:bCs/>
          <w:color w:val="000000" w:themeColor="text1"/>
          <w:sz w:val="24"/>
          <w:highlight w:val="none"/>
          <w:u w:val="single"/>
          <w14:textFill>
            <w14:solidFill>
              <w14:schemeClr w14:val="tx1"/>
            </w14:solidFill>
          </w14:textFill>
        </w:rPr>
        <w:t>经澄清后，若偏差仍存在，且不可接受，磋商供应商则被认为是“没有实质性响应竞争性磋商文件要求”，其磋商不进入下一步评审</w:t>
      </w:r>
      <w:r>
        <w:rPr>
          <w:rFonts w:hint="eastAsia" w:ascii="宋体" w:hAnsi="宋体" w:eastAsia="宋体" w:cs="宋体"/>
          <w:color w:val="000000" w:themeColor="text1"/>
          <w:sz w:val="24"/>
          <w:highlight w:val="none"/>
          <w14:textFill>
            <w14:solidFill>
              <w14:schemeClr w14:val="tx1"/>
            </w14:solidFill>
          </w14:textFill>
        </w:rPr>
        <w:t>。</w:t>
      </w:r>
    </w:p>
    <w:p w14:paraId="43163678">
      <w:pPr>
        <w:pageBreakBefore w:val="0"/>
        <w:kinsoku/>
        <w:wordWrap/>
        <w:overflowPunct/>
        <w:topLinePunct w:val="0"/>
        <w:bidi w:val="0"/>
        <w:spacing w:line="400" w:lineRule="exact"/>
        <w:ind w:firstLine="456" w:firstLineChars="19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磋商小组所有成员将遵循“公开、公平、公正”的原则，采用相同的程序和标准。如有必要，所有成员按顺序与单一供应商分别进行单独封闭式磋商。磋商内容包括服务价格、服务质量水平和保障措施、服务期限、服务方案、履约能力、培训计划、付款方式等方面进行磋商和综合分析考评，以确定是否满足采购要求。在磋商过程中，磋商的任何一方都不得透露与磋商有关的其他供应商的技术资料、价格和其他信息。磋商供应商在磋商过程中所作出的各种承诺都必须用书面形式（或经电子签章的政采云平台上传文件，下同），并由磋商供应商代表签字。磋商轮次最多不超过3轮。</w:t>
      </w:r>
    </w:p>
    <w:p w14:paraId="46F7CF99">
      <w:pPr>
        <w:pageBreakBefore w:val="0"/>
        <w:kinsoku/>
        <w:wordWrap/>
        <w:overflowPunct/>
        <w:topLinePunct w:val="0"/>
        <w:bidi w:val="0"/>
        <w:spacing w:line="400" w:lineRule="exact"/>
        <w:ind w:firstLine="456" w:firstLineChars="19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供应商代表签字或者加盖公章。由授权代表签字的，应当附法定代表人授权书。供应商为自然人的，应当由本人签字并附身份证明。</w:t>
      </w:r>
    </w:p>
    <w:p w14:paraId="3AF0C31E">
      <w:pPr>
        <w:pageBreakBefore w:val="0"/>
        <w:kinsoku/>
        <w:wordWrap/>
        <w:overflowPunct/>
        <w:topLinePunct w:val="0"/>
        <w:bidi w:val="0"/>
        <w:spacing w:line="400" w:lineRule="exact"/>
        <w:ind w:firstLine="456" w:firstLineChars="19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8、在磋商过程中，磋商供应商不得向磋商小组成员询问磋商情况，不得进行旨在影响磋商结果的活动，否则将取消其磋商资格。</w:t>
      </w:r>
    </w:p>
    <w:p w14:paraId="6D3F9034">
      <w:pPr>
        <w:pageBreakBefore w:val="0"/>
        <w:kinsoku/>
        <w:wordWrap/>
        <w:overflowPunct/>
        <w:topLinePunct w:val="0"/>
        <w:bidi w:val="0"/>
        <w:spacing w:line="400" w:lineRule="exact"/>
        <w:ind w:firstLine="456" w:firstLineChars="19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9、在磋商过程中，磋商小组成员不得与磋商供应商私下交换意见，在竞争性磋商结束后，凡与磋商情况有接触的人不得将磋商情况扩散出磋商小组成员外。</w:t>
      </w:r>
    </w:p>
    <w:p w14:paraId="0615A35F">
      <w:pPr>
        <w:pageBreakBefore w:val="0"/>
        <w:kinsoku/>
        <w:wordWrap/>
        <w:overflowPunct/>
        <w:topLinePunct w:val="0"/>
        <w:bidi w:val="0"/>
        <w:spacing w:line="400" w:lineRule="exact"/>
        <w:ind w:firstLine="458" w:firstLineChars="19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10、磋商结束后，磋商小组将要求磋商供应商在规定的时间内，统一进行最后报价，最后报价不得高于首次报价（磋商小组另有决议的除外）。</w:t>
      </w:r>
      <w:r>
        <w:rPr>
          <w:rFonts w:hint="eastAsia" w:ascii="宋体" w:hAnsi="宋体" w:cs="宋体"/>
          <w:b/>
          <w:bCs/>
          <w:color w:val="000000" w:themeColor="text1"/>
          <w:sz w:val="24"/>
          <w:highlight w:val="none"/>
          <w14:textFill>
            <w14:solidFill>
              <w14:schemeClr w14:val="tx1"/>
            </w14:solidFill>
          </w14:textFill>
        </w:rPr>
        <w:t>供应商超过最终报价提交时间的，政采云平台以首次报价为准。</w:t>
      </w:r>
    </w:p>
    <w:p w14:paraId="439B9506">
      <w:pPr>
        <w:pageBreakBefore w:val="0"/>
        <w:kinsoku/>
        <w:wordWrap/>
        <w:overflowPunct/>
        <w:topLinePunct w:val="0"/>
        <w:bidi w:val="0"/>
        <w:spacing w:line="400" w:lineRule="exact"/>
        <w:ind w:firstLine="456" w:firstLineChars="19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11、宣布评分结果以及最终报价</w:t>
      </w:r>
    </w:p>
    <w:p w14:paraId="2766C452">
      <w:pPr>
        <w:pageBreakBefore w:val="0"/>
        <w:kinsoku/>
        <w:wordWrap/>
        <w:overflowPunct/>
        <w:topLinePunct w:val="0"/>
        <w:bidi w:val="0"/>
        <w:spacing w:line="400" w:lineRule="exact"/>
        <w:ind w:firstLine="456" w:firstLineChars="19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宣布评分结果以及最终报价在政采云电子招投标开标及评审程序中进行。</w:t>
      </w:r>
    </w:p>
    <w:p w14:paraId="4EB9BA00">
      <w:pPr>
        <w:pStyle w:val="5"/>
        <w:pageBreakBefore w:val="0"/>
        <w:kinsoku/>
        <w:wordWrap/>
        <w:overflowPunct/>
        <w:topLinePunct w:val="0"/>
        <w:bidi w:val="0"/>
        <w:spacing w:before="0" w:beforeLines="0" w:after="0" w:afterLines="0" w:line="400" w:lineRule="exact"/>
        <w:ind w:firstLine="482"/>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（二）澄清问题的形式</w:t>
      </w:r>
    </w:p>
    <w:p w14:paraId="257D2B6B">
      <w:pPr>
        <w:pageBreakBefore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磋商供应商的澄清、说明或者补正应当采用书面形式，并加盖公章，或者由法定代理人或其授权的代表签字，并不得超出磋商响应文件的范围或者改变磋商响应文件的实质性内容。</w:t>
      </w:r>
    </w:p>
    <w:p w14:paraId="7C42CA4D">
      <w:pPr>
        <w:pStyle w:val="5"/>
        <w:pageBreakBefore w:val="0"/>
        <w:kinsoku/>
        <w:wordWrap/>
        <w:overflowPunct/>
        <w:topLinePunct w:val="0"/>
        <w:bidi w:val="0"/>
        <w:spacing w:before="0" w:beforeLines="0" w:after="0" w:afterLines="0" w:line="400" w:lineRule="exact"/>
        <w:ind w:firstLine="482"/>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（三）错误修正</w:t>
      </w:r>
    </w:p>
    <w:p w14:paraId="64A11037">
      <w:pPr>
        <w:pStyle w:val="33"/>
        <w:pageBreakBefore w:val="0"/>
        <w:kinsoku/>
        <w:wordWrap/>
        <w:overflowPunct/>
        <w:topLinePunct w:val="0"/>
        <w:bidi w:val="0"/>
        <w:spacing w:before="0" w:beforeLines="0" w:beforeAutospacing="0" w:after="0" w:afterLines="0" w:afterAutospacing="0" w:line="400" w:lineRule="exact"/>
        <w:ind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磋商响应文件报价出现前后不一致的，除</w:t>
      </w:r>
      <w:r>
        <w:rPr>
          <w:rFonts w:hint="eastAsia" w:ascii="宋体" w:hAnsi="宋体" w:eastAsia="宋体" w:cs="宋体"/>
          <w:bCs/>
          <w:color w:val="000000" w:themeColor="text1"/>
          <w:highlight w:val="none"/>
          <w14:textFill>
            <w14:solidFill>
              <w14:schemeClr w14:val="tx1"/>
            </w14:solidFill>
          </w14:textFill>
        </w:rPr>
        <w:t>磋商采购文件</w:t>
      </w:r>
      <w:r>
        <w:rPr>
          <w:rFonts w:hint="eastAsia" w:ascii="宋体" w:hAnsi="宋体" w:eastAsia="宋体" w:cs="宋体"/>
          <w:color w:val="000000" w:themeColor="text1"/>
          <w:highlight w:val="none"/>
          <w14:textFill>
            <w14:solidFill>
              <w14:schemeClr w14:val="tx1"/>
            </w14:solidFill>
          </w14:textFill>
        </w:rPr>
        <w:t>另有规定外，按照下列规定修正：</w:t>
      </w:r>
    </w:p>
    <w:p w14:paraId="14FD20C1">
      <w:pPr>
        <w:pStyle w:val="33"/>
        <w:pageBreakBefore w:val="0"/>
        <w:kinsoku/>
        <w:wordWrap/>
        <w:overflowPunct/>
        <w:topLinePunct w:val="0"/>
        <w:bidi w:val="0"/>
        <w:spacing w:before="0" w:beforeLines="0" w:beforeAutospacing="0" w:after="0" w:afterLines="0" w:afterAutospacing="0" w:line="400" w:lineRule="exact"/>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1、磋商响应文件中首次报价一览表内容与磋商响应文件中相应内容不一致的，以首次报价一览表为准；</w:t>
      </w:r>
    </w:p>
    <w:p w14:paraId="08FDBC0F">
      <w:pPr>
        <w:pStyle w:val="33"/>
        <w:pageBreakBefore w:val="0"/>
        <w:kinsoku/>
        <w:wordWrap/>
        <w:overflowPunct/>
        <w:topLinePunct w:val="0"/>
        <w:bidi w:val="0"/>
        <w:spacing w:before="0" w:beforeLines="0" w:beforeAutospacing="0" w:after="0" w:afterLines="0" w:afterAutospacing="0" w:line="400" w:lineRule="exact"/>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2、大写金额和小写金额不一致的，以大写金额为准；</w:t>
      </w:r>
    </w:p>
    <w:p w14:paraId="2C93468D">
      <w:pPr>
        <w:pStyle w:val="33"/>
        <w:pageBreakBefore w:val="0"/>
        <w:kinsoku/>
        <w:wordWrap/>
        <w:overflowPunct/>
        <w:topLinePunct w:val="0"/>
        <w:bidi w:val="0"/>
        <w:spacing w:before="0" w:beforeLines="0" w:beforeAutospacing="0" w:after="0" w:afterLines="0" w:afterAutospacing="0" w:line="400" w:lineRule="exact"/>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3、单价金额小数点或者百分比有明显错位的，以首次报价一览表的总价为准，并修改单价；</w:t>
      </w:r>
    </w:p>
    <w:p w14:paraId="2D5EA5C5">
      <w:pPr>
        <w:pStyle w:val="33"/>
        <w:pageBreakBefore w:val="0"/>
        <w:kinsoku/>
        <w:wordWrap/>
        <w:overflowPunct/>
        <w:topLinePunct w:val="0"/>
        <w:bidi w:val="0"/>
        <w:spacing w:before="0" w:beforeLines="0" w:beforeAutospacing="0" w:after="0" w:afterLines="0" w:afterAutospacing="0" w:line="400" w:lineRule="exact"/>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4、总价金额与按单价汇总金额不一致的，以单价金额计算结果为准。</w:t>
      </w:r>
    </w:p>
    <w:p w14:paraId="4434AEA4">
      <w:pPr>
        <w:pStyle w:val="33"/>
        <w:pageBreakBefore w:val="0"/>
        <w:kinsoku/>
        <w:wordWrap/>
        <w:overflowPunct/>
        <w:topLinePunct w:val="0"/>
        <w:bidi w:val="0"/>
        <w:spacing w:before="0" w:beforeLines="0" w:beforeAutospacing="0" w:after="0" w:afterLines="0" w:afterAutospacing="0" w:line="400" w:lineRule="exact"/>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0BA77DB2">
      <w:pPr>
        <w:pStyle w:val="5"/>
        <w:pageBreakBefore w:val="0"/>
        <w:kinsoku/>
        <w:wordWrap/>
        <w:overflowPunct/>
        <w:topLinePunct w:val="0"/>
        <w:bidi w:val="0"/>
        <w:spacing w:before="0" w:beforeLines="0" w:after="0" w:afterLines="0" w:line="400" w:lineRule="exact"/>
        <w:ind w:firstLine="482"/>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（四）磋商供应商存在下列情况之一的，响应无效，终止磋商</w:t>
      </w:r>
    </w:p>
    <w:p w14:paraId="3431CF27">
      <w:pPr>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1、实质上没有响应磋商文件要求的磋商响应文件将被视为无效磋商。供应商不得通过修正或撤消不合要求的偏离或保留从而使其磋商成为实质上响应的磋商。如发生下列情况之一的，其磋商响应文件视为无效：</w:t>
      </w:r>
    </w:p>
    <w:p w14:paraId="4FCBE391">
      <w:pPr>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2、未提交电子磋商响应文件的；</w:t>
      </w:r>
    </w:p>
    <w:p w14:paraId="77048DDA">
      <w:pPr>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3、供应商仅提交备份电子磋商响应文件的；</w:t>
      </w:r>
    </w:p>
    <w:p w14:paraId="6E2EAFCE">
      <w:pPr>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4、采用电子投标的，电子磋商响应文件未在规定时间内解密的（出现特殊情况，采用介质存储的数据电文形式的备份响应文件开标、评标的情形除外）；</w:t>
      </w:r>
    </w:p>
    <w:p w14:paraId="5E3CE737">
      <w:pPr>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5、磋商响应文件未有效授权的；</w:t>
      </w:r>
    </w:p>
    <w:p w14:paraId="169ADBC4">
      <w:pPr>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6、供应商未按磋商文件规定参加磋商的；</w:t>
      </w:r>
    </w:p>
    <w:p w14:paraId="4C8CC82D">
      <w:pPr>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7、未按规定要求盖章和签字（包括CA签章）的；</w:t>
      </w:r>
    </w:p>
    <w:p w14:paraId="38DC4C90">
      <w:pPr>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8、磋商小组认为供应商的报价明显低于其他通过符合性审查供应商的报价，有可能影响产品质量或者不能诚信履约的，应当要求其在磋商合理的时间内提供书面说明，必要时提交相关证明材料；关于不能证明其报价合理性的，磋商小组应当将其作为无效投标处理；</w:t>
      </w:r>
    </w:p>
    <w:p w14:paraId="363CFDF1">
      <w:pPr>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9、未按规定要求递交资格文件、商务技术文件、报价文件的磋商响应文件的；</w:t>
      </w:r>
    </w:p>
    <w:p w14:paraId="2FA993B0">
      <w:pPr>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10、同一供应商最终报价具有选择性（即出现二个及以上投标总报价的）；</w:t>
      </w:r>
    </w:p>
    <w:p w14:paraId="618973AC">
      <w:pPr>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11、符合竞争性磋商文件中明确作无效标处理或被拒绝的条款；</w:t>
      </w:r>
    </w:p>
    <w:p w14:paraId="56FD783B">
      <w:pPr>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12、报价超出磋商文件中规定的预算金额或者最高限价的；</w:t>
      </w:r>
    </w:p>
    <w:p w14:paraId="5A680E3E">
      <w:pPr>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13、提供虚假材料谋取成交的；</w:t>
      </w:r>
    </w:p>
    <w:p w14:paraId="6B504BDE">
      <w:pPr>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14、不符合法律、法规和磋商文件规定的其他实质性要求的。</w:t>
      </w:r>
    </w:p>
    <w:p w14:paraId="5A746B20">
      <w:pPr>
        <w:pStyle w:val="5"/>
        <w:pageBreakBefore w:val="0"/>
        <w:kinsoku/>
        <w:wordWrap/>
        <w:overflowPunct/>
        <w:topLinePunct w:val="0"/>
        <w:bidi w:val="0"/>
        <w:spacing w:before="0" w:beforeLines="0" w:after="0" w:afterLines="0" w:line="400" w:lineRule="exact"/>
        <w:ind w:firstLine="482"/>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（五）有下列情况之一的，本次磋商终止。</w:t>
      </w:r>
    </w:p>
    <w:p w14:paraId="4D8AC6DD">
      <w:pPr>
        <w:pStyle w:val="33"/>
        <w:pageBreakBefore w:val="0"/>
        <w:kinsoku/>
        <w:wordWrap/>
        <w:overflowPunct/>
        <w:topLinePunct w:val="0"/>
        <w:bidi w:val="0"/>
        <w:spacing w:before="0" w:beforeLines="0" w:beforeAutospacing="0" w:after="0" w:afterLines="0" w:afterAutospacing="0" w:line="400" w:lineRule="exact"/>
        <w:ind w:firstLine="600" w:firstLineChars="25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1、出现影响采购公正的违法、违规行为的；</w:t>
      </w:r>
    </w:p>
    <w:p w14:paraId="662B4AD0">
      <w:pPr>
        <w:pStyle w:val="33"/>
        <w:pageBreakBefore w:val="0"/>
        <w:kinsoku/>
        <w:wordWrap/>
        <w:overflowPunct/>
        <w:topLinePunct w:val="0"/>
        <w:bidi w:val="0"/>
        <w:spacing w:before="0" w:beforeLines="0" w:beforeAutospacing="0" w:after="0" w:afterLines="0" w:afterAutospacing="0" w:line="400" w:lineRule="exact"/>
        <w:ind w:firstLine="600" w:firstLineChars="25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2、磋商小组发现磋商文件存在歧义、重大缺陷导致评审工作无法进行，或者磋商文件内容违反国家有关强制性规定的； </w:t>
      </w:r>
    </w:p>
    <w:p w14:paraId="6BAF6B47">
      <w:pPr>
        <w:pStyle w:val="33"/>
        <w:pageBreakBefore w:val="0"/>
        <w:kinsoku/>
        <w:wordWrap/>
        <w:overflowPunct/>
        <w:topLinePunct w:val="0"/>
        <w:bidi w:val="0"/>
        <w:spacing w:before="0" w:beforeLines="0" w:beforeAutospacing="0" w:after="0" w:afterLines="0" w:afterAutospacing="0" w:line="400" w:lineRule="exact"/>
        <w:ind w:firstLine="600" w:firstLineChars="25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3、因重大变故，采购任务取消的；</w:t>
      </w:r>
    </w:p>
    <w:p w14:paraId="036C1BE2">
      <w:pPr>
        <w:pStyle w:val="33"/>
        <w:pageBreakBefore w:val="0"/>
        <w:kinsoku/>
        <w:wordWrap/>
        <w:overflowPunct/>
        <w:topLinePunct w:val="0"/>
        <w:bidi w:val="0"/>
        <w:spacing w:before="0" w:beforeLines="0" w:beforeAutospacing="0" w:after="0" w:afterLines="0" w:afterAutospacing="0" w:line="400" w:lineRule="exact"/>
        <w:ind w:firstLine="600" w:firstLineChars="25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4、法律、法规和磋商文件规定的其他导致评审结果无效的。</w:t>
      </w:r>
    </w:p>
    <w:p w14:paraId="3FE378F7">
      <w:pPr>
        <w:pStyle w:val="5"/>
        <w:pageBreakBefore w:val="0"/>
        <w:kinsoku/>
        <w:wordWrap/>
        <w:overflowPunct/>
        <w:topLinePunct w:val="0"/>
        <w:bidi w:val="0"/>
        <w:spacing w:before="0" w:beforeLines="0" w:after="0" w:afterLines="0" w:line="400" w:lineRule="exact"/>
        <w:ind w:firstLine="482"/>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（六）磋商原则和方法</w:t>
      </w:r>
    </w:p>
    <w:p w14:paraId="412EF0E2">
      <w:pPr>
        <w:pStyle w:val="20"/>
        <w:pageBreakBefore w:val="0"/>
        <w:kinsoku/>
        <w:wordWrap/>
        <w:overflowPunct/>
        <w:topLinePunct w:val="0"/>
        <w:bidi w:val="0"/>
        <w:snapToGrid w:val="0"/>
        <w:spacing w:line="400" w:lineRule="exact"/>
        <w:ind w:firstLine="600" w:firstLineChars="25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0BECC7E4">
      <w:pPr>
        <w:pStyle w:val="20"/>
        <w:pageBreakBefore w:val="0"/>
        <w:kinsoku/>
        <w:wordWrap/>
        <w:overflowPunct/>
        <w:topLinePunct w:val="0"/>
        <w:bidi w:val="0"/>
        <w:snapToGrid w:val="0"/>
        <w:spacing w:line="400" w:lineRule="exact"/>
        <w:ind w:firstLine="600" w:firstLineChars="25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2、磋商办法。具体磋商内容及评分标准等详见《第三章：评审方法及评分标准》。</w:t>
      </w:r>
    </w:p>
    <w:p w14:paraId="28285634">
      <w:pPr>
        <w:pStyle w:val="5"/>
        <w:pageBreakBefore w:val="0"/>
        <w:kinsoku/>
        <w:wordWrap/>
        <w:overflowPunct/>
        <w:topLinePunct w:val="0"/>
        <w:bidi w:val="0"/>
        <w:spacing w:before="0" w:beforeLines="0" w:after="0" w:afterLines="0" w:line="400" w:lineRule="exact"/>
        <w:ind w:firstLine="482"/>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（七）评审过程的监控</w:t>
      </w:r>
    </w:p>
    <w:p w14:paraId="768B103D">
      <w:pPr>
        <w:pStyle w:val="33"/>
        <w:pageBreakBefore w:val="0"/>
        <w:kinsoku/>
        <w:wordWrap/>
        <w:overflowPunct/>
        <w:topLinePunct w:val="0"/>
        <w:bidi w:val="0"/>
        <w:spacing w:before="0" w:beforeLines="0" w:beforeAutospacing="0" w:after="0" w:afterLines="0" w:afterAutospacing="0" w:line="400" w:lineRule="exact"/>
        <w:ind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本项目评审过程实行全程录音、录像监控，政府采购监管部门视情进行现场监督，供应商在评审过程中所进行的试图影响评审结果的不公正活动，可能导致其被拒绝磋商。</w:t>
      </w:r>
    </w:p>
    <w:p w14:paraId="1B0201E7">
      <w:pPr>
        <w:pStyle w:val="4"/>
        <w:pageBreakBefore w:val="0"/>
        <w:kinsoku/>
        <w:wordWrap/>
        <w:overflowPunct/>
        <w:topLinePunct w:val="0"/>
        <w:bidi w:val="0"/>
        <w:spacing w:before="0" w:beforeLines="0" w:after="0" w:afterLines="0"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四、磋商结果确定</w:t>
      </w:r>
    </w:p>
    <w:p w14:paraId="4589A030">
      <w:pPr>
        <w:pStyle w:val="33"/>
        <w:pageBreakBefore w:val="0"/>
        <w:kinsoku/>
        <w:wordWrap/>
        <w:overflowPunct/>
        <w:topLinePunct w:val="0"/>
        <w:bidi w:val="0"/>
        <w:spacing w:before="0" w:beforeLines="0" w:beforeAutospacing="0" w:after="0" w:afterLines="0" w:afterAutospacing="0" w:line="400" w:lineRule="exact"/>
        <w:ind w:firstLine="600" w:firstLineChars="25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189CF30C">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2、发布成交结果公告。采购组织机构应当在成交供应商确定后2个工作日内，在省级以上财政部门指定的政府采购信息发布媒体及相关网站上公告成交结果，并将磋商文件随同公告。</w:t>
      </w:r>
    </w:p>
    <w:p w14:paraId="00DD7F91">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3、发出成交通知书。采购组织机构在发布成交结果同时，向成交供应商发出成交通知书。</w:t>
      </w:r>
    </w:p>
    <w:p w14:paraId="2CA4F60C">
      <w:pPr>
        <w:pStyle w:val="4"/>
        <w:pageBreakBefore w:val="0"/>
        <w:kinsoku/>
        <w:wordWrap/>
        <w:overflowPunct/>
        <w:topLinePunct w:val="0"/>
        <w:bidi w:val="0"/>
        <w:spacing w:before="0" w:beforeLines="0" w:after="0" w:afterLines="0"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五、合同签订及公告</w:t>
      </w:r>
    </w:p>
    <w:p w14:paraId="028020EF">
      <w:pPr>
        <w:pStyle w:val="5"/>
        <w:pageBreakBefore w:val="0"/>
        <w:kinsoku/>
        <w:wordWrap/>
        <w:overflowPunct/>
        <w:topLinePunct w:val="0"/>
        <w:bidi w:val="0"/>
        <w:spacing w:before="0" w:beforeLines="0" w:after="0" w:afterLines="0" w:line="400" w:lineRule="exact"/>
        <w:ind w:firstLine="482"/>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（一）签订合同</w:t>
      </w:r>
    </w:p>
    <w:p w14:paraId="620C99EF">
      <w:pPr>
        <w:pStyle w:val="17"/>
        <w:pageBreakBefore w:val="0"/>
        <w:kinsoku/>
        <w:wordWrap/>
        <w:overflowPunct/>
        <w:topLinePunct w:val="0"/>
        <w:bidi w:val="0"/>
        <w:spacing w:line="400" w:lineRule="exact"/>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1．采购人应当自成交通知书发出之日起10个工作日内，按照磋商采购文件确定的合同文本以及采购标的、规格型号、采购金额、采购数量和服务要求等事项签订政府采购合同。</w:t>
      </w:r>
    </w:p>
    <w:p w14:paraId="2E3C7C0B">
      <w:pPr>
        <w:pStyle w:val="33"/>
        <w:pageBreakBefore w:val="0"/>
        <w:kinsoku/>
        <w:wordWrap/>
        <w:overflowPunct/>
        <w:topLinePunct w:val="0"/>
        <w:bidi w:val="0"/>
        <w:spacing w:before="0" w:beforeLines="0" w:beforeAutospacing="0" w:after="0" w:afterLines="0" w:afterAutospacing="0" w:line="400" w:lineRule="exact"/>
        <w:ind w:firstLine="600" w:firstLineChars="25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56360407">
      <w:pPr>
        <w:pStyle w:val="33"/>
        <w:pageBreakBefore w:val="0"/>
        <w:kinsoku/>
        <w:wordWrap/>
        <w:overflowPunct/>
        <w:topLinePunct w:val="0"/>
        <w:bidi w:val="0"/>
        <w:spacing w:before="0" w:beforeLines="0" w:beforeAutospacing="0" w:after="0" w:afterLines="0" w:afterAutospacing="0" w:line="400" w:lineRule="exact"/>
        <w:ind w:firstLine="600" w:firstLineChars="25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3．成交供应商无故拖延、拒签合同的,取消成交资格。</w:t>
      </w:r>
    </w:p>
    <w:p w14:paraId="4C936830">
      <w:pPr>
        <w:pStyle w:val="33"/>
        <w:pageBreakBefore w:val="0"/>
        <w:kinsoku/>
        <w:wordWrap/>
        <w:overflowPunct/>
        <w:topLinePunct w:val="0"/>
        <w:bidi w:val="0"/>
        <w:spacing w:before="0" w:beforeLines="0" w:beforeAutospacing="0" w:after="0" w:afterLines="0" w:afterAutospacing="0" w:line="400" w:lineRule="exact"/>
        <w:ind w:firstLine="600" w:firstLineChars="25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0B1D928A">
      <w:pPr>
        <w:pStyle w:val="33"/>
        <w:pageBreakBefore w:val="0"/>
        <w:kinsoku/>
        <w:wordWrap/>
        <w:overflowPunct/>
        <w:topLinePunct w:val="0"/>
        <w:bidi w:val="0"/>
        <w:spacing w:before="0" w:beforeLines="0" w:beforeAutospacing="0" w:after="0" w:afterLines="0" w:afterAutospacing="0" w:line="400" w:lineRule="exact"/>
        <w:ind w:firstLine="600" w:firstLineChars="25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5．询问或者质疑事项可能影响成交结果的，采购人应当暂停签订合同，已经签订合同的，应当中止履行合同（成交结果的质疑期为成交结果公告期限届满之日起七个工作日）。</w:t>
      </w:r>
    </w:p>
    <w:p w14:paraId="0B010741">
      <w:pPr>
        <w:pStyle w:val="5"/>
        <w:pageBreakBefore w:val="0"/>
        <w:kinsoku/>
        <w:wordWrap/>
        <w:overflowPunct/>
        <w:topLinePunct w:val="0"/>
        <w:bidi w:val="0"/>
        <w:spacing w:before="0" w:beforeLines="0" w:after="0" w:afterLines="0" w:line="400" w:lineRule="exact"/>
        <w:ind w:firstLine="482"/>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（二）合同公告及备案</w:t>
      </w:r>
    </w:p>
    <w:p w14:paraId="5DCA8E67">
      <w:pPr>
        <w:pStyle w:val="17"/>
        <w:pageBreakBefore w:val="0"/>
        <w:kinsoku/>
        <w:wordWrap/>
        <w:overflowPunct/>
        <w:topLinePunct w:val="0"/>
        <w:bidi w:val="0"/>
        <w:spacing w:line="400" w:lineRule="exact"/>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1．采购人应当自政府采购合同签订之日起2个工作日内，在省级以上财政部门指定的政府采购信息发布媒体及相关网站上公告。</w:t>
      </w:r>
    </w:p>
    <w:p w14:paraId="5BA50720">
      <w:pPr>
        <w:pStyle w:val="17"/>
        <w:pageBreakBefore w:val="0"/>
        <w:kinsoku/>
        <w:wordWrap/>
        <w:overflowPunct/>
        <w:topLinePunct w:val="0"/>
        <w:bidi w:val="0"/>
        <w:spacing w:line="400" w:lineRule="exact"/>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2．采购人应当自政府采购合同签订之日起7个工作日内，将政府采购合同副本报同级人民政府财政部门备案以及采购组织机构存档。</w:t>
      </w:r>
    </w:p>
    <w:p w14:paraId="7FA4F4FC">
      <w:pPr>
        <w:pStyle w:val="4"/>
        <w:pageBreakBefore w:val="0"/>
        <w:kinsoku/>
        <w:wordWrap/>
        <w:overflowPunct/>
        <w:topLinePunct w:val="0"/>
        <w:bidi w:val="0"/>
        <w:spacing w:before="0" w:beforeLines="0" w:after="0" w:afterLines="0"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六、采购代理费</w:t>
      </w:r>
    </w:p>
    <w:p w14:paraId="45A4370D">
      <w:pPr>
        <w:pStyle w:val="17"/>
        <w:pageBreakBefore w:val="0"/>
        <w:kinsoku/>
        <w:wordWrap/>
        <w:overflowPunct/>
        <w:topLinePunct w:val="0"/>
        <w:bidi w:val="0"/>
        <w:spacing w:line="400" w:lineRule="exact"/>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成交供应商在领取成交通知书同时向招标代理机构支付招标代理服务费</w:t>
      </w:r>
      <w:r>
        <w:rPr>
          <w:rFonts w:hint="eastAsia" w:hAnsi="宋体" w:cs="宋体"/>
          <w:color w:val="000000" w:themeColor="text1"/>
          <w:highlight w:val="none"/>
          <w:lang w:val="en-US" w:eastAsia="zh-CN"/>
          <w14:textFill>
            <w14:solidFill>
              <w14:schemeClr w14:val="tx1"/>
            </w14:solidFill>
          </w14:textFill>
        </w:rPr>
        <w:t>，招标代理服务费按标准服务类收费</w:t>
      </w:r>
      <w:r>
        <w:rPr>
          <w:rFonts w:hint="eastAsia" w:ascii="宋体" w:hAnsi="宋体" w:eastAsia="宋体" w:cs="宋体"/>
          <w:color w:val="000000" w:themeColor="text1"/>
          <w:highlight w:val="none"/>
          <w14:textFill>
            <w14:solidFill>
              <w14:schemeClr w14:val="tx1"/>
            </w14:solidFill>
          </w14:textFill>
        </w:rPr>
        <w:t>，费用包含在投标总价中。招标代理服务费汇入以下帐号：</w:t>
      </w:r>
    </w:p>
    <w:p w14:paraId="427811AC">
      <w:pPr>
        <w:pStyle w:val="17"/>
        <w:pageBreakBefore w:val="0"/>
        <w:kinsoku/>
        <w:wordWrap/>
        <w:overflowPunct/>
        <w:topLinePunct w:val="0"/>
        <w:bidi w:val="0"/>
        <w:spacing w:line="400" w:lineRule="exact"/>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开户名称：杭州华旗招标代理有限公司玉环分公司</w:t>
      </w:r>
    </w:p>
    <w:p w14:paraId="5D811A92">
      <w:pPr>
        <w:pStyle w:val="17"/>
        <w:pageBreakBefore w:val="0"/>
        <w:kinsoku/>
        <w:wordWrap/>
        <w:overflowPunct/>
        <w:topLinePunct w:val="0"/>
        <w:bidi w:val="0"/>
        <w:spacing w:line="400" w:lineRule="exact"/>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开户银行：浙江玉环农村商业银行股份有限公司营业部</w:t>
      </w:r>
    </w:p>
    <w:p w14:paraId="0DD94F26">
      <w:pPr>
        <w:pStyle w:val="17"/>
        <w:pageBreakBefore w:val="0"/>
        <w:kinsoku/>
        <w:wordWrap/>
        <w:overflowPunct/>
        <w:topLinePunct w:val="0"/>
        <w:bidi w:val="0"/>
        <w:spacing w:line="400" w:lineRule="exact"/>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开户账号：201000355923625</w:t>
      </w:r>
    </w:p>
    <w:p w14:paraId="3B1E8E08">
      <w:pPr>
        <w:pStyle w:val="3"/>
        <w:keepNext/>
        <w:keepLines/>
        <w:pageBreakBefore/>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第三章　评审办法及评审标准</w:t>
      </w:r>
    </w:p>
    <w:p w14:paraId="42030D23">
      <w:pPr>
        <w:autoSpaceDE w:val="0"/>
        <w:autoSpaceDN w:val="0"/>
        <w:spacing w:line="400" w:lineRule="exact"/>
        <w:ind w:left="-336" w:leftChars="-160" w:right="-353" w:rightChars="-168" w:firstLine="496" w:firstLineChars="207"/>
        <w:rPr>
          <w:rFonts w:hint="eastAsia" w:ascii="宋体" w:hAnsi="宋体" w:eastAsia="宋体" w:cs="宋体"/>
          <w:b/>
          <w:i/>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一、采购组织机构将组织</w:t>
      </w:r>
      <w:r>
        <w:rPr>
          <w:rFonts w:hint="eastAsia" w:ascii="宋体" w:hAnsi="宋体" w:eastAsia="宋体" w:cs="宋体"/>
          <w:color w:val="000000" w:themeColor="text1"/>
          <w:sz w:val="24"/>
          <w:highlight w:val="none"/>
          <w14:textFill>
            <w14:solidFill>
              <w14:schemeClr w14:val="tx1"/>
            </w14:solidFill>
          </w14:textFill>
        </w:rPr>
        <w:t>磋商小组</w:t>
      </w:r>
      <w:r>
        <w:rPr>
          <w:rFonts w:hint="eastAsia" w:ascii="宋体" w:hAnsi="宋体" w:eastAsia="宋体" w:cs="宋体"/>
          <w:color w:val="000000" w:themeColor="text1"/>
          <w:kern w:val="0"/>
          <w:sz w:val="24"/>
          <w:highlight w:val="none"/>
          <w14:textFill>
            <w14:solidFill>
              <w14:schemeClr w14:val="tx1"/>
            </w14:solidFill>
          </w14:textFill>
        </w:rPr>
        <w:t>，对</w:t>
      </w:r>
      <w:r>
        <w:rPr>
          <w:rFonts w:hint="eastAsia" w:ascii="宋体" w:hAnsi="宋体" w:eastAsia="宋体" w:cs="宋体"/>
          <w:color w:val="000000" w:themeColor="text1"/>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提供的</w:t>
      </w:r>
      <w:r>
        <w:rPr>
          <w:rFonts w:hint="eastAsia" w:ascii="宋体" w:hAnsi="宋体" w:eastAsia="宋体" w:cs="宋体"/>
          <w:color w:val="000000" w:themeColor="text1"/>
          <w:sz w:val="24"/>
          <w:highlight w:val="none"/>
          <w14:textFill>
            <w14:solidFill>
              <w14:schemeClr w14:val="tx1"/>
            </w14:solidFill>
          </w14:textFill>
        </w:rPr>
        <w:t>磋商响应文件</w:t>
      </w:r>
      <w:r>
        <w:rPr>
          <w:rFonts w:hint="eastAsia" w:ascii="宋体" w:hAnsi="宋体" w:eastAsia="宋体" w:cs="宋体"/>
          <w:color w:val="000000" w:themeColor="text1"/>
          <w:kern w:val="0"/>
          <w:sz w:val="24"/>
          <w:highlight w:val="none"/>
          <w14:textFill>
            <w14:solidFill>
              <w14:schemeClr w14:val="tx1"/>
            </w14:solidFill>
          </w14:textFill>
        </w:rPr>
        <w:t xml:space="preserve">进行综合评审。 </w:t>
      </w:r>
    </w:p>
    <w:p w14:paraId="32CD39E6">
      <w:pPr>
        <w:autoSpaceDE w:val="0"/>
        <w:autoSpaceDN w:val="0"/>
        <w:adjustRightInd w:val="0"/>
        <w:spacing w:line="400" w:lineRule="exact"/>
        <w:ind w:left="-336" w:leftChars="-160" w:right="-353" w:rightChars="-168" w:firstLine="499" w:firstLineChars="207"/>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二、本次磋商项目的评审方法为综合评分法，总计100分。</w:t>
      </w:r>
    </w:p>
    <w:p w14:paraId="2134CD20">
      <w:pPr>
        <w:autoSpaceDE w:val="0"/>
        <w:autoSpaceDN w:val="0"/>
        <w:adjustRightInd w:val="0"/>
        <w:spacing w:line="400" w:lineRule="exact"/>
        <w:ind w:left="-336" w:leftChars="-160" w:right="-353" w:rightChars="-168" w:firstLine="499" w:firstLineChars="207"/>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报价评分</w:t>
      </w:r>
      <w:r>
        <w:rPr>
          <w:rFonts w:hint="eastAsia" w:ascii="宋体" w:hAnsi="宋体" w:eastAsia="宋体" w:cs="宋体"/>
          <w:b/>
          <w:bCs/>
          <w:color w:val="000000" w:themeColor="text1"/>
          <w:sz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highlight w:val="none"/>
          <w14:textFill>
            <w14:solidFill>
              <w14:schemeClr w14:val="tx1"/>
            </w14:solidFill>
          </w14:textFill>
        </w:rPr>
        <w:t>0分，商务技术、服务、资信综合评分</w:t>
      </w:r>
      <w:r>
        <w:rPr>
          <w:rFonts w:hint="eastAsia" w:ascii="宋体" w:hAnsi="宋体" w:eastAsia="宋体" w:cs="宋体"/>
          <w:b/>
          <w:bCs/>
          <w:color w:val="000000" w:themeColor="text1"/>
          <w:sz w:val="24"/>
          <w:highlight w:val="none"/>
          <w:lang w:val="en-US" w:eastAsia="zh-CN"/>
          <w14:textFill>
            <w14:solidFill>
              <w14:schemeClr w14:val="tx1"/>
            </w14:solidFill>
          </w14:textFill>
        </w:rPr>
        <w:t>9</w:t>
      </w:r>
      <w:r>
        <w:rPr>
          <w:rFonts w:hint="eastAsia" w:ascii="宋体" w:hAnsi="宋体" w:eastAsia="宋体" w:cs="宋体"/>
          <w:b/>
          <w:bCs/>
          <w:color w:val="000000" w:themeColor="text1"/>
          <w:sz w:val="24"/>
          <w:highlight w:val="none"/>
          <w14:textFill>
            <w14:solidFill>
              <w14:schemeClr w14:val="tx1"/>
            </w14:solidFill>
          </w14:textFill>
        </w:rPr>
        <w:t>0分。</w:t>
      </w:r>
    </w:p>
    <w:p w14:paraId="0D3B1450">
      <w:pPr>
        <w:autoSpaceDE w:val="0"/>
        <w:autoSpaceDN w:val="0"/>
        <w:adjustRightInd w:val="0"/>
        <w:spacing w:line="400" w:lineRule="exact"/>
        <w:ind w:left="-336" w:leftChars="-160" w:right="-353" w:rightChars="-168" w:firstLine="496" w:firstLineChars="207"/>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（一）商务与技术文件中的客观分由</w:t>
      </w:r>
      <w:r>
        <w:rPr>
          <w:rFonts w:hint="eastAsia" w:ascii="宋体" w:hAnsi="宋体" w:eastAsia="宋体" w:cs="宋体"/>
          <w:color w:val="000000" w:themeColor="text1"/>
          <w:sz w:val="24"/>
          <w:highlight w:val="none"/>
          <w14:textFill>
            <w14:solidFill>
              <w14:schemeClr w14:val="tx1"/>
            </w14:solidFill>
          </w14:textFill>
        </w:rPr>
        <w:t>磋商小组</w:t>
      </w:r>
      <w:r>
        <w:rPr>
          <w:rFonts w:hint="eastAsia" w:ascii="宋体" w:hAnsi="宋体" w:eastAsia="宋体" w:cs="宋体"/>
          <w:bCs/>
          <w:color w:val="000000" w:themeColor="text1"/>
          <w:sz w:val="24"/>
          <w:highlight w:val="none"/>
          <w:lang w:val="zh-CN"/>
          <w14:textFill>
            <w14:solidFill>
              <w14:schemeClr w14:val="tx1"/>
            </w14:solidFill>
          </w14:textFill>
        </w:rPr>
        <w:t>讨论后统一打分；其余在规定的分值内单独评定打分。</w:t>
      </w:r>
    </w:p>
    <w:p w14:paraId="5D4AEE28">
      <w:pPr>
        <w:autoSpaceDE w:val="0"/>
        <w:autoSpaceDN w:val="0"/>
        <w:adjustRightInd w:val="0"/>
        <w:spacing w:line="400" w:lineRule="exact"/>
        <w:ind w:left="-336" w:leftChars="-160" w:right="-353" w:rightChars="-168" w:firstLine="496" w:firstLineChars="207"/>
        <w:rPr>
          <w:rFonts w:hint="eastAsia" w:ascii="宋体" w:hAnsi="宋体" w:eastAsia="宋体" w:cs="宋体"/>
          <w:bCs/>
          <w:color w:val="000000" w:themeColor="text1"/>
          <w:sz w:val="24"/>
          <w:highlight w:val="none"/>
          <w:shd w:val="clear" w:color="FFFFFF" w:fill="D9D9D9"/>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（二）各磋商供应商商务与技术文件</w:t>
      </w:r>
      <w:r>
        <w:rPr>
          <w:rFonts w:hint="eastAsia" w:ascii="宋体" w:hAnsi="宋体" w:eastAsia="宋体" w:cs="宋体"/>
          <w:color w:val="000000" w:themeColor="text1"/>
          <w:kern w:val="0"/>
          <w:sz w:val="24"/>
          <w:highlight w:val="none"/>
          <w:lang w:val="zh-CN"/>
          <w14:textFill>
            <w14:solidFill>
              <w14:schemeClr w14:val="tx1"/>
            </w14:solidFill>
          </w14:textFill>
        </w:rPr>
        <w:t>得分按照</w:t>
      </w:r>
      <w:r>
        <w:rPr>
          <w:rFonts w:hint="eastAsia" w:ascii="宋体" w:hAnsi="宋体" w:eastAsia="宋体" w:cs="宋体"/>
          <w:color w:val="000000" w:themeColor="text1"/>
          <w:sz w:val="24"/>
          <w:highlight w:val="none"/>
          <w14:textFill>
            <w14:solidFill>
              <w14:schemeClr w14:val="tx1"/>
            </w14:solidFill>
          </w14:textFill>
        </w:rPr>
        <w:t>磋商小组</w:t>
      </w:r>
      <w:r>
        <w:rPr>
          <w:rFonts w:hint="eastAsia" w:ascii="宋体" w:hAnsi="宋体" w:eastAsia="宋体" w:cs="宋体"/>
          <w:color w:val="000000" w:themeColor="text1"/>
          <w:kern w:val="0"/>
          <w:sz w:val="24"/>
          <w:highlight w:val="none"/>
          <w:lang w:val="zh-CN"/>
          <w14:textFill>
            <w14:solidFill>
              <w14:schemeClr w14:val="tx1"/>
            </w14:solidFill>
          </w14:textFill>
        </w:rPr>
        <w:t>成</w:t>
      </w:r>
      <w:r>
        <w:rPr>
          <w:rFonts w:hint="eastAsia" w:ascii="宋体" w:hAnsi="宋体" w:eastAsia="宋体" w:cs="宋体"/>
          <w:bCs/>
          <w:color w:val="000000" w:themeColor="text1"/>
          <w:sz w:val="24"/>
          <w:highlight w:val="none"/>
          <w:lang w:val="zh-CN"/>
          <w14:textFill>
            <w14:solidFill>
              <w14:schemeClr w14:val="tx1"/>
            </w14:solidFill>
          </w14:textFill>
        </w:rPr>
        <w:t>员的独立评分结果汇总后的算术平均分计算，计算公式为：</w:t>
      </w:r>
    </w:p>
    <w:p w14:paraId="08639589">
      <w:pPr>
        <w:autoSpaceDE w:val="0"/>
        <w:autoSpaceDN w:val="0"/>
        <w:adjustRightInd w:val="0"/>
        <w:spacing w:line="400" w:lineRule="exact"/>
        <w:ind w:left="-336" w:leftChars="-160" w:right="-353" w:rightChars="-168" w:firstLine="496" w:firstLineChars="207"/>
        <w:rPr>
          <w:rFonts w:hint="eastAsia" w:ascii="宋体" w:hAnsi="宋体" w:eastAsia="宋体" w:cs="宋体"/>
          <w:bCs/>
          <w:color w:val="000000" w:themeColor="text1"/>
          <w:sz w:val="24"/>
          <w:highlight w:val="none"/>
          <w:shd w:val="clear" w:color="FFFFFF" w:fill="D9D9D9"/>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商务与技术文件得分</w:t>
      </w:r>
      <w:r>
        <w:rPr>
          <w:rFonts w:hint="eastAsia" w:ascii="宋体" w:hAnsi="宋体" w:eastAsia="宋体" w:cs="宋体"/>
          <w:bCs/>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磋商小组</w:t>
      </w:r>
      <w:r>
        <w:rPr>
          <w:rFonts w:hint="eastAsia" w:ascii="宋体" w:hAnsi="宋体" w:eastAsia="宋体" w:cs="宋体"/>
          <w:bCs/>
          <w:color w:val="000000" w:themeColor="text1"/>
          <w:sz w:val="24"/>
          <w:highlight w:val="none"/>
          <w:lang w:val="zh-CN"/>
          <w14:textFill>
            <w14:solidFill>
              <w14:schemeClr w14:val="tx1"/>
            </w14:solidFill>
          </w14:textFill>
        </w:rPr>
        <w:t>所有成员评分合计数/</w:t>
      </w:r>
      <w:r>
        <w:rPr>
          <w:rFonts w:hint="eastAsia" w:ascii="宋体" w:hAnsi="宋体" w:eastAsia="宋体" w:cs="宋体"/>
          <w:color w:val="000000" w:themeColor="text1"/>
          <w:sz w:val="24"/>
          <w:highlight w:val="none"/>
          <w14:textFill>
            <w14:solidFill>
              <w14:schemeClr w14:val="tx1"/>
            </w14:solidFill>
          </w14:textFill>
        </w:rPr>
        <w:t>磋商小组</w:t>
      </w:r>
      <w:r>
        <w:rPr>
          <w:rFonts w:hint="eastAsia" w:ascii="宋体" w:hAnsi="宋体" w:eastAsia="宋体" w:cs="宋体"/>
          <w:bCs/>
          <w:color w:val="000000" w:themeColor="text1"/>
          <w:sz w:val="24"/>
          <w:highlight w:val="none"/>
          <w:lang w:val="zh-CN"/>
          <w14:textFill>
            <w14:solidFill>
              <w14:schemeClr w14:val="tx1"/>
            </w14:solidFill>
          </w14:textFill>
        </w:rPr>
        <w:t>组成人员数。</w:t>
      </w:r>
    </w:p>
    <w:p w14:paraId="201F99DE">
      <w:pPr>
        <w:autoSpaceDE w:val="0"/>
        <w:autoSpaceDN w:val="0"/>
        <w:adjustRightInd w:val="0"/>
        <w:spacing w:line="400" w:lineRule="exact"/>
        <w:ind w:left="-336" w:leftChars="-160" w:right="-353" w:rightChars="-168" w:firstLine="496" w:firstLineChars="207"/>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（三）</w:t>
      </w:r>
      <w:r>
        <w:rPr>
          <w:rFonts w:hint="eastAsia" w:ascii="宋体" w:hAnsi="宋体" w:eastAsia="宋体" w:cs="宋体"/>
          <w:color w:val="000000" w:themeColor="text1"/>
          <w:sz w:val="24"/>
          <w:highlight w:val="none"/>
          <w14:textFill>
            <w14:solidFill>
              <w14:schemeClr w14:val="tx1"/>
            </w14:solidFill>
          </w14:textFill>
        </w:rPr>
        <w:t>综合评分法中的价格分统一</w:t>
      </w:r>
      <w:r>
        <w:rPr>
          <w:rFonts w:hint="eastAsia" w:ascii="宋体" w:hAnsi="宋体" w:eastAsia="宋体" w:cs="宋体"/>
          <w:color w:val="000000" w:themeColor="text1"/>
          <w:sz w:val="24"/>
          <w:highlight w:val="none"/>
          <w:lang w:val="zh-CN"/>
          <w14:textFill>
            <w14:solidFill>
              <w14:schemeClr w14:val="tx1"/>
            </w14:solidFill>
          </w14:textFill>
        </w:rPr>
        <w:t>采用低价优先法计算，即满足磋商文件要求且最后磋商报价最低的供应商的价格作为磋商基准价，其报价得满分。其他供应商的价格分统一按照下列公式计算：</w:t>
      </w:r>
    </w:p>
    <w:p w14:paraId="3341EFE9">
      <w:pPr>
        <w:autoSpaceDE w:val="0"/>
        <w:autoSpaceDN w:val="0"/>
        <w:adjustRightInd w:val="0"/>
        <w:spacing w:line="400" w:lineRule="exact"/>
        <w:ind w:left="-336" w:leftChars="-160" w:right="-353" w:rightChars="-168" w:firstLine="496" w:firstLineChars="207"/>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磋商报价得分=(</w:t>
      </w:r>
      <w:r>
        <w:rPr>
          <w:rFonts w:hint="eastAsia" w:ascii="宋体" w:hAnsi="宋体" w:eastAsia="宋体" w:cs="宋体"/>
          <w:color w:val="000000" w:themeColor="text1"/>
          <w:sz w:val="24"/>
          <w:highlight w:val="none"/>
          <w:u w:val="single"/>
          <w:lang w:val="zh-CN"/>
          <w14:textFill>
            <w14:solidFill>
              <w14:schemeClr w14:val="tx1"/>
            </w14:solidFill>
          </w14:textFill>
        </w:rPr>
        <w:t>磋商基准价</w:t>
      </w:r>
      <w:r>
        <w:rPr>
          <w:rFonts w:hint="eastAsia" w:ascii="宋体" w:hAnsi="宋体" w:eastAsia="宋体" w:cs="宋体"/>
          <w:color w:val="000000" w:themeColor="text1"/>
          <w:sz w:val="24"/>
          <w:highlight w:val="none"/>
          <w:u w:val="single"/>
          <w14:textFill>
            <w14:solidFill>
              <w14:schemeClr w14:val="tx1"/>
            </w14:solidFill>
          </w14:textFill>
        </w:rPr>
        <w:t>／最后磋商报价)×</w:t>
      </w:r>
      <w:r>
        <w:rPr>
          <w:rFonts w:hint="eastAsia" w:ascii="宋体" w:hAnsi="宋体" w:eastAsia="宋体" w:cs="宋体"/>
          <w:color w:val="000000" w:themeColor="text1"/>
          <w:sz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highlight w:val="none"/>
          <w:u w:val="single"/>
          <w14:textFill>
            <w14:solidFill>
              <w14:schemeClr w14:val="tx1"/>
            </w14:solidFill>
          </w14:textFill>
        </w:rPr>
        <w:t>0%×100 。</w:t>
      </w:r>
    </w:p>
    <w:p w14:paraId="569EAF28">
      <w:pPr>
        <w:autoSpaceDE w:val="0"/>
        <w:autoSpaceDN w:val="0"/>
        <w:adjustRightInd w:val="0"/>
        <w:spacing w:line="400" w:lineRule="exact"/>
        <w:ind w:left="-336" w:leftChars="-160" w:right="-353" w:rightChars="-168" w:firstLine="496" w:firstLineChars="207"/>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（四）政府采购政策及优惠：（1）关于小型、微型企业（简称小微企业）投标：小微企业投标是指符合《中小企业划型标准规定》的供应商，符合《政府采购促进中小企业发展管理办法》规定的享受优惠政策。</w:t>
      </w:r>
    </w:p>
    <w:p w14:paraId="0A12389B">
      <w:pPr>
        <w:autoSpaceDE w:val="0"/>
        <w:autoSpaceDN w:val="0"/>
        <w:adjustRightInd w:val="0"/>
        <w:spacing w:line="400" w:lineRule="exact"/>
        <w:ind w:left="-336" w:leftChars="-160" w:right="-353" w:rightChars="-168" w:firstLine="496" w:firstLineChars="207"/>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小微企业投标应提供《中小企业声明函》，在报价文件中未提供完整有效《中小企业声明函》或填写不正确的，投标报价可不予扣减。</w:t>
      </w:r>
    </w:p>
    <w:p w14:paraId="39D4C8E9">
      <w:pPr>
        <w:autoSpaceDE w:val="0"/>
        <w:autoSpaceDN w:val="0"/>
        <w:adjustRightInd w:val="0"/>
        <w:spacing w:line="400" w:lineRule="exact"/>
        <w:ind w:left="-336" w:leftChars="-160" w:right="-353" w:rightChars="-168" w:firstLine="496" w:firstLineChars="207"/>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对于符合《政府采购促进中小企业发展管理办法》规定的小微企业报价给予10%的扣除，用扣除后的价格参加评审。联合体各方均为小微企业的，联合体视同小微企业，其余情况不认定为小微企业，不享受10%的扣除。</w:t>
      </w:r>
    </w:p>
    <w:p w14:paraId="50243C9B">
      <w:pPr>
        <w:autoSpaceDE w:val="0"/>
        <w:autoSpaceDN w:val="0"/>
        <w:adjustRightInd w:val="0"/>
        <w:spacing w:line="400" w:lineRule="exact"/>
        <w:ind w:left="-336" w:leftChars="-160" w:right="-353" w:rightChars="-168" w:firstLine="496" w:firstLineChars="207"/>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w:t>
      </w:r>
    </w:p>
    <w:p w14:paraId="0C1A0862">
      <w:pPr>
        <w:autoSpaceDE w:val="0"/>
        <w:autoSpaceDN w:val="0"/>
        <w:adjustRightInd w:val="0"/>
        <w:spacing w:line="400" w:lineRule="exact"/>
        <w:ind w:left="-336" w:leftChars="-160" w:right="-353" w:rightChars="-168" w:firstLine="496" w:firstLineChars="207"/>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（3）残疾人福利性单位在参加政府采购活动时，应提供《残疾人福利性单位声明函》（见附件）和《产品适用政府采购政策情况表》（见附件），视同小型、微型企业，享受小微企业政府采购优惠政策。</w:t>
      </w:r>
    </w:p>
    <w:p w14:paraId="38ACBF28">
      <w:pPr>
        <w:autoSpaceDE w:val="0"/>
        <w:autoSpaceDN w:val="0"/>
        <w:adjustRightInd w:val="0"/>
        <w:spacing w:line="400" w:lineRule="exact"/>
        <w:ind w:left="-336" w:leftChars="-160" w:right="-353" w:rightChars="-168" w:firstLine="496" w:firstLineChars="207"/>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具体优惠：对于小型微型企业产品的价格给予 10 %的扣除，用扣除后的价格计算评标基准价和投标报价。同一投标人（包括联合体），小微企业、监狱企业、残疾人福利性单位价格扣除优惠只享受一次，不得重复享受。</w:t>
      </w:r>
    </w:p>
    <w:p w14:paraId="658C8EAE">
      <w:pPr>
        <w:autoSpaceDE w:val="0"/>
        <w:autoSpaceDN w:val="0"/>
        <w:adjustRightInd w:val="0"/>
        <w:spacing w:line="400" w:lineRule="exact"/>
        <w:ind w:left="-336" w:leftChars="-160" w:right="-353" w:rightChars="-168" w:firstLine="496" w:firstLineChars="207"/>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注：得分以系统计算为准，保留2位小数。</w:t>
      </w:r>
    </w:p>
    <w:p w14:paraId="6D85CD1F">
      <w:pPr>
        <w:autoSpaceDE w:val="0"/>
        <w:autoSpaceDN w:val="0"/>
        <w:adjustRightInd w:val="0"/>
        <w:spacing w:line="400" w:lineRule="exact"/>
        <w:ind w:left="-336" w:leftChars="-160" w:right="-353" w:rightChars="-168" w:firstLine="496" w:firstLineChars="207"/>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三、在最大限度地满足磋商文件实质性要求前提下，</w:t>
      </w:r>
      <w:r>
        <w:rPr>
          <w:rFonts w:hint="eastAsia" w:ascii="宋体" w:hAnsi="宋体" w:eastAsia="宋体" w:cs="宋体"/>
          <w:color w:val="000000" w:themeColor="text1"/>
          <w:sz w:val="24"/>
          <w:highlight w:val="none"/>
          <w14:textFill>
            <w14:solidFill>
              <w14:schemeClr w14:val="tx1"/>
            </w14:solidFill>
          </w14:textFill>
        </w:rPr>
        <w:t>磋商小组</w:t>
      </w:r>
      <w:r>
        <w:rPr>
          <w:rFonts w:hint="eastAsia" w:ascii="宋体" w:hAnsi="宋体" w:eastAsia="宋体" w:cs="宋体"/>
          <w:color w:val="000000" w:themeColor="text1"/>
          <w:sz w:val="24"/>
          <w:highlight w:val="none"/>
          <w:lang w:val="zh-CN"/>
          <w14:textFill>
            <w14:solidFill>
              <w14:schemeClr w14:val="tx1"/>
            </w14:solidFill>
          </w14:textFill>
        </w:rPr>
        <w:t>按照磋商文件中规定的各项因素进行综合评审后，以评审总得分最高的供应商为成交候选供应商。</w:t>
      </w:r>
    </w:p>
    <w:p w14:paraId="1325D9D7">
      <w:pPr>
        <w:autoSpaceDE w:val="0"/>
        <w:autoSpaceDN w:val="0"/>
        <w:adjustRightInd w:val="0"/>
        <w:spacing w:line="400" w:lineRule="exact"/>
        <w:ind w:left="-336" w:leftChars="-160" w:right="-353" w:rightChars="-168" w:firstLine="496" w:firstLineChars="207"/>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四、如综合得分相同，最后磋商报价低者为先。</w:t>
      </w:r>
    </w:p>
    <w:p w14:paraId="1A53ADFD">
      <w:pPr>
        <w:autoSpaceDE w:val="0"/>
        <w:autoSpaceDN w:val="0"/>
        <w:adjustRightInd w:val="0"/>
        <w:spacing w:line="400" w:lineRule="exact"/>
        <w:ind w:left="-336" w:leftChars="-160" w:right="-353" w:rightChars="-168" w:firstLine="496" w:firstLineChars="207"/>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五、本次评分具体分值细化条款如下表：</w:t>
      </w:r>
    </w:p>
    <w:tbl>
      <w:tblPr>
        <w:tblStyle w:val="37"/>
        <w:tblW w:w="10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092"/>
        <w:gridCol w:w="7886"/>
        <w:gridCol w:w="667"/>
      </w:tblGrid>
      <w:tr w14:paraId="3C03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667" w:type="dxa"/>
            <w:tcBorders>
              <w:tl2br w:val="nil"/>
              <w:tr2bl w:val="nil"/>
            </w:tcBorders>
            <w:shd w:val="clear" w:color="auto" w:fill="auto"/>
            <w:vAlign w:val="center"/>
          </w:tcPr>
          <w:p w14:paraId="06A7ADB1">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序号</w:t>
            </w:r>
          </w:p>
        </w:tc>
        <w:tc>
          <w:tcPr>
            <w:tcW w:w="1092" w:type="dxa"/>
            <w:tcBorders>
              <w:tl2br w:val="nil"/>
              <w:tr2bl w:val="nil"/>
            </w:tcBorders>
            <w:shd w:val="clear" w:color="auto" w:fill="auto"/>
            <w:vAlign w:val="center"/>
          </w:tcPr>
          <w:p w14:paraId="56D8F334">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评分项目</w:t>
            </w:r>
          </w:p>
        </w:tc>
        <w:tc>
          <w:tcPr>
            <w:tcW w:w="7886" w:type="dxa"/>
            <w:tcBorders>
              <w:tl2br w:val="nil"/>
              <w:tr2bl w:val="nil"/>
            </w:tcBorders>
            <w:shd w:val="clear" w:color="auto" w:fill="auto"/>
            <w:vAlign w:val="center"/>
          </w:tcPr>
          <w:p w14:paraId="06C4F086">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评分细则</w:t>
            </w:r>
          </w:p>
        </w:tc>
        <w:tc>
          <w:tcPr>
            <w:tcW w:w="667" w:type="dxa"/>
            <w:tcBorders>
              <w:tl2br w:val="nil"/>
              <w:tr2bl w:val="nil"/>
            </w:tcBorders>
            <w:shd w:val="clear" w:color="auto" w:fill="auto"/>
            <w:vAlign w:val="center"/>
          </w:tcPr>
          <w:p w14:paraId="58CCF80E">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分值</w:t>
            </w:r>
          </w:p>
        </w:tc>
      </w:tr>
      <w:tr w14:paraId="0ECAF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67" w:type="dxa"/>
            <w:tcBorders>
              <w:tl2br w:val="nil"/>
              <w:tr2bl w:val="nil"/>
            </w:tcBorders>
            <w:shd w:val="clear" w:color="auto" w:fill="auto"/>
            <w:vAlign w:val="center"/>
          </w:tcPr>
          <w:p w14:paraId="16F974C5">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1</w:t>
            </w:r>
          </w:p>
        </w:tc>
        <w:tc>
          <w:tcPr>
            <w:tcW w:w="1092" w:type="dxa"/>
            <w:tcBorders>
              <w:tl2br w:val="nil"/>
              <w:tr2bl w:val="nil"/>
            </w:tcBorders>
            <w:shd w:val="clear" w:color="auto" w:fill="auto"/>
            <w:vAlign w:val="center"/>
          </w:tcPr>
          <w:p w14:paraId="57DA3692">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企业</w:t>
            </w:r>
          </w:p>
          <w:p w14:paraId="1CFDD139">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认证</w:t>
            </w:r>
          </w:p>
        </w:tc>
        <w:tc>
          <w:tcPr>
            <w:tcW w:w="7886" w:type="dxa"/>
            <w:tcBorders>
              <w:tl2br w:val="nil"/>
              <w:tr2bl w:val="nil"/>
            </w:tcBorders>
            <w:shd w:val="clear" w:color="auto" w:fill="auto"/>
            <w:vAlign w:val="center"/>
          </w:tcPr>
          <w:p w14:paraId="35BE6B8E">
            <w:pPr>
              <w:pStyle w:val="102"/>
              <w:keepNext w:val="0"/>
              <w:keepLines w:val="0"/>
              <w:pageBreakBefore w:val="0"/>
              <w:widowControl w:val="0"/>
              <w:kinsoku/>
              <w:wordWrap/>
              <w:overflowPunct/>
              <w:topLinePunct w:val="0"/>
              <w:autoSpaceDE/>
              <w:autoSpaceDN/>
              <w:bidi w:val="0"/>
              <w:spacing w:line="32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投标人具备有效的质量管理体系认证证书</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得1分</w:t>
            </w:r>
            <w:r>
              <w:rPr>
                <w:rFonts w:hint="eastAsia" w:ascii="宋体" w:hAnsi="宋体" w:eastAsia="宋体" w:cs="宋体"/>
                <w:b w:val="0"/>
                <w:bCs/>
                <w:color w:val="000000" w:themeColor="text1"/>
                <w:sz w:val="24"/>
                <w:szCs w:val="24"/>
                <w:highlight w:val="none"/>
                <w14:textFill>
                  <w14:solidFill>
                    <w14:schemeClr w14:val="tx1"/>
                  </w14:solidFill>
                </w14:textFill>
              </w:rPr>
              <w:t>、环境管理体系认证证书</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得1分</w:t>
            </w:r>
            <w:r>
              <w:rPr>
                <w:rFonts w:hint="eastAsia" w:ascii="宋体" w:hAnsi="宋体" w:eastAsia="宋体" w:cs="宋体"/>
                <w:b w:val="0"/>
                <w:bCs/>
                <w:color w:val="000000" w:themeColor="text1"/>
                <w:sz w:val="24"/>
                <w:szCs w:val="24"/>
                <w:highlight w:val="none"/>
                <w14:textFill>
                  <w14:solidFill>
                    <w14:schemeClr w14:val="tx1"/>
                  </w14:solidFill>
                </w14:textFill>
              </w:rPr>
              <w:t>、职业健康安全管理体系认证证书</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得1分</w:t>
            </w:r>
            <w:r>
              <w:rPr>
                <w:rFonts w:hint="eastAsia" w:ascii="宋体" w:hAnsi="宋体" w:eastAsia="宋体" w:cs="宋体"/>
                <w:b w:val="0"/>
                <w:bCs/>
                <w:color w:val="000000" w:themeColor="text1"/>
                <w:sz w:val="24"/>
                <w:szCs w:val="24"/>
                <w:highlight w:val="none"/>
                <w14:textFill>
                  <w14:solidFill>
                    <w14:schemeClr w14:val="tx1"/>
                  </w14:solidFill>
                </w14:textFill>
              </w:rPr>
              <w:t>、信息安全管理体系认证证书</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得1分</w:t>
            </w:r>
            <w:r>
              <w:rPr>
                <w:rFonts w:hint="eastAsia" w:ascii="宋体" w:hAnsi="宋体" w:eastAsia="宋体" w:cs="宋体"/>
                <w:b w:val="0"/>
                <w:bCs/>
                <w:color w:val="000000" w:themeColor="text1"/>
                <w:sz w:val="24"/>
                <w:szCs w:val="24"/>
                <w:highlight w:val="none"/>
                <w14:textFill>
                  <w14:solidFill>
                    <w14:schemeClr w14:val="tx1"/>
                  </w14:solidFill>
                </w14:textFill>
              </w:rPr>
              <w:t>、信息技术服务管理体系认</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得1分</w:t>
            </w:r>
            <w:r>
              <w:rPr>
                <w:rFonts w:hint="eastAsia" w:ascii="宋体" w:hAnsi="宋体" w:eastAsia="宋体" w:cs="宋体"/>
                <w:b w:val="0"/>
                <w:bCs/>
                <w:color w:val="000000" w:themeColor="text1"/>
                <w:sz w:val="24"/>
                <w:szCs w:val="24"/>
                <w:highlight w:val="none"/>
                <w14:textFill>
                  <w14:solidFill>
                    <w14:schemeClr w14:val="tx1"/>
                  </w14:solidFill>
                </w14:textFill>
              </w:rPr>
              <w:t>、证知识产权管理体系认证证书</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得1分</w:t>
            </w:r>
            <w:r>
              <w:rPr>
                <w:rFonts w:hint="eastAsia" w:ascii="宋体" w:hAnsi="宋体" w:eastAsia="宋体" w:cs="宋体"/>
                <w:b w:val="0"/>
                <w:bCs/>
                <w:color w:val="000000" w:themeColor="text1"/>
                <w:sz w:val="24"/>
                <w:szCs w:val="24"/>
                <w:highlight w:val="none"/>
                <w14:textFill>
                  <w14:solidFill>
                    <w14:schemeClr w14:val="tx1"/>
                  </w14:solidFill>
                </w14:textFill>
              </w:rPr>
              <w:t>。</w:t>
            </w:r>
          </w:p>
          <w:p w14:paraId="16B2974D">
            <w:pPr>
              <w:keepNext w:val="0"/>
              <w:keepLines w:val="0"/>
              <w:pageBreakBefore w:val="0"/>
              <w:widowControl/>
              <w:kinsoku/>
              <w:wordWrap/>
              <w:overflowPunct/>
              <w:topLinePunct w:val="0"/>
              <w:autoSpaceDE/>
              <w:autoSpaceDN/>
              <w:bidi w:val="0"/>
              <w:spacing w:line="320" w:lineRule="exact"/>
              <w:ind w:firstLine="396" w:firstLineChars="165"/>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注：须提认证证书扫描件或复印件并加盖公章，不提供不得分。</w:t>
            </w:r>
          </w:p>
        </w:tc>
        <w:tc>
          <w:tcPr>
            <w:tcW w:w="667" w:type="dxa"/>
            <w:tcBorders>
              <w:tl2br w:val="nil"/>
              <w:tr2bl w:val="nil"/>
            </w:tcBorders>
            <w:shd w:val="clear" w:color="auto" w:fill="auto"/>
            <w:vAlign w:val="center"/>
          </w:tcPr>
          <w:p w14:paraId="1065C2C8">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4</w:t>
            </w:r>
          </w:p>
        </w:tc>
      </w:tr>
      <w:tr w14:paraId="60A70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667" w:type="dxa"/>
            <w:vMerge w:val="restart"/>
            <w:tcBorders>
              <w:tl2br w:val="nil"/>
              <w:tr2bl w:val="nil"/>
            </w:tcBorders>
            <w:shd w:val="clear" w:color="auto" w:fill="auto"/>
            <w:vAlign w:val="center"/>
          </w:tcPr>
          <w:p w14:paraId="3A04B45C">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2</w:t>
            </w:r>
          </w:p>
        </w:tc>
        <w:tc>
          <w:tcPr>
            <w:tcW w:w="1092" w:type="dxa"/>
            <w:vMerge w:val="restart"/>
            <w:tcBorders>
              <w:tl2br w:val="nil"/>
              <w:tr2bl w:val="nil"/>
            </w:tcBorders>
            <w:shd w:val="clear" w:color="auto" w:fill="auto"/>
            <w:vAlign w:val="center"/>
          </w:tcPr>
          <w:p w14:paraId="12DBAB69">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拟投入的项目人员</w:t>
            </w:r>
          </w:p>
        </w:tc>
        <w:tc>
          <w:tcPr>
            <w:tcW w:w="7886" w:type="dxa"/>
            <w:tcBorders>
              <w:tl2br w:val="nil"/>
              <w:tr2bl w:val="nil"/>
            </w:tcBorders>
            <w:shd w:val="clear" w:color="auto" w:fill="auto"/>
            <w:vAlign w:val="center"/>
          </w:tcPr>
          <w:p w14:paraId="64B5F25A">
            <w:pPr>
              <w:pStyle w:val="102"/>
              <w:keepNext w:val="0"/>
              <w:keepLines w:val="0"/>
              <w:pageBreakBefore w:val="0"/>
              <w:kinsoku/>
              <w:wordWrap/>
              <w:overflowPunct/>
              <w:topLinePunct w:val="0"/>
              <w:autoSpaceDE/>
              <w:autoSpaceDN/>
              <w:bidi w:val="0"/>
              <w:spacing w:line="32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项目总负责人</w:t>
            </w:r>
          </w:p>
          <w:p w14:paraId="42352995">
            <w:pPr>
              <w:pStyle w:val="102"/>
              <w:keepNext w:val="0"/>
              <w:keepLines w:val="0"/>
              <w:pageBreakBefore w:val="0"/>
              <w:numPr>
                <w:ilvl w:val="0"/>
                <w:numId w:val="5"/>
              </w:numPr>
              <w:kinsoku/>
              <w:wordWrap/>
              <w:overflowPunct/>
              <w:topLinePunct w:val="0"/>
              <w:autoSpaceDE/>
              <w:autoSpaceDN/>
              <w:bidi w:val="0"/>
              <w:spacing w:line="320" w:lineRule="exact"/>
              <w:ind w:left="0" w:leftChars="0" w:firstLine="0" w:firstLineChars="0"/>
              <w:jc w:val="left"/>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测绘地理信息相关专业正高级（教授级）工程师</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，得1分、</w:t>
            </w:r>
          </w:p>
          <w:p w14:paraId="05171CFB">
            <w:pPr>
              <w:pStyle w:val="102"/>
              <w:keepNext w:val="0"/>
              <w:keepLines w:val="0"/>
              <w:pageBreakBefore w:val="0"/>
              <w:numPr>
                <w:ilvl w:val="0"/>
                <w:numId w:val="5"/>
              </w:numPr>
              <w:kinsoku/>
              <w:wordWrap/>
              <w:overflowPunct/>
              <w:topLinePunct w:val="0"/>
              <w:autoSpaceDE/>
              <w:autoSpaceDN/>
              <w:bidi w:val="0"/>
              <w:spacing w:line="320" w:lineRule="exact"/>
              <w:ind w:left="0" w:leftChars="0" w:firstLine="0" w:firstLineChars="0"/>
              <w:jc w:val="left"/>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测绘地理信息相关专业</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副</w:t>
            </w:r>
            <w:r>
              <w:rPr>
                <w:rFonts w:hint="eastAsia" w:ascii="宋体" w:hAnsi="宋体" w:eastAsia="宋体" w:cs="宋体"/>
                <w:b w:val="0"/>
                <w:bCs/>
                <w:color w:val="000000" w:themeColor="text1"/>
                <w:sz w:val="24"/>
                <w:szCs w:val="24"/>
                <w:highlight w:val="none"/>
                <w14:textFill>
                  <w14:solidFill>
                    <w14:schemeClr w14:val="tx1"/>
                  </w14:solidFill>
                </w14:textFill>
              </w:rPr>
              <w:t>高级（</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副</w:t>
            </w:r>
            <w:r>
              <w:rPr>
                <w:rFonts w:hint="eastAsia" w:ascii="宋体" w:hAnsi="宋体" w:eastAsia="宋体" w:cs="宋体"/>
                <w:b w:val="0"/>
                <w:bCs/>
                <w:color w:val="000000" w:themeColor="text1"/>
                <w:sz w:val="24"/>
                <w:szCs w:val="24"/>
                <w:highlight w:val="none"/>
                <w14:textFill>
                  <w14:solidFill>
                    <w14:schemeClr w14:val="tx1"/>
                  </w14:solidFill>
                </w14:textFill>
              </w:rPr>
              <w:t>教授级）工程师</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，得0.5分</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14:paraId="594EA01D">
            <w:pPr>
              <w:pStyle w:val="102"/>
              <w:keepNext w:val="0"/>
              <w:keepLines w:val="0"/>
              <w:pageBreakBefore w:val="0"/>
              <w:numPr>
                <w:ilvl w:val="0"/>
                <w:numId w:val="5"/>
              </w:numPr>
              <w:kinsoku/>
              <w:wordWrap/>
              <w:overflowPunct/>
              <w:topLinePunct w:val="0"/>
              <w:autoSpaceDE/>
              <w:autoSpaceDN/>
              <w:bidi w:val="0"/>
              <w:spacing w:line="320" w:lineRule="exact"/>
              <w:ind w:left="0" w:leftChars="0" w:firstLine="0" w:firstLineChars="0"/>
              <w:jc w:val="left"/>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注册测绘师</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，得1分、</w:t>
            </w:r>
          </w:p>
          <w:p w14:paraId="2A8AC276">
            <w:pPr>
              <w:pStyle w:val="102"/>
              <w:keepNext w:val="0"/>
              <w:keepLines w:val="0"/>
              <w:pageBreakBefore w:val="0"/>
              <w:numPr>
                <w:ilvl w:val="0"/>
                <w:numId w:val="0"/>
              </w:numPr>
              <w:kinsoku/>
              <w:wordWrap/>
              <w:overflowPunct/>
              <w:topLinePunct w:val="0"/>
              <w:autoSpaceDE/>
              <w:autoSpaceDN/>
              <w:bidi w:val="0"/>
              <w:spacing w:line="320" w:lineRule="exact"/>
              <w:ind w:left="0" w:leftChars="0" w:firstLine="0" w:firstLineChars="0"/>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14:textFill>
                  <w14:solidFill>
                    <w14:schemeClr w14:val="tx1"/>
                  </w14:solidFill>
                </w14:textFill>
              </w:rPr>
              <w:t>涉密测绘成果管理人员岗位培训证书或测绘保密知识培训证书的</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得1分</w:t>
            </w:r>
            <w:r>
              <w:rPr>
                <w:rFonts w:hint="eastAsia" w:ascii="宋体" w:hAnsi="宋体" w:eastAsia="宋体" w:cs="宋体"/>
                <w:b w:val="0"/>
                <w:bCs/>
                <w:color w:val="000000" w:themeColor="text1"/>
                <w:sz w:val="24"/>
                <w:szCs w:val="24"/>
                <w:highlight w:val="none"/>
                <w14:textFill>
                  <w14:solidFill>
                    <w14:schemeClr w14:val="tx1"/>
                  </w14:solidFill>
                </w14:textFill>
              </w:rPr>
              <w:t>。</w:t>
            </w:r>
          </w:p>
        </w:tc>
        <w:tc>
          <w:tcPr>
            <w:tcW w:w="667" w:type="dxa"/>
            <w:tcBorders>
              <w:tl2br w:val="nil"/>
              <w:tr2bl w:val="nil"/>
            </w:tcBorders>
            <w:shd w:val="clear" w:color="auto" w:fill="auto"/>
            <w:vAlign w:val="center"/>
          </w:tcPr>
          <w:p w14:paraId="3CC11DEB">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3</w:t>
            </w:r>
          </w:p>
        </w:tc>
      </w:tr>
      <w:tr w14:paraId="49A0E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667" w:type="dxa"/>
            <w:vMerge w:val="continue"/>
            <w:tcBorders>
              <w:tl2br w:val="nil"/>
              <w:tr2bl w:val="nil"/>
            </w:tcBorders>
            <w:shd w:val="clear" w:color="auto" w:fill="auto"/>
            <w:vAlign w:val="center"/>
          </w:tcPr>
          <w:p w14:paraId="5BC25232">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p>
        </w:tc>
        <w:tc>
          <w:tcPr>
            <w:tcW w:w="1092" w:type="dxa"/>
            <w:vMerge w:val="continue"/>
            <w:tcBorders>
              <w:tl2br w:val="nil"/>
              <w:tr2bl w:val="nil"/>
            </w:tcBorders>
            <w:shd w:val="clear" w:color="auto" w:fill="auto"/>
            <w:vAlign w:val="center"/>
          </w:tcPr>
          <w:p w14:paraId="3AC3B662">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7886" w:type="dxa"/>
            <w:tcBorders>
              <w:tl2br w:val="nil"/>
              <w:tr2bl w:val="nil"/>
            </w:tcBorders>
            <w:shd w:val="clear" w:color="auto" w:fill="auto"/>
            <w:vAlign w:val="center"/>
          </w:tcPr>
          <w:p w14:paraId="7E5C54A2">
            <w:pPr>
              <w:pStyle w:val="102"/>
              <w:keepNext w:val="0"/>
              <w:keepLines w:val="0"/>
              <w:pageBreakBefore w:val="0"/>
              <w:kinsoku/>
              <w:wordWrap/>
              <w:overflowPunct/>
              <w:topLinePunct w:val="0"/>
              <w:autoSpaceDE/>
              <w:autoSpaceDN/>
              <w:bidi w:val="0"/>
              <w:spacing w:line="32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其他负责人（技术负责人、质量负责人、安全保密负责人）</w:t>
            </w:r>
          </w:p>
          <w:p w14:paraId="6CFAFF7C">
            <w:pPr>
              <w:pStyle w:val="102"/>
              <w:keepNext w:val="0"/>
              <w:keepLines w:val="0"/>
              <w:pageBreakBefore w:val="0"/>
              <w:numPr>
                <w:ilvl w:val="0"/>
                <w:numId w:val="6"/>
              </w:numPr>
              <w:kinsoku/>
              <w:wordWrap/>
              <w:overflowPunct/>
              <w:topLinePunct w:val="0"/>
              <w:autoSpaceDE/>
              <w:autoSpaceDN/>
              <w:bidi w:val="0"/>
              <w:spacing w:line="320" w:lineRule="exact"/>
              <w:ind w:left="0" w:leftChars="0" w:firstLine="0" w:firstLineChars="0"/>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测绘地理信息相关专业正高级（教授级）工程师</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，得1分</w:t>
            </w:r>
            <w:r>
              <w:rPr>
                <w:rFonts w:hint="eastAsia" w:ascii="宋体" w:hAnsi="宋体" w:eastAsia="宋体" w:cs="宋体"/>
                <w:b w:val="0"/>
                <w:bCs/>
                <w:color w:val="000000" w:themeColor="text1"/>
                <w:sz w:val="24"/>
                <w:szCs w:val="24"/>
                <w:highlight w:val="none"/>
                <w14:textFill>
                  <w14:solidFill>
                    <w14:schemeClr w14:val="tx1"/>
                  </w14:solidFill>
                </w14:textFill>
              </w:rPr>
              <w:t>、</w:t>
            </w:r>
          </w:p>
          <w:p w14:paraId="4EF5E2E4">
            <w:pPr>
              <w:pStyle w:val="102"/>
              <w:keepNext w:val="0"/>
              <w:keepLines w:val="0"/>
              <w:pageBreakBefore w:val="0"/>
              <w:numPr>
                <w:ilvl w:val="0"/>
                <w:numId w:val="7"/>
              </w:numPr>
              <w:kinsoku/>
              <w:wordWrap/>
              <w:overflowPunct/>
              <w:topLinePunct w:val="0"/>
              <w:autoSpaceDE/>
              <w:autoSpaceDN/>
              <w:bidi w:val="0"/>
              <w:spacing w:line="320" w:lineRule="exact"/>
              <w:ind w:left="0" w:leftChars="0" w:firstLine="0" w:firstLineChars="0"/>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测绘地理信息相关专业</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副</w:t>
            </w:r>
            <w:r>
              <w:rPr>
                <w:rFonts w:hint="eastAsia" w:ascii="宋体" w:hAnsi="宋体" w:eastAsia="宋体" w:cs="宋体"/>
                <w:b w:val="0"/>
                <w:bCs/>
                <w:color w:val="000000" w:themeColor="text1"/>
                <w:sz w:val="24"/>
                <w:szCs w:val="24"/>
                <w:highlight w:val="none"/>
                <w14:textFill>
                  <w14:solidFill>
                    <w14:schemeClr w14:val="tx1"/>
                  </w14:solidFill>
                </w14:textFill>
              </w:rPr>
              <w:t>高级（</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副</w:t>
            </w:r>
            <w:r>
              <w:rPr>
                <w:rFonts w:hint="eastAsia" w:ascii="宋体" w:hAnsi="宋体" w:eastAsia="宋体" w:cs="宋体"/>
                <w:b w:val="0"/>
                <w:bCs/>
                <w:color w:val="000000" w:themeColor="text1"/>
                <w:sz w:val="24"/>
                <w:szCs w:val="24"/>
                <w:highlight w:val="none"/>
                <w14:textFill>
                  <w14:solidFill>
                    <w14:schemeClr w14:val="tx1"/>
                  </w14:solidFill>
                </w14:textFill>
              </w:rPr>
              <w:t>教授级）工程师</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，得0.5分、</w:t>
            </w:r>
          </w:p>
          <w:p w14:paraId="610A717F">
            <w:pPr>
              <w:pStyle w:val="102"/>
              <w:keepNext w:val="0"/>
              <w:keepLines w:val="0"/>
              <w:pageBreakBefore w:val="0"/>
              <w:numPr>
                <w:ilvl w:val="0"/>
                <w:numId w:val="7"/>
              </w:numPr>
              <w:kinsoku/>
              <w:wordWrap/>
              <w:overflowPunct/>
              <w:topLinePunct w:val="0"/>
              <w:autoSpaceDE/>
              <w:autoSpaceDN/>
              <w:bidi w:val="0"/>
              <w:spacing w:line="320" w:lineRule="exact"/>
              <w:ind w:left="0" w:leftChars="0" w:firstLine="0" w:firstLineChars="0"/>
              <w:jc w:val="left"/>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注册测绘师</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，得1分</w:t>
            </w:r>
          </w:p>
          <w:p w14:paraId="003269DE">
            <w:pPr>
              <w:pStyle w:val="102"/>
              <w:keepNext w:val="0"/>
              <w:keepLines w:val="0"/>
              <w:pageBreakBefore w:val="0"/>
              <w:numPr>
                <w:ilvl w:val="0"/>
                <w:numId w:val="0"/>
              </w:numPr>
              <w:kinsoku/>
              <w:wordWrap/>
              <w:overflowPunct/>
              <w:topLinePunct w:val="0"/>
              <w:autoSpaceDE/>
              <w:autoSpaceDN/>
              <w:bidi w:val="0"/>
              <w:spacing w:line="320" w:lineRule="exact"/>
              <w:ind w:left="0" w:leftChars="0" w:firstLine="0" w:firstLineChars="0"/>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14:textFill>
                  <w14:solidFill>
                    <w14:schemeClr w14:val="tx1"/>
                  </w14:solidFill>
                </w14:textFill>
              </w:rPr>
              <w:t>涉密测绘成果管理人员岗位培训证书或测绘保密知识培训证书的</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，得1分</w:t>
            </w:r>
            <w:r>
              <w:rPr>
                <w:rFonts w:hint="eastAsia" w:ascii="宋体" w:hAnsi="宋体" w:eastAsia="宋体" w:cs="宋体"/>
                <w:b w:val="0"/>
                <w:bCs/>
                <w:color w:val="000000" w:themeColor="text1"/>
                <w:sz w:val="24"/>
                <w:szCs w:val="24"/>
                <w:highlight w:val="none"/>
                <w14:textFill>
                  <w14:solidFill>
                    <w14:schemeClr w14:val="tx1"/>
                  </w14:solidFill>
                </w14:textFill>
              </w:rPr>
              <w:t>。</w:t>
            </w:r>
          </w:p>
        </w:tc>
        <w:tc>
          <w:tcPr>
            <w:tcW w:w="667" w:type="dxa"/>
            <w:tcBorders>
              <w:tl2br w:val="nil"/>
              <w:tr2bl w:val="nil"/>
            </w:tcBorders>
            <w:shd w:val="clear" w:color="auto" w:fill="auto"/>
            <w:vAlign w:val="center"/>
          </w:tcPr>
          <w:p w14:paraId="5D08A654">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6</w:t>
            </w:r>
          </w:p>
        </w:tc>
      </w:tr>
      <w:tr w14:paraId="7221B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667" w:type="dxa"/>
            <w:vMerge w:val="continue"/>
            <w:tcBorders>
              <w:tl2br w:val="nil"/>
              <w:tr2bl w:val="nil"/>
            </w:tcBorders>
            <w:shd w:val="clear" w:color="auto" w:fill="auto"/>
            <w:vAlign w:val="center"/>
          </w:tcPr>
          <w:p w14:paraId="12AFC39F">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p>
        </w:tc>
        <w:tc>
          <w:tcPr>
            <w:tcW w:w="1092" w:type="dxa"/>
            <w:vMerge w:val="continue"/>
            <w:tcBorders>
              <w:tl2br w:val="nil"/>
              <w:tr2bl w:val="nil"/>
            </w:tcBorders>
            <w:shd w:val="clear" w:color="auto" w:fill="auto"/>
            <w:vAlign w:val="center"/>
          </w:tcPr>
          <w:p w14:paraId="1D20C435">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7886" w:type="dxa"/>
            <w:tcBorders>
              <w:tl2br w:val="nil"/>
              <w:tr2bl w:val="nil"/>
            </w:tcBorders>
            <w:shd w:val="clear" w:color="auto" w:fill="auto"/>
            <w:vAlign w:val="center"/>
          </w:tcPr>
          <w:p w14:paraId="3A0E7B28">
            <w:pPr>
              <w:pStyle w:val="102"/>
              <w:keepNext w:val="0"/>
              <w:keepLines w:val="0"/>
              <w:pageBreakBefore w:val="0"/>
              <w:kinsoku/>
              <w:wordWrap/>
              <w:overflowPunct/>
              <w:topLinePunct w:val="0"/>
              <w:autoSpaceDE/>
              <w:autoSpaceDN/>
              <w:bidi w:val="0"/>
              <w:spacing w:line="320" w:lineRule="exact"/>
              <w:jc w:val="left"/>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项目组其他人员(不包括上述各负责人)中</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具备</w:t>
            </w:r>
          </w:p>
          <w:p w14:paraId="2DFDA471">
            <w:pPr>
              <w:pStyle w:val="102"/>
              <w:keepNext w:val="0"/>
              <w:keepLines w:val="0"/>
              <w:pageBreakBefore w:val="0"/>
              <w:numPr>
                <w:ilvl w:val="0"/>
                <w:numId w:val="0"/>
              </w:numPr>
              <w:kinsoku/>
              <w:wordWrap/>
              <w:overflowPunct/>
              <w:topLinePunct w:val="0"/>
              <w:autoSpaceDE/>
              <w:autoSpaceDN/>
              <w:bidi w:val="0"/>
              <w:spacing w:line="32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测绘地理信息相关专业副高级（高级）工程师</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b w:val="0"/>
                <w:bCs/>
                <w:color w:val="000000" w:themeColor="text1"/>
                <w:sz w:val="24"/>
                <w:szCs w:val="24"/>
                <w:highlight w:val="none"/>
                <w14:textFill>
                  <w14:solidFill>
                    <w14:schemeClr w14:val="tx1"/>
                  </w14:solidFill>
                </w14:textFill>
              </w:rPr>
              <w:t>注册测绘师的人数≥8人的得4分，≥5人的得2分，≥3人的得1分，其他不得分</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14:paraId="2CC98B94">
            <w:pPr>
              <w:keepNext w:val="0"/>
              <w:keepLines w:val="0"/>
              <w:pageBreakBefore w:val="0"/>
              <w:widowControl/>
              <w:kinsoku/>
              <w:wordWrap/>
              <w:overflowPunct/>
              <w:topLinePunct w:val="0"/>
              <w:autoSpaceDE/>
              <w:autoSpaceDN/>
              <w:bidi w:val="0"/>
              <w:spacing w:line="32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注：以上拟投入的项目人员不得重复，如有重复该人员不计分。提供拟投入的项目人员的相应证书复印件/扫描件及人社部门近2个月内出具（打印/下载）的在投标单位的社保证明并加盖公章，否则不得分。</w:t>
            </w:r>
          </w:p>
        </w:tc>
        <w:tc>
          <w:tcPr>
            <w:tcW w:w="667" w:type="dxa"/>
            <w:tcBorders>
              <w:tl2br w:val="nil"/>
              <w:tr2bl w:val="nil"/>
            </w:tcBorders>
            <w:shd w:val="clear" w:color="auto" w:fill="auto"/>
            <w:vAlign w:val="center"/>
          </w:tcPr>
          <w:p w14:paraId="73E178FD">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4</w:t>
            </w:r>
          </w:p>
        </w:tc>
      </w:tr>
      <w:tr w14:paraId="29996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67" w:type="dxa"/>
            <w:tcBorders>
              <w:tl2br w:val="nil"/>
              <w:tr2bl w:val="nil"/>
            </w:tcBorders>
            <w:shd w:val="clear" w:color="auto" w:fill="auto"/>
            <w:vAlign w:val="center"/>
          </w:tcPr>
          <w:p w14:paraId="2E36AE77">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3</w:t>
            </w:r>
          </w:p>
        </w:tc>
        <w:tc>
          <w:tcPr>
            <w:tcW w:w="1092" w:type="dxa"/>
            <w:tcBorders>
              <w:tl2br w:val="nil"/>
              <w:tr2bl w:val="nil"/>
            </w:tcBorders>
            <w:shd w:val="clear" w:color="auto" w:fill="auto"/>
            <w:vAlign w:val="center"/>
          </w:tcPr>
          <w:p w14:paraId="2AB71558">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项目</w:t>
            </w:r>
          </w:p>
          <w:p w14:paraId="77F4443E">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业绩</w:t>
            </w:r>
          </w:p>
        </w:tc>
        <w:tc>
          <w:tcPr>
            <w:tcW w:w="7886" w:type="dxa"/>
            <w:tcBorders>
              <w:tl2br w:val="nil"/>
              <w:tr2bl w:val="nil"/>
            </w:tcBorders>
            <w:shd w:val="clear" w:color="auto" w:fill="auto"/>
            <w:vAlign w:val="center"/>
          </w:tcPr>
          <w:p w14:paraId="319716D7">
            <w:pPr>
              <w:keepNext w:val="0"/>
              <w:keepLines w:val="0"/>
              <w:pageBreakBefore w:val="0"/>
              <w:widowControl/>
              <w:kinsoku/>
              <w:wordWrap/>
              <w:overflowPunct/>
              <w:topLinePunct w:val="0"/>
              <w:autoSpaceDE/>
              <w:autoSpaceDN/>
              <w:bidi w:val="0"/>
              <w:spacing w:line="32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近三年</w:t>
            </w:r>
            <w:r>
              <w:rPr>
                <w:rFonts w:hint="eastAsia" w:ascii="宋体" w:hAnsi="宋体" w:eastAsia="宋体" w:cs="宋体"/>
                <w:b w:val="0"/>
                <w:bCs/>
                <w:color w:val="000000" w:themeColor="text1"/>
                <w:sz w:val="24"/>
                <w:szCs w:val="24"/>
                <w:highlight w:val="none"/>
                <w14:textFill>
                  <w14:solidFill>
                    <w14:schemeClr w14:val="tx1"/>
                  </w14:solidFill>
                </w14:textFill>
              </w:rPr>
              <w:t>以来投标人承担过与同类</w:t>
            </w:r>
            <w:r>
              <w:rPr>
                <w:rFonts w:hint="eastAsia" w:ascii="宋体" w:hAnsi="宋体" w:eastAsia="宋体" w:cs="宋体"/>
                <w:b w:val="0"/>
                <w:bCs/>
                <w:color w:val="000000" w:themeColor="text1"/>
                <w:kern w:val="0"/>
                <w:sz w:val="24"/>
                <w:szCs w:val="24"/>
                <w:highlight w:val="none"/>
                <w14:textFill>
                  <w14:solidFill>
                    <w14:schemeClr w14:val="tx1"/>
                  </w14:solidFill>
                </w14:textFill>
              </w:rPr>
              <w:t>的测绘项目</w:t>
            </w:r>
            <w:r>
              <w:rPr>
                <w:rFonts w:hint="eastAsia" w:ascii="宋体" w:hAnsi="宋体" w:eastAsia="宋体" w:cs="宋体"/>
                <w:b w:val="0"/>
                <w:bCs/>
                <w:color w:val="000000" w:themeColor="text1"/>
                <w:sz w:val="24"/>
                <w:szCs w:val="24"/>
                <w:highlight w:val="none"/>
                <w14:textFill>
                  <w14:solidFill>
                    <w14:schemeClr w14:val="tx1"/>
                  </w14:solidFill>
                </w14:textFill>
              </w:rPr>
              <w:t>，每个项目得0.2分，最高得1分。</w:t>
            </w:r>
          </w:p>
          <w:p w14:paraId="1EA1962D">
            <w:pPr>
              <w:keepNext w:val="0"/>
              <w:keepLines w:val="0"/>
              <w:pageBreakBefore w:val="0"/>
              <w:widowControl/>
              <w:kinsoku/>
              <w:wordWrap/>
              <w:overflowPunct/>
              <w:topLinePunct w:val="0"/>
              <w:autoSpaceDE/>
              <w:autoSpaceDN/>
              <w:bidi w:val="0"/>
              <w:spacing w:line="32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注：以合同签订时间为准，须提供合同扫描件或复印件并加盖公章、不提供则不得分。</w:t>
            </w:r>
          </w:p>
        </w:tc>
        <w:tc>
          <w:tcPr>
            <w:tcW w:w="667" w:type="dxa"/>
            <w:tcBorders>
              <w:tl2br w:val="nil"/>
              <w:tr2bl w:val="nil"/>
            </w:tcBorders>
            <w:shd w:val="clear" w:color="auto" w:fill="auto"/>
            <w:vAlign w:val="center"/>
          </w:tcPr>
          <w:p w14:paraId="269379B7">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1</w:t>
            </w:r>
          </w:p>
        </w:tc>
      </w:tr>
      <w:tr w14:paraId="3B366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tcBorders>
              <w:tl2br w:val="nil"/>
              <w:tr2bl w:val="nil"/>
            </w:tcBorders>
            <w:shd w:val="clear" w:color="auto" w:fill="auto"/>
            <w:vAlign w:val="center"/>
          </w:tcPr>
          <w:p w14:paraId="0D18540D">
            <w:pPr>
              <w:keepNext w:val="0"/>
              <w:keepLines w:val="0"/>
              <w:pageBreakBefore w:val="0"/>
              <w:widowControl/>
              <w:kinsoku/>
              <w:wordWrap/>
              <w:overflowPunct/>
              <w:topLinePunct w:val="0"/>
              <w:autoSpaceDE/>
              <w:autoSpaceDN/>
              <w:bidi w:val="0"/>
              <w:spacing w:line="320" w:lineRule="exact"/>
              <w:jc w:val="center"/>
              <w:textAlignment w:val="auto"/>
              <w:rPr>
                <w:rFonts w:hint="default"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4</w:t>
            </w:r>
          </w:p>
        </w:tc>
        <w:tc>
          <w:tcPr>
            <w:tcW w:w="1092" w:type="dxa"/>
            <w:tcBorders>
              <w:tl2br w:val="nil"/>
              <w:tr2bl w:val="nil"/>
            </w:tcBorders>
            <w:shd w:val="clear" w:color="auto" w:fill="auto"/>
            <w:vAlign w:val="center"/>
          </w:tcPr>
          <w:p w14:paraId="6BC831CB">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综合</w:t>
            </w:r>
          </w:p>
          <w:p w14:paraId="713C2D0F">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实力</w:t>
            </w:r>
          </w:p>
        </w:tc>
        <w:tc>
          <w:tcPr>
            <w:tcW w:w="7886" w:type="dxa"/>
            <w:tcBorders>
              <w:tl2br w:val="nil"/>
              <w:tr2bl w:val="nil"/>
            </w:tcBorders>
            <w:shd w:val="clear" w:color="auto" w:fill="auto"/>
            <w:vAlign w:val="center"/>
          </w:tcPr>
          <w:p w14:paraId="49B25A2C">
            <w:pPr>
              <w:keepNext w:val="0"/>
              <w:keepLines w:val="0"/>
              <w:pageBreakBefore w:val="0"/>
              <w:widowControl/>
              <w:kinsoku/>
              <w:wordWrap/>
              <w:overflowPunct/>
              <w:topLinePunct w:val="0"/>
              <w:autoSpaceDE/>
              <w:autoSpaceDN/>
              <w:bidi w:val="0"/>
              <w:spacing w:line="320" w:lineRule="exact"/>
              <w:jc w:val="left"/>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2019年1月1日以来投标人承担的测绘项目获得省级及以上人民政府颁发的科学技术进步奖的：国家级的每个得</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1.5</w:t>
            </w:r>
            <w:r>
              <w:rPr>
                <w:rFonts w:hint="eastAsia" w:ascii="宋体" w:hAnsi="宋体" w:eastAsia="宋体" w:cs="宋体"/>
                <w:b w:val="0"/>
                <w:bCs/>
                <w:color w:val="000000" w:themeColor="text1"/>
                <w:kern w:val="0"/>
                <w:sz w:val="24"/>
                <w:szCs w:val="24"/>
                <w:highlight w:val="none"/>
                <w14:textFill>
                  <w14:solidFill>
                    <w14:schemeClr w14:val="tx1"/>
                  </w14:solidFill>
                </w14:textFill>
              </w:rPr>
              <w:t>分，省级的每个得1分。</w:t>
            </w:r>
          </w:p>
          <w:p w14:paraId="0A0046F0">
            <w:pPr>
              <w:keepNext w:val="0"/>
              <w:keepLines w:val="0"/>
              <w:pageBreakBefore w:val="0"/>
              <w:widowControl/>
              <w:kinsoku/>
              <w:wordWrap/>
              <w:overflowPunct/>
              <w:topLinePunct w:val="0"/>
              <w:autoSpaceDE/>
              <w:autoSpaceDN/>
              <w:bidi w:val="0"/>
              <w:spacing w:line="320" w:lineRule="exact"/>
              <w:jc w:val="left"/>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注：须提供相关证书、证明材料扫描件或复印件并加盖公章，不提供不得分。</w:t>
            </w:r>
          </w:p>
        </w:tc>
        <w:tc>
          <w:tcPr>
            <w:tcW w:w="667" w:type="dxa"/>
            <w:tcBorders>
              <w:tl2br w:val="nil"/>
              <w:tr2bl w:val="nil"/>
            </w:tcBorders>
            <w:shd w:val="clear" w:color="auto" w:fill="auto"/>
            <w:vAlign w:val="center"/>
          </w:tcPr>
          <w:p w14:paraId="7592BC1A">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3</w:t>
            </w:r>
          </w:p>
        </w:tc>
      </w:tr>
      <w:tr w14:paraId="1F8D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tcBorders>
              <w:tl2br w:val="nil"/>
              <w:tr2bl w:val="nil"/>
            </w:tcBorders>
            <w:shd w:val="clear" w:color="auto" w:fill="auto"/>
            <w:vAlign w:val="center"/>
          </w:tcPr>
          <w:p w14:paraId="7E09672D">
            <w:pPr>
              <w:keepNext w:val="0"/>
              <w:keepLines w:val="0"/>
              <w:pageBreakBefore w:val="0"/>
              <w:widowControl/>
              <w:kinsoku/>
              <w:wordWrap/>
              <w:overflowPunct/>
              <w:topLinePunct w:val="0"/>
              <w:autoSpaceDE/>
              <w:autoSpaceDN/>
              <w:bidi w:val="0"/>
              <w:spacing w:line="320" w:lineRule="exact"/>
              <w:jc w:val="center"/>
              <w:textAlignment w:val="auto"/>
              <w:rPr>
                <w:rFonts w:hint="default"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5</w:t>
            </w:r>
          </w:p>
        </w:tc>
        <w:tc>
          <w:tcPr>
            <w:tcW w:w="1092" w:type="dxa"/>
            <w:tcBorders>
              <w:tl2br w:val="nil"/>
              <w:tr2bl w:val="nil"/>
            </w:tcBorders>
            <w:shd w:val="clear" w:color="auto" w:fill="auto"/>
            <w:vAlign w:val="center"/>
          </w:tcPr>
          <w:p w14:paraId="501A26CE">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项目</w:t>
            </w:r>
          </w:p>
          <w:p w14:paraId="41048A3E">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理解</w:t>
            </w:r>
          </w:p>
        </w:tc>
        <w:tc>
          <w:tcPr>
            <w:tcW w:w="7886" w:type="dxa"/>
            <w:tcBorders>
              <w:tl2br w:val="nil"/>
              <w:tr2bl w:val="nil"/>
            </w:tcBorders>
            <w:shd w:val="clear" w:color="auto" w:fill="auto"/>
            <w:vAlign w:val="center"/>
          </w:tcPr>
          <w:p w14:paraId="0635FC9B">
            <w:pPr>
              <w:pStyle w:val="102"/>
              <w:keepNext w:val="0"/>
              <w:keepLines w:val="0"/>
              <w:pageBreakBefore w:val="0"/>
              <w:kinsoku/>
              <w:wordWrap/>
              <w:overflowPunct/>
              <w:topLinePunct w:val="0"/>
              <w:autoSpaceDE/>
              <w:autoSpaceDN/>
              <w:bidi w:val="0"/>
              <w:spacing w:line="32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投标人阐述对本项目的背景、现状、作业环境和作业区域特点及难易程度的了解分析。</w:t>
            </w:r>
          </w:p>
          <w:p w14:paraId="64FCFEDF">
            <w:pPr>
              <w:pStyle w:val="102"/>
              <w:keepNext w:val="0"/>
              <w:keepLines w:val="0"/>
              <w:pageBreakBefore w:val="0"/>
              <w:kinsoku/>
              <w:wordWrap/>
              <w:overflowPunct/>
              <w:topLinePunct w:val="0"/>
              <w:autoSpaceDE/>
              <w:autoSpaceDN/>
              <w:bidi w:val="0"/>
              <w:spacing w:line="32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根据投标人对本次确权登记工作的背景、现状、特点及难易程度的了解分析科学合理，全面深入，客观到位，见解深刻。</w:t>
            </w:r>
          </w:p>
        </w:tc>
        <w:tc>
          <w:tcPr>
            <w:tcW w:w="667" w:type="dxa"/>
            <w:tcBorders>
              <w:tl2br w:val="nil"/>
              <w:tr2bl w:val="nil"/>
            </w:tcBorders>
            <w:shd w:val="clear" w:color="auto" w:fill="auto"/>
            <w:vAlign w:val="center"/>
          </w:tcPr>
          <w:p w14:paraId="4103B0F0">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0-</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6</w:t>
            </w:r>
          </w:p>
        </w:tc>
      </w:tr>
      <w:tr w14:paraId="3C82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tcBorders>
              <w:tl2br w:val="nil"/>
              <w:tr2bl w:val="nil"/>
            </w:tcBorders>
            <w:shd w:val="clear" w:color="auto" w:fill="auto"/>
            <w:vAlign w:val="center"/>
          </w:tcPr>
          <w:p w14:paraId="0426637E">
            <w:pPr>
              <w:keepNext w:val="0"/>
              <w:keepLines w:val="0"/>
              <w:pageBreakBefore w:val="0"/>
              <w:widowControl/>
              <w:kinsoku/>
              <w:wordWrap/>
              <w:overflowPunct/>
              <w:topLinePunct w:val="0"/>
              <w:autoSpaceDE/>
              <w:autoSpaceDN/>
              <w:bidi w:val="0"/>
              <w:spacing w:line="320" w:lineRule="exact"/>
              <w:jc w:val="center"/>
              <w:textAlignment w:val="auto"/>
              <w:rPr>
                <w:rFonts w:hint="default"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6</w:t>
            </w:r>
          </w:p>
        </w:tc>
        <w:tc>
          <w:tcPr>
            <w:tcW w:w="1092" w:type="dxa"/>
            <w:tcBorders>
              <w:tl2br w:val="nil"/>
              <w:tr2bl w:val="nil"/>
            </w:tcBorders>
            <w:shd w:val="clear" w:color="auto" w:fill="auto"/>
            <w:vAlign w:val="center"/>
          </w:tcPr>
          <w:p w14:paraId="02F19D65">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工作</w:t>
            </w:r>
          </w:p>
          <w:p w14:paraId="6F3B8260">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思路和</w:t>
            </w:r>
          </w:p>
          <w:p w14:paraId="684BA473">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方法</w:t>
            </w:r>
          </w:p>
        </w:tc>
        <w:tc>
          <w:tcPr>
            <w:tcW w:w="7886" w:type="dxa"/>
            <w:tcBorders>
              <w:tl2br w:val="nil"/>
              <w:tr2bl w:val="nil"/>
            </w:tcBorders>
            <w:shd w:val="clear" w:color="auto" w:fill="auto"/>
            <w:vAlign w:val="center"/>
          </w:tcPr>
          <w:p w14:paraId="7D7F550B">
            <w:pPr>
              <w:pStyle w:val="102"/>
              <w:keepNext w:val="0"/>
              <w:keepLines w:val="0"/>
              <w:pageBreakBefore w:val="0"/>
              <w:kinsoku/>
              <w:wordWrap/>
              <w:overflowPunct/>
              <w:topLinePunct w:val="0"/>
              <w:autoSpaceDE/>
              <w:autoSpaceDN/>
              <w:bidi w:val="0"/>
              <w:spacing w:line="32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投标人应设计适合于</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玉环</w:t>
            </w:r>
            <w:r>
              <w:rPr>
                <w:rFonts w:hint="eastAsia" w:ascii="宋体" w:hAnsi="宋体" w:eastAsia="宋体" w:cs="宋体"/>
                <w:b w:val="0"/>
                <w:bCs/>
                <w:color w:val="000000" w:themeColor="text1"/>
                <w:sz w:val="24"/>
                <w:szCs w:val="24"/>
                <w:highlight w:val="none"/>
                <w14:textFill>
                  <w14:solidFill>
                    <w14:schemeClr w14:val="tx1"/>
                  </w14:solidFill>
                </w14:textFill>
              </w:rPr>
              <w:t>现阶段自然资源统一确权登记工作的思路和方法。</w:t>
            </w:r>
          </w:p>
          <w:p w14:paraId="3BB5DB82">
            <w:pPr>
              <w:pStyle w:val="102"/>
              <w:keepNext w:val="0"/>
              <w:keepLines w:val="0"/>
              <w:pageBreakBefore w:val="0"/>
              <w:kinsoku/>
              <w:wordWrap/>
              <w:overflowPunct/>
              <w:topLinePunct w:val="0"/>
              <w:autoSpaceDE/>
              <w:autoSpaceDN/>
              <w:bidi w:val="0"/>
              <w:spacing w:line="32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根据投标人对本项目工作思路、方法是否科学、合理进行综合评价打分。工作思路清晰明确，方法科学合理、具体全面，适合</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玉环</w:t>
            </w:r>
            <w:r>
              <w:rPr>
                <w:rFonts w:hint="eastAsia" w:ascii="宋体" w:hAnsi="宋体" w:eastAsia="宋体" w:cs="宋体"/>
                <w:b w:val="0"/>
                <w:bCs/>
                <w:color w:val="000000" w:themeColor="text1"/>
                <w:sz w:val="24"/>
                <w:szCs w:val="24"/>
                <w:highlight w:val="none"/>
                <w14:textFill>
                  <w14:solidFill>
                    <w14:schemeClr w14:val="tx1"/>
                  </w14:solidFill>
                </w14:textFill>
              </w:rPr>
              <w:t>现阶段自然资源确权登记工作要求。</w:t>
            </w:r>
          </w:p>
        </w:tc>
        <w:tc>
          <w:tcPr>
            <w:tcW w:w="667" w:type="dxa"/>
            <w:tcBorders>
              <w:tl2br w:val="nil"/>
              <w:tr2bl w:val="nil"/>
            </w:tcBorders>
            <w:shd w:val="clear" w:color="auto" w:fill="auto"/>
            <w:vAlign w:val="center"/>
          </w:tcPr>
          <w:p w14:paraId="62840079">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0-</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7</w:t>
            </w:r>
          </w:p>
        </w:tc>
      </w:tr>
      <w:tr w14:paraId="7E40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tcBorders>
              <w:tl2br w:val="nil"/>
              <w:tr2bl w:val="nil"/>
            </w:tcBorders>
            <w:shd w:val="clear" w:color="auto" w:fill="auto"/>
            <w:vAlign w:val="center"/>
          </w:tcPr>
          <w:p w14:paraId="70F96FAB">
            <w:pPr>
              <w:keepNext w:val="0"/>
              <w:keepLines w:val="0"/>
              <w:pageBreakBefore w:val="0"/>
              <w:widowControl/>
              <w:kinsoku/>
              <w:wordWrap/>
              <w:overflowPunct/>
              <w:topLinePunct w:val="0"/>
              <w:autoSpaceDE/>
              <w:autoSpaceDN/>
              <w:bidi w:val="0"/>
              <w:spacing w:line="320" w:lineRule="exact"/>
              <w:jc w:val="center"/>
              <w:textAlignment w:val="auto"/>
              <w:rPr>
                <w:rFonts w:hint="default"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7</w:t>
            </w:r>
          </w:p>
        </w:tc>
        <w:tc>
          <w:tcPr>
            <w:tcW w:w="1092" w:type="dxa"/>
            <w:tcBorders>
              <w:tl2br w:val="nil"/>
              <w:tr2bl w:val="nil"/>
            </w:tcBorders>
            <w:shd w:val="clear" w:color="auto" w:fill="auto"/>
            <w:vAlign w:val="center"/>
          </w:tcPr>
          <w:p w14:paraId="30B9A770">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技术</w:t>
            </w:r>
          </w:p>
          <w:p w14:paraId="036F194D">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路线</w:t>
            </w:r>
          </w:p>
        </w:tc>
        <w:tc>
          <w:tcPr>
            <w:tcW w:w="7886" w:type="dxa"/>
            <w:tcBorders>
              <w:tl2br w:val="nil"/>
              <w:tr2bl w:val="nil"/>
            </w:tcBorders>
            <w:shd w:val="clear" w:color="auto" w:fill="auto"/>
            <w:vAlign w:val="center"/>
          </w:tcPr>
          <w:p w14:paraId="7632DF47">
            <w:pPr>
              <w:pStyle w:val="102"/>
              <w:keepNext w:val="0"/>
              <w:keepLines w:val="0"/>
              <w:pageBreakBefore w:val="0"/>
              <w:kinsoku/>
              <w:wordWrap/>
              <w:overflowPunct/>
              <w:topLinePunct w:val="0"/>
              <w:autoSpaceDE/>
              <w:autoSpaceDN/>
              <w:bidi w:val="0"/>
              <w:spacing w:line="32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投标人应建立适合</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玉环</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市</w:t>
            </w:r>
            <w:r>
              <w:rPr>
                <w:rFonts w:hint="eastAsia" w:ascii="宋体" w:hAnsi="宋体" w:eastAsia="宋体" w:cs="宋体"/>
                <w:b w:val="0"/>
                <w:bCs/>
                <w:color w:val="000000" w:themeColor="text1"/>
                <w:sz w:val="24"/>
                <w:szCs w:val="24"/>
                <w:highlight w:val="none"/>
                <w14:textFill>
                  <w14:solidFill>
                    <w14:schemeClr w14:val="tx1"/>
                  </w14:solidFill>
                </w14:textFill>
              </w:rPr>
              <w:t>自然资源统一确权工作的技术路线。</w:t>
            </w:r>
          </w:p>
          <w:p w14:paraId="72B15875">
            <w:pPr>
              <w:pStyle w:val="102"/>
              <w:keepNext w:val="0"/>
              <w:keepLines w:val="0"/>
              <w:pageBreakBefore w:val="0"/>
              <w:kinsoku/>
              <w:wordWrap/>
              <w:overflowPunct/>
              <w:topLinePunct w:val="0"/>
              <w:autoSpaceDE/>
              <w:autoSpaceDN/>
              <w:bidi w:val="0"/>
              <w:spacing w:line="32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根据供应商对本项目搭建的技术路线是否清晰、合理、科学进行评议。技术路线科学合理、清晰全面，适合</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浙江</w:t>
            </w:r>
            <w:r>
              <w:rPr>
                <w:rFonts w:hint="eastAsia" w:ascii="宋体" w:hAnsi="宋体" w:eastAsia="宋体" w:cs="宋体"/>
                <w:b w:val="0"/>
                <w:bCs/>
                <w:color w:val="000000" w:themeColor="text1"/>
                <w:sz w:val="24"/>
                <w:szCs w:val="24"/>
                <w:highlight w:val="none"/>
                <w14:textFill>
                  <w14:solidFill>
                    <w14:schemeClr w14:val="tx1"/>
                  </w14:solidFill>
                </w14:textFill>
              </w:rPr>
              <w:t>自然资源统一确权工作。</w:t>
            </w:r>
          </w:p>
        </w:tc>
        <w:tc>
          <w:tcPr>
            <w:tcW w:w="667" w:type="dxa"/>
            <w:tcBorders>
              <w:tl2br w:val="nil"/>
              <w:tr2bl w:val="nil"/>
            </w:tcBorders>
            <w:shd w:val="clear" w:color="auto" w:fill="auto"/>
            <w:vAlign w:val="center"/>
          </w:tcPr>
          <w:p w14:paraId="13B8374F">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0-</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7</w:t>
            </w:r>
          </w:p>
        </w:tc>
      </w:tr>
      <w:tr w14:paraId="0DF3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tcBorders>
              <w:tl2br w:val="nil"/>
              <w:tr2bl w:val="nil"/>
            </w:tcBorders>
            <w:shd w:val="clear" w:color="auto" w:fill="auto"/>
            <w:vAlign w:val="center"/>
          </w:tcPr>
          <w:p w14:paraId="646F4571">
            <w:pPr>
              <w:keepNext w:val="0"/>
              <w:keepLines w:val="0"/>
              <w:pageBreakBefore w:val="0"/>
              <w:widowControl/>
              <w:kinsoku/>
              <w:wordWrap/>
              <w:overflowPunct/>
              <w:topLinePunct w:val="0"/>
              <w:autoSpaceDE/>
              <w:autoSpaceDN/>
              <w:bidi w:val="0"/>
              <w:spacing w:line="320" w:lineRule="exact"/>
              <w:jc w:val="center"/>
              <w:textAlignment w:val="auto"/>
              <w:rPr>
                <w:rFonts w:hint="default"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8</w:t>
            </w:r>
          </w:p>
        </w:tc>
        <w:tc>
          <w:tcPr>
            <w:tcW w:w="1092" w:type="dxa"/>
            <w:tcBorders>
              <w:tl2br w:val="nil"/>
              <w:tr2bl w:val="nil"/>
            </w:tcBorders>
            <w:shd w:val="clear" w:color="auto" w:fill="auto"/>
            <w:vAlign w:val="center"/>
          </w:tcPr>
          <w:p w14:paraId="1FE9F609">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技术实施方案</w:t>
            </w:r>
          </w:p>
        </w:tc>
        <w:tc>
          <w:tcPr>
            <w:tcW w:w="7886" w:type="dxa"/>
            <w:tcBorders>
              <w:tl2br w:val="nil"/>
              <w:tr2bl w:val="nil"/>
            </w:tcBorders>
            <w:shd w:val="clear" w:color="auto" w:fill="auto"/>
            <w:vAlign w:val="center"/>
          </w:tcPr>
          <w:p w14:paraId="798A7F8A">
            <w:pPr>
              <w:pStyle w:val="102"/>
              <w:keepNext w:val="0"/>
              <w:keepLines w:val="0"/>
              <w:pageBreakBefore w:val="0"/>
              <w:kinsoku/>
              <w:wordWrap/>
              <w:overflowPunct/>
              <w:topLinePunct w:val="0"/>
              <w:autoSpaceDE/>
              <w:autoSpaceDN/>
              <w:bidi w:val="0"/>
              <w:spacing w:line="320" w:lineRule="exact"/>
              <w:ind w:firstLine="396" w:firstLineChars="165"/>
              <w:jc w:val="left"/>
              <w:textAlignment w:val="auto"/>
              <w:rPr>
                <w:rFonts w:hint="eastAsia" w:ascii="宋体" w:hAnsi="宋体" w:eastAsia="宋体" w:cs="宋体"/>
                <w:b w:val="0"/>
                <w:bCs/>
                <w:color w:val="000000" w:themeColor="text1"/>
                <w:kern w:val="2"/>
                <w:sz w:val="24"/>
                <w:szCs w:val="24"/>
                <w:highlight w:val="none"/>
                <w14:textFill>
                  <w14:solidFill>
                    <w14:schemeClr w14:val="tx1"/>
                  </w14:solidFill>
                </w14:textFill>
              </w:rPr>
            </w:pPr>
            <w:r>
              <w:rPr>
                <w:rFonts w:hint="eastAsia" w:ascii="宋体" w:hAnsi="宋体" w:eastAsia="宋体" w:cs="宋体"/>
                <w:b w:val="0"/>
                <w:bCs/>
                <w:color w:val="000000" w:themeColor="text1"/>
                <w:kern w:val="2"/>
                <w:sz w:val="24"/>
                <w:szCs w:val="24"/>
                <w:highlight w:val="none"/>
                <w14:textFill>
                  <w14:solidFill>
                    <w14:schemeClr w14:val="tx1"/>
                  </w14:solidFill>
                </w14:textFill>
              </w:rPr>
              <w:t>提出满足项目采购需求的自然资源统一确权登记各项工作内容及工作流程的技术实施方案，根据方案是否科学、合理、完整、具体进行综合评价打分。</w:t>
            </w:r>
          </w:p>
          <w:p w14:paraId="36F0520C">
            <w:pPr>
              <w:pStyle w:val="102"/>
              <w:keepNext w:val="0"/>
              <w:keepLines w:val="0"/>
              <w:pageBreakBefore w:val="0"/>
              <w:kinsoku/>
              <w:wordWrap/>
              <w:overflowPunct/>
              <w:topLinePunct w:val="0"/>
              <w:autoSpaceDE/>
              <w:autoSpaceDN/>
              <w:bidi w:val="0"/>
              <w:spacing w:line="320" w:lineRule="exact"/>
              <w:ind w:firstLine="396" w:firstLineChars="165"/>
              <w:jc w:val="left"/>
              <w:textAlignment w:val="auto"/>
              <w:rPr>
                <w:rFonts w:hint="eastAsia" w:ascii="宋体" w:hAnsi="宋体" w:eastAsia="宋体" w:cs="宋体"/>
                <w:b w:val="0"/>
                <w:bCs/>
                <w:color w:val="000000" w:themeColor="text1"/>
                <w:kern w:val="2"/>
                <w:sz w:val="24"/>
                <w:szCs w:val="24"/>
                <w:highlight w:val="none"/>
                <w14:textFill>
                  <w14:solidFill>
                    <w14:schemeClr w14:val="tx1"/>
                  </w14:solidFill>
                </w14:textFill>
              </w:rPr>
            </w:pPr>
            <w:r>
              <w:rPr>
                <w:rFonts w:hint="eastAsia" w:ascii="宋体" w:hAnsi="宋体" w:eastAsia="宋体" w:cs="宋体"/>
                <w:b w:val="0"/>
                <w:bCs/>
                <w:color w:val="000000" w:themeColor="text1"/>
                <w:kern w:val="2"/>
                <w:sz w:val="24"/>
                <w:szCs w:val="24"/>
                <w:highlight w:val="none"/>
                <w14:textFill>
                  <w14:solidFill>
                    <w14:schemeClr w14:val="tx1"/>
                  </w14:solidFill>
                </w14:textFill>
              </w:rPr>
              <w:t>方案内容科学合理、完整具体，严谨规范，针对性强，满足采购人要求，有利于项目实施。</w:t>
            </w:r>
          </w:p>
        </w:tc>
        <w:tc>
          <w:tcPr>
            <w:tcW w:w="667" w:type="dxa"/>
            <w:tcBorders>
              <w:tl2br w:val="nil"/>
              <w:tr2bl w:val="nil"/>
            </w:tcBorders>
            <w:shd w:val="clear" w:color="auto" w:fill="auto"/>
            <w:vAlign w:val="center"/>
          </w:tcPr>
          <w:p w14:paraId="042E5E17">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0-</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7</w:t>
            </w:r>
          </w:p>
        </w:tc>
      </w:tr>
      <w:tr w14:paraId="54CA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667" w:type="dxa"/>
            <w:vMerge w:val="restart"/>
            <w:tcBorders>
              <w:tl2br w:val="nil"/>
              <w:tr2bl w:val="nil"/>
            </w:tcBorders>
            <w:shd w:val="clear" w:color="auto" w:fill="auto"/>
            <w:vAlign w:val="center"/>
          </w:tcPr>
          <w:p w14:paraId="72A91054">
            <w:pPr>
              <w:keepNext w:val="0"/>
              <w:keepLines w:val="0"/>
              <w:pageBreakBefore w:val="0"/>
              <w:widowControl/>
              <w:kinsoku/>
              <w:wordWrap/>
              <w:overflowPunct/>
              <w:topLinePunct w:val="0"/>
              <w:autoSpaceDE/>
              <w:autoSpaceDN/>
              <w:bidi w:val="0"/>
              <w:spacing w:line="320" w:lineRule="exact"/>
              <w:jc w:val="center"/>
              <w:textAlignment w:val="auto"/>
              <w:rPr>
                <w:rFonts w:hint="default"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9</w:t>
            </w:r>
          </w:p>
        </w:tc>
        <w:tc>
          <w:tcPr>
            <w:tcW w:w="1092" w:type="dxa"/>
            <w:vMerge w:val="restart"/>
            <w:tcBorders>
              <w:tl2br w:val="nil"/>
              <w:tr2bl w:val="nil"/>
            </w:tcBorders>
            <w:shd w:val="clear" w:color="auto" w:fill="auto"/>
            <w:vAlign w:val="center"/>
          </w:tcPr>
          <w:p w14:paraId="15F6D091">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关键问题的解决措施</w:t>
            </w:r>
          </w:p>
        </w:tc>
        <w:tc>
          <w:tcPr>
            <w:tcW w:w="7886" w:type="dxa"/>
            <w:tcBorders>
              <w:tl2br w:val="nil"/>
              <w:tr2bl w:val="nil"/>
            </w:tcBorders>
            <w:shd w:val="clear" w:color="auto" w:fill="auto"/>
            <w:vAlign w:val="center"/>
          </w:tcPr>
          <w:p w14:paraId="1716C3C0">
            <w:pPr>
              <w:pStyle w:val="102"/>
              <w:keepNext w:val="0"/>
              <w:keepLines w:val="0"/>
              <w:pageBreakBefore w:val="0"/>
              <w:kinsoku/>
              <w:wordWrap/>
              <w:overflowPunct/>
              <w:topLinePunct w:val="0"/>
              <w:autoSpaceDE/>
              <w:autoSpaceDN/>
              <w:bidi w:val="0"/>
              <w:spacing w:line="320" w:lineRule="exact"/>
              <w:jc w:val="left"/>
              <w:textAlignment w:val="auto"/>
              <w:rPr>
                <w:rFonts w:hint="eastAsia" w:ascii="宋体" w:hAnsi="宋体" w:eastAsia="宋体" w:cs="宋体"/>
                <w:b w:val="0"/>
                <w:bCs/>
                <w:color w:val="000000" w:themeColor="text1"/>
                <w:kern w:val="2"/>
                <w:sz w:val="24"/>
                <w:szCs w:val="24"/>
                <w:highlight w:val="none"/>
                <w14:textFill>
                  <w14:solidFill>
                    <w14:schemeClr w14:val="tx1"/>
                  </w14:solidFill>
                </w14:textFill>
              </w:rPr>
            </w:pPr>
            <w:r>
              <w:rPr>
                <w:rFonts w:hint="eastAsia" w:ascii="宋体" w:hAnsi="宋体" w:eastAsia="宋体" w:cs="宋体"/>
                <w:b w:val="0"/>
                <w:bCs/>
                <w:color w:val="000000" w:themeColor="text1"/>
                <w:kern w:val="2"/>
                <w:sz w:val="24"/>
                <w:szCs w:val="24"/>
                <w:highlight w:val="none"/>
                <w14:textFill>
                  <w14:solidFill>
                    <w14:schemeClr w14:val="tx1"/>
                  </w14:solidFill>
                </w14:textFill>
              </w:rPr>
              <w:t>1.围绕资料收集阶段难点提出针对性解决措施，（0-3分）。</w:t>
            </w:r>
          </w:p>
          <w:p w14:paraId="3B29A37D">
            <w:pPr>
              <w:pStyle w:val="102"/>
              <w:keepNext w:val="0"/>
              <w:keepLines w:val="0"/>
              <w:pageBreakBefore w:val="0"/>
              <w:kinsoku/>
              <w:wordWrap/>
              <w:overflowPunct/>
              <w:topLinePunct w:val="0"/>
              <w:autoSpaceDE/>
              <w:autoSpaceDN/>
              <w:bidi w:val="0"/>
              <w:spacing w:line="320" w:lineRule="exact"/>
              <w:jc w:val="left"/>
              <w:textAlignment w:val="auto"/>
              <w:rPr>
                <w:rFonts w:hint="eastAsia" w:ascii="宋体" w:hAnsi="宋体" w:eastAsia="宋体" w:cs="宋体"/>
                <w:b w:val="0"/>
                <w:bCs/>
                <w:color w:val="000000" w:themeColor="text1"/>
                <w:kern w:val="2"/>
                <w:sz w:val="24"/>
                <w:szCs w:val="24"/>
                <w:highlight w:val="none"/>
                <w14:textFill>
                  <w14:solidFill>
                    <w14:schemeClr w14:val="tx1"/>
                  </w14:solidFill>
                </w14:textFill>
              </w:rPr>
            </w:pPr>
            <w:r>
              <w:rPr>
                <w:rFonts w:hint="eastAsia" w:ascii="宋体" w:hAnsi="宋体" w:eastAsia="宋体" w:cs="宋体"/>
                <w:b w:val="0"/>
                <w:bCs/>
                <w:color w:val="000000" w:themeColor="text1"/>
                <w:kern w:val="2"/>
                <w:sz w:val="24"/>
                <w:szCs w:val="24"/>
                <w:highlight w:val="none"/>
                <w14:textFill>
                  <w14:solidFill>
                    <w14:schemeClr w14:val="tx1"/>
                  </w14:solidFill>
                </w14:textFill>
              </w:rPr>
              <w:t>2.围绕本项目涉及到的各类型登记单元的划界问题，提出有针对性的解决措施，（0-3分）。</w:t>
            </w:r>
          </w:p>
          <w:p w14:paraId="53C35664">
            <w:pPr>
              <w:pStyle w:val="102"/>
              <w:keepNext w:val="0"/>
              <w:keepLines w:val="0"/>
              <w:pageBreakBefore w:val="0"/>
              <w:kinsoku/>
              <w:wordWrap/>
              <w:overflowPunct/>
              <w:topLinePunct w:val="0"/>
              <w:autoSpaceDE/>
              <w:autoSpaceDN/>
              <w:bidi w:val="0"/>
              <w:spacing w:line="320" w:lineRule="exact"/>
              <w:jc w:val="left"/>
              <w:textAlignment w:val="auto"/>
              <w:rPr>
                <w:rFonts w:hint="eastAsia" w:ascii="宋体" w:hAnsi="宋体" w:eastAsia="宋体" w:cs="宋体"/>
                <w:b w:val="0"/>
                <w:bCs/>
                <w:color w:val="000000" w:themeColor="text1"/>
                <w:kern w:val="2"/>
                <w:sz w:val="24"/>
                <w:szCs w:val="24"/>
                <w:highlight w:val="none"/>
                <w14:textFill>
                  <w14:solidFill>
                    <w14:schemeClr w14:val="tx1"/>
                  </w14:solidFill>
                </w14:textFill>
              </w:rPr>
            </w:pPr>
            <w:r>
              <w:rPr>
                <w:rFonts w:hint="eastAsia" w:ascii="宋体" w:hAnsi="宋体" w:eastAsia="宋体" w:cs="宋体"/>
                <w:b w:val="0"/>
                <w:bCs/>
                <w:color w:val="000000" w:themeColor="text1"/>
                <w:kern w:val="2"/>
                <w:sz w:val="24"/>
                <w:szCs w:val="24"/>
                <w:highlight w:val="none"/>
                <w14:textFill>
                  <w14:solidFill>
                    <w14:schemeClr w14:val="tx1"/>
                  </w14:solidFill>
                </w14:textFill>
              </w:rPr>
              <w:t>对上述每个关键问题提出的解决措施系统科学、合理可行，切合实际，针对性强，有利于项目实施。</w:t>
            </w:r>
          </w:p>
        </w:tc>
        <w:tc>
          <w:tcPr>
            <w:tcW w:w="667" w:type="dxa"/>
            <w:tcBorders>
              <w:tl2br w:val="nil"/>
              <w:tr2bl w:val="nil"/>
            </w:tcBorders>
            <w:shd w:val="clear" w:color="auto" w:fill="auto"/>
            <w:vAlign w:val="center"/>
          </w:tcPr>
          <w:p w14:paraId="021F8FB6">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0-6</w:t>
            </w:r>
          </w:p>
        </w:tc>
      </w:tr>
      <w:tr w14:paraId="7CAB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667" w:type="dxa"/>
            <w:vMerge w:val="continue"/>
            <w:tcBorders>
              <w:tl2br w:val="nil"/>
              <w:tr2bl w:val="nil"/>
            </w:tcBorders>
            <w:shd w:val="clear" w:color="auto" w:fill="auto"/>
            <w:vAlign w:val="center"/>
          </w:tcPr>
          <w:p w14:paraId="497078D4">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p>
        </w:tc>
        <w:tc>
          <w:tcPr>
            <w:tcW w:w="1092" w:type="dxa"/>
            <w:vMerge w:val="continue"/>
            <w:tcBorders>
              <w:tl2br w:val="nil"/>
              <w:tr2bl w:val="nil"/>
            </w:tcBorders>
            <w:shd w:val="clear" w:color="auto" w:fill="auto"/>
            <w:vAlign w:val="center"/>
          </w:tcPr>
          <w:p w14:paraId="3F74667C">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p>
        </w:tc>
        <w:tc>
          <w:tcPr>
            <w:tcW w:w="7886" w:type="dxa"/>
            <w:tcBorders>
              <w:tl2br w:val="nil"/>
              <w:tr2bl w:val="nil"/>
            </w:tcBorders>
            <w:shd w:val="clear" w:color="auto" w:fill="auto"/>
            <w:vAlign w:val="center"/>
          </w:tcPr>
          <w:p w14:paraId="1730197B">
            <w:pPr>
              <w:pStyle w:val="102"/>
              <w:keepNext w:val="0"/>
              <w:keepLines w:val="0"/>
              <w:pageBreakBefore w:val="0"/>
              <w:kinsoku/>
              <w:wordWrap/>
              <w:overflowPunct/>
              <w:topLinePunct w:val="0"/>
              <w:autoSpaceDE/>
              <w:autoSpaceDN/>
              <w:bidi w:val="0"/>
              <w:spacing w:line="320" w:lineRule="exact"/>
              <w:jc w:val="left"/>
              <w:textAlignment w:val="auto"/>
              <w:rPr>
                <w:rFonts w:hint="eastAsia" w:ascii="宋体" w:hAnsi="宋体" w:eastAsia="宋体" w:cs="宋体"/>
                <w:b w:val="0"/>
                <w:bCs/>
                <w:color w:val="000000" w:themeColor="text1"/>
                <w:kern w:val="2"/>
                <w:sz w:val="24"/>
                <w:szCs w:val="24"/>
                <w:highlight w:val="none"/>
                <w14:textFill>
                  <w14:solidFill>
                    <w14:schemeClr w14:val="tx1"/>
                  </w14:solidFill>
                </w14:textFill>
              </w:rPr>
            </w:pPr>
            <w:r>
              <w:rPr>
                <w:rFonts w:hint="eastAsia" w:ascii="宋体" w:hAnsi="宋体" w:eastAsia="宋体" w:cs="宋体"/>
                <w:b w:val="0"/>
                <w:bCs/>
                <w:color w:val="000000" w:themeColor="text1"/>
                <w:kern w:val="2"/>
                <w:sz w:val="24"/>
                <w:szCs w:val="24"/>
                <w:highlight w:val="none"/>
                <w14:textFill>
                  <w14:solidFill>
                    <w14:schemeClr w14:val="tx1"/>
                  </w14:solidFill>
                </w14:textFill>
              </w:rPr>
              <w:t>1.围绕自然资源确权登记与其他自然资源及不动产登记数据如何实现融合问题，提出有针对性的解决措施，（0-3分）。</w:t>
            </w:r>
          </w:p>
          <w:p w14:paraId="582FA63A">
            <w:pPr>
              <w:pStyle w:val="102"/>
              <w:keepNext w:val="0"/>
              <w:keepLines w:val="0"/>
              <w:pageBreakBefore w:val="0"/>
              <w:kinsoku/>
              <w:wordWrap/>
              <w:overflowPunct/>
              <w:topLinePunct w:val="0"/>
              <w:autoSpaceDE/>
              <w:autoSpaceDN/>
              <w:bidi w:val="0"/>
              <w:spacing w:line="320" w:lineRule="exact"/>
              <w:jc w:val="left"/>
              <w:textAlignment w:val="auto"/>
              <w:rPr>
                <w:rFonts w:hint="eastAsia" w:ascii="宋体" w:hAnsi="宋体" w:eastAsia="宋体" w:cs="宋体"/>
                <w:b w:val="0"/>
                <w:bCs/>
                <w:color w:val="000000" w:themeColor="text1"/>
                <w:kern w:val="2"/>
                <w:sz w:val="24"/>
                <w:szCs w:val="24"/>
                <w:highlight w:val="none"/>
                <w14:textFill>
                  <w14:solidFill>
                    <w14:schemeClr w14:val="tx1"/>
                  </w14:solidFill>
                </w14:textFill>
              </w:rPr>
            </w:pPr>
            <w:r>
              <w:rPr>
                <w:rFonts w:hint="eastAsia" w:ascii="宋体" w:hAnsi="宋体" w:eastAsia="宋体" w:cs="宋体"/>
                <w:b w:val="0"/>
                <w:bCs/>
                <w:color w:val="000000" w:themeColor="text1"/>
                <w:kern w:val="2"/>
                <w:sz w:val="24"/>
                <w:szCs w:val="24"/>
                <w:highlight w:val="none"/>
                <w14:textFill>
                  <w14:solidFill>
                    <w14:schemeClr w14:val="tx1"/>
                  </w14:solidFill>
                </w14:textFill>
              </w:rPr>
              <w:t>2.围绕自然资源地籍数据库建设中存在的潜在问题，提出有针对性的解决措施，（0-3分）。</w:t>
            </w:r>
          </w:p>
          <w:p w14:paraId="618CBE2F">
            <w:pPr>
              <w:keepNext w:val="0"/>
              <w:keepLines w:val="0"/>
              <w:pageBreakBefore w:val="0"/>
              <w:widowControl/>
              <w:kinsoku/>
              <w:wordWrap/>
              <w:overflowPunct/>
              <w:topLinePunct w:val="0"/>
              <w:autoSpaceDE/>
              <w:autoSpaceDN/>
              <w:bidi w:val="0"/>
              <w:spacing w:line="32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对上述每个关键问题提出的解决措施系统科学、合理可行，切合实际，针对性强，有利于项目实施。</w:t>
            </w:r>
          </w:p>
        </w:tc>
        <w:tc>
          <w:tcPr>
            <w:tcW w:w="667" w:type="dxa"/>
            <w:tcBorders>
              <w:tl2br w:val="nil"/>
              <w:tr2bl w:val="nil"/>
            </w:tcBorders>
            <w:shd w:val="clear" w:color="auto" w:fill="auto"/>
            <w:vAlign w:val="center"/>
          </w:tcPr>
          <w:p w14:paraId="7BAF8DE0">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0-6</w:t>
            </w:r>
          </w:p>
        </w:tc>
      </w:tr>
      <w:tr w14:paraId="66ED9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667" w:type="dxa"/>
            <w:tcBorders>
              <w:tl2br w:val="nil"/>
              <w:tr2bl w:val="nil"/>
            </w:tcBorders>
            <w:shd w:val="clear" w:color="auto" w:fill="auto"/>
            <w:vAlign w:val="center"/>
          </w:tcPr>
          <w:p w14:paraId="0863B2CB">
            <w:pPr>
              <w:keepNext w:val="0"/>
              <w:keepLines w:val="0"/>
              <w:pageBreakBefore w:val="0"/>
              <w:widowControl/>
              <w:kinsoku/>
              <w:wordWrap/>
              <w:overflowPunct/>
              <w:topLinePunct w:val="0"/>
              <w:autoSpaceDE/>
              <w:autoSpaceDN/>
              <w:bidi w:val="0"/>
              <w:spacing w:line="320" w:lineRule="exact"/>
              <w:jc w:val="center"/>
              <w:textAlignment w:val="auto"/>
              <w:rPr>
                <w:rFonts w:hint="default"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10</w:t>
            </w:r>
          </w:p>
        </w:tc>
        <w:tc>
          <w:tcPr>
            <w:tcW w:w="1092" w:type="dxa"/>
            <w:tcBorders>
              <w:tl2br w:val="nil"/>
              <w:tr2bl w:val="nil"/>
            </w:tcBorders>
            <w:shd w:val="clear" w:color="auto" w:fill="auto"/>
            <w:vAlign w:val="center"/>
          </w:tcPr>
          <w:p w14:paraId="265FBB74">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进度计划安排</w:t>
            </w:r>
          </w:p>
        </w:tc>
        <w:tc>
          <w:tcPr>
            <w:tcW w:w="7886" w:type="dxa"/>
            <w:tcBorders>
              <w:tl2br w:val="nil"/>
              <w:tr2bl w:val="nil"/>
            </w:tcBorders>
            <w:shd w:val="clear" w:color="auto" w:fill="auto"/>
            <w:vAlign w:val="center"/>
          </w:tcPr>
          <w:p w14:paraId="138CE882">
            <w:pPr>
              <w:pStyle w:val="102"/>
              <w:keepNext w:val="0"/>
              <w:keepLines w:val="0"/>
              <w:pageBreakBefore w:val="0"/>
              <w:kinsoku/>
              <w:wordWrap/>
              <w:overflowPunct/>
              <w:topLinePunct w:val="0"/>
              <w:autoSpaceDE/>
              <w:autoSpaceDN/>
              <w:bidi w:val="0"/>
              <w:spacing w:line="320" w:lineRule="exact"/>
              <w:jc w:val="left"/>
              <w:textAlignment w:val="auto"/>
              <w:rPr>
                <w:rFonts w:hint="eastAsia" w:ascii="宋体" w:hAnsi="宋体" w:eastAsia="宋体" w:cs="宋体"/>
                <w:b w:val="0"/>
                <w:bCs/>
                <w:color w:val="000000" w:themeColor="text1"/>
                <w:kern w:val="2"/>
                <w:sz w:val="24"/>
                <w:szCs w:val="24"/>
                <w:highlight w:val="none"/>
                <w14:textFill>
                  <w14:solidFill>
                    <w14:schemeClr w14:val="tx1"/>
                  </w14:solidFill>
                </w14:textFill>
              </w:rPr>
            </w:pPr>
            <w:r>
              <w:rPr>
                <w:rFonts w:hint="eastAsia" w:ascii="宋体" w:hAnsi="宋体" w:eastAsia="宋体" w:cs="宋体"/>
                <w:b w:val="0"/>
                <w:bCs/>
                <w:color w:val="000000" w:themeColor="text1"/>
                <w:kern w:val="2"/>
                <w:sz w:val="24"/>
                <w:szCs w:val="24"/>
                <w:highlight w:val="none"/>
                <w14:textFill>
                  <w14:solidFill>
                    <w14:schemeClr w14:val="tx1"/>
                  </w14:solidFill>
                </w14:textFill>
              </w:rPr>
              <w:t>整体工作阶段及任务划分、进度计划安排具体、合理、可行，关键时间节点把握科学准确，工期保障措施到位，满足采购进度要求。</w:t>
            </w:r>
          </w:p>
        </w:tc>
        <w:tc>
          <w:tcPr>
            <w:tcW w:w="667" w:type="dxa"/>
            <w:tcBorders>
              <w:tl2br w:val="nil"/>
              <w:tr2bl w:val="nil"/>
            </w:tcBorders>
            <w:shd w:val="clear" w:color="auto" w:fill="auto"/>
            <w:vAlign w:val="center"/>
          </w:tcPr>
          <w:p w14:paraId="0660F82A">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0-</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6</w:t>
            </w:r>
          </w:p>
        </w:tc>
      </w:tr>
      <w:tr w14:paraId="045A1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tcBorders>
              <w:tl2br w:val="nil"/>
              <w:tr2bl w:val="nil"/>
            </w:tcBorders>
            <w:shd w:val="clear" w:color="auto" w:fill="auto"/>
            <w:vAlign w:val="center"/>
          </w:tcPr>
          <w:p w14:paraId="020706C9">
            <w:pPr>
              <w:keepNext w:val="0"/>
              <w:keepLines w:val="0"/>
              <w:pageBreakBefore w:val="0"/>
              <w:widowControl/>
              <w:kinsoku/>
              <w:wordWrap/>
              <w:overflowPunct/>
              <w:topLinePunct w:val="0"/>
              <w:autoSpaceDE/>
              <w:autoSpaceDN/>
              <w:bidi w:val="0"/>
              <w:spacing w:line="320" w:lineRule="exact"/>
              <w:jc w:val="center"/>
              <w:textAlignment w:val="auto"/>
              <w:rPr>
                <w:rFonts w:hint="default"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11</w:t>
            </w:r>
          </w:p>
        </w:tc>
        <w:tc>
          <w:tcPr>
            <w:tcW w:w="1092" w:type="dxa"/>
            <w:tcBorders>
              <w:tl2br w:val="nil"/>
              <w:tr2bl w:val="nil"/>
            </w:tcBorders>
            <w:shd w:val="clear" w:color="auto" w:fill="auto"/>
            <w:vAlign w:val="center"/>
          </w:tcPr>
          <w:p w14:paraId="3DE36F37">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质量控制管理措施</w:t>
            </w:r>
          </w:p>
        </w:tc>
        <w:tc>
          <w:tcPr>
            <w:tcW w:w="7886" w:type="dxa"/>
            <w:tcBorders>
              <w:tl2br w:val="nil"/>
              <w:tr2bl w:val="nil"/>
            </w:tcBorders>
            <w:shd w:val="clear" w:color="auto" w:fill="auto"/>
            <w:vAlign w:val="center"/>
          </w:tcPr>
          <w:p w14:paraId="52E922BF">
            <w:pPr>
              <w:pStyle w:val="102"/>
              <w:keepNext w:val="0"/>
              <w:keepLines w:val="0"/>
              <w:pageBreakBefore w:val="0"/>
              <w:kinsoku/>
              <w:wordWrap/>
              <w:overflowPunct/>
              <w:topLinePunct w:val="0"/>
              <w:autoSpaceDE/>
              <w:autoSpaceDN/>
              <w:bidi w:val="0"/>
              <w:spacing w:line="320" w:lineRule="exact"/>
              <w:jc w:val="left"/>
              <w:textAlignment w:val="auto"/>
              <w:rPr>
                <w:rFonts w:hint="eastAsia" w:ascii="宋体" w:hAnsi="宋体" w:eastAsia="宋体" w:cs="宋体"/>
                <w:b w:val="0"/>
                <w:bCs/>
                <w:color w:val="000000" w:themeColor="text1"/>
                <w:kern w:val="2"/>
                <w:sz w:val="24"/>
                <w:szCs w:val="24"/>
                <w:highlight w:val="none"/>
                <w14:textFill>
                  <w14:solidFill>
                    <w14:schemeClr w14:val="tx1"/>
                  </w14:solidFill>
                </w14:textFill>
              </w:rPr>
            </w:pPr>
            <w:r>
              <w:rPr>
                <w:rFonts w:hint="eastAsia" w:ascii="宋体" w:hAnsi="宋体" w:eastAsia="宋体" w:cs="宋体"/>
                <w:b w:val="0"/>
                <w:bCs/>
                <w:color w:val="000000" w:themeColor="text1"/>
                <w:kern w:val="2"/>
                <w:sz w:val="24"/>
                <w:szCs w:val="24"/>
                <w:highlight w:val="none"/>
                <w14:textFill>
                  <w14:solidFill>
                    <w14:schemeClr w14:val="tx1"/>
                  </w14:solidFill>
                </w14:textFill>
              </w:rPr>
              <w:t>针对本项目提出的各阶段及环节的工作质量控制管理措施科学、可行，质量保证体系完备周全，并具有针对性应对措施，有利于项目实施。</w:t>
            </w:r>
          </w:p>
        </w:tc>
        <w:tc>
          <w:tcPr>
            <w:tcW w:w="667" w:type="dxa"/>
            <w:tcBorders>
              <w:tl2br w:val="nil"/>
              <w:tr2bl w:val="nil"/>
            </w:tcBorders>
            <w:shd w:val="clear" w:color="auto" w:fill="auto"/>
            <w:vAlign w:val="center"/>
          </w:tcPr>
          <w:p w14:paraId="5765C620">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0-</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6</w:t>
            </w:r>
          </w:p>
        </w:tc>
      </w:tr>
      <w:tr w14:paraId="37C99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tcBorders>
              <w:tl2br w:val="nil"/>
              <w:tr2bl w:val="nil"/>
            </w:tcBorders>
            <w:shd w:val="clear" w:color="auto" w:fill="auto"/>
            <w:vAlign w:val="center"/>
          </w:tcPr>
          <w:p w14:paraId="1660A4D9">
            <w:pPr>
              <w:keepNext w:val="0"/>
              <w:keepLines w:val="0"/>
              <w:pageBreakBefore w:val="0"/>
              <w:widowControl/>
              <w:kinsoku/>
              <w:wordWrap/>
              <w:overflowPunct/>
              <w:topLinePunct w:val="0"/>
              <w:autoSpaceDE/>
              <w:autoSpaceDN/>
              <w:bidi w:val="0"/>
              <w:spacing w:line="320" w:lineRule="exact"/>
              <w:jc w:val="center"/>
              <w:textAlignment w:val="auto"/>
              <w:rPr>
                <w:rFonts w:hint="default"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12</w:t>
            </w:r>
          </w:p>
        </w:tc>
        <w:tc>
          <w:tcPr>
            <w:tcW w:w="1092" w:type="dxa"/>
            <w:tcBorders>
              <w:tl2br w:val="nil"/>
              <w:tr2bl w:val="nil"/>
            </w:tcBorders>
            <w:shd w:val="clear" w:color="auto" w:fill="auto"/>
            <w:vAlign w:val="center"/>
          </w:tcPr>
          <w:p w14:paraId="049A51D3">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保密及档案管理制度</w:t>
            </w:r>
          </w:p>
        </w:tc>
        <w:tc>
          <w:tcPr>
            <w:tcW w:w="7886" w:type="dxa"/>
            <w:tcBorders>
              <w:tl2br w:val="nil"/>
              <w:tr2bl w:val="nil"/>
            </w:tcBorders>
            <w:shd w:val="clear" w:color="auto" w:fill="auto"/>
            <w:vAlign w:val="center"/>
          </w:tcPr>
          <w:p w14:paraId="5BE5BE18">
            <w:pPr>
              <w:pStyle w:val="102"/>
              <w:keepNext w:val="0"/>
              <w:keepLines w:val="0"/>
              <w:pageBreakBefore w:val="0"/>
              <w:kinsoku/>
              <w:wordWrap/>
              <w:overflowPunct/>
              <w:topLinePunct w:val="0"/>
              <w:autoSpaceDE/>
              <w:autoSpaceDN/>
              <w:bidi w:val="0"/>
              <w:spacing w:line="320" w:lineRule="exact"/>
              <w:jc w:val="left"/>
              <w:textAlignment w:val="auto"/>
              <w:rPr>
                <w:rFonts w:hint="eastAsia" w:ascii="宋体" w:hAnsi="宋体" w:eastAsia="宋体" w:cs="宋体"/>
                <w:b w:val="0"/>
                <w:bCs/>
                <w:color w:val="000000" w:themeColor="text1"/>
                <w:kern w:val="2"/>
                <w:sz w:val="24"/>
                <w:szCs w:val="24"/>
                <w:highlight w:val="none"/>
                <w14:textFill>
                  <w14:solidFill>
                    <w14:schemeClr w14:val="tx1"/>
                  </w14:solidFill>
                </w14:textFill>
              </w:rPr>
            </w:pPr>
            <w:r>
              <w:rPr>
                <w:rFonts w:hint="eastAsia" w:ascii="宋体" w:hAnsi="宋体" w:eastAsia="宋体" w:cs="宋体"/>
                <w:b w:val="0"/>
                <w:bCs/>
                <w:color w:val="000000" w:themeColor="text1"/>
                <w:kern w:val="2"/>
                <w:sz w:val="24"/>
                <w:szCs w:val="24"/>
                <w:highlight w:val="none"/>
                <w14:textFill>
                  <w14:solidFill>
                    <w14:schemeClr w14:val="tx1"/>
                  </w14:solidFill>
                </w14:textFill>
              </w:rPr>
              <w:t>制订的保密制度及档案管理制度完备周全，措施科学、合理、可行。</w:t>
            </w:r>
          </w:p>
        </w:tc>
        <w:tc>
          <w:tcPr>
            <w:tcW w:w="667" w:type="dxa"/>
            <w:tcBorders>
              <w:tl2br w:val="nil"/>
              <w:tr2bl w:val="nil"/>
            </w:tcBorders>
            <w:shd w:val="clear" w:color="auto" w:fill="auto"/>
            <w:vAlign w:val="center"/>
          </w:tcPr>
          <w:p w14:paraId="75843F34">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0-</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6</w:t>
            </w:r>
          </w:p>
        </w:tc>
      </w:tr>
      <w:tr w14:paraId="5C12C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tcBorders>
              <w:tl2br w:val="nil"/>
              <w:tr2bl w:val="nil"/>
            </w:tcBorders>
            <w:shd w:val="clear" w:color="auto" w:fill="auto"/>
            <w:vAlign w:val="center"/>
          </w:tcPr>
          <w:p w14:paraId="6CF2F9FA">
            <w:pPr>
              <w:keepNext w:val="0"/>
              <w:keepLines w:val="0"/>
              <w:pageBreakBefore w:val="0"/>
              <w:widowControl/>
              <w:kinsoku/>
              <w:wordWrap/>
              <w:overflowPunct/>
              <w:topLinePunct w:val="0"/>
              <w:autoSpaceDE/>
              <w:autoSpaceDN/>
              <w:bidi w:val="0"/>
              <w:spacing w:line="320" w:lineRule="exact"/>
              <w:jc w:val="center"/>
              <w:textAlignment w:val="auto"/>
              <w:rPr>
                <w:rFonts w:hint="default"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13</w:t>
            </w:r>
          </w:p>
        </w:tc>
        <w:tc>
          <w:tcPr>
            <w:tcW w:w="1092" w:type="dxa"/>
            <w:tcBorders>
              <w:tl2br w:val="nil"/>
              <w:tr2bl w:val="nil"/>
            </w:tcBorders>
            <w:shd w:val="clear" w:color="auto" w:fill="auto"/>
            <w:vAlign w:val="center"/>
          </w:tcPr>
          <w:p w14:paraId="1D25C9BE">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安全生产保障措施</w:t>
            </w:r>
          </w:p>
        </w:tc>
        <w:tc>
          <w:tcPr>
            <w:tcW w:w="7886" w:type="dxa"/>
            <w:tcBorders>
              <w:tl2br w:val="nil"/>
              <w:tr2bl w:val="nil"/>
            </w:tcBorders>
            <w:shd w:val="clear" w:color="auto" w:fill="auto"/>
            <w:vAlign w:val="center"/>
          </w:tcPr>
          <w:p w14:paraId="6A347E9B">
            <w:pPr>
              <w:pStyle w:val="102"/>
              <w:keepNext w:val="0"/>
              <w:keepLines w:val="0"/>
              <w:pageBreakBefore w:val="0"/>
              <w:kinsoku/>
              <w:wordWrap/>
              <w:overflowPunct/>
              <w:topLinePunct w:val="0"/>
              <w:autoSpaceDE/>
              <w:autoSpaceDN/>
              <w:bidi w:val="0"/>
              <w:spacing w:line="320" w:lineRule="exact"/>
              <w:jc w:val="left"/>
              <w:textAlignment w:val="auto"/>
              <w:rPr>
                <w:rFonts w:hint="eastAsia" w:ascii="宋体" w:hAnsi="宋体" w:eastAsia="宋体" w:cs="宋体"/>
                <w:b w:val="0"/>
                <w:bCs/>
                <w:color w:val="000000" w:themeColor="text1"/>
                <w:kern w:val="2"/>
                <w:sz w:val="24"/>
                <w:szCs w:val="24"/>
                <w:highlight w:val="none"/>
                <w14:textFill>
                  <w14:solidFill>
                    <w14:schemeClr w14:val="tx1"/>
                  </w14:solidFill>
                </w14:textFill>
              </w:rPr>
            </w:pPr>
            <w:r>
              <w:rPr>
                <w:rFonts w:hint="eastAsia" w:ascii="宋体" w:hAnsi="宋体" w:eastAsia="宋体" w:cs="宋体"/>
                <w:b w:val="0"/>
                <w:bCs/>
                <w:color w:val="000000" w:themeColor="text1"/>
                <w:kern w:val="2"/>
                <w:sz w:val="24"/>
                <w:szCs w:val="24"/>
                <w:highlight w:val="none"/>
                <w14:textFill>
                  <w14:solidFill>
                    <w14:schemeClr w14:val="tx1"/>
                  </w14:solidFill>
                </w14:textFill>
              </w:rPr>
              <w:t>安全生产保障措施科学、合理、可行，保障体系完备周全，并具有及时性、便捷性。</w:t>
            </w:r>
          </w:p>
        </w:tc>
        <w:tc>
          <w:tcPr>
            <w:tcW w:w="667" w:type="dxa"/>
            <w:tcBorders>
              <w:tl2br w:val="nil"/>
              <w:tr2bl w:val="nil"/>
            </w:tcBorders>
            <w:shd w:val="clear" w:color="auto" w:fill="auto"/>
            <w:vAlign w:val="center"/>
          </w:tcPr>
          <w:p w14:paraId="059EAABC">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0-</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6</w:t>
            </w:r>
          </w:p>
        </w:tc>
      </w:tr>
      <w:tr w14:paraId="563FF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tcBorders>
              <w:tl2br w:val="nil"/>
              <w:tr2bl w:val="nil"/>
            </w:tcBorders>
            <w:shd w:val="clear" w:color="auto" w:fill="auto"/>
            <w:vAlign w:val="center"/>
          </w:tcPr>
          <w:p w14:paraId="05812D5F">
            <w:pPr>
              <w:keepNext w:val="0"/>
              <w:keepLines w:val="0"/>
              <w:pageBreakBefore w:val="0"/>
              <w:widowControl/>
              <w:kinsoku/>
              <w:wordWrap/>
              <w:overflowPunct/>
              <w:topLinePunct w:val="0"/>
              <w:autoSpaceDE/>
              <w:autoSpaceDN/>
              <w:bidi w:val="0"/>
              <w:spacing w:line="320" w:lineRule="exact"/>
              <w:jc w:val="center"/>
              <w:textAlignment w:val="auto"/>
              <w:rPr>
                <w:rFonts w:hint="default"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14</w:t>
            </w:r>
          </w:p>
        </w:tc>
        <w:tc>
          <w:tcPr>
            <w:tcW w:w="1092" w:type="dxa"/>
            <w:tcBorders>
              <w:tl2br w:val="nil"/>
              <w:tr2bl w:val="nil"/>
            </w:tcBorders>
            <w:shd w:val="clear" w:color="auto" w:fill="auto"/>
            <w:vAlign w:val="center"/>
          </w:tcPr>
          <w:p w14:paraId="49FA6051">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服务保障能力</w:t>
            </w:r>
          </w:p>
        </w:tc>
        <w:tc>
          <w:tcPr>
            <w:tcW w:w="7886" w:type="dxa"/>
            <w:tcBorders>
              <w:tl2br w:val="nil"/>
              <w:tr2bl w:val="nil"/>
            </w:tcBorders>
            <w:shd w:val="clear" w:color="auto" w:fill="auto"/>
            <w:vAlign w:val="center"/>
          </w:tcPr>
          <w:p w14:paraId="3260C4C9">
            <w:pPr>
              <w:pStyle w:val="102"/>
              <w:keepNext w:val="0"/>
              <w:keepLines w:val="0"/>
              <w:pageBreakBefore w:val="0"/>
              <w:kinsoku/>
              <w:wordWrap/>
              <w:overflowPunct/>
              <w:topLinePunct w:val="0"/>
              <w:autoSpaceDE/>
              <w:autoSpaceDN/>
              <w:bidi w:val="0"/>
              <w:spacing w:line="32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1.为本项目提出完善、合理、可行的售后服务方案，能确保项目后期正常有序运行，（0-3分）。</w:t>
            </w:r>
          </w:p>
          <w:p w14:paraId="40591972">
            <w:pPr>
              <w:pStyle w:val="102"/>
              <w:keepNext w:val="0"/>
              <w:keepLines w:val="0"/>
              <w:pageBreakBefore w:val="0"/>
              <w:kinsoku/>
              <w:wordWrap/>
              <w:overflowPunct/>
              <w:topLinePunct w:val="0"/>
              <w:autoSpaceDE/>
              <w:autoSpaceDN/>
              <w:bidi w:val="0"/>
              <w:spacing w:line="32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2.根据投标供应商能否提供快速便捷的服务响应能力和充分的后勤保障能力，是否能及时、安全的提供服务，综合评价打分。能提供快速便捷、及时安全的服务响应能力和充分的后勤保障能力（0-3分）。</w:t>
            </w:r>
          </w:p>
        </w:tc>
        <w:tc>
          <w:tcPr>
            <w:tcW w:w="667" w:type="dxa"/>
            <w:tcBorders>
              <w:tl2br w:val="nil"/>
              <w:tr2bl w:val="nil"/>
            </w:tcBorders>
            <w:shd w:val="clear" w:color="auto" w:fill="auto"/>
            <w:vAlign w:val="center"/>
          </w:tcPr>
          <w:p w14:paraId="4D0FC362">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b w:val="0"/>
                <w:bCs/>
                <w:color w:val="000000" w:themeColor="text1"/>
                <w:kern w:val="0"/>
                <w:sz w:val="24"/>
                <w:szCs w:val="24"/>
                <w:highlight w:val="none"/>
                <w14:textFill>
                  <w14:solidFill>
                    <w14:schemeClr w14:val="tx1"/>
                  </w14:solidFill>
                </w14:textFill>
              </w:rPr>
              <w:t>6</w:t>
            </w:r>
          </w:p>
        </w:tc>
      </w:tr>
    </w:tbl>
    <w:p w14:paraId="717FE875">
      <w:pPr>
        <w:rPr>
          <w:rFonts w:hint="eastAsia" w:ascii="宋体" w:hAnsi="宋体" w:cs="宋体"/>
          <w:color w:val="000000" w:themeColor="text1"/>
          <w:highlight w:val="none"/>
          <w14:textFill>
            <w14:solidFill>
              <w14:schemeClr w14:val="tx1"/>
            </w14:solidFill>
          </w14:textFill>
        </w:rPr>
      </w:pPr>
    </w:p>
    <w:p w14:paraId="0804D952">
      <w:pPr>
        <w:rPr>
          <w:rFonts w:hint="eastAsia" w:ascii="宋体" w:hAnsi="宋体" w:cs="宋体"/>
          <w:color w:val="000000" w:themeColor="text1"/>
          <w:highlight w:val="none"/>
          <w14:textFill>
            <w14:solidFill>
              <w14:schemeClr w14:val="tx1"/>
            </w14:solidFill>
          </w14:textFill>
        </w:rPr>
      </w:pPr>
    </w:p>
    <w:p w14:paraId="5AB48193">
      <w:pPr>
        <w:pStyle w:val="100"/>
        <w:rPr>
          <w:rFonts w:hint="eastAsia" w:ascii="宋体" w:hAnsi="宋体" w:cs="宋体"/>
          <w:color w:val="000000" w:themeColor="text1"/>
          <w:highlight w:val="none"/>
          <w14:textFill>
            <w14:solidFill>
              <w14:schemeClr w14:val="tx1"/>
            </w14:solidFill>
          </w14:textFill>
        </w:rPr>
      </w:pPr>
    </w:p>
    <w:p w14:paraId="0D810C16">
      <w:pPr>
        <w:pStyle w:val="100"/>
        <w:rPr>
          <w:rFonts w:hint="eastAsia" w:ascii="宋体" w:hAnsi="宋体" w:cs="宋体"/>
          <w:color w:val="000000" w:themeColor="text1"/>
          <w:highlight w:val="none"/>
          <w14:textFill>
            <w14:solidFill>
              <w14:schemeClr w14:val="tx1"/>
            </w14:solidFill>
          </w14:textFill>
        </w:rPr>
      </w:pPr>
    </w:p>
    <w:p w14:paraId="1F78C586">
      <w:pPr>
        <w:pStyle w:val="3"/>
        <w:keepNext/>
        <w:keepLines/>
        <w:pageBreakBefore/>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第四章 项目需求</w:t>
      </w:r>
    </w:p>
    <w:p w14:paraId="7D6B8C4C">
      <w:pPr>
        <w:keepNext w:val="0"/>
        <w:keepLines w:val="0"/>
        <w:pageBreakBefore w:val="0"/>
        <w:widowControl w:val="0"/>
        <w:kinsoku/>
        <w:wordWrap/>
        <w:overflowPunct/>
        <w:topLinePunct w:val="0"/>
        <w:autoSpaceDE/>
        <w:autoSpaceDN/>
        <w:bidi w:val="0"/>
        <w:adjustRightInd/>
        <w:snapToGrid/>
        <w:spacing w:before="0" w:line="400" w:lineRule="exact"/>
        <w:ind w:left="-439" w:leftChars="-209" w:right="-512" w:rightChars="-244" w:firstLine="499" w:firstLineChars="207"/>
        <w:jc w:val="both"/>
        <w:textAlignment w:val="auto"/>
        <w:outlineLvl w:val="7"/>
        <w:rPr>
          <w:rFonts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一、项目概况：</w:t>
      </w:r>
    </w:p>
    <w:p w14:paraId="25AF160E">
      <w:pPr>
        <w:keepNext w:val="0"/>
        <w:keepLines w:val="0"/>
        <w:pageBreakBefore w:val="0"/>
        <w:widowControl w:val="0"/>
        <w:kinsoku/>
        <w:wordWrap/>
        <w:overflowPunct/>
        <w:topLinePunct w:val="0"/>
        <w:autoSpaceDE/>
        <w:autoSpaceDN/>
        <w:bidi w:val="0"/>
        <w:adjustRightInd/>
        <w:snapToGrid/>
        <w:spacing w:before="0" w:line="400" w:lineRule="exact"/>
        <w:ind w:left="-439" w:leftChars="-209" w:right="-512" w:rightChars="-244" w:firstLine="496" w:firstLineChars="207"/>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bookmarkStart w:id="0" w:name="为贯彻落实党中央、国务院关于自然资源统一确权登记的决策部署、做好自然资源统一确权"/>
      <w:bookmarkEnd w:id="0"/>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浙江省人民政府办公厅关于印发浙江省自然资源统一确权登记工作方案的通知》（浙政办发[2020]13号）、《台州市人民政府办公室关于印发台州市自然资源统一确权登记工作方案的通知》（台政办发[2020]31号）等文件精神，结合我县实际，决定开展玉环市自然资源统一确权登记。</w:t>
      </w:r>
    </w:p>
    <w:p w14:paraId="797A1827">
      <w:pPr>
        <w:keepNext w:val="0"/>
        <w:keepLines w:val="0"/>
        <w:pageBreakBefore w:val="0"/>
        <w:widowControl w:val="0"/>
        <w:kinsoku/>
        <w:wordWrap/>
        <w:overflowPunct/>
        <w:topLinePunct w:val="0"/>
        <w:autoSpaceDE/>
        <w:autoSpaceDN/>
        <w:bidi w:val="0"/>
        <w:adjustRightInd/>
        <w:snapToGrid/>
        <w:spacing w:before="0" w:line="400" w:lineRule="exact"/>
        <w:ind w:left="-439" w:leftChars="-209" w:right="-512" w:rightChars="-244" w:firstLine="496" w:firstLineChars="207"/>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双庙水库、小闾水库、龙溪水库、芳杜水库、玉潭水库、横培水库、小陈岙水库、上田岙水库、里墩水库、石门坎水库等10个水库，总库容约2087.9立方米，办理自然资源统一确权登记需分别完成资料收集及数据处理、纸质图件成果矢量化、数据格式转换等处理、制作工作底图、预划登记单元、地籍调查（外业调查和内业数据处理）、数据建库入库、调查和确权登记成果制作（包括数据库成果、图件成果、文字报告）、宣传培训等工作。 </w:t>
      </w:r>
    </w:p>
    <w:p w14:paraId="5114B3B3">
      <w:pPr>
        <w:keepNext w:val="0"/>
        <w:keepLines w:val="0"/>
        <w:pageBreakBefore w:val="0"/>
        <w:widowControl w:val="0"/>
        <w:kinsoku/>
        <w:wordWrap/>
        <w:overflowPunct/>
        <w:topLinePunct w:val="0"/>
        <w:autoSpaceDE/>
        <w:autoSpaceDN/>
        <w:bidi w:val="0"/>
        <w:adjustRightInd/>
        <w:snapToGrid/>
        <w:spacing w:before="0" w:line="400" w:lineRule="exact"/>
        <w:ind w:left="-439" w:leftChars="-209" w:right="-512" w:rightChars="-244" w:firstLine="499" w:firstLineChars="207"/>
        <w:jc w:val="both"/>
        <w:textAlignment w:val="auto"/>
        <w:outlineLvl w:val="7"/>
        <w:rPr>
          <w:rFonts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二、总体要求：</w:t>
      </w:r>
    </w:p>
    <w:p w14:paraId="156FBDE0">
      <w:pPr>
        <w:keepNext w:val="0"/>
        <w:keepLines w:val="0"/>
        <w:pageBreakBefore w:val="0"/>
        <w:widowControl w:val="0"/>
        <w:kinsoku/>
        <w:wordWrap/>
        <w:overflowPunct/>
        <w:topLinePunct w:val="0"/>
        <w:autoSpaceDE/>
        <w:autoSpaceDN/>
        <w:bidi w:val="0"/>
        <w:adjustRightInd/>
        <w:snapToGrid/>
        <w:spacing w:line="400" w:lineRule="exact"/>
        <w:ind w:left="-439" w:leftChars="-209" w:right="-512" w:rightChars="-244" w:firstLine="496" w:firstLineChars="207"/>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b/>
          <w:bCs/>
          <w:color w:val="000000" w:themeColor="text1"/>
          <w:sz w:val="24"/>
          <w:highlight w:val="none"/>
          <w14:textFill>
            <w14:solidFill>
              <w14:schemeClr w14:val="tx1"/>
            </w14:solidFill>
          </w14:textFill>
        </w:rPr>
        <w:t>指导思想</w:t>
      </w:r>
      <w:r>
        <w:rPr>
          <w:rFonts w:hint="eastAsia" w:ascii="宋体" w:hAnsi="宋体" w:eastAsia="宋体" w:cs="宋体"/>
          <w:color w:val="000000" w:themeColor="text1"/>
          <w:sz w:val="24"/>
          <w:highlight w:val="none"/>
          <w14:textFill>
            <w14:solidFill>
              <w14:schemeClr w14:val="tx1"/>
            </w14:solidFill>
          </w14:textFill>
        </w:rPr>
        <w:t xml:space="preserve"> 为深入落实习近平生态文明思想和习近平总书记关于自然资源管理的重要论述，牢固树立尊重自然、顺应自然、保护自然理念，按照建立系统完整的生态文明制度体系的要求，结合“绿水青山，就是金山银山”的发展战略，深入推进自然资源统一确权登记工作，推动建立归属清晰、权责明确、保护严格、流转顺畅、监管有效的自然资源资产产权制度，支撑自然资源合理开发、有效保护和严格监管。</w:t>
      </w:r>
    </w:p>
    <w:p w14:paraId="3CDD0AB6">
      <w:pPr>
        <w:keepNext w:val="0"/>
        <w:keepLines w:val="0"/>
        <w:pageBreakBefore w:val="0"/>
        <w:widowControl w:val="0"/>
        <w:kinsoku/>
        <w:wordWrap/>
        <w:overflowPunct/>
        <w:topLinePunct w:val="0"/>
        <w:autoSpaceDE/>
        <w:autoSpaceDN/>
        <w:bidi w:val="0"/>
        <w:adjustRightInd/>
        <w:snapToGrid/>
        <w:spacing w:line="400" w:lineRule="exact"/>
        <w:ind w:left="-439" w:leftChars="-209" w:right="-512" w:rightChars="-244" w:firstLine="496" w:firstLineChars="207"/>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 </w:t>
      </w:r>
      <w:r>
        <w:rPr>
          <w:rFonts w:hint="eastAsia" w:ascii="宋体" w:hAnsi="宋体" w:eastAsia="宋体" w:cs="宋体"/>
          <w:b/>
          <w:bCs/>
          <w:color w:val="000000" w:themeColor="text1"/>
          <w:sz w:val="24"/>
          <w:highlight w:val="none"/>
          <w14:textFill>
            <w14:solidFill>
              <w14:schemeClr w14:val="tx1"/>
            </w14:solidFill>
          </w14:textFill>
        </w:rPr>
        <w:t>工作依据</w:t>
      </w:r>
      <w:r>
        <w:rPr>
          <w:rFonts w:hint="eastAsia" w:ascii="宋体" w:hAnsi="宋体" w:eastAsia="宋体" w:cs="宋体"/>
          <w:color w:val="000000" w:themeColor="text1"/>
          <w:sz w:val="24"/>
          <w:highlight w:val="none"/>
          <w14:textFill>
            <w14:solidFill>
              <w14:schemeClr w14:val="tx1"/>
            </w14:solidFill>
          </w14:textFill>
        </w:rPr>
        <w:t xml:space="preserve"> 根据《中华人民共和国土地管理法》《不动产登记暂行条例》等相关法律法规，《关于统筹推进自然资源资产产权制度改革的指导意见》《自然资源统一确权登记暂行办法》《浙江省自然资源统一确权登记工作方案》《第三次国土调查技术规程》及自然资源统一确权 登记和其他各类自然资源调查行业标准和技术规范，开展自然资源统一确权登记工作。</w:t>
      </w:r>
    </w:p>
    <w:p w14:paraId="702F2775">
      <w:pPr>
        <w:keepNext w:val="0"/>
        <w:keepLines w:val="0"/>
        <w:pageBreakBefore w:val="0"/>
        <w:widowControl w:val="0"/>
        <w:kinsoku/>
        <w:wordWrap/>
        <w:overflowPunct/>
        <w:topLinePunct w:val="0"/>
        <w:autoSpaceDE/>
        <w:autoSpaceDN/>
        <w:bidi w:val="0"/>
        <w:adjustRightInd/>
        <w:snapToGrid/>
        <w:spacing w:line="400" w:lineRule="exact"/>
        <w:ind w:left="-439" w:leftChars="-209" w:right="-512" w:rightChars="-244" w:firstLine="496" w:firstLineChars="207"/>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3. </w:t>
      </w:r>
      <w:r>
        <w:rPr>
          <w:rFonts w:hint="eastAsia" w:ascii="宋体" w:hAnsi="宋体" w:eastAsia="宋体" w:cs="宋体"/>
          <w:b/>
          <w:bCs/>
          <w:color w:val="000000" w:themeColor="text1"/>
          <w:sz w:val="24"/>
          <w:highlight w:val="none"/>
          <w14:textFill>
            <w14:solidFill>
              <w14:schemeClr w14:val="tx1"/>
            </w14:solidFill>
          </w14:textFill>
        </w:rPr>
        <w:t>基本原则</w:t>
      </w:r>
      <w:r>
        <w:rPr>
          <w:rFonts w:hint="eastAsia" w:ascii="宋体" w:hAnsi="宋体" w:eastAsia="宋体" w:cs="宋体"/>
          <w:color w:val="000000" w:themeColor="text1"/>
          <w:sz w:val="24"/>
          <w:highlight w:val="none"/>
          <w14:textFill>
            <w14:solidFill>
              <w14:schemeClr w14:val="tx1"/>
            </w14:solidFill>
          </w14:textFill>
        </w:rPr>
        <w:t xml:space="preserve"> 坚持资源公有，维护自然资源的社会主义公有制，即全民所有和集体所有。坚持物权法定，依法依规确定自然资源资产权主体、行使代表和权利内容。坚持统筹兼顾，在新的自然资源管理体制和格局基础上，与相关改革做好衔接。坚持以不动产登记为基础，构建自然资源统一确权登记制度体系，实现有机融合。坚持发展和保护相统一，加快形成有利于节约资源和保护环境的新格局。</w:t>
      </w:r>
    </w:p>
    <w:p w14:paraId="5C72BBEC">
      <w:pPr>
        <w:keepNext w:val="0"/>
        <w:keepLines w:val="0"/>
        <w:pageBreakBefore w:val="0"/>
        <w:widowControl w:val="0"/>
        <w:kinsoku/>
        <w:wordWrap/>
        <w:overflowPunct/>
        <w:topLinePunct w:val="0"/>
        <w:autoSpaceDE/>
        <w:autoSpaceDN/>
        <w:bidi w:val="0"/>
        <w:adjustRightInd/>
        <w:snapToGrid/>
        <w:spacing w:line="400" w:lineRule="exact"/>
        <w:ind w:left="-439" w:leftChars="-209" w:right="-512" w:rightChars="-244" w:firstLine="496" w:firstLineChars="207"/>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 </w:t>
      </w:r>
      <w:r>
        <w:rPr>
          <w:rFonts w:hint="eastAsia" w:ascii="宋体" w:hAnsi="宋体" w:eastAsia="宋体" w:cs="宋体"/>
          <w:b/>
          <w:bCs/>
          <w:color w:val="000000" w:themeColor="text1"/>
          <w:sz w:val="24"/>
          <w:highlight w:val="none"/>
          <w14:textFill>
            <w14:solidFill>
              <w14:schemeClr w14:val="tx1"/>
            </w14:solidFill>
          </w14:textFill>
        </w:rPr>
        <w:t>工作目标</w:t>
      </w:r>
      <w:r>
        <w:rPr>
          <w:rFonts w:hint="eastAsia" w:ascii="宋体" w:hAnsi="宋体" w:eastAsia="宋体" w:cs="宋体"/>
          <w:color w:val="000000" w:themeColor="text1"/>
          <w:sz w:val="24"/>
          <w:highlight w:val="none"/>
          <w14:textFill>
            <w14:solidFill>
              <w14:schemeClr w14:val="tx1"/>
            </w14:solidFill>
          </w14:textFill>
        </w:rPr>
        <w:t xml:space="preserve"> 按照《自然资源统一确权登记暂行办法》和自然资源统一确权登记相关规程规范等，以不动产登记为基础，充分利用第三次国土调查等现势性成果。玉环市不动产登记服务中心会同相关部门，组织技术单位依据</w:t>
      </w:r>
      <w:r>
        <w:rPr>
          <w:rFonts w:hint="eastAsia" w:ascii="宋体" w:hAnsi="宋体" w:eastAsia="宋体" w:cs="宋体"/>
          <w:color w:val="000000" w:themeColor="text1"/>
          <w:sz w:val="24"/>
          <w:highlight w:val="none"/>
          <w:lang w:eastAsia="zh-CN"/>
          <w14:textFill>
            <w14:solidFill>
              <w14:schemeClr w14:val="tx1"/>
            </w14:solidFill>
          </w14:textFill>
        </w:rPr>
        <w:t>玉环市</w:t>
      </w:r>
      <w:r>
        <w:rPr>
          <w:rFonts w:hint="eastAsia" w:ascii="宋体" w:hAnsi="宋体" w:eastAsia="宋体" w:cs="宋体"/>
          <w:color w:val="000000" w:themeColor="text1"/>
          <w:sz w:val="24"/>
          <w:highlight w:val="none"/>
          <w14:textFill>
            <w14:solidFill>
              <w14:schemeClr w14:val="tx1"/>
            </w14:solidFill>
          </w14:textFill>
        </w:rPr>
        <w:t>保护审批范围界线等资料划定登记单元界线，收集整理国土空间规划明确的用途、划定的生态保护红线等管制要求及其他特殊保护规定或者政策性文件，直接利用第三次国土调查成果确定的资源类型、分布，开展登记单元内自然资源权籍调查。通过确权登记，明确登记单元内各类自然资源的数量、质量、种类、分布等自然状况，所有权主体、所有权代表行使主体、代理行使主体及权利内容等权属状况，同时关联公共管制要求。登记机构将登记事项记载于自然资源登记簿，并向社会公开。</w:t>
      </w:r>
    </w:p>
    <w:p w14:paraId="2D4987BA">
      <w:pPr>
        <w:keepNext w:val="0"/>
        <w:keepLines w:val="0"/>
        <w:pageBreakBefore w:val="0"/>
        <w:widowControl w:val="0"/>
        <w:kinsoku/>
        <w:wordWrap/>
        <w:overflowPunct/>
        <w:topLinePunct w:val="0"/>
        <w:autoSpaceDE/>
        <w:autoSpaceDN/>
        <w:bidi w:val="0"/>
        <w:adjustRightInd/>
        <w:snapToGrid/>
        <w:spacing w:before="0" w:line="400" w:lineRule="exact"/>
        <w:ind w:left="-439" w:leftChars="-209" w:right="-512" w:rightChars="-244" w:firstLine="499" w:firstLineChars="207"/>
        <w:jc w:val="both"/>
        <w:textAlignment w:val="auto"/>
        <w:outlineLvl w:val="7"/>
        <w:rPr>
          <w:rFonts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三、工作内容：</w:t>
      </w:r>
    </w:p>
    <w:tbl>
      <w:tblPr>
        <w:tblStyle w:val="103"/>
        <w:tblW w:w="9432" w:type="dxa"/>
        <w:tblInd w:w="-462" w:type="dxa"/>
        <w:tblLayout w:type="fixed"/>
        <w:tblCellMar>
          <w:top w:w="0" w:type="dxa"/>
          <w:left w:w="0" w:type="dxa"/>
          <w:bottom w:w="0" w:type="dxa"/>
          <w:right w:w="0" w:type="dxa"/>
        </w:tblCellMar>
      </w:tblPr>
      <w:tblGrid>
        <w:gridCol w:w="678"/>
        <w:gridCol w:w="5400"/>
        <w:gridCol w:w="3354"/>
      </w:tblGrid>
      <w:tr w14:paraId="1EF198FB">
        <w:trPr>
          <w:trHeight w:val="426" w:hRule="exact"/>
        </w:trPr>
        <w:tc>
          <w:tcPr>
            <w:tcW w:w="678" w:type="dxa"/>
            <w:tcBorders>
              <w:top w:val="single" w:color="000000" w:sz="4" w:space="0"/>
              <w:left w:val="single" w:color="000000" w:sz="4" w:space="0"/>
              <w:bottom w:val="single" w:color="000000" w:sz="4" w:space="0"/>
              <w:right w:val="single" w:color="000000" w:sz="4" w:space="0"/>
            </w:tcBorders>
          </w:tcPr>
          <w:p w14:paraId="48E00CA0">
            <w:pPr>
              <w:widowControl w:val="0"/>
              <w:spacing w:line="400" w:lineRule="exact"/>
              <w:ind w:left="124"/>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序号</w:t>
            </w:r>
          </w:p>
        </w:tc>
        <w:tc>
          <w:tcPr>
            <w:tcW w:w="5400" w:type="dxa"/>
            <w:tcBorders>
              <w:top w:val="single" w:color="000000" w:sz="4" w:space="0"/>
              <w:left w:val="single" w:color="000000" w:sz="4" w:space="0"/>
              <w:bottom w:val="single" w:color="000000" w:sz="4" w:space="0"/>
              <w:right w:val="single" w:color="000000" w:sz="4" w:space="0"/>
            </w:tcBorders>
          </w:tcPr>
          <w:p w14:paraId="09ED94C6">
            <w:pPr>
              <w:widowControl w:val="0"/>
              <w:spacing w:line="400" w:lineRule="exact"/>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主 要 工 作 内</w:t>
            </w:r>
            <w:r>
              <w:rPr>
                <w:rFonts w:hint="eastAsia" w:ascii="宋体" w:hAnsi="宋体" w:eastAsia="宋体" w:cs="宋体"/>
                <w:b/>
                <w:bCs/>
                <w:color w:val="000000" w:themeColor="text1"/>
                <w:spacing w:val="23"/>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容</w:t>
            </w:r>
          </w:p>
        </w:tc>
        <w:tc>
          <w:tcPr>
            <w:tcW w:w="3354" w:type="dxa"/>
            <w:tcBorders>
              <w:top w:val="single" w:color="000000" w:sz="4" w:space="0"/>
              <w:left w:val="single" w:color="000000" w:sz="4" w:space="0"/>
              <w:bottom w:val="single" w:color="000000" w:sz="4" w:space="0"/>
              <w:right w:val="single" w:color="000000" w:sz="4" w:space="0"/>
            </w:tcBorders>
          </w:tcPr>
          <w:p w14:paraId="53B52AA1">
            <w:pPr>
              <w:widowControl w:val="0"/>
              <w:tabs>
                <w:tab w:val="left" w:pos="525"/>
              </w:tabs>
              <w:spacing w:line="400" w:lineRule="exact"/>
              <w:ind w:right="1"/>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w w:val="95"/>
                <w:kern w:val="2"/>
                <w:sz w:val="24"/>
                <w:szCs w:val="24"/>
                <w:highlight w:val="none"/>
                <w:lang w:val="en-US" w:eastAsia="zh-CN" w:bidi="ar-SA"/>
                <w14:textFill>
                  <w14:solidFill>
                    <w14:schemeClr w14:val="tx1"/>
                  </w14:solidFill>
                </w14:textFill>
              </w:rPr>
              <w:t>备</w:t>
            </w:r>
            <w:r>
              <w:rPr>
                <w:rFonts w:hint="eastAsia" w:ascii="宋体" w:hAnsi="宋体" w:eastAsia="宋体" w:cs="宋体"/>
                <w:b/>
                <w:bCs/>
                <w:color w:val="000000" w:themeColor="text1"/>
                <w:w w:val="95"/>
                <w:kern w:val="2"/>
                <w:sz w:val="24"/>
                <w:szCs w:val="24"/>
                <w:highlight w:val="none"/>
                <w:lang w:val="en-US" w:eastAsia="zh-CN" w:bidi="ar-SA"/>
                <w14:textFill>
                  <w14:solidFill>
                    <w14:schemeClr w14:val="tx1"/>
                  </w14:solidFill>
                </w14:textFill>
              </w:rPr>
              <w:tab/>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注</w:t>
            </w:r>
          </w:p>
        </w:tc>
      </w:tr>
      <w:tr w14:paraId="4231E4E6">
        <w:tblPrEx>
          <w:tblCellMar>
            <w:top w:w="0" w:type="dxa"/>
            <w:left w:w="0" w:type="dxa"/>
            <w:bottom w:w="0" w:type="dxa"/>
            <w:right w:w="0" w:type="dxa"/>
          </w:tblCellMar>
        </w:tblPrEx>
        <w:trPr>
          <w:trHeight w:val="418" w:hRule="exact"/>
        </w:trPr>
        <w:tc>
          <w:tcPr>
            <w:tcW w:w="678" w:type="dxa"/>
            <w:tcBorders>
              <w:top w:val="single" w:color="000000" w:sz="4" w:space="0"/>
              <w:left w:val="single" w:color="000000" w:sz="4" w:space="0"/>
              <w:bottom w:val="single" w:color="000000" w:sz="4" w:space="0"/>
              <w:right w:val="single" w:color="000000" w:sz="4" w:space="0"/>
            </w:tcBorders>
          </w:tcPr>
          <w:p w14:paraId="720A797F">
            <w:pPr>
              <w:widowControl w:val="0"/>
              <w:spacing w:line="400" w:lineRule="exact"/>
              <w:ind w:right="1"/>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w w:val="99"/>
                <w:kern w:val="2"/>
                <w:sz w:val="24"/>
                <w:szCs w:val="24"/>
                <w:highlight w:val="none"/>
                <w:lang w:val="en-US" w:eastAsia="zh-CN" w:bidi="ar-SA"/>
                <w14:textFill>
                  <w14:solidFill>
                    <w14:schemeClr w14:val="tx1"/>
                  </w14:solidFill>
                </w14:textFill>
              </w:rPr>
              <w:t>1</w:t>
            </w:r>
          </w:p>
        </w:tc>
        <w:tc>
          <w:tcPr>
            <w:tcW w:w="5400" w:type="dxa"/>
            <w:tcBorders>
              <w:top w:val="single" w:color="000000" w:sz="4" w:space="0"/>
              <w:left w:val="single" w:color="000000" w:sz="4" w:space="0"/>
              <w:bottom w:val="single" w:color="000000" w:sz="4" w:space="0"/>
              <w:right w:val="single" w:color="000000" w:sz="4" w:space="0"/>
            </w:tcBorders>
            <w:vAlign w:val="center"/>
          </w:tcPr>
          <w:p w14:paraId="155B4B58">
            <w:pPr>
              <w:widowControl w:val="0"/>
              <w:spacing w:line="400" w:lineRule="exact"/>
              <w:ind w:left="102"/>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相关资料收集及数据处理</w:t>
            </w:r>
          </w:p>
        </w:tc>
        <w:tc>
          <w:tcPr>
            <w:tcW w:w="3354" w:type="dxa"/>
            <w:tcBorders>
              <w:top w:val="single" w:color="000000" w:sz="4" w:space="0"/>
              <w:left w:val="single" w:color="000000" w:sz="4" w:space="0"/>
              <w:bottom w:val="single" w:color="000000" w:sz="4" w:space="0"/>
              <w:right w:val="single" w:color="000000" w:sz="4" w:space="0"/>
            </w:tcBorders>
          </w:tcPr>
          <w:p w14:paraId="17D89DED">
            <w:pPr>
              <w:spacing w:line="400" w:lineRule="exact"/>
              <w:rPr>
                <w:rFonts w:ascii="宋体" w:hAnsi="宋体" w:eastAsia="宋体" w:cs="宋体"/>
                <w:color w:val="000000" w:themeColor="text1"/>
                <w:sz w:val="24"/>
                <w:highlight w:val="none"/>
                <w14:textFill>
                  <w14:solidFill>
                    <w14:schemeClr w14:val="tx1"/>
                  </w14:solidFill>
                </w14:textFill>
              </w:rPr>
            </w:pPr>
          </w:p>
        </w:tc>
      </w:tr>
      <w:tr w14:paraId="3C10493A">
        <w:tblPrEx>
          <w:tblCellMar>
            <w:top w:w="0" w:type="dxa"/>
            <w:left w:w="0" w:type="dxa"/>
            <w:bottom w:w="0" w:type="dxa"/>
            <w:right w:w="0" w:type="dxa"/>
          </w:tblCellMar>
        </w:tblPrEx>
        <w:trPr>
          <w:trHeight w:val="396" w:hRule="exact"/>
        </w:trPr>
        <w:tc>
          <w:tcPr>
            <w:tcW w:w="678" w:type="dxa"/>
            <w:tcBorders>
              <w:top w:val="single" w:color="000000" w:sz="4" w:space="0"/>
              <w:left w:val="single" w:color="000000" w:sz="4" w:space="0"/>
              <w:bottom w:val="single" w:color="000000" w:sz="4" w:space="0"/>
              <w:right w:val="single" w:color="000000" w:sz="4" w:space="0"/>
            </w:tcBorders>
          </w:tcPr>
          <w:p w14:paraId="0DCB9094">
            <w:pPr>
              <w:widowControl w:val="0"/>
              <w:spacing w:line="400" w:lineRule="exact"/>
              <w:ind w:right="1"/>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w w:val="99"/>
                <w:kern w:val="2"/>
                <w:sz w:val="24"/>
                <w:szCs w:val="24"/>
                <w:highlight w:val="none"/>
                <w:lang w:val="en-US" w:eastAsia="zh-CN" w:bidi="ar-SA"/>
                <w14:textFill>
                  <w14:solidFill>
                    <w14:schemeClr w14:val="tx1"/>
                  </w14:solidFill>
                </w14:textFill>
              </w:rPr>
              <w:t>2</w:t>
            </w:r>
          </w:p>
        </w:tc>
        <w:tc>
          <w:tcPr>
            <w:tcW w:w="5400" w:type="dxa"/>
            <w:tcBorders>
              <w:top w:val="single" w:color="000000" w:sz="4" w:space="0"/>
              <w:left w:val="single" w:color="000000" w:sz="4" w:space="0"/>
              <w:bottom w:val="single" w:color="000000" w:sz="4" w:space="0"/>
              <w:right w:val="single" w:color="000000" w:sz="4" w:space="0"/>
            </w:tcBorders>
            <w:vAlign w:val="center"/>
          </w:tcPr>
          <w:p w14:paraId="39D0E337">
            <w:pPr>
              <w:widowControl w:val="0"/>
              <w:spacing w:line="400" w:lineRule="exact"/>
              <w:ind w:left="102"/>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调查工作底图制作</w:t>
            </w:r>
          </w:p>
        </w:tc>
        <w:tc>
          <w:tcPr>
            <w:tcW w:w="3354" w:type="dxa"/>
            <w:tcBorders>
              <w:top w:val="single" w:color="000000" w:sz="4" w:space="0"/>
              <w:left w:val="single" w:color="000000" w:sz="4" w:space="0"/>
              <w:bottom w:val="single" w:color="000000" w:sz="4" w:space="0"/>
              <w:right w:val="single" w:color="000000" w:sz="4" w:space="0"/>
            </w:tcBorders>
          </w:tcPr>
          <w:p w14:paraId="41CC5A18">
            <w:pPr>
              <w:spacing w:line="400" w:lineRule="exact"/>
              <w:rPr>
                <w:rFonts w:ascii="宋体" w:hAnsi="宋体" w:eastAsia="宋体" w:cs="宋体"/>
                <w:color w:val="000000" w:themeColor="text1"/>
                <w:sz w:val="24"/>
                <w:highlight w:val="none"/>
                <w14:textFill>
                  <w14:solidFill>
                    <w14:schemeClr w14:val="tx1"/>
                  </w14:solidFill>
                </w14:textFill>
              </w:rPr>
            </w:pPr>
          </w:p>
        </w:tc>
      </w:tr>
      <w:tr w14:paraId="5DFB31A5">
        <w:tblPrEx>
          <w:tblCellMar>
            <w:top w:w="0" w:type="dxa"/>
            <w:left w:w="0" w:type="dxa"/>
            <w:bottom w:w="0" w:type="dxa"/>
            <w:right w:w="0" w:type="dxa"/>
          </w:tblCellMar>
        </w:tblPrEx>
        <w:trPr>
          <w:trHeight w:val="1452" w:hRule="exact"/>
        </w:trPr>
        <w:tc>
          <w:tcPr>
            <w:tcW w:w="678" w:type="dxa"/>
            <w:tcBorders>
              <w:top w:val="single" w:color="000000" w:sz="4" w:space="0"/>
              <w:left w:val="single" w:color="000000" w:sz="4" w:space="0"/>
              <w:bottom w:val="single" w:color="000000" w:sz="4" w:space="0"/>
              <w:right w:val="single" w:color="000000" w:sz="4" w:space="0"/>
            </w:tcBorders>
          </w:tcPr>
          <w:p w14:paraId="2FA1B530">
            <w:pPr>
              <w:widowControl w:val="0"/>
              <w:spacing w:before="125" w:line="400" w:lineRule="exact"/>
              <w:ind w:right="1"/>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w w:val="99"/>
                <w:kern w:val="2"/>
                <w:sz w:val="24"/>
                <w:szCs w:val="24"/>
                <w:highlight w:val="none"/>
                <w:lang w:val="en-US" w:eastAsia="zh-CN" w:bidi="ar-SA"/>
                <w14:textFill>
                  <w14:solidFill>
                    <w14:schemeClr w14:val="tx1"/>
                  </w14:solidFill>
                </w14:textFill>
              </w:rPr>
              <w:t>3</w:t>
            </w:r>
          </w:p>
        </w:tc>
        <w:tc>
          <w:tcPr>
            <w:tcW w:w="5400" w:type="dxa"/>
            <w:tcBorders>
              <w:top w:val="single" w:color="000000" w:sz="4" w:space="0"/>
              <w:left w:val="single" w:color="000000" w:sz="4" w:space="0"/>
              <w:bottom w:val="single" w:color="000000" w:sz="4" w:space="0"/>
              <w:right w:val="single" w:color="000000" w:sz="4" w:space="0"/>
            </w:tcBorders>
            <w:vAlign w:val="center"/>
          </w:tcPr>
          <w:p w14:paraId="198D84BE">
            <w:pPr>
              <w:widowControl w:val="0"/>
              <w:spacing w:before="41" w:line="400" w:lineRule="exact"/>
              <w:ind w:left="102" w:right="102"/>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3"/>
                <w:kern w:val="2"/>
                <w:sz w:val="24"/>
                <w:szCs w:val="24"/>
                <w:highlight w:val="none"/>
                <w:lang w:val="en-US" w:eastAsia="zh-CN" w:bidi="ar-SA"/>
                <w14:textFill>
                  <w14:solidFill>
                    <w14:schemeClr w14:val="tx1"/>
                  </w14:solidFill>
                </w14:textFill>
              </w:rPr>
              <w:t>水库的调查和确权（包括内外业调查、水下地形测量</w:t>
            </w:r>
            <w:r>
              <w:rPr>
                <w:rFonts w:hint="eastAsia" w:ascii="宋体" w:hAnsi="宋体" w:cs="宋体"/>
                <w:color w:val="000000" w:themeColor="text1"/>
                <w:spacing w:val="-3"/>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pacing w:val="-3"/>
                <w:kern w:val="2"/>
                <w:sz w:val="24"/>
                <w:szCs w:val="24"/>
                <w:highlight w:val="none"/>
                <w:lang w:val="en-US" w:eastAsia="zh-CN" w:bidi="ar-SA"/>
                <w14:textFill>
                  <w14:solidFill>
                    <w14:schemeClr w14:val="tx1"/>
                  </w14:solidFill>
                </w14:textFill>
              </w:rPr>
              <w:t>信息关联、权</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属界线调查、预划登记单元、调查成果上图入库等）</w:t>
            </w:r>
          </w:p>
        </w:tc>
        <w:tc>
          <w:tcPr>
            <w:tcW w:w="3354" w:type="dxa"/>
            <w:tcBorders>
              <w:top w:val="single" w:color="000000" w:sz="4" w:space="0"/>
              <w:left w:val="single" w:color="000000" w:sz="4" w:space="0"/>
              <w:bottom w:val="single" w:color="000000" w:sz="4" w:space="0"/>
              <w:right w:val="single" w:color="000000" w:sz="4" w:space="0"/>
            </w:tcBorders>
          </w:tcPr>
          <w:p w14:paraId="090DC56F">
            <w:pPr>
              <w:spacing w:line="400" w:lineRule="exact"/>
              <w:rPr>
                <w:rFonts w:ascii="宋体" w:hAnsi="宋体" w:eastAsia="宋体" w:cs="宋体"/>
                <w:color w:val="000000" w:themeColor="text1"/>
                <w:sz w:val="24"/>
                <w:highlight w:val="none"/>
                <w14:textFill>
                  <w14:solidFill>
                    <w14:schemeClr w14:val="tx1"/>
                  </w14:solidFill>
                </w14:textFill>
              </w:rPr>
            </w:pPr>
          </w:p>
        </w:tc>
      </w:tr>
      <w:tr w14:paraId="7341326E">
        <w:tblPrEx>
          <w:tblCellMar>
            <w:top w:w="0" w:type="dxa"/>
            <w:left w:w="0" w:type="dxa"/>
            <w:bottom w:w="0" w:type="dxa"/>
            <w:right w:w="0" w:type="dxa"/>
          </w:tblCellMar>
        </w:tblPrEx>
        <w:trPr>
          <w:trHeight w:val="800" w:hRule="exact"/>
        </w:trPr>
        <w:tc>
          <w:tcPr>
            <w:tcW w:w="678" w:type="dxa"/>
            <w:tcBorders>
              <w:top w:val="single" w:color="000000" w:sz="4" w:space="0"/>
              <w:left w:val="single" w:color="000000" w:sz="4" w:space="0"/>
              <w:bottom w:val="single" w:color="000000" w:sz="4" w:space="0"/>
              <w:right w:val="single" w:color="000000" w:sz="4" w:space="0"/>
            </w:tcBorders>
          </w:tcPr>
          <w:p w14:paraId="23F0554E">
            <w:pPr>
              <w:widowControl w:val="0"/>
              <w:spacing w:before="83" w:line="400" w:lineRule="exact"/>
              <w:ind w:right="1"/>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w w:val="99"/>
                <w:kern w:val="2"/>
                <w:sz w:val="24"/>
                <w:szCs w:val="24"/>
                <w:highlight w:val="none"/>
                <w:lang w:val="en-US" w:eastAsia="zh-CN" w:bidi="ar-SA"/>
                <w14:textFill>
                  <w14:solidFill>
                    <w14:schemeClr w14:val="tx1"/>
                  </w14:solidFill>
                </w14:textFill>
              </w:rPr>
              <w:t>4</w:t>
            </w:r>
          </w:p>
        </w:tc>
        <w:tc>
          <w:tcPr>
            <w:tcW w:w="5400" w:type="dxa"/>
            <w:tcBorders>
              <w:top w:val="single" w:color="000000" w:sz="4" w:space="0"/>
              <w:left w:val="single" w:color="000000" w:sz="4" w:space="0"/>
              <w:bottom w:val="single" w:color="000000" w:sz="4" w:space="0"/>
              <w:right w:val="single" w:color="000000" w:sz="4" w:space="0"/>
            </w:tcBorders>
            <w:vAlign w:val="center"/>
          </w:tcPr>
          <w:p w14:paraId="578D6954">
            <w:pPr>
              <w:widowControl w:val="0"/>
              <w:spacing w:before="83" w:line="400" w:lineRule="exact"/>
              <w:ind w:left="102"/>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数据库建设</w:t>
            </w:r>
          </w:p>
        </w:tc>
        <w:tc>
          <w:tcPr>
            <w:tcW w:w="3354" w:type="dxa"/>
            <w:tcBorders>
              <w:top w:val="single" w:color="000000" w:sz="4" w:space="0"/>
              <w:left w:val="single" w:color="000000" w:sz="4" w:space="0"/>
              <w:bottom w:val="single" w:color="000000" w:sz="4" w:space="0"/>
              <w:right w:val="single" w:color="000000" w:sz="4" w:space="0"/>
            </w:tcBorders>
          </w:tcPr>
          <w:p w14:paraId="1743A18D">
            <w:pPr>
              <w:widowControl w:val="0"/>
              <w:spacing w:line="400" w:lineRule="exact"/>
              <w:ind w:left="101" w:right="103"/>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9"/>
                <w:kern w:val="2"/>
                <w:sz w:val="24"/>
                <w:szCs w:val="24"/>
                <w:highlight w:val="none"/>
                <w:lang w:val="en-US" w:eastAsia="zh-CN" w:bidi="ar-SA"/>
                <w14:textFill>
                  <w14:solidFill>
                    <w14:schemeClr w14:val="tx1"/>
                  </w14:solidFill>
                </w14:textFill>
              </w:rPr>
              <w:t>包括数据库汇总及数据库建</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设</w:t>
            </w:r>
          </w:p>
        </w:tc>
      </w:tr>
      <w:tr w14:paraId="461ECCA8">
        <w:tblPrEx>
          <w:tblCellMar>
            <w:top w:w="0" w:type="dxa"/>
            <w:left w:w="0" w:type="dxa"/>
            <w:bottom w:w="0" w:type="dxa"/>
            <w:right w:w="0" w:type="dxa"/>
          </w:tblCellMar>
        </w:tblPrEx>
        <w:trPr>
          <w:trHeight w:val="910" w:hRule="exact"/>
        </w:trPr>
        <w:tc>
          <w:tcPr>
            <w:tcW w:w="678" w:type="dxa"/>
            <w:tcBorders>
              <w:top w:val="single" w:color="000000" w:sz="4" w:space="0"/>
              <w:left w:val="single" w:color="000000" w:sz="4" w:space="0"/>
              <w:bottom w:val="single" w:color="000000" w:sz="4" w:space="0"/>
              <w:right w:val="single" w:color="000000" w:sz="4" w:space="0"/>
            </w:tcBorders>
          </w:tcPr>
          <w:p w14:paraId="5557CD66">
            <w:pPr>
              <w:widowControl w:val="0"/>
              <w:spacing w:before="83" w:line="400" w:lineRule="exact"/>
              <w:ind w:right="1"/>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w w:val="99"/>
                <w:kern w:val="2"/>
                <w:sz w:val="24"/>
                <w:szCs w:val="24"/>
                <w:highlight w:val="none"/>
                <w:lang w:val="en-US" w:eastAsia="zh-CN" w:bidi="ar-SA"/>
                <w14:textFill>
                  <w14:solidFill>
                    <w14:schemeClr w14:val="tx1"/>
                  </w14:solidFill>
                </w14:textFill>
              </w:rPr>
              <w:t>5</w:t>
            </w:r>
          </w:p>
        </w:tc>
        <w:tc>
          <w:tcPr>
            <w:tcW w:w="5400" w:type="dxa"/>
            <w:tcBorders>
              <w:top w:val="single" w:color="000000" w:sz="4" w:space="0"/>
              <w:left w:val="single" w:color="000000" w:sz="4" w:space="0"/>
              <w:bottom w:val="single" w:color="000000" w:sz="4" w:space="0"/>
              <w:right w:val="single" w:color="000000" w:sz="4" w:space="0"/>
            </w:tcBorders>
            <w:vAlign w:val="center"/>
          </w:tcPr>
          <w:p w14:paraId="4867184A">
            <w:pPr>
              <w:widowControl w:val="0"/>
              <w:spacing w:before="2" w:line="400" w:lineRule="exact"/>
              <w:ind w:left="102" w:right="99"/>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3"/>
                <w:kern w:val="2"/>
                <w:sz w:val="24"/>
                <w:szCs w:val="24"/>
                <w:highlight w:val="none"/>
                <w:lang w:val="en-US" w:eastAsia="zh-CN" w:bidi="ar-SA"/>
                <w14:textFill>
                  <w14:solidFill>
                    <w14:schemeClr w14:val="tx1"/>
                  </w14:solidFill>
                </w14:textFill>
              </w:rPr>
              <w:t>成果制作（包括数据库成果、图件成果、文字报告</w:t>
            </w:r>
            <w:r>
              <w:rPr>
                <w:rFonts w:hint="eastAsia" w:ascii="宋体" w:hAnsi="宋体" w:cs="宋体"/>
                <w:color w:val="000000" w:themeColor="text1"/>
                <w:spacing w:val="-3"/>
                <w:kern w:val="2"/>
                <w:sz w:val="24"/>
                <w:szCs w:val="24"/>
                <w:highlight w:val="none"/>
                <w:lang w:val="en-US" w:eastAsia="zh-CN" w:bidi="ar-SA"/>
                <w14:textFill>
                  <w14:solidFill>
                    <w14:schemeClr w14:val="tx1"/>
                  </w14:solidFill>
                </w14:textFill>
              </w:rPr>
              <w:t>、水库的水资源基础调查成果</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tc>
        <w:tc>
          <w:tcPr>
            <w:tcW w:w="3354" w:type="dxa"/>
            <w:tcBorders>
              <w:top w:val="single" w:color="000000" w:sz="4" w:space="0"/>
              <w:left w:val="single" w:color="000000" w:sz="4" w:space="0"/>
              <w:bottom w:val="single" w:color="000000" w:sz="4" w:space="0"/>
              <w:right w:val="single" w:color="000000" w:sz="4" w:space="0"/>
            </w:tcBorders>
          </w:tcPr>
          <w:p w14:paraId="123C3673">
            <w:pPr>
              <w:widowControl w:val="0"/>
              <w:spacing w:before="2" w:line="400" w:lineRule="exact"/>
              <w:ind w:left="101" w:right="103"/>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7"/>
                <w:kern w:val="2"/>
                <w:sz w:val="24"/>
                <w:szCs w:val="24"/>
                <w:highlight w:val="none"/>
                <w:lang w:val="en-US" w:eastAsia="zh-CN" w:bidi="ar-SA"/>
                <w14:textFill>
                  <w14:solidFill>
                    <w14:schemeClr w14:val="tx1"/>
                  </w14:solidFill>
                </w14:textFill>
              </w:rPr>
              <w:t>包括汇总调查文字报告、图件</w:t>
            </w:r>
            <w:r>
              <w:rPr>
                <w:rFonts w:hint="eastAsia" w:ascii="宋体" w:hAnsi="宋体" w:eastAsia="宋体" w:cs="宋体"/>
                <w:color w:val="000000" w:themeColor="text1"/>
                <w:w w:val="99"/>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成果等</w:t>
            </w:r>
          </w:p>
        </w:tc>
      </w:tr>
    </w:tbl>
    <w:p w14:paraId="3A2E013F">
      <w:pPr>
        <w:spacing w:before="12"/>
        <w:rPr>
          <w:rFonts w:ascii="微软雅黑" w:hAnsi="微软雅黑" w:eastAsia="微软雅黑" w:cs="微软雅黑"/>
          <w:color w:val="000000" w:themeColor="text1"/>
          <w:sz w:val="23"/>
          <w:szCs w:val="23"/>
          <w:highlight w:val="none"/>
          <w14:textFill>
            <w14:solidFill>
              <w14:schemeClr w14:val="tx1"/>
            </w14:solidFill>
          </w14:textFill>
        </w:rPr>
      </w:pPr>
    </w:p>
    <w:p w14:paraId="0C738B0F">
      <w:pPr>
        <w:pageBreakBefore w:val="0"/>
        <w:widowControl w:val="0"/>
        <w:kinsoku/>
        <w:wordWrap/>
        <w:overflowPunct/>
        <w:topLinePunct w:val="0"/>
        <w:bidi w:val="0"/>
        <w:snapToGrid/>
        <w:spacing w:after="0" w:afterLines="0" w:line="400" w:lineRule="exact"/>
        <w:ind w:left="-376" w:leftChars="-179" w:right="-552" w:rightChars="-263" w:firstLine="518" w:firstLineChars="215"/>
        <w:jc w:val="both"/>
        <w:textAlignment w:val="auto"/>
        <w:outlineLvl w:val="7"/>
        <w:rPr>
          <w:rFonts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四、技术要求：</w:t>
      </w:r>
    </w:p>
    <w:p w14:paraId="2E61A200">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spacing w:val="45"/>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数学基础</w:t>
      </w:r>
    </w:p>
    <w:p w14:paraId="7C472032">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（1）坐标系统与投影方法</w:t>
      </w:r>
    </w:p>
    <w:p w14:paraId="2CA9D628">
      <w:pPr>
        <w:pageBreakBefore w:val="0"/>
        <w:widowControl w:val="0"/>
        <w:kinsoku/>
        <w:wordWrap/>
        <w:overflowPunct/>
        <w:topLinePunct w:val="0"/>
        <w:bidi w:val="0"/>
        <w:snapToGrid/>
        <w:spacing w:after="0" w:afterLines="0" w:line="400" w:lineRule="exact"/>
        <w:ind w:left="-376" w:leftChars="-179" w:right="-552" w:rightChars="-263" w:firstLine="503"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3"/>
          <w:kern w:val="2"/>
          <w:sz w:val="24"/>
          <w:szCs w:val="24"/>
          <w:highlight w:val="none"/>
          <w:lang w:val="en-US" w:eastAsia="zh-CN" w:bidi="ar-SA"/>
          <w14:textFill>
            <w14:solidFill>
              <w14:schemeClr w14:val="tx1"/>
            </w14:solidFill>
          </w14:textFill>
        </w:rPr>
        <w:t>采用“2000 国家大地坐标系”（CGCS2000），提供成果时再转换台州</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2000</w:t>
      </w:r>
      <w:r>
        <w:rPr>
          <w:rFonts w:hint="eastAsia" w:ascii="宋体" w:hAnsi="宋体" w:eastAsia="宋体" w:cs="宋体"/>
          <w:color w:val="000000" w:themeColor="text1"/>
          <w:spacing w:val="-24"/>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坐标系一份。</w:t>
      </w:r>
    </w:p>
    <w:p w14:paraId="3AF59016">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采用高斯—克吕格投影，标准的  3</w:t>
      </w:r>
      <w:r>
        <w:rPr>
          <w:rFonts w:hint="eastAsia" w:ascii="宋体" w:hAnsi="宋体" w:eastAsia="宋体" w:cs="宋体"/>
          <w:color w:val="000000" w:themeColor="text1"/>
          <w:spacing w:val="24"/>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度分带。</w:t>
      </w:r>
    </w:p>
    <w:p w14:paraId="6A34A010">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（2）高程基准</w:t>
      </w:r>
    </w:p>
    <w:p w14:paraId="57D86CE7">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采用“1985</w:t>
      </w:r>
      <w:r>
        <w:rPr>
          <w:rFonts w:hint="eastAsia" w:ascii="宋体" w:hAnsi="宋体" w:eastAsia="宋体" w:cs="宋体"/>
          <w:color w:val="000000" w:themeColor="text1"/>
          <w:spacing w:val="45"/>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国家高程基准”（二期）。 </w:t>
      </w:r>
    </w:p>
    <w:p w14:paraId="379B3012">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spacing w:val="45"/>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计量单位</w:t>
      </w:r>
    </w:p>
    <w:p w14:paraId="28FF6975">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长度单位采用米，统计汇总登记采用千米，小数点后保留两位有效数字。</w:t>
      </w:r>
    </w:p>
    <w:p w14:paraId="7A7E422C">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面积单位采用平方米，统计汇总登记采用公顷，小数点后保留两位有效数字。 </w:t>
      </w:r>
    </w:p>
    <w:p w14:paraId="045E497D">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spacing w:val="45"/>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精度要求</w:t>
      </w:r>
    </w:p>
    <w:p w14:paraId="0CD13C48">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图解法获取坐标相邻界址点的间距误差不大于图上  0.3mm，图上允许误差</w:t>
      </w:r>
      <w:r>
        <w:rPr>
          <w:rFonts w:hint="eastAsia" w:ascii="宋体" w:hAnsi="宋体" w:eastAsia="宋体" w:cs="宋体"/>
          <w:color w:val="000000" w:themeColor="text1"/>
          <w:spacing w:val="26"/>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0.6mm；</w:t>
      </w:r>
    </w:p>
    <w:p w14:paraId="3F317A3F">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界址点相对于临近控制点的点位误差不大于图上 0.3mm，图上允许误差</w:t>
      </w:r>
      <w:r>
        <w:rPr>
          <w:rFonts w:hint="eastAsia" w:ascii="宋体" w:hAnsi="宋体" w:eastAsia="宋体" w:cs="宋体"/>
          <w:color w:val="000000" w:themeColor="text1"/>
          <w:spacing w:val="34"/>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0.6mm；界址点 相对于邻近地物点的间距误差不大于图上  0.3mm，图上允许误差</w:t>
      </w:r>
      <w:r>
        <w:rPr>
          <w:rFonts w:hint="eastAsia" w:ascii="宋体" w:hAnsi="宋体" w:eastAsia="宋体" w:cs="宋体"/>
          <w:color w:val="000000" w:themeColor="text1"/>
          <w:spacing w:val="18"/>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0.6mm。</w:t>
      </w:r>
    </w:p>
    <w:p w14:paraId="510EA53E">
      <w:pPr>
        <w:pageBreakBefore w:val="0"/>
        <w:widowControl w:val="0"/>
        <w:kinsoku/>
        <w:wordWrap/>
        <w:overflowPunct/>
        <w:topLinePunct w:val="0"/>
        <w:bidi w:val="0"/>
        <w:snapToGrid/>
        <w:spacing w:after="0" w:afterLines="0" w:line="400" w:lineRule="exact"/>
        <w:ind w:left="-376" w:leftChars="-179" w:right="-552" w:rightChars="-263" w:firstLine="589"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7"/>
          <w:kern w:val="2"/>
          <w:sz w:val="24"/>
          <w:szCs w:val="24"/>
          <w:highlight w:val="none"/>
          <w:lang w:val="en-US" w:eastAsia="zh-CN" w:bidi="ar-SA"/>
          <w14:textFill>
            <w14:solidFill>
              <w14:schemeClr w14:val="tx1"/>
            </w14:solidFill>
          </w14:textFill>
        </w:rPr>
        <w:t>解析法界址点相对于临近控制点的点位误差和相邻界址点间的间距误差不大于±</w:t>
      </w:r>
      <w:r>
        <w:rPr>
          <w:rFonts w:hint="eastAsia" w:ascii="宋体" w:hAnsi="宋体" w:eastAsia="宋体" w:cs="宋体"/>
          <w:color w:val="000000" w:themeColor="text1"/>
          <w:w w:val="99"/>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0.10m，允许误差不大于±0.20m。</w:t>
      </w:r>
    </w:p>
    <w:p w14:paraId="7A546787">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图解法套合精度要求：采用图解法的，采集的地物界线和位置与影像上的地物的边界和位置的套合程度应控制在 3</w:t>
      </w:r>
      <w:r>
        <w:rPr>
          <w:rFonts w:hint="eastAsia" w:ascii="宋体" w:hAnsi="宋体" w:eastAsia="宋体" w:cs="宋体"/>
          <w:color w:val="000000" w:themeColor="text1"/>
          <w:spacing w:val="37"/>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spacing w:val="-3"/>
          <w:kern w:val="2"/>
          <w:sz w:val="24"/>
          <w:szCs w:val="24"/>
          <w:highlight w:val="none"/>
          <w:lang w:val="en-US" w:eastAsia="zh-CN" w:bidi="ar-SA"/>
          <w14:textFill>
            <w14:solidFill>
              <w14:schemeClr w14:val="tx1"/>
            </w14:solidFill>
          </w14:textFill>
        </w:rPr>
        <w:t>个像素以内。对于较弯曲的界址线，应适当增加拐点数，确</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保满足套合精度要求。建筑物与构筑物测量精度需按照国家不动产测量规定要求实施。建筑物和构筑物测量精度要求需按照国家不动产测量规定实施。</w:t>
      </w:r>
    </w:p>
    <w:p w14:paraId="03FD060F">
      <w:pPr>
        <w:pageBreakBefore w:val="0"/>
        <w:widowControl w:val="0"/>
        <w:kinsoku/>
        <w:wordWrap/>
        <w:overflowPunct/>
        <w:topLinePunct w:val="0"/>
        <w:bidi w:val="0"/>
        <w:snapToGrid/>
        <w:spacing w:after="0" w:afterLines="0" w:line="400" w:lineRule="exact"/>
        <w:ind w:left="-376" w:leftChars="-179" w:right="-552" w:rightChars="-263" w:firstLine="518" w:firstLineChars="215"/>
        <w:jc w:val="both"/>
        <w:textAlignment w:val="auto"/>
        <w:outlineLvl w:val="7"/>
        <w:rPr>
          <w:rFonts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五、工作流程：</w:t>
      </w:r>
    </w:p>
    <w:p w14:paraId="724EE3DE">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spacing w:val="46"/>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资料收集和加工处理全面收集项目区范围内的各类基础资料，主要包括：</w:t>
      </w:r>
    </w:p>
    <w:p w14:paraId="7DC6B2A5">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①基础数据：包括正射影像图、高分辨率卫星遥感影像（分辨率不低于 0.5</w:t>
      </w:r>
      <w:r>
        <w:rPr>
          <w:rFonts w:hint="eastAsia" w:ascii="宋体" w:hAnsi="宋体" w:eastAsia="宋体" w:cs="宋体"/>
          <w:color w:val="000000" w:themeColor="text1"/>
          <w:spacing w:val="-26"/>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米）等；</w:t>
      </w:r>
    </w:p>
    <w:p w14:paraId="360BF359">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②各类资源调查成果：包括第三次国土调查、湿地资源调查、草地资源调查、森林资 源调查、水资源调查等成果；</w:t>
      </w:r>
    </w:p>
    <w:p w14:paraId="2DC026D6">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③国有土地使用权、集体土地所有权等不动产登记成果资料；</w:t>
      </w:r>
    </w:p>
    <w:p w14:paraId="69B0794E">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④相关部门的公共管制要求和特殊保护规定等资料；</w:t>
      </w:r>
    </w:p>
    <w:p w14:paraId="2DBD1E95">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⑤涉及的海洋公园的管理或保护审批资料，内部河流、湖泊等水流调查材料，内部珍惜动植物等资料。</w:t>
      </w:r>
    </w:p>
    <w:p w14:paraId="6EC2D10E">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2. 编制工作底图和确定登记范围 按照技术标准规范，对资料进行数据矢量化处理、数据格式转化、坐标转化等空间图形处理，采取一定技术手段对比例尺进行叠加转化。以最新正射影像图为基础制作，叠加全国第三次国土调查成果、集体土地所有权确权登记成果、国有土地使用权确权登记成果，以及公共管制和特殊保护等资料，编制工作底图，确定自然资源统一确权登记范围。 </w:t>
      </w:r>
    </w:p>
    <w:p w14:paraId="68B5968E">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spacing w:val="45"/>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预划登记单元</w:t>
      </w:r>
    </w:p>
    <w:p w14:paraId="15392140">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依据《办法》等规定，依据海洋公园管理或审批资料，充分利用第三次国土调查、自然资源专项调查等现有成果，确定自然资源统一确权登记范围，预划自然</w:t>
      </w:r>
      <w:r>
        <w:rPr>
          <w:rFonts w:hint="eastAsia" w:ascii="宋体" w:hAnsi="宋体" w:eastAsia="宋体" w:cs="宋体"/>
          <w:color w:val="000000" w:themeColor="text1"/>
          <w:spacing w:val="-10"/>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资源登记单元，并实地核实登记单元界线，与不动产登记的物权权属边界、第三次国土调</w:t>
      </w:r>
      <w:r>
        <w:rPr>
          <w:rFonts w:hint="eastAsia" w:ascii="宋体" w:hAnsi="宋体" w:eastAsia="宋体" w:cs="宋体"/>
          <w:color w:val="000000" w:themeColor="text1"/>
          <w:spacing w:val="-10"/>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查的工作界线和辖区行政界线做好衔接。</w:t>
      </w:r>
    </w:p>
    <w:p w14:paraId="52C90D4E">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4. 配合发布通告 </w:t>
      </w:r>
    </w:p>
    <w:p w14:paraId="3FE0FB28">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工作部署和预划登记单元情况，配合登记机构制作通告，交由玉环市人民政府采取适当的方式向社会发布。通告内容包括：登记单元的预划分；开展自然资源登记的时间；自然资源的类型、范围；需要相关主体配合的事项及其他需要告知的内容。</w:t>
      </w:r>
    </w:p>
    <w:p w14:paraId="481FEB79">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spacing w:val="45"/>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内业调查</w:t>
      </w:r>
    </w:p>
    <w:p w14:paraId="51FF2067">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①根据工作底图和预划的登记单元范围，利用全国第三次国土调查、自然资源专项调查成果为基础，采取室内判读为主、实地调查为辅的手段，提取自然资源登记单元内各类自然资源的自然状况信息，并按登记簿记载要求开展统计分析。</w:t>
      </w:r>
    </w:p>
    <w:p w14:paraId="39384467">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②利用集体土地所有权、国有土地使用权确权登记等成果进行权属界线落地上图，在内业土地权属界线信息提取的基础上，结合预划登记单元外业实地核实工作，最终形成自然资源权属界线对照图表；</w:t>
      </w:r>
    </w:p>
    <w:p w14:paraId="1014C060">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③对国土空间规划明确的用途、划定的生态保护红线、取水许可和排污许可信息等等公共管制要求进行内业整理、数据采集和技术关联；</w:t>
      </w:r>
    </w:p>
    <w:p w14:paraId="358B94F9">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w:t>
      </w:r>
      <w:r>
        <w:rPr>
          <w:rFonts w:hint="eastAsia" w:ascii="宋体" w:hAnsi="宋体" w:eastAsia="宋体" w:cs="宋体"/>
          <w:color w:val="000000" w:themeColor="text1"/>
          <w:spacing w:val="45"/>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对权籍调查成果进行实地核实</w:t>
      </w:r>
    </w:p>
    <w:p w14:paraId="6854860E">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配合将自然资源权属界线对照图表下发自然资源所在地，并在当地人民政府配合下， 对登记单元核实的权属界线结果，特别是重要界址点和权属纠纷界限进行进一步实地核实</w:t>
      </w:r>
      <w:r>
        <w:rPr>
          <w:rFonts w:hint="eastAsia" w:ascii="宋体" w:hAnsi="宋体" w:eastAsia="宋体" w:cs="宋体"/>
          <w:color w:val="000000" w:themeColor="text1"/>
          <w:spacing w:val="-10"/>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处理，确保权属界线核实和重要界址点设定科学、准确、规范。</w:t>
      </w:r>
    </w:p>
    <w:p w14:paraId="24FF71A7">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7. 实地补充调查对调查核实成果经进一步核实仍有缺失、不清晰、不一致或者存在争议的，采取解析和图解相结合的方式，开展实地补充调查，并进行权属争议调处。经调处，权属争议仍无法解决的，划分权属争议区。 </w:t>
      </w:r>
    </w:p>
    <w:p w14:paraId="0A0DD812">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color w:val="000000" w:themeColor="text1"/>
          <w:spacing w:val="45"/>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调查成果上图</w:t>
      </w:r>
    </w:p>
    <w:p w14:paraId="348E7103">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按照国家层面数据库建设标准等技术规定进行数据汇总，汇总登记单元范围内的自然状况、权属状况、公共管制情况，形成登记单元完整的调查成果。将登记范围内完整的调</w:t>
      </w:r>
      <w:r>
        <w:rPr>
          <w:rFonts w:hint="eastAsia" w:ascii="宋体" w:hAnsi="宋体" w:eastAsia="宋体" w:cs="宋体"/>
          <w:color w:val="000000" w:themeColor="text1"/>
          <w:spacing w:val="-10"/>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查成果上图，形成完善的自然资源调查成果图件。</w:t>
      </w:r>
    </w:p>
    <w:p w14:paraId="4811EBEC">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color w:val="000000" w:themeColor="text1"/>
          <w:spacing w:val="45"/>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数据入库</w:t>
      </w:r>
    </w:p>
    <w:p w14:paraId="6D4C0F9F">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按照国家数据库建设标准，将自然资源登记单元图等调查成果数据录入自然资源确权 登记信息系统，建设形成自然资源确权登记数据库。在此基础上，根据登记机构后续数据审核反馈意见情况，进一步做好数据成果的完善规范公正。</w:t>
      </w:r>
    </w:p>
    <w:p w14:paraId="14296DE8">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10. 配合开展登记审核 在登记机构前期数据审核的基础上，从技术层面按照制度规范配合开展登记审核工作，重点针对不同登记事项和内容，对整个登记工作流程、权籍调查工作成果等资料进行登记审核，提出审核初步意见。</w:t>
      </w:r>
    </w:p>
    <w:p w14:paraId="68DF0073">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13.</w:t>
      </w:r>
      <w:r>
        <w:rPr>
          <w:rFonts w:hint="eastAsia" w:ascii="宋体" w:hAnsi="宋体" w:eastAsia="宋体" w:cs="宋体"/>
          <w:color w:val="000000" w:themeColor="text1"/>
          <w:spacing w:val="45"/>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配合开展公告</w:t>
      </w:r>
    </w:p>
    <w:p w14:paraId="787A54C6">
      <w:pPr>
        <w:pageBreakBefore w:val="0"/>
        <w:widowControl w:val="0"/>
        <w:kinsoku/>
        <w:wordWrap/>
        <w:overflowPunct/>
        <w:topLinePunct w:val="0"/>
        <w:bidi w:val="0"/>
        <w:snapToGrid/>
        <w:spacing w:after="0" w:afterLines="0" w:line="400" w:lineRule="exact"/>
        <w:ind w:left="-376" w:leftChars="-179" w:right="-552" w:rightChars="-263" w:firstLine="503"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3"/>
          <w:kern w:val="2"/>
          <w:sz w:val="24"/>
          <w:szCs w:val="24"/>
          <w:highlight w:val="none"/>
          <w:lang w:val="en-US" w:eastAsia="zh-CN" w:bidi="ar-SA"/>
          <w14:textFill>
            <w14:solidFill>
              <w14:schemeClr w14:val="tx1"/>
            </w14:solidFill>
          </w14:textFill>
        </w:rPr>
        <w:t xml:space="preserve">配合制作公告文书，在玉环政府门户网站及指定场所发布公告，公告时长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15</w:t>
      </w:r>
      <w:r>
        <w:rPr>
          <w:rFonts w:hint="eastAsia" w:ascii="宋体" w:hAnsi="宋体" w:eastAsia="宋体" w:cs="宋体"/>
          <w:color w:val="000000" w:themeColor="text1"/>
          <w:spacing w:val="-12"/>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个工作日。</w:t>
      </w:r>
    </w:p>
    <w:p w14:paraId="18609FD7">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14.</w:t>
      </w:r>
      <w:r>
        <w:rPr>
          <w:rFonts w:hint="eastAsia" w:ascii="宋体" w:hAnsi="宋体" w:eastAsia="宋体" w:cs="宋体"/>
          <w:color w:val="000000" w:themeColor="text1"/>
          <w:spacing w:val="45"/>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协助开展登簿发证</w:t>
      </w:r>
    </w:p>
    <w:p w14:paraId="75315CEB">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登记机构将自然资源的权属状况、自然状况等内容记载于自然资源登记簿，并关联国土空间规划明确的用途、划定的生态保护红线等管制要求及其他特殊保护规定等信息，配合做好登簿、证书发放、登记成果归档管理等工作。</w:t>
      </w:r>
    </w:p>
    <w:p w14:paraId="10C7CAAD">
      <w:pPr>
        <w:pageBreakBefore w:val="0"/>
        <w:widowControl w:val="0"/>
        <w:kinsoku/>
        <w:wordWrap/>
        <w:overflowPunct/>
        <w:topLinePunct w:val="0"/>
        <w:bidi w:val="0"/>
        <w:snapToGrid/>
        <w:spacing w:after="0" w:afterLines="0" w:line="400" w:lineRule="exact"/>
        <w:ind w:left="-376" w:leftChars="-179" w:right="-552" w:rightChars="-263" w:firstLine="518" w:firstLineChars="215"/>
        <w:jc w:val="both"/>
        <w:textAlignment w:val="auto"/>
        <w:outlineLvl w:val="7"/>
        <w:rPr>
          <w:rFonts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六、成果要求：</w:t>
      </w:r>
    </w:p>
    <w:p w14:paraId="7F856C5D">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主要成果类型包括数据库成果、图件成果、表格成果、文字报告成果等。提交成果到自然资源地籍调查数据库，图件成果、文字报告等负责数据入库进入国家</w:t>
      </w:r>
      <w:r>
        <w:rPr>
          <w:rFonts w:hint="eastAsia" w:ascii="宋体" w:hAnsi="宋体" w:eastAsia="宋体" w:cs="宋体"/>
          <w:color w:val="000000" w:themeColor="text1"/>
          <w:spacing w:val="-10"/>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系统。</w:t>
      </w:r>
    </w:p>
    <w:p w14:paraId="1ED70D53">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1．数据库成果 由登记单元范围线、登记单元界址点坐标、登记单元图斑、生态红线、国有土地使用权、集体土地所有权等矢量数据形成的玉环市自然资源统一确权登记数据库。 </w:t>
      </w:r>
    </w:p>
    <w:p w14:paraId="19E7A179">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2．图件成果</w:t>
      </w:r>
    </w:p>
    <w:p w14:paraId="5AA26820">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①自然资源登记簿附图。包括自然资源空间范围界线、面积，所有权主体、所有权代</w:t>
      </w:r>
    </w:p>
    <w:p w14:paraId="61DC0B3E">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表行使主体、所有权代理行使主体，以及已登记的不动产权利界线，不同类型自然资源的</w:t>
      </w:r>
      <w:r>
        <w:rPr>
          <w:rFonts w:hint="eastAsia" w:ascii="宋体" w:hAnsi="宋体" w:eastAsia="宋体" w:cs="宋体"/>
          <w:color w:val="000000" w:themeColor="text1"/>
          <w:spacing w:val="-10"/>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边界、面积等信息。</w:t>
      </w:r>
    </w:p>
    <w:p w14:paraId="6CE66FE1">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②登记单元图。含登记单元的界线范围、行政区划界线。</w:t>
      </w:r>
    </w:p>
    <w:p w14:paraId="1DFC3BA2">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③登记单元内自然资源现状图。表示登记单元界线、地类图斑、资源类型等资源状况信息要素。</w:t>
      </w:r>
    </w:p>
    <w:p w14:paraId="71BCEAFB">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④登记单元权属界线专题图。包括所有权权属界线、资源类型界线、争议区范围、管理界线等，并标注所有权代表（代理）行使主体、面积等权属信息要素。</w:t>
      </w:r>
    </w:p>
    <w:p w14:paraId="770FD024">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⑤自然资源公共管制和特殊保护关联图件。包括登记单元范围涉及的公共管制界线、 特殊保护界线等关联信息要素。</w:t>
      </w:r>
    </w:p>
    <w:p w14:paraId="57826DCD">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⑥其他专题图件。</w:t>
      </w:r>
    </w:p>
    <w:p w14:paraId="7403F397">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3．表格成果</w:t>
      </w:r>
    </w:p>
    <w:p w14:paraId="2C207319">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①自然资源登记簿；</w:t>
      </w:r>
    </w:p>
    <w:p w14:paraId="613A1011">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②以行政区划为单位，按权属类型、资源类型统计自然资源的数量、地类面积、资源类型面积。</w:t>
      </w:r>
    </w:p>
    <w:p w14:paraId="61045F83">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③以登记单元为单位，按权属类型、资源类型统计资源资源的数量、地类面积、资源类型面积。</w:t>
      </w:r>
    </w:p>
    <w:p w14:paraId="42EB64EE">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4．文字报告成果</w:t>
      </w:r>
    </w:p>
    <w:p w14:paraId="0C372722">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①水库自然资源统一确权登记技术方案</w:t>
      </w:r>
    </w:p>
    <w:p w14:paraId="5350DC5A">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②水库自然资源统一确权工作总结报告</w:t>
      </w:r>
    </w:p>
    <w:p w14:paraId="74ACF6B5">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③水库自然资源统一确权工作技术报告 </w:t>
      </w:r>
    </w:p>
    <w:p w14:paraId="07D5256D">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spacing w:val="45"/>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成果数据格式</w:t>
      </w:r>
    </w:p>
    <w:p w14:paraId="7CFFB825">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①矢量数据采用 Shapefile</w:t>
      </w:r>
      <w:r>
        <w:rPr>
          <w:rFonts w:hint="eastAsia" w:ascii="宋体" w:hAnsi="宋体" w:eastAsia="宋体" w:cs="宋体"/>
          <w:color w:val="000000" w:themeColor="text1"/>
          <w:spacing w:val="-28"/>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格式；</w:t>
      </w:r>
    </w:p>
    <w:p w14:paraId="2D05232D">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②栅格数据采用 GEOTIFF、IMG</w:t>
      </w:r>
      <w:r>
        <w:rPr>
          <w:rFonts w:hint="eastAsia" w:ascii="宋体" w:hAnsi="宋体" w:eastAsia="宋体" w:cs="宋体"/>
          <w:color w:val="000000" w:themeColor="text1"/>
          <w:spacing w:val="-41"/>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格式；</w:t>
      </w:r>
    </w:p>
    <w:p w14:paraId="493DEF87">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③文本、表格等数据文件采用 Word、Excel、WPS</w:t>
      </w:r>
      <w:r>
        <w:rPr>
          <w:rFonts w:hint="eastAsia" w:ascii="宋体" w:hAnsi="宋体" w:eastAsia="宋体" w:cs="宋体"/>
          <w:color w:val="000000" w:themeColor="text1"/>
          <w:spacing w:val="-42"/>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格式；</w:t>
      </w:r>
    </w:p>
    <w:p w14:paraId="0D3E51AB">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④属性表数据采用</w:t>
      </w:r>
      <w:r>
        <w:rPr>
          <w:rFonts w:hint="eastAsia" w:ascii="宋体" w:hAnsi="宋体" w:eastAsia="宋体" w:cs="宋体"/>
          <w:color w:val="000000" w:themeColor="text1"/>
          <w:spacing w:val="-15"/>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Microsoft</w:t>
      </w:r>
      <w:r>
        <w:rPr>
          <w:rFonts w:hint="eastAsia" w:ascii="宋体" w:hAnsi="宋体" w:eastAsia="宋体" w:cs="宋体"/>
          <w:color w:val="000000" w:themeColor="text1"/>
          <w:spacing w:val="-4"/>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Office</w:t>
      </w:r>
      <w: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Access</w:t>
      </w:r>
      <w:r>
        <w:rPr>
          <w:rFonts w:hint="eastAsia" w:ascii="宋体" w:hAnsi="宋体" w:eastAsia="宋体" w:cs="宋体"/>
          <w:color w:val="000000" w:themeColor="text1"/>
          <w:spacing w:val="-13"/>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的</w:t>
      </w:r>
      <w:r>
        <w:rPr>
          <w:rFonts w:hint="eastAsia" w:ascii="宋体" w:hAnsi="宋体" w:eastAsia="宋体" w:cs="宋体"/>
          <w:color w:val="000000" w:themeColor="text1"/>
          <w:spacing w:val="-15"/>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mdb</w:t>
      </w:r>
      <w:r>
        <w:rPr>
          <w:rFonts w:hint="eastAsia" w:ascii="宋体" w:hAnsi="宋体" w:eastAsia="宋体" w:cs="宋体"/>
          <w:color w:val="000000" w:themeColor="text1"/>
          <w:spacing w:val="-16"/>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格式；</w:t>
      </w:r>
    </w:p>
    <w:p w14:paraId="5A9137B5">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⑤扫描文件采用 PDF</w:t>
      </w:r>
      <w:r>
        <w:rPr>
          <w:rFonts w:hint="eastAsia" w:ascii="宋体" w:hAnsi="宋体" w:eastAsia="宋体" w:cs="宋体"/>
          <w:color w:val="000000" w:themeColor="text1"/>
          <w:spacing w:val="-27"/>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格式。</w:t>
      </w:r>
    </w:p>
    <w:p w14:paraId="2D7B27D7">
      <w:pPr>
        <w:pageBreakBefore w:val="0"/>
        <w:widowControl w:val="0"/>
        <w:kinsoku/>
        <w:wordWrap/>
        <w:overflowPunct/>
        <w:topLinePunct w:val="0"/>
        <w:bidi w:val="0"/>
        <w:snapToGrid/>
        <w:spacing w:after="0" w:afterLines="0" w:line="400" w:lineRule="exact"/>
        <w:ind w:left="-376" w:leftChars="-179" w:right="-552" w:rightChars="-263" w:firstLine="518" w:firstLineChars="215"/>
        <w:jc w:val="both"/>
        <w:textAlignment w:val="auto"/>
        <w:outlineLvl w:val="7"/>
        <w:rPr>
          <w:rFonts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七、进度要求</w:t>
      </w:r>
    </w:p>
    <w:p w14:paraId="3FFBDF88">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按照《自然资源统一确权登记暂行办法》和自然资源统一确权登记相关规程规范等， 以不动产登记为基础，充分利用第三次国土调查等现势性成果，2024年12月底前完工并验收合格。</w:t>
      </w:r>
    </w:p>
    <w:p w14:paraId="37A256B3">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spacing w:val="-38"/>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由于自然资源统一确权登记工作的数据库标准及操作指南尚未正式印发，实际项目技</w:t>
      </w:r>
      <w:r>
        <w:rPr>
          <w:rFonts w:hint="eastAsia" w:ascii="宋体" w:hAnsi="宋体" w:eastAsia="宋体" w:cs="宋体"/>
          <w:color w:val="000000" w:themeColor="text1"/>
          <w:spacing w:val="-2"/>
          <w:kern w:val="2"/>
          <w:sz w:val="24"/>
          <w:szCs w:val="24"/>
          <w:highlight w:val="none"/>
          <w:lang w:val="en-US" w:eastAsia="zh-CN" w:bidi="ar-SA"/>
          <w14:textFill>
            <w14:solidFill>
              <w14:schemeClr w14:val="tx1"/>
            </w14:solidFill>
          </w14:textFill>
        </w:rPr>
        <w:t>术要求、工作任务和具体进度可经与采购人协商一致调整，但必须符合上级主管部门要求。</w:t>
      </w:r>
      <w:r>
        <w:rPr>
          <w:rFonts w:hint="eastAsia" w:ascii="宋体" w:hAnsi="宋体" w:eastAsia="宋体" w:cs="宋体"/>
          <w:color w:val="000000" w:themeColor="text1"/>
          <w:spacing w:val="-38"/>
          <w:kern w:val="2"/>
          <w:sz w:val="24"/>
          <w:szCs w:val="24"/>
          <w:highlight w:val="none"/>
          <w:lang w:val="en-US" w:eastAsia="zh-CN" w:bidi="ar-SA"/>
          <w14:textFill>
            <w14:solidFill>
              <w14:schemeClr w14:val="tx1"/>
            </w14:solidFill>
          </w14:textFill>
        </w:rPr>
        <w:t xml:space="preserve"> </w:t>
      </w:r>
    </w:p>
    <w:p w14:paraId="5642A3DF">
      <w:pPr>
        <w:pageBreakBefore w:val="0"/>
        <w:widowControl w:val="0"/>
        <w:kinsoku/>
        <w:wordWrap/>
        <w:overflowPunct/>
        <w:topLinePunct w:val="0"/>
        <w:bidi w:val="0"/>
        <w:snapToGrid/>
        <w:spacing w:after="0" w:afterLines="0" w:line="400" w:lineRule="exact"/>
        <w:ind w:left="-376" w:leftChars="-179" w:right="-552" w:rightChars="-263" w:firstLine="518"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八、主要依据：</w:t>
      </w:r>
    </w:p>
    <w:p w14:paraId="2887CEAF">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spacing w:val="45"/>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《中华人民共和国宪法》</w:t>
      </w:r>
    </w:p>
    <w:p w14:paraId="6F9C602B">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spacing w:val="45"/>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《中华人民共和国物权法》</w:t>
      </w:r>
    </w:p>
    <w:p w14:paraId="31070650">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spacing w:val="45"/>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《中华人民共和国土地管理法》</w:t>
      </w:r>
    </w:p>
    <w:p w14:paraId="0A43DE69">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spacing w:val="45"/>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《不动产登记暂行条例》</w:t>
      </w:r>
    </w:p>
    <w:p w14:paraId="62A98A5D">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spacing w:val="45"/>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《生态文明体制改革总体方案》</w:t>
      </w:r>
    </w:p>
    <w:p w14:paraId="04C47ECB">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w:t>
      </w:r>
      <w:r>
        <w:rPr>
          <w:rFonts w:hint="eastAsia" w:ascii="宋体" w:hAnsi="宋体" w:eastAsia="宋体" w:cs="宋体"/>
          <w:color w:val="000000" w:themeColor="text1"/>
          <w:spacing w:val="45"/>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《关于统筹推进自然资源资产产权制度改革的指导意见》</w:t>
      </w:r>
    </w:p>
    <w:p w14:paraId="61A4F35C">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color w:val="000000" w:themeColor="text1"/>
          <w:spacing w:val="45"/>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《关于建立以国家公园为主体的自然保护地体系的指导意见》</w:t>
      </w:r>
    </w:p>
    <w:p w14:paraId="5B10A8AB">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color w:val="000000" w:themeColor="text1"/>
          <w:spacing w:val="45"/>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《自然资源统一确权登记暂行办法》</w:t>
      </w:r>
    </w:p>
    <w:p w14:paraId="4DB9AD2C">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color w:val="000000" w:themeColor="text1"/>
          <w:spacing w:val="45"/>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《自然资源确权登记操作指南（试行）》</w:t>
      </w:r>
    </w:p>
    <w:p w14:paraId="7CDB3848">
      <w:pPr>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10.</w:t>
      </w:r>
      <w:r>
        <w:rPr>
          <w:rFonts w:hint="eastAsia" w:ascii="宋体" w:hAnsi="宋体" w:eastAsia="宋体" w:cs="宋体"/>
          <w:color w:val="000000" w:themeColor="text1"/>
          <w:spacing w:val="45"/>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《浙江省自然资源统一确权登记工作方》</w:t>
      </w:r>
    </w:p>
    <w:p w14:paraId="1E08C9B1">
      <w:pPr>
        <w:keepNext/>
        <w:keepLines/>
        <w:pageBreakBefore w:val="0"/>
        <w:widowControl w:val="0"/>
        <w:kinsoku/>
        <w:wordWrap/>
        <w:overflowPunct/>
        <w:topLinePunct w:val="0"/>
        <w:bidi w:val="0"/>
        <w:snapToGrid/>
        <w:spacing w:after="0" w:afterLines="0" w:line="400" w:lineRule="exact"/>
        <w:ind w:left="-376" w:leftChars="-179" w:right="-552" w:rightChars="-263" w:firstLine="518" w:firstLineChars="215"/>
        <w:jc w:val="both"/>
        <w:textAlignment w:val="auto"/>
        <w:outlineLvl w:val="0"/>
        <w:rPr>
          <w:rFonts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九、商务条款</w:t>
      </w:r>
    </w:p>
    <w:p w14:paraId="68811012">
      <w:pPr>
        <w:keepNext/>
        <w:keepLines/>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outlineLvl w:val="0"/>
        <w:rPr>
          <w:rFonts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1.付款方式：</w:t>
      </w:r>
    </w:p>
    <w:p w14:paraId="7BEA5F23">
      <w:pPr>
        <w:keepNext/>
        <w:keepLines/>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合同签订后，合同签订及具备实施条件后的7个工作日内支付合同总价的40%，作为预付款。</w:t>
      </w:r>
    </w:p>
    <w:p w14:paraId="24455F27">
      <w:pPr>
        <w:keepNext/>
        <w:keepLines/>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outlineLvl w:val="0"/>
        <w:rPr>
          <w:rFonts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成交供应商完成本项目工作并通过验收合格，甲方在一个月内支付合同总额的60%。</w:t>
      </w:r>
    </w:p>
    <w:p w14:paraId="0C31BE39">
      <w:pPr>
        <w:keepNext/>
        <w:keepLines/>
        <w:pageBreakBefore w:val="0"/>
        <w:widowControl w:val="0"/>
        <w:kinsoku/>
        <w:wordWrap/>
        <w:overflowPunct/>
        <w:topLinePunct w:val="0"/>
        <w:bidi w:val="0"/>
        <w:snapToGrid/>
        <w:spacing w:after="0" w:afterLines="0" w:line="400" w:lineRule="exact"/>
        <w:ind w:left="-376" w:leftChars="-179" w:right="-552" w:rightChars="-263" w:firstLine="516" w:firstLineChars="215"/>
        <w:jc w:val="both"/>
        <w:textAlignment w:val="auto"/>
        <w:outlineLvl w:val="0"/>
        <w:rPr>
          <w:rFonts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2完工期：2024年12月底前完工并验收合格。</w:t>
      </w:r>
    </w:p>
    <w:p w14:paraId="5628D374">
      <w:pPr>
        <w:pageBreakBefore w:val="0"/>
        <w:widowControl w:val="0"/>
        <w:kinsoku/>
        <w:wordWrap/>
        <w:overflowPunct/>
        <w:topLinePunct w:val="0"/>
        <w:bidi w:val="0"/>
        <w:snapToGrid/>
        <w:spacing w:line="400" w:lineRule="exact"/>
        <w:ind w:left="-376" w:leftChars="-179" w:right="-552" w:rightChars="-263" w:firstLine="516" w:firstLineChars="215"/>
        <w:textAlignment w:val="auto"/>
        <w:rPr>
          <w:rFonts w:ascii="宋体" w:hAnsi="宋体" w:eastAsia="宋体" w:cs="Times New Roman"/>
          <w:color w:val="000000" w:themeColor="text1"/>
          <w:sz w:val="24"/>
          <w:highlight w:val="none"/>
          <w:lang w:val="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3.</w:t>
      </w:r>
      <w:r>
        <w:rPr>
          <w:rFonts w:hint="eastAsia" w:ascii="宋体" w:hAnsi="宋体" w:eastAsia="宋体" w:cs="Times New Roman"/>
          <w:color w:val="000000" w:themeColor="text1"/>
          <w:sz w:val="24"/>
          <w:highlight w:val="none"/>
          <w:lang w:val="zh-CN"/>
          <w14:textFill>
            <w14:solidFill>
              <w14:schemeClr w14:val="tx1"/>
            </w14:solidFill>
          </w14:textFill>
        </w:rPr>
        <w:t>验收</w:t>
      </w:r>
    </w:p>
    <w:p w14:paraId="06C4BFA4">
      <w:pPr>
        <w:pageBreakBefore w:val="0"/>
        <w:widowControl w:val="0"/>
        <w:kinsoku/>
        <w:wordWrap/>
        <w:overflowPunct/>
        <w:topLinePunct w:val="0"/>
        <w:bidi w:val="0"/>
        <w:snapToGrid/>
        <w:spacing w:line="400" w:lineRule="exact"/>
        <w:ind w:left="-376" w:leftChars="-179" w:right="-552" w:rightChars="-263" w:firstLine="516" w:firstLineChars="215"/>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按照《自然资源统一确权登记暂行办法》和自然资源统一确权登记相关规程规范等，以不动产登记为基础，充分利用第三次国土调查等现势性成果，</w:t>
      </w:r>
      <w:r>
        <w:rPr>
          <w:rFonts w:ascii="宋体" w:hAnsi="宋体" w:eastAsia="宋体" w:cs="Times New Roman"/>
          <w:color w:val="000000" w:themeColor="text1"/>
          <w:sz w:val="24"/>
          <w:highlight w:val="none"/>
          <w14:textFill>
            <w14:solidFill>
              <w14:schemeClr w14:val="tx1"/>
            </w14:solidFill>
          </w14:textFill>
        </w:rPr>
        <w:t>2024</w:t>
      </w:r>
      <w:r>
        <w:rPr>
          <w:rFonts w:hint="eastAsia" w:ascii="宋体" w:hAnsi="宋体" w:eastAsia="宋体" w:cs="Times New Roman"/>
          <w:color w:val="000000" w:themeColor="text1"/>
          <w:sz w:val="24"/>
          <w:highlight w:val="none"/>
          <w14:textFill>
            <w14:solidFill>
              <w14:schemeClr w14:val="tx1"/>
            </w14:solidFill>
          </w14:textFill>
        </w:rPr>
        <w:t>年12月底前完工并全面验收直到合格（如国家省市有最新验收标准，按最新标准执行）。</w:t>
      </w:r>
    </w:p>
    <w:p w14:paraId="68F7636D">
      <w:pPr>
        <w:pageBreakBefore w:val="0"/>
        <w:widowControl w:val="0"/>
        <w:numPr>
          <w:ilvl w:val="0"/>
          <w:numId w:val="0"/>
        </w:numPr>
        <w:kinsoku/>
        <w:wordWrap/>
        <w:overflowPunct/>
        <w:topLinePunct w:val="0"/>
        <w:bidi w:val="0"/>
        <w:snapToGrid/>
        <w:spacing w:line="400" w:lineRule="exact"/>
        <w:ind w:left="-376" w:leftChars="-179" w:right="-552" w:rightChars="-263" w:firstLine="604" w:firstLineChars="215"/>
        <w:textAlignment w:val="auto"/>
        <w:rPr>
          <w:rFonts w:ascii="宋体" w:hAnsi="宋体" w:eastAsia="宋体" w:cs="Times New Roman"/>
          <w:b/>
          <w:bCs/>
          <w:color w:val="000000" w:themeColor="text1"/>
          <w:spacing w:val="20"/>
          <w:sz w:val="24"/>
          <w:highlight w:val="none"/>
          <w14:textFill>
            <w14:solidFill>
              <w14:schemeClr w14:val="tx1"/>
            </w14:solidFill>
          </w14:textFill>
        </w:rPr>
      </w:pPr>
      <w:r>
        <w:rPr>
          <w:rFonts w:hint="eastAsia" w:ascii="宋体" w:hAnsi="宋体" w:eastAsia="宋体" w:cs="Times New Roman"/>
          <w:b/>
          <w:bCs/>
          <w:color w:val="000000" w:themeColor="text1"/>
          <w:spacing w:val="20"/>
          <w:kern w:val="2"/>
          <w:sz w:val="24"/>
          <w:szCs w:val="24"/>
          <w:highlight w:val="none"/>
          <w:lang w:val="en-US" w:eastAsia="zh-CN" w:bidi="ar-SA"/>
          <w14:textFill>
            <w14:solidFill>
              <w14:schemeClr w14:val="tx1"/>
            </w14:solidFill>
          </w14:textFill>
        </w:rPr>
        <w:t>十、</w:t>
      </w:r>
      <w:r>
        <w:rPr>
          <w:rFonts w:hint="eastAsia" w:ascii="宋体" w:hAnsi="宋体" w:eastAsia="宋体" w:cs="Times New Roman"/>
          <w:b/>
          <w:bCs/>
          <w:color w:val="000000" w:themeColor="text1"/>
          <w:spacing w:val="20"/>
          <w:sz w:val="24"/>
          <w:highlight w:val="none"/>
          <w14:textFill>
            <w14:solidFill>
              <w14:schemeClr w14:val="tx1"/>
            </w14:solidFill>
          </w14:textFill>
        </w:rPr>
        <w:t>其他要求</w:t>
      </w:r>
    </w:p>
    <w:p w14:paraId="3D3A89C3">
      <w:pPr>
        <w:pStyle w:val="16"/>
        <w:pageBreakBefore w:val="0"/>
        <w:widowControl w:val="0"/>
        <w:kinsoku/>
        <w:wordWrap/>
        <w:overflowPunct/>
        <w:topLinePunct w:val="0"/>
        <w:bidi w:val="0"/>
        <w:snapToGrid/>
        <w:spacing w:after="0" w:afterLines="0" w:line="400" w:lineRule="exact"/>
        <w:ind w:left="-376" w:leftChars="-179" w:right="-552" w:rightChars="-263" w:firstLine="516" w:firstLineChars="21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Calibri" w:hAnsi="Calibri" w:eastAsia="宋体" w:cs="Calibri"/>
          <w:bCs/>
          <w:color w:val="000000" w:themeColor="text1"/>
          <w:kern w:val="2"/>
          <w:sz w:val="24"/>
          <w:szCs w:val="18"/>
          <w:highlight w:val="none"/>
          <w:lang w:val="en-US" w:eastAsia="zh-CN" w:bidi="ar-SA"/>
          <w14:textFill>
            <w14:solidFill>
              <w14:schemeClr w14:val="tx1"/>
            </w14:solidFill>
          </w14:textFill>
        </w:rPr>
        <w:t>本项目如需开展登簿发证，成交供应商需协助</w:t>
      </w:r>
      <w:r>
        <w:rPr>
          <w:rFonts w:hint="eastAsia" w:ascii="Calibri" w:hAnsi="Calibri" w:eastAsia="宋体" w:cs="Calibri"/>
          <w:color w:val="000000" w:themeColor="text1"/>
          <w:kern w:val="2"/>
          <w:sz w:val="24"/>
          <w:szCs w:val="18"/>
          <w:highlight w:val="none"/>
          <w:lang w:val="en-US" w:eastAsia="zh-CN" w:bidi="ar-SA"/>
          <w14:textFill>
            <w14:solidFill>
              <w14:schemeClr w14:val="tx1"/>
            </w14:solidFill>
          </w14:textFill>
        </w:rPr>
        <w:t>登记机构将自然资源的权属状况、自然状况等内容记载于自然资源登记簿，并关联国土空间规划明确的用途、划定的生态保护红线等管制要求及其他特殊保护规定等信息，配合做好登簿、证书发放、登记成果归档管理等工作。</w:t>
      </w:r>
    </w:p>
    <w:p w14:paraId="0793FE51">
      <w:pPr>
        <w:pStyle w:val="3"/>
        <w:keepNext/>
        <w:keepLines/>
        <w:pageBreakBefore/>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第五章　政府采购合同主要条款指引</w:t>
      </w:r>
    </w:p>
    <w:p w14:paraId="35A0A409">
      <w:pPr>
        <w:keepNext w:val="0"/>
        <w:keepLines w:val="0"/>
        <w:pageBreakBefore w:val="0"/>
        <w:widowControl/>
        <w:shd w:val="clear" w:color="auto" w:fill="FFFFFF"/>
        <w:kinsoku/>
        <w:wordWrap/>
        <w:overflowPunct/>
        <w:topLinePunct w:val="0"/>
        <w:bidi w:val="0"/>
        <w:spacing w:line="400" w:lineRule="exact"/>
        <w:ind w:firstLine="480"/>
        <w:jc w:val="lef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以下为成交后签定本项目合同的通用条款，成交供应商不得提出实质性的修改，关于专用条款将由采购人与成交供应商结合本项目具体情况协商后签订。</w:t>
      </w:r>
    </w:p>
    <w:p w14:paraId="0272945C">
      <w:pPr>
        <w:pStyle w:val="20"/>
        <w:keepNext w:val="0"/>
        <w:keepLines w:val="0"/>
        <w:pageBreakBefore w:val="0"/>
        <w:kinsoku/>
        <w:wordWrap/>
        <w:overflowPunct/>
        <w:topLinePunct w:val="0"/>
        <w:bidi w:val="0"/>
        <w:snapToGrid w:val="0"/>
        <w:spacing w:line="400" w:lineRule="exact"/>
        <w:textAlignment w:val="auto"/>
        <w:rPr>
          <w:rFonts w:hAnsi="宋体"/>
          <w:color w:val="000000" w:themeColor="text1"/>
          <w:sz w:val="24"/>
          <w:highlight w:val="none"/>
          <w14:textFill>
            <w14:solidFill>
              <w14:schemeClr w14:val="tx1"/>
            </w14:solidFill>
          </w14:textFill>
        </w:rPr>
      </w:pPr>
    </w:p>
    <w:p w14:paraId="74C05C60">
      <w:pPr>
        <w:widowControl w:val="0"/>
        <w:tabs>
          <w:tab w:val="left" w:pos="6115"/>
        </w:tabs>
        <w:spacing w:before="111" w:line="400" w:lineRule="exact"/>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甲方：（采购单位）</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所在地：</w:t>
      </w:r>
    </w:p>
    <w:p w14:paraId="5CFAAB6A">
      <w:pPr>
        <w:widowControl w:val="0"/>
        <w:tabs>
          <w:tab w:val="left" w:pos="6115"/>
        </w:tabs>
        <w:spacing w:line="400" w:lineRule="exact"/>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乙方：（中标供应商）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所在地：</w:t>
      </w:r>
    </w:p>
    <w:p w14:paraId="42030764">
      <w:pPr>
        <w:widowControl w:val="0"/>
        <w:tabs>
          <w:tab w:val="left" w:pos="1810"/>
        </w:tabs>
        <w:spacing w:before="7" w:line="400" w:lineRule="exact"/>
        <w:ind w:right="113" w:firstLine="480"/>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w:t>
      </w:r>
      <w:r>
        <w:rPr>
          <w:rFonts w:hint="eastAsia" w:ascii="宋体" w:hAnsi="宋体" w:eastAsia="宋体" w:cs="宋体"/>
          <w:color w:val="000000" w:themeColor="text1"/>
          <w:kern w:val="2"/>
          <w:sz w:val="24"/>
          <w:szCs w:val="24"/>
          <w:highlight w:val="none"/>
          <w:u w:val="single" w:color="000000"/>
          <w:lang w:val="en-US" w:eastAsia="zh-CN" w:bidi="ar-SA"/>
          <w14:textFill>
            <w14:solidFill>
              <w14:schemeClr w14:val="tx1"/>
            </w14:solidFill>
          </w14:textFill>
        </w:rPr>
        <w:tab/>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项目（项目编号：  ）竞争性磋商结果，并依据《中华人民共和国合同法》及其他有关法律、行政法规，遵循平等、自愿、公平和诚实信用的原则，甲、乙双方就本招标项目订立本合同。</w:t>
      </w:r>
    </w:p>
    <w:p w14:paraId="7CAF9649">
      <w:pPr>
        <w:widowControl w:val="0"/>
        <w:numPr>
          <w:ilvl w:val="0"/>
          <w:numId w:val="8"/>
        </w:numPr>
        <w:spacing w:line="400" w:lineRule="exact"/>
        <w:ind w:left="115"/>
        <w:jc w:val="both"/>
        <w:outlineLvl w:val="7"/>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合同内容与范围：</w:t>
      </w:r>
    </w:p>
    <w:p w14:paraId="5C433233">
      <w:pPr>
        <w:widowControl w:val="0"/>
        <w:numPr>
          <w:ilvl w:val="0"/>
          <w:numId w:val="0"/>
        </w:numPr>
        <w:spacing w:line="400" w:lineRule="exact"/>
        <w:ind w:firstLine="480" w:firstLineChars="200"/>
        <w:jc w:val="both"/>
        <w:outlineLvl w:val="7"/>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双庙水库、小闾水库、龙溪水库、芳杜水库、玉潭水库、横培水库、小陈岙水库、上田岙水库、里墩水库、石门坎水库等10个水库，总库容约2087.9立方米。</w:t>
      </w:r>
    </w:p>
    <w:tbl>
      <w:tblPr>
        <w:tblStyle w:val="103"/>
        <w:tblW w:w="9882" w:type="dxa"/>
        <w:tblInd w:w="-462" w:type="dxa"/>
        <w:tblLayout w:type="fixed"/>
        <w:tblCellMar>
          <w:top w:w="0" w:type="dxa"/>
          <w:left w:w="0" w:type="dxa"/>
          <w:bottom w:w="0" w:type="dxa"/>
          <w:right w:w="0" w:type="dxa"/>
        </w:tblCellMar>
      </w:tblPr>
      <w:tblGrid>
        <w:gridCol w:w="678"/>
        <w:gridCol w:w="5400"/>
        <w:gridCol w:w="3804"/>
      </w:tblGrid>
      <w:tr w14:paraId="66B299B8">
        <w:tblPrEx>
          <w:tblCellMar>
            <w:top w:w="0" w:type="dxa"/>
            <w:left w:w="0" w:type="dxa"/>
            <w:bottom w:w="0" w:type="dxa"/>
            <w:right w:w="0" w:type="dxa"/>
          </w:tblCellMar>
        </w:tblPrEx>
        <w:trPr>
          <w:trHeight w:val="426" w:hRule="exact"/>
        </w:trPr>
        <w:tc>
          <w:tcPr>
            <w:tcW w:w="678" w:type="dxa"/>
            <w:tcBorders>
              <w:top w:val="single" w:color="000000" w:sz="4" w:space="0"/>
              <w:left w:val="single" w:color="000000" w:sz="4" w:space="0"/>
              <w:bottom w:val="single" w:color="000000" w:sz="4" w:space="0"/>
              <w:right w:val="single" w:color="000000" w:sz="4" w:space="0"/>
            </w:tcBorders>
          </w:tcPr>
          <w:p w14:paraId="7E92731D">
            <w:pPr>
              <w:widowControl w:val="0"/>
              <w:spacing w:line="400" w:lineRule="exact"/>
              <w:ind w:left="124"/>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序号</w:t>
            </w:r>
          </w:p>
        </w:tc>
        <w:tc>
          <w:tcPr>
            <w:tcW w:w="5400" w:type="dxa"/>
            <w:tcBorders>
              <w:top w:val="single" w:color="000000" w:sz="4" w:space="0"/>
              <w:left w:val="single" w:color="000000" w:sz="4" w:space="0"/>
              <w:bottom w:val="single" w:color="000000" w:sz="4" w:space="0"/>
              <w:right w:val="single" w:color="000000" w:sz="4" w:space="0"/>
            </w:tcBorders>
          </w:tcPr>
          <w:p w14:paraId="27C9E120">
            <w:pPr>
              <w:widowControl w:val="0"/>
              <w:spacing w:line="400" w:lineRule="exact"/>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主 要 工 作 内</w:t>
            </w:r>
            <w:r>
              <w:rPr>
                <w:rFonts w:hint="eastAsia" w:ascii="宋体" w:hAnsi="宋体" w:eastAsia="宋体" w:cs="宋体"/>
                <w:b/>
                <w:bCs/>
                <w:color w:val="000000" w:themeColor="text1"/>
                <w:spacing w:val="23"/>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容</w:t>
            </w:r>
          </w:p>
        </w:tc>
        <w:tc>
          <w:tcPr>
            <w:tcW w:w="3804" w:type="dxa"/>
            <w:tcBorders>
              <w:top w:val="single" w:color="000000" w:sz="4" w:space="0"/>
              <w:left w:val="single" w:color="000000" w:sz="4" w:space="0"/>
              <w:bottom w:val="single" w:color="000000" w:sz="4" w:space="0"/>
              <w:right w:val="single" w:color="000000" w:sz="4" w:space="0"/>
            </w:tcBorders>
          </w:tcPr>
          <w:p w14:paraId="24416488">
            <w:pPr>
              <w:widowControl w:val="0"/>
              <w:tabs>
                <w:tab w:val="left" w:pos="525"/>
              </w:tabs>
              <w:spacing w:line="400" w:lineRule="exact"/>
              <w:ind w:right="1"/>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w w:val="95"/>
                <w:kern w:val="2"/>
                <w:sz w:val="24"/>
                <w:szCs w:val="24"/>
                <w:highlight w:val="none"/>
                <w:lang w:val="en-US" w:eastAsia="zh-CN" w:bidi="ar-SA"/>
                <w14:textFill>
                  <w14:solidFill>
                    <w14:schemeClr w14:val="tx1"/>
                  </w14:solidFill>
                </w14:textFill>
              </w:rPr>
              <w:t>备</w:t>
            </w:r>
            <w:r>
              <w:rPr>
                <w:rFonts w:hint="eastAsia" w:ascii="宋体" w:hAnsi="宋体" w:eastAsia="宋体" w:cs="宋体"/>
                <w:b/>
                <w:bCs/>
                <w:color w:val="000000" w:themeColor="text1"/>
                <w:w w:val="95"/>
                <w:kern w:val="2"/>
                <w:sz w:val="24"/>
                <w:szCs w:val="24"/>
                <w:highlight w:val="none"/>
                <w:lang w:val="en-US" w:eastAsia="zh-CN" w:bidi="ar-SA"/>
                <w14:textFill>
                  <w14:solidFill>
                    <w14:schemeClr w14:val="tx1"/>
                  </w14:solidFill>
                </w14:textFill>
              </w:rPr>
              <w:tab/>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注</w:t>
            </w:r>
          </w:p>
        </w:tc>
      </w:tr>
      <w:tr w14:paraId="68B1ACFE">
        <w:tblPrEx>
          <w:tblCellMar>
            <w:top w:w="0" w:type="dxa"/>
            <w:left w:w="0" w:type="dxa"/>
            <w:bottom w:w="0" w:type="dxa"/>
            <w:right w:w="0" w:type="dxa"/>
          </w:tblCellMar>
        </w:tblPrEx>
        <w:trPr>
          <w:trHeight w:val="418" w:hRule="exact"/>
        </w:trPr>
        <w:tc>
          <w:tcPr>
            <w:tcW w:w="678" w:type="dxa"/>
            <w:tcBorders>
              <w:top w:val="single" w:color="000000" w:sz="4" w:space="0"/>
              <w:left w:val="single" w:color="000000" w:sz="4" w:space="0"/>
              <w:bottom w:val="single" w:color="000000" w:sz="4" w:space="0"/>
              <w:right w:val="single" w:color="000000" w:sz="4" w:space="0"/>
            </w:tcBorders>
          </w:tcPr>
          <w:p w14:paraId="063423C8">
            <w:pPr>
              <w:widowControl w:val="0"/>
              <w:spacing w:line="400" w:lineRule="exact"/>
              <w:ind w:right="1"/>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w w:val="99"/>
                <w:kern w:val="2"/>
                <w:sz w:val="24"/>
                <w:szCs w:val="24"/>
                <w:highlight w:val="none"/>
                <w:lang w:val="en-US" w:eastAsia="zh-CN" w:bidi="ar-SA"/>
                <w14:textFill>
                  <w14:solidFill>
                    <w14:schemeClr w14:val="tx1"/>
                  </w14:solidFill>
                </w14:textFill>
              </w:rPr>
              <w:t>1</w:t>
            </w:r>
          </w:p>
        </w:tc>
        <w:tc>
          <w:tcPr>
            <w:tcW w:w="5400" w:type="dxa"/>
            <w:tcBorders>
              <w:top w:val="single" w:color="000000" w:sz="4" w:space="0"/>
              <w:left w:val="single" w:color="000000" w:sz="4" w:space="0"/>
              <w:bottom w:val="single" w:color="000000" w:sz="4" w:space="0"/>
              <w:right w:val="single" w:color="000000" w:sz="4" w:space="0"/>
            </w:tcBorders>
            <w:vAlign w:val="center"/>
          </w:tcPr>
          <w:p w14:paraId="5695C27B">
            <w:pPr>
              <w:widowControl w:val="0"/>
              <w:spacing w:line="400" w:lineRule="exact"/>
              <w:ind w:left="102"/>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相关资料收集及数据处理</w:t>
            </w:r>
          </w:p>
        </w:tc>
        <w:tc>
          <w:tcPr>
            <w:tcW w:w="3804" w:type="dxa"/>
            <w:tcBorders>
              <w:top w:val="single" w:color="000000" w:sz="4" w:space="0"/>
              <w:left w:val="single" w:color="000000" w:sz="4" w:space="0"/>
              <w:bottom w:val="single" w:color="000000" w:sz="4" w:space="0"/>
              <w:right w:val="single" w:color="000000" w:sz="4" w:space="0"/>
            </w:tcBorders>
          </w:tcPr>
          <w:p w14:paraId="57463876">
            <w:pPr>
              <w:spacing w:line="400" w:lineRule="exact"/>
              <w:rPr>
                <w:rFonts w:ascii="宋体" w:hAnsi="宋体" w:eastAsia="宋体" w:cs="宋体"/>
                <w:color w:val="000000" w:themeColor="text1"/>
                <w:sz w:val="24"/>
                <w:highlight w:val="none"/>
                <w14:textFill>
                  <w14:solidFill>
                    <w14:schemeClr w14:val="tx1"/>
                  </w14:solidFill>
                </w14:textFill>
              </w:rPr>
            </w:pPr>
          </w:p>
        </w:tc>
      </w:tr>
      <w:tr w14:paraId="28EC989A">
        <w:tblPrEx>
          <w:tblCellMar>
            <w:top w:w="0" w:type="dxa"/>
            <w:left w:w="0" w:type="dxa"/>
            <w:bottom w:w="0" w:type="dxa"/>
            <w:right w:w="0" w:type="dxa"/>
          </w:tblCellMar>
        </w:tblPrEx>
        <w:trPr>
          <w:trHeight w:val="396" w:hRule="exact"/>
        </w:trPr>
        <w:tc>
          <w:tcPr>
            <w:tcW w:w="678" w:type="dxa"/>
            <w:tcBorders>
              <w:top w:val="single" w:color="000000" w:sz="4" w:space="0"/>
              <w:left w:val="single" w:color="000000" w:sz="4" w:space="0"/>
              <w:bottom w:val="single" w:color="000000" w:sz="4" w:space="0"/>
              <w:right w:val="single" w:color="000000" w:sz="4" w:space="0"/>
            </w:tcBorders>
          </w:tcPr>
          <w:p w14:paraId="70B1A9F2">
            <w:pPr>
              <w:widowControl w:val="0"/>
              <w:spacing w:line="400" w:lineRule="exact"/>
              <w:ind w:right="1"/>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w w:val="99"/>
                <w:kern w:val="2"/>
                <w:sz w:val="24"/>
                <w:szCs w:val="24"/>
                <w:highlight w:val="none"/>
                <w:lang w:val="en-US" w:eastAsia="zh-CN" w:bidi="ar-SA"/>
                <w14:textFill>
                  <w14:solidFill>
                    <w14:schemeClr w14:val="tx1"/>
                  </w14:solidFill>
                </w14:textFill>
              </w:rPr>
              <w:t>2</w:t>
            </w:r>
          </w:p>
        </w:tc>
        <w:tc>
          <w:tcPr>
            <w:tcW w:w="5400" w:type="dxa"/>
            <w:tcBorders>
              <w:top w:val="single" w:color="000000" w:sz="4" w:space="0"/>
              <w:left w:val="single" w:color="000000" w:sz="4" w:space="0"/>
              <w:bottom w:val="single" w:color="000000" w:sz="4" w:space="0"/>
              <w:right w:val="single" w:color="000000" w:sz="4" w:space="0"/>
            </w:tcBorders>
            <w:vAlign w:val="center"/>
          </w:tcPr>
          <w:p w14:paraId="4B11101C">
            <w:pPr>
              <w:widowControl w:val="0"/>
              <w:spacing w:line="400" w:lineRule="exact"/>
              <w:ind w:left="102"/>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调查工作底图制作</w:t>
            </w:r>
          </w:p>
        </w:tc>
        <w:tc>
          <w:tcPr>
            <w:tcW w:w="3804" w:type="dxa"/>
            <w:tcBorders>
              <w:top w:val="single" w:color="000000" w:sz="4" w:space="0"/>
              <w:left w:val="single" w:color="000000" w:sz="4" w:space="0"/>
              <w:bottom w:val="single" w:color="000000" w:sz="4" w:space="0"/>
              <w:right w:val="single" w:color="000000" w:sz="4" w:space="0"/>
            </w:tcBorders>
          </w:tcPr>
          <w:p w14:paraId="6F06C056">
            <w:pPr>
              <w:spacing w:line="400" w:lineRule="exact"/>
              <w:rPr>
                <w:rFonts w:ascii="宋体" w:hAnsi="宋体" w:eastAsia="宋体" w:cs="宋体"/>
                <w:color w:val="000000" w:themeColor="text1"/>
                <w:sz w:val="24"/>
                <w:highlight w:val="none"/>
                <w14:textFill>
                  <w14:solidFill>
                    <w14:schemeClr w14:val="tx1"/>
                  </w14:solidFill>
                </w14:textFill>
              </w:rPr>
            </w:pPr>
          </w:p>
        </w:tc>
      </w:tr>
      <w:tr w14:paraId="1DBE1DB3">
        <w:tblPrEx>
          <w:tblCellMar>
            <w:top w:w="0" w:type="dxa"/>
            <w:left w:w="0" w:type="dxa"/>
            <w:bottom w:w="0" w:type="dxa"/>
            <w:right w:w="0" w:type="dxa"/>
          </w:tblCellMar>
        </w:tblPrEx>
        <w:trPr>
          <w:trHeight w:val="1452" w:hRule="exact"/>
        </w:trPr>
        <w:tc>
          <w:tcPr>
            <w:tcW w:w="678" w:type="dxa"/>
            <w:tcBorders>
              <w:top w:val="single" w:color="000000" w:sz="4" w:space="0"/>
              <w:left w:val="single" w:color="000000" w:sz="4" w:space="0"/>
              <w:bottom w:val="single" w:color="000000" w:sz="4" w:space="0"/>
              <w:right w:val="single" w:color="000000" w:sz="4" w:space="0"/>
            </w:tcBorders>
          </w:tcPr>
          <w:p w14:paraId="05935E52">
            <w:pPr>
              <w:widowControl w:val="0"/>
              <w:spacing w:before="125" w:line="400" w:lineRule="exact"/>
              <w:ind w:right="1"/>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w w:val="99"/>
                <w:kern w:val="2"/>
                <w:sz w:val="24"/>
                <w:szCs w:val="24"/>
                <w:highlight w:val="none"/>
                <w:lang w:val="en-US" w:eastAsia="zh-CN" w:bidi="ar-SA"/>
                <w14:textFill>
                  <w14:solidFill>
                    <w14:schemeClr w14:val="tx1"/>
                  </w14:solidFill>
                </w14:textFill>
              </w:rPr>
              <w:t>3</w:t>
            </w:r>
          </w:p>
        </w:tc>
        <w:tc>
          <w:tcPr>
            <w:tcW w:w="5400" w:type="dxa"/>
            <w:tcBorders>
              <w:top w:val="single" w:color="000000" w:sz="4" w:space="0"/>
              <w:left w:val="single" w:color="000000" w:sz="4" w:space="0"/>
              <w:bottom w:val="single" w:color="000000" w:sz="4" w:space="0"/>
              <w:right w:val="single" w:color="000000" w:sz="4" w:space="0"/>
            </w:tcBorders>
            <w:vAlign w:val="center"/>
          </w:tcPr>
          <w:p w14:paraId="6010C10C">
            <w:pPr>
              <w:widowControl w:val="0"/>
              <w:spacing w:before="41" w:line="400" w:lineRule="exact"/>
              <w:ind w:left="102" w:right="102"/>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3"/>
                <w:kern w:val="2"/>
                <w:sz w:val="24"/>
                <w:szCs w:val="24"/>
                <w:highlight w:val="none"/>
                <w:lang w:val="en-US" w:eastAsia="zh-CN" w:bidi="ar-SA"/>
                <w14:textFill>
                  <w14:solidFill>
                    <w14:schemeClr w14:val="tx1"/>
                  </w14:solidFill>
                </w14:textFill>
              </w:rPr>
              <w:t>水库的调查和确权（包括内外业调查、水下地形测量</w:t>
            </w:r>
            <w:r>
              <w:rPr>
                <w:rFonts w:hint="eastAsia" w:ascii="宋体" w:hAnsi="宋体" w:cs="宋体"/>
                <w:color w:val="000000" w:themeColor="text1"/>
                <w:spacing w:val="-3"/>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pacing w:val="-3"/>
                <w:kern w:val="2"/>
                <w:sz w:val="24"/>
                <w:szCs w:val="24"/>
                <w:highlight w:val="none"/>
                <w:lang w:val="en-US" w:eastAsia="zh-CN" w:bidi="ar-SA"/>
                <w14:textFill>
                  <w14:solidFill>
                    <w14:schemeClr w14:val="tx1"/>
                  </w14:solidFill>
                </w14:textFill>
              </w:rPr>
              <w:t>信息关联、权</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属界线调查、预划登记单元、调查成果上图入库等）</w:t>
            </w:r>
          </w:p>
        </w:tc>
        <w:tc>
          <w:tcPr>
            <w:tcW w:w="3804" w:type="dxa"/>
            <w:tcBorders>
              <w:top w:val="single" w:color="000000" w:sz="4" w:space="0"/>
              <w:left w:val="single" w:color="000000" w:sz="4" w:space="0"/>
              <w:bottom w:val="single" w:color="000000" w:sz="4" w:space="0"/>
              <w:right w:val="single" w:color="000000" w:sz="4" w:space="0"/>
            </w:tcBorders>
          </w:tcPr>
          <w:p w14:paraId="343D8E83">
            <w:pPr>
              <w:spacing w:line="400" w:lineRule="exact"/>
              <w:rPr>
                <w:rFonts w:ascii="宋体" w:hAnsi="宋体" w:eastAsia="宋体" w:cs="宋体"/>
                <w:color w:val="000000" w:themeColor="text1"/>
                <w:sz w:val="24"/>
                <w:highlight w:val="none"/>
                <w14:textFill>
                  <w14:solidFill>
                    <w14:schemeClr w14:val="tx1"/>
                  </w14:solidFill>
                </w14:textFill>
              </w:rPr>
            </w:pPr>
          </w:p>
        </w:tc>
      </w:tr>
      <w:tr w14:paraId="79F5E26A">
        <w:tblPrEx>
          <w:tblCellMar>
            <w:top w:w="0" w:type="dxa"/>
            <w:left w:w="0" w:type="dxa"/>
            <w:bottom w:w="0" w:type="dxa"/>
            <w:right w:w="0" w:type="dxa"/>
          </w:tblCellMar>
        </w:tblPrEx>
        <w:trPr>
          <w:trHeight w:val="800" w:hRule="exact"/>
        </w:trPr>
        <w:tc>
          <w:tcPr>
            <w:tcW w:w="678" w:type="dxa"/>
            <w:tcBorders>
              <w:top w:val="single" w:color="000000" w:sz="4" w:space="0"/>
              <w:left w:val="single" w:color="000000" w:sz="4" w:space="0"/>
              <w:bottom w:val="single" w:color="000000" w:sz="4" w:space="0"/>
              <w:right w:val="single" w:color="000000" w:sz="4" w:space="0"/>
            </w:tcBorders>
          </w:tcPr>
          <w:p w14:paraId="5A9F9FF5">
            <w:pPr>
              <w:widowControl w:val="0"/>
              <w:spacing w:before="83" w:line="400" w:lineRule="exact"/>
              <w:ind w:right="1"/>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w w:val="99"/>
                <w:kern w:val="2"/>
                <w:sz w:val="24"/>
                <w:szCs w:val="24"/>
                <w:highlight w:val="none"/>
                <w:lang w:val="en-US" w:eastAsia="zh-CN" w:bidi="ar-SA"/>
                <w14:textFill>
                  <w14:solidFill>
                    <w14:schemeClr w14:val="tx1"/>
                  </w14:solidFill>
                </w14:textFill>
              </w:rPr>
              <w:t>4</w:t>
            </w:r>
          </w:p>
        </w:tc>
        <w:tc>
          <w:tcPr>
            <w:tcW w:w="5400" w:type="dxa"/>
            <w:tcBorders>
              <w:top w:val="single" w:color="000000" w:sz="4" w:space="0"/>
              <w:left w:val="single" w:color="000000" w:sz="4" w:space="0"/>
              <w:bottom w:val="single" w:color="000000" w:sz="4" w:space="0"/>
              <w:right w:val="single" w:color="000000" w:sz="4" w:space="0"/>
            </w:tcBorders>
            <w:vAlign w:val="center"/>
          </w:tcPr>
          <w:p w14:paraId="5A2926B6">
            <w:pPr>
              <w:widowControl w:val="0"/>
              <w:spacing w:before="83" w:line="400" w:lineRule="exact"/>
              <w:ind w:left="102"/>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数据库建设</w:t>
            </w:r>
          </w:p>
        </w:tc>
        <w:tc>
          <w:tcPr>
            <w:tcW w:w="3804" w:type="dxa"/>
            <w:tcBorders>
              <w:top w:val="single" w:color="000000" w:sz="4" w:space="0"/>
              <w:left w:val="single" w:color="000000" w:sz="4" w:space="0"/>
              <w:bottom w:val="single" w:color="000000" w:sz="4" w:space="0"/>
              <w:right w:val="single" w:color="000000" w:sz="4" w:space="0"/>
            </w:tcBorders>
          </w:tcPr>
          <w:p w14:paraId="6080BFEA">
            <w:pPr>
              <w:widowControl w:val="0"/>
              <w:spacing w:line="400" w:lineRule="exact"/>
              <w:ind w:left="101" w:right="103"/>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9"/>
                <w:kern w:val="2"/>
                <w:sz w:val="24"/>
                <w:szCs w:val="24"/>
                <w:highlight w:val="none"/>
                <w:lang w:val="en-US" w:eastAsia="zh-CN" w:bidi="ar-SA"/>
                <w14:textFill>
                  <w14:solidFill>
                    <w14:schemeClr w14:val="tx1"/>
                  </w14:solidFill>
                </w14:textFill>
              </w:rPr>
              <w:t>包括数据库汇总及数据库建</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设</w:t>
            </w:r>
          </w:p>
        </w:tc>
      </w:tr>
      <w:tr w14:paraId="0547745E">
        <w:tblPrEx>
          <w:tblCellMar>
            <w:top w:w="0" w:type="dxa"/>
            <w:left w:w="0" w:type="dxa"/>
            <w:bottom w:w="0" w:type="dxa"/>
            <w:right w:w="0" w:type="dxa"/>
          </w:tblCellMar>
        </w:tblPrEx>
        <w:trPr>
          <w:trHeight w:val="910" w:hRule="exact"/>
        </w:trPr>
        <w:tc>
          <w:tcPr>
            <w:tcW w:w="678" w:type="dxa"/>
            <w:tcBorders>
              <w:top w:val="single" w:color="000000" w:sz="4" w:space="0"/>
              <w:left w:val="single" w:color="000000" w:sz="4" w:space="0"/>
              <w:bottom w:val="single" w:color="000000" w:sz="4" w:space="0"/>
              <w:right w:val="single" w:color="000000" w:sz="4" w:space="0"/>
            </w:tcBorders>
          </w:tcPr>
          <w:p w14:paraId="7A75F2F4">
            <w:pPr>
              <w:widowControl w:val="0"/>
              <w:spacing w:before="83" w:line="400" w:lineRule="exact"/>
              <w:ind w:right="1"/>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w w:val="99"/>
                <w:kern w:val="2"/>
                <w:sz w:val="24"/>
                <w:szCs w:val="24"/>
                <w:highlight w:val="none"/>
                <w:lang w:val="en-US" w:eastAsia="zh-CN" w:bidi="ar-SA"/>
                <w14:textFill>
                  <w14:solidFill>
                    <w14:schemeClr w14:val="tx1"/>
                  </w14:solidFill>
                </w14:textFill>
              </w:rPr>
              <w:t>5</w:t>
            </w:r>
          </w:p>
        </w:tc>
        <w:tc>
          <w:tcPr>
            <w:tcW w:w="5400" w:type="dxa"/>
            <w:tcBorders>
              <w:top w:val="single" w:color="000000" w:sz="4" w:space="0"/>
              <w:left w:val="single" w:color="000000" w:sz="4" w:space="0"/>
              <w:bottom w:val="single" w:color="000000" w:sz="4" w:space="0"/>
              <w:right w:val="single" w:color="000000" w:sz="4" w:space="0"/>
            </w:tcBorders>
            <w:vAlign w:val="center"/>
          </w:tcPr>
          <w:p w14:paraId="554077E2">
            <w:pPr>
              <w:widowControl w:val="0"/>
              <w:spacing w:before="2" w:line="400" w:lineRule="exact"/>
              <w:ind w:left="102" w:right="99"/>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3"/>
                <w:kern w:val="2"/>
                <w:sz w:val="24"/>
                <w:szCs w:val="24"/>
                <w:highlight w:val="none"/>
                <w:lang w:val="en-US" w:eastAsia="zh-CN" w:bidi="ar-SA"/>
                <w14:textFill>
                  <w14:solidFill>
                    <w14:schemeClr w14:val="tx1"/>
                  </w14:solidFill>
                </w14:textFill>
              </w:rPr>
              <w:t>成果制作（包括数据库成果、图件成果、文字报告</w:t>
            </w:r>
            <w:r>
              <w:rPr>
                <w:rFonts w:hint="eastAsia" w:ascii="宋体" w:hAnsi="宋体" w:cs="宋体"/>
                <w:color w:val="000000" w:themeColor="text1"/>
                <w:spacing w:val="-3"/>
                <w:kern w:val="2"/>
                <w:sz w:val="24"/>
                <w:szCs w:val="24"/>
                <w:highlight w:val="none"/>
                <w:lang w:val="en-US" w:eastAsia="zh-CN" w:bidi="ar-SA"/>
                <w14:textFill>
                  <w14:solidFill>
                    <w14:schemeClr w14:val="tx1"/>
                  </w14:solidFill>
                </w14:textFill>
              </w:rPr>
              <w:t>、水库的水资源基础调查成果</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tc>
        <w:tc>
          <w:tcPr>
            <w:tcW w:w="3804" w:type="dxa"/>
            <w:tcBorders>
              <w:top w:val="single" w:color="000000" w:sz="4" w:space="0"/>
              <w:left w:val="single" w:color="000000" w:sz="4" w:space="0"/>
              <w:bottom w:val="single" w:color="000000" w:sz="4" w:space="0"/>
              <w:right w:val="single" w:color="000000" w:sz="4" w:space="0"/>
            </w:tcBorders>
          </w:tcPr>
          <w:p w14:paraId="319F199B">
            <w:pPr>
              <w:widowControl w:val="0"/>
              <w:spacing w:before="2" w:line="400" w:lineRule="exact"/>
              <w:ind w:left="101" w:right="103"/>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7"/>
                <w:kern w:val="2"/>
                <w:sz w:val="24"/>
                <w:szCs w:val="24"/>
                <w:highlight w:val="none"/>
                <w:lang w:val="en-US" w:eastAsia="zh-CN" w:bidi="ar-SA"/>
                <w14:textFill>
                  <w14:solidFill>
                    <w14:schemeClr w14:val="tx1"/>
                  </w14:solidFill>
                </w14:textFill>
              </w:rPr>
              <w:t>包括汇总调查文字报告、图件</w:t>
            </w:r>
            <w:r>
              <w:rPr>
                <w:rFonts w:hint="eastAsia" w:ascii="宋体" w:hAnsi="宋体" w:eastAsia="宋体" w:cs="宋体"/>
                <w:color w:val="000000" w:themeColor="text1"/>
                <w:w w:val="99"/>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成果等</w:t>
            </w:r>
          </w:p>
        </w:tc>
      </w:tr>
    </w:tbl>
    <w:p w14:paraId="02541CF0">
      <w:pPr>
        <w:spacing w:before="13"/>
        <w:jc w:val="center"/>
        <w:rPr>
          <w:rFonts w:ascii="微软雅黑" w:hAnsi="微软雅黑" w:eastAsia="微软雅黑" w:cs="微软雅黑"/>
          <w:color w:val="000000" w:themeColor="text1"/>
          <w:sz w:val="16"/>
          <w:szCs w:val="16"/>
          <w:highlight w:val="none"/>
          <w14:textFill>
            <w14:solidFill>
              <w14:schemeClr w14:val="tx1"/>
            </w14:solidFill>
          </w14:textFill>
        </w:rPr>
      </w:pPr>
    </w:p>
    <w:p w14:paraId="66749C1B">
      <w:pPr>
        <w:widowControl w:val="0"/>
        <w:spacing w:line="360" w:lineRule="exact"/>
        <w:ind w:left="115"/>
        <w:jc w:val="both"/>
        <w:outlineLvl w:val="7"/>
        <w:rPr>
          <w:rFonts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第二条、工作目标：</w:t>
      </w:r>
    </w:p>
    <w:p w14:paraId="7FD5F495">
      <w:pPr>
        <w:widowControl w:val="0"/>
        <w:spacing w:line="360" w:lineRule="exact"/>
        <w:ind w:firstLine="480"/>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按照《自然资源统一确权登记暂行办法》和自然资源统一确权登记相关规程规范等，以不动产登记为基础，充分利用第三次国土调查等现势性成果。玉环市不动产登记服务中心会同相关部门，组织技术单位依据玉环市保护审批范围界线等资料划定登记单元界线，收集整理国土空间规划明确的用途、划定的生态保护红线等管制要求及其他特殊保护规定或者政策性文件，直接利用第三次国土调查成果确定的资源类型、分布，开展登记单元内自然资源权籍调查。通过确权登记，明确登记单元内各类自然资源的数量、质量、种类、分布等自然状况，所有权主体、所有权代表行使主体、代理行使主体及权利内容等权属状况，同时关联公共管制要求。登记机构将登记事项记载于自然资源登记簿，并向社会公开。</w:t>
      </w:r>
    </w:p>
    <w:p w14:paraId="594D862D">
      <w:pPr>
        <w:widowControl w:val="0"/>
        <w:spacing w:line="360" w:lineRule="exact"/>
        <w:ind w:left="115"/>
        <w:jc w:val="both"/>
        <w:outlineLvl w:val="7"/>
        <w:rPr>
          <w:rFonts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第三条、付款方式：</w:t>
      </w:r>
    </w:p>
    <w:p w14:paraId="62ADB919">
      <w:pPr>
        <w:widowControl w:val="0"/>
        <w:spacing w:line="360" w:lineRule="exact"/>
        <w:ind w:firstLine="48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合同签订后，合同签订及具备实施条件后的7个工作日内支付合同总价的40%，作为预付款。</w:t>
      </w:r>
    </w:p>
    <w:p w14:paraId="66E19F67">
      <w:pPr>
        <w:widowControl w:val="0"/>
        <w:spacing w:line="360" w:lineRule="exact"/>
        <w:ind w:firstLine="480"/>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乙方完成本项目工作并通过验收合格，甲方在一个月内支付合同总额的60%。</w:t>
      </w:r>
    </w:p>
    <w:p w14:paraId="3495B9EF">
      <w:pPr>
        <w:widowControl w:val="0"/>
        <w:spacing w:line="360" w:lineRule="exact"/>
        <w:ind w:left="115"/>
        <w:jc w:val="both"/>
        <w:outlineLvl w:val="7"/>
        <w:rPr>
          <w:rFonts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第四条、履约保证金：</w:t>
      </w:r>
    </w:p>
    <w:p w14:paraId="2882299D">
      <w:pPr>
        <w:widowControl w:val="0"/>
        <w:spacing w:line="360" w:lineRule="exact"/>
        <w:ind w:left="15" w:firstLine="578" w:firstLineChars="241"/>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合同签订前，乙方须向甲方支付人民币合同价    %的履约保证金；收取方式：网银、汇票、电汇、转账支付等非现金方式或银行、保险公司出具的保函形式；</w:t>
      </w:r>
    </w:p>
    <w:p w14:paraId="0A802071">
      <w:pPr>
        <w:widowControl w:val="0"/>
        <w:spacing w:line="360" w:lineRule="exact"/>
        <w:ind w:left="595"/>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服务期结束后无息退还，免费质保期自验收合格之日起计。</w:t>
      </w:r>
    </w:p>
    <w:p w14:paraId="7A07D7B2">
      <w:pPr>
        <w:widowControl w:val="0"/>
        <w:spacing w:line="360" w:lineRule="exact"/>
        <w:ind w:left="115"/>
        <w:jc w:val="both"/>
        <w:outlineLvl w:val="7"/>
        <w:rPr>
          <w:rFonts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第五条、知识产权：</w:t>
      </w:r>
    </w:p>
    <w:p w14:paraId="47C8F9AA">
      <w:pPr>
        <w:widowControl w:val="0"/>
        <w:spacing w:line="360" w:lineRule="exact"/>
        <w:ind w:left="595"/>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spacing w:val="45"/>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供方应保证提供服务过程中不会侵犯任何第三方的知识产权。</w:t>
      </w:r>
    </w:p>
    <w:p w14:paraId="5D781DFF">
      <w:pPr>
        <w:widowControl w:val="0"/>
        <w:spacing w:line="360" w:lineRule="exact"/>
        <w:ind w:firstLine="480"/>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spacing w:val="44"/>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本项目所有成果的版权属需方所有，乙方不得以任何形式向第三方提供，否则，按 国家法律和有关规定追究供方的一切责任。</w:t>
      </w:r>
    </w:p>
    <w:p w14:paraId="7D11A271">
      <w:pPr>
        <w:widowControl w:val="0"/>
        <w:spacing w:line="360" w:lineRule="exact"/>
        <w:ind w:firstLine="480"/>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spacing w:val="43"/>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本项目作业过程中提供的或涉及的所有数据属甲方拥有，供方无权在技术要求规定 之外自行处置数据，不得自行删除、复制、调整完善、转移数据，不得以任何形式向第三方提供。</w:t>
      </w:r>
    </w:p>
    <w:p w14:paraId="3C953224">
      <w:pPr>
        <w:widowControl w:val="0"/>
        <w:spacing w:line="360" w:lineRule="exact"/>
        <w:ind w:left="115"/>
        <w:jc w:val="both"/>
        <w:outlineLvl w:val="7"/>
        <w:rPr>
          <w:rFonts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第六条、技术要求：</w:t>
      </w:r>
    </w:p>
    <w:p w14:paraId="5BC2024F">
      <w:pPr>
        <w:widowControl w:val="0"/>
        <w:spacing w:line="360" w:lineRule="exact"/>
        <w:ind w:left="595"/>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spacing w:val="45"/>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数学基础</w:t>
      </w:r>
    </w:p>
    <w:p w14:paraId="788408BA">
      <w:pPr>
        <w:widowControl w:val="0"/>
        <w:spacing w:line="360" w:lineRule="exact"/>
        <w:ind w:left="595"/>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（1）坐标系统与投影方法</w:t>
      </w:r>
    </w:p>
    <w:p w14:paraId="03F0D8AE">
      <w:pPr>
        <w:widowControl w:val="0"/>
        <w:spacing w:line="360" w:lineRule="exact"/>
        <w:ind w:firstLine="480"/>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3"/>
          <w:kern w:val="2"/>
          <w:sz w:val="24"/>
          <w:szCs w:val="24"/>
          <w:highlight w:val="none"/>
          <w:lang w:val="en-US" w:eastAsia="zh-CN" w:bidi="ar-SA"/>
          <w14:textFill>
            <w14:solidFill>
              <w14:schemeClr w14:val="tx1"/>
            </w14:solidFill>
          </w14:textFill>
        </w:rPr>
        <w:t xml:space="preserve">采用“2000 国家大地坐标系”（CGCS2000），提供成果时再转换台州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2000</w:t>
      </w:r>
      <w:r>
        <w:rPr>
          <w:rFonts w:hint="eastAsia" w:ascii="宋体" w:hAnsi="宋体" w:eastAsia="宋体" w:cs="宋体"/>
          <w:color w:val="000000" w:themeColor="text1"/>
          <w:spacing w:val="-24"/>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坐标系 一份。</w:t>
      </w:r>
    </w:p>
    <w:p w14:paraId="29B14AF0">
      <w:pPr>
        <w:widowControl w:val="0"/>
        <w:spacing w:line="360" w:lineRule="exact"/>
        <w:ind w:left="595"/>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采用高斯—克吕格投影，标准的  3</w:t>
      </w:r>
      <w:r>
        <w:rPr>
          <w:rFonts w:hint="eastAsia" w:ascii="宋体" w:hAnsi="宋体" w:eastAsia="宋体" w:cs="宋体"/>
          <w:color w:val="000000" w:themeColor="text1"/>
          <w:spacing w:val="24"/>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度分带。</w:t>
      </w:r>
    </w:p>
    <w:p w14:paraId="50FD274C">
      <w:pPr>
        <w:widowControl w:val="0"/>
        <w:spacing w:line="360" w:lineRule="exact"/>
        <w:ind w:left="595"/>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（2）高程基准</w:t>
      </w:r>
    </w:p>
    <w:p w14:paraId="7689A8D0">
      <w:pPr>
        <w:widowControl w:val="0"/>
        <w:spacing w:line="360" w:lineRule="exact"/>
        <w:ind w:left="595" w:right="4733"/>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采用“1985</w:t>
      </w:r>
      <w:r>
        <w:rPr>
          <w:rFonts w:hint="eastAsia" w:ascii="宋体" w:hAnsi="宋体" w:eastAsia="宋体" w:cs="宋体"/>
          <w:color w:val="000000" w:themeColor="text1"/>
          <w:spacing w:val="45"/>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国家高程基准”（二期）。 </w:t>
      </w:r>
    </w:p>
    <w:p w14:paraId="1A419D0C">
      <w:pPr>
        <w:widowControl w:val="0"/>
        <w:spacing w:line="360" w:lineRule="exact"/>
        <w:ind w:left="595" w:right="4733"/>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spacing w:val="45"/>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计量单位</w:t>
      </w:r>
    </w:p>
    <w:p w14:paraId="210EB1A9">
      <w:pPr>
        <w:widowControl w:val="0"/>
        <w:spacing w:line="360" w:lineRule="exact"/>
        <w:ind w:left="595"/>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长度单位采用米，统计汇总登记采用千米，小数点后保留两位有效数字。 面积单位采用平方米，统计汇总登记采用公顷，小数点后保留两位有效数字。</w:t>
      </w:r>
    </w:p>
    <w:p w14:paraId="413B15AC">
      <w:pPr>
        <w:widowControl w:val="0"/>
        <w:spacing w:line="360" w:lineRule="exact"/>
        <w:ind w:left="595"/>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spacing w:val="45"/>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精度要求</w:t>
      </w:r>
    </w:p>
    <w:p w14:paraId="1A4DEFD8">
      <w:pPr>
        <w:widowControl w:val="0"/>
        <w:spacing w:line="360" w:lineRule="exact"/>
        <w:ind w:firstLine="480"/>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图解法获取坐标相邻界址点的间距误差不大于图上  0.3mm，图上允许误差</w:t>
      </w:r>
      <w:r>
        <w:rPr>
          <w:rFonts w:hint="eastAsia" w:ascii="宋体" w:hAnsi="宋体" w:eastAsia="宋体" w:cs="宋体"/>
          <w:color w:val="000000" w:themeColor="text1"/>
          <w:spacing w:val="26"/>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0.6mm；</w:t>
      </w:r>
    </w:p>
    <w:p w14:paraId="05EB8C9B">
      <w:pPr>
        <w:widowControl w:val="0"/>
        <w:spacing w:line="360" w:lineRule="exact"/>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界址点相对于临近控制点的点位误差不大于图上 0.3mm，图上允许误差</w:t>
      </w:r>
      <w:r>
        <w:rPr>
          <w:rFonts w:hint="eastAsia" w:ascii="宋体" w:hAnsi="宋体" w:eastAsia="宋体" w:cs="宋体"/>
          <w:color w:val="000000" w:themeColor="text1"/>
          <w:spacing w:val="34"/>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0.6mm；界址点相对于邻近地物点的间距误差不大于图上  0.3mm，图上允许误差</w:t>
      </w:r>
      <w:r>
        <w:rPr>
          <w:rFonts w:hint="eastAsia" w:ascii="宋体" w:hAnsi="宋体" w:eastAsia="宋体" w:cs="宋体"/>
          <w:color w:val="000000" w:themeColor="text1"/>
          <w:spacing w:val="18"/>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0.6mm。</w:t>
      </w:r>
    </w:p>
    <w:p w14:paraId="62E90490">
      <w:pPr>
        <w:widowControl w:val="0"/>
        <w:spacing w:line="360" w:lineRule="exact"/>
        <w:ind w:right="175" w:firstLine="480"/>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7"/>
          <w:kern w:val="2"/>
          <w:sz w:val="24"/>
          <w:szCs w:val="24"/>
          <w:highlight w:val="none"/>
          <w:lang w:val="en-US" w:eastAsia="zh-CN" w:bidi="ar-SA"/>
          <w14:textFill>
            <w14:solidFill>
              <w14:schemeClr w14:val="tx1"/>
            </w14:solidFill>
          </w14:textFill>
        </w:rPr>
        <w:t>解析法界址点相对于临近控制点的点位误差和相邻界址点间的间距误差不大于±</w:t>
      </w:r>
      <w:r>
        <w:rPr>
          <w:rFonts w:hint="eastAsia" w:ascii="宋体" w:hAnsi="宋体" w:eastAsia="宋体" w:cs="宋体"/>
          <w:color w:val="000000" w:themeColor="text1"/>
          <w:w w:val="99"/>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0.10m，允许误差不大于±0.20m。</w:t>
      </w:r>
    </w:p>
    <w:p w14:paraId="2538D15D">
      <w:pPr>
        <w:widowControl w:val="0"/>
        <w:spacing w:line="360" w:lineRule="exact"/>
        <w:ind w:firstLine="480"/>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图解法套合精度要求：采用图解法的，采集的地物界线和位置与影像上的地物的边界</w:t>
      </w:r>
    </w:p>
    <w:p w14:paraId="3C7641A7">
      <w:pPr>
        <w:widowControl w:val="0"/>
        <w:spacing w:line="360" w:lineRule="exact"/>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和位置的套合程度应控制在 3</w:t>
      </w:r>
      <w:r>
        <w:rPr>
          <w:rFonts w:hint="eastAsia" w:ascii="宋体" w:hAnsi="宋体" w:eastAsia="宋体" w:cs="宋体"/>
          <w:color w:val="000000" w:themeColor="text1"/>
          <w:spacing w:val="37"/>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spacing w:val="-3"/>
          <w:kern w:val="2"/>
          <w:sz w:val="24"/>
          <w:szCs w:val="24"/>
          <w:highlight w:val="none"/>
          <w:lang w:val="en-US" w:eastAsia="zh-CN" w:bidi="ar-SA"/>
          <w14:textFill>
            <w14:solidFill>
              <w14:schemeClr w14:val="tx1"/>
            </w14:solidFill>
          </w14:textFill>
        </w:rPr>
        <w:t>个像素以内。对于较弯曲的界址线，应适当增加拐点数，确</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保满足套合精度要求。建筑物和构筑物测量精度要求需按照国家不动产测量规定实施。</w:t>
      </w:r>
    </w:p>
    <w:p w14:paraId="70F0E185">
      <w:pPr>
        <w:widowControl w:val="0"/>
        <w:spacing w:line="360" w:lineRule="exact"/>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第七条、成果要求：</w:t>
      </w:r>
    </w:p>
    <w:p w14:paraId="7FED54E2">
      <w:pPr>
        <w:widowControl w:val="0"/>
        <w:spacing w:line="360" w:lineRule="exact"/>
        <w:ind w:right="173" w:firstLine="480"/>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主要成果类型包括数据库成果、图件成果、表格成果、文字报告成果、界桩实物成果 等。提交成果到自然资源地籍调查数据库，图件成果、文字报告等负责数据入库进入国家</w:t>
      </w:r>
      <w:r>
        <w:rPr>
          <w:rFonts w:hint="eastAsia" w:ascii="宋体" w:hAnsi="宋体" w:eastAsia="宋体" w:cs="宋体"/>
          <w:color w:val="000000" w:themeColor="text1"/>
          <w:spacing w:val="-10"/>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系统。</w:t>
      </w:r>
    </w:p>
    <w:p w14:paraId="6C1BFD9D">
      <w:pPr>
        <w:widowControl w:val="0"/>
        <w:spacing w:line="360" w:lineRule="exact"/>
        <w:ind w:left="595"/>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1．数据库成果 由登记单元范围线、登记单元界址点坐标、登记单元图斑、生态红线、国有土地使用</w:t>
      </w:r>
    </w:p>
    <w:p w14:paraId="38F0031A">
      <w:pPr>
        <w:widowControl w:val="0"/>
        <w:spacing w:line="360" w:lineRule="exact"/>
        <w:ind w:left="595" w:hanging="480"/>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权、集体土地所有权等矢量数据形成的玉环市自然资源统一确权登记数据库。</w:t>
      </w:r>
    </w:p>
    <w:p w14:paraId="5C6D11A6">
      <w:pPr>
        <w:widowControl w:val="0"/>
        <w:spacing w:line="360" w:lineRule="exact"/>
        <w:ind w:left="595"/>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2．图件成果</w:t>
      </w:r>
    </w:p>
    <w:p w14:paraId="16E255B4">
      <w:pPr>
        <w:widowControl w:val="0"/>
        <w:spacing w:line="360" w:lineRule="exact"/>
        <w:ind w:right="173" w:firstLine="480"/>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①自然资源登记簿附图。包括自然资源空间范围界线、面积，所有权主体、所有权代表行使主体、所有权代理行使主体，以及已登记的不动产权利界线，不同类型自然资源的边界、面积等信息。</w:t>
      </w:r>
    </w:p>
    <w:p w14:paraId="4498362C">
      <w:pPr>
        <w:widowControl w:val="0"/>
        <w:spacing w:line="360" w:lineRule="exact"/>
        <w:ind w:left="595"/>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②登记单元图。含登记单元的界线范围、行政区划界线。</w:t>
      </w:r>
    </w:p>
    <w:p w14:paraId="7EBF9EFE">
      <w:pPr>
        <w:widowControl w:val="0"/>
        <w:spacing w:line="360" w:lineRule="exact"/>
        <w:ind w:right="173" w:firstLine="480"/>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③登记单元内自然资源现状图。表示登记单元界线、地类图斑、资源类型等资源状况信息要素。</w:t>
      </w:r>
    </w:p>
    <w:p w14:paraId="79989C52">
      <w:pPr>
        <w:widowControl w:val="0"/>
        <w:spacing w:line="360" w:lineRule="exact"/>
        <w:ind w:right="173" w:firstLine="480"/>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④登记单元权属界线专题图。包括所有权权属界线、资源类型界线、争议区范围、管理界线等，并标注所有权代表（代理）行使主体、面积等权属信息要素。</w:t>
      </w:r>
    </w:p>
    <w:p w14:paraId="2B8F6DD7">
      <w:pPr>
        <w:widowControl w:val="0"/>
        <w:spacing w:line="360" w:lineRule="exact"/>
        <w:ind w:right="173" w:firstLine="480"/>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⑤自然资源公共管制和特殊保护关联图件。包括登记单元范围涉及的公共管制界线、 特殊保护界线等关联信息要素。</w:t>
      </w:r>
    </w:p>
    <w:p w14:paraId="3105CD55">
      <w:pPr>
        <w:widowControl w:val="0"/>
        <w:spacing w:line="360" w:lineRule="exact"/>
        <w:ind w:left="595"/>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⑥其他专题图件。</w:t>
      </w:r>
    </w:p>
    <w:p w14:paraId="067493CE">
      <w:pPr>
        <w:widowControl w:val="0"/>
        <w:spacing w:line="360" w:lineRule="exact"/>
        <w:ind w:left="595"/>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3．表格成果</w:t>
      </w:r>
    </w:p>
    <w:p w14:paraId="79A64F9E">
      <w:pPr>
        <w:widowControl w:val="0"/>
        <w:spacing w:line="360" w:lineRule="exact"/>
        <w:ind w:left="595"/>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①自然资源登记簿；</w:t>
      </w:r>
    </w:p>
    <w:p w14:paraId="6F71E266">
      <w:pPr>
        <w:widowControl w:val="0"/>
        <w:spacing w:line="360" w:lineRule="exact"/>
        <w:ind w:right="173" w:firstLine="480"/>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②以行政区划为单位，按权属类型、资源类型统计自然资源的数量、地类面积、资源类型面积。</w:t>
      </w:r>
    </w:p>
    <w:p w14:paraId="76CDA6A8">
      <w:pPr>
        <w:widowControl w:val="0"/>
        <w:spacing w:line="360" w:lineRule="exact"/>
        <w:ind w:right="173" w:firstLine="480"/>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③以登记单元为单位，按权属类型、资源类型统计资源资源的数量、地类面积、资源类型面积。</w:t>
      </w:r>
    </w:p>
    <w:p w14:paraId="1A05FF32">
      <w:pPr>
        <w:widowControl w:val="0"/>
        <w:spacing w:line="360" w:lineRule="exact"/>
        <w:ind w:left="595"/>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4．文字报告成果</w:t>
      </w:r>
    </w:p>
    <w:p w14:paraId="37C22039">
      <w:pPr>
        <w:widowControl w:val="0"/>
        <w:spacing w:line="360" w:lineRule="exact"/>
        <w:ind w:left="595"/>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①水库自然资源统一确权登记技术方案</w:t>
      </w:r>
    </w:p>
    <w:p w14:paraId="72B0F4E0">
      <w:pPr>
        <w:widowControl w:val="0"/>
        <w:spacing w:line="360" w:lineRule="exact"/>
        <w:ind w:left="595"/>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②水库自然资源统一确权工作总结报告</w:t>
      </w:r>
    </w:p>
    <w:p w14:paraId="2BA2E959">
      <w:pPr>
        <w:widowControl w:val="0"/>
        <w:spacing w:line="360" w:lineRule="exact"/>
        <w:ind w:left="595" w:right="2772"/>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③水库自然资源统一确权工作技术报告 </w:t>
      </w:r>
    </w:p>
    <w:p w14:paraId="66E93F00">
      <w:pPr>
        <w:widowControl w:val="0"/>
        <w:spacing w:line="360" w:lineRule="exact"/>
        <w:ind w:left="595" w:right="2772"/>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spacing w:val="45"/>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成果数据格式</w:t>
      </w:r>
    </w:p>
    <w:p w14:paraId="527C67C5">
      <w:pPr>
        <w:widowControl w:val="0"/>
        <w:spacing w:line="360" w:lineRule="exact"/>
        <w:ind w:left="595"/>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①矢量数据采用 Shapefile</w:t>
      </w:r>
      <w:r>
        <w:rPr>
          <w:rFonts w:hint="eastAsia" w:ascii="宋体" w:hAnsi="宋体" w:eastAsia="宋体" w:cs="宋体"/>
          <w:color w:val="000000" w:themeColor="text1"/>
          <w:spacing w:val="-28"/>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格式；</w:t>
      </w:r>
    </w:p>
    <w:p w14:paraId="7437EA8A">
      <w:pPr>
        <w:widowControl w:val="0"/>
        <w:spacing w:line="360" w:lineRule="exact"/>
        <w:ind w:left="595"/>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②栅格数据采用 GEOTIFF、IMG</w:t>
      </w:r>
      <w:r>
        <w:rPr>
          <w:rFonts w:hint="eastAsia" w:ascii="宋体" w:hAnsi="宋体" w:eastAsia="宋体" w:cs="宋体"/>
          <w:color w:val="000000" w:themeColor="text1"/>
          <w:spacing w:val="-41"/>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格式；</w:t>
      </w:r>
    </w:p>
    <w:p w14:paraId="61D708E3">
      <w:pPr>
        <w:widowControl w:val="0"/>
        <w:spacing w:line="360" w:lineRule="exact"/>
        <w:ind w:left="595"/>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③文本、表格等数据文件采用 Word、Excel、WPS</w:t>
      </w:r>
      <w:r>
        <w:rPr>
          <w:rFonts w:hint="eastAsia" w:ascii="宋体" w:hAnsi="宋体" w:eastAsia="宋体" w:cs="宋体"/>
          <w:color w:val="000000" w:themeColor="text1"/>
          <w:spacing w:val="-42"/>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格式；</w:t>
      </w:r>
    </w:p>
    <w:p w14:paraId="35F10D9C">
      <w:pPr>
        <w:widowControl w:val="0"/>
        <w:spacing w:line="360" w:lineRule="exact"/>
        <w:ind w:left="595"/>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④属性表数据采用</w:t>
      </w:r>
      <w:r>
        <w:rPr>
          <w:rFonts w:hint="eastAsia" w:ascii="宋体" w:hAnsi="宋体" w:eastAsia="宋体" w:cs="宋体"/>
          <w:color w:val="000000" w:themeColor="text1"/>
          <w:spacing w:val="-15"/>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Microsoft</w:t>
      </w:r>
      <w:r>
        <w:rPr>
          <w:rFonts w:hint="eastAsia" w:ascii="宋体" w:hAnsi="宋体" w:eastAsia="宋体" w:cs="宋体"/>
          <w:color w:val="000000" w:themeColor="text1"/>
          <w:spacing w:val="-4"/>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Office</w:t>
      </w:r>
      <w: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Access</w:t>
      </w:r>
      <w:r>
        <w:rPr>
          <w:rFonts w:hint="eastAsia" w:ascii="宋体" w:hAnsi="宋体" w:eastAsia="宋体" w:cs="宋体"/>
          <w:color w:val="000000" w:themeColor="text1"/>
          <w:spacing w:val="-13"/>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的</w:t>
      </w:r>
      <w:r>
        <w:rPr>
          <w:rFonts w:hint="eastAsia" w:ascii="宋体" w:hAnsi="宋体" w:eastAsia="宋体" w:cs="宋体"/>
          <w:color w:val="000000" w:themeColor="text1"/>
          <w:spacing w:val="-15"/>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mdb</w:t>
      </w:r>
      <w:r>
        <w:rPr>
          <w:rFonts w:hint="eastAsia" w:ascii="宋体" w:hAnsi="宋体" w:eastAsia="宋体" w:cs="宋体"/>
          <w:color w:val="000000" w:themeColor="text1"/>
          <w:spacing w:val="-16"/>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格式；</w:t>
      </w:r>
    </w:p>
    <w:p w14:paraId="21DF7D1C">
      <w:pPr>
        <w:widowControl w:val="0"/>
        <w:spacing w:line="360" w:lineRule="exact"/>
        <w:ind w:left="595" w:right="5163"/>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⑤扫描文件采用 PDF</w:t>
      </w:r>
      <w:r>
        <w:rPr>
          <w:rFonts w:hint="eastAsia" w:ascii="宋体" w:hAnsi="宋体" w:eastAsia="宋体" w:cs="宋体"/>
          <w:color w:val="000000" w:themeColor="text1"/>
          <w:spacing w:val="-27"/>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格式。 </w:t>
      </w:r>
    </w:p>
    <w:p w14:paraId="30A9BCE3">
      <w:pPr>
        <w:widowControl w:val="0"/>
        <w:spacing w:line="360" w:lineRule="exact"/>
        <w:ind w:left="595" w:right="5163"/>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6.实物界桩，具体要求按照投标文件中的界桩设计方案。</w:t>
      </w:r>
    </w:p>
    <w:p w14:paraId="4DCEE778">
      <w:pPr>
        <w:widowControl w:val="0"/>
        <w:spacing w:line="360" w:lineRule="exact"/>
        <w:ind w:left="115"/>
        <w:jc w:val="both"/>
        <w:outlineLvl w:val="7"/>
        <w:rPr>
          <w:rFonts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第八条、进度要求</w:t>
      </w:r>
    </w:p>
    <w:p w14:paraId="7C69E546">
      <w:pPr>
        <w:widowControl w:val="0"/>
        <w:spacing w:line="360" w:lineRule="exact"/>
        <w:ind w:right="228" w:firstLine="480"/>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按照《自然资源统一确权登记暂行办法》和自然资源统一确权登记相关规程规范等， 以不动产登记为基础，充分利用第三次国土调查等现势性成果，2022年12月底前完工并验收合格。</w:t>
      </w:r>
    </w:p>
    <w:p w14:paraId="2FC1F35E">
      <w:pPr>
        <w:widowControl w:val="0"/>
        <w:spacing w:line="360" w:lineRule="exact"/>
        <w:ind w:firstLine="480"/>
        <w:jc w:val="both"/>
        <w:rPr>
          <w:rFonts w:ascii="宋体" w:hAnsi="宋体" w:eastAsia="宋体" w:cs="宋体"/>
          <w:color w:val="000000" w:themeColor="text1"/>
          <w:spacing w:val="-2"/>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由于自然资源统一确权登记工作的数据库标准及操作指南尚未正式印发，实际项目技</w:t>
      </w:r>
      <w:r>
        <w:rPr>
          <w:rFonts w:hint="eastAsia" w:ascii="宋体" w:hAnsi="宋体" w:eastAsia="宋体" w:cs="宋体"/>
          <w:color w:val="000000" w:themeColor="text1"/>
          <w:spacing w:val="-2"/>
          <w:kern w:val="2"/>
          <w:sz w:val="24"/>
          <w:szCs w:val="24"/>
          <w:highlight w:val="none"/>
          <w:lang w:val="en-US" w:eastAsia="zh-CN" w:bidi="ar-SA"/>
          <w14:textFill>
            <w14:solidFill>
              <w14:schemeClr w14:val="tx1"/>
            </w14:solidFill>
          </w14:textFill>
        </w:rPr>
        <w:t>术要求、工作任务和具体进度可经与采购人协商一致调整，但必须符合上级主管部门要求。</w:t>
      </w:r>
    </w:p>
    <w:p w14:paraId="581F4720">
      <w:pPr>
        <w:widowControl w:val="0"/>
        <w:spacing w:line="360" w:lineRule="exact"/>
        <w:ind w:firstLine="480"/>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38"/>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第九条、适用法律：</w:t>
      </w:r>
    </w:p>
    <w:p w14:paraId="0B3EDF89">
      <w:pPr>
        <w:widowControl w:val="0"/>
        <w:spacing w:line="360" w:lineRule="exact"/>
        <w:ind w:firstLine="480"/>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合同适用法律有《中华人民共和国政府采购法》、《中华人民共和国合同法》和浙江省有关条例等。</w:t>
      </w:r>
    </w:p>
    <w:p w14:paraId="18546A09">
      <w:pPr>
        <w:widowControl w:val="0"/>
        <w:spacing w:line="360" w:lineRule="exact"/>
        <w:ind w:left="115"/>
        <w:jc w:val="both"/>
        <w:outlineLvl w:val="7"/>
        <w:rPr>
          <w:rFonts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第十条、违约责任：</w:t>
      </w:r>
    </w:p>
    <w:p w14:paraId="3C97BFA6">
      <w:pPr>
        <w:widowControl w:val="0"/>
        <w:spacing w:line="360" w:lineRule="exact"/>
        <w:ind w:firstLine="480"/>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乙方未能在约定的工期内（2022年12月底前）完成服务的，每日向甲方支付壹仟元</w:t>
      </w:r>
      <w:r>
        <w:rPr>
          <w:rFonts w:hint="eastAsia" w:ascii="宋体" w:hAnsi="宋体" w:eastAsia="宋体" w:cs="宋体"/>
          <w:color w:val="000000" w:themeColor="text1"/>
          <w:spacing w:val="-3"/>
          <w:kern w:val="2"/>
          <w:sz w:val="24"/>
          <w:szCs w:val="24"/>
          <w:highlight w:val="none"/>
          <w:lang w:val="en-US" w:eastAsia="zh-CN" w:bidi="ar-SA"/>
          <w14:textFill>
            <w14:solidFill>
              <w14:schemeClr w14:val="tx1"/>
            </w14:solidFill>
          </w14:textFill>
        </w:rPr>
        <w:t xml:space="preserve">作为违约金。乙方超过约定工期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10 </w:t>
      </w:r>
      <w:r>
        <w:rPr>
          <w:rFonts w:hint="eastAsia" w:ascii="宋体" w:hAnsi="宋体" w:eastAsia="宋体" w:cs="宋体"/>
          <w:color w:val="000000" w:themeColor="text1"/>
          <w:spacing w:val="-3"/>
          <w:kern w:val="2"/>
          <w:sz w:val="24"/>
          <w:szCs w:val="24"/>
          <w:highlight w:val="none"/>
          <w:lang w:val="en-US" w:eastAsia="zh-CN" w:bidi="ar-SA"/>
          <w14:textFill>
            <w14:solidFill>
              <w14:schemeClr w14:val="tx1"/>
            </w14:solidFill>
          </w14:textFill>
        </w:rPr>
        <w:t>天未能完成的，甲方可解除本合同。乙方因未能按时或</w:t>
      </w:r>
      <w:r>
        <w:rPr>
          <w:rFonts w:hint="eastAsia" w:ascii="宋体" w:hAnsi="宋体" w:eastAsia="宋体" w:cs="宋体"/>
          <w:color w:val="000000" w:themeColor="text1"/>
          <w:spacing w:val="-64"/>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spacing w:val="-3"/>
          <w:kern w:val="2"/>
          <w:sz w:val="24"/>
          <w:szCs w:val="24"/>
          <w:highlight w:val="none"/>
          <w:lang w:val="en-US" w:eastAsia="zh-CN" w:bidi="ar-SA"/>
          <w14:textFill>
            <w14:solidFill>
              <w14:schemeClr w14:val="tx1"/>
            </w14:solidFill>
          </w14:textFill>
        </w:rPr>
        <w:t>如期提供服务或因其他违约行为导致甲方解除合同的，乙方应向甲方支付合同总值</w:t>
      </w:r>
      <w:r>
        <w:rPr>
          <w:rFonts w:hint="eastAsia" w:ascii="宋体" w:hAnsi="宋体" w:eastAsia="宋体" w:cs="宋体"/>
          <w:color w:val="000000" w:themeColor="text1"/>
          <w:spacing w:val="-8"/>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5%的违 约金，如造成甲方损失超过违约金的，超出部分由乙方继续承担赔偿责任。</w:t>
      </w:r>
    </w:p>
    <w:p w14:paraId="50DF1EB8">
      <w:pPr>
        <w:widowControl w:val="0"/>
        <w:spacing w:line="360" w:lineRule="exact"/>
        <w:ind w:left="0"/>
        <w:jc w:val="both"/>
        <w:outlineLvl w:val="7"/>
        <w:rPr>
          <w:rFonts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 第十一条、不可抗力事件处理</w:t>
      </w:r>
    </w:p>
    <w:p w14:paraId="395B4965">
      <w:pPr>
        <w:widowControl w:val="0"/>
        <w:spacing w:line="360" w:lineRule="exact"/>
        <w:ind w:firstLine="480"/>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kern w:val="2"/>
          <w:sz w:val="24"/>
          <w:szCs w:val="24"/>
          <w:highlight w:val="none"/>
          <w:lang w:val="en-US" w:eastAsia="zh-CN" w:bidi="ar-SA"/>
          <w14:textFill>
            <w14:solidFill>
              <w14:schemeClr w14:val="tx1"/>
            </w14:solidFill>
          </w14:textFill>
        </w:rPr>
        <w:t>1.在合同有效期内，任何一方因不可抗力事件导致不能履行合同，则合同履行期可延</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长，其延长期与不可抗力影响期相同。</w:t>
      </w:r>
    </w:p>
    <w:p w14:paraId="6529BC0C">
      <w:pPr>
        <w:widowControl w:val="0"/>
        <w:spacing w:line="360" w:lineRule="exact"/>
        <w:ind w:left="595"/>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2.不可抗力事件发生后，应立即通知对方，并寄送有关权威机构出具的证明。</w:t>
      </w:r>
    </w:p>
    <w:p w14:paraId="2CD1C9C8">
      <w:pPr>
        <w:widowControl w:val="0"/>
        <w:spacing w:line="360" w:lineRule="exact"/>
        <w:ind w:left="595"/>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3.不可抗力事件延续 120</w:t>
      </w:r>
      <w:r>
        <w:rPr>
          <w:rFonts w:hint="eastAsia" w:ascii="宋体" w:hAnsi="宋体" w:eastAsia="宋体" w:cs="宋体"/>
          <w:color w:val="000000" w:themeColor="text1"/>
          <w:spacing w:val="-29"/>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天以上，双方应通过友好协商，确定是否继续履行合同。</w:t>
      </w:r>
    </w:p>
    <w:p w14:paraId="68F62730">
      <w:pPr>
        <w:widowControl w:val="0"/>
        <w:spacing w:line="360" w:lineRule="exact"/>
        <w:ind w:left="115"/>
        <w:jc w:val="both"/>
        <w:outlineLvl w:val="7"/>
        <w:rPr>
          <w:rFonts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第十二条、诉讼</w:t>
      </w:r>
    </w:p>
    <w:p w14:paraId="4164AB1D">
      <w:pPr>
        <w:widowControl w:val="0"/>
        <w:spacing w:line="360" w:lineRule="exact"/>
        <w:ind w:firstLine="480"/>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双方在执行合同中所发生的一切争议，应通过协商解决。如协商不成，可向甲方所在地经济仲裁机构提请仲裁或向玉环市人民法院提起诉讼。</w:t>
      </w:r>
    </w:p>
    <w:p w14:paraId="1D45A215">
      <w:pPr>
        <w:widowControl w:val="0"/>
        <w:spacing w:line="360" w:lineRule="exact"/>
        <w:ind w:left="595" w:hanging="480"/>
        <w:jc w:val="both"/>
        <w:outlineLvl w:val="7"/>
        <w:rPr>
          <w:rFonts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第十三条、合同生效及其它</w:t>
      </w:r>
    </w:p>
    <w:p w14:paraId="2425DA8A">
      <w:pPr>
        <w:widowControl w:val="0"/>
        <w:spacing w:line="360" w:lineRule="exact"/>
        <w:ind w:left="595"/>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1.合同经双方法定代表人或授权代表签字并加盖单位公章后生效。</w:t>
      </w:r>
    </w:p>
    <w:p w14:paraId="21C7BDF2">
      <w:pPr>
        <w:widowControl w:val="0"/>
        <w:spacing w:line="360" w:lineRule="exact"/>
        <w:ind w:left="595"/>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2.本合同未尽事宜，遵照《民法典》有关条文执行。</w:t>
      </w:r>
    </w:p>
    <w:p w14:paraId="70E39409">
      <w:pPr>
        <w:widowControl w:val="0"/>
        <w:spacing w:line="360" w:lineRule="exact"/>
        <w:ind w:firstLine="480"/>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
          <w:kern w:val="2"/>
          <w:sz w:val="24"/>
          <w:szCs w:val="24"/>
          <w:highlight w:val="none"/>
          <w:lang w:val="en-US" w:eastAsia="zh-CN" w:bidi="ar-SA"/>
          <w14:textFill>
            <w14:solidFill>
              <w14:schemeClr w14:val="tx1"/>
            </w14:solidFill>
          </w14:textFill>
        </w:rPr>
        <w:t>3.本合同一式四份。甲、乙双方各执两份，本项目</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未尽事宜以招标文件、投标文件及澄清文件等为准。</w:t>
      </w:r>
    </w:p>
    <w:p w14:paraId="4D8B6E4D">
      <w:pPr>
        <w:spacing w:line="360" w:lineRule="exact"/>
        <w:rPr>
          <w:rFonts w:ascii="宋体" w:hAnsi="宋体" w:eastAsia="宋体" w:cs="宋体"/>
          <w:color w:val="000000" w:themeColor="text1"/>
          <w:sz w:val="24"/>
          <w:highlight w:val="none"/>
          <w14:textFill>
            <w14:solidFill>
              <w14:schemeClr w14:val="tx1"/>
            </w14:solidFill>
          </w14:textFill>
        </w:rPr>
      </w:pPr>
    </w:p>
    <w:p w14:paraId="17D8AE2D">
      <w:pPr>
        <w:widowControl w:val="0"/>
        <w:tabs>
          <w:tab w:val="left" w:pos="5635"/>
        </w:tabs>
        <w:spacing w:line="360" w:lineRule="exact"/>
        <w:ind w:left="595"/>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甲方（公章）</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乙方（公章）</w:t>
      </w:r>
    </w:p>
    <w:p w14:paraId="46878415">
      <w:pPr>
        <w:widowControl w:val="0"/>
        <w:tabs>
          <w:tab w:val="left" w:pos="5635"/>
        </w:tabs>
        <w:spacing w:line="360" w:lineRule="exact"/>
        <w:ind w:left="595"/>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法定代表人：</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法定代表人：</w:t>
      </w:r>
    </w:p>
    <w:p w14:paraId="01482970">
      <w:pPr>
        <w:widowControl w:val="0"/>
        <w:tabs>
          <w:tab w:val="left" w:pos="5755"/>
        </w:tabs>
        <w:spacing w:line="360" w:lineRule="exact"/>
        <w:ind w:left="595"/>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委托代理人：</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委托代理人：</w:t>
      </w:r>
    </w:p>
    <w:p w14:paraId="039B2EE8">
      <w:pPr>
        <w:widowControl w:val="0"/>
        <w:tabs>
          <w:tab w:val="left" w:pos="5755"/>
        </w:tabs>
        <w:spacing w:line="360" w:lineRule="exact"/>
        <w:ind w:left="595"/>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联系电话：</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联系电话：</w:t>
      </w:r>
    </w:p>
    <w:p w14:paraId="6E19D22C">
      <w:pPr>
        <w:widowControl w:val="0"/>
        <w:tabs>
          <w:tab w:val="left" w:pos="5755"/>
        </w:tabs>
        <w:spacing w:line="360" w:lineRule="exact"/>
        <w:ind w:left="595"/>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开户银行：</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开户银行：</w:t>
      </w:r>
    </w:p>
    <w:p w14:paraId="7FFF264B">
      <w:pPr>
        <w:widowControl w:val="0"/>
        <w:tabs>
          <w:tab w:val="left" w:pos="5755"/>
        </w:tabs>
        <w:spacing w:line="360" w:lineRule="exact"/>
        <w:ind w:left="595"/>
        <w:jc w:val="both"/>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帐号：</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帐号：</w:t>
      </w:r>
    </w:p>
    <w:p w14:paraId="1177A13F">
      <w:pPr>
        <w:tabs>
          <w:tab w:val="left" w:pos="5755"/>
        </w:tabs>
        <w:ind w:left="595"/>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地址及邮编：</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地址及邮编：</w:t>
      </w:r>
    </w:p>
    <w:p w14:paraId="1ACEDFFF">
      <w:pPr>
        <w:tabs>
          <w:tab w:val="left" w:pos="5755"/>
        </w:tabs>
        <w:ind w:left="595"/>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37DE0370">
      <w:pPr>
        <w:tabs>
          <w:tab w:val="left" w:pos="5755"/>
        </w:tabs>
        <w:ind w:left="595"/>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52BE63AF">
      <w:pPr>
        <w:keepNext w:val="0"/>
        <w:keepLines w:val="0"/>
        <w:pageBreakBefore w:val="0"/>
        <w:kinsoku/>
        <w:wordWrap/>
        <w:overflowPunct/>
        <w:topLinePunct w:val="0"/>
        <w:bidi w:val="0"/>
        <w:spacing w:line="400" w:lineRule="exact"/>
        <w:jc w:val="center"/>
        <w:textAlignment w:val="auto"/>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专用条款</w:t>
      </w:r>
    </w:p>
    <w:p w14:paraId="38C00A88">
      <w:pPr>
        <w:keepNext w:val="0"/>
        <w:keepLines w:val="0"/>
        <w:pageBreakBefore w:val="0"/>
        <w:kinsoku/>
        <w:wordWrap/>
        <w:overflowPunct/>
        <w:topLinePunct w:val="0"/>
        <w:bidi w:val="0"/>
        <w:spacing w:line="400" w:lineRule="exact"/>
        <w:jc w:val="lef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（如果项目性质特殊，采购人认为需要制定专用条款的，须在提交项目采购需求时一并提供，但条款内容应合法、合理，并符合项目实际需求，且不得与通用条款冲突）</w:t>
      </w:r>
    </w:p>
    <w:p w14:paraId="0014AF74">
      <w:pPr>
        <w:tabs>
          <w:tab w:val="left" w:pos="5755"/>
        </w:tabs>
        <w:ind w:left="595"/>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sectPr>
          <w:headerReference r:id="rId3" w:type="default"/>
          <w:footerReference r:id="rId4" w:type="default"/>
          <w:pgSz w:w="11910" w:h="16840"/>
          <w:pgMar w:top="1498" w:right="1120" w:bottom="1160" w:left="1340" w:header="858" w:footer="978" w:gutter="0"/>
          <w:pgBorders>
            <w:top w:val="none" w:sz="0" w:space="0"/>
            <w:left w:val="none" w:sz="0" w:space="0"/>
            <w:bottom w:val="none" w:sz="0" w:space="0"/>
            <w:right w:val="none" w:sz="0" w:space="0"/>
          </w:pgBorders>
          <w:cols w:space="720" w:num="1"/>
        </w:sectPr>
      </w:pPr>
    </w:p>
    <w:p w14:paraId="6407C823">
      <w:pPr>
        <w:pStyle w:val="3"/>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第六章：响应文件格式附件</w:t>
      </w:r>
    </w:p>
    <w:p w14:paraId="089EDBE0">
      <w:pPr>
        <w:pStyle w:val="4"/>
        <w:keepNext/>
        <w:keepLines/>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附件1</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8"/>
          <w:highlight w:val="none"/>
          <w14:textFill>
            <w14:solidFill>
              <w14:schemeClr w14:val="tx1"/>
            </w14:solidFill>
          </w14:textFill>
        </w:rPr>
        <w:t xml:space="preserve">        </w:t>
      </w:r>
    </w:p>
    <w:p w14:paraId="20B1082F">
      <w:pPr>
        <w:spacing w:line="360" w:lineRule="auto"/>
        <w:ind w:right="-514" w:rightChars="0"/>
        <w:jc w:val="center"/>
        <w:rPr>
          <w:rFonts w:hint="eastAsia" w:ascii="宋体" w:hAnsi="宋体" w:eastAsia="宋体" w:cs="宋体"/>
          <w:color w:val="000000" w:themeColor="text1"/>
          <w:spacing w:val="40"/>
          <w:sz w:val="48"/>
          <w:szCs w:val="48"/>
          <w:highlight w:val="none"/>
          <w:lang w:eastAsia="zh-CN"/>
          <w14:textFill>
            <w14:solidFill>
              <w14:schemeClr w14:val="tx1"/>
            </w14:solidFill>
          </w14:textFill>
        </w:rPr>
      </w:pPr>
      <w:r>
        <w:rPr>
          <w:rFonts w:hint="eastAsia" w:ascii="宋体" w:hAnsi="宋体" w:cs="宋体"/>
          <w:color w:val="000000" w:themeColor="text1"/>
          <w:spacing w:val="40"/>
          <w:sz w:val="48"/>
          <w:szCs w:val="48"/>
          <w:highlight w:val="none"/>
          <w:lang w:eastAsia="zh-CN"/>
          <w14:textFill>
            <w14:solidFill>
              <w14:schemeClr w14:val="tx1"/>
            </w14:solidFill>
          </w14:textFill>
        </w:rPr>
        <w:t>玉环水库自然资源统一确权调查服务</w:t>
      </w:r>
    </w:p>
    <w:p w14:paraId="7C5618F3">
      <w:pPr>
        <w:spacing w:before="312" w:beforeLines="100" w:line="360" w:lineRule="auto"/>
        <w:ind w:right="-108" w:firstLine="1800" w:firstLineChars="500"/>
        <w:rPr>
          <w:rFonts w:hint="eastAsia" w:ascii="宋体" w:hAnsi="宋体" w:eastAsia="宋体" w:cs="宋体"/>
          <w:color w:val="000000" w:themeColor="text1"/>
          <w:sz w:val="36"/>
          <w:szCs w:val="36"/>
          <w:highlight w:val="none"/>
          <w:lang w:eastAsia="zh-CN"/>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项目编号：</w:t>
      </w:r>
      <w:r>
        <w:rPr>
          <w:rFonts w:hint="eastAsia" w:ascii="宋体" w:hAnsi="宋体" w:cs="宋体"/>
          <w:color w:val="000000" w:themeColor="text1"/>
          <w:sz w:val="36"/>
          <w:szCs w:val="36"/>
          <w:highlight w:val="none"/>
          <w:u w:val="single"/>
          <w:lang w:eastAsia="zh-CN"/>
          <w14:textFill>
            <w14:solidFill>
              <w14:schemeClr w14:val="tx1"/>
            </w14:solidFill>
          </w14:textFill>
        </w:rPr>
        <w:t>HQ-YHZFCG-2024-1004</w:t>
      </w:r>
    </w:p>
    <w:p w14:paraId="43A41677">
      <w:pPr>
        <w:spacing w:before="312" w:beforeLines="100" w:line="240" w:lineRule="atLeast"/>
        <w:ind w:right="-108"/>
        <w:jc w:val="center"/>
        <w:rPr>
          <w:rFonts w:hint="eastAsia" w:ascii="宋体" w:hAnsi="宋体" w:eastAsia="宋体" w:cs="宋体"/>
          <w:color w:val="000000" w:themeColor="text1"/>
          <w:sz w:val="32"/>
          <w:szCs w:val="32"/>
          <w:highlight w:val="none"/>
          <w14:textFill>
            <w14:solidFill>
              <w14:schemeClr w14:val="tx1"/>
            </w14:solidFill>
          </w14:textFill>
        </w:rPr>
      </w:pPr>
    </w:p>
    <w:p w14:paraId="4123044F">
      <w:pPr>
        <w:spacing w:after="100" w:afterAutospacing="1" w:line="800" w:lineRule="exact"/>
        <w:ind w:right="-108"/>
        <w:jc w:val="center"/>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磋</w:t>
      </w:r>
    </w:p>
    <w:p w14:paraId="3C19CE99">
      <w:pPr>
        <w:spacing w:after="100" w:afterAutospacing="1" w:line="800" w:lineRule="exact"/>
        <w:ind w:right="-108"/>
        <w:jc w:val="center"/>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商</w:t>
      </w:r>
    </w:p>
    <w:p w14:paraId="6DAE726D">
      <w:pPr>
        <w:spacing w:after="100" w:afterAutospacing="1" w:line="800" w:lineRule="exact"/>
        <w:ind w:right="-108"/>
        <w:jc w:val="center"/>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响</w:t>
      </w:r>
    </w:p>
    <w:p w14:paraId="67BB61E9">
      <w:pPr>
        <w:spacing w:after="100" w:afterAutospacing="1" w:line="800" w:lineRule="exact"/>
        <w:ind w:right="-108"/>
        <w:jc w:val="center"/>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应</w:t>
      </w:r>
    </w:p>
    <w:p w14:paraId="7A18C5A9">
      <w:pPr>
        <w:spacing w:after="100" w:afterAutospacing="1" w:line="800" w:lineRule="exact"/>
        <w:ind w:right="-108"/>
        <w:jc w:val="center"/>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文</w:t>
      </w:r>
    </w:p>
    <w:p w14:paraId="77DBDC76">
      <w:pPr>
        <w:spacing w:after="100" w:afterAutospacing="1" w:line="800" w:lineRule="exact"/>
        <w:ind w:right="-108"/>
        <w:jc w:val="center"/>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件</w:t>
      </w:r>
    </w:p>
    <w:p w14:paraId="2396A3B6">
      <w:pPr>
        <w:spacing w:line="500" w:lineRule="exact"/>
        <w:ind w:right="532" w:firstLine="720" w:firstLineChars="200"/>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供应商全称（公章）：</w:t>
      </w:r>
    </w:p>
    <w:p w14:paraId="7AB55A7F">
      <w:pPr>
        <w:wordWrap w:val="0"/>
        <w:spacing w:line="500" w:lineRule="exact"/>
        <w:ind w:right="-108" w:firstLine="720" w:firstLineChars="200"/>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地    址：</w:t>
      </w:r>
    </w:p>
    <w:p w14:paraId="6EF05605">
      <w:pPr>
        <w:wordWrap w:val="0"/>
        <w:spacing w:line="500" w:lineRule="exact"/>
        <w:ind w:right="-108" w:firstLine="720" w:firstLineChars="20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时    间：</w:t>
      </w:r>
    </w:p>
    <w:p w14:paraId="0A7E1AA2">
      <w:pPr>
        <w:snapToGrid w:val="0"/>
        <w:spacing w:before="50" w:after="50" w:line="360" w:lineRule="auto"/>
        <w:jc w:val="center"/>
        <w:rPr>
          <w:rFonts w:hint="eastAsia" w:ascii="宋体" w:hAnsi="宋体" w:eastAsia="宋体" w:cs="宋体"/>
          <w:b/>
          <w:bCs/>
          <w:color w:val="000000" w:themeColor="text1"/>
          <w:sz w:val="36"/>
          <w:szCs w:val="36"/>
          <w:highlight w:val="none"/>
          <w14:textFill>
            <w14:solidFill>
              <w14:schemeClr w14:val="tx1"/>
            </w14:solidFill>
          </w14:textFill>
        </w:rPr>
      </w:pPr>
    </w:p>
    <w:p w14:paraId="163D4CEC">
      <w:pPr>
        <w:rPr>
          <w:rFonts w:hint="eastAsia"/>
          <w:color w:val="000000" w:themeColor="text1"/>
          <w:highlight w:val="none"/>
          <w14:textFill>
            <w14:solidFill>
              <w14:schemeClr w14:val="tx1"/>
            </w14:solidFill>
          </w14:textFill>
        </w:rPr>
      </w:pPr>
    </w:p>
    <w:p w14:paraId="3B0B6640">
      <w:pPr>
        <w:snapToGrid w:val="0"/>
        <w:spacing w:before="50" w:after="50" w:line="360" w:lineRule="auto"/>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磋商响应文件目录</w:t>
      </w:r>
    </w:p>
    <w:p w14:paraId="7C794C19">
      <w:pPr>
        <w:snapToGrid w:val="0"/>
        <w:spacing w:before="50" w:after="50" w:line="360" w:lineRule="auto"/>
        <w:ind w:firstLine="422" w:firstLineChars="150"/>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第一部分：资格证明部分</w:t>
      </w:r>
    </w:p>
    <w:p w14:paraId="48BF0203">
      <w:pPr>
        <w:numPr>
          <w:ilvl w:val="0"/>
          <w:numId w:val="9"/>
        </w:numPr>
        <w:snapToGrid w:val="0"/>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磋商声明书（附件2）</w:t>
      </w:r>
      <w:r>
        <w:rPr>
          <w:rFonts w:hint="eastAsia" w:ascii="宋体" w:hAnsi="宋体" w:cs="宋体"/>
          <w:color w:val="000000" w:themeColor="text1"/>
          <w:sz w:val="24"/>
          <w:highlight w:val="none"/>
          <w:lang w:eastAsia="zh-CN"/>
          <w14:textFill>
            <w14:solidFill>
              <w14:schemeClr w14:val="tx1"/>
            </w14:solidFill>
          </w14:textFill>
        </w:rPr>
        <w:t>；</w:t>
      </w:r>
    </w:p>
    <w:p w14:paraId="486D8DEE">
      <w:pPr>
        <w:numPr>
          <w:ilvl w:val="0"/>
          <w:numId w:val="9"/>
        </w:numPr>
        <w:snapToGrid w:val="0"/>
        <w:spacing w:line="360" w:lineRule="auto"/>
        <w:ind w:firstLine="470" w:firstLineChars="196"/>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授权委托书（附件3）</w:t>
      </w:r>
      <w:r>
        <w:rPr>
          <w:rFonts w:hint="eastAsia" w:ascii="宋体" w:hAnsi="宋体" w:cs="宋体"/>
          <w:bCs/>
          <w:color w:val="000000" w:themeColor="text1"/>
          <w:sz w:val="24"/>
          <w:highlight w:val="none"/>
          <w:lang w:eastAsia="zh-CN"/>
          <w14:textFill>
            <w14:solidFill>
              <w14:schemeClr w14:val="tx1"/>
            </w14:solidFill>
          </w14:textFill>
        </w:rPr>
        <w:t>；</w:t>
      </w:r>
    </w:p>
    <w:p w14:paraId="2FC1309B">
      <w:pPr>
        <w:snapToGrid w:val="0"/>
        <w:spacing w:line="360" w:lineRule="auto"/>
        <w:ind w:firstLine="470" w:firstLineChars="196"/>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3、法人或者其他组织的营业执照等证明文件，自然人的身份证明</w:t>
      </w:r>
      <w:r>
        <w:rPr>
          <w:rFonts w:hint="eastAsia" w:ascii="宋体" w:hAnsi="宋体" w:cs="宋体"/>
          <w:color w:val="000000" w:themeColor="text1"/>
          <w:sz w:val="24"/>
          <w:highlight w:val="none"/>
          <w:lang w:eastAsia="zh-CN"/>
          <w14:textFill>
            <w14:solidFill>
              <w14:schemeClr w14:val="tx1"/>
            </w14:solidFill>
          </w14:textFill>
        </w:rPr>
        <w:t>；</w:t>
      </w:r>
    </w:p>
    <w:p w14:paraId="391A7E85">
      <w:pPr>
        <w:snapToGrid w:val="0"/>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财务状况报告，依法缴纳税收和社会保障资金的相关材料</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允许采用承诺函形式</w:t>
      </w:r>
      <w:r>
        <w:rPr>
          <w:rFonts w:hint="eastAsia" w:ascii="宋体" w:hAnsi="宋体" w:cs="宋体"/>
          <w:color w:val="000000" w:themeColor="text1"/>
          <w:sz w:val="24"/>
          <w:highlight w:val="none"/>
          <w:lang w:eastAsia="zh-CN"/>
          <w14:textFill>
            <w14:solidFill>
              <w14:schemeClr w14:val="tx1"/>
            </w14:solidFill>
          </w14:textFill>
        </w:rPr>
        <w:t>）；</w:t>
      </w:r>
    </w:p>
    <w:p w14:paraId="5253DE4B">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5、具备履行合同所必需的设备和专业技术能力的证明材料</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允许采用承诺函形式</w:t>
      </w:r>
      <w:r>
        <w:rPr>
          <w:rFonts w:hint="eastAsia" w:ascii="宋体" w:hAnsi="宋体" w:cs="宋体"/>
          <w:color w:val="000000" w:themeColor="text1"/>
          <w:sz w:val="24"/>
          <w:highlight w:val="none"/>
          <w:lang w:eastAsia="zh-CN"/>
          <w14:textFill>
            <w14:solidFill>
              <w14:schemeClr w14:val="tx1"/>
            </w14:solidFill>
          </w14:textFill>
        </w:rPr>
        <w:t>）；</w:t>
      </w:r>
    </w:p>
    <w:p w14:paraId="0ADFCB9D">
      <w:pPr>
        <w:snapToGrid w:val="0"/>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6、本项目要求的特定资质证书</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如有</w:t>
      </w:r>
      <w:r>
        <w:rPr>
          <w:rFonts w:hint="eastAsia" w:ascii="宋体" w:hAnsi="宋体" w:cs="宋体"/>
          <w:color w:val="000000" w:themeColor="text1"/>
          <w:sz w:val="24"/>
          <w:highlight w:val="none"/>
          <w:lang w:eastAsia="zh-CN"/>
          <w14:textFill>
            <w14:solidFill>
              <w14:schemeClr w14:val="tx1"/>
            </w14:solidFill>
          </w14:textFill>
        </w:rPr>
        <w:t>）；</w:t>
      </w:r>
    </w:p>
    <w:p w14:paraId="4ADB1507">
      <w:pPr>
        <w:snapToGrid w:val="0"/>
        <w:spacing w:line="360" w:lineRule="auto"/>
        <w:ind w:firstLine="480" w:firstLineChars="200"/>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7、中小企业声明函（服务）（附件13）</w:t>
      </w:r>
      <w:r>
        <w:rPr>
          <w:rFonts w:hint="eastAsia" w:ascii="宋体" w:hAnsi="宋体" w:cs="宋体"/>
          <w:color w:val="000000" w:themeColor="text1"/>
          <w:sz w:val="24"/>
          <w:highlight w:val="none"/>
          <w:lang w:eastAsia="zh-CN"/>
          <w14:textFill>
            <w14:solidFill>
              <w14:schemeClr w14:val="tx1"/>
            </w14:solidFill>
          </w14:textFill>
        </w:rPr>
        <w:t>；</w:t>
      </w:r>
    </w:p>
    <w:p w14:paraId="2195E634">
      <w:pPr>
        <w:snapToGrid w:val="0"/>
        <w:spacing w:line="360" w:lineRule="auto"/>
        <w:ind w:firstLine="422" w:firstLineChars="15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zh-CN"/>
          <w14:textFill>
            <w14:solidFill>
              <w14:schemeClr w14:val="tx1"/>
            </w14:solidFill>
          </w14:textFill>
        </w:rPr>
        <w:t>第二部分：商务与技术</w:t>
      </w:r>
      <w:r>
        <w:rPr>
          <w:rFonts w:hint="eastAsia" w:ascii="宋体" w:hAnsi="宋体" w:eastAsia="宋体" w:cs="宋体"/>
          <w:b/>
          <w:bCs/>
          <w:color w:val="000000" w:themeColor="text1"/>
          <w:sz w:val="28"/>
          <w:szCs w:val="28"/>
          <w:highlight w:val="none"/>
          <w14:textFill>
            <w14:solidFill>
              <w14:schemeClr w14:val="tx1"/>
            </w14:solidFill>
          </w14:textFill>
        </w:rPr>
        <w:t>部分</w:t>
      </w:r>
    </w:p>
    <w:p w14:paraId="4C8779A3">
      <w:pPr>
        <w:snapToGrid w:val="0"/>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供应商情况介绍（附件4）</w:t>
      </w:r>
      <w:r>
        <w:rPr>
          <w:rFonts w:hint="eastAsia" w:ascii="宋体" w:hAnsi="宋体" w:cs="宋体"/>
          <w:color w:val="000000" w:themeColor="text1"/>
          <w:kern w:val="0"/>
          <w:sz w:val="24"/>
          <w:highlight w:val="none"/>
          <w:lang w:eastAsia="zh-CN"/>
          <w14:textFill>
            <w14:solidFill>
              <w14:schemeClr w14:val="tx1"/>
            </w14:solidFill>
          </w14:textFill>
        </w:rPr>
        <w:t>；</w:t>
      </w:r>
    </w:p>
    <w:p w14:paraId="776AA300">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2、项目实施人员一览表</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项目负责人资格情况表(附件5、附件6)； </w:t>
      </w:r>
    </w:p>
    <w:p w14:paraId="12FF2128">
      <w:pPr>
        <w:snapToGrid w:val="0"/>
        <w:spacing w:line="360" w:lineRule="auto"/>
        <w:ind w:firstLine="470"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3、商务及技术响应表</w:t>
      </w:r>
      <w:r>
        <w:rPr>
          <w:rFonts w:hint="eastAsia" w:ascii="宋体" w:hAnsi="宋体" w:eastAsia="宋体" w:cs="宋体"/>
          <w:color w:val="000000" w:themeColor="text1"/>
          <w:sz w:val="24"/>
          <w:highlight w:val="none"/>
          <w14:textFill>
            <w14:solidFill>
              <w14:schemeClr w14:val="tx1"/>
            </w14:solidFill>
          </w14:textFill>
        </w:rPr>
        <w:t>（附件7）；</w:t>
      </w:r>
    </w:p>
    <w:p w14:paraId="36FE9B12">
      <w:pPr>
        <w:snapToGrid w:val="0"/>
        <w:spacing w:line="360" w:lineRule="auto"/>
        <w:ind w:firstLine="470"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4、证书一览表（附件8）；</w:t>
      </w:r>
    </w:p>
    <w:p w14:paraId="40AB0E91">
      <w:pPr>
        <w:snapToGrid w:val="0"/>
        <w:spacing w:line="360" w:lineRule="auto"/>
        <w:ind w:firstLine="470"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类似项目业绩一览表</w:t>
      </w:r>
      <w:r>
        <w:rPr>
          <w:rFonts w:hint="eastAsia" w:ascii="宋体" w:hAnsi="宋体" w:eastAsia="宋体" w:cs="宋体"/>
          <w:color w:val="000000" w:themeColor="text1"/>
          <w:kern w:val="0"/>
          <w:sz w:val="24"/>
          <w:highlight w:val="none"/>
          <w14:textFill>
            <w14:solidFill>
              <w14:schemeClr w14:val="tx1"/>
            </w14:solidFill>
          </w14:textFill>
        </w:rPr>
        <w:t>（附件9）</w:t>
      </w:r>
    </w:p>
    <w:p w14:paraId="090B9080">
      <w:pPr>
        <w:snapToGrid w:val="0"/>
        <w:spacing w:line="360" w:lineRule="auto"/>
        <w:ind w:firstLine="470"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售后服务措施及承诺</w:t>
      </w:r>
      <w:r>
        <w:rPr>
          <w:rFonts w:hint="eastAsia" w:ascii="宋体" w:hAnsi="宋体" w:eastAsia="宋体" w:cs="宋体"/>
          <w:color w:val="000000" w:themeColor="text1"/>
          <w:kern w:val="0"/>
          <w:sz w:val="24"/>
          <w:highlight w:val="none"/>
          <w14:textFill>
            <w14:solidFill>
              <w14:schemeClr w14:val="tx1"/>
            </w14:solidFill>
          </w14:textFill>
        </w:rPr>
        <w:t>（附件10）；</w:t>
      </w:r>
    </w:p>
    <w:p w14:paraId="473A6CB1">
      <w:pPr>
        <w:spacing w:line="360" w:lineRule="auto"/>
        <w:ind w:right="-108" w:firstLine="422"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第三部分 ：</w:t>
      </w:r>
      <w:r>
        <w:rPr>
          <w:rFonts w:hint="eastAsia" w:ascii="宋体" w:hAnsi="宋体" w:eastAsia="宋体" w:cs="宋体"/>
          <w:b/>
          <w:color w:val="000000" w:themeColor="text1"/>
          <w:sz w:val="28"/>
          <w:szCs w:val="28"/>
          <w:highlight w:val="none"/>
          <w14:textFill>
            <w14:solidFill>
              <w14:schemeClr w14:val="tx1"/>
            </w14:solidFill>
          </w14:textFill>
        </w:rPr>
        <w:t>报价</w:t>
      </w:r>
      <w:r>
        <w:rPr>
          <w:rFonts w:hint="eastAsia" w:ascii="宋体" w:hAnsi="宋体" w:eastAsia="宋体" w:cs="宋体"/>
          <w:b/>
          <w:bCs/>
          <w:color w:val="000000" w:themeColor="text1"/>
          <w:sz w:val="28"/>
          <w:szCs w:val="28"/>
          <w:highlight w:val="none"/>
          <w14:textFill>
            <w14:solidFill>
              <w14:schemeClr w14:val="tx1"/>
            </w14:solidFill>
          </w14:textFill>
        </w:rPr>
        <w:t>部分</w:t>
      </w:r>
    </w:p>
    <w:p w14:paraId="30B73592">
      <w:pPr>
        <w:snapToGri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1、首次报价一览表（附件11）；</w:t>
      </w:r>
    </w:p>
    <w:p w14:paraId="04CE34C3">
      <w:pPr>
        <w:pStyle w:val="21"/>
        <w:snapToGrid w:val="0"/>
        <w:spacing w:line="360" w:lineRule="auto"/>
        <w:ind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2、报价明细表（附件12）；</w:t>
      </w:r>
    </w:p>
    <w:p w14:paraId="356C6398">
      <w:pPr>
        <w:spacing w:line="360" w:lineRule="auto"/>
        <w:ind w:left="216" w:leftChars="103" w:right="-108" w:firstLine="202" w:firstLineChars="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第四部分 ：</w:t>
      </w:r>
      <w:r>
        <w:rPr>
          <w:rFonts w:hint="eastAsia" w:ascii="宋体" w:hAnsi="宋体" w:eastAsia="宋体" w:cs="宋体"/>
          <w:b/>
          <w:color w:val="000000" w:themeColor="text1"/>
          <w:sz w:val="28"/>
          <w:szCs w:val="28"/>
          <w:highlight w:val="none"/>
          <w14:textFill>
            <w14:solidFill>
              <w14:schemeClr w14:val="tx1"/>
            </w14:solidFill>
          </w14:textFill>
        </w:rPr>
        <w:t>其他</w:t>
      </w:r>
      <w:r>
        <w:rPr>
          <w:rFonts w:hint="eastAsia" w:ascii="宋体" w:hAnsi="宋体" w:eastAsia="宋体" w:cs="宋体"/>
          <w:b/>
          <w:bCs/>
          <w:color w:val="000000" w:themeColor="text1"/>
          <w:sz w:val="28"/>
          <w:szCs w:val="28"/>
          <w:highlight w:val="none"/>
          <w14:textFill>
            <w14:solidFill>
              <w14:schemeClr w14:val="tx1"/>
            </w14:solidFill>
          </w14:textFill>
        </w:rPr>
        <w:t>部分</w:t>
      </w:r>
    </w:p>
    <w:p w14:paraId="047680CB">
      <w:pPr>
        <w:snapToGrid w:val="0"/>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1、针对磋商，响应供应商认为其他需要说明的；</w:t>
      </w:r>
    </w:p>
    <w:p w14:paraId="0801E074">
      <w:pPr>
        <w:snapToGrid w:val="0"/>
        <w:spacing w:line="360" w:lineRule="auto"/>
        <w:ind w:left="837" w:leftChars="223" w:hanging="369" w:hangingChars="154"/>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（以上内容具体描述详见“第二章 供应商须知”中“二、磋商响应文件”的组成说明）</w:t>
      </w:r>
    </w:p>
    <w:p w14:paraId="0F7DD691">
      <w:pPr>
        <w:pStyle w:val="15"/>
        <w:rPr>
          <w:rFonts w:hint="eastAsia" w:ascii="宋体" w:hAnsi="宋体" w:eastAsia="宋体" w:cs="宋体"/>
          <w:color w:val="000000" w:themeColor="text1"/>
          <w:szCs w:val="21"/>
          <w:highlight w:val="none"/>
          <w14:textFill>
            <w14:solidFill>
              <w14:schemeClr w14:val="tx1"/>
            </w14:solidFill>
          </w14:textFill>
        </w:rPr>
      </w:pPr>
    </w:p>
    <w:p w14:paraId="164A6122">
      <w:pPr>
        <w:pStyle w:val="15"/>
        <w:ind w:firstLine="3373" w:firstLineChars="1200"/>
        <w:rPr>
          <w:rFonts w:hint="eastAsia" w:ascii="宋体" w:hAnsi="宋体" w:eastAsia="宋体" w:cs="宋体"/>
          <w:b/>
          <w:color w:val="000000" w:themeColor="text1"/>
          <w:sz w:val="28"/>
          <w:highlight w:val="none"/>
          <w14:textFill>
            <w14:solidFill>
              <w14:schemeClr w14:val="tx1"/>
            </w14:solidFill>
          </w14:textFill>
        </w:rPr>
      </w:pPr>
    </w:p>
    <w:p w14:paraId="5AF7149C">
      <w:pPr>
        <w:pStyle w:val="15"/>
        <w:ind w:firstLine="3373" w:firstLineChars="1200"/>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目录索引</w:t>
      </w:r>
    </w:p>
    <w:tbl>
      <w:tblPr>
        <w:tblStyle w:val="37"/>
        <w:tblW w:w="10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092"/>
        <w:gridCol w:w="6652"/>
        <w:gridCol w:w="667"/>
        <w:gridCol w:w="667"/>
        <w:gridCol w:w="667"/>
      </w:tblGrid>
      <w:tr w14:paraId="3D951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667" w:type="dxa"/>
            <w:tcBorders>
              <w:tl2br w:val="nil"/>
              <w:tr2bl w:val="nil"/>
            </w:tcBorders>
            <w:shd w:val="clear" w:color="auto" w:fill="auto"/>
            <w:vAlign w:val="center"/>
          </w:tcPr>
          <w:p w14:paraId="290D7FFF">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序号</w:t>
            </w:r>
          </w:p>
        </w:tc>
        <w:tc>
          <w:tcPr>
            <w:tcW w:w="1092" w:type="dxa"/>
            <w:tcBorders>
              <w:tl2br w:val="nil"/>
              <w:tr2bl w:val="nil"/>
            </w:tcBorders>
            <w:shd w:val="clear" w:color="auto" w:fill="auto"/>
            <w:vAlign w:val="center"/>
          </w:tcPr>
          <w:p w14:paraId="1F7EE91F">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评分项目</w:t>
            </w:r>
          </w:p>
        </w:tc>
        <w:tc>
          <w:tcPr>
            <w:tcW w:w="6652" w:type="dxa"/>
            <w:tcBorders>
              <w:tl2br w:val="nil"/>
              <w:tr2bl w:val="nil"/>
            </w:tcBorders>
            <w:shd w:val="clear" w:color="auto" w:fill="auto"/>
            <w:vAlign w:val="center"/>
          </w:tcPr>
          <w:p w14:paraId="10AA8BD1">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评分细则</w:t>
            </w:r>
          </w:p>
        </w:tc>
        <w:tc>
          <w:tcPr>
            <w:tcW w:w="667" w:type="dxa"/>
            <w:tcBorders>
              <w:tl2br w:val="nil"/>
              <w:tr2bl w:val="nil"/>
            </w:tcBorders>
            <w:shd w:val="clear" w:color="auto" w:fill="auto"/>
            <w:vAlign w:val="center"/>
          </w:tcPr>
          <w:p w14:paraId="7DDEB2F7">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分值</w:t>
            </w:r>
          </w:p>
        </w:tc>
        <w:tc>
          <w:tcPr>
            <w:tcW w:w="667" w:type="dxa"/>
            <w:tcBorders>
              <w:tl2br w:val="nil"/>
              <w:tr2bl w:val="nil"/>
            </w:tcBorders>
            <w:shd w:val="clear" w:color="auto" w:fill="auto"/>
            <w:vAlign w:val="center"/>
          </w:tcPr>
          <w:p w14:paraId="066165FC">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页码</w:t>
            </w:r>
          </w:p>
        </w:tc>
        <w:tc>
          <w:tcPr>
            <w:tcW w:w="667" w:type="dxa"/>
            <w:tcBorders>
              <w:tl2br w:val="nil"/>
              <w:tr2bl w:val="nil"/>
            </w:tcBorders>
            <w:shd w:val="clear" w:color="auto" w:fill="auto"/>
            <w:vAlign w:val="center"/>
          </w:tcPr>
          <w:p w14:paraId="25461EE6">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自评分</w:t>
            </w:r>
          </w:p>
        </w:tc>
      </w:tr>
      <w:tr w14:paraId="5B0A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67" w:type="dxa"/>
            <w:tcBorders>
              <w:tl2br w:val="nil"/>
              <w:tr2bl w:val="nil"/>
            </w:tcBorders>
            <w:shd w:val="clear" w:color="auto" w:fill="auto"/>
            <w:vAlign w:val="center"/>
          </w:tcPr>
          <w:p w14:paraId="5D236E7E">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1</w:t>
            </w:r>
          </w:p>
        </w:tc>
        <w:tc>
          <w:tcPr>
            <w:tcW w:w="1092" w:type="dxa"/>
            <w:tcBorders>
              <w:tl2br w:val="nil"/>
              <w:tr2bl w:val="nil"/>
            </w:tcBorders>
            <w:shd w:val="clear" w:color="auto" w:fill="auto"/>
            <w:vAlign w:val="center"/>
          </w:tcPr>
          <w:p w14:paraId="17D592A3">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企业</w:t>
            </w:r>
          </w:p>
          <w:p w14:paraId="2F61FD2B">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认证</w:t>
            </w:r>
          </w:p>
        </w:tc>
        <w:tc>
          <w:tcPr>
            <w:tcW w:w="6652" w:type="dxa"/>
            <w:tcBorders>
              <w:tl2br w:val="nil"/>
              <w:tr2bl w:val="nil"/>
            </w:tcBorders>
            <w:shd w:val="clear" w:color="auto" w:fill="auto"/>
            <w:vAlign w:val="center"/>
          </w:tcPr>
          <w:p w14:paraId="64C02A4F">
            <w:pPr>
              <w:pStyle w:val="102"/>
              <w:keepNext w:val="0"/>
              <w:keepLines w:val="0"/>
              <w:pageBreakBefore w:val="0"/>
              <w:widowControl w:val="0"/>
              <w:kinsoku/>
              <w:wordWrap/>
              <w:overflowPunct/>
              <w:topLinePunct w:val="0"/>
              <w:autoSpaceDE/>
              <w:autoSpaceDN/>
              <w:bidi w:val="0"/>
              <w:spacing w:line="3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投标人具备有效的质量管理体系认证证书</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得1分</w:t>
            </w:r>
            <w:r>
              <w:rPr>
                <w:rFonts w:hint="eastAsia" w:ascii="宋体" w:hAnsi="宋体" w:eastAsia="宋体" w:cs="宋体"/>
                <w:b w:val="0"/>
                <w:bCs/>
                <w:color w:val="000000" w:themeColor="text1"/>
                <w:sz w:val="24"/>
                <w:szCs w:val="24"/>
                <w:highlight w:val="none"/>
                <w14:textFill>
                  <w14:solidFill>
                    <w14:schemeClr w14:val="tx1"/>
                  </w14:solidFill>
                </w14:textFill>
              </w:rPr>
              <w:t>、环境管理体系认证证书</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得1分</w:t>
            </w:r>
            <w:r>
              <w:rPr>
                <w:rFonts w:hint="eastAsia" w:ascii="宋体" w:hAnsi="宋体" w:eastAsia="宋体" w:cs="宋体"/>
                <w:b w:val="0"/>
                <w:bCs/>
                <w:color w:val="000000" w:themeColor="text1"/>
                <w:sz w:val="24"/>
                <w:szCs w:val="24"/>
                <w:highlight w:val="none"/>
                <w14:textFill>
                  <w14:solidFill>
                    <w14:schemeClr w14:val="tx1"/>
                  </w14:solidFill>
                </w14:textFill>
              </w:rPr>
              <w:t>、职业健康安全管理体系认证证书</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得1分</w:t>
            </w:r>
            <w:r>
              <w:rPr>
                <w:rFonts w:hint="eastAsia" w:ascii="宋体" w:hAnsi="宋体" w:eastAsia="宋体" w:cs="宋体"/>
                <w:b w:val="0"/>
                <w:bCs/>
                <w:color w:val="000000" w:themeColor="text1"/>
                <w:sz w:val="24"/>
                <w:szCs w:val="24"/>
                <w:highlight w:val="none"/>
                <w14:textFill>
                  <w14:solidFill>
                    <w14:schemeClr w14:val="tx1"/>
                  </w14:solidFill>
                </w14:textFill>
              </w:rPr>
              <w:t>、信息安全管理体系认证证书</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得1分</w:t>
            </w:r>
            <w:r>
              <w:rPr>
                <w:rFonts w:hint="eastAsia" w:ascii="宋体" w:hAnsi="宋体" w:eastAsia="宋体" w:cs="宋体"/>
                <w:b w:val="0"/>
                <w:bCs/>
                <w:color w:val="000000" w:themeColor="text1"/>
                <w:sz w:val="24"/>
                <w:szCs w:val="24"/>
                <w:highlight w:val="none"/>
                <w14:textFill>
                  <w14:solidFill>
                    <w14:schemeClr w14:val="tx1"/>
                  </w14:solidFill>
                </w14:textFill>
              </w:rPr>
              <w:t>、信息技术服务管理体系认</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得1分</w:t>
            </w:r>
            <w:r>
              <w:rPr>
                <w:rFonts w:hint="eastAsia" w:ascii="宋体" w:hAnsi="宋体" w:eastAsia="宋体" w:cs="宋体"/>
                <w:b w:val="0"/>
                <w:bCs/>
                <w:color w:val="000000" w:themeColor="text1"/>
                <w:sz w:val="24"/>
                <w:szCs w:val="24"/>
                <w:highlight w:val="none"/>
                <w14:textFill>
                  <w14:solidFill>
                    <w14:schemeClr w14:val="tx1"/>
                  </w14:solidFill>
                </w14:textFill>
              </w:rPr>
              <w:t>、证知识产权管理体系认证证书</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得1分</w:t>
            </w:r>
            <w:r>
              <w:rPr>
                <w:rFonts w:hint="eastAsia" w:ascii="宋体" w:hAnsi="宋体" w:eastAsia="宋体" w:cs="宋体"/>
                <w:b w:val="0"/>
                <w:bCs/>
                <w:color w:val="000000" w:themeColor="text1"/>
                <w:sz w:val="24"/>
                <w:szCs w:val="24"/>
                <w:highlight w:val="none"/>
                <w14:textFill>
                  <w14:solidFill>
                    <w14:schemeClr w14:val="tx1"/>
                  </w14:solidFill>
                </w14:textFill>
              </w:rPr>
              <w:t>。</w:t>
            </w:r>
          </w:p>
          <w:p w14:paraId="73220C4C">
            <w:pPr>
              <w:keepNext w:val="0"/>
              <w:keepLines w:val="0"/>
              <w:pageBreakBefore w:val="0"/>
              <w:widowControl/>
              <w:kinsoku/>
              <w:wordWrap/>
              <w:overflowPunct/>
              <w:topLinePunct w:val="0"/>
              <w:autoSpaceDE/>
              <w:autoSpaceDN/>
              <w:bidi w:val="0"/>
              <w:spacing w:line="300" w:lineRule="exact"/>
              <w:ind w:firstLine="396" w:firstLineChars="165"/>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注：须提认证证书扫描件或复印件并加盖公章，不提供不得分。</w:t>
            </w:r>
          </w:p>
        </w:tc>
        <w:tc>
          <w:tcPr>
            <w:tcW w:w="667" w:type="dxa"/>
            <w:tcBorders>
              <w:tl2br w:val="nil"/>
              <w:tr2bl w:val="nil"/>
            </w:tcBorders>
            <w:shd w:val="clear" w:color="auto" w:fill="auto"/>
            <w:vAlign w:val="center"/>
          </w:tcPr>
          <w:p w14:paraId="3BB406BD">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4</w:t>
            </w:r>
          </w:p>
        </w:tc>
        <w:tc>
          <w:tcPr>
            <w:tcW w:w="667" w:type="dxa"/>
            <w:tcBorders>
              <w:tl2br w:val="nil"/>
              <w:tr2bl w:val="nil"/>
            </w:tcBorders>
            <w:shd w:val="clear" w:color="auto" w:fill="auto"/>
            <w:vAlign w:val="center"/>
          </w:tcPr>
          <w:p w14:paraId="311630E5">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p>
        </w:tc>
        <w:tc>
          <w:tcPr>
            <w:tcW w:w="667" w:type="dxa"/>
            <w:tcBorders>
              <w:tl2br w:val="nil"/>
              <w:tr2bl w:val="nil"/>
            </w:tcBorders>
            <w:shd w:val="clear" w:color="auto" w:fill="auto"/>
            <w:vAlign w:val="center"/>
          </w:tcPr>
          <w:p w14:paraId="695AA7E2">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p>
        </w:tc>
      </w:tr>
      <w:tr w14:paraId="7361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667" w:type="dxa"/>
            <w:vMerge w:val="restart"/>
            <w:tcBorders>
              <w:tl2br w:val="nil"/>
              <w:tr2bl w:val="nil"/>
            </w:tcBorders>
            <w:shd w:val="clear" w:color="auto" w:fill="auto"/>
            <w:vAlign w:val="center"/>
          </w:tcPr>
          <w:p w14:paraId="43A41E39">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2</w:t>
            </w:r>
          </w:p>
        </w:tc>
        <w:tc>
          <w:tcPr>
            <w:tcW w:w="1092" w:type="dxa"/>
            <w:vMerge w:val="restart"/>
            <w:tcBorders>
              <w:tl2br w:val="nil"/>
              <w:tr2bl w:val="nil"/>
            </w:tcBorders>
            <w:shd w:val="clear" w:color="auto" w:fill="auto"/>
            <w:vAlign w:val="center"/>
          </w:tcPr>
          <w:p w14:paraId="4036A2DF">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拟投入的项目人员</w:t>
            </w:r>
          </w:p>
        </w:tc>
        <w:tc>
          <w:tcPr>
            <w:tcW w:w="6652" w:type="dxa"/>
            <w:tcBorders>
              <w:tl2br w:val="nil"/>
              <w:tr2bl w:val="nil"/>
            </w:tcBorders>
            <w:shd w:val="clear" w:color="auto" w:fill="auto"/>
            <w:vAlign w:val="center"/>
          </w:tcPr>
          <w:p w14:paraId="08E0851A">
            <w:pPr>
              <w:pStyle w:val="102"/>
              <w:keepNext w:val="0"/>
              <w:keepLines w:val="0"/>
              <w:pageBreakBefore w:val="0"/>
              <w:kinsoku/>
              <w:wordWrap/>
              <w:overflowPunct/>
              <w:topLinePunct w:val="0"/>
              <w:autoSpaceDE/>
              <w:autoSpaceDN/>
              <w:bidi w:val="0"/>
              <w:spacing w:line="3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项目总负责人</w:t>
            </w:r>
          </w:p>
          <w:p w14:paraId="3EA81E4F">
            <w:pPr>
              <w:pStyle w:val="102"/>
              <w:keepNext w:val="0"/>
              <w:keepLines w:val="0"/>
              <w:pageBreakBefore w:val="0"/>
              <w:numPr>
                <w:ilvl w:val="0"/>
                <w:numId w:val="10"/>
              </w:numPr>
              <w:kinsoku/>
              <w:wordWrap/>
              <w:overflowPunct/>
              <w:topLinePunct w:val="0"/>
              <w:autoSpaceDE/>
              <w:autoSpaceDN/>
              <w:bidi w:val="0"/>
              <w:spacing w:line="300" w:lineRule="exact"/>
              <w:ind w:left="0" w:leftChars="0" w:firstLine="38" w:firstLineChars="16"/>
              <w:jc w:val="left"/>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测绘地理信息相关专业正高级（教授级）工程师</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，得1分、</w:t>
            </w:r>
          </w:p>
          <w:p w14:paraId="5AC6889E">
            <w:pPr>
              <w:pStyle w:val="102"/>
              <w:keepNext w:val="0"/>
              <w:keepLines w:val="0"/>
              <w:pageBreakBefore w:val="0"/>
              <w:numPr>
                <w:ilvl w:val="0"/>
                <w:numId w:val="10"/>
              </w:numPr>
              <w:kinsoku/>
              <w:wordWrap/>
              <w:overflowPunct/>
              <w:topLinePunct w:val="0"/>
              <w:autoSpaceDE/>
              <w:autoSpaceDN/>
              <w:bidi w:val="0"/>
              <w:spacing w:line="300" w:lineRule="exact"/>
              <w:ind w:left="0" w:leftChars="0" w:firstLine="38" w:firstLineChars="16"/>
              <w:jc w:val="left"/>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测绘地理信息相关专业</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副</w:t>
            </w:r>
            <w:r>
              <w:rPr>
                <w:rFonts w:hint="eastAsia" w:ascii="宋体" w:hAnsi="宋体" w:eastAsia="宋体" w:cs="宋体"/>
                <w:b w:val="0"/>
                <w:bCs/>
                <w:color w:val="000000" w:themeColor="text1"/>
                <w:sz w:val="24"/>
                <w:szCs w:val="24"/>
                <w:highlight w:val="none"/>
                <w14:textFill>
                  <w14:solidFill>
                    <w14:schemeClr w14:val="tx1"/>
                  </w14:solidFill>
                </w14:textFill>
              </w:rPr>
              <w:t>高级（</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副</w:t>
            </w:r>
            <w:r>
              <w:rPr>
                <w:rFonts w:hint="eastAsia" w:ascii="宋体" w:hAnsi="宋体" w:eastAsia="宋体" w:cs="宋体"/>
                <w:b w:val="0"/>
                <w:bCs/>
                <w:color w:val="000000" w:themeColor="text1"/>
                <w:sz w:val="24"/>
                <w:szCs w:val="24"/>
                <w:highlight w:val="none"/>
                <w14:textFill>
                  <w14:solidFill>
                    <w14:schemeClr w14:val="tx1"/>
                  </w14:solidFill>
                </w14:textFill>
              </w:rPr>
              <w:t>教授级）工程师</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，得0.5分</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14:paraId="19FFB55D">
            <w:pPr>
              <w:pStyle w:val="102"/>
              <w:keepNext w:val="0"/>
              <w:keepLines w:val="0"/>
              <w:pageBreakBefore w:val="0"/>
              <w:numPr>
                <w:ilvl w:val="0"/>
                <w:numId w:val="10"/>
              </w:numPr>
              <w:kinsoku/>
              <w:wordWrap/>
              <w:overflowPunct/>
              <w:topLinePunct w:val="0"/>
              <w:autoSpaceDE/>
              <w:autoSpaceDN/>
              <w:bidi w:val="0"/>
              <w:spacing w:line="300" w:lineRule="exact"/>
              <w:ind w:left="0" w:leftChars="0" w:firstLine="0" w:firstLineChars="0"/>
              <w:jc w:val="left"/>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注册测绘师</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，得1分、</w:t>
            </w:r>
          </w:p>
          <w:p w14:paraId="34D34473">
            <w:pPr>
              <w:pStyle w:val="102"/>
              <w:keepNext w:val="0"/>
              <w:keepLines w:val="0"/>
              <w:pageBreakBefore w:val="0"/>
              <w:numPr>
                <w:ilvl w:val="0"/>
                <w:numId w:val="0"/>
              </w:numPr>
              <w:kinsoku/>
              <w:wordWrap/>
              <w:overflowPunct/>
              <w:topLinePunct w:val="0"/>
              <w:autoSpaceDE/>
              <w:autoSpaceDN/>
              <w:bidi w:val="0"/>
              <w:spacing w:line="3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14:textFill>
                  <w14:solidFill>
                    <w14:schemeClr w14:val="tx1"/>
                  </w14:solidFill>
                </w14:textFill>
              </w:rPr>
              <w:t>涉密测绘成果管理人员岗位培训证书或测绘保密知识培训证书的</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，得1分</w:t>
            </w:r>
            <w:r>
              <w:rPr>
                <w:rFonts w:hint="eastAsia" w:ascii="宋体" w:hAnsi="宋体" w:eastAsia="宋体" w:cs="宋体"/>
                <w:b w:val="0"/>
                <w:bCs/>
                <w:color w:val="000000" w:themeColor="text1"/>
                <w:sz w:val="24"/>
                <w:szCs w:val="24"/>
                <w:highlight w:val="none"/>
                <w14:textFill>
                  <w14:solidFill>
                    <w14:schemeClr w14:val="tx1"/>
                  </w14:solidFill>
                </w14:textFill>
              </w:rPr>
              <w:t>。</w:t>
            </w:r>
          </w:p>
        </w:tc>
        <w:tc>
          <w:tcPr>
            <w:tcW w:w="667" w:type="dxa"/>
            <w:tcBorders>
              <w:tl2br w:val="nil"/>
              <w:tr2bl w:val="nil"/>
            </w:tcBorders>
            <w:shd w:val="clear" w:color="auto" w:fill="auto"/>
            <w:vAlign w:val="center"/>
          </w:tcPr>
          <w:p w14:paraId="584DCBCD">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3</w:t>
            </w:r>
          </w:p>
        </w:tc>
        <w:tc>
          <w:tcPr>
            <w:tcW w:w="667" w:type="dxa"/>
            <w:tcBorders>
              <w:tl2br w:val="nil"/>
              <w:tr2bl w:val="nil"/>
            </w:tcBorders>
            <w:shd w:val="clear" w:color="auto" w:fill="auto"/>
            <w:vAlign w:val="center"/>
          </w:tcPr>
          <w:p w14:paraId="289E63BC">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p>
        </w:tc>
        <w:tc>
          <w:tcPr>
            <w:tcW w:w="667" w:type="dxa"/>
            <w:tcBorders>
              <w:tl2br w:val="nil"/>
              <w:tr2bl w:val="nil"/>
            </w:tcBorders>
            <w:shd w:val="clear" w:color="auto" w:fill="auto"/>
            <w:vAlign w:val="center"/>
          </w:tcPr>
          <w:p w14:paraId="2F34C2EC">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p>
        </w:tc>
      </w:tr>
      <w:tr w14:paraId="4FF71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667" w:type="dxa"/>
            <w:vMerge w:val="continue"/>
            <w:tcBorders>
              <w:tl2br w:val="nil"/>
              <w:tr2bl w:val="nil"/>
            </w:tcBorders>
            <w:shd w:val="clear" w:color="auto" w:fill="auto"/>
            <w:vAlign w:val="center"/>
          </w:tcPr>
          <w:p w14:paraId="52A45EA6">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p>
        </w:tc>
        <w:tc>
          <w:tcPr>
            <w:tcW w:w="1092" w:type="dxa"/>
            <w:vMerge w:val="continue"/>
            <w:tcBorders>
              <w:tl2br w:val="nil"/>
              <w:tr2bl w:val="nil"/>
            </w:tcBorders>
            <w:shd w:val="clear" w:color="auto" w:fill="auto"/>
            <w:vAlign w:val="center"/>
          </w:tcPr>
          <w:p w14:paraId="35A9EC75">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6652" w:type="dxa"/>
            <w:tcBorders>
              <w:tl2br w:val="nil"/>
              <w:tr2bl w:val="nil"/>
            </w:tcBorders>
            <w:shd w:val="clear" w:color="auto" w:fill="auto"/>
            <w:vAlign w:val="center"/>
          </w:tcPr>
          <w:p w14:paraId="784F5A5F">
            <w:pPr>
              <w:pStyle w:val="102"/>
              <w:keepNext w:val="0"/>
              <w:keepLines w:val="0"/>
              <w:pageBreakBefore w:val="0"/>
              <w:kinsoku/>
              <w:wordWrap/>
              <w:overflowPunct/>
              <w:topLinePunct w:val="0"/>
              <w:autoSpaceDE/>
              <w:autoSpaceDN/>
              <w:bidi w:val="0"/>
              <w:spacing w:line="3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其他负责人（技术负责人、质量负责人、安全保密负责人）</w:t>
            </w:r>
          </w:p>
          <w:p w14:paraId="54BC87C2">
            <w:pPr>
              <w:pStyle w:val="102"/>
              <w:keepNext w:val="0"/>
              <w:keepLines w:val="0"/>
              <w:pageBreakBefore w:val="0"/>
              <w:numPr>
                <w:ilvl w:val="0"/>
                <w:numId w:val="0"/>
              </w:numPr>
              <w:kinsoku/>
              <w:wordWrap/>
              <w:overflowPunct/>
              <w:topLinePunct w:val="0"/>
              <w:autoSpaceDE/>
              <w:autoSpaceDN/>
              <w:bidi w:val="0"/>
              <w:spacing w:line="3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测绘地理信息相关专业正高级（教授级）工程师</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，得1分</w:t>
            </w:r>
            <w:r>
              <w:rPr>
                <w:rFonts w:hint="eastAsia" w:ascii="宋体" w:hAnsi="宋体" w:eastAsia="宋体" w:cs="宋体"/>
                <w:b w:val="0"/>
                <w:bCs/>
                <w:color w:val="000000" w:themeColor="text1"/>
                <w:sz w:val="24"/>
                <w:szCs w:val="24"/>
                <w:highlight w:val="none"/>
                <w14:textFill>
                  <w14:solidFill>
                    <w14:schemeClr w14:val="tx1"/>
                  </w14:solidFill>
                </w14:textFill>
              </w:rPr>
              <w:t>、</w:t>
            </w:r>
          </w:p>
          <w:p w14:paraId="6EB3E962">
            <w:pPr>
              <w:pStyle w:val="102"/>
              <w:keepNext w:val="0"/>
              <w:keepLines w:val="0"/>
              <w:pageBreakBefore w:val="0"/>
              <w:numPr>
                <w:ilvl w:val="0"/>
                <w:numId w:val="0"/>
              </w:numPr>
              <w:kinsoku/>
              <w:wordWrap/>
              <w:overflowPunct/>
              <w:topLinePunct w:val="0"/>
              <w:autoSpaceDE/>
              <w:autoSpaceDN/>
              <w:bidi w:val="0"/>
              <w:spacing w:line="3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测绘地理信息相关专业</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副</w:t>
            </w:r>
            <w:r>
              <w:rPr>
                <w:rFonts w:hint="eastAsia" w:ascii="宋体" w:hAnsi="宋体" w:eastAsia="宋体" w:cs="宋体"/>
                <w:b w:val="0"/>
                <w:bCs/>
                <w:color w:val="000000" w:themeColor="text1"/>
                <w:sz w:val="24"/>
                <w:szCs w:val="24"/>
                <w:highlight w:val="none"/>
                <w14:textFill>
                  <w14:solidFill>
                    <w14:schemeClr w14:val="tx1"/>
                  </w14:solidFill>
                </w14:textFill>
              </w:rPr>
              <w:t>高级（</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副</w:t>
            </w:r>
            <w:r>
              <w:rPr>
                <w:rFonts w:hint="eastAsia" w:ascii="宋体" w:hAnsi="宋体" w:eastAsia="宋体" w:cs="宋体"/>
                <w:b w:val="0"/>
                <w:bCs/>
                <w:color w:val="000000" w:themeColor="text1"/>
                <w:sz w:val="24"/>
                <w:szCs w:val="24"/>
                <w:highlight w:val="none"/>
                <w14:textFill>
                  <w14:solidFill>
                    <w14:schemeClr w14:val="tx1"/>
                  </w14:solidFill>
                </w14:textFill>
              </w:rPr>
              <w:t>教授级）工程师</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，得0.5分、</w:t>
            </w:r>
          </w:p>
          <w:p w14:paraId="603EA052">
            <w:pPr>
              <w:pStyle w:val="102"/>
              <w:keepNext w:val="0"/>
              <w:keepLines w:val="0"/>
              <w:pageBreakBefore w:val="0"/>
              <w:numPr>
                <w:ilvl w:val="0"/>
                <w:numId w:val="0"/>
              </w:numPr>
              <w:kinsoku/>
              <w:wordWrap/>
              <w:overflowPunct/>
              <w:topLinePunct w:val="0"/>
              <w:autoSpaceDE/>
              <w:autoSpaceDN/>
              <w:bidi w:val="0"/>
              <w:spacing w:line="300" w:lineRule="exact"/>
              <w:jc w:val="left"/>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14:textFill>
                  <w14:solidFill>
                    <w14:schemeClr w14:val="tx1"/>
                  </w14:solidFill>
                </w14:textFill>
              </w:rPr>
              <w:t>注册测绘师</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，得1分</w:t>
            </w:r>
          </w:p>
          <w:p w14:paraId="6D77C428">
            <w:pPr>
              <w:pStyle w:val="102"/>
              <w:keepNext w:val="0"/>
              <w:keepLines w:val="0"/>
              <w:pageBreakBefore w:val="0"/>
              <w:numPr>
                <w:ilvl w:val="0"/>
                <w:numId w:val="0"/>
              </w:numPr>
              <w:kinsoku/>
              <w:wordWrap/>
              <w:overflowPunct/>
              <w:topLinePunct w:val="0"/>
              <w:autoSpaceDE/>
              <w:autoSpaceDN/>
              <w:bidi w:val="0"/>
              <w:spacing w:line="3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14:textFill>
                  <w14:solidFill>
                    <w14:schemeClr w14:val="tx1"/>
                  </w14:solidFill>
                </w14:textFill>
              </w:rPr>
              <w:t>涉密测绘成果管理人员岗位培训证书或测绘保密知识培训证书的</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，得1分</w:t>
            </w:r>
            <w:r>
              <w:rPr>
                <w:rFonts w:hint="eastAsia" w:ascii="宋体" w:hAnsi="宋体" w:eastAsia="宋体" w:cs="宋体"/>
                <w:b w:val="0"/>
                <w:bCs/>
                <w:color w:val="000000" w:themeColor="text1"/>
                <w:sz w:val="24"/>
                <w:szCs w:val="24"/>
                <w:highlight w:val="none"/>
                <w14:textFill>
                  <w14:solidFill>
                    <w14:schemeClr w14:val="tx1"/>
                  </w14:solidFill>
                </w14:textFill>
              </w:rPr>
              <w:t>。</w:t>
            </w:r>
          </w:p>
        </w:tc>
        <w:tc>
          <w:tcPr>
            <w:tcW w:w="667" w:type="dxa"/>
            <w:tcBorders>
              <w:tl2br w:val="nil"/>
              <w:tr2bl w:val="nil"/>
            </w:tcBorders>
            <w:shd w:val="clear" w:color="auto" w:fill="auto"/>
            <w:vAlign w:val="center"/>
          </w:tcPr>
          <w:p w14:paraId="19B22A27">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6</w:t>
            </w:r>
          </w:p>
        </w:tc>
        <w:tc>
          <w:tcPr>
            <w:tcW w:w="667" w:type="dxa"/>
            <w:tcBorders>
              <w:tl2br w:val="nil"/>
              <w:tr2bl w:val="nil"/>
            </w:tcBorders>
            <w:shd w:val="clear" w:color="auto" w:fill="auto"/>
            <w:vAlign w:val="center"/>
          </w:tcPr>
          <w:p w14:paraId="63F26C0C">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p>
        </w:tc>
        <w:tc>
          <w:tcPr>
            <w:tcW w:w="667" w:type="dxa"/>
            <w:tcBorders>
              <w:tl2br w:val="nil"/>
              <w:tr2bl w:val="nil"/>
            </w:tcBorders>
            <w:shd w:val="clear" w:color="auto" w:fill="auto"/>
            <w:vAlign w:val="center"/>
          </w:tcPr>
          <w:p w14:paraId="2347824A">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p>
        </w:tc>
      </w:tr>
      <w:tr w14:paraId="3CFB7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667" w:type="dxa"/>
            <w:vMerge w:val="continue"/>
            <w:tcBorders>
              <w:tl2br w:val="nil"/>
              <w:tr2bl w:val="nil"/>
            </w:tcBorders>
            <w:shd w:val="clear" w:color="auto" w:fill="auto"/>
            <w:vAlign w:val="center"/>
          </w:tcPr>
          <w:p w14:paraId="158163E6">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p>
        </w:tc>
        <w:tc>
          <w:tcPr>
            <w:tcW w:w="1092" w:type="dxa"/>
            <w:vMerge w:val="continue"/>
            <w:tcBorders>
              <w:tl2br w:val="nil"/>
              <w:tr2bl w:val="nil"/>
            </w:tcBorders>
            <w:shd w:val="clear" w:color="auto" w:fill="auto"/>
            <w:vAlign w:val="center"/>
          </w:tcPr>
          <w:p w14:paraId="4B24D4D5">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6652" w:type="dxa"/>
            <w:tcBorders>
              <w:tl2br w:val="nil"/>
              <w:tr2bl w:val="nil"/>
            </w:tcBorders>
            <w:shd w:val="clear" w:color="auto" w:fill="auto"/>
            <w:vAlign w:val="center"/>
          </w:tcPr>
          <w:p w14:paraId="530B3209">
            <w:pPr>
              <w:pStyle w:val="102"/>
              <w:keepNext w:val="0"/>
              <w:keepLines w:val="0"/>
              <w:pageBreakBefore w:val="0"/>
              <w:kinsoku/>
              <w:wordWrap/>
              <w:overflowPunct/>
              <w:topLinePunct w:val="0"/>
              <w:autoSpaceDE/>
              <w:autoSpaceDN/>
              <w:bidi w:val="0"/>
              <w:spacing w:line="300" w:lineRule="exact"/>
              <w:jc w:val="left"/>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项目组其他人员(不包括上述各负责人)中</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具备</w:t>
            </w:r>
          </w:p>
          <w:p w14:paraId="01DA3383">
            <w:pPr>
              <w:pStyle w:val="102"/>
              <w:keepNext w:val="0"/>
              <w:keepLines w:val="0"/>
              <w:pageBreakBefore w:val="0"/>
              <w:numPr>
                <w:ilvl w:val="0"/>
                <w:numId w:val="0"/>
              </w:numPr>
              <w:kinsoku/>
              <w:wordWrap/>
              <w:overflowPunct/>
              <w:topLinePunct w:val="0"/>
              <w:autoSpaceDE/>
              <w:autoSpaceDN/>
              <w:bidi w:val="0"/>
              <w:spacing w:line="3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测绘地理信息相关专业副高级（高级）工程师</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b w:val="0"/>
                <w:bCs/>
                <w:color w:val="000000" w:themeColor="text1"/>
                <w:sz w:val="24"/>
                <w:szCs w:val="24"/>
                <w:highlight w:val="none"/>
                <w14:textFill>
                  <w14:solidFill>
                    <w14:schemeClr w14:val="tx1"/>
                  </w14:solidFill>
                </w14:textFill>
              </w:rPr>
              <w:t>注册测绘师的人数≥8人的得4分，≥5人的得2分，≥3人的得1分，其他不得分</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14:paraId="7AE523A0">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注：以上拟投入的项目人员不得重复，如有重复该人员不计分。提供拟投入的项目人员的相应证书复印件/扫描件及人社部门近2个月内出具（打印/下载）的在投标单位的社保证明并加盖公章，否则不得分。</w:t>
            </w:r>
          </w:p>
        </w:tc>
        <w:tc>
          <w:tcPr>
            <w:tcW w:w="667" w:type="dxa"/>
            <w:tcBorders>
              <w:tl2br w:val="nil"/>
              <w:tr2bl w:val="nil"/>
            </w:tcBorders>
            <w:shd w:val="clear" w:color="auto" w:fill="auto"/>
            <w:vAlign w:val="center"/>
          </w:tcPr>
          <w:p w14:paraId="6173B863">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4</w:t>
            </w:r>
          </w:p>
        </w:tc>
        <w:tc>
          <w:tcPr>
            <w:tcW w:w="667" w:type="dxa"/>
            <w:tcBorders>
              <w:tl2br w:val="nil"/>
              <w:tr2bl w:val="nil"/>
            </w:tcBorders>
            <w:shd w:val="clear" w:color="auto" w:fill="auto"/>
            <w:vAlign w:val="center"/>
          </w:tcPr>
          <w:p w14:paraId="78CE8CC1">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p>
        </w:tc>
        <w:tc>
          <w:tcPr>
            <w:tcW w:w="667" w:type="dxa"/>
            <w:tcBorders>
              <w:tl2br w:val="nil"/>
              <w:tr2bl w:val="nil"/>
            </w:tcBorders>
            <w:shd w:val="clear" w:color="auto" w:fill="auto"/>
            <w:vAlign w:val="center"/>
          </w:tcPr>
          <w:p w14:paraId="5B26D616">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p>
        </w:tc>
      </w:tr>
      <w:tr w14:paraId="08C58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67" w:type="dxa"/>
            <w:tcBorders>
              <w:tl2br w:val="nil"/>
              <w:tr2bl w:val="nil"/>
            </w:tcBorders>
            <w:shd w:val="clear" w:color="auto" w:fill="auto"/>
            <w:vAlign w:val="center"/>
          </w:tcPr>
          <w:p w14:paraId="37DBCE45">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3</w:t>
            </w:r>
          </w:p>
        </w:tc>
        <w:tc>
          <w:tcPr>
            <w:tcW w:w="1092" w:type="dxa"/>
            <w:tcBorders>
              <w:tl2br w:val="nil"/>
              <w:tr2bl w:val="nil"/>
            </w:tcBorders>
            <w:shd w:val="clear" w:color="auto" w:fill="auto"/>
            <w:vAlign w:val="center"/>
          </w:tcPr>
          <w:p w14:paraId="514ABF51">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项目</w:t>
            </w:r>
          </w:p>
          <w:p w14:paraId="0A7B551A">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业绩</w:t>
            </w:r>
          </w:p>
        </w:tc>
        <w:tc>
          <w:tcPr>
            <w:tcW w:w="6652" w:type="dxa"/>
            <w:tcBorders>
              <w:tl2br w:val="nil"/>
              <w:tr2bl w:val="nil"/>
            </w:tcBorders>
            <w:shd w:val="clear" w:color="auto" w:fill="auto"/>
            <w:vAlign w:val="center"/>
          </w:tcPr>
          <w:p w14:paraId="2B07F0FD">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近三年</w:t>
            </w:r>
            <w:r>
              <w:rPr>
                <w:rFonts w:hint="eastAsia" w:ascii="宋体" w:hAnsi="宋体" w:eastAsia="宋体" w:cs="宋体"/>
                <w:b w:val="0"/>
                <w:bCs/>
                <w:color w:val="000000" w:themeColor="text1"/>
                <w:sz w:val="24"/>
                <w:szCs w:val="24"/>
                <w:highlight w:val="none"/>
                <w14:textFill>
                  <w14:solidFill>
                    <w14:schemeClr w14:val="tx1"/>
                  </w14:solidFill>
                </w14:textFill>
              </w:rPr>
              <w:t>以来投标人承担过与同类</w:t>
            </w:r>
            <w:r>
              <w:rPr>
                <w:rFonts w:hint="eastAsia" w:ascii="宋体" w:hAnsi="宋体" w:eastAsia="宋体" w:cs="宋体"/>
                <w:b w:val="0"/>
                <w:bCs/>
                <w:color w:val="000000" w:themeColor="text1"/>
                <w:kern w:val="0"/>
                <w:sz w:val="24"/>
                <w:szCs w:val="24"/>
                <w:highlight w:val="none"/>
                <w14:textFill>
                  <w14:solidFill>
                    <w14:schemeClr w14:val="tx1"/>
                  </w14:solidFill>
                </w14:textFill>
              </w:rPr>
              <w:t>的测绘项目</w:t>
            </w:r>
            <w:r>
              <w:rPr>
                <w:rFonts w:hint="eastAsia" w:ascii="宋体" w:hAnsi="宋体" w:eastAsia="宋体" w:cs="宋体"/>
                <w:b w:val="0"/>
                <w:bCs/>
                <w:color w:val="000000" w:themeColor="text1"/>
                <w:sz w:val="24"/>
                <w:szCs w:val="24"/>
                <w:highlight w:val="none"/>
                <w14:textFill>
                  <w14:solidFill>
                    <w14:schemeClr w14:val="tx1"/>
                  </w14:solidFill>
                </w14:textFill>
              </w:rPr>
              <w:t>，每个项目得0.2分，最高得1分。</w:t>
            </w:r>
          </w:p>
          <w:p w14:paraId="072AFCA1">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注：以合同签订时间为准，须提供合同扫描件或复印件并加盖公章、不提供则不得分。</w:t>
            </w:r>
          </w:p>
        </w:tc>
        <w:tc>
          <w:tcPr>
            <w:tcW w:w="667" w:type="dxa"/>
            <w:tcBorders>
              <w:tl2br w:val="nil"/>
              <w:tr2bl w:val="nil"/>
            </w:tcBorders>
            <w:shd w:val="clear" w:color="auto" w:fill="auto"/>
            <w:vAlign w:val="center"/>
          </w:tcPr>
          <w:p w14:paraId="6F21E946">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1</w:t>
            </w:r>
          </w:p>
        </w:tc>
        <w:tc>
          <w:tcPr>
            <w:tcW w:w="667" w:type="dxa"/>
            <w:tcBorders>
              <w:tl2br w:val="nil"/>
              <w:tr2bl w:val="nil"/>
            </w:tcBorders>
            <w:shd w:val="clear" w:color="auto" w:fill="auto"/>
            <w:vAlign w:val="center"/>
          </w:tcPr>
          <w:p w14:paraId="69F97279">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p>
        </w:tc>
        <w:tc>
          <w:tcPr>
            <w:tcW w:w="667" w:type="dxa"/>
            <w:tcBorders>
              <w:tl2br w:val="nil"/>
              <w:tr2bl w:val="nil"/>
            </w:tcBorders>
            <w:shd w:val="clear" w:color="auto" w:fill="auto"/>
            <w:vAlign w:val="center"/>
          </w:tcPr>
          <w:p w14:paraId="62ED3C33">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p>
        </w:tc>
      </w:tr>
      <w:tr w14:paraId="10006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tcBorders>
              <w:tl2br w:val="nil"/>
              <w:tr2bl w:val="nil"/>
            </w:tcBorders>
            <w:shd w:val="clear" w:color="auto" w:fill="auto"/>
            <w:vAlign w:val="center"/>
          </w:tcPr>
          <w:p w14:paraId="6DDBD8DB">
            <w:pPr>
              <w:keepNext w:val="0"/>
              <w:keepLines w:val="0"/>
              <w:pageBreakBefore w:val="0"/>
              <w:widowControl/>
              <w:kinsoku/>
              <w:wordWrap/>
              <w:overflowPunct/>
              <w:topLinePunct w:val="0"/>
              <w:autoSpaceDE/>
              <w:autoSpaceDN/>
              <w:bidi w:val="0"/>
              <w:spacing w:line="300" w:lineRule="exact"/>
              <w:jc w:val="center"/>
              <w:textAlignment w:val="auto"/>
              <w:rPr>
                <w:rFonts w:hint="default"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4</w:t>
            </w:r>
          </w:p>
        </w:tc>
        <w:tc>
          <w:tcPr>
            <w:tcW w:w="1092" w:type="dxa"/>
            <w:tcBorders>
              <w:tl2br w:val="nil"/>
              <w:tr2bl w:val="nil"/>
            </w:tcBorders>
            <w:shd w:val="clear" w:color="auto" w:fill="auto"/>
            <w:vAlign w:val="center"/>
          </w:tcPr>
          <w:p w14:paraId="60B3ED9B">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综合</w:t>
            </w:r>
          </w:p>
          <w:p w14:paraId="6F16233D">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实力</w:t>
            </w:r>
          </w:p>
        </w:tc>
        <w:tc>
          <w:tcPr>
            <w:tcW w:w="6652" w:type="dxa"/>
            <w:tcBorders>
              <w:tl2br w:val="nil"/>
              <w:tr2bl w:val="nil"/>
            </w:tcBorders>
            <w:shd w:val="clear" w:color="auto" w:fill="auto"/>
            <w:vAlign w:val="center"/>
          </w:tcPr>
          <w:p w14:paraId="0F299923">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2019年1月1日以来投标人承担的测绘项目获得省级及以上人民政府颁发的科学技术进步奖的：国家级的每个得</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1.5</w:t>
            </w:r>
            <w:r>
              <w:rPr>
                <w:rFonts w:hint="eastAsia" w:ascii="宋体" w:hAnsi="宋体" w:eastAsia="宋体" w:cs="宋体"/>
                <w:b w:val="0"/>
                <w:bCs/>
                <w:color w:val="000000" w:themeColor="text1"/>
                <w:kern w:val="0"/>
                <w:sz w:val="24"/>
                <w:szCs w:val="24"/>
                <w:highlight w:val="none"/>
                <w14:textFill>
                  <w14:solidFill>
                    <w14:schemeClr w14:val="tx1"/>
                  </w14:solidFill>
                </w14:textFill>
              </w:rPr>
              <w:t>分，省级的每个得1分。</w:t>
            </w:r>
          </w:p>
          <w:p w14:paraId="32B89F74">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注：须提供相关证书、证明材料扫描件或复印件并加盖公章，不提供不得分。</w:t>
            </w:r>
          </w:p>
        </w:tc>
        <w:tc>
          <w:tcPr>
            <w:tcW w:w="667" w:type="dxa"/>
            <w:tcBorders>
              <w:tl2br w:val="nil"/>
              <w:tr2bl w:val="nil"/>
            </w:tcBorders>
            <w:shd w:val="clear" w:color="auto" w:fill="auto"/>
            <w:vAlign w:val="center"/>
          </w:tcPr>
          <w:p w14:paraId="69F78C8F">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3</w:t>
            </w:r>
          </w:p>
        </w:tc>
        <w:tc>
          <w:tcPr>
            <w:tcW w:w="667" w:type="dxa"/>
            <w:tcBorders>
              <w:tl2br w:val="nil"/>
              <w:tr2bl w:val="nil"/>
            </w:tcBorders>
            <w:shd w:val="clear" w:color="auto" w:fill="auto"/>
            <w:vAlign w:val="center"/>
          </w:tcPr>
          <w:p w14:paraId="34660D37">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p>
        </w:tc>
        <w:tc>
          <w:tcPr>
            <w:tcW w:w="667" w:type="dxa"/>
            <w:tcBorders>
              <w:tl2br w:val="nil"/>
              <w:tr2bl w:val="nil"/>
            </w:tcBorders>
            <w:shd w:val="clear" w:color="auto" w:fill="auto"/>
            <w:vAlign w:val="center"/>
          </w:tcPr>
          <w:p w14:paraId="742ED345">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p>
        </w:tc>
      </w:tr>
      <w:tr w14:paraId="747CE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tcBorders>
              <w:tl2br w:val="nil"/>
              <w:tr2bl w:val="nil"/>
            </w:tcBorders>
            <w:shd w:val="clear" w:color="auto" w:fill="auto"/>
            <w:vAlign w:val="center"/>
          </w:tcPr>
          <w:p w14:paraId="0E4B2348">
            <w:pPr>
              <w:keepNext w:val="0"/>
              <w:keepLines w:val="0"/>
              <w:pageBreakBefore w:val="0"/>
              <w:widowControl/>
              <w:kinsoku/>
              <w:wordWrap/>
              <w:overflowPunct/>
              <w:topLinePunct w:val="0"/>
              <w:autoSpaceDE/>
              <w:autoSpaceDN/>
              <w:bidi w:val="0"/>
              <w:spacing w:line="300" w:lineRule="exact"/>
              <w:jc w:val="center"/>
              <w:textAlignment w:val="auto"/>
              <w:rPr>
                <w:rFonts w:hint="default"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5</w:t>
            </w:r>
          </w:p>
        </w:tc>
        <w:tc>
          <w:tcPr>
            <w:tcW w:w="1092" w:type="dxa"/>
            <w:tcBorders>
              <w:tl2br w:val="nil"/>
              <w:tr2bl w:val="nil"/>
            </w:tcBorders>
            <w:shd w:val="clear" w:color="auto" w:fill="auto"/>
            <w:vAlign w:val="center"/>
          </w:tcPr>
          <w:p w14:paraId="258D34B5">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项目</w:t>
            </w:r>
          </w:p>
          <w:p w14:paraId="5C156F7B">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理解</w:t>
            </w:r>
          </w:p>
        </w:tc>
        <w:tc>
          <w:tcPr>
            <w:tcW w:w="6652" w:type="dxa"/>
            <w:tcBorders>
              <w:tl2br w:val="nil"/>
              <w:tr2bl w:val="nil"/>
            </w:tcBorders>
            <w:shd w:val="clear" w:color="auto" w:fill="auto"/>
            <w:vAlign w:val="center"/>
          </w:tcPr>
          <w:p w14:paraId="72EF1576">
            <w:pPr>
              <w:pStyle w:val="102"/>
              <w:keepNext w:val="0"/>
              <w:keepLines w:val="0"/>
              <w:pageBreakBefore w:val="0"/>
              <w:kinsoku/>
              <w:wordWrap/>
              <w:overflowPunct/>
              <w:topLinePunct w:val="0"/>
              <w:autoSpaceDE/>
              <w:autoSpaceDN/>
              <w:bidi w:val="0"/>
              <w:spacing w:line="3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投标人阐述对本项目的背景、现状、作业环境和作业区域特点及难易程度的了解分析。</w:t>
            </w:r>
          </w:p>
          <w:p w14:paraId="29D2CC8F">
            <w:pPr>
              <w:pStyle w:val="102"/>
              <w:keepNext w:val="0"/>
              <w:keepLines w:val="0"/>
              <w:pageBreakBefore w:val="0"/>
              <w:kinsoku/>
              <w:wordWrap/>
              <w:overflowPunct/>
              <w:topLinePunct w:val="0"/>
              <w:autoSpaceDE/>
              <w:autoSpaceDN/>
              <w:bidi w:val="0"/>
              <w:spacing w:line="3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根据投标人对本次确权登记工作的背景、现状、特点及难易程度的了解分析科学合理，全面深入，客观到位，见解深刻。</w:t>
            </w:r>
          </w:p>
        </w:tc>
        <w:tc>
          <w:tcPr>
            <w:tcW w:w="667" w:type="dxa"/>
            <w:tcBorders>
              <w:tl2br w:val="nil"/>
              <w:tr2bl w:val="nil"/>
            </w:tcBorders>
            <w:shd w:val="clear" w:color="auto" w:fill="auto"/>
            <w:vAlign w:val="center"/>
          </w:tcPr>
          <w:p w14:paraId="7B53930C">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0-</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6</w:t>
            </w:r>
          </w:p>
        </w:tc>
        <w:tc>
          <w:tcPr>
            <w:tcW w:w="667" w:type="dxa"/>
            <w:tcBorders>
              <w:tl2br w:val="nil"/>
              <w:tr2bl w:val="nil"/>
            </w:tcBorders>
            <w:shd w:val="clear" w:color="auto" w:fill="auto"/>
            <w:vAlign w:val="center"/>
          </w:tcPr>
          <w:p w14:paraId="67800FD1">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p>
        </w:tc>
        <w:tc>
          <w:tcPr>
            <w:tcW w:w="667" w:type="dxa"/>
            <w:tcBorders>
              <w:tl2br w:val="nil"/>
              <w:tr2bl w:val="nil"/>
            </w:tcBorders>
            <w:shd w:val="clear" w:color="auto" w:fill="auto"/>
            <w:vAlign w:val="center"/>
          </w:tcPr>
          <w:p w14:paraId="5CDCDEC8">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p>
        </w:tc>
      </w:tr>
      <w:tr w14:paraId="60979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tcBorders>
              <w:tl2br w:val="nil"/>
              <w:tr2bl w:val="nil"/>
            </w:tcBorders>
            <w:shd w:val="clear" w:color="auto" w:fill="auto"/>
            <w:vAlign w:val="center"/>
          </w:tcPr>
          <w:p w14:paraId="24DC212E">
            <w:pPr>
              <w:keepNext w:val="0"/>
              <w:keepLines w:val="0"/>
              <w:pageBreakBefore w:val="0"/>
              <w:widowControl/>
              <w:kinsoku/>
              <w:wordWrap/>
              <w:overflowPunct/>
              <w:topLinePunct w:val="0"/>
              <w:autoSpaceDE/>
              <w:autoSpaceDN/>
              <w:bidi w:val="0"/>
              <w:spacing w:line="300" w:lineRule="exact"/>
              <w:jc w:val="center"/>
              <w:textAlignment w:val="auto"/>
              <w:rPr>
                <w:rFonts w:hint="default"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6</w:t>
            </w:r>
          </w:p>
        </w:tc>
        <w:tc>
          <w:tcPr>
            <w:tcW w:w="1092" w:type="dxa"/>
            <w:tcBorders>
              <w:tl2br w:val="nil"/>
              <w:tr2bl w:val="nil"/>
            </w:tcBorders>
            <w:shd w:val="clear" w:color="auto" w:fill="auto"/>
            <w:vAlign w:val="center"/>
          </w:tcPr>
          <w:p w14:paraId="000A0FF6">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工作</w:t>
            </w:r>
          </w:p>
          <w:p w14:paraId="2B0B25C6">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思路和</w:t>
            </w:r>
          </w:p>
          <w:p w14:paraId="4B432E52">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方法</w:t>
            </w:r>
          </w:p>
        </w:tc>
        <w:tc>
          <w:tcPr>
            <w:tcW w:w="6652" w:type="dxa"/>
            <w:tcBorders>
              <w:tl2br w:val="nil"/>
              <w:tr2bl w:val="nil"/>
            </w:tcBorders>
            <w:shd w:val="clear" w:color="auto" w:fill="auto"/>
            <w:vAlign w:val="center"/>
          </w:tcPr>
          <w:p w14:paraId="4F5ED5CD">
            <w:pPr>
              <w:pStyle w:val="102"/>
              <w:keepNext w:val="0"/>
              <w:keepLines w:val="0"/>
              <w:pageBreakBefore w:val="0"/>
              <w:kinsoku/>
              <w:wordWrap/>
              <w:overflowPunct/>
              <w:topLinePunct w:val="0"/>
              <w:autoSpaceDE/>
              <w:autoSpaceDN/>
              <w:bidi w:val="0"/>
              <w:spacing w:line="3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投标人应设计适合于</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玉环</w:t>
            </w:r>
            <w:r>
              <w:rPr>
                <w:rFonts w:hint="eastAsia" w:ascii="宋体" w:hAnsi="宋体" w:eastAsia="宋体" w:cs="宋体"/>
                <w:b w:val="0"/>
                <w:bCs/>
                <w:color w:val="000000" w:themeColor="text1"/>
                <w:sz w:val="24"/>
                <w:szCs w:val="24"/>
                <w:highlight w:val="none"/>
                <w14:textFill>
                  <w14:solidFill>
                    <w14:schemeClr w14:val="tx1"/>
                  </w14:solidFill>
                </w14:textFill>
              </w:rPr>
              <w:t>现阶段自然资源统一确权登记工作的思路和方法。</w:t>
            </w:r>
          </w:p>
          <w:p w14:paraId="14489A02">
            <w:pPr>
              <w:pStyle w:val="102"/>
              <w:keepNext w:val="0"/>
              <w:keepLines w:val="0"/>
              <w:pageBreakBefore w:val="0"/>
              <w:kinsoku/>
              <w:wordWrap/>
              <w:overflowPunct/>
              <w:topLinePunct w:val="0"/>
              <w:autoSpaceDE/>
              <w:autoSpaceDN/>
              <w:bidi w:val="0"/>
              <w:spacing w:line="3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根据投标人对本项目工作思路、方法是否科学、合理进行综合评价打分。工作思路清晰明确，方法科学合理、具体全面，适合</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玉环</w:t>
            </w:r>
            <w:r>
              <w:rPr>
                <w:rFonts w:hint="eastAsia" w:ascii="宋体" w:hAnsi="宋体" w:eastAsia="宋体" w:cs="宋体"/>
                <w:b w:val="0"/>
                <w:bCs/>
                <w:color w:val="000000" w:themeColor="text1"/>
                <w:sz w:val="24"/>
                <w:szCs w:val="24"/>
                <w:highlight w:val="none"/>
                <w14:textFill>
                  <w14:solidFill>
                    <w14:schemeClr w14:val="tx1"/>
                  </w14:solidFill>
                </w14:textFill>
              </w:rPr>
              <w:t>现阶段自然资源确权登记工作要求。</w:t>
            </w:r>
          </w:p>
        </w:tc>
        <w:tc>
          <w:tcPr>
            <w:tcW w:w="667" w:type="dxa"/>
            <w:tcBorders>
              <w:tl2br w:val="nil"/>
              <w:tr2bl w:val="nil"/>
            </w:tcBorders>
            <w:shd w:val="clear" w:color="auto" w:fill="auto"/>
            <w:vAlign w:val="center"/>
          </w:tcPr>
          <w:p w14:paraId="7AF72137">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0-</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7</w:t>
            </w:r>
          </w:p>
        </w:tc>
        <w:tc>
          <w:tcPr>
            <w:tcW w:w="667" w:type="dxa"/>
            <w:tcBorders>
              <w:tl2br w:val="nil"/>
              <w:tr2bl w:val="nil"/>
            </w:tcBorders>
            <w:shd w:val="clear" w:color="auto" w:fill="auto"/>
            <w:vAlign w:val="center"/>
          </w:tcPr>
          <w:p w14:paraId="0FD31F20">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p>
        </w:tc>
        <w:tc>
          <w:tcPr>
            <w:tcW w:w="667" w:type="dxa"/>
            <w:tcBorders>
              <w:tl2br w:val="nil"/>
              <w:tr2bl w:val="nil"/>
            </w:tcBorders>
            <w:shd w:val="clear" w:color="auto" w:fill="auto"/>
            <w:vAlign w:val="center"/>
          </w:tcPr>
          <w:p w14:paraId="556CE434">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p>
        </w:tc>
      </w:tr>
      <w:tr w14:paraId="346AD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tcBorders>
              <w:tl2br w:val="nil"/>
              <w:tr2bl w:val="nil"/>
            </w:tcBorders>
            <w:shd w:val="clear" w:color="auto" w:fill="auto"/>
            <w:vAlign w:val="center"/>
          </w:tcPr>
          <w:p w14:paraId="34558C64">
            <w:pPr>
              <w:keepNext w:val="0"/>
              <w:keepLines w:val="0"/>
              <w:pageBreakBefore w:val="0"/>
              <w:widowControl/>
              <w:kinsoku/>
              <w:wordWrap/>
              <w:overflowPunct/>
              <w:topLinePunct w:val="0"/>
              <w:autoSpaceDE/>
              <w:autoSpaceDN/>
              <w:bidi w:val="0"/>
              <w:spacing w:line="300" w:lineRule="exact"/>
              <w:jc w:val="center"/>
              <w:textAlignment w:val="auto"/>
              <w:rPr>
                <w:rFonts w:hint="default"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7</w:t>
            </w:r>
          </w:p>
        </w:tc>
        <w:tc>
          <w:tcPr>
            <w:tcW w:w="1092" w:type="dxa"/>
            <w:tcBorders>
              <w:tl2br w:val="nil"/>
              <w:tr2bl w:val="nil"/>
            </w:tcBorders>
            <w:shd w:val="clear" w:color="auto" w:fill="auto"/>
            <w:vAlign w:val="center"/>
          </w:tcPr>
          <w:p w14:paraId="3D57F3B7">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技术</w:t>
            </w:r>
          </w:p>
          <w:p w14:paraId="1EA726D8">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路线</w:t>
            </w:r>
          </w:p>
        </w:tc>
        <w:tc>
          <w:tcPr>
            <w:tcW w:w="6652" w:type="dxa"/>
            <w:tcBorders>
              <w:tl2br w:val="nil"/>
              <w:tr2bl w:val="nil"/>
            </w:tcBorders>
            <w:shd w:val="clear" w:color="auto" w:fill="auto"/>
            <w:vAlign w:val="center"/>
          </w:tcPr>
          <w:p w14:paraId="1E61AC4C">
            <w:pPr>
              <w:pStyle w:val="102"/>
              <w:keepNext w:val="0"/>
              <w:keepLines w:val="0"/>
              <w:pageBreakBefore w:val="0"/>
              <w:kinsoku/>
              <w:wordWrap/>
              <w:overflowPunct/>
              <w:topLinePunct w:val="0"/>
              <w:autoSpaceDE/>
              <w:autoSpaceDN/>
              <w:bidi w:val="0"/>
              <w:spacing w:line="3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投标人应建立适合</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玉环</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市</w:t>
            </w:r>
            <w:r>
              <w:rPr>
                <w:rFonts w:hint="eastAsia" w:ascii="宋体" w:hAnsi="宋体" w:eastAsia="宋体" w:cs="宋体"/>
                <w:b w:val="0"/>
                <w:bCs/>
                <w:color w:val="000000" w:themeColor="text1"/>
                <w:sz w:val="24"/>
                <w:szCs w:val="24"/>
                <w:highlight w:val="none"/>
                <w14:textFill>
                  <w14:solidFill>
                    <w14:schemeClr w14:val="tx1"/>
                  </w14:solidFill>
                </w14:textFill>
              </w:rPr>
              <w:t>自然资源统一确权工作的技术路线。</w:t>
            </w:r>
          </w:p>
          <w:p w14:paraId="791732B7">
            <w:pPr>
              <w:pStyle w:val="102"/>
              <w:keepNext w:val="0"/>
              <w:keepLines w:val="0"/>
              <w:pageBreakBefore w:val="0"/>
              <w:kinsoku/>
              <w:wordWrap/>
              <w:overflowPunct/>
              <w:topLinePunct w:val="0"/>
              <w:autoSpaceDE/>
              <w:autoSpaceDN/>
              <w:bidi w:val="0"/>
              <w:spacing w:line="3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根据供应商对本项目搭建的技术路线是否清晰、合理、科学进行评议。技术路线科学合理、清晰全面，适合</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浙江</w:t>
            </w:r>
            <w:r>
              <w:rPr>
                <w:rFonts w:hint="eastAsia" w:ascii="宋体" w:hAnsi="宋体" w:eastAsia="宋体" w:cs="宋体"/>
                <w:b w:val="0"/>
                <w:bCs/>
                <w:color w:val="000000" w:themeColor="text1"/>
                <w:sz w:val="24"/>
                <w:szCs w:val="24"/>
                <w:highlight w:val="none"/>
                <w14:textFill>
                  <w14:solidFill>
                    <w14:schemeClr w14:val="tx1"/>
                  </w14:solidFill>
                </w14:textFill>
              </w:rPr>
              <w:t>自然资源统一确权工作。</w:t>
            </w:r>
          </w:p>
        </w:tc>
        <w:tc>
          <w:tcPr>
            <w:tcW w:w="667" w:type="dxa"/>
            <w:tcBorders>
              <w:tl2br w:val="nil"/>
              <w:tr2bl w:val="nil"/>
            </w:tcBorders>
            <w:shd w:val="clear" w:color="auto" w:fill="auto"/>
            <w:vAlign w:val="center"/>
          </w:tcPr>
          <w:p w14:paraId="39EDE38D">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0-</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7</w:t>
            </w:r>
          </w:p>
        </w:tc>
        <w:tc>
          <w:tcPr>
            <w:tcW w:w="667" w:type="dxa"/>
            <w:tcBorders>
              <w:tl2br w:val="nil"/>
              <w:tr2bl w:val="nil"/>
            </w:tcBorders>
            <w:shd w:val="clear" w:color="auto" w:fill="auto"/>
            <w:vAlign w:val="center"/>
          </w:tcPr>
          <w:p w14:paraId="01D053EC">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p>
        </w:tc>
        <w:tc>
          <w:tcPr>
            <w:tcW w:w="667" w:type="dxa"/>
            <w:tcBorders>
              <w:tl2br w:val="nil"/>
              <w:tr2bl w:val="nil"/>
            </w:tcBorders>
            <w:shd w:val="clear" w:color="auto" w:fill="auto"/>
            <w:vAlign w:val="center"/>
          </w:tcPr>
          <w:p w14:paraId="0E471E7A">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p>
        </w:tc>
      </w:tr>
      <w:tr w14:paraId="1C6A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tcBorders>
              <w:tl2br w:val="nil"/>
              <w:tr2bl w:val="nil"/>
            </w:tcBorders>
            <w:shd w:val="clear" w:color="auto" w:fill="auto"/>
            <w:vAlign w:val="center"/>
          </w:tcPr>
          <w:p w14:paraId="12874B8E">
            <w:pPr>
              <w:keepNext w:val="0"/>
              <w:keepLines w:val="0"/>
              <w:pageBreakBefore w:val="0"/>
              <w:widowControl/>
              <w:kinsoku/>
              <w:wordWrap/>
              <w:overflowPunct/>
              <w:topLinePunct w:val="0"/>
              <w:autoSpaceDE/>
              <w:autoSpaceDN/>
              <w:bidi w:val="0"/>
              <w:spacing w:line="300" w:lineRule="exact"/>
              <w:jc w:val="center"/>
              <w:textAlignment w:val="auto"/>
              <w:rPr>
                <w:rFonts w:hint="default"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8</w:t>
            </w:r>
          </w:p>
        </w:tc>
        <w:tc>
          <w:tcPr>
            <w:tcW w:w="1092" w:type="dxa"/>
            <w:tcBorders>
              <w:tl2br w:val="nil"/>
              <w:tr2bl w:val="nil"/>
            </w:tcBorders>
            <w:shd w:val="clear" w:color="auto" w:fill="auto"/>
            <w:vAlign w:val="center"/>
          </w:tcPr>
          <w:p w14:paraId="593CFF40">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技术实施方案</w:t>
            </w:r>
          </w:p>
        </w:tc>
        <w:tc>
          <w:tcPr>
            <w:tcW w:w="6652" w:type="dxa"/>
            <w:tcBorders>
              <w:tl2br w:val="nil"/>
              <w:tr2bl w:val="nil"/>
            </w:tcBorders>
            <w:shd w:val="clear" w:color="auto" w:fill="auto"/>
            <w:vAlign w:val="center"/>
          </w:tcPr>
          <w:p w14:paraId="2955CACD">
            <w:pPr>
              <w:pStyle w:val="102"/>
              <w:keepNext w:val="0"/>
              <w:keepLines w:val="0"/>
              <w:pageBreakBefore w:val="0"/>
              <w:kinsoku/>
              <w:wordWrap/>
              <w:overflowPunct/>
              <w:topLinePunct w:val="0"/>
              <w:autoSpaceDE/>
              <w:autoSpaceDN/>
              <w:bidi w:val="0"/>
              <w:spacing w:line="300" w:lineRule="exact"/>
              <w:ind w:firstLine="396" w:firstLineChars="165"/>
              <w:jc w:val="left"/>
              <w:textAlignment w:val="auto"/>
              <w:rPr>
                <w:rFonts w:hint="eastAsia" w:ascii="宋体" w:hAnsi="宋体" w:eastAsia="宋体" w:cs="宋体"/>
                <w:b w:val="0"/>
                <w:bCs/>
                <w:color w:val="000000" w:themeColor="text1"/>
                <w:kern w:val="2"/>
                <w:sz w:val="24"/>
                <w:szCs w:val="24"/>
                <w:highlight w:val="none"/>
                <w14:textFill>
                  <w14:solidFill>
                    <w14:schemeClr w14:val="tx1"/>
                  </w14:solidFill>
                </w14:textFill>
              </w:rPr>
            </w:pPr>
            <w:r>
              <w:rPr>
                <w:rFonts w:hint="eastAsia" w:ascii="宋体" w:hAnsi="宋体" w:eastAsia="宋体" w:cs="宋体"/>
                <w:b w:val="0"/>
                <w:bCs/>
                <w:color w:val="000000" w:themeColor="text1"/>
                <w:kern w:val="2"/>
                <w:sz w:val="24"/>
                <w:szCs w:val="24"/>
                <w:highlight w:val="none"/>
                <w14:textFill>
                  <w14:solidFill>
                    <w14:schemeClr w14:val="tx1"/>
                  </w14:solidFill>
                </w14:textFill>
              </w:rPr>
              <w:t>提出满足项目采购需求的自然资源统一确权登记各项工作内容及工作流程的技术实施方案，根据方案是否科学、合理、完整、具体进行综合评价打分。</w:t>
            </w:r>
          </w:p>
          <w:p w14:paraId="2A6969FE">
            <w:pPr>
              <w:pStyle w:val="102"/>
              <w:keepNext w:val="0"/>
              <w:keepLines w:val="0"/>
              <w:pageBreakBefore w:val="0"/>
              <w:kinsoku/>
              <w:wordWrap/>
              <w:overflowPunct/>
              <w:topLinePunct w:val="0"/>
              <w:autoSpaceDE/>
              <w:autoSpaceDN/>
              <w:bidi w:val="0"/>
              <w:spacing w:line="300" w:lineRule="exact"/>
              <w:ind w:firstLine="396" w:firstLineChars="165"/>
              <w:jc w:val="left"/>
              <w:textAlignment w:val="auto"/>
              <w:rPr>
                <w:rFonts w:hint="eastAsia" w:ascii="宋体" w:hAnsi="宋体" w:eastAsia="宋体" w:cs="宋体"/>
                <w:b w:val="0"/>
                <w:bCs/>
                <w:color w:val="000000" w:themeColor="text1"/>
                <w:kern w:val="2"/>
                <w:sz w:val="24"/>
                <w:szCs w:val="24"/>
                <w:highlight w:val="none"/>
                <w14:textFill>
                  <w14:solidFill>
                    <w14:schemeClr w14:val="tx1"/>
                  </w14:solidFill>
                </w14:textFill>
              </w:rPr>
            </w:pPr>
            <w:r>
              <w:rPr>
                <w:rFonts w:hint="eastAsia" w:ascii="宋体" w:hAnsi="宋体" w:eastAsia="宋体" w:cs="宋体"/>
                <w:b w:val="0"/>
                <w:bCs/>
                <w:color w:val="000000" w:themeColor="text1"/>
                <w:kern w:val="2"/>
                <w:sz w:val="24"/>
                <w:szCs w:val="24"/>
                <w:highlight w:val="none"/>
                <w14:textFill>
                  <w14:solidFill>
                    <w14:schemeClr w14:val="tx1"/>
                  </w14:solidFill>
                </w14:textFill>
              </w:rPr>
              <w:t>方案内容科学合理、完整具体，严谨规范，针对性强，满足采购人要求，有利于项目实施。</w:t>
            </w:r>
          </w:p>
        </w:tc>
        <w:tc>
          <w:tcPr>
            <w:tcW w:w="667" w:type="dxa"/>
            <w:tcBorders>
              <w:tl2br w:val="nil"/>
              <w:tr2bl w:val="nil"/>
            </w:tcBorders>
            <w:shd w:val="clear" w:color="auto" w:fill="auto"/>
            <w:vAlign w:val="center"/>
          </w:tcPr>
          <w:p w14:paraId="1F726549">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0-</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7</w:t>
            </w:r>
          </w:p>
        </w:tc>
        <w:tc>
          <w:tcPr>
            <w:tcW w:w="667" w:type="dxa"/>
            <w:tcBorders>
              <w:tl2br w:val="nil"/>
              <w:tr2bl w:val="nil"/>
            </w:tcBorders>
            <w:shd w:val="clear" w:color="auto" w:fill="auto"/>
            <w:vAlign w:val="center"/>
          </w:tcPr>
          <w:p w14:paraId="128B23C8">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p>
        </w:tc>
        <w:tc>
          <w:tcPr>
            <w:tcW w:w="667" w:type="dxa"/>
            <w:tcBorders>
              <w:tl2br w:val="nil"/>
              <w:tr2bl w:val="nil"/>
            </w:tcBorders>
            <w:shd w:val="clear" w:color="auto" w:fill="auto"/>
            <w:vAlign w:val="center"/>
          </w:tcPr>
          <w:p w14:paraId="3300D239">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p>
        </w:tc>
      </w:tr>
      <w:tr w14:paraId="57F0D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667" w:type="dxa"/>
            <w:vMerge w:val="restart"/>
            <w:tcBorders>
              <w:tl2br w:val="nil"/>
              <w:tr2bl w:val="nil"/>
            </w:tcBorders>
            <w:shd w:val="clear" w:color="auto" w:fill="auto"/>
            <w:vAlign w:val="center"/>
          </w:tcPr>
          <w:p w14:paraId="0A91B319">
            <w:pPr>
              <w:keepNext w:val="0"/>
              <w:keepLines w:val="0"/>
              <w:pageBreakBefore w:val="0"/>
              <w:widowControl/>
              <w:kinsoku/>
              <w:wordWrap/>
              <w:overflowPunct/>
              <w:topLinePunct w:val="0"/>
              <w:autoSpaceDE/>
              <w:autoSpaceDN/>
              <w:bidi w:val="0"/>
              <w:spacing w:line="300" w:lineRule="exact"/>
              <w:jc w:val="center"/>
              <w:textAlignment w:val="auto"/>
              <w:rPr>
                <w:rFonts w:hint="default"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9</w:t>
            </w:r>
          </w:p>
        </w:tc>
        <w:tc>
          <w:tcPr>
            <w:tcW w:w="1092" w:type="dxa"/>
            <w:vMerge w:val="restart"/>
            <w:tcBorders>
              <w:tl2br w:val="nil"/>
              <w:tr2bl w:val="nil"/>
            </w:tcBorders>
            <w:shd w:val="clear" w:color="auto" w:fill="auto"/>
            <w:vAlign w:val="center"/>
          </w:tcPr>
          <w:p w14:paraId="17538191">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关键问题的解决措施</w:t>
            </w:r>
          </w:p>
        </w:tc>
        <w:tc>
          <w:tcPr>
            <w:tcW w:w="6652" w:type="dxa"/>
            <w:tcBorders>
              <w:tl2br w:val="nil"/>
              <w:tr2bl w:val="nil"/>
            </w:tcBorders>
            <w:shd w:val="clear" w:color="auto" w:fill="auto"/>
            <w:vAlign w:val="center"/>
          </w:tcPr>
          <w:p w14:paraId="436A98C7">
            <w:pPr>
              <w:pStyle w:val="102"/>
              <w:keepNext w:val="0"/>
              <w:keepLines w:val="0"/>
              <w:pageBreakBefore w:val="0"/>
              <w:kinsoku/>
              <w:wordWrap/>
              <w:overflowPunct/>
              <w:topLinePunct w:val="0"/>
              <w:autoSpaceDE/>
              <w:autoSpaceDN/>
              <w:bidi w:val="0"/>
              <w:spacing w:line="300" w:lineRule="exact"/>
              <w:jc w:val="left"/>
              <w:textAlignment w:val="auto"/>
              <w:rPr>
                <w:rFonts w:hint="eastAsia" w:ascii="宋体" w:hAnsi="宋体" w:eastAsia="宋体" w:cs="宋体"/>
                <w:b w:val="0"/>
                <w:bCs/>
                <w:color w:val="000000" w:themeColor="text1"/>
                <w:kern w:val="2"/>
                <w:sz w:val="24"/>
                <w:szCs w:val="24"/>
                <w:highlight w:val="none"/>
                <w14:textFill>
                  <w14:solidFill>
                    <w14:schemeClr w14:val="tx1"/>
                  </w14:solidFill>
                </w14:textFill>
              </w:rPr>
            </w:pPr>
            <w:r>
              <w:rPr>
                <w:rFonts w:hint="eastAsia" w:ascii="宋体" w:hAnsi="宋体" w:eastAsia="宋体" w:cs="宋体"/>
                <w:b w:val="0"/>
                <w:bCs/>
                <w:color w:val="000000" w:themeColor="text1"/>
                <w:kern w:val="2"/>
                <w:sz w:val="24"/>
                <w:szCs w:val="24"/>
                <w:highlight w:val="none"/>
                <w14:textFill>
                  <w14:solidFill>
                    <w14:schemeClr w14:val="tx1"/>
                  </w14:solidFill>
                </w14:textFill>
              </w:rPr>
              <w:t>1.围绕资料收集阶段难点提出针对性解决措施，（0-3分）。</w:t>
            </w:r>
          </w:p>
          <w:p w14:paraId="1F0AD5A1">
            <w:pPr>
              <w:pStyle w:val="102"/>
              <w:keepNext w:val="0"/>
              <w:keepLines w:val="0"/>
              <w:pageBreakBefore w:val="0"/>
              <w:kinsoku/>
              <w:wordWrap/>
              <w:overflowPunct/>
              <w:topLinePunct w:val="0"/>
              <w:autoSpaceDE/>
              <w:autoSpaceDN/>
              <w:bidi w:val="0"/>
              <w:spacing w:line="300" w:lineRule="exact"/>
              <w:jc w:val="left"/>
              <w:textAlignment w:val="auto"/>
              <w:rPr>
                <w:rFonts w:hint="eastAsia" w:ascii="宋体" w:hAnsi="宋体" w:eastAsia="宋体" w:cs="宋体"/>
                <w:b w:val="0"/>
                <w:bCs/>
                <w:color w:val="000000" w:themeColor="text1"/>
                <w:kern w:val="2"/>
                <w:sz w:val="24"/>
                <w:szCs w:val="24"/>
                <w:highlight w:val="none"/>
                <w14:textFill>
                  <w14:solidFill>
                    <w14:schemeClr w14:val="tx1"/>
                  </w14:solidFill>
                </w14:textFill>
              </w:rPr>
            </w:pPr>
            <w:r>
              <w:rPr>
                <w:rFonts w:hint="eastAsia" w:ascii="宋体" w:hAnsi="宋体" w:eastAsia="宋体" w:cs="宋体"/>
                <w:b w:val="0"/>
                <w:bCs/>
                <w:color w:val="000000" w:themeColor="text1"/>
                <w:kern w:val="2"/>
                <w:sz w:val="24"/>
                <w:szCs w:val="24"/>
                <w:highlight w:val="none"/>
                <w14:textFill>
                  <w14:solidFill>
                    <w14:schemeClr w14:val="tx1"/>
                  </w14:solidFill>
                </w14:textFill>
              </w:rPr>
              <w:t>2.围绕本项目涉及到的各类型登记单元的划界问题，提出有针对性的解决措施，（0-3分）。</w:t>
            </w:r>
          </w:p>
          <w:p w14:paraId="69D2AF45">
            <w:pPr>
              <w:pStyle w:val="102"/>
              <w:keepNext w:val="0"/>
              <w:keepLines w:val="0"/>
              <w:pageBreakBefore w:val="0"/>
              <w:kinsoku/>
              <w:wordWrap/>
              <w:overflowPunct/>
              <w:topLinePunct w:val="0"/>
              <w:autoSpaceDE/>
              <w:autoSpaceDN/>
              <w:bidi w:val="0"/>
              <w:spacing w:line="300" w:lineRule="exact"/>
              <w:ind w:firstLine="396" w:firstLineChars="165"/>
              <w:jc w:val="left"/>
              <w:textAlignment w:val="auto"/>
              <w:rPr>
                <w:rFonts w:hint="eastAsia" w:ascii="宋体" w:hAnsi="宋体" w:eastAsia="宋体" w:cs="宋体"/>
                <w:b w:val="0"/>
                <w:bCs/>
                <w:color w:val="000000" w:themeColor="text1"/>
                <w:kern w:val="2"/>
                <w:sz w:val="24"/>
                <w:szCs w:val="24"/>
                <w:highlight w:val="none"/>
                <w14:textFill>
                  <w14:solidFill>
                    <w14:schemeClr w14:val="tx1"/>
                  </w14:solidFill>
                </w14:textFill>
              </w:rPr>
            </w:pPr>
            <w:r>
              <w:rPr>
                <w:rFonts w:hint="eastAsia" w:ascii="宋体" w:hAnsi="宋体" w:eastAsia="宋体" w:cs="宋体"/>
                <w:b w:val="0"/>
                <w:bCs/>
                <w:color w:val="000000" w:themeColor="text1"/>
                <w:kern w:val="2"/>
                <w:sz w:val="24"/>
                <w:szCs w:val="24"/>
                <w:highlight w:val="none"/>
                <w14:textFill>
                  <w14:solidFill>
                    <w14:schemeClr w14:val="tx1"/>
                  </w14:solidFill>
                </w14:textFill>
              </w:rPr>
              <w:t>对上述每个关键问题提出的解决措施系统科学、合理可行，切合实际，针对性强，有利于项目实施。</w:t>
            </w:r>
          </w:p>
        </w:tc>
        <w:tc>
          <w:tcPr>
            <w:tcW w:w="667" w:type="dxa"/>
            <w:tcBorders>
              <w:tl2br w:val="nil"/>
              <w:tr2bl w:val="nil"/>
            </w:tcBorders>
            <w:shd w:val="clear" w:color="auto" w:fill="auto"/>
            <w:vAlign w:val="center"/>
          </w:tcPr>
          <w:p w14:paraId="51BB2D22">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0-6</w:t>
            </w:r>
          </w:p>
        </w:tc>
        <w:tc>
          <w:tcPr>
            <w:tcW w:w="667" w:type="dxa"/>
            <w:tcBorders>
              <w:tl2br w:val="nil"/>
              <w:tr2bl w:val="nil"/>
            </w:tcBorders>
            <w:shd w:val="clear" w:color="auto" w:fill="auto"/>
            <w:vAlign w:val="center"/>
          </w:tcPr>
          <w:p w14:paraId="06B46714">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p>
        </w:tc>
        <w:tc>
          <w:tcPr>
            <w:tcW w:w="667" w:type="dxa"/>
            <w:tcBorders>
              <w:tl2br w:val="nil"/>
              <w:tr2bl w:val="nil"/>
            </w:tcBorders>
            <w:shd w:val="clear" w:color="auto" w:fill="auto"/>
            <w:vAlign w:val="center"/>
          </w:tcPr>
          <w:p w14:paraId="2ECDB47D">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p>
        </w:tc>
      </w:tr>
      <w:tr w14:paraId="6DDB9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667" w:type="dxa"/>
            <w:vMerge w:val="continue"/>
            <w:tcBorders>
              <w:tl2br w:val="nil"/>
              <w:tr2bl w:val="nil"/>
            </w:tcBorders>
            <w:shd w:val="clear" w:color="auto" w:fill="auto"/>
            <w:vAlign w:val="center"/>
          </w:tcPr>
          <w:p w14:paraId="00F95BA8">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p>
        </w:tc>
        <w:tc>
          <w:tcPr>
            <w:tcW w:w="1092" w:type="dxa"/>
            <w:vMerge w:val="continue"/>
            <w:tcBorders>
              <w:tl2br w:val="nil"/>
              <w:tr2bl w:val="nil"/>
            </w:tcBorders>
            <w:shd w:val="clear" w:color="auto" w:fill="auto"/>
            <w:vAlign w:val="center"/>
          </w:tcPr>
          <w:p w14:paraId="31C3673F">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p>
        </w:tc>
        <w:tc>
          <w:tcPr>
            <w:tcW w:w="6652" w:type="dxa"/>
            <w:tcBorders>
              <w:tl2br w:val="nil"/>
              <w:tr2bl w:val="nil"/>
            </w:tcBorders>
            <w:shd w:val="clear" w:color="auto" w:fill="auto"/>
            <w:vAlign w:val="center"/>
          </w:tcPr>
          <w:p w14:paraId="4DFAD668">
            <w:pPr>
              <w:pStyle w:val="102"/>
              <w:keepNext w:val="0"/>
              <w:keepLines w:val="0"/>
              <w:pageBreakBefore w:val="0"/>
              <w:kinsoku/>
              <w:wordWrap/>
              <w:overflowPunct/>
              <w:topLinePunct w:val="0"/>
              <w:autoSpaceDE/>
              <w:autoSpaceDN/>
              <w:bidi w:val="0"/>
              <w:spacing w:line="300" w:lineRule="exact"/>
              <w:jc w:val="left"/>
              <w:textAlignment w:val="auto"/>
              <w:rPr>
                <w:rFonts w:hint="eastAsia" w:ascii="宋体" w:hAnsi="宋体" w:eastAsia="宋体" w:cs="宋体"/>
                <w:b w:val="0"/>
                <w:bCs/>
                <w:color w:val="000000" w:themeColor="text1"/>
                <w:kern w:val="2"/>
                <w:sz w:val="24"/>
                <w:szCs w:val="24"/>
                <w:highlight w:val="none"/>
                <w14:textFill>
                  <w14:solidFill>
                    <w14:schemeClr w14:val="tx1"/>
                  </w14:solidFill>
                </w14:textFill>
              </w:rPr>
            </w:pPr>
            <w:r>
              <w:rPr>
                <w:rFonts w:hint="eastAsia" w:ascii="宋体" w:hAnsi="宋体" w:eastAsia="宋体" w:cs="宋体"/>
                <w:b w:val="0"/>
                <w:bCs/>
                <w:color w:val="000000" w:themeColor="text1"/>
                <w:kern w:val="2"/>
                <w:sz w:val="24"/>
                <w:szCs w:val="24"/>
                <w:highlight w:val="none"/>
                <w14:textFill>
                  <w14:solidFill>
                    <w14:schemeClr w14:val="tx1"/>
                  </w14:solidFill>
                </w14:textFill>
              </w:rPr>
              <w:t>1.围绕自然资源确权登记与其他自然资源及不动产登记数据如何实现融合问题，提出有针对性的解决措施，（0-3分）。</w:t>
            </w:r>
          </w:p>
          <w:p w14:paraId="56686AB2">
            <w:pPr>
              <w:pStyle w:val="102"/>
              <w:keepNext w:val="0"/>
              <w:keepLines w:val="0"/>
              <w:pageBreakBefore w:val="0"/>
              <w:kinsoku/>
              <w:wordWrap/>
              <w:overflowPunct/>
              <w:topLinePunct w:val="0"/>
              <w:autoSpaceDE/>
              <w:autoSpaceDN/>
              <w:bidi w:val="0"/>
              <w:spacing w:line="300" w:lineRule="exact"/>
              <w:jc w:val="left"/>
              <w:textAlignment w:val="auto"/>
              <w:rPr>
                <w:rFonts w:hint="eastAsia" w:ascii="宋体" w:hAnsi="宋体" w:eastAsia="宋体" w:cs="宋体"/>
                <w:b w:val="0"/>
                <w:bCs/>
                <w:color w:val="000000" w:themeColor="text1"/>
                <w:kern w:val="2"/>
                <w:sz w:val="24"/>
                <w:szCs w:val="24"/>
                <w:highlight w:val="none"/>
                <w14:textFill>
                  <w14:solidFill>
                    <w14:schemeClr w14:val="tx1"/>
                  </w14:solidFill>
                </w14:textFill>
              </w:rPr>
            </w:pPr>
            <w:r>
              <w:rPr>
                <w:rFonts w:hint="eastAsia" w:ascii="宋体" w:hAnsi="宋体" w:eastAsia="宋体" w:cs="宋体"/>
                <w:b w:val="0"/>
                <w:bCs/>
                <w:color w:val="000000" w:themeColor="text1"/>
                <w:kern w:val="2"/>
                <w:sz w:val="24"/>
                <w:szCs w:val="24"/>
                <w:highlight w:val="none"/>
                <w14:textFill>
                  <w14:solidFill>
                    <w14:schemeClr w14:val="tx1"/>
                  </w14:solidFill>
                </w14:textFill>
              </w:rPr>
              <w:t>2.围绕自然资源地籍数据库建设中存在的潜在问题，提出有针对性的解决措施，（0-3分）。</w:t>
            </w:r>
          </w:p>
          <w:p w14:paraId="78CD3401">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对上述每个关键问题提出的解决措施系统科学、合理可行，切合实际，针对性强，有利于项目实施。</w:t>
            </w:r>
          </w:p>
        </w:tc>
        <w:tc>
          <w:tcPr>
            <w:tcW w:w="667" w:type="dxa"/>
            <w:tcBorders>
              <w:tl2br w:val="nil"/>
              <w:tr2bl w:val="nil"/>
            </w:tcBorders>
            <w:shd w:val="clear" w:color="auto" w:fill="auto"/>
            <w:vAlign w:val="center"/>
          </w:tcPr>
          <w:p w14:paraId="6EAA8EA7">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0-6</w:t>
            </w:r>
          </w:p>
        </w:tc>
        <w:tc>
          <w:tcPr>
            <w:tcW w:w="667" w:type="dxa"/>
            <w:tcBorders>
              <w:tl2br w:val="nil"/>
              <w:tr2bl w:val="nil"/>
            </w:tcBorders>
            <w:shd w:val="clear" w:color="auto" w:fill="auto"/>
            <w:vAlign w:val="center"/>
          </w:tcPr>
          <w:p w14:paraId="7FCA52E9">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p>
        </w:tc>
        <w:tc>
          <w:tcPr>
            <w:tcW w:w="667" w:type="dxa"/>
            <w:tcBorders>
              <w:tl2br w:val="nil"/>
              <w:tr2bl w:val="nil"/>
            </w:tcBorders>
            <w:shd w:val="clear" w:color="auto" w:fill="auto"/>
            <w:vAlign w:val="center"/>
          </w:tcPr>
          <w:p w14:paraId="3275F785">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p>
        </w:tc>
      </w:tr>
      <w:tr w14:paraId="49CD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667" w:type="dxa"/>
            <w:tcBorders>
              <w:tl2br w:val="nil"/>
              <w:tr2bl w:val="nil"/>
            </w:tcBorders>
            <w:shd w:val="clear" w:color="auto" w:fill="auto"/>
            <w:vAlign w:val="center"/>
          </w:tcPr>
          <w:p w14:paraId="20618572">
            <w:pPr>
              <w:keepNext w:val="0"/>
              <w:keepLines w:val="0"/>
              <w:pageBreakBefore w:val="0"/>
              <w:widowControl/>
              <w:kinsoku/>
              <w:wordWrap/>
              <w:overflowPunct/>
              <w:topLinePunct w:val="0"/>
              <w:autoSpaceDE/>
              <w:autoSpaceDN/>
              <w:bidi w:val="0"/>
              <w:spacing w:line="300" w:lineRule="exact"/>
              <w:jc w:val="center"/>
              <w:textAlignment w:val="auto"/>
              <w:rPr>
                <w:rFonts w:hint="default"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10</w:t>
            </w:r>
          </w:p>
        </w:tc>
        <w:tc>
          <w:tcPr>
            <w:tcW w:w="1092" w:type="dxa"/>
            <w:tcBorders>
              <w:tl2br w:val="nil"/>
              <w:tr2bl w:val="nil"/>
            </w:tcBorders>
            <w:shd w:val="clear" w:color="auto" w:fill="auto"/>
            <w:vAlign w:val="center"/>
          </w:tcPr>
          <w:p w14:paraId="6BB2A090">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进度计划安排</w:t>
            </w:r>
          </w:p>
        </w:tc>
        <w:tc>
          <w:tcPr>
            <w:tcW w:w="6652" w:type="dxa"/>
            <w:tcBorders>
              <w:tl2br w:val="nil"/>
              <w:tr2bl w:val="nil"/>
            </w:tcBorders>
            <w:shd w:val="clear" w:color="auto" w:fill="auto"/>
            <w:vAlign w:val="center"/>
          </w:tcPr>
          <w:p w14:paraId="5C6ABFAD">
            <w:pPr>
              <w:pStyle w:val="102"/>
              <w:keepNext w:val="0"/>
              <w:keepLines w:val="0"/>
              <w:pageBreakBefore w:val="0"/>
              <w:kinsoku/>
              <w:wordWrap/>
              <w:overflowPunct/>
              <w:topLinePunct w:val="0"/>
              <w:autoSpaceDE/>
              <w:autoSpaceDN/>
              <w:bidi w:val="0"/>
              <w:spacing w:line="300" w:lineRule="exact"/>
              <w:jc w:val="left"/>
              <w:textAlignment w:val="auto"/>
              <w:rPr>
                <w:rFonts w:hint="eastAsia" w:ascii="宋体" w:hAnsi="宋体" w:eastAsia="宋体" w:cs="宋体"/>
                <w:b w:val="0"/>
                <w:bCs/>
                <w:color w:val="000000" w:themeColor="text1"/>
                <w:kern w:val="2"/>
                <w:sz w:val="24"/>
                <w:szCs w:val="24"/>
                <w:highlight w:val="none"/>
                <w14:textFill>
                  <w14:solidFill>
                    <w14:schemeClr w14:val="tx1"/>
                  </w14:solidFill>
                </w14:textFill>
              </w:rPr>
            </w:pPr>
            <w:r>
              <w:rPr>
                <w:rFonts w:hint="eastAsia" w:ascii="宋体" w:hAnsi="宋体" w:eastAsia="宋体" w:cs="宋体"/>
                <w:b w:val="0"/>
                <w:bCs/>
                <w:color w:val="000000" w:themeColor="text1"/>
                <w:kern w:val="2"/>
                <w:sz w:val="24"/>
                <w:szCs w:val="24"/>
                <w:highlight w:val="none"/>
                <w14:textFill>
                  <w14:solidFill>
                    <w14:schemeClr w14:val="tx1"/>
                  </w14:solidFill>
                </w14:textFill>
              </w:rPr>
              <w:t>整体工作阶段及任务划分、进度计划安排具体、合理、可行，关键时间节点把握科学准确，工期保障措施到位，满足采购进度要求。</w:t>
            </w:r>
          </w:p>
        </w:tc>
        <w:tc>
          <w:tcPr>
            <w:tcW w:w="667" w:type="dxa"/>
            <w:tcBorders>
              <w:tl2br w:val="nil"/>
              <w:tr2bl w:val="nil"/>
            </w:tcBorders>
            <w:shd w:val="clear" w:color="auto" w:fill="auto"/>
            <w:vAlign w:val="center"/>
          </w:tcPr>
          <w:p w14:paraId="2B25F1BB">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0-</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6</w:t>
            </w:r>
          </w:p>
        </w:tc>
        <w:tc>
          <w:tcPr>
            <w:tcW w:w="667" w:type="dxa"/>
            <w:tcBorders>
              <w:tl2br w:val="nil"/>
              <w:tr2bl w:val="nil"/>
            </w:tcBorders>
            <w:shd w:val="clear" w:color="auto" w:fill="auto"/>
            <w:vAlign w:val="center"/>
          </w:tcPr>
          <w:p w14:paraId="03CDDE1C">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p>
        </w:tc>
        <w:tc>
          <w:tcPr>
            <w:tcW w:w="667" w:type="dxa"/>
            <w:tcBorders>
              <w:tl2br w:val="nil"/>
              <w:tr2bl w:val="nil"/>
            </w:tcBorders>
            <w:shd w:val="clear" w:color="auto" w:fill="auto"/>
            <w:vAlign w:val="center"/>
          </w:tcPr>
          <w:p w14:paraId="55B31DCE">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p>
        </w:tc>
      </w:tr>
      <w:tr w14:paraId="45078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tcBorders>
              <w:tl2br w:val="nil"/>
              <w:tr2bl w:val="nil"/>
            </w:tcBorders>
            <w:shd w:val="clear" w:color="auto" w:fill="auto"/>
            <w:vAlign w:val="center"/>
          </w:tcPr>
          <w:p w14:paraId="6692A56F">
            <w:pPr>
              <w:keepNext w:val="0"/>
              <w:keepLines w:val="0"/>
              <w:pageBreakBefore w:val="0"/>
              <w:widowControl/>
              <w:kinsoku/>
              <w:wordWrap/>
              <w:overflowPunct/>
              <w:topLinePunct w:val="0"/>
              <w:autoSpaceDE/>
              <w:autoSpaceDN/>
              <w:bidi w:val="0"/>
              <w:spacing w:line="300" w:lineRule="exact"/>
              <w:jc w:val="center"/>
              <w:textAlignment w:val="auto"/>
              <w:rPr>
                <w:rFonts w:hint="default"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11</w:t>
            </w:r>
          </w:p>
        </w:tc>
        <w:tc>
          <w:tcPr>
            <w:tcW w:w="1092" w:type="dxa"/>
            <w:tcBorders>
              <w:tl2br w:val="nil"/>
              <w:tr2bl w:val="nil"/>
            </w:tcBorders>
            <w:shd w:val="clear" w:color="auto" w:fill="auto"/>
            <w:vAlign w:val="center"/>
          </w:tcPr>
          <w:p w14:paraId="3E5F571D">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质量控制管理措施</w:t>
            </w:r>
          </w:p>
        </w:tc>
        <w:tc>
          <w:tcPr>
            <w:tcW w:w="6652" w:type="dxa"/>
            <w:tcBorders>
              <w:tl2br w:val="nil"/>
              <w:tr2bl w:val="nil"/>
            </w:tcBorders>
            <w:shd w:val="clear" w:color="auto" w:fill="auto"/>
            <w:vAlign w:val="center"/>
          </w:tcPr>
          <w:p w14:paraId="6C75C7E3">
            <w:pPr>
              <w:pStyle w:val="102"/>
              <w:keepNext w:val="0"/>
              <w:keepLines w:val="0"/>
              <w:pageBreakBefore w:val="0"/>
              <w:kinsoku/>
              <w:wordWrap/>
              <w:overflowPunct/>
              <w:topLinePunct w:val="0"/>
              <w:autoSpaceDE/>
              <w:autoSpaceDN/>
              <w:bidi w:val="0"/>
              <w:spacing w:line="300" w:lineRule="exact"/>
              <w:jc w:val="left"/>
              <w:textAlignment w:val="auto"/>
              <w:rPr>
                <w:rFonts w:hint="eastAsia" w:ascii="宋体" w:hAnsi="宋体" w:eastAsia="宋体" w:cs="宋体"/>
                <w:b w:val="0"/>
                <w:bCs/>
                <w:color w:val="000000" w:themeColor="text1"/>
                <w:kern w:val="2"/>
                <w:sz w:val="24"/>
                <w:szCs w:val="24"/>
                <w:highlight w:val="none"/>
                <w14:textFill>
                  <w14:solidFill>
                    <w14:schemeClr w14:val="tx1"/>
                  </w14:solidFill>
                </w14:textFill>
              </w:rPr>
            </w:pPr>
            <w:r>
              <w:rPr>
                <w:rFonts w:hint="eastAsia" w:ascii="宋体" w:hAnsi="宋体" w:eastAsia="宋体" w:cs="宋体"/>
                <w:b w:val="0"/>
                <w:bCs/>
                <w:color w:val="000000" w:themeColor="text1"/>
                <w:kern w:val="2"/>
                <w:sz w:val="24"/>
                <w:szCs w:val="24"/>
                <w:highlight w:val="none"/>
                <w14:textFill>
                  <w14:solidFill>
                    <w14:schemeClr w14:val="tx1"/>
                  </w14:solidFill>
                </w14:textFill>
              </w:rPr>
              <w:t>针对本项目提出的各阶段及环节的工作质量控制管理措施科学、可行，质量保证体系完备周全，并具有针对性应对措施，有利于项目实施。</w:t>
            </w:r>
          </w:p>
        </w:tc>
        <w:tc>
          <w:tcPr>
            <w:tcW w:w="667" w:type="dxa"/>
            <w:tcBorders>
              <w:tl2br w:val="nil"/>
              <w:tr2bl w:val="nil"/>
            </w:tcBorders>
            <w:shd w:val="clear" w:color="auto" w:fill="auto"/>
            <w:vAlign w:val="center"/>
          </w:tcPr>
          <w:p w14:paraId="53E2845D">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0-</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6</w:t>
            </w:r>
          </w:p>
        </w:tc>
        <w:tc>
          <w:tcPr>
            <w:tcW w:w="667" w:type="dxa"/>
            <w:tcBorders>
              <w:tl2br w:val="nil"/>
              <w:tr2bl w:val="nil"/>
            </w:tcBorders>
            <w:shd w:val="clear" w:color="auto" w:fill="auto"/>
            <w:vAlign w:val="center"/>
          </w:tcPr>
          <w:p w14:paraId="4632FEFE">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p>
        </w:tc>
        <w:tc>
          <w:tcPr>
            <w:tcW w:w="667" w:type="dxa"/>
            <w:tcBorders>
              <w:tl2br w:val="nil"/>
              <w:tr2bl w:val="nil"/>
            </w:tcBorders>
            <w:shd w:val="clear" w:color="auto" w:fill="auto"/>
            <w:vAlign w:val="center"/>
          </w:tcPr>
          <w:p w14:paraId="00ED5FB7">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p>
        </w:tc>
      </w:tr>
      <w:tr w14:paraId="6013F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tcBorders>
              <w:tl2br w:val="nil"/>
              <w:tr2bl w:val="nil"/>
            </w:tcBorders>
            <w:shd w:val="clear" w:color="auto" w:fill="auto"/>
            <w:vAlign w:val="center"/>
          </w:tcPr>
          <w:p w14:paraId="346B0290">
            <w:pPr>
              <w:keepNext w:val="0"/>
              <w:keepLines w:val="0"/>
              <w:pageBreakBefore w:val="0"/>
              <w:widowControl/>
              <w:kinsoku/>
              <w:wordWrap/>
              <w:overflowPunct/>
              <w:topLinePunct w:val="0"/>
              <w:autoSpaceDE/>
              <w:autoSpaceDN/>
              <w:bidi w:val="0"/>
              <w:spacing w:line="300" w:lineRule="exact"/>
              <w:jc w:val="center"/>
              <w:textAlignment w:val="auto"/>
              <w:rPr>
                <w:rFonts w:hint="default"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12</w:t>
            </w:r>
          </w:p>
        </w:tc>
        <w:tc>
          <w:tcPr>
            <w:tcW w:w="1092" w:type="dxa"/>
            <w:tcBorders>
              <w:tl2br w:val="nil"/>
              <w:tr2bl w:val="nil"/>
            </w:tcBorders>
            <w:shd w:val="clear" w:color="auto" w:fill="auto"/>
            <w:vAlign w:val="center"/>
          </w:tcPr>
          <w:p w14:paraId="166C2C79">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保密及档案管理制度</w:t>
            </w:r>
          </w:p>
        </w:tc>
        <w:tc>
          <w:tcPr>
            <w:tcW w:w="6652" w:type="dxa"/>
            <w:tcBorders>
              <w:tl2br w:val="nil"/>
              <w:tr2bl w:val="nil"/>
            </w:tcBorders>
            <w:shd w:val="clear" w:color="auto" w:fill="auto"/>
            <w:vAlign w:val="center"/>
          </w:tcPr>
          <w:p w14:paraId="3E228937">
            <w:pPr>
              <w:pStyle w:val="102"/>
              <w:keepNext w:val="0"/>
              <w:keepLines w:val="0"/>
              <w:pageBreakBefore w:val="0"/>
              <w:kinsoku/>
              <w:wordWrap/>
              <w:overflowPunct/>
              <w:topLinePunct w:val="0"/>
              <w:autoSpaceDE/>
              <w:autoSpaceDN/>
              <w:bidi w:val="0"/>
              <w:spacing w:line="300" w:lineRule="exact"/>
              <w:jc w:val="left"/>
              <w:textAlignment w:val="auto"/>
              <w:rPr>
                <w:rFonts w:hint="eastAsia" w:ascii="宋体" w:hAnsi="宋体" w:eastAsia="宋体" w:cs="宋体"/>
                <w:b w:val="0"/>
                <w:bCs/>
                <w:color w:val="000000" w:themeColor="text1"/>
                <w:kern w:val="2"/>
                <w:sz w:val="24"/>
                <w:szCs w:val="24"/>
                <w:highlight w:val="none"/>
                <w14:textFill>
                  <w14:solidFill>
                    <w14:schemeClr w14:val="tx1"/>
                  </w14:solidFill>
                </w14:textFill>
              </w:rPr>
            </w:pPr>
            <w:r>
              <w:rPr>
                <w:rFonts w:hint="eastAsia" w:ascii="宋体" w:hAnsi="宋体" w:eastAsia="宋体" w:cs="宋体"/>
                <w:b w:val="0"/>
                <w:bCs/>
                <w:color w:val="000000" w:themeColor="text1"/>
                <w:kern w:val="2"/>
                <w:sz w:val="24"/>
                <w:szCs w:val="24"/>
                <w:highlight w:val="none"/>
                <w14:textFill>
                  <w14:solidFill>
                    <w14:schemeClr w14:val="tx1"/>
                  </w14:solidFill>
                </w14:textFill>
              </w:rPr>
              <w:t>制订的保密制度及档案管理制度完备周全，措施科学、合理、可行。</w:t>
            </w:r>
          </w:p>
        </w:tc>
        <w:tc>
          <w:tcPr>
            <w:tcW w:w="667" w:type="dxa"/>
            <w:tcBorders>
              <w:tl2br w:val="nil"/>
              <w:tr2bl w:val="nil"/>
            </w:tcBorders>
            <w:shd w:val="clear" w:color="auto" w:fill="auto"/>
            <w:vAlign w:val="center"/>
          </w:tcPr>
          <w:p w14:paraId="01FA2158">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0-</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6</w:t>
            </w:r>
          </w:p>
        </w:tc>
        <w:tc>
          <w:tcPr>
            <w:tcW w:w="667" w:type="dxa"/>
            <w:tcBorders>
              <w:tl2br w:val="nil"/>
              <w:tr2bl w:val="nil"/>
            </w:tcBorders>
            <w:shd w:val="clear" w:color="auto" w:fill="auto"/>
            <w:vAlign w:val="center"/>
          </w:tcPr>
          <w:p w14:paraId="0843A6A0">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p>
        </w:tc>
        <w:tc>
          <w:tcPr>
            <w:tcW w:w="667" w:type="dxa"/>
            <w:tcBorders>
              <w:tl2br w:val="nil"/>
              <w:tr2bl w:val="nil"/>
            </w:tcBorders>
            <w:shd w:val="clear" w:color="auto" w:fill="auto"/>
            <w:vAlign w:val="center"/>
          </w:tcPr>
          <w:p w14:paraId="314352E6">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p>
        </w:tc>
      </w:tr>
      <w:tr w14:paraId="04382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tcBorders>
              <w:tl2br w:val="nil"/>
              <w:tr2bl w:val="nil"/>
            </w:tcBorders>
            <w:shd w:val="clear" w:color="auto" w:fill="auto"/>
            <w:vAlign w:val="center"/>
          </w:tcPr>
          <w:p w14:paraId="4FFC77F9">
            <w:pPr>
              <w:keepNext w:val="0"/>
              <w:keepLines w:val="0"/>
              <w:pageBreakBefore w:val="0"/>
              <w:widowControl/>
              <w:kinsoku/>
              <w:wordWrap/>
              <w:overflowPunct/>
              <w:topLinePunct w:val="0"/>
              <w:autoSpaceDE/>
              <w:autoSpaceDN/>
              <w:bidi w:val="0"/>
              <w:spacing w:line="300" w:lineRule="exact"/>
              <w:jc w:val="center"/>
              <w:textAlignment w:val="auto"/>
              <w:rPr>
                <w:rFonts w:hint="default"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13</w:t>
            </w:r>
          </w:p>
        </w:tc>
        <w:tc>
          <w:tcPr>
            <w:tcW w:w="1092" w:type="dxa"/>
            <w:tcBorders>
              <w:tl2br w:val="nil"/>
              <w:tr2bl w:val="nil"/>
            </w:tcBorders>
            <w:shd w:val="clear" w:color="auto" w:fill="auto"/>
            <w:vAlign w:val="center"/>
          </w:tcPr>
          <w:p w14:paraId="651C7D78">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安全生产保障措施</w:t>
            </w:r>
          </w:p>
        </w:tc>
        <w:tc>
          <w:tcPr>
            <w:tcW w:w="6652" w:type="dxa"/>
            <w:tcBorders>
              <w:tl2br w:val="nil"/>
              <w:tr2bl w:val="nil"/>
            </w:tcBorders>
            <w:shd w:val="clear" w:color="auto" w:fill="auto"/>
            <w:vAlign w:val="center"/>
          </w:tcPr>
          <w:p w14:paraId="2BF968CA">
            <w:pPr>
              <w:pStyle w:val="102"/>
              <w:keepNext w:val="0"/>
              <w:keepLines w:val="0"/>
              <w:pageBreakBefore w:val="0"/>
              <w:kinsoku/>
              <w:wordWrap/>
              <w:overflowPunct/>
              <w:topLinePunct w:val="0"/>
              <w:autoSpaceDE/>
              <w:autoSpaceDN/>
              <w:bidi w:val="0"/>
              <w:spacing w:line="300" w:lineRule="exact"/>
              <w:jc w:val="left"/>
              <w:textAlignment w:val="auto"/>
              <w:rPr>
                <w:rFonts w:hint="eastAsia" w:ascii="宋体" w:hAnsi="宋体" w:eastAsia="宋体" w:cs="宋体"/>
                <w:b w:val="0"/>
                <w:bCs/>
                <w:color w:val="000000" w:themeColor="text1"/>
                <w:kern w:val="2"/>
                <w:sz w:val="24"/>
                <w:szCs w:val="24"/>
                <w:highlight w:val="none"/>
                <w14:textFill>
                  <w14:solidFill>
                    <w14:schemeClr w14:val="tx1"/>
                  </w14:solidFill>
                </w14:textFill>
              </w:rPr>
            </w:pPr>
            <w:r>
              <w:rPr>
                <w:rFonts w:hint="eastAsia" w:ascii="宋体" w:hAnsi="宋体" w:eastAsia="宋体" w:cs="宋体"/>
                <w:b w:val="0"/>
                <w:bCs/>
                <w:color w:val="000000" w:themeColor="text1"/>
                <w:kern w:val="2"/>
                <w:sz w:val="24"/>
                <w:szCs w:val="24"/>
                <w:highlight w:val="none"/>
                <w14:textFill>
                  <w14:solidFill>
                    <w14:schemeClr w14:val="tx1"/>
                  </w14:solidFill>
                </w14:textFill>
              </w:rPr>
              <w:t>安全生产保障措施科学、合理、可行，保障体系完备周全，并具有及时性、便捷性。</w:t>
            </w:r>
          </w:p>
        </w:tc>
        <w:tc>
          <w:tcPr>
            <w:tcW w:w="667" w:type="dxa"/>
            <w:tcBorders>
              <w:tl2br w:val="nil"/>
              <w:tr2bl w:val="nil"/>
            </w:tcBorders>
            <w:shd w:val="clear" w:color="auto" w:fill="auto"/>
            <w:vAlign w:val="center"/>
          </w:tcPr>
          <w:p w14:paraId="14AB68F9">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0-</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6</w:t>
            </w:r>
          </w:p>
        </w:tc>
        <w:tc>
          <w:tcPr>
            <w:tcW w:w="667" w:type="dxa"/>
            <w:tcBorders>
              <w:tl2br w:val="nil"/>
              <w:tr2bl w:val="nil"/>
            </w:tcBorders>
            <w:shd w:val="clear" w:color="auto" w:fill="auto"/>
            <w:vAlign w:val="center"/>
          </w:tcPr>
          <w:p w14:paraId="36F97AF2">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p>
        </w:tc>
        <w:tc>
          <w:tcPr>
            <w:tcW w:w="667" w:type="dxa"/>
            <w:tcBorders>
              <w:tl2br w:val="nil"/>
              <w:tr2bl w:val="nil"/>
            </w:tcBorders>
            <w:shd w:val="clear" w:color="auto" w:fill="auto"/>
            <w:vAlign w:val="center"/>
          </w:tcPr>
          <w:p w14:paraId="0D1A872F">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p>
        </w:tc>
      </w:tr>
      <w:tr w14:paraId="57A8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tcBorders>
              <w:tl2br w:val="nil"/>
              <w:tr2bl w:val="nil"/>
            </w:tcBorders>
            <w:shd w:val="clear" w:color="auto" w:fill="auto"/>
            <w:vAlign w:val="center"/>
          </w:tcPr>
          <w:p w14:paraId="585B76DC">
            <w:pPr>
              <w:keepNext w:val="0"/>
              <w:keepLines w:val="0"/>
              <w:pageBreakBefore w:val="0"/>
              <w:widowControl/>
              <w:kinsoku/>
              <w:wordWrap/>
              <w:overflowPunct/>
              <w:topLinePunct w:val="0"/>
              <w:autoSpaceDE/>
              <w:autoSpaceDN/>
              <w:bidi w:val="0"/>
              <w:spacing w:line="300" w:lineRule="exact"/>
              <w:jc w:val="center"/>
              <w:textAlignment w:val="auto"/>
              <w:rPr>
                <w:rFonts w:hint="default"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14</w:t>
            </w:r>
          </w:p>
        </w:tc>
        <w:tc>
          <w:tcPr>
            <w:tcW w:w="1092" w:type="dxa"/>
            <w:tcBorders>
              <w:tl2br w:val="nil"/>
              <w:tr2bl w:val="nil"/>
            </w:tcBorders>
            <w:shd w:val="clear" w:color="auto" w:fill="auto"/>
            <w:vAlign w:val="center"/>
          </w:tcPr>
          <w:p w14:paraId="13565D3D">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服务保障能力</w:t>
            </w:r>
          </w:p>
        </w:tc>
        <w:tc>
          <w:tcPr>
            <w:tcW w:w="6652" w:type="dxa"/>
            <w:tcBorders>
              <w:tl2br w:val="nil"/>
              <w:tr2bl w:val="nil"/>
            </w:tcBorders>
            <w:shd w:val="clear" w:color="auto" w:fill="auto"/>
            <w:vAlign w:val="center"/>
          </w:tcPr>
          <w:p w14:paraId="6C03A133">
            <w:pPr>
              <w:pStyle w:val="102"/>
              <w:keepNext w:val="0"/>
              <w:keepLines w:val="0"/>
              <w:pageBreakBefore w:val="0"/>
              <w:kinsoku/>
              <w:wordWrap/>
              <w:overflowPunct/>
              <w:topLinePunct w:val="0"/>
              <w:autoSpaceDE/>
              <w:autoSpaceDN/>
              <w:bidi w:val="0"/>
              <w:spacing w:line="3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1.为本项目提出完善、合理、可行的售后服务方案，能确保项目后期正常有序运行，（0-3分）。</w:t>
            </w:r>
          </w:p>
          <w:p w14:paraId="70A2E362">
            <w:pPr>
              <w:pStyle w:val="102"/>
              <w:keepNext w:val="0"/>
              <w:keepLines w:val="0"/>
              <w:pageBreakBefore w:val="0"/>
              <w:kinsoku/>
              <w:wordWrap/>
              <w:overflowPunct/>
              <w:topLinePunct w:val="0"/>
              <w:autoSpaceDE/>
              <w:autoSpaceDN/>
              <w:bidi w:val="0"/>
              <w:spacing w:line="300" w:lineRule="exact"/>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2.根据投标供应商能否提供快速便捷的服务响应能力和充分的后勤保障能力，是否能及时、安全的提供服务，综合评价打分。能提供快速便捷、及时安全的服务响应能力和充分的后勤保障能力（0-3分）。</w:t>
            </w:r>
          </w:p>
        </w:tc>
        <w:tc>
          <w:tcPr>
            <w:tcW w:w="667" w:type="dxa"/>
            <w:tcBorders>
              <w:tl2br w:val="nil"/>
              <w:tr2bl w:val="nil"/>
            </w:tcBorders>
            <w:shd w:val="clear" w:color="auto" w:fill="auto"/>
            <w:vAlign w:val="center"/>
          </w:tcPr>
          <w:p w14:paraId="71788B8E">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b w:val="0"/>
                <w:bCs/>
                <w:color w:val="000000" w:themeColor="text1"/>
                <w:kern w:val="0"/>
                <w:sz w:val="24"/>
                <w:szCs w:val="24"/>
                <w:highlight w:val="none"/>
                <w14:textFill>
                  <w14:solidFill>
                    <w14:schemeClr w14:val="tx1"/>
                  </w14:solidFill>
                </w14:textFill>
              </w:rPr>
              <w:t>6</w:t>
            </w:r>
          </w:p>
        </w:tc>
        <w:tc>
          <w:tcPr>
            <w:tcW w:w="667" w:type="dxa"/>
            <w:tcBorders>
              <w:tl2br w:val="nil"/>
              <w:tr2bl w:val="nil"/>
            </w:tcBorders>
            <w:shd w:val="clear" w:color="auto" w:fill="auto"/>
            <w:vAlign w:val="center"/>
          </w:tcPr>
          <w:p w14:paraId="5A459E7E">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p>
        </w:tc>
        <w:tc>
          <w:tcPr>
            <w:tcW w:w="667" w:type="dxa"/>
            <w:tcBorders>
              <w:tl2br w:val="nil"/>
              <w:tr2bl w:val="nil"/>
            </w:tcBorders>
            <w:shd w:val="clear" w:color="auto" w:fill="auto"/>
            <w:vAlign w:val="center"/>
          </w:tcPr>
          <w:p w14:paraId="6BC5A876">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p>
        </w:tc>
      </w:tr>
    </w:tbl>
    <w:p w14:paraId="3A6B1DCB">
      <w:pPr>
        <w:pStyle w:val="4"/>
        <w:jc w:val="center"/>
        <w:rPr>
          <w:rStyle w:val="43"/>
          <w:rFonts w:hint="eastAsia" w:ascii="宋体" w:hAnsi="宋体" w:eastAsia="宋体" w:cs="宋体"/>
          <w:b w:val="0"/>
          <w:color w:val="000000" w:themeColor="text1"/>
          <w:highlight w:val="none"/>
          <w:u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附件2：</w:t>
      </w:r>
      <w:r>
        <w:rPr>
          <w:rStyle w:val="43"/>
          <w:rFonts w:hint="eastAsia" w:ascii="宋体" w:hAnsi="宋体" w:eastAsia="宋体" w:cs="宋体"/>
          <w:b w:val="0"/>
          <w:color w:val="000000" w:themeColor="text1"/>
          <w:highlight w:val="none"/>
          <w:u w:val="none"/>
          <w14:textFill>
            <w14:solidFill>
              <w14:schemeClr w14:val="tx1"/>
            </w14:solidFill>
          </w14:textFill>
        </w:rPr>
        <w:t>磋商声明书</w:t>
      </w:r>
    </w:p>
    <w:p w14:paraId="147CF2E7">
      <w:pPr>
        <w:keepNext w:val="0"/>
        <w:keepLines w:val="0"/>
        <w:pageBreakBefore w:val="0"/>
        <w:widowControl w:val="0"/>
        <w:kinsoku/>
        <w:wordWrap/>
        <w:overflowPunct/>
        <w:topLinePunct w:val="0"/>
        <w:autoSpaceDE/>
        <w:autoSpaceDN/>
        <w:bidi w:val="0"/>
        <w:snapToGrid w:val="0"/>
        <w:spacing w:line="400" w:lineRule="exact"/>
        <w:ind w:firstLine="0" w:firstLineChars="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杭州华旗招标代理有限公司：</w:t>
      </w:r>
    </w:p>
    <w:p w14:paraId="2E685444">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（供应商名称）</w:t>
      </w:r>
      <w:r>
        <w:rPr>
          <w:rFonts w:hint="eastAsia" w:ascii="宋体" w:hAnsi="宋体" w:eastAsia="宋体" w:cs="宋体"/>
          <w:color w:val="000000" w:themeColor="text1"/>
          <w:kern w:val="0"/>
          <w:sz w:val="24"/>
          <w:highlight w:val="none"/>
          <w14:textFill>
            <w14:solidFill>
              <w14:schemeClr w14:val="tx1"/>
            </w14:solidFill>
          </w14:textFill>
        </w:rPr>
        <w:t>系中华人民共和国合法企业，经营地址</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14:paraId="1FC18421">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我（</w:t>
      </w:r>
      <w:r>
        <w:rPr>
          <w:rFonts w:hint="eastAsia" w:ascii="宋体" w:hAnsi="宋体" w:eastAsia="宋体" w:cs="宋体"/>
          <w:color w:val="000000" w:themeColor="text1"/>
          <w:kern w:val="0"/>
          <w:sz w:val="24"/>
          <w:highlight w:val="none"/>
          <w:u w:val="single"/>
          <w14:textFill>
            <w14:solidFill>
              <w14:schemeClr w14:val="tx1"/>
            </w14:solidFill>
          </w14:textFill>
        </w:rPr>
        <w:t xml:space="preserve"> 姓名 </w:t>
      </w:r>
      <w:r>
        <w:rPr>
          <w:rFonts w:hint="eastAsia" w:ascii="宋体" w:hAnsi="宋体" w:eastAsia="宋体" w:cs="宋体"/>
          <w:color w:val="000000" w:themeColor="text1"/>
          <w:kern w:val="0"/>
          <w:sz w:val="24"/>
          <w:highlight w:val="none"/>
          <w14:textFill>
            <w14:solidFill>
              <w14:schemeClr w14:val="tx1"/>
            </w14:solidFill>
          </w14:textFill>
        </w:rPr>
        <w:t>）系（</w:t>
      </w:r>
      <w:r>
        <w:rPr>
          <w:rFonts w:hint="eastAsia" w:ascii="宋体" w:hAnsi="宋体" w:eastAsia="宋体" w:cs="宋体"/>
          <w:color w:val="000000" w:themeColor="text1"/>
          <w:kern w:val="0"/>
          <w:sz w:val="24"/>
          <w:highlight w:val="none"/>
          <w:u w:val="single"/>
          <w14:textFill>
            <w14:solidFill>
              <w14:schemeClr w14:val="tx1"/>
            </w14:solidFill>
          </w14:textFill>
        </w:rPr>
        <w:t xml:space="preserve"> 供应商名称 </w:t>
      </w:r>
      <w:r>
        <w:rPr>
          <w:rFonts w:hint="eastAsia" w:ascii="宋体" w:hAnsi="宋体" w:eastAsia="宋体" w:cs="宋体"/>
          <w:color w:val="000000" w:themeColor="text1"/>
          <w:kern w:val="0"/>
          <w:sz w:val="24"/>
          <w:highlight w:val="none"/>
          <w14:textFill>
            <w14:solidFill>
              <w14:schemeClr w14:val="tx1"/>
            </w14:solidFill>
          </w14:textFill>
        </w:rPr>
        <w:t>）的法定代表人，我公司自愿参加贵方组织的</w:t>
      </w:r>
      <w:r>
        <w:rPr>
          <w:rFonts w:hint="eastAsia" w:ascii="宋体" w:hAnsi="宋体" w:cs="宋体"/>
          <w:color w:val="000000" w:themeColor="text1"/>
          <w:kern w:val="0"/>
          <w:sz w:val="24"/>
          <w:highlight w:val="none"/>
          <w:lang w:eastAsia="zh-CN"/>
          <w14:textFill>
            <w14:solidFill>
              <w14:schemeClr w14:val="tx1"/>
            </w14:solidFill>
          </w14:textFill>
        </w:rPr>
        <w:t>玉环水库自然资源统一确权调查服务</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HQ-YHZFCG-2024-1004</w:t>
      </w:r>
      <w:r>
        <w:rPr>
          <w:rFonts w:hint="eastAsia" w:ascii="宋体" w:hAnsi="宋体" w:eastAsia="宋体" w:cs="宋体"/>
          <w:color w:val="000000" w:themeColor="text1"/>
          <w:kern w:val="0"/>
          <w:sz w:val="24"/>
          <w:highlight w:val="none"/>
          <w14:textFill>
            <w14:solidFill>
              <w14:schemeClr w14:val="tx1"/>
            </w14:solidFill>
          </w14:textFill>
        </w:rPr>
        <w:t>）的磋商，为此，我公司就本次磋商有关事项郑重声明如下：</w:t>
      </w:r>
    </w:p>
    <w:p w14:paraId="086F5E03">
      <w:pPr>
        <w:keepNext w:val="0"/>
        <w:keepLines w:val="0"/>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1、</w:t>
      </w:r>
      <w:r>
        <w:rPr>
          <w:rFonts w:hint="eastAsia" w:ascii="宋体" w:hAnsi="宋体" w:eastAsia="宋体" w:cs="宋体"/>
          <w:b w:val="0"/>
          <w:bCs/>
          <w:color w:val="000000" w:themeColor="text1"/>
          <w:sz w:val="24"/>
          <w:highlight w:val="none"/>
          <w14:textFill>
            <w14:solidFill>
              <w14:schemeClr w14:val="tx1"/>
            </w14:solidFill>
          </w14:textFill>
        </w:rPr>
        <w:t>我</w:t>
      </w:r>
      <w:r>
        <w:rPr>
          <w:rFonts w:hint="eastAsia" w:ascii="宋体" w:hAnsi="宋体" w:eastAsia="宋体" w:cs="宋体"/>
          <w:color w:val="000000" w:themeColor="text1"/>
          <w:sz w:val="24"/>
          <w:highlight w:val="none"/>
          <w14:textFill>
            <w14:solidFill>
              <w14:schemeClr w14:val="tx1"/>
            </w14:solidFill>
          </w14:textFill>
        </w:rPr>
        <w:t>公司声明截止磋商时间近三年以来：在参加政府采购活动过程中无重大违法记录（重大违法记录是指供应商因违法经营受到刑事处罚或者责令停产停业、吊销许可证或者执照、较大数额罚款等行政处罚）。</w:t>
      </w:r>
    </w:p>
    <w:p w14:paraId="538A2188">
      <w:pPr>
        <w:keepNext w:val="0"/>
        <w:keepLines w:val="0"/>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4"/>
          <w:highlight w:val="none"/>
          <w14:textFill>
            <w14:solidFill>
              <w14:schemeClr w14:val="tx1"/>
            </w14:solidFill>
          </w14:textFill>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0186ABB5">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3、我</w:t>
      </w:r>
      <w:r>
        <w:rPr>
          <w:rFonts w:hint="eastAsia" w:ascii="宋体" w:hAnsi="宋体" w:eastAsia="宋体" w:cs="宋体"/>
          <w:color w:val="000000" w:themeColor="text1"/>
          <w:kern w:val="0"/>
          <w:sz w:val="24"/>
          <w:highlight w:val="none"/>
          <w:lang w:val="zh-CN"/>
          <w14:textFill>
            <w14:solidFill>
              <w14:schemeClr w14:val="tx1"/>
            </w14:solidFill>
          </w14:textFill>
        </w:rPr>
        <w:t>公司</w:t>
      </w:r>
      <w:r>
        <w:rPr>
          <w:rFonts w:hint="eastAsia" w:ascii="宋体" w:hAnsi="宋体" w:eastAsia="宋体" w:cs="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14:paraId="55D9EF13">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themeColor="text1"/>
          <w:kern w:val="0"/>
          <w:sz w:val="24"/>
          <w:highlight w:val="none"/>
          <w:lang w:val="af-Z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color w:val="000000" w:themeColor="text1"/>
          <w:kern w:val="0"/>
          <w:sz w:val="24"/>
          <w:highlight w:val="none"/>
          <w14:textFill>
            <w14:solidFill>
              <w14:schemeClr w14:val="tx1"/>
            </w14:solidFill>
          </w14:textFill>
        </w:rPr>
        <w:t>我</w:t>
      </w:r>
      <w:r>
        <w:rPr>
          <w:rFonts w:hint="eastAsia" w:ascii="宋体" w:hAnsi="宋体" w:eastAsia="宋体" w:cs="宋体"/>
          <w:color w:val="000000" w:themeColor="text1"/>
          <w:kern w:val="0"/>
          <w:sz w:val="24"/>
          <w:highlight w:val="none"/>
          <w:lang w:val="zh-CN"/>
          <w14:textFill>
            <w14:solidFill>
              <w14:schemeClr w14:val="tx1"/>
            </w14:solidFill>
          </w14:textFill>
        </w:rPr>
        <w:t>公司</w:t>
      </w:r>
      <w:r>
        <w:rPr>
          <w:rFonts w:hint="eastAsia" w:ascii="宋体" w:hAnsi="宋体" w:eastAsia="宋体" w:cs="宋体"/>
          <w:color w:val="000000" w:themeColor="text1"/>
          <w:kern w:val="0"/>
          <w:sz w:val="24"/>
          <w:highlight w:val="none"/>
          <w14:textFill>
            <w14:solidFill>
              <w14:schemeClr w14:val="tx1"/>
            </w14:solidFill>
          </w14:textFill>
        </w:rPr>
        <w:t>保证，</w:t>
      </w:r>
      <w:r>
        <w:rPr>
          <w:rFonts w:hint="eastAsia" w:ascii="宋体" w:hAnsi="宋体" w:eastAsia="宋体" w:cs="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eastAsia="宋体" w:cs="宋体"/>
          <w:color w:val="000000" w:themeColor="text1"/>
          <w:kern w:val="0"/>
          <w:sz w:val="24"/>
          <w:highlight w:val="none"/>
          <w14:textFill>
            <w14:solidFill>
              <w14:schemeClr w14:val="tx1"/>
            </w14:solidFill>
          </w14:textFill>
        </w:rPr>
        <w:t>我</w:t>
      </w:r>
      <w:r>
        <w:rPr>
          <w:rFonts w:hint="eastAsia" w:ascii="宋体" w:hAnsi="宋体" w:eastAsia="宋体" w:cs="宋体"/>
          <w:color w:val="000000" w:themeColor="text1"/>
          <w:kern w:val="0"/>
          <w:sz w:val="24"/>
          <w:highlight w:val="none"/>
          <w:lang w:val="zh-CN"/>
          <w14:textFill>
            <w14:solidFill>
              <w14:schemeClr w14:val="tx1"/>
            </w14:solidFill>
          </w14:textFill>
        </w:rPr>
        <w:t>公司</w:t>
      </w:r>
      <w:r>
        <w:rPr>
          <w:rFonts w:hint="eastAsia" w:ascii="宋体" w:hAnsi="宋体" w:eastAsia="宋体" w:cs="宋体"/>
          <w:color w:val="000000" w:themeColor="text1"/>
          <w:kern w:val="0"/>
          <w:sz w:val="24"/>
          <w:highlight w:val="none"/>
          <w:lang w:val="af-ZA"/>
          <w14:textFill>
            <w14:solidFill>
              <w14:schemeClr w14:val="tx1"/>
            </w14:solidFill>
          </w14:textFill>
        </w:rPr>
        <w:t>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274730A2">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af-ZA"/>
          <w14:textFill>
            <w14:solidFill>
              <w14:schemeClr w14:val="tx1"/>
            </w14:solidFill>
          </w14:textFill>
        </w:rPr>
        <w:t>5、我</w:t>
      </w:r>
      <w:r>
        <w:rPr>
          <w:rFonts w:hint="eastAsia" w:ascii="宋体" w:hAnsi="宋体" w:eastAsia="宋体" w:cs="宋体"/>
          <w:color w:val="000000" w:themeColor="text1"/>
          <w:kern w:val="0"/>
          <w:sz w:val="24"/>
          <w:highlight w:val="none"/>
          <w:lang w:val="zh-CN"/>
          <w14:textFill>
            <w14:solidFill>
              <w14:schemeClr w14:val="tx1"/>
            </w14:solidFill>
          </w14:textFill>
        </w:rPr>
        <w:t>公司</w:t>
      </w:r>
      <w:r>
        <w:rPr>
          <w:rFonts w:hint="eastAsia" w:ascii="宋体" w:hAnsi="宋体" w:eastAsia="宋体" w:cs="宋体"/>
          <w:color w:val="000000" w:themeColor="text1"/>
          <w:kern w:val="0"/>
          <w:sz w:val="24"/>
          <w:highlight w:val="none"/>
          <w:lang w:val="af-ZA"/>
          <w14:textFill>
            <w14:solidFill>
              <w14:schemeClr w14:val="tx1"/>
            </w14:solidFill>
          </w14:textFill>
        </w:rPr>
        <w:t>严格履行政府采购合同，不降低合同约定的产品质量和服务，不擅自变更、中止、终止合同，或拒绝履行合同义务；</w:t>
      </w:r>
    </w:p>
    <w:p w14:paraId="7EC72606">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6、以上事项如有虚假或隐瞒，我</w:t>
      </w:r>
      <w:r>
        <w:rPr>
          <w:rFonts w:hint="eastAsia" w:ascii="宋体" w:hAnsi="宋体" w:eastAsia="宋体" w:cs="宋体"/>
          <w:color w:val="000000" w:themeColor="text1"/>
          <w:kern w:val="0"/>
          <w:sz w:val="24"/>
          <w:highlight w:val="none"/>
          <w:lang w:val="zh-CN"/>
          <w14:textFill>
            <w14:solidFill>
              <w14:schemeClr w14:val="tx1"/>
            </w14:solidFill>
          </w14:textFill>
        </w:rPr>
        <w:t>公司</w:t>
      </w:r>
      <w:r>
        <w:rPr>
          <w:rFonts w:hint="eastAsia" w:ascii="宋体" w:hAnsi="宋体" w:eastAsia="宋体" w:cs="宋体"/>
          <w:color w:val="000000" w:themeColor="text1"/>
          <w:sz w:val="24"/>
          <w:highlight w:val="none"/>
          <w14:textFill>
            <w14:solidFill>
              <w14:schemeClr w14:val="tx1"/>
            </w14:solidFill>
          </w14:textFill>
        </w:rPr>
        <w:t>愿意承担一切后果，并不再寻求任何旨在减轻或免除法律责任的辩解。</w:t>
      </w:r>
    </w:p>
    <w:p w14:paraId="470E07D5">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color w:val="000000" w:themeColor="text1"/>
          <w:kern w:val="0"/>
          <w:sz w:val="24"/>
          <w:highlight w:val="none"/>
          <w14:textFill>
            <w14:solidFill>
              <w14:schemeClr w14:val="tx1"/>
            </w14:solidFill>
          </w14:textFill>
        </w:rPr>
      </w:pPr>
    </w:p>
    <w:p w14:paraId="5B28DFDE">
      <w:pPr>
        <w:keepNext w:val="0"/>
        <w:keepLines w:val="0"/>
        <w:pageBreakBefore w:val="0"/>
        <w:widowControl w:val="0"/>
        <w:kinsoku/>
        <w:wordWrap/>
        <w:overflowPunct/>
        <w:topLinePunct w:val="0"/>
        <w:autoSpaceDE/>
        <w:autoSpaceDN/>
        <w:bidi w:val="0"/>
        <w:adjustRightInd w:val="0"/>
        <w:snapToGrid w:val="0"/>
        <w:spacing w:line="400" w:lineRule="exact"/>
        <w:ind w:firstLine="4680" w:firstLineChars="1950"/>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供应商名称(公章)：</w:t>
      </w:r>
    </w:p>
    <w:p w14:paraId="61C1D04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法定代表人或授权委托人(</w:t>
      </w:r>
      <w:r>
        <w:rPr>
          <w:rFonts w:hint="eastAsia" w:ascii="宋体" w:hAnsi="宋体" w:cs="宋体"/>
          <w:color w:val="000000" w:themeColor="text1"/>
          <w:kern w:val="0"/>
          <w:sz w:val="24"/>
          <w:highlight w:val="none"/>
          <w:lang w:val="zh-CN"/>
          <w14:textFill>
            <w14:solidFill>
              <w14:schemeClr w14:val="tx1"/>
            </w14:solidFill>
          </w14:textFill>
        </w:rPr>
        <w:t>签字或盖章</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06C04D65">
      <w:pPr>
        <w:keepNext w:val="0"/>
        <w:keepLines w:val="0"/>
        <w:pageBreakBefore w:val="0"/>
        <w:widowControl w:val="0"/>
        <w:kinsoku/>
        <w:wordWrap/>
        <w:overflowPunct/>
        <w:topLinePunct w:val="0"/>
        <w:autoSpaceDE/>
        <w:autoSpaceDN/>
        <w:bidi w:val="0"/>
        <w:adjustRightInd w:val="0"/>
        <w:snapToGrid w:val="0"/>
        <w:spacing w:line="400" w:lineRule="exact"/>
        <w:ind w:right="480"/>
        <w:jc w:val="center"/>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  月   日</w:t>
      </w:r>
    </w:p>
    <w:p w14:paraId="073C88BE">
      <w:pPr>
        <w:keepNext w:val="0"/>
        <w:keepLines w:val="0"/>
        <w:pageBreakBefore w:val="0"/>
        <w:widowControl w:val="0"/>
        <w:kinsoku/>
        <w:wordWrap/>
        <w:overflowPunct/>
        <w:topLinePunct w:val="0"/>
        <w:autoSpaceDE/>
        <w:autoSpaceDN/>
        <w:bidi w:val="0"/>
        <w:adjustRightInd w:val="0"/>
        <w:snapToGrid w:val="0"/>
        <w:spacing w:line="400" w:lineRule="exact"/>
        <w:ind w:right="480"/>
        <w:jc w:val="center"/>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p>
    <w:p w14:paraId="44E752C2">
      <w:pPr>
        <w:pStyle w:val="15"/>
        <w:rPr>
          <w:rFonts w:hint="eastAsia"/>
          <w:color w:val="000000" w:themeColor="text1"/>
          <w:highlight w:val="none"/>
          <w:lang w:val="zh-CN"/>
          <w14:textFill>
            <w14:solidFill>
              <w14:schemeClr w14:val="tx1"/>
            </w14:solidFill>
          </w14:textFill>
        </w:rPr>
      </w:pPr>
    </w:p>
    <w:p w14:paraId="5D78F09D">
      <w:pPr>
        <w:pStyle w:val="4"/>
        <w:jc w:val="center"/>
        <w:rPr>
          <w:rFonts w:hint="eastAsia" w:ascii="宋体" w:hAnsi="宋体" w:eastAsia="宋体" w:cs="宋体"/>
          <w:b w:val="0"/>
          <w:color w:val="000000" w:themeColor="text1"/>
          <w:highlight w:val="none"/>
          <w:u w:val="singl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附件3</w:t>
      </w: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cs="宋体"/>
          <w:color w:val="000000" w:themeColor="text1"/>
          <w:kern w:val="0"/>
          <w:sz w:val="28"/>
          <w:szCs w:val="28"/>
          <w:highlight w:val="none"/>
          <w:lang w:val="en-US" w:eastAsia="zh-CN"/>
          <w14:textFill>
            <w14:solidFill>
              <w14:schemeClr w14:val="tx1"/>
            </w14:solidFill>
          </w14:textFill>
        </w:rPr>
        <w:t>1</w:t>
      </w: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14:textFill>
            <w14:solidFill>
              <w14:schemeClr w14:val="tx1"/>
            </w14:solidFill>
          </w14:textFill>
        </w:rPr>
        <w:t>：</w:t>
      </w:r>
      <w:r>
        <w:rPr>
          <w:rFonts w:hint="eastAsia" w:ascii="宋体" w:hAnsi="宋体" w:eastAsia="宋体" w:cs="宋体"/>
          <w:b w:val="0"/>
          <w:color w:val="000000" w:themeColor="text1"/>
          <w:highlight w:val="none"/>
          <w14:textFill>
            <w14:solidFill>
              <w14:schemeClr w14:val="tx1"/>
            </w14:solidFill>
          </w14:textFill>
        </w:rPr>
        <w:t>授权委托书</w:t>
      </w:r>
    </w:p>
    <w:p w14:paraId="4DC5A9DB">
      <w:pPr>
        <w:pStyle w:val="20"/>
        <w:spacing w:line="500" w:lineRule="exac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杭州华旗招标代理有限公司</w:t>
      </w:r>
      <w:r>
        <w:rPr>
          <w:rFonts w:hint="eastAsia" w:ascii="宋体" w:hAnsi="宋体" w:eastAsia="宋体" w:cs="宋体"/>
          <w:b/>
          <w:color w:val="000000" w:themeColor="text1"/>
          <w:sz w:val="24"/>
          <w:highlight w:val="none"/>
          <w14:textFill>
            <w14:solidFill>
              <w14:schemeClr w14:val="tx1"/>
            </w14:solidFill>
          </w14:textFill>
        </w:rPr>
        <w:t>：</w:t>
      </w:r>
    </w:p>
    <w:p w14:paraId="421FC4FF">
      <w:pPr>
        <w:pStyle w:val="20"/>
        <w:spacing w:line="500" w:lineRule="exact"/>
        <w:ind w:left="240" w:hanging="240" w:hanging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（供应商全称）  </w:t>
      </w:r>
      <w:r>
        <w:rPr>
          <w:rFonts w:hint="eastAsia" w:ascii="宋体" w:hAnsi="宋体" w:eastAsia="宋体" w:cs="宋体"/>
          <w:color w:val="000000" w:themeColor="text1"/>
          <w:sz w:val="24"/>
          <w:highlight w:val="none"/>
          <w14:textFill>
            <w14:solidFill>
              <w14:schemeClr w14:val="tx1"/>
            </w14:solidFill>
          </w14:textFill>
        </w:rPr>
        <w:t>法定代表人（或营业执照中单位负责人）</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u w:val="single"/>
          <w14:textFill>
            <w14:solidFill>
              <w14:schemeClr w14:val="tx1"/>
            </w14:solidFill>
          </w14:textFill>
        </w:rPr>
        <w:t xml:space="preserve">（法定代表人或营业执照中单位负责人姓名） </w:t>
      </w:r>
      <w:r>
        <w:rPr>
          <w:rFonts w:hint="eastAsia" w:ascii="宋体" w:hAnsi="宋体" w:eastAsia="宋体" w:cs="宋体"/>
          <w:color w:val="000000" w:themeColor="text1"/>
          <w:sz w:val="24"/>
          <w:highlight w:val="none"/>
          <w14:textFill>
            <w14:solidFill>
              <w14:schemeClr w14:val="tx1"/>
            </w14:solidFill>
          </w14:textFill>
        </w:rPr>
        <w:t>授权</w:t>
      </w:r>
      <w:r>
        <w:rPr>
          <w:rFonts w:hint="eastAsia" w:ascii="宋体" w:hAnsi="宋体" w:eastAsia="宋体" w:cs="宋体"/>
          <w:color w:val="000000" w:themeColor="text1"/>
          <w:sz w:val="24"/>
          <w:highlight w:val="none"/>
          <w:u w:val="single"/>
          <w14:textFill>
            <w14:solidFill>
              <w14:schemeClr w14:val="tx1"/>
            </w14:solidFill>
          </w14:textFill>
        </w:rPr>
        <w:t xml:space="preserve">   （全权代表姓名） </w:t>
      </w:r>
      <w:r>
        <w:rPr>
          <w:rFonts w:hint="eastAsia" w:ascii="宋体" w:hAnsi="宋体" w:eastAsia="宋体" w:cs="宋体"/>
          <w:color w:val="000000" w:themeColor="text1"/>
          <w:sz w:val="24"/>
          <w:highlight w:val="none"/>
          <w14:textFill>
            <w14:solidFill>
              <w14:schemeClr w14:val="tx1"/>
            </w14:solidFill>
          </w14:textFill>
        </w:rPr>
        <w:t>为全权代表，参加贵单位组织的</w:t>
      </w:r>
      <w:r>
        <w:rPr>
          <w:rFonts w:hint="eastAsia" w:hAnsi="宋体" w:cs="宋体"/>
          <w:color w:val="000000" w:themeColor="text1"/>
          <w:sz w:val="24"/>
          <w:highlight w:val="none"/>
          <w:u w:val="single"/>
          <w:lang w:eastAsia="zh-CN"/>
          <w14:textFill>
            <w14:solidFill>
              <w14:schemeClr w14:val="tx1"/>
            </w14:solidFill>
          </w14:textFill>
        </w:rPr>
        <w:t>玉环水库自然资源统一确权调查服务</w:t>
      </w:r>
      <w:r>
        <w:rPr>
          <w:rFonts w:hint="eastAsia" w:ascii="宋体" w:hAnsi="宋体" w:eastAsia="宋体" w:cs="宋体"/>
          <w:color w:val="000000" w:themeColor="text1"/>
          <w:sz w:val="24"/>
          <w:highlight w:val="none"/>
          <w14:textFill>
            <w14:solidFill>
              <w14:schemeClr w14:val="tx1"/>
            </w14:solidFill>
          </w14:textFill>
        </w:rPr>
        <w:t>项目</w:t>
      </w:r>
      <w:r>
        <w:rPr>
          <w:rFonts w:hint="eastAsia" w:hAnsi="宋体" w:cs="宋体"/>
          <w:color w:val="000000" w:themeColor="text1"/>
          <w:sz w:val="24"/>
          <w:highlight w:val="none"/>
          <w:lang w:eastAsia="zh-CN"/>
          <w14:textFill>
            <w14:solidFill>
              <w14:schemeClr w14:val="tx1"/>
            </w14:solidFill>
          </w14:textFill>
        </w:rPr>
        <w:t>（</w:t>
      </w:r>
      <w:r>
        <w:rPr>
          <w:rFonts w:hint="eastAsia" w:hAnsi="宋体" w:cs="宋体"/>
          <w:color w:val="000000" w:themeColor="text1"/>
          <w:sz w:val="24"/>
          <w:highlight w:val="none"/>
          <w:lang w:val="en-US" w:eastAsia="zh-CN"/>
          <w14:textFill>
            <w14:solidFill>
              <w14:schemeClr w14:val="tx1"/>
            </w14:solidFill>
          </w14:textFill>
        </w:rPr>
        <w:t>项目编号：HQ-YHZFCG-2024-1004</w:t>
      </w:r>
      <w:r>
        <w:rPr>
          <w:rFonts w:hint="eastAsia"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的采购活动，并代表我方全权办理针对上述项目的磋商、签约等具体事务和签署相关文件。我方对全权代表的签字事项负全部责任。</w:t>
      </w:r>
    </w:p>
    <w:p w14:paraId="05E8D455">
      <w:pPr>
        <w:pStyle w:val="20"/>
        <w:spacing w:line="500" w:lineRule="exact"/>
        <w:ind w:left="139" w:leftChars="66"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在撤销授权的书面通知以前，本授权书一直有效。全权代表在授权委托书有效期内签署的所有文件不因授权的撤销而失效。</w:t>
      </w:r>
    </w:p>
    <w:p w14:paraId="626EAF9E">
      <w:pPr>
        <w:pStyle w:val="20"/>
        <w:spacing w:line="500" w:lineRule="exact"/>
        <w:ind w:left="139" w:leftChars="66"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全权代表无转委托权，特此委托。</w:t>
      </w:r>
    </w:p>
    <w:p w14:paraId="6F517C06">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61CB9E45">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法定代表人签字或盖章：</w:t>
      </w:r>
    </w:p>
    <w:p w14:paraId="3281BE1F">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735B933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供应商全称（公章）：                              日期：</w:t>
      </w:r>
    </w:p>
    <w:p w14:paraId="1E11967B">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附：</w:t>
      </w:r>
    </w:p>
    <w:tbl>
      <w:tblPr>
        <w:tblStyle w:val="37"/>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D6B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28AB7529">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0F0DDF15">
            <w:pPr>
              <w:spacing w:line="360" w:lineRule="auto"/>
              <w:ind w:firstLine="361" w:firstLineChars="15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法定代表身份证复印件粘帖处</w:t>
            </w:r>
          </w:p>
        </w:tc>
      </w:tr>
    </w:tbl>
    <w:p w14:paraId="766FF1E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法定代表人姓名：                                 </w:t>
      </w:r>
    </w:p>
    <w:p w14:paraId="5B98737F">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传真：</w:t>
      </w:r>
    </w:p>
    <w:p w14:paraId="1C881C6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电话：</w:t>
      </w:r>
    </w:p>
    <w:p w14:paraId="7AF35B25">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详细通讯地址：</w:t>
      </w:r>
    </w:p>
    <w:p w14:paraId="17D1046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邮政编码：</w:t>
      </w:r>
    </w:p>
    <w:p w14:paraId="5C83DBBF">
      <w:pPr>
        <w:spacing w:line="360" w:lineRule="auto"/>
        <w:rPr>
          <w:rFonts w:hint="eastAsia" w:ascii="宋体" w:hAnsi="宋体" w:eastAsia="宋体" w:cs="宋体"/>
          <w:b/>
          <w:color w:val="000000" w:themeColor="text1"/>
          <w:sz w:val="24"/>
          <w:highlight w:val="none"/>
          <w14:textFill>
            <w14:solidFill>
              <w14:schemeClr w14:val="tx1"/>
            </w14:solidFill>
          </w14:textFill>
        </w:rPr>
      </w:pPr>
    </w:p>
    <w:tbl>
      <w:tblPr>
        <w:tblStyle w:val="37"/>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7372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1DAFA2DE">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0A243CDB">
            <w:pPr>
              <w:spacing w:line="360" w:lineRule="auto"/>
              <w:ind w:firstLine="361" w:firstLineChars="15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全权代表身份证复印件粘帖处</w:t>
            </w:r>
          </w:p>
        </w:tc>
      </w:tr>
    </w:tbl>
    <w:p w14:paraId="74A6608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全权代表姓名：       </w:t>
      </w:r>
    </w:p>
    <w:p w14:paraId="73CA087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职务：                           </w:t>
      </w:r>
    </w:p>
    <w:p w14:paraId="40C78BA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传真：</w:t>
      </w:r>
    </w:p>
    <w:p w14:paraId="1CAC3C9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电话：</w:t>
      </w:r>
    </w:p>
    <w:p w14:paraId="422461C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详细通讯地址：</w:t>
      </w:r>
    </w:p>
    <w:p w14:paraId="450FE1C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邮政编码：</w:t>
      </w:r>
    </w:p>
    <w:p w14:paraId="2F2D9356">
      <w:pPr>
        <w:pStyle w:val="15"/>
        <w:rPr>
          <w:rFonts w:hint="eastAsia" w:ascii="宋体" w:hAnsi="宋体" w:eastAsia="宋体" w:cs="宋体"/>
          <w:color w:val="000000" w:themeColor="text1"/>
          <w:sz w:val="24"/>
          <w:highlight w:val="none"/>
          <w14:textFill>
            <w14:solidFill>
              <w14:schemeClr w14:val="tx1"/>
            </w14:solidFill>
          </w14:textFill>
        </w:rPr>
      </w:pPr>
    </w:p>
    <w:p w14:paraId="13238794">
      <w:pPr>
        <w:pStyle w:val="15"/>
        <w:rPr>
          <w:rFonts w:hint="eastAsia"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附件3（2）</w:t>
      </w:r>
    </w:p>
    <w:p w14:paraId="5009785A">
      <w:pPr>
        <w:ind w:firstLine="643" w:firstLineChars="200"/>
        <w:rPr>
          <w:rFonts w:hint="eastAsia" w:ascii="宋体" w:hAnsi="宋体" w:cs="宋体"/>
          <w:b/>
          <w:bCs/>
          <w:color w:val="000000" w:themeColor="text1"/>
          <w:kern w:val="0"/>
          <w:sz w:val="32"/>
          <w:szCs w:val="32"/>
          <w:highlight w:val="none"/>
          <w:lang w:val="zh-CN"/>
          <w14:textFill>
            <w14:solidFill>
              <w14:schemeClr w14:val="tx1"/>
            </w14:solidFill>
          </w14:textFill>
        </w:rPr>
      </w:pPr>
      <w:r>
        <w:rPr>
          <w:rFonts w:hint="eastAsia" w:ascii="宋体" w:hAnsi="宋体" w:cs="宋体"/>
          <w:b/>
          <w:bCs/>
          <w:color w:val="000000" w:themeColor="text1"/>
          <w:kern w:val="0"/>
          <w:sz w:val="32"/>
          <w:szCs w:val="32"/>
          <w:highlight w:val="none"/>
          <w:lang w:val="zh-CN"/>
          <w14:textFill>
            <w14:solidFill>
              <w14:schemeClr w14:val="tx1"/>
            </w14:solidFill>
          </w14:textFill>
        </w:rPr>
        <w:t>符合参加政府采购活动应当具备的一般条件的承诺函</w:t>
      </w:r>
    </w:p>
    <w:p w14:paraId="7FA36D91">
      <w:pPr>
        <w:spacing w:line="440" w:lineRule="exact"/>
        <w:rPr>
          <w:rFonts w:hint="eastAsia" w:ascii="宋体" w:hAnsi="宋体" w:cs="宋体"/>
          <w:color w:val="000000" w:themeColor="text1"/>
          <w:kern w:val="0"/>
          <w:sz w:val="24"/>
          <w:highlight w:val="none"/>
          <w:lang w:val="zh-CN"/>
          <w14:textFill>
            <w14:solidFill>
              <w14:schemeClr w14:val="tx1"/>
            </w14:solidFill>
          </w14:textFill>
        </w:rPr>
      </w:pPr>
    </w:p>
    <w:p w14:paraId="2A6705FF">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r>
        <w:rPr>
          <w:rFonts w:hint="eastAsia" w:ascii="宋体" w:hAnsi="宋体" w:cs="宋体"/>
          <w:color w:val="000000" w:themeColor="text1"/>
          <w:kern w:val="0"/>
          <w:sz w:val="24"/>
          <w:highlight w:val="none"/>
          <w:lang w:val="zh-CN"/>
          <w14:textFill>
            <w14:solidFill>
              <w14:schemeClr w14:val="tx1"/>
            </w14:solidFill>
          </w14:textFill>
        </w:rPr>
        <w:t>：</w:t>
      </w:r>
    </w:p>
    <w:p w14:paraId="14E03ECA">
      <w:pPr>
        <w:spacing w:line="440" w:lineRule="exact"/>
        <w:ind w:firstLine="720" w:firstLineChars="3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我公司参与</w:t>
      </w:r>
      <w:r>
        <w:rPr>
          <w:rFonts w:hint="eastAsia" w:ascii="宋体" w:hAnsi="宋体" w:cs="宋体"/>
          <w:color w:val="000000" w:themeColor="text1"/>
          <w:kern w:val="0"/>
          <w:sz w:val="24"/>
          <w:highlight w:val="none"/>
          <w:u w:val="single"/>
          <w:lang w:val="zh-CN"/>
          <w14:textFill>
            <w14:solidFill>
              <w14:schemeClr w14:val="tx1"/>
            </w14:solidFill>
          </w14:textFill>
        </w:rPr>
        <w:t> 玉环水库自然资源统一确权调查服务（编号为HQ-YHZFCG-2024-1004）</w:t>
      </w:r>
      <w:r>
        <w:rPr>
          <w:rFonts w:hint="eastAsia" w:ascii="宋体" w:hAnsi="宋体" w:cs="宋体"/>
          <w:color w:val="000000" w:themeColor="text1"/>
          <w:kern w:val="0"/>
          <w:sz w:val="24"/>
          <w:highlight w:val="none"/>
          <w:lang w:val="zh-CN"/>
          <w14:textFill>
            <w14:solidFill>
              <w14:schemeClr w14:val="tx1"/>
            </w14:solidFill>
          </w14:textFill>
        </w:rPr>
        <w:t>政府采购活动，郑重承诺：</w:t>
      </w:r>
    </w:p>
    <w:p w14:paraId="5368E40F">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（一）具备《中华人民共和国政府采购法》第二十二条第一款规定的条件：</w:t>
      </w:r>
    </w:p>
    <w:p w14:paraId="7D1E023D">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1、具有独立承担民事责任的能力；</w:t>
      </w:r>
    </w:p>
    <w:p w14:paraId="0A6F9DF2">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2、具有良好的商业信誉和健全的财务会计制度； </w:t>
      </w:r>
    </w:p>
    <w:p w14:paraId="0AE82C3C">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3、具有履行合同所必需的设备和专业技术能力；</w:t>
      </w:r>
    </w:p>
    <w:p w14:paraId="63C07EA2">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4、有依法缴纳税收和社会保障资金的良好记录；</w:t>
      </w:r>
    </w:p>
    <w:p w14:paraId="1A6EBB01">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5、参加政府采购活动前三年内，在经营活动中没有重大违法记录；</w:t>
      </w:r>
    </w:p>
    <w:p w14:paraId="07FBF035">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6、具有法律、行政法规规定的其他条件。</w:t>
      </w:r>
    </w:p>
    <w:p w14:paraId="400F5D8D">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18CEA5C1">
      <w:pPr>
        <w:spacing w:line="440" w:lineRule="exact"/>
        <w:rPr>
          <w:rFonts w:hint="eastAsia" w:ascii="宋体" w:hAnsi="宋体" w:cs="宋体"/>
          <w:color w:val="000000" w:themeColor="text1"/>
          <w:kern w:val="0"/>
          <w:sz w:val="24"/>
          <w:highlight w:val="none"/>
          <w:lang w:val="zh-CN"/>
          <w14:textFill>
            <w14:solidFill>
              <w14:schemeClr w14:val="tx1"/>
            </w14:solidFill>
          </w14:textFill>
        </w:rPr>
      </w:pPr>
    </w:p>
    <w:p w14:paraId="23C527EC">
      <w:pPr>
        <w:spacing w:line="440" w:lineRule="exact"/>
        <w:rPr>
          <w:rFonts w:hint="eastAsia" w:ascii="宋体" w:hAnsi="宋体" w:cs="宋体"/>
          <w:color w:val="000000" w:themeColor="text1"/>
          <w:kern w:val="0"/>
          <w:sz w:val="24"/>
          <w:highlight w:val="none"/>
          <w:lang w:val="zh-CN"/>
          <w14:textFill>
            <w14:solidFill>
              <w14:schemeClr w14:val="tx1"/>
            </w14:solidFill>
          </w14:textFill>
        </w:rPr>
      </w:pPr>
    </w:p>
    <w:p w14:paraId="4C86D070">
      <w:pPr>
        <w:spacing w:line="440" w:lineRule="exact"/>
        <w:rPr>
          <w:rFonts w:hint="eastAsia" w:ascii="宋体" w:hAnsi="宋体" w:cs="宋体"/>
          <w:color w:val="000000" w:themeColor="text1"/>
          <w:kern w:val="0"/>
          <w:sz w:val="24"/>
          <w:highlight w:val="none"/>
          <w:lang w:val="zh-CN"/>
          <w14:textFill>
            <w14:solidFill>
              <w14:schemeClr w14:val="tx1"/>
            </w14:solidFill>
          </w14:textFill>
        </w:rPr>
      </w:pPr>
    </w:p>
    <w:p w14:paraId="2B033C13">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投标人名称(公章)：</w:t>
      </w:r>
    </w:p>
    <w:p w14:paraId="07AC4440">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w:t>
      </w:r>
    </w:p>
    <w:p w14:paraId="4001662A">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法定代表人或授权委托人(签字)：</w:t>
      </w:r>
    </w:p>
    <w:p w14:paraId="077A8DEC">
      <w:pPr>
        <w:spacing w:line="440" w:lineRule="exact"/>
        <w:rPr>
          <w:rFonts w:hint="eastAsia" w:ascii="宋体" w:hAnsi="宋体" w:cs="宋体"/>
          <w:color w:val="000000" w:themeColor="text1"/>
          <w:kern w:val="0"/>
          <w:sz w:val="24"/>
          <w:highlight w:val="none"/>
          <w:lang w:val="zh-CN"/>
          <w14:textFill>
            <w14:solidFill>
              <w14:schemeClr w14:val="tx1"/>
            </w14:solidFill>
          </w14:textFill>
        </w:rPr>
      </w:pPr>
    </w:p>
    <w:p w14:paraId="274F7668">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412F01D6">
      <w:pPr>
        <w:pStyle w:val="6"/>
        <w:rPr>
          <w:rFonts w:hint="eastAsia"/>
          <w:color w:val="000000" w:themeColor="text1"/>
          <w:highlight w:val="none"/>
          <w:lang w:val="zh-CN"/>
          <w14:textFill>
            <w14:solidFill>
              <w14:schemeClr w14:val="tx1"/>
            </w14:solidFill>
          </w14:textFill>
        </w:rPr>
      </w:pPr>
    </w:p>
    <w:p w14:paraId="6C631077">
      <w:pPr>
        <w:pStyle w:val="16"/>
        <w:rPr>
          <w:rFonts w:hint="eastAsia"/>
          <w:color w:val="000000" w:themeColor="text1"/>
          <w:highlight w:val="none"/>
          <w14:textFill>
            <w14:solidFill>
              <w14:schemeClr w14:val="tx1"/>
            </w14:solidFill>
          </w14:textFill>
        </w:rPr>
      </w:pPr>
    </w:p>
    <w:p w14:paraId="448FE552">
      <w:pPr>
        <w:pStyle w:val="4"/>
        <w:jc w:val="center"/>
        <w:rPr>
          <w:rFonts w:hint="eastAsia" w:ascii="宋体" w:hAnsi="宋体" w:eastAsia="宋体" w:cs="宋体"/>
          <w:b w:val="0"/>
          <w:bCs w:val="0"/>
          <w:color w:val="000000" w:themeColor="text1"/>
          <w:spacing w:val="21"/>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附件4：</w:t>
      </w:r>
      <w:r>
        <w:rPr>
          <w:rFonts w:hint="eastAsia" w:ascii="宋体" w:hAnsi="宋体" w:eastAsia="宋体" w:cs="宋体"/>
          <w:b w:val="0"/>
          <w:color w:val="000000" w:themeColor="text1"/>
          <w:highlight w:val="none"/>
          <w14:textFill>
            <w14:solidFill>
              <w14:schemeClr w14:val="tx1"/>
            </w14:solidFill>
          </w14:textFill>
        </w:rPr>
        <w:t>供应商</w:t>
      </w:r>
      <w:r>
        <w:rPr>
          <w:rFonts w:hint="eastAsia" w:ascii="宋体" w:hAnsi="宋体" w:eastAsia="宋体" w:cs="宋体"/>
          <w:b w:val="0"/>
          <w:bCs w:val="0"/>
          <w:color w:val="000000" w:themeColor="text1"/>
          <w:spacing w:val="21"/>
          <w:highlight w:val="none"/>
          <w14:textFill>
            <w14:solidFill>
              <w14:schemeClr w14:val="tx1"/>
            </w14:solidFill>
          </w14:textFill>
        </w:rPr>
        <w:t>基本情况表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0913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noWrap w:val="0"/>
            <w:vAlign w:val="top"/>
          </w:tcPr>
          <w:p w14:paraId="6D87D8C7">
            <w:pPr>
              <w:pStyle w:val="83"/>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企业名称</w:t>
            </w:r>
          </w:p>
        </w:tc>
        <w:tc>
          <w:tcPr>
            <w:tcW w:w="3979" w:type="dxa"/>
            <w:gridSpan w:val="6"/>
            <w:noWrap w:val="0"/>
            <w:vAlign w:val="top"/>
          </w:tcPr>
          <w:p w14:paraId="29F9333E">
            <w:pPr>
              <w:pStyle w:val="83"/>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p>
        </w:tc>
        <w:tc>
          <w:tcPr>
            <w:tcW w:w="2001" w:type="dxa"/>
            <w:gridSpan w:val="3"/>
            <w:noWrap w:val="0"/>
            <w:vAlign w:val="top"/>
          </w:tcPr>
          <w:p w14:paraId="12943F82">
            <w:pPr>
              <w:pStyle w:val="83"/>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法人代表</w:t>
            </w:r>
          </w:p>
        </w:tc>
        <w:tc>
          <w:tcPr>
            <w:tcW w:w="2151" w:type="dxa"/>
            <w:gridSpan w:val="2"/>
            <w:noWrap w:val="0"/>
            <w:vAlign w:val="top"/>
          </w:tcPr>
          <w:p w14:paraId="25DAFB03">
            <w:pPr>
              <w:pStyle w:val="83"/>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p>
        </w:tc>
      </w:tr>
      <w:tr w14:paraId="76C7B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noWrap w:val="0"/>
            <w:vAlign w:val="top"/>
          </w:tcPr>
          <w:p w14:paraId="5B3F21DE">
            <w:pPr>
              <w:pStyle w:val="83"/>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地址</w:t>
            </w:r>
          </w:p>
        </w:tc>
        <w:tc>
          <w:tcPr>
            <w:tcW w:w="3979" w:type="dxa"/>
            <w:gridSpan w:val="6"/>
            <w:tcBorders>
              <w:bottom w:val="single" w:color="auto" w:sz="4" w:space="0"/>
            </w:tcBorders>
            <w:noWrap w:val="0"/>
            <w:vAlign w:val="top"/>
          </w:tcPr>
          <w:p w14:paraId="4BE71BD6">
            <w:pPr>
              <w:pStyle w:val="83"/>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2001" w:type="dxa"/>
            <w:gridSpan w:val="3"/>
            <w:noWrap w:val="0"/>
            <w:vAlign w:val="top"/>
          </w:tcPr>
          <w:p w14:paraId="1FB22368">
            <w:pPr>
              <w:pStyle w:val="83"/>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企业性质</w:t>
            </w:r>
          </w:p>
        </w:tc>
        <w:tc>
          <w:tcPr>
            <w:tcW w:w="2151" w:type="dxa"/>
            <w:gridSpan w:val="2"/>
            <w:noWrap w:val="0"/>
            <w:vAlign w:val="top"/>
          </w:tcPr>
          <w:p w14:paraId="2BB63547">
            <w:pPr>
              <w:pStyle w:val="83"/>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r>
      <w:tr w14:paraId="113D1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noWrap w:val="0"/>
            <w:vAlign w:val="top"/>
          </w:tcPr>
          <w:p w14:paraId="456FDB40">
            <w:pPr>
              <w:pStyle w:val="83"/>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股东姓名</w:t>
            </w:r>
          </w:p>
        </w:tc>
        <w:tc>
          <w:tcPr>
            <w:tcW w:w="701" w:type="dxa"/>
            <w:tcBorders>
              <w:bottom w:val="single" w:color="auto" w:sz="4" w:space="0"/>
            </w:tcBorders>
            <w:noWrap w:val="0"/>
            <w:vAlign w:val="top"/>
          </w:tcPr>
          <w:p w14:paraId="27C38FDA">
            <w:pPr>
              <w:pStyle w:val="83"/>
              <w:shd w:val="clear" w:color="auto" w:fill="FFFFFF"/>
              <w:spacing w:before="0" w:beforeAutospacing="0" w:after="0" w:afterAutospacing="0"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910" w:type="dxa"/>
            <w:gridSpan w:val="2"/>
            <w:tcBorders>
              <w:bottom w:val="single" w:color="auto" w:sz="4" w:space="0"/>
            </w:tcBorders>
            <w:noWrap w:val="0"/>
            <w:vAlign w:val="top"/>
          </w:tcPr>
          <w:p w14:paraId="06F4FF81">
            <w:pPr>
              <w:pStyle w:val="83"/>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股权结构（%）</w:t>
            </w:r>
          </w:p>
        </w:tc>
        <w:tc>
          <w:tcPr>
            <w:tcW w:w="2368" w:type="dxa"/>
            <w:gridSpan w:val="3"/>
            <w:tcBorders>
              <w:bottom w:val="single" w:color="auto" w:sz="4" w:space="0"/>
            </w:tcBorders>
            <w:noWrap w:val="0"/>
            <w:vAlign w:val="top"/>
          </w:tcPr>
          <w:p w14:paraId="64A5C385">
            <w:pPr>
              <w:widowControl/>
              <w:spacing w:line="360" w:lineRule="auto"/>
              <w:jc w:val="left"/>
              <w:rPr>
                <w:rFonts w:hint="eastAsia" w:ascii="宋体" w:hAnsi="宋体" w:eastAsia="宋体" w:cs="宋体"/>
                <w:bCs/>
                <w:color w:val="000000" w:themeColor="text1"/>
                <w:spacing w:val="16"/>
                <w:kern w:val="0"/>
                <w:sz w:val="24"/>
                <w:highlight w:val="none"/>
                <w14:textFill>
                  <w14:solidFill>
                    <w14:schemeClr w14:val="tx1"/>
                  </w14:solidFill>
                </w14:textFill>
              </w:rPr>
            </w:pPr>
          </w:p>
          <w:p w14:paraId="0A0210FC">
            <w:pPr>
              <w:pStyle w:val="83"/>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2001" w:type="dxa"/>
            <w:gridSpan w:val="3"/>
            <w:noWrap w:val="0"/>
            <w:vAlign w:val="top"/>
          </w:tcPr>
          <w:p w14:paraId="2C988CBF">
            <w:pPr>
              <w:pStyle w:val="83"/>
              <w:shd w:val="clear" w:color="auto" w:fill="FFFFFF"/>
              <w:spacing w:line="360" w:lineRule="auto"/>
              <w:ind w:left="107"/>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股东关系</w:t>
            </w:r>
          </w:p>
        </w:tc>
        <w:tc>
          <w:tcPr>
            <w:tcW w:w="2151" w:type="dxa"/>
            <w:gridSpan w:val="2"/>
            <w:noWrap w:val="0"/>
            <w:vAlign w:val="top"/>
          </w:tcPr>
          <w:p w14:paraId="2653C8B6">
            <w:pPr>
              <w:pStyle w:val="83"/>
              <w:shd w:val="clear" w:color="auto" w:fill="FFFFFF"/>
              <w:spacing w:line="360" w:lineRule="auto"/>
              <w:ind w:left="107"/>
              <w:rPr>
                <w:rFonts w:hint="eastAsia" w:ascii="宋体" w:hAnsi="宋体" w:eastAsia="宋体" w:cs="宋体"/>
                <w:bCs/>
                <w:color w:val="000000" w:themeColor="text1"/>
                <w:spacing w:val="16"/>
                <w:highlight w:val="none"/>
                <w14:textFill>
                  <w14:solidFill>
                    <w14:schemeClr w14:val="tx1"/>
                  </w14:solidFill>
                </w14:textFill>
              </w:rPr>
            </w:pPr>
          </w:p>
        </w:tc>
      </w:tr>
      <w:tr w14:paraId="2223F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noWrap w:val="0"/>
            <w:vAlign w:val="top"/>
          </w:tcPr>
          <w:p w14:paraId="7EAF8154">
            <w:pPr>
              <w:pStyle w:val="83"/>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2"/>
                <w:highlight w:val="none"/>
                <w14:textFill>
                  <w14:solidFill>
                    <w14:schemeClr w14:val="tx1"/>
                  </w14:solidFill>
                </w14:textFill>
              </w:rPr>
              <w:t>联系人</w:t>
            </w:r>
            <w:r>
              <w:rPr>
                <w:rFonts w:hint="eastAsia" w:ascii="宋体" w:hAnsi="宋体" w:eastAsia="宋体" w:cs="宋体"/>
                <w:bCs/>
                <w:color w:val="000000" w:themeColor="text1"/>
                <w:spacing w:val="27"/>
                <w:highlight w:val="none"/>
                <w14:textFill>
                  <w14:solidFill>
                    <w14:schemeClr w14:val="tx1"/>
                  </w14:solidFill>
                </w14:textFill>
              </w:rPr>
              <w:t>姓名</w:t>
            </w:r>
          </w:p>
        </w:tc>
        <w:tc>
          <w:tcPr>
            <w:tcW w:w="701" w:type="dxa"/>
            <w:vMerge w:val="restart"/>
            <w:tcBorders>
              <w:top w:val="nil"/>
            </w:tcBorders>
            <w:noWrap w:val="0"/>
            <w:vAlign w:val="top"/>
          </w:tcPr>
          <w:p w14:paraId="0DD69FEE">
            <w:pPr>
              <w:pStyle w:val="83"/>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910" w:type="dxa"/>
            <w:gridSpan w:val="2"/>
            <w:tcBorders>
              <w:top w:val="nil"/>
              <w:bottom w:val="single" w:color="auto" w:sz="4" w:space="0"/>
            </w:tcBorders>
            <w:noWrap w:val="0"/>
            <w:vAlign w:val="top"/>
          </w:tcPr>
          <w:p w14:paraId="33DD29B5">
            <w:pPr>
              <w:pStyle w:val="83"/>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固定电话</w:t>
            </w:r>
          </w:p>
        </w:tc>
        <w:tc>
          <w:tcPr>
            <w:tcW w:w="2368" w:type="dxa"/>
            <w:gridSpan w:val="3"/>
            <w:tcBorders>
              <w:top w:val="nil"/>
              <w:bottom w:val="single" w:color="auto" w:sz="4" w:space="0"/>
            </w:tcBorders>
            <w:noWrap w:val="0"/>
            <w:vAlign w:val="top"/>
          </w:tcPr>
          <w:p w14:paraId="7B9C89FF">
            <w:pPr>
              <w:widowControl/>
              <w:spacing w:line="360" w:lineRule="auto"/>
              <w:jc w:val="left"/>
              <w:rPr>
                <w:rFonts w:hint="eastAsia" w:ascii="宋体" w:hAnsi="宋体" w:eastAsia="宋体" w:cs="宋体"/>
                <w:bCs/>
                <w:color w:val="000000" w:themeColor="text1"/>
                <w:spacing w:val="16"/>
                <w:kern w:val="0"/>
                <w:sz w:val="24"/>
                <w:highlight w:val="none"/>
                <w14:textFill>
                  <w14:solidFill>
                    <w14:schemeClr w14:val="tx1"/>
                  </w14:solidFill>
                </w14:textFill>
              </w:rPr>
            </w:pPr>
          </w:p>
          <w:p w14:paraId="56A1EBE0">
            <w:pPr>
              <w:pStyle w:val="83"/>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2001" w:type="dxa"/>
            <w:gridSpan w:val="3"/>
            <w:vMerge w:val="restart"/>
            <w:noWrap w:val="0"/>
            <w:vAlign w:val="top"/>
          </w:tcPr>
          <w:p w14:paraId="024F0861">
            <w:pPr>
              <w:pStyle w:val="83"/>
              <w:shd w:val="clear" w:color="auto" w:fill="FFFFFF"/>
              <w:spacing w:before="0" w:beforeAutospacing="0" w:after="0" w:afterAutospacing="0"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传真</w:t>
            </w:r>
          </w:p>
        </w:tc>
        <w:tc>
          <w:tcPr>
            <w:tcW w:w="2151" w:type="dxa"/>
            <w:gridSpan w:val="2"/>
            <w:vMerge w:val="restart"/>
            <w:noWrap w:val="0"/>
            <w:vAlign w:val="top"/>
          </w:tcPr>
          <w:p w14:paraId="5E3E3F3B">
            <w:pPr>
              <w:pStyle w:val="83"/>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r>
      <w:tr w14:paraId="1A4FB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noWrap w:val="0"/>
            <w:vAlign w:val="top"/>
          </w:tcPr>
          <w:p w14:paraId="4BAF8089">
            <w:pPr>
              <w:pStyle w:val="83"/>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p>
        </w:tc>
        <w:tc>
          <w:tcPr>
            <w:tcW w:w="701" w:type="dxa"/>
            <w:vMerge w:val="continue"/>
            <w:tcBorders>
              <w:bottom w:val="single" w:color="auto" w:sz="4" w:space="0"/>
            </w:tcBorders>
            <w:noWrap w:val="0"/>
            <w:vAlign w:val="top"/>
          </w:tcPr>
          <w:p w14:paraId="2C7C98A1">
            <w:pPr>
              <w:pStyle w:val="83"/>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910" w:type="dxa"/>
            <w:gridSpan w:val="2"/>
            <w:tcBorders>
              <w:bottom w:val="single" w:color="auto" w:sz="4" w:space="0"/>
            </w:tcBorders>
            <w:noWrap w:val="0"/>
            <w:vAlign w:val="top"/>
          </w:tcPr>
          <w:p w14:paraId="7DC51B5B">
            <w:pPr>
              <w:pStyle w:val="83"/>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手机</w:t>
            </w:r>
          </w:p>
        </w:tc>
        <w:tc>
          <w:tcPr>
            <w:tcW w:w="2368" w:type="dxa"/>
            <w:gridSpan w:val="3"/>
            <w:tcBorders>
              <w:bottom w:val="single" w:color="auto" w:sz="4" w:space="0"/>
            </w:tcBorders>
            <w:noWrap w:val="0"/>
            <w:vAlign w:val="top"/>
          </w:tcPr>
          <w:p w14:paraId="4A5A52C9">
            <w:pPr>
              <w:pStyle w:val="83"/>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2001" w:type="dxa"/>
            <w:gridSpan w:val="3"/>
            <w:vMerge w:val="continue"/>
            <w:tcBorders>
              <w:bottom w:val="single" w:color="auto" w:sz="4" w:space="0"/>
            </w:tcBorders>
            <w:noWrap w:val="0"/>
            <w:vAlign w:val="top"/>
          </w:tcPr>
          <w:p w14:paraId="1486C28F">
            <w:pPr>
              <w:pStyle w:val="83"/>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2151" w:type="dxa"/>
            <w:gridSpan w:val="2"/>
            <w:vMerge w:val="continue"/>
            <w:tcBorders>
              <w:bottom w:val="single" w:color="auto" w:sz="4" w:space="0"/>
            </w:tcBorders>
            <w:noWrap w:val="0"/>
            <w:vAlign w:val="top"/>
          </w:tcPr>
          <w:p w14:paraId="3E70646A">
            <w:pPr>
              <w:pStyle w:val="83"/>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r>
      <w:tr w14:paraId="4FE78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Borders>
              <w:top w:val="single" w:color="auto" w:sz="4" w:space="0"/>
            </w:tcBorders>
            <w:noWrap w:val="0"/>
            <w:vAlign w:val="top"/>
          </w:tcPr>
          <w:p w14:paraId="3F1EA948">
            <w:pPr>
              <w:pStyle w:val="83"/>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w:t>
            </w:r>
          </w:p>
          <w:p w14:paraId="0E8F2082">
            <w:pPr>
              <w:pStyle w:val="83"/>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企</w:t>
            </w:r>
          </w:p>
          <w:p w14:paraId="669B757F">
            <w:pPr>
              <w:pStyle w:val="83"/>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业</w:t>
            </w:r>
          </w:p>
          <w:p w14:paraId="006199E1">
            <w:pPr>
              <w:pStyle w:val="83"/>
              <w:shd w:val="clear" w:color="auto" w:fill="FFFFFF"/>
              <w:spacing w:line="360" w:lineRule="auto"/>
              <w:ind w:left="107"/>
              <w:rPr>
                <w:rFonts w:hint="eastAsia" w:ascii="宋体" w:hAnsi="宋体" w:eastAsia="宋体" w:cs="宋体"/>
                <w:bCs/>
                <w:color w:val="000000" w:themeColor="text1"/>
                <w:spacing w:val="27"/>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概</w:t>
            </w:r>
          </w:p>
          <w:p w14:paraId="415F7432">
            <w:pPr>
              <w:pStyle w:val="83"/>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况</w:t>
            </w:r>
          </w:p>
        </w:tc>
        <w:tc>
          <w:tcPr>
            <w:tcW w:w="701" w:type="dxa"/>
            <w:tcBorders>
              <w:top w:val="single" w:color="auto" w:sz="4" w:space="0"/>
            </w:tcBorders>
            <w:noWrap w:val="0"/>
            <w:vAlign w:val="top"/>
          </w:tcPr>
          <w:p w14:paraId="36244F91">
            <w:pPr>
              <w:pStyle w:val="83"/>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职工人数</w:t>
            </w:r>
          </w:p>
        </w:tc>
        <w:tc>
          <w:tcPr>
            <w:tcW w:w="910" w:type="dxa"/>
            <w:gridSpan w:val="2"/>
            <w:tcBorders>
              <w:top w:val="single" w:color="auto" w:sz="4" w:space="0"/>
            </w:tcBorders>
            <w:noWrap w:val="0"/>
            <w:vAlign w:val="top"/>
          </w:tcPr>
          <w:p w14:paraId="2AB84079">
            <w:pPr>
              <w:pStyle w:val="83"/>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1163" w:type="dxa"/>
            <w:tcBorders>
              <w:top w:val="single" w:color="auto" w:sz="4" w:space="0"/>
            </w:tcBorders>
            <w:noWrap w:val="0"/>
            <w:vAlign w:val="top"/>
          </w:tcPr>
          <w:p w14:paraId="2E80B897">
            <w:pPr>
              <w:pStyle w:val="83"/>
              <w:shd w:val="clear" w:color="auto" w:fill="FFFFFF"/>
              <w:spacing w:before="0" w:beforeAutospacing="0" w:after="0" w:afterAutospacing="0"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8"/>
                <w:highlight w:val="none"/>
                <w14:textFill>
                  <w14:solidFill>
                    <w14:schemeClr w14:val="tx1"/>
                  </w14:solidFill>
                </w14:textFill>
              </w:rPr>
              <w:t>具备大专以</w:t>
            </w:r>
            <w:r>
              <w:rPr>
                <w:rFonts w:hint="eastAsia" w:ascii="宋体" w:hAnsi="宋体" w:eastAsia="宋体" w:cs="宋体"/>
                <w:bCs/>
                <w:color w:val="000000" w:themeColor="text1"/>
                <w:spacing w:val="12"/>
                <w:highlight w:val="none"/>
                <w14:textFill>
                  <w14:solidFill>
                    <w14:schemeClr w14:val="tx1"/>
                  </w14:solidFill>
                </w14:textFill>
              </w:rPr>
              <w:t>上学历人数</w:t>
            </w:r>
          </w:p>
        </w:tc>
        <w:tc>
          <w:tcPr>
            <w:tcW w:w="1205" w:type="dxa"/>
            <w:gridSpan w:val="2"/>
            <w:tcBorders>
              <w:top w:val="single" w:color="auto" w:sz="4" w:space="0"/>
            </w:tcBorders>
            <w:noWrap w:val="0"/>
            <w:vAlign w:val="top"/>
          </w:tcPr>
          <w:p w14:paraId="23E60835">
            <w:pPr>
              <w:widowControl/>
              <w:spacing w:line="360" w:lineRule="auto"/>
              <w:jc w:val="left"/>
              <w:rPr>
                <w:rFonts w:hint="eastAsia" w:ascii="宋体" w:hAnsi="宋体" w:eastAsia="宋体" w:cs="宋体"/>
                <w:bCs/>
                <w:color w:val="000000" w:themeColor="text1"/>
                <w:spacing w:val="16"/>
                <w:kern w:val="0"/>
                <w:sz w:val="24"/>
                <w:highlight w:val="none"/>
                <w14:textFill>
                  <w14:solidFill>
                    <w14:schemeClr w14:val="tx1"/>
                  </w14:solidFill>
                </w14:textFill>
              </w:rPr>
            </w:pPr>
          </w:p>
          <w:p w14:paraId="18C3A433">
            <w:pPr>
              <w:widowControl/>
              <w:spacing w:line="360" w:lineRule="auto"/>
              <w:jc w:val="left"/>
              <w:rPr>
                <w:rFonts w:hint="eastAsia" w:ascii="宋体" w:hAnsi="宋体" w:eastAsia="宋体" w:cs="宋体"/>
                <w:bCs/>
                <w:color w:val="000000" w:themeColor="text1"/>
                <w:spacing w:val="16"/>
                <w:kern w:val="0"/>
                <w:sz w:val="24"/>
                <w:highlight w:val="none"/>
                <w14:textFill>
                  <w14:solidFill>
                    <w14:schemeClr w14:val="tx1"/>
                  </w14:solidFill>
                </w14:textFill>
              </w:rPr>
            </w:pPr>
          </w:p>
          <w:p w14:paraId="5AC21D2C">
            <w:pPr>
              <w:pStyle w:val="83"/>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2001" w:type="dxa"/>
            <w:gridSpan w:val="3"/>
            <w:tcBorders>
              <w:top w:val="single" w:color="auto" w:sz="4" w:space="0"/>
            </w:tcBorders>
            <w:noWrap w:val="0"/>
            <w:vAlign w:val="top"/>
          </w:tcPr>
          <w:p w14:paraId="5E160635">
            <w:pPr>
              <w:pStyle w:val="83"/>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65"/>
                <w:highlight w:val="none"/>
                <w14:textFill>
                  <w14:solidFill>
                    <w14:schemeClr w14:val="tx1"/>
                  </w14:solidFill>
                </w14:textFill>
              </w:rPr>
              <w:t>国家授予技</w:t>
            </w:r>
            <w:r>
              <w:rPr>
                <w:rFonts w:hint="eastAsia" w:ascii="宋体" w:hAnsi="宋体" w:eastAsia="宋体" w:cs="宋体"/>
                <w:bCs/>
                <w:color w:val="000000" w:themeColor="text1"/>
                <w:spacing w:val="12"/>
                <w:highlight w:val="none"/>
                <w14:textFill>
                  <w14:solidFill>
                    <w14:schemeClr w14:val="tx1"/>
                  </w14:solidFill>
                </w14:textFill>
              </w:rPr>
              <w:t>术职称人数</w:t>
            </w:r>
          </w:p>
        </w:tc>
        <w:tc>
          <w:tcPr>
            <w:tcW w:w="2151" w:type="dxa"/>
            <w:gridSpan w:val="2"/>
            <w:tcBorders>
              <w:top w:val="single" w:color="auto" w:sz="4" w:space="0"/>
            </w:tcBorders>
            <w:noWrap w:val="0"/>
            <w:vAlign w:val="top"/>
          </w:tcPr>
          <w:p w14:paraId="6206C27B">
            <w:pPr>
              <w:widowControl/>
              <w:spacing w:line="360" w:lineRule="auto"/>
              <w:jc w:val="left"/>
              <w:rPr>
                <w:rFonts w:hint="eastAsia" w:ascii="宋体" w:hAnsi="宋体" w:eastAsia="宋体" w:cs="宋体"/>
                <w:bCs/>
                <w:color w:val="000000" w:themeColor="text1"/>
                <w:spacing w:val="16"/>
                <w:kern w:val="0"/>
                <w:sz w:val="24"/>
                <w:highlight w:val="none"/>
                <w14:textFill>
                  <w14:solidFill>
                    <w14:schemeClr w14:val="tx1"/>
                  </w14:solidFill>
                </w14:textFill>
              </w:rPr>
            </w:pPr>
          </w:p>
          <w:p w14:paraId="16D6F7F1">
            <w:pPr>
              <w:pStyle w:val="83"/>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r>
      <w:tr w14:paraId="171A6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noWrap w:val="0"/>
            <w:vAlign w:val="top"/>
          </w:tcPr>
          <w:p w14:paraId="00B6B573">
            <w:pPr>
              <w:pStyle w:val="83"/>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p>
        </w:tc>
        <w:tc>
          <w:tcPr>
            <w:tcW w:w="701" w:type="dxa"/>
            <w:noWrap w:val="0"/>
            <w:vAlign w:val="top"/>
          </w:tcPr>
          <w:p w14:paraId="1E3AACDB">
            <w:pPr>
              <w:pStyle w:val="83"/>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占地面积</w:t>
            </w:r>
          </w:p>
        </w:tc>
        <w:tc>
          <w:tcPr>
            <w:tcW w:w="910" w:type="dxa"/>
            <w:gridSpan w:val="2"/>
            <w:noWrap w:val="0"/>
            <w:vAlign w:val="top"/>
          </w:tcPr>
          <w:p w14:paraId="0C4CAE72">
            <w:pPr>
              <w:pStyle w:val="83"/>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p>
        </w:tc>
        <w:tc>
          <w:tcPr>
            <w:tcW w:w="1163" w:type="dxa"/>
            <w:noWrap w:val="0"/>
            <w:vAlign w:val="top"/>
          </w:tcPr>
          <w:p w14:paraId="11F31164">
            <w:pPr>
              <w:pStyle w:val="83"/>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建筑面积</w:t>
            </w:r>
          </w:p>
        </w:tc>
        <w:tc>
          <w:tcPr>
            <w:tcW w:w="1205" w:type="dxa"/>
            <w:gridSpan w:val="2"/>
            <w:noWrap w:val="0"/>
            <w:vAlign w:val="top"/>
          </w:tcPr>
          <w:p w14:paraId="0E9A18AF">
            <w:pPr>
              <w:pStyle w:val="83"/>
              <w:shd w:val="clear" w:color="auto" w:fill="FFFFFF"/>
              <w:spacing w:line="360" w:lineRule="auto"/>
              <w:ind w:firstLine="480" w:firstLineChars="20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 xml:space="preserve">平方米 </w:t>
            </w:r>
          </w:p>
          <w:p w14:paraId="4CD9EA7F">
            <w:pPr>
              <w:pStyle w:val="83"/>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□自有□租賃</w:t>
            </w:r>
          </w:p>
        </w:tc>
        <w:tc>
          <w:tcPr>
            <w:tcW w:w="2001" w:type="dxa"/>
            <w:gridSpan w:val="3"/>
            <w:noWrap w:val="0"/>
            <w:vAlign w:val="top"/>
          </w:tcPr>
          <w:p w14:paraId="25540FD5">
            <w:pPr>
              <w:pStyle w:val="83"/>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生产经营场所及场所的设施与设备</w:t>
            </w:r>
          </w:p>
        </w:tc>
        <w:tc>
          <w:tcPr>
            <w:tcW w:w="2151" w:type="dxa"/>
            <w:gridSpan w:val="2"/>
            <w:noWrap w:val="0"/>
            <w:vAlign w:val="top"/>
          </w:tcPr>
          <w:p w14:paraId="7EA88777">
            <w:pPr>
              <w:pStyle w:val="83"/>
              <w:shd w:val="clear" w:color="auto" w:fill="FFFFFF"/>
              <w:spacing w:before="0" w:beforeAutospacing="0" w:after="0" w:afterAutospacing="0" w:line="360" w:lineRule="auto"/>
              <w:rPr>
                <w:rFonts w:hint="eastAsia" w:ascii="宋体" w:hAnsi="宋体" w:eastAsia="宋体" w:cs="宋体"/>
                <w:bCs/>
                <w:color w:val="000000" w:themeColor="text1"/>
                <w:spacing w:val="16"/>
                <w:highlight w:val="none"/>
                <w14:textFill>
                  <w14:solidFill>
                    <w14:schemeClr w14:val="tx1"/>
                  </w14:solidFill>
                </w14:textFill>
              </w:rPr>
            </w:pPr>
          </w:p>
        </w:tc>
      </w:tr>
      <w:tr w14:paraId="005B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noWrap w:val="0"/>
            <w:vAlign w:val="top"/>
          </w:tcPr>
          <w:p w14:paraId="6542DEC5">
            <w:pPr>
              <w:pStyle w:val="83"/>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p>
        </w:tc>
        <w:tc>
          <w:tcPr>
            <w:tcW w:w="701" w:type="dxa"/>
            <w:noWrap w:val="0"/>
            <w:vAlign w:val="top"/>
          </w:tcPr>
          <w:p w14:paraId="326FBF07">
            <w:pPr>
              <w:pStyle w:val="83"/>
              <w:shd w:val="clear" w:color="auto" w:fill="FFFFFF"/>
              <w:spacing w:line="360" w:lineRule="auto"/>
              <w:ind w:left="2"/>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注册资金</w:t>
            </w:r>
          </w:p>
        </w:tc>
        <w:tc>
          <w:tcPr>
            <w:tcW w:w="910" w:type="dxa"/>
            <w:gridSpan w:val="2"/>
            <w:noWrap w:val="0"/>
            <w:vAlign w:val="top"/>
          </w:tcPr>
          <w:p w14:paraId="2385C3ED">
            <w:pPr>
              <w:pStyle w:val="83"/>
              <w:shd w:val="clear" w:color="auto" w:fill="FFFFFF"/>
              <w:spacing w:line="360" w:lineRule="auto"/>
              <w:ind w:left="2"/>
              <w:rPr>
                <w:rFonts w:hint="eastAsia" w:ascii="宋体" w:hAnsi="宋体" w:eastAsia="宋体" w:cs="宋体"/>
                <w:bCs/>
                <w:color w:val="000000" w:themeColor="text1"/>
                <w:highlight w:val="none"/>
                <w14:textFill>
                  <w14:solidFill>
                    <w14:schemeClr w14:val="tx1"/>
                  </w14:solidFill>
                </w14:textFill>
              </w:rPr>
            </w:pPr>
          </w:p>
        </w:tc>
        <w:tc>
          <w:tcPr>
            <w:tcW w:w="1163" w:type="dxa"/>
            <w:noWrap w:val="0"/>
            <w:vAlign w:val="top"/>
          </w:tcPr>
          <w:p w14:paraId="312FB3CC">
            <w:pPr>
              <w:pStyle w:val="83"/>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注册发证</w:t>
            </w:r>
            <w:r>
              <w:rPr>
                <w:rFonts w:hint="eastAsia" w:ascii="宋体" w:hAnsi="宋体" w:eastAsia="宋体" w:cs="宋体"/>
                <w:bCs/>
                <w:color w:val="000000" w:themeColor="text1"/>
                <w:spacing w:val="27"/>
                <w:highlight w:val="none"/>
                <w14:textFill>
                  <w14:solidFill>
                    <w14:schemeClr w14:val="tx1"/>
                  </w14:solidFill>
                </w14:textFill>
              </w:rPr>
              <w:t>机关</w:t>
            </w:r>
          </w:p>
        </w:tc>
        <w:tc>
          <w:tcPr>
            <w:tcW w:w="3206" w:type="dxa"/>
            <w:gridSpan w:val="5"/>
            <w:noWrap w:val="0"/>
            <w:vAlign w:val="top"/>
          </w:tcPr>
          <w:p w14:paraId="36FAE548">
            <w:pPr>
              <w:widowControl/>
              <w:spacing w:line="360" w:lineRule="auto"/>
              <w:jc w:val="left"/>
              <w:rPr>
                <w:rFonts w:hint="eastAsia" w:ascii="宋体" w:hAnsi="宋体" w:eastAsia="宋体" w:cs="宋体"/>
                <w:bCs/>
                <w:color w:val="000000" w:themeColor="text1"/>
                <w:kern w:val="0"/>
                <w:sz w:val="24"/>
                <w:highlight w:val="none"/>
                <w14:textFill>
                  <w14:solidFill>
                    <w14:schemeClr w14:val="tx1"/>
                  </w14:solidFill>
                </w14:textFill>
              </w:rPr>
            </w:pPr>
          </w:p>
          <w:p w14:paraId="7B097FF6">
            <w:pPr>
              <w:pStyle w:val="83"/>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p>
        </w:tc>
        <w:tc>
          <w:tcPr>
            <w:tcW w:w="1218" w:type="dxa"/>
            <w:noWrap w:val="0"/>
            <w:vAlign w:val="top"/>
          </w:tcPr>
          <w:p w14:paraId="3BEA13D7">
            <w:pPr>
              <w:pStyle w:val="83"/>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公司成</w:t>
            </w:r>
            <w:r>
              <w:rPr>
                <w:rFonts w:hint="eastAsia" w:ascii="宋体" w:hAnsi="宋体" w:eastAsia="宋体" w:cs="宋体"/>
                <w:bCs/>
                <w:color w:val="000000" w:themeColor="text1"/>
                <w:spacing w:val="12"/>
                <w:highlight w:val="none"/>
                <w14:textFill>
                  <w14:solidFill>
                    <w14:schemeClr w14:val="tx1"/>
                  </w14:solidFill>
                </w14:textFill>
              </w:rPr>
              <w:t>立时间</w:t>
            </w:r>
          </w:p>
        </w:tc>
        <w:tc>
          <w:tcPr>
            <w:tcW w:w="933" w:type="dxa"/>
            <w:noWrap w:val="0"/>
            <w:vAlign w:val="top"/>
          </w:tcPr>
          <w:p w14:paraId="1E85F9A7">
            <w:pPr>
              <w:pStyle w:val="83"/>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p>
        </w:tc>
      </w:tr>
      <w:tr w14:paraId="31A1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noWrap w:val="0"/>
            <w:vAlign w:val="top"/>
          </w:tcPr>
          <w:p w14:paraId="1AFA4926">
            <w:pPr>
              <w:pStyle w:val="83"/>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p>
        </w:tc>
        <w:tc>
          <w:tcPr>
            <w:tcW w:w="701" w:type="dxa"/>
            <w:noWrap w:val="0"/>
            <w:vAlign w:val="top"/>
          </w:tcPr>
          <w:p w14:paraId="3AABDC74">
            <w:pPr>
              <w:pStyle w:val="83"/>
              <w:shd w:val="clear" w:color="auto" w:fill="FFFFFF"/>
              <w:spacing w:line="360" w:lineRule="auto"/>
              <w:ind w:left="2"/>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核准经营范围</w:t>
            </w:r>
          </w:p>
        </w:tc>
        <w:tc>
          <w:tcPr>
            <w:tcW w:w="7430" w:type="dxa"/>
            <w:gridSpan w:val="10"/>
            <w:noWrap w:val="0"/>
            <w:vAlign w:val="top"/>
          </w:tcPr>
          <w:p w14:paraId="647A6F38">
            <w:pPr>
              <w:pStyle w:val="83"/>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p>
        </w:tc>
      </w:tr>
      <w:tr w14:paraId="1A236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noWrap w:val="0"/>
            <w:vAlign w:val="top"/>
          </w:tcPr>
          <w:p w14:paraId="6F038BA8">
            <w:pPr>
              <w:pStyle w:val="83"/>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p>
        </w:tc>
        <w:tc>
          <w:tcPr>
            <w:tcW w:w="8131" w:type="dxa"/>
            <w:gridSpan w:val="11"/>
            <w:noWrap w:val="0"/>
            <w:vAlign w:val="top"/>
          </w:tcPr>
          <w:p w14:paraId="046B1924">
            <w:pPr>
              <w:pStyle w:val="83"/>
              <w:shd w:val="clear" w:color="auto" w:fill="FFFFFF"/>
              <w:spacing w:line="360" w:lineRule="auto"/>
              <w:rPr>
                <w:rFonts w:hint="eastAsia" w:ascii="宋体" w:hAnsi="宋体" w:eastAsia="宋体" w:cs="宋体"/>
                <w:bCs/>
                <w:color w:val="000000" w:themeColor="text1"/>
                <w:spacing w:val="13"/>
                <w:highlight w:val="none"/>
                <w14:textFill>
                  <w14:solidFill>
                    <w14:schemeClr w14:val="tx1"/>
                  </w14:solidFill>
                </w14:textFill>
              </w:rPr>
            </w:pPr>
            <w:r>
              <w:rPr>
                <w:rFonts w:hint="eastAsia" w:ascii="宋体" w:hAnsi="宋体" w:eastAsia="宋体" w:cs="宋体"/>
                <w:bCs/>
                <w:color w:val="000000" w:themeColor="text1"/>
                <w:spacing w:val="13"/>
                <w:highlight w:val="none"/>
                <w14:textFill>
                  <w14:solidFill>
                    <w14:schemeClr w14:val="tx1"/>
                  </w14:solidFill>
                </w14:textFill>
              </w:rPr>
              <w:t>发展历程及主要荣誉：</w:t>
            </w:r>
          </w:p>
        </w:tc>
      </w:tr>
      <w:tr w14:paraId="3B0D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noWrap w:val="0"/>
            <w:vAlign w:val="top"/>
          </w:tcPr>
          <w:p w14:paraId="6A9F0591">
            <w:pPr>
              <w:pStyle w:val="83"/>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2．</w:t>
            </w:r>
          </w:p>
          <w:p w14:paraId="06F88D06">
            <w:pPr>
              <w:pStyle w:val="83"/>
              <w:shd w:val="clear" w:color="auto" w:fill="FFFFFF"/>
              <w:spacing w:line="360" w:lineRule="auto"/>
              <w:ind w:left="107"/>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企</w:t>
            </w:r>
            <w:r>
              <w:rPr>
                <w:rFonts w:hint="eastAsia" w:ascii="宋体" w:hAnsi="宋体" w:eastAsia="宋体" w:cs="宋体"/>
                <w:bCs/>
                <w:color w:val="000000" w:themeColor="text1"/>
                <w:spacing w:val="12"/>
                <w:highlight w:val="none"/>
                <w14:textFill>
                  <w14:solidFill>
                    <w14:schemeClr w14:val="tx1"/>
                  </w14:solidFill>
                </w14:textFill>
              </w:rPr>
              <w:t>业有关资质获证情况</w:t>
            </w:r>
          </w:p>
        </w:tc>
        <w:tc>
          <w:tcPr>
            <w:tcW w:w="1553" w:type="dxa"/>
            <w:gridSpan w:val="2"/>
            <w:vMerge w:val="restart"/>
            <w:noWrap w:val="0"/>
            <w:vAlign w:val="top"/>
          </w:tcPr>
          <w:p w14:paraId="24D59C67">
            <w:pPr>
              <w:pStyle w:val="83"/>
              <w:shd w:val="clear" w:color="auto" w:fill="FFFFFF"/>
              <w:spacing w:before="0" w:beforeAutospacing="0" w:after="0" w:afterAutospacing="0"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2"/>
                <w:highlight w:val="none"/>
                <w14:textFill>
                  <w14:solidFill>
                    <w14:schemeClr w14:val="tx1"/>
                  </w14:solidFill>
                </w14:textFill>
              </w:rPr>
              <w:t>产品生产许可证情况</w:t>
            </w:r>
            <w:r>
              <w:rPr>
                <w:rFonts w:hint="eastAsia" w:ascii="宋体" w:hAnsi="宋体" w:eastAsia="宋体" w:cs="宋体"/>
                <w:bCs/>
                <w:color w:val="000000" w:themeColor="text1"/>
                <w:spacing w:val="41"/>
                <w:highlight w:val="none"/>
                <w14:textFill>
                  <w14:solidFill>
                    <w14:schemeClr w14:val="tx1"/>
                  </w14:solidFill>
                </w14:textFill>
              </w:rPr>
              <w:t>（对需获得生产许可证的</w:t>
            </w:r>
            <w:r>
              <w:rPr>
                <w:rFonts w:hint="eastAsia" w:ascii="宋体" w:hAnsi="宋体" w:eastAsia="宋体" w:cs="宋体"/>
                <w:bCs/>
                <w:color w:val="000000" w:themeColor="text1"/>
                <w:spacing w:val="11"/>
                <w:highlight w:val="none"/>
                <w14:textFill>
                  <w14:solidFill>
                    <w14:schemeClr w14:val="tx1"/>
                  </w14:solidFill>
                </w14:textFill>
              </w:rPr>
              <w:t>产品要填写此栏）</w:t>
            </w:r>
          </w:p>
        </w:tc>
        <w:tc>
          <w:tcPr>
            <w:tcW w:w="1333" w:type="dxa"/>
            <w:gridSpan w:val="3"/>
            <w:noWrap w:val="0"/>
            <w:vAlign w:val="top"/>
          </w:tcPr>
          <w:p w14:paraId="2566770F">
            <w:pPr>
              <w:pStyle w:val="83"/>
              <w:shd w:val="clear" w:color="auto" w:fill="FFFFFF"/>
              <w:spacing w:line="360" w:lineRule="auto"/>
              <w:ind w:right="-78" w:rightChars="-37"/>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产品名称</w:t>
            </w:r>
          </w:p>
        </w:tc>
        <w:tc>
          <w:tcPr>
            <w:tcW w:w="1418" w:type="dxa"/>
            <w:gridSpan w:val="2"/>
            <w:noWrap w:val="0"/>
            <w:vAlign w:val="top"/>
          </w:tcPr>
          <w:p w14:paraId="05817805">
            <w:pPr>
              <w:pStyle w:val="83"/>
              <w:shd w:val="clear" w:color="auto" w:fill="FFFFFF"/>
              <w:spacing w:before="0" w:beforeAutospacing="0" w:after="0" w:afterAutospacing="0"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发证机关</w:t>
            </w:r>
          </w:p>
        </w:tc>
        <w:tc>
          <w:tcPr>
            <w:tcW w:w="1276" w:type="dxa"/>
            <w:noWrap w:val="0"/>
            <w:vAlign w:val="top"/>
          </w:tcPr>
          <w:p w14:paraId="49A7B8EA">
            <w:pPr>
              <w:pStyle w:val="83"/>
              <w:shd w:val="clear" w:color="auto" w:fill="FFFFFF"/>
              <w:spacing w:line="360" w:lineRule="auto"/>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编号</w:t>
            </w:r>
          </w:p>
        </w:tc>
        <w:tc>
          <w:tcPr>
            <w:tcW w:w="1618" w:type="dxa"/>
            <w:gridSpan w:val="2"/>
            <w:noWrap w:val="0"/>
            <w:vAlign w:val="top"/>
          </w:tcPr>
          <w:p w14:paraId="31DA7D28">
            <w:pPr>
              <w:pStyle w:val="83"/>
              <w:shd w:val="clear" w:color="auto" w:fill="FFFFFF"/>
              <w:spacing w:line="360" w:lineRule="auto"/>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发证时间</w:t>
            </w:r>
          </w:p>
        </w:tc>
        <w:tc>
          <w:tcPr>
            <w:tcW w:w="933" w:type="dxa"/>
            <w:noWrap w:val="0"/>
            <w:vAlign w:val="top"/>
          </w:tcPr>
          <w:p w14:paraId="763E02FB">
            <w:pPr>
              <w:pStyle w:val="83"/>
              <w:shd w:val="clear" w:color="auto" w:fill="FFFFFF"/>
              <w:spacing w:before="0" w:beforeAutospacing="0" w:after="0" w:afterAutospacing="0" w:line="360" w:lineRule="auto"/>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期限</w:t>
            </w:r>
          </w:p>
        </w:tc>
      </w:tr>
      <w:tr w14:paraId="5E348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noWrap w:val="0"/>
            <w:vAlign w:val="top"/>
          </w:tcPr>
          <w:p w14:paraId="574D47E3">
            <w:pPr>
              <w:pStyle w:val="83"/>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p>
        </w:tc>
        <w:tc>
          <w:tcPr>
            <w:tcW w:w="1553" w:type="dxa"/>
            <w:gridSpan w:val="2"/>
            <w:vMerge w:val="continue"/>
            <w:noWrap w:val="0"/>
            <w:vAlign w:val="top"/>
          </w:tcPr>
          <w:p w14:paraId="2841EC36">
            <w:pPr>
              <w:pStyle w:val="83"/>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p>
        </w:tc>
        <w:tc>
          <w:tcPr>
            <w:tcW w:w="1333" w:type="dxa"/>
            <w:gridSpan w:val="3"/>
            <w:noWrap w:val="0"/>
            <w:vAlign w:val="top"/>
          </w:tcPr>
          <w:p w14:paraId="766D2DD9">
            <w:pPr>
              <w:pStyle w:val="83"/>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p>
        </w:tc>
        <w:tc>
          <w:tcPr>
            <w:tcW w:w="1418" w:type="dxa"/>
            <w:gridSpan w:val="2"/>
            <w:noWrap w:val="0"/>
            <w:vAlign w:val="top"/>
          </w:tcPr>
          <w:p w14:paraId="40181B94">
            <w:pPr>
              <w:pStyle w:val="83"/>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p>
        </w:tc>
        <w:tc>
          <w:tcPr>
            <w:tcW w:w="1276" w:type="dxa"/>
            <w:noWrap w:val="0"/>
            <w:vAlign w:val="top"/>
          </w:tcPr>
          <w:p w14:paraId="7626EBEC">
            <w:pPr>
              <w:pStyle w:val="83"/>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p>
        </w:tc>
        <w:tc>
          <w:tcPr>
            <w:tcW w:w="2551" w:type="dxa"/>
            <w:gridSpan w:val="3"/>
            <w:noWrap w:val="0"/>
            <w:vAlign w:val="top"/>
          </w:tcPr>
          <w:p w14:paraId="2C7E7D8B">
            <w:pPr>
              <w:pStyle w:val="83"/>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p>
        </w:tc>
      </w:tr>
      <w:tr w14:paraId="2ED17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noWrap w:val="0"/>
            <w:vAlign w:val="top"/>
          </w:tcPr>
          <w:p w14:paraId="1294D9ED">
            <w:pPr>
              <w:pStyle w:val="83"/>
              <w:shd w:val="clear" w:color="auto" w:fill="FFFFFF"/>
              <w:spacing w:line="360" w:lineRule="auto"/>
              <w:ind w:left="107"/>
              <w:rPr>
                <w:rFonts w:hint="eastAsia" w:ascii="宋体" w:hAnsi="宋体" w:eastAsia="宋体" w:cs="宋体"/>
                <w:bCs/>
                <w:color w:val="000000" w:themeColor="text1"/>
                <w:spacing w:val="16"/>
                <w:highlight w:val="none"/>
                <w14:textFill>
                  <w14:solidFill>
                    <w14:schemeClr w14:val="tx1"/>
                  </w14:solidFill>
                </w14:textFill>
              </w:rPr>
            </w:pPr>
          </w:p>
        </w:tc>
        <w:tc>
          <w:tcPr>
            <w:tcW w:w="1553" w:type="dxa"/>
            <w:gridSpan w:val="2"/>
            <w:noWrap w:val="0"/>
            <w:vAlign w:val="top"/>
          </w:tcPr>
          <w:p w14:paraId="51B3575D">
            <w:pPr>
              <w:pStyle w:val="83"/>
              <w:shd w:val="clear" w:color="auto" w:fill="FFFFFF"/>
              <w:spacing w:before="0" w:beforeAutospacing="0" w:after="0" w:afterAutospacing="0" w:line="360" w:lineRule="auto"/>
              <w:ind w:right="-107" w:rightChars="-51"/>
              <w:rPr>
                <w:rFonts w:hint="eastAsia" w:ascii="宋体" w:hAnsi="宋体" w:eastAsia="宋体" w:cs="宋体"/>
                <w:bCs/>
                <w:color w:val="000000" w:themeColor="text1"/>
                <w:spacing w:val="41"/>
                <w:highlight w:val="none"/>
                <w14:textFill>
                  <w14:solidFill>
                    <w14:schemeClr w14:val="tx1"/>
                  </w14:solidFill>
                </w14:textFill>
              </w:rPr>
            </w:pPr>
            <w:r>
              <w:rPr>
                <w:rFonts w:hint="eastAsia" w:ascii="宋体" w:hAnsi="宋体" w:eastAsia="宋体" w:cs="宋体"/>
                <w:bCs/>
                <w:color w:val="000000" w:themeColor="text1"/>
                <w:spacing w:val="41"/>
                <w:highlight w:val="none"/>
                <w14:textFill>
                  <w14:solidFill>
                    <w14:schemeClr w14:val="tx1"/>
                  </w14:solidFill>
                </w14:textFill>
              </w:rPr>
              <w:t>企业通过质量体系、环保</w:t>
            </w:r>
            <w:r>
              <w:rPr>
                <w:rFonts w:hint="eastAsia" w:ascii="宋体" w:hAnsi="宋体" w:eastAsia="宋体" w:cs="宋体"/>
                <w:bCs/>
                <w:color w:val="000000" w:themeColor="text1"/>
                <w:spacing w:val="11"/>
                <w:highlight w:val="none"/>
                <w14:textFill>
                  <w14:solidFill>
                    <w14:schemeClr w14:val="tx1"/>
                  </w14:solidFill>
                </w14:textFill>
              </w:rPr>
              <w:t>体系、计量等认证情况</w:t>
            </w:r>
          </w:p>
        </w:tc>
        <w:tc>
          <w:tcPr>
            <w:tcW w:w="6578" w:type="dxa"/>
            <w:gridSpan w:val="9"/>
            <w:noWrap w:val="0"/>
            <w:vAlign w:val="top"/>
          </w:tcPr>
          <w:p w14:paraId="78D9125D">
            <w:pPr>
              <w:pStyle w:val="83"/>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r>
      <w:tr w14:paraId="012D4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noWrap w:val="0"/>
            <w:vAlign w:val="top"/>
          </w:tcPr>
          <w:p w14:paraId="04E9124A">
            <w:pPr>
              <w:pStyle w:val="83"/>
              <w:shd w:val="clear" w:color="auto" w:fill="FFFFFF"/>
              <w:spacing w:line="360" w:lineRule="auto"/>
              <w:ind w:left="107"/>
              <w:rPr>
                <w:rFonts w:hint="eastAsia" w:ascii="宋体" w:hAnsi="宋体" w:eastAsia="宋体" w:cs="宋体"/>
                <w:bCs/>
                <w:color w:val="000000" w:themeColor="text1"/>
                <w:spacing w:val="27"/>
                <w:highlight w:val="none"/>
                <w14:textFill>
                  <w14:solidFill>
                    <w14:schemeClr w14:val="tx1"/>
                  </w14:solidFill>
                </w14:textFill>
              </w:rPr>
            </w:pPr>
          </w:p>
        </w:tc>
        <w:tc>
          <w:tcPr>
            <w:tcW w:w="1553" w:type="dxa"/>
            <w:gridSpan w:val="2"/>
            <w:noWrap w:val="0"/>
            <w:vAlign w:val="top"/>
          </w:tcPr>
          <w:p w14:paraId="30D91E92">
            <w:pPr>
              <w:pStyle w:val="83"/>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0"/>
                <w:highlight w:val="none"/>
                <w14:textFill>
                  <w14:solidFill>
                    <w14:schemeClr w14:val="tx1"/>
                  </w14:solidFill>
                </w14:textFill>
              </w:rPr>
              <w:t>企业获得专利情况</w:t>
            </w:r>
          </w:p>
        </w:tc>
        <w:tc>
          <w:tcPr>
            <w:tcW w:w="6578" w:type="dxa"/>
            <w:gridSpan w:val="9"/>
            <w:noWrap w:val="0"/>
            <w:vAlign w:val="top"/>
          </w:tcPr>
          <w:p w14:paraId="117D57D5">
            <w:pPr>
              <w:pStyle w:val="83"/>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r>
    </w:tbl>
    <w:p w14:paraId="7DFDE4BF">
      <w:pPr>
        <w:pStyle w:val="83"/>
        <w:shd w:val="clear" w:color="auto" w:fill="FFFFFF"/>
        <w:spacing w:before="0" w:beforeAutospacing="0" w:after="0" w:afterAutospacing="0" w:line="360" w:lineRule="auto"/>
        <w:rPr>
          <w:rFonts w:hint="eastAsia" w:ascii="宋体" w:hAnsi="宋体" w:eastAsia="宋体" w:cs="宋体"/>
          <w:color w:val="000000" w:themeColor="text1"/>
          <w:highlight w:val="none"/>
          <w14:textFill>
            <w14:solidFill>
              <w14:schemeClr w14:val="tx1"/>
            </w14:solidFill>
          </w14:textFill>
        </w:rPr>
      </w:pPr>
    </w:p>
    <w:p w14:paraId="6CC03440">
      <w:pPr>
        <w:pStyle w:val="83"/>
        <w:shd w:val="clear" w:color="auto" w:fill="FFFFFF"/>
        <w:spacing w:before="0" w:beforeAutospacing="0" w:after="0" w:afterAutospacing="0"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要求：</w:t>
      </w:r>
    </w:p>
    <w:p w14:paraId="6667F8FA">
      <w:pPr>
        <w:pStyle w:val="83"/>
        <w:shd w:val="clear" w:color="auto" w:fill="FFFFFF"/>
        <w:spacing w:before="0" w:beforeAutospacing="0" w:after="0" w:afterAutospacing="0" w:line="360" w:lineRule="auto"/>
        <w:ind w:firstLine="424" w:firstLineChars="2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1.姓名栏必须将所有股东都统计在内，若非股份公司此行（第三行）无需填写；</w:t>
      </w:r>
    </w:p>
    <w:p w14:paraId="5A33240D">
      <w:pPr>
        <w:rPr>
          <w:rFonts w:hint="eastAsia" w:ascii="宋体" w:hAnsi="宋体" w:eastAsia="宋体" w:cs="宋体"/>
          <w:color w:val="000000" w:themeColor="text1"/>
          <w:sz w:val="24"/>
          <w:highlight w:val="none"/>
          <w14:textFill>
            <w14:solidFill>
              <w14:schemeClr w14:val="tx1"/>
            </w14:solidFill>
          </w14:textFill>
        </w:rPr>
      </w:pPr>
    </w:p>
    <w:p w14:paraId="6F69826E">
      <w:pPr>
        <w:ind w:firstLine="424" w:firstLineChars="177"/>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112F2EB">
      <w:pPr>
        <w:ind w:left="420"/>
        <w:rPr>
          <w:rFonts w:hint="eastAsia" w:ascii="宋体" w:hAnsi="宋体" w:eastAsia="宋体" w:cs="宋体"/>
          <w:color w:val="000000" w:themeColor="text1"/>
          <w:sz w:val="24"/>
          <w:highlight w:val="none"/>
          <w14:textFill>
            <w14:solidFill>
              <w14:schemeClr w14:val="tx1"/>
            </w14:solidFill>
          </w14:textFill>
        </w:rPr>
      </w:pPr>
    </w:p>
    <w:p w14:paraId="492480F4">
      <w:pPr>
        <w:ind w:firstLine="424" w:firstLineChars="17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磋商供应商代表</w:t>
      </w:r>
      <w:r>
        <w:rPr>
          <w:rFonts w:hint="eastAsia" w:ascii="宋体" w:hAnsi="宋体" w:cs="宋体"/>
          <w:color w:val="000000" w:themeColor="text1"/>
          <w:sz w:val="24"/>
          <w:highlight w:val="none"/>
          <w:lang w:eastAsia="zh-CN"/>
          <w14:textFill>
            <w14:solidFill>
              <w14:schemeClr w14:val="tx1"/>
            </w14:solidFill>
          </w14:textFill>
        </w:rPr>
        <w:t>签字或盖章</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031DC820">
      <w:pPr>
        <w:ind w:firstLine="435"/>
        <w:rPr>
          <w:rFonts w:hint="eastAsia" w:ascii="宋体" w:hAnsi="宋体" w:eastAsia="宋体" w:cs="宋体"/>
          <w:color w:val="000000" w:themeColor="text1"/>
          <w:sz w:val="24"/>
          <w:highlight w:val="none"/>
          <w14:textFill>
            <w14:solidFill>
              <w14:schemeClr w14:val="tx1"/>
            </w14:solidFill>
          </w14:textFill>
        </w:rPr>
      </w:pPr>
    </w:p>
    <w:p w14:paraId="708C9DC6">
      <w:pPr>
        <w:ind w:firstLine="424" w:firstLineChars="177"/>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        务：</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D1C3781">
      <w:pPr>
        <w:rPr>
          <w:rFonts w:hint="eastAsia" w:ascii="宋体" w:hAnsi="宋体" w:eastAsia="宋体" w:cs="宋体"/>
          <w:color w:val="000000" w:themeColor="text1"/>
          <w:sz w:val="24"/>
          <w:highlight w:val="none"/>
          <w14:textFill>
            <w14:solidFill>
              <w14:schemeClr w14:val="tx1"/>
            </w14:solidFill>
          </w14:textFill>
        </w:rPr>
      </w:pPr>
    </w:p>
    <w:p w14:paraId="481F5965">
      <w:pPr>
        <w:pStyle w:val="83"/>
        <w:shd w:val="clear" w:color="auto" w:fill="FFFFFF"/>
        <w:spacing w:before="0" w:beforeAutospacing="0" w:after="0" w:afterAutospacing="0"/>
        <w:ind w:firstLine="424" w:firstLineChars="177"/>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        期：</w:t>
      </w:r>
      <w:r>
        <w:rPr>
          <w:rFonts w:hint="eastAsia" w:ascii="宋体" w:hAnsi="宋体" w:eastAsia="宋体" w:cs="宋体"/>
          <w:color w:val="000000" w:themeColor="text1"/>
          <w:highlight w:val="none"/>
          <w:u w:val="single"/>
          <w14:textFill>
            <w14:solidFill>
              <w14:schemeClr w14:val="tx1"/>
            </w14:solidFill>
          </w14:textFill>
        </w:rPr>
        <w:t xml:space="preserve">                            </w:t>
      </w:r>
    </w:p>
    <w:p w14:paraId="1E554274">
      <w:pPr>
        <w:pStyle w:val="4"/>
        <w:jc w:val="center"/>
        <w:rPr>
          <w:rFonts w:hint="eastAsia" w:ascii="宋体" w:hAnsi="宋体" w:eastAsia="宋体" w:cs="宋体"/>
          <w:b w:val="0"/>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附件5：</w:t>
      </w:r>
      <w:r>
        <w:rPr>
          <w:rFonts w:hint="eastAsia" w:ascii="宋体" w:hAnsi="宋体" w:eastAsia="宋体" w:cs="宋体"/>
          <w:b w:val="0"/>
          <w:color w:val="000000" w:themeColor="text1"/>
          <w:highlight w:val="none"/>
          <w14:textFill>
            <w14:solidFill>
              <w14:schemeClr w14:val="tx1"/>
            </w14:solidFill>
          </w14:textFill>
        </w:rPr>
        <w:t>项目实施人员一览表</w:t>
      </w:r>
    </w:p>
    <w:p w14:paraId="4A458D6C">
      <w:pPr>
        <w:snapToGrid w:val="0"/>
        <w:spacing w:before="156" w:beforeLines="50" w:after="50" w:line="360" w:lineRule="auto"/>
        <w:ind w:firstLine="2400" w:firstLineChars="10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（主要从业人员及其技术资格）</w:t>
      </w:r>
    </w:p>
    <w:tbl>
      <w:tblPr>
        <w:tblStyle w:val="37"/>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1B290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461" w:type="dxa"/>
            <w:tcBorders>
              <w:top w:val="single" w:color="auto" w:sz="4" w:space="0"/>
              <w:left w:val="single" w:color="auto" w:sz="4" w:space="0"/>
              <w:bottom w:val="single" w:color="auto" w:sz="4" w:space="0"/>
              <w:right w:val="single" w:color="auto" w:sz="4" w:space="0"/>
            </w:tcBorders>
            <w:noWrap w:val="0"/>
            <w:vAlign w:val="center"/>
          </w:tcPr>
          <w:p w14:paraId="6E5D48F3">
            <w:pP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noWrap w:val="0"/>
            <w:vAlign w:val="center"/>
          </w:tcPr>
          <w:p w14:paraId="73BD05ED">
            <w:pP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24F9E0C2">
            <w:pP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339023D9">
            <w:pP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1B23D42">
            <w:pP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6F7B016">
            <w:pP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1CB38EF">
            <w:pPr>
              <w:snapToGrid w:val="0"/>
              <w:spacing w:before="156" w:beforeLines="50" w:after="50"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8283B12">
            <w:pPr>
              <w:snapToGrid w:val="0"/>
              <w:spacing w:before="156" w:beforeLines="50" w:after="50"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劳动合同编号</w:t>
            </w:r>
          </w:p>
        </w:tc>
      </w:tr>
      <w:tr w14:paraId="640FB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14:paraId="038EE7D0">
            <w:pP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44AA4B8B">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68E296EE">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0819DF0B">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2472DE6">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C6B8367">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5837786">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1FCC9068">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14:paraId="64762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14:paraId="620970FE">
            <w:pP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40671DA8">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2CD88432">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1F5A580D">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22C6363">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51B3E65">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021BDA3">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12A15A66">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14:paraId="157430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14:paraId="2CEEF32E">
            <w:pP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162BD6E0">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6D70CBA3">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365AAB5D">
            <w:pPr>
              <w:pStyle w:val="21"/>
              <w:snapToGrid w:val="0"/>
              <w:spacing w:before="156" w:beforeLines="50" w:after="50" w:line="360" w:lineRule="auto"/>
              <w:ind w:left="5250"/>
              <w:rPr>
                <w:rFonts w:hint="eastAsia" w:ascii="宋体" w:hAnsi="宋体" w:eastAsia="宋体" w:cs="宋体"/>
                <w:b/>
                <w:color w:val="000000" w:themeColor="text1"/>
                <w:kern w:val="4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A4E27B0">
            <w:pPr>
              <w:pStyle w:val="21"/>
              <w:snapToGrid w:val="0"/>
              <w:spacing w:before="156" w:beforeLines="50" w:after="50" w:line="360" w:lineRule="auto"/>
              <w:ind w:left="5250"/>
              <w:rPr>
                <w:rFonts w:hint="eastAsia" w:ascii="宋体" w:hAnsi="宋体" w:eastAsia="宋体" w:cs="宋体"/>
                <w:b/>
                <w:color w:val="000000" w:themeColor="text1"/>
                <w:kern w:val="4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80640DE">
            <w:pPr>
              <w:pStyle w:val="21"/>
              <w:spacing w:line="360" w:lineRule="auto"/>
              <w:ind w:left="5250"/>
              <w:rPr>
                <w:rFonts w:hint="eastAsia" w:ascii="宋体" w:hAnsi="宋体" w:eastAsia="宋体" w:cs="宋体"/>
                <w:color w:val="000000" w:themeColor="text1"/>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0F6D519">
            <w:pP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3D800498">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14:paraId="24CAC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14:paraId="055C69C2">
            <w:pP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51E267E7">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0F91C078">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5AB35399">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4938983">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DACF34E">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B1E266C">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4FF664A3">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14:paraId="544D1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14:paraId="504D0CE7">
            <w:pP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5E4BF03A">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7715D0D7">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43321653">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4060E00">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32E4633">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A561809">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797817D6">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bl>
    <w:p w14:paraId="44E2CB95">
      <w:pPr>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要求：</w:t>
      </w:r>
    </w:p>
    <w:p w14:paraId="5AC2D009">
      <w:pPr>
        <w:spacing w:line="360" w:lineRule="auto"/>
        <w:ind w:left="43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在填写时，如本表格不适合供应商的实际情况，可根据本表格式自行划表填写。</w:t>
      </w:r>
    </w:p>
    <w:p w14:paraId="6F3E2BD4">
      <w:pPr>
        <w:pStyle w:val="65"/>
        <w:spacing w:line="360" w:lineRule="auto"/>
        <w:ind w:left="424" w:leftChars="20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2.附人员证书复印件；</w:t>
      </w:r>
    </w:p>
    <w:p w14:paraId="5D83AB1D">
      <w:pPr>
        <w:pStyle w:val="65"/>
        <w:spacing w:line="360" w:lineRule="auto"/>
        <w:ind w:left="424" w:hanging="424" w:hangingChars="20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3.出具上述人员在本单位服务的外部证明，如：磋商截止日之前六个月以内的代缴个税税单、参加社会保险的《投保单》或《社会保险参保人员证明》等。</w:t>
      </w:r>
    </w:p>
    <w:p w14:paraId="47EE0DA3">
      <w:pPr>
        <w:snapToGrid w:val="0"/>
        <w:spacing w:before="50" w:after="156" w:afterLines="50" w:line="360" w:lineRule="auto"/>
        <w:jc w:val="left"/>
        <w:rPr>
          <w:rFonts w:hint="eastAsia" w:ascii="宋体" w:hAnsi="宋体" w:eastAsia="宋体" w:cs="宋体"/>
          <w:color w:val="000000" w:themeColor="text1"/>
          <w:sz w:val="24"/>
          <w:szCs w:val="20"/>
          <w:highlight w:val="none"/>
          <w14:textFill>
            <w14:solidFill>
              <w14:schemeClr w14:val="tx1"/>
            </w14:solidFill>
          </w14:textFill>
        </w:rPr>
      </w:pPr>
    </w:p>
    <w:p w14:paraId="474213B8">
      <w:pPr>
        <w:spacing w:line="360" w:lineRule="auto"/>
        <w:ind w:left="42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1F027F1C">
      <w:pPr>
        <w:spacing w:line="360" w:lineRule="auto"/>
        <w:ind w:lef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3FCB5F9B">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磋商供应商代表</w:t>
      </w:r>
      <w:r>
        <w:rPr>
          <w:rFonts w:hint="eastAsia" w:ascii="宋体" w:hAnsi="宋体" w:cs="宋体"/>
          <w:color w:val="000000" w:themeColor="text1"/>
          <w:sz w:val="24"/>
          <w:highlight w:val="none"/>
          <w:lang w:eastAsia="zh-CN"/>
          <w14:textFill>
            <w14:solidFill>
              <w14:schemeClr w14:val="tx1"/>
            </w14:solidFill>
          </w14:textFill>
        </w:rPr>
        <w:t>签字或盖章</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04B2A296">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14:paraId="7BE9F663">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        务：</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FCBEE8B">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14:paraId="15C29E77">
      <w:pPr>
        <w:spacing w:line="360" w:lineRule="auto"/>
        <w:ind w:firstLine="435"/>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083D92D0">
      <w:pPr>
        <w:pStyle w:val="4"/>
        <w:jc w:val="center"/>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附件6：</w:t>
      </w:r>
      <w:r>
        <w:rPr>
          <w:rFonts w:hint="eastAsia" w:ascii="宋体" w:hAnsi="宋体" w:eastAsia="宋体" w:cs="宋体"/>
          <w:b w:val="0"/>
          <w:bCs w:val="0"/>
          <w:color w:val="000000" w:themeColor="text1"/>
          <w:highlight w:val="none"/>
          <w14:textFill>
            <w14:solidFill>
              <w14:schemeClr w14:val="tx1"/>
            </w14:solidFill>
          </w14:textFill>
        </w:rPr>
        <w:t>项目负责人资格情况表</w:t>
      </w:r>
    </w:p>
    <w:p w14:paraId="5C9A3A9B">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采购项目：                                            采购编号：</w:t>
      </w:r>
    </w:p>
    <w:tbl>
      <w:tblPr>
        <w:tblStyle w:val="37"/>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0BC39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noWrap w:val="0"/>
            <w:vAlign w:val="center"/>
          </w:tcPr>
          <w:p w14:paraId="16C9EE63">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noWrap w:val="0"/>
            <w:vAlign w:val="center"/>
          </w:tcPr>
          <w:p w14:paraId="05F5A487">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noWrap w:val="0"/>
            <w:vAlign w:val="center"/>
          </w:tcPr>
          <w:p w14:paraId="201AFAE4">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近年来主要工作业绩</w:t>
            </w:r>
          </w:p>
        </w:tc>
      </w:tr>
      <w:tr w14:paraId="5E812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3D80EBDC">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33ECB997">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noWrap w:val="0"/>
            <w:vAlign w:val="center"/>
          </w:tcPr>
          <w:p w14:paraId="6340E661">
            <w:pPr>
              <w:autoSpaceDE w:val="0"/>
              <w:autoSpaceDN w:val="0"/>
              <w:adjustRightInd w:val="0"/>
              <w:snapToGrid w:val="0"/>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注：业绩证明应提供旁证材料</w:t>
            </w:r>
          </w:p>
          <w:p w14:paraId="3608D522">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（供货合同或成交通知书）。</w:t>
            </w:r>
          </w:p>
        </w:tc>
      </w:tr>
      <w:tr w14:paraId="673A8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7DD796D0">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65FAC0B6">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22A5E694">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r>
      <w:tr w14:paraId="5610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65ABD363">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788FB400">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70682A11">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r>
      <w:tr w14:paraId="178C8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7A59C6C6">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50AD0B82">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25D8A00A">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r>
      <w:tr w14:paraId="0F20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1365A2A4">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53B7803D">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4D3A8245">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r>
      <w:tr w14:paraId="49FA7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01BE5A89">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345677BC">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1EE0E6F3">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r>
      <w:tr w14:paraId="23688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5797113C">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40654AEE">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2624E308">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r>
      <w:tr w14:paraId="44B8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noWrap w:val="0"/>
            <w:vAlign w:val="center"/>
          </w:tcPr>
          <w:p w14:paraId="39CBBCB2">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noWrap w:val="0"/>
            <w:vAlign w:val="center"/>
          </w:tcPr>
          <w:p w14:paraId="49BC0EB5">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r>
    </w:tbl>
    <w:p w14:paraId="395AE229">
      <w:pPr>
        <w:spacing w:line="360" w:lineRule="auto"/>
        <w:ind w:left="420"/>
        <w:rPr>
          <w:rFonts w:hint="eastAsia" w:ascii="宋体" w:hAnsi="宋体" w:eastAsia="宋体" w:cs="宋体"/>
          <w:color w:val="000000" w:themeColor="text1"/>
          <w:sz w:val="24"/>
          <w:highlight w:val="none"/>
          <w14:textFill>
            <w14:solidFill>
              <w14:schemeClr w14:val="tx1"/>
            </w14:solidFill>
          </w14:textFill>
        </w:rPr>
      </w:pPr>
    </w:p>
    <w:p w14:paraId="1DA460F0">
      <w:pPr>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1649D3F9">
      <w:pPr>
        <w:spacing w:line="360" w:lineRule="auto"/>
        <w:ind w:lef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29058D99">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磋商供应商代表</w:t>
      </w:r>
      <w:r>
        <w:rPr>
          <w:rFonts w:hint="eastAsia" w:ascii="宋体" w:hAnsi="宋体" w:cs="宋体"/>
          <w:color w:val="000000" w:themeColor="text1"/>
          <w:sz w:val="24"/>
          <w:highlight w:val="none"/>
          <w:lang w:eastAsia="zh-CN"/>
          <w14:textFill>
            <w14:solidFill>
              <w14:schemeClr w14:val="tx1"/>
            </w14:solidFill>
          </w14:textFill>
        </w:rPr>
        <w:t>签字或盖章</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628BC4EE">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14:paraId="635F476D">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        务：</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38D0A284">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14:paraId="5CEB6E31">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5356577">
      <w:pPr>
        <w:pStyle w:val="4"/>
        <w:jc w:val="center"/>
        <w:rPr>
          <w:rFonts w:hint="eastAsia" w:ascii="宋体" w:hAnsi="宋体" w:eastAsia="宋体" w:cs="宋体"/>
          <w:b w:val="0"/>
          <w:color w:val="000000" w:themeColor="text1"/>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附件7：</w:t>
      </w:r>
      <w:r>
        <w:rPr>
          <w:rFonts w:hint="eastAsia" w:ascii="宋体" w:hAnsi="宋体" w:eastAsia="宋体" w:cs="宋体"/>
          <w:b w:val="0"/>
          <w:color w:val="000000" w:themeColor="text1"/>
          <w:highlight w:val="none"/>
          <w14:textFill>
            <w14:solidFill>
              <w14:schemeClr w14:val="tx1"/>
            </w14:solidFill>
          </w14:textFill>
        </w:rPr>
        <w:t>商务及技术响应表</w:t>
      </w:r>
    </w:p>
    <w:p w14:paraId="1B277F3E">
      <w:pPr>
        <w:pStyle w:val="20"/>
        <w:adjustRightInd w:val="0"/>
        <w:snapToGrid w:val="0"/>
        <w:spacing w:line="360" w:lineRule="auto"/>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项目名称及编号：</w:t>
      </w:r>
      <w:r>
        <w:rPr>
          <w:rFonts w:hint="eastAsia" w:hAnsi="宋体" w:cs="宋体"/>
          <w:b/>
          <w:bCs/>
          <w:color w:val="000000" w:themeColor="text1"/>
          <w:sz w:val="24"/>
          <w:highlight w:val="none"/>
          <w:lang w:eastAsia="zh-CN"/>
          <w14:textFill>
            <w14:solidFill>
              <w14:schemeClr w14:val="tx1"/>
            </w14:solidFill>
          </w14:textFill>
        </w:rPr>
        <w:t>玉环水库自然资源统一确权调查服务</w:t>
      </w:r>
      <w:r>
        <w:rPr>
          <w:rFonts w:hint="eastAsia" w:ascii="宋体" w:hAnsi="宋体" w:eastAsia="宋体" w:cs="宋体"/>
          <w:b/>
          <w:bCs/>
          <w:color w:val="000000" w:themeColor="text1"/>
          <w:sz w:val="24"/>
          <w:highlight w:val="none"/>
          <w14:textFill>
            <w14:solidFill>
              <w14:schemeClr w14:val="tx1"/>
            </w14:solidFill>
          </w14:textFill>
        </w:rPr>
        <w:t>（编号为</w:t>
      </w:r>
      <w:r>
        <w:rPr>
          <w:rFonts w:hint="eastAsia" w:hAnsi="宋体" w:cs="宋体"/>
          <w:b/>
          <w:bCs/>
          <w:color w:val="000000" w:themeColor="text1"/>
          <w:sz w:val="24"/>
          <w:highlight w:val="none"/>
          <w:lang w:eastAsia="zh-CN"/>
          <w14:textFill>
            <w14:solidFill>
              <w14:schemeClr w14:val="tx1"/>
            </w14:solidFill>
          </w14:textFill>
        </w:rPr>
        <w:t>HQ-YHZFCG-2024-1004</w:t>
      </w:r>
      <w:r>
        <w:rPr>
          <w:rFonts w:hint="eastAsia" w:ascii="宋体" w:hAnsi="宋体" w:eastAsia="宋体" w:cs="宋体"/>
          <w:b/>
          <w:bCs/>
          <w:color w:val="000000" w:themeColor="text1"/>
          <w:sz w:val="24"/>
          <w:highlight w:val="none"/>
          <w14:textFill>
            <w14:solidFill>
              <w14:schemeClr w14:val="tx1"/>
            </w14:solidFill>
          </w14:textFill>
        </w:rPr>
        <w:t>）</w:t>
      </w:r>
    </w:p>
    <w:tbl>
      <w:tblPr>
        <w:tblStyle w:val="37"/>
        <w:tblW w:w="9190" w:type="dxa"/>
        <w:tblInd w:w="-439" w:type="dxa"/>
        <w:tblLayout w:type="fixed"/>
        <w:tblCellMar>
          <w:top w:w="0" w:type="dxa"/>
          <w:left w:w="108" w:type="dxa"/>
          <w:bottom w:w="0" w:type="dxa"/>
          <w:right w:w="108" w:type="dxa"/>
        </w:tblCellMar>
      </w:tblPr>
      <w:tblGrid>
        <w:gridCol w:w="1202"/>
        <w:gridCol w:w="1831"/>
        <w:gridCol w:w="2558"/>
        <w:gridCol w:w="2127"/>
        <w:gridCol w:w="1472"/>
      </w:tblGrid>
      <w:tr w14:paraId="3D29D406">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1CACC437">
            <w:pPr>
              <w:pStyle w:val="20"/>
              <w:adjustRightInd w:val="0"/>
              <w:snapToGrid w:val="0"/>
              <w:spacing w:line="300" w:lineRule="exact"/>
              <w:jc w:val="center"/>
              <w:rPr>
                <w:rFonts w:hint="eastAsia" w:ascii="宋体" w:hAnsi="宋体" w:eastAsia="宋体" w:cs="宋体"/>
                <w:bCs/>
                <w:color w:val="000000" w:themeColor="text1"/>
                <w:spacing w:val="10"/>
                <w:kern w:val="0"/>
                <w:sz w:val="24"/>
                <w:szCs w:val="22"/>
                <w:highlight w:val="none"/>
                <w14:textFill>
                  <w14:solidFill>
                    <w14:schemeClr w14:val="tx1"/>
                  </w14:solidFill>
                </w14:textFill>
              </w:rPr>
            </w:pPr>
            <w:r>
              <w:rPr>
                <w:rFonts w:hint="eastAsia" w:ascii="宋体" w:hAnsi="宋体" w:eastAsia="宋体" w:cs="宋体"/>
                <w:bCs/>
                <w:color w:val="000000" w:themeColor="text1"/>
                <w:spacing w:val="10"/>
                <w:kern w:val="0"/>
                <w:sz w:val="24"/>
                <w:szCs w:val="22"/>
                <w:highlight w:val="none"/>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BCBD1E5">
            <w:pPr>
              <w:pStyle w:val="20"/>
              <w:adjustRightInd w:val="0"/>
              <w:snapToGrid w:val="0"/>
              <w:spacing w:line="300" w:lineRule="exact"/>
              <w:jc w:val="center"/>
              <w:rPr>
                <w:rFonts w:hint="eastAsia" w:ascii="宋体" w:hAnsi="宋体" w:eastAsia="宋体" w:cs="宋体"/>
                <w:bCs/>
                <w:color w:val="000000" w:themeColor="text1"/>
                <w:spacing w:val="10"/>
                <w:kern w:val="0"/>
                <w:sz w:val="24"/>
                <w:szCs w:val="22"/>
                <w:highlight w:val="none"/>
                <w14:textFill>
                  <w14:solidFill>
                    <w14:schemeClr w14:val="tx1"/>
                  </w14:solidFill>
                </w14:textFill>
              </w:rPr>
            </w:pPr>
            <w:r>
              <w:rPr>
                <w:rFonts w:hint="eastAsia" w:ascii="宋体" w:hAnsi="宋体" w:eastAsia="宋体" w:cs="宋体"/>
                <w:bCs/>
                <w:color w:val="000000" w:themeColor="text1"/>
                <w:spacing w:val="10"/>
                <w:kern w:val="0"/>
                <w:sz w:val="24"/>
                <w:szCs w:val="22"/>
                <w:highlight w:val="none"/>
                <w14:textFill>
                  <w14:solidFill>
                    <w14:schemeClr w14:val="tx1"/>
                  </w14:solidFill>
                </w14:textFill>
              </w:rPr>
              <w:t>内容</w:t>
            </w:r>
          </w:p>
        </w:tc>
        <w:tc>
          <w:tcPr>
            <w:tcW w:w="2558" w:type="dxa"/>
            <w:tcBorders>
              <w:top w:val="single" w:color="auto" w:sz="4" w:space="0"/>
              <w:left w:val="single" w:color="auto" w:sz="4" w:space="0"/>
              <w:bottom w:val="single" w:color="auto" w:sz="4" w:space="0"/>
              <w:right w:val="single" w:color="auto" w:sz="4" w:space="0"/>
            </w:tcBorders>
            <w:noWrap w:val="0"/>
            <w:vAlign w:val="center"/>
          </w:tcPr>
          <w:p w14:paraId="69E423AA">
            <w:pPr>
              <w:pStyle w:val="20"/>
              <w:adjustRightInd w:val="0"/>
              <w:snapToGrid w:val="0"/>
              <w:spacing w:line="300" w:lineRule="exact"/>
              <w:jc w:val="center"/>
              <w:rPr>
                <w:rFonts w:hint="eastAsia" w:ascii="宋体" w:hAnsi="宋体" w:eastAsia="宋体" w:cs="宋体"/>
                <w:bCs/>
                <w:color w:val="000000" w:themeColor="text1"/>
                <w:spacing w:val="10"/>
                <w:kern w:val="0"/>
                <w:sz w:val="24"/>
                <w:szCs w:val="22"/>
                <w:highlight w:val="none"/>
                <w14:textFill>
                  <w14:solidFill>
                    <w14:schemeClr w14:val="tx1"/>
                  </w14:solidFill>
                </w14:textFill>
              </w:rPr>
            </w:pPr>
            <w:r>
              <w:rPr>
                <w:rFonts w:hint="eastAsia" w:ascii="宋体" w:hAnsi="宋体" w:eastAsia="宋体" w:cs="宋体"/>
                <w:bCs/>
                <w:color w:val="000000" w:themeColor="text1"/>
                <w:spacing w:val="10"/>
                <w:kern w:val="0"/>
                <w:sz w:val="24"/>
                <w:szCs w:val="22"/>
                <w:highlight w:val="none"/>
                <w14:textFill>
                  <w14:solidFill>
                    <w14:schemeClr w14:val="tx1"/>
                  </w14:solidFill>
                </w14:textFill>
              </w:rPr>
              <w:t>磋商文件服务技术要求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40AC7FF">
            <w:pPr>
              <w:pStyle w:val="20"/>
              <w:adjustRightInd w:val="0"/>
              <w:snapToGrid w:val="0"/>
              <w:spacing w:line="300" w:lineRule="exact"/>
              <w:jc w:val="center"/>
              <w:rPr>
                <w:rFonts w:hint="eastAsia" w:ascii="宋体" w:hAnsi="宋体" w:eastAsia="宋体" w:cs="宋体"/>
                <w:bCs/>
                <w:color w:val="000000" w:themeColor="text1"/>
                <w:spacing w:val="10"/>
                <w:kern w:val="0"/>
                <w:sz w:val="24"/>
                <w:szCs w:val="22"/>
                <w:highlight w:val="none"/>
                <w14:textFill>
                  <w14:solidFill>
                    <w14:schemeClr w14:val="tx1"/>
                  </w14:solidFill>
                </w14:textFill>
              </w:rPr>
            </w:pPr>
            <w:r>
              <w:rPr>
                <w:rFonts w:hint="eastAsia" w:ascii="宋体" w:hAnsi="宋体" w:eastAsia="宋体" w:cs="宋体"/>
                <w:bCs/>
                <w:color w:val="000000" w:themeColor="text1"/>
                <w:spacing w:val="10"/>
                <w:kern w:val="0"/>
                <w:sz w:val="24"/>
                <w:szCs w:val="22"/>
                <w:highlight w:val="none"/>
                <w14:textFill>
                  <w14:solidFill>
                    <w14:schemeClr w14:val="tx1"/>
                  </w14:solidFill>
                </w14:textFill>
              </w:rPr>
              <w:t>磋商响应文件</w:t>
            </w:r>
          </w:p>
          <w:p w14:paraId="527A32CE">
            <w:pPr>
              <w:pStyle w:val="20"/>
              <w:adjustRightInd w:val="0"/>
              <w:snapToGrid w:val="0"/>
              <w:spacing w:line="300" w:lineRule="exact"/>
              <w:jc w:val="center"/>
              <w:rPr>
                <w:rFonts w:hint="eastAsia" w:ascii="宋体" w:hAnsi="宋体" w:eastAsia="宋体" w:cs="宋体"/>
                <w:bCs/>
                <w:color w:val="000000" w:themeColor="text1"/>
                <w:spacing w:val="10"/>
                <w:kern w:val="0"/>
                <w:sz w:val="24"/>
                <w:szCs w:val="22"/>
                <w:highlight w:val="none"/>
                <w14:textFill>
                  <w14:solidFill>
                    <w14:schemeClr w14:val="tx1"/>
                  </w14:solidFill>
                </w14:textFill>
              </w:rPr>
            </w:pPr>
            <w:r>
              <w:rPr>
                <w:rFonts w:hint="eastAsia" w:ascii="宋体" w:hAnsi="宋体" w:eastAsia="宋体" w:cs="宋体"/>
                <w:bCs/>
                <w:color w:val="000000" w:themeColor="text1"/>
                <w:spacing w:val="10"/>
                <w:kern w:val="0"/>
                <w:sz w:val="24"/>
                <w:szCs w:val="22"/>
                <w:highlight w:val="none"/>
                <w14:textFill>
                  <w14:solidFill>
                    <w14:schemeClr w14:val="tx1"/>
                  </w14:solidFill>
                </w14:textFill>
              </w:rPr>
              <w:t>服务技术响应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778F4F3">
            <w:pPr>
              <w:pStyle w:val="20"/>
              <w:adjustRightInd w:val="0"/>
              <w:snapToGrid w:val="0"/>
              <w:spacing w:line="300" w:lineRule="exact"/>
              <w:jc w:val="center"/>
              <w:rPr>
                <w:rFonts w:hint="eastAsia" w:ascii="宋体" w:hAnsi="宋体" w:eastAsia="宋体" w:cs="宋体"/>
                <w:bCs/>
                <w:color w:val="000000" w:themeColor="text1"/>
                <w:spacing w:val="10"/>
                <w:kern w:val="0"/>
                <w:sz w:val="24"/>
                <w:szCs w:val="22"/>
                <w:highlight w:val="none"/>
                <w14:textFill>
                  <w14:solidFill>
                    <w14:schemeClr w14:val="tx1"/>
                  </w14:solidFill>
                </w14:textFill>
              </w:rPr>
            </w:pPr>
            <w:r>
              <w:rPr>
                <w:rFonts w:hint="eastAsia" w:ascii="宋体" w:hAnsi="宋体" w:eastAsia="宋体" w:cs="宋体"/>
                <w:bCs/>
                <w:color w:val="000000" w:themeColor="text1"/>
                <w:spacing w:val="10"/>
                <w:kern w:val="0"/>
                <w:sz w:val="24"/>
                <w:szCs w:val="22"/>
                <w:highlight w:val="none"/>
                <w14:textFill>
                  <w14:solidFill>
                    <w14:schemeClr w14:val="tx1"/>
                  </w14:solidFill>
                </w14:textFill>
              </w:rPr>
              <w:t>偏离情况</w:t>
            </w:r>
          </w:p>
        </w:tc>
      </w:tr>
      <w:tr w14:paraId="110868B9">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368CE2EE">
            <w:pPr>
              <w:widowControl/>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F38C6B7">
            <w:pPr>
              <w:spacing w:line="3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noWrap w:val="0"/>
            <w:vAlign w:val="center"/>
          </w:tcPr>
          <w:p w14:paraId="09C731BC">
            <w:pPr>
              <w:pStyle w:val="20"/>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756ED2A">
            <w:pPr>
              <w:pStyle w:val="20"/>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34EB237">
            <w:pPr>
              <w:pStyle w:val="20"/>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r>
      <w:tr w14:paraId="3A645A30">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506D240E">
            <w:pPr>
              <w:widowControl/>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F34B55F">
            <w:pPr>
              <w:spacing w:line="3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noWrap w:val="0"/>
            <w:vAlign w:val="center"/>
          </w:tcPr>
          <w:p w14:paraId="235C66F1">
            <w:pPr>
              <w:pStyle w:val="20"/>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E8770ED">
            <w:pPr>
              <w:pStyle w:val="20"/>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FA45C89">
            <w:pPr>
              <w:pStyle w:val="20"/>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r>
      <w:tr w14:paraId="2D3B33EF">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59D2501B">
            <w:pPr>
              <w:widowControl/>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71760EC">
            <w:pPr>
              <w:spacing w:line="3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noWrap w:val="0"/>
            <w:vAlign w:val="center"/>
          </w:tcPr>
          <w:p w14:paraId="4754D6B4">
            <w:pPr>
              <w:pStyle w:val="20"/>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8CD8FB1">
            <w:pPr>
              <w:pStyle w:val="20"/>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204B7BD">
            <w:pPr>
              <w:pStyle w:val="20"/>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r>
      <w:tr w14:paraId="385A2BFC">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691CBD81">
            <w:pPr>
              <w:pStyle w:val="20"/>
              <w:adjustRightInd w:val="0"/>
              <w:snapToGrid w:val="0"/>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FF2F21D">
            <w:pPr>
              <w:pStyle w:val="20"/>
              <w:adjustRightInd w:val="0"/>
              <w:snapToGrid w:val="0"/>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内容</w:t>
            </w:r>
          </w:p>
        </w:tc>
        <w:tc>
          <w:tcPr>
            <w:tcW w:w="2558" w:type="dxa"/>
            <w:tcBorders>
              <w:top w:val="single" w:color="auto" w:sz="4" w:space="0"/>
              <w:left w:val="single" w:color="auto" w:sz="4" w:space="0"/>
              <w:bottom w:val="single" w:color="auto" w:sz="4" w:space="0"/>
              <w:right w:val="single" w:color="auto" w:sz="4" w:space="0"/>
            </w:tcBorders>
            <w:noWrap w:val="0"/>
            <w:vAlign w:val="center"/>
          </w:tcPr>
          <w:p w14:paraId="6F9C9FDB">
            <w:pPr>
              <w:pStyle w:val="20"/>
              <w:adjustRightInd w:val="0"/>
              <w:snapToGrid w:val="0"/>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磋商文件服务技术要求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96F0FE0">
            <w:pPr>
              <w:pStyle w:val="20"/>
              <w:adjustRightInd w:val="0"/>
              <w:snapToGrid w:val="0"/>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磋商响应文件服务技术响应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E760AD8">
            <w:pPr>
              <w:pStyle w:val="20"/>
              <w:adjustRightInd w:val="0"/>
              <w:snapToGrid w:val="0"/>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偏离情况</w:t>
            </w:r>
          </w:p>
        </w:tc>
      </w:tr>
      <w:tr w14:paraId="0CBDE1E2">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14:paraId="4A776D6D">
            <w:pPr>
              <w:widowControl/>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B65EE4D">
            <w:pPr>
              <w:tabs>
                <w:tab w:val="left" w:pos="8280"/>
              </w:tabs>
              <w:autoSpaceDE w:val="0"/>
              <w:autoSpaceDN w:val="0"/>
              <w:adjustRightInd w:val="0"/>
              <w:spacing w:line="300" w:lineRule="exact"/>
              <w:ind w:right="25"/>
              <w:rPr>
                <w:rFonts w:hint="eastAsia" w:ascii="宋体" w:hAnsi="宋体" w:eastAsia="宋体" w:cs="宋体"/>
                <w:color w:val="000000" w:themeColor="text1"/>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noWrap w:val="0"/>
            <w:vAlign w:val="center"/>
          </w:tcPr>
          <w:p w14:paraId="6EB95C02">
            <w:pPr>
              <w:pStyle w:val="20"/>
              <w:adjustRightInd w:val="0"/>
              <w:snapToGrid w:val="0"/>
              <w:spacing w:line="300" w:lineRule="exact"/>
              <w:rPr>
                <w:rFonts w:hint="eastAsia" w:ascii="宋体" w:hAnsi="宋体" w:eastAsia="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963603A">
            <w:pPr>
              <w:pStyle w:val="20"/>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C11B78C">
            <w:pPr>
              <w:pStyle w:val="20"/>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r>
      <w:tr w14:paraId="5B8B5955">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6313F150">
            <w:pPr>
              <w:widowControl/>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C291F2D">
            <w:pPr>
              <w:tabs>
                <w:tab w:val="left" w:pos="8280"/>
              </w:tabs>
              <w:autoSpaceDE w:val="0"/>
              <w:autoSpaceDN w:val="0"/>
              <w:adjustRightInd w:val="0"/>
              <w:spacing w:line="300" w:lineRule="exact"/>
              <w:ind w:right="25"/>
              <w:rPr>
                <w:rFonts w:hint="eastAsia" w:ascii="宋体" w:hAnsi="宋体" w:eastAsia="宋体" w:cs="宋体"/>
                <w:color w:val="000000" w:themeColor="text1"/>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noWrap w:val="0"/>
            <w:vAlign w:val="center"/>
          </w:tcPr>
          <w:p w14:paraId="02615AEB">
            <w:pPr>
              <w:pStyle w:val="20"/>
              <w:adjustRightInd w:val="0"/>
              <w:snapToGrid w:val="0"/>
              <w:spacing w:line="300" w:lineRule="exact"/>
              <w:rPr>
                <w:rFonts w:hint="eastAsia" w:ascii="宋体" w:hAnsi="宋体" w:eastAsia="宋体" w:cs="宋体"/>
                <w:color w:val="000000" w:themeColor="text1"/>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D30AE21">
            <w:pPr>
              <w:pStyle w:val="20"/>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E302198">
            <w:pPr>
              <w:pStyle w:val="20"/>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r>
      <w:tr w14:paraId="27ED152F">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5632DD3B">
            <w:pPr>
              <w:widowControl/>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7851D08">
            <w:pPr>
              <w:pStyle w:val="20"/>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noWrap w:val="0"/>
            <w:vAlign w:val="center"/>
          </w:tcPr>
          <w:p w14:paraId="39DE7CE2">
            <w:pPr>
              <w:tabs>
                <w:tab w:val="left" w:pos="8280"/>
              </w:tabs>
              <w:autoSpaceDE w:val="0"/>
              <w:autoSpaceDN w:val="0"/>
              <w:adjustRightInd w:val="0"/>
              <w:spacing w:line="300" w:lineRule="exact"/>
              <w:ind w:right="25"/>
              <w:rPr>
                <w:rFonts w:hint="eastAsia" w:ascii="宋体" w:hAnsi="宋体" w:eastAsia="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3399D0C">
            <w:pPr>
              <w:pStyle w:val="20"/>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0E582B4">
            <w:pPr>
              <w:pStyle w:val="20"/>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r>
      <w:tr w14:paraId="3BC8F332">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059001BC">
            <w:pPr>
              <w:widowControl/>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9F1AE45">
            <w:pPr>
              <w:pStyle w:val="20"/>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noWrap w:val="0"/>
            <w:vAlign w:val="top"/>
          </w:tcPr>
          <w:p w14:paraId="527BB450">
            <w:pPr>
              <w:tabs>
                <w:tab w:val="left" w:pos="8280"/>
              </w:tabs>
              <w:autoSpaceDE w:val="0"/>
              <w:autoSpaceDN w:val="0"/>
              <w:adjustRightInd w:val="0"/>
              <w:spacing w:line="300" w:lineRule="exact"/>
              <w:ind w:right="25"/>
              <w:rPr>
                <w:rFonts w:hint="eastAsia" w:ascii="宋体" w:hAnsi="宋体" w:eastAsia="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A9653D9">
            <w:pPr>
              <w:pStyle w:val="20"/>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84822B4">
            <w:pPr>
              <w:pStyle w:val="20"/>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r>
      <w:tr w14:paraId="008BD200">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3F5DE58E">
            <w:pPr>
              <w:widowControl/>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1856FB7">
            <w:pPr>
              <w:pStyle w:val="20"/>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noWrap w:val="0"/>
            <w:vAlign w:val="top"/>
          </w:tcPr>
          <w:p w14:paraId="7A90EA4D">
            <w:pPr>
              <w:pStyle w:val="20"/>
              <w:adjustRightInd w:val="0"/>
              <w:snapToGrid w:val="0"/>
              <w:spacing w:line="300" w:lineRule="exact"/>
              <w:rPr>
                <w:rFonts w:hint="eastAsia" w:ascii="宋体" w:hAnsi="宋体" w:eastAsia="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96512BC">
            <w:pPr>
              <w:pStyle w:val="20"/>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A3FDD77">
            <w:pPr>
              <w:pStyle w:val="20"/>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r>
      <w:tr w14:paraId="3C4886F8">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18DB8CA">
            <w:pPr>
              <w:widowControl/>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E5D5677">
            <w:pPr>
              <w:pStyle w:val="20"/>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noWrap w:val="0"/>
            <w:vAlign w:val="top"/>
          </w:tcPr>
          <w:p w14:paraId="67382D62">
            <w:pPr>
              <w:pStyle w:val="20"/>
              <w:adjustRightInd w:val="0"/>
              <w:snapToGrid w:val="0"/>
              <w:spacing w:line="300" w:lineRule="exact"/>
              <w:rPr>
                <w:rFonts w:hint="eastAsia" w:ascii="宋体" w:hAnsi="宋体" w:eastAsia="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09422B4">
            <w:pPr>
              <w:pStyle w:val="20"/>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1C71883">
            <w:pPr>
              <w:pStyle w:val="20"/>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r>
    </w:tbl>
    <w:p w14:paraId="4D9B0F45">
      <w:pPr>
        <w:pStyle w:val="20"/>
        <w:adjustRightInd w:val="0"/>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备注：供应商在填写其中的“磋商响应文件</w:t>
      </w:r>
      <w:r>
        <w:rPr>
          <w:rFonts w:hint="eastAsia" w:hAnsi="宋体" w:cs="宋体"/>
          <w:color w:val="000000" w:themeColor="text1"/>
          <w:sz w:val="24"/>
          <w:highlight w:val="none"/>
          <w:lang w:val="en-US" w:eastAsia="zh-CN"/>
          <w14:textFill>
            <w14:solidFill>
              <w14:schemeClr w14:val="tx1"/>
            </w14:solidFill>
          </w14:textFill>
        </w:rPr>
        <w:t>服务</w:t>
      </w:r>
      <w:r>
        <w:rPr>
          <w:rFonts w:hint="eastAsia" w:ascii="宋体" w:hAnsi="宋体" w:eastAsia="宋体" w:cs="宋体"/>
          <w:color w:val="000000" w:themeColor="text1"/>
          <w:sz w:val="24"/>
          <w:highlight w:val="none"/>
          <w14:textFill>
            <w14:solidFill>
              <w14:schemeClr w14:val="tx1"/>
            </w14:solidFill>
          </w14:textFill>
        </w:rPr>
        <w:t>技术响应”内容时，必须对照本磋商文件“</w:t>
      </w:r>
      <w:r>
        <w:rPr>
          <w:rFonts w:hint="eastAsia" w:hAnsi="宋体" w:cs="宋体"/>
          <w:color w:val="000000" w:themeColor="text1"/>
          <w:sz w:val="24"/>
          <w:highlight w:val="none"/>
          <w:lang w:val="en-US" w:eastAsia="zh-CN"/>
          <w14:textFill>
            <w14:solidFill>
              <w14:schemeClr w14:val="tx1"/>
            </w14:solidFill>
          </w14:textFill>
        </w:rPr>
        <w:t>服务</w:t>
      </w:r>
      <w:r>
        <w:rPr>
          <w:rFonts w:hint="eastAsia" w:ascii="宋体" w:hAnsi="宋体" w:eastAsia="宋体" w:cs="宋体"/>
          <w:color w:val="000000" w:themeColor="text1"/>
          <w:sz w:val="24"/>
          <w:highlight w:val="none"/>
          <w14:textFill>
            <w14:solidFill>
              <w14:schemeClr w14:val="tx1"/>
            </w14:solidFill>
          </w14:textFill>
        </w:rPr>
        <w:t>技术要求”中各指标项逐条说明，写出各磋商</w:t>
      </w:r>
      <w:r>
        <w:rPr>
          <w:rFonts w:hint="eastAsia" w:hAnsi="宋体" w:cs="宋体"/>
          <w:color w:val="000000" w:themeColor="text1"/>
          <w:sz w:val="24"/>
          <w:highlight w:val="none"/>
          <w:lang w:val="en-US" w:eastAsia="zh-CN"/>
          <w14:textFill>
            <w14:solidFill>
              <w14:schemeClr w14:val="tx1"/>
            </w14:solidFill>
          </w14:textFill>
        </w:rPr>
        <w:t>服务</w:t>
      </w:r>
      <w:r>
        <w:rPr>
          <w:rFonts w:hint="eastAsia" w:ascii="宋体" w:hAnsi="宋体" w:eastAsia="宋体" w:cs="宋体"/>
          <w:color w:val="000000" w:themeColor="text1"/>
          <w:sz w:val="24"/>
          <w:highlight w:val="none"/>
          <w14:textFill>
            <w14:solidFill>
              <w14:schemeClr w14:val="tx1"/>
            </w14:solidFill>
          </w14:textFill>
        </w:rPr>
        <w:t>的具体参数响应内容，不得以“符合”或“满足”等词语作简单回答或者完全复制本项目采购需求中参数内容，否则磋商小组有权视其磋商响应文件未响应磋商文件要求。</w:t>
      </w:r>
    </w:p>
    <w:p w14:paraId="0752A999">
      <w:pPr>
        <w:ind w:firstLine="424" w:firstLineChars="177"/>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8AF87D4">
      <w:pPr>
        <w:ind w:left="420"/>
        <w:rPr>
          <w:rFonts w:hint="eastAsia" w:ascii="宋体" w:hAnsi="宋体" w:eastAsia="宋体" w:cs="宋体"/>
          <w:color w:val="000000" w:themeColor="text1"/>
          <w:sz w:val="24"/>
          <w:highlight w:val="none"/>
          <w14:textFill>
            <w14:solidFill>
              <w14:schemeClr w14:val="tx1"/>
            </w14:solidFill>
          </w14:textFill>
        </w:rPr>
      </w:pPr>
    </w:p>
    <w:p w14:paraId="5031F717">
      <w:pPr>
        <w:ind w:firstLine="424" w:firstLineChars="17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磋商供应商代表</w:t>
      </w:r>
      <w:r>
        <w:rPr>
          <w:rFonts w:hint="eastAsia" w:ascii="宋体" w:hAnsi="宋体" w:cs="宋体"/>
          <w:color w:val="000000" w:themeColor="text1"/>
          <w:sz w:val="24"/>
          <w:highlight w:val="none"/>
          <w:lang w:eastAsia="zh-CN"/>
          <w14:textFill>
            <w14:solidFill>
              <w14:schemeClr w14:val="tx1"/>
            </w14:solidFill>
          </w14:textFill>
        </w:rPr>
        <w:t>签字或盖章</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7DCF322">
      <w:pPr>
        <w:ind w:firstLine="435"/>
        <w:rPr>
          <w:rFonts w:hint="eastAsia" w:ascii="宋体" w:hAnsi="宋体" w:eastAsia="宋体" w:cs="宋体"/>
          <w:color w:val="000000" w:themeColor="text1"/>
          <w:sz w:val="24"/>
          <w:highlight w:val="none"/>
          <w14:textFill>
            <w14:solidFill>
              <w14:schemeClr w14:val="tx1"/>
            </w14:solidFill>
          </w14:textFill>
        </w:rPr>
      </w:pPr>
    </w:p>
    <w:p w14:paraId="26C58646">
      <w:pPr>
        <w:ind w:firstLine="424" w:firstLineChars="177"/>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        务：</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3E2CAFB7">
      <w:pPr>
        <w:rPr>
          <w:rFonts w:hint="eastAsia" w:ascii="宋体" w:hAnsi="宋体" w:eastAsia="宋体" w:cs="宋体"/>
          <w:color w:val="000000" w:themeColor="text1"/>
          <w:sz w:val="24"/>
          <w:highlight w:val="none"/>
          <w14:textFill>
            <w14:solidFill>
              <w14:schemeClr w14:val="tx1"/>
            </w14:solidFill>
          </w14:textFill>
        </w:rPr>
      </w:pPr>
    </w:p>
    <w:p w14:paraId="20213892">
      <w:pPr>
        <w:pStyle w:val="83"/>
        <w:shd w:val="clear" w:color="auto" w:fill="FFFFFF"/>
        <w:spacing w:before="0" w:beforeAutospacing="0" w:after="0" w:afterAutospacing="0"/>
        <w:ind w:firstLine="424" w:firstLineChars="177"/>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        期：</w:t>
      </w:r>
      <w:r>
        <w:rPr>
          <w:rFonts w:hint="eastAsia" w:ascii="宋体" w:hAnsi="宋体" w:eastAsia="宋体" w:cs="宋体"/>
          <w:color w:val="000000" w:themeColor="text1"/>
          <w:highlight w:val="none"/>
          <w:u w:val="single"/>
          <w14:textFill>
            <w14:solidFill>
              <w14:schemeClr w14:val="tx1"/>
            </w14:solidFill>
          </w14:textFill>
        </w:rPr>
        <w:t xml:space="preserve">                            </w:t>
      </w:r>
    </w:p>
    <w:p w14:paraId="7C26E69B">
      <w:pPr>
        <w:snapToGrid w:val="0"/>
        <w:spacing w:before="156" w:beforeLines="50" w:after="50" w:line="360" w:lineRule="auto"/>
        <w:rPr>
          <w:rFonts w:hint="eastAsia" w:ascii="宋体" w:hAnsi="宋体" w:eastAsia="宋体" w:cs="宋体"/>
          <w:b/>
          <w:color w:val="000000" w:themeColor="text1"/>
          <w:sz w:val="28"/>
          <w:highlight w:val="none"/>
          <w14:textFill>
            <w14:solidFill>
              <w14:schemeClr w14:val="tx1"/>
            </w14:solidFill>
          </w14:textFill>
        </w:rPr>
      </w:pPr>
    </w:p>
    <w:p w14:paraId="015F70AB">
      <w:pPr>
        <w:pStyle w:val="28"/>
        <w:rPr>
          <w:rFonts w:hint="eastAsia" w:ascii="宋体" w:hAnsi="宋体" w:eastAsia="宋体" w:cs="宋体"/>
          <w:b/>
          <w:color w:val="000000" w:themeColor="text1"/>
          <w:sz w:val="28"/>
          <w:highlight w:val="none"/>
          <w14:textFill>
            <w14:solidFill>
              <w14:schemeClr w14:val="tx1"/>
            </w14:solidFill>
          </w14:textFill>
        </w:rPr>
      </w:pPr>
    </w:p>
    <w:p w14:paraId="78636B63">
      <w:pPr>
        <w:rPr>
          <w:rFonts w:hint="eastAsia" w:ascii="宋体" w:hAnsi="宋体" w:eastAsia="宋体" w:cs="宋体"/>
          <w:b/>
          <w:color w:val="000000" w:themeColor="text1"/>
          <w:sz w:val="28"/>
          <w:highlight w:val="none"/>
          <w14:textFill>
            <w14:solidFill>
              <w14:schemeClr w14:val="tx1"/>
            </w14:solidFill>
          </w14:textFill>
        </w:rPr>
      </w:pPr>
    </w:p>
    <w:p w14:paraId="6C6CD0C4">
      <w:pPr>
        <w:pStyle w:val="4"/>
        <w:jc w:val="center"/>
        <w:rPr>
          <w:rFonts w:hint="eastAsia" w:ascii="宋体" w:hAnsi="宋体" w:eastAsia="宋体" w:cs="宋体"/>
          <w:b w:val="0"/>
          <w:color w:val="000000" w:themeColor="text1"/>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附件8：</w:t>
      </w:r>
      <w:r>
        <w:rPr>
          <w:rFonts w:hint="eastAsia" w:ascii="宋体" w:hAnsi="宋体" w:eastAsia="宋体" w:cs="宋体"/>
          <w:b w:val="0"/>
          <w:color w:val="000000" w:themeColor="text1"/>
          <w:highlight w:val="none"/>
          <w14:textFill>
            <w14:solidFill>
              <w14:schemeClr w14:val="tx1"/>
            </w14:solidFill>
          </w14:textFill>
        </w:rPr>
        <w:t>证书一览表</w:t>
      </w:r>
    </w:p>
    <w:p w14:paraId="0A3A754E">
      <w:pPr>
        <w:pStyle w:val="76"/>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bl>
      <w:tblPr>
        <w:tblStyle w:val="3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629850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75588BA1">
            <w:pPr>
              <w:pStyle w:val="76"/>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证书名称</w:t>
            </w:r>
          </w:p>
        </w:tc>
        <w:tc>
          <w:tcPr>
            <w:tcW w:w="2258" w:type="dxa"/>
            <w:tcBorders>
              <w:top w:val="single" w:color="auto" w:sz="4" w:space="0"/>
              <w:bottom w:val="single" w:color="auto" w:sz="4" w:space="0"/>
            </w:tcBorders>
            <w:noWrap w:val="0"/>
            <w:vAlign w:val="top"/>
          </w:tcPr>
          <w:p w14:paraId="39176DC9">
            <w:pPr>
              <w:pStyle w:val="76"/>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发证单位</w:t>
            </w:r>
          </w:p>
        </w:tc>
        <w:tc>
          <w:tcPr>
            <w:tcW w:w="2260" w:type="dxa"/>
            <w:tcBorders>
              <w:top w:val="single" w:color="auto" w:sz="4" w:space="0"/>
              <w:bottom w:val="single" w:color="auto" w:sz="4" w:space="0"/>
            </w:tcBorders>
            <w:noWrap w:val="0"/>
            <w:vAlign w:val="top"/>
          </w:tcPr>
          <w:p w14:paraId="78347C21">
            <w:pPr>
              <w:pStyle w:val="76"/>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noWrap w:val="0"/>
            <w:vAlign w:val="top"/>
          </w:tcPr>
          <w:p w14:paraId="1CFC3EEB">
            <w:pPr>
              <w:pStyle w:val="76"/>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证书有效期</w:t>
            </w:r>
          </w:p>
        </w:tc>
      </w:tr>
      <w:tr w14:paraId="3B984C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6397A6AB">
            <w:pPr>
              <w:pStyle w:val="76"/>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Borders>
              <w:top w:val="single" w:color="auto" w:sz="4" w:space="0"/>
            </w:tcBorders>
            <w:noWrap w:val="0"/>
            <w:vAlign w:val="top"/>
          </w:tcPr>
          <w:p w14:paraId="29DF25F5">
            <w:pPr>
              <w:pStyle w:val="76"/>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Borders>
              <w:top w:val="single" w:color="auto" w:sz="4" w:space="0"/>
            </w:tcBorders>
            <w:noWrap w:val="0"/>
            <w:vAlign w:val="top"/>
          </w:tcPr>
          <w:p w14:paraId="7A992A2F">
            <w:pPr>
              <w:pStyle w:val="76"/>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top w:val="single" w:color="auto" w:sz="4" w:space="0"/>
              <w:right w:val="single" w:color="auto" w:sz="4" w:space="0"/>
            </w:tcBorders>
            <w:noWrap w:val="0"/>
            <w:vAlign w:val="top"/>
          </w:tcPr>
          <w:p w14:paraId="099D0394">
            <w:pPr>
              <w:pStyle w:val="76"/>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0A75AE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7C3ACF2">
            <w:pPr>
              <w:pStyle w:val="76"/>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noWrap w:val="0"/>
            <w:vAlign w:val="top"/>
          </w:tcPr>
          <w:p w14:paraId="5A551BAD">
            <w:pPr>
              <w:pStyle w:val="76"/>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noWrap w:val="0"/>
            <w:vAlign w:val="top"/>
          </w:tcPr>
          <w:p w14:paraId="7A5175DE">
            <w:pPr>
              <w:pStyle w:val="76"/>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noWrap w:val="0"/>
            <w:vAlign w:val="top"/>
          </w:tcPr>
          <w:p w14:paraId="5A732C97">
            <w:pPr>
              <w:pStyle w:val="76"/>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3DA9E5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21580D57">
            <w:pPr>
              <w:pStyle w:val="76"/>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noWrap w:val="0"/>
            <w:vAlign w:val="top"/>
          </w:tcPr>
          <w:p w14:paraId="7A44DC6A">
            <w:pPr>
              <w:pStyle w:val="76"/>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noWrap w:val="0"/>
            <w:vAlign w:val="top"/>
          </w:tcPr>
          <w:p w14:paraId="5362B14A">
            <w:pPr>
              <w:pStyle w:val="76"/>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noWrap w:val="0"/>
            <w:vAlign w:val="top"/>
          </w:tcPr>
          <w:p w14:paraId="6D5A665B">
            <w:pPr>
              <w:pStyle w:val="76"/>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514487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271084B8">
            <w:pPr>
              <w:pStyle w:val="76"/>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noWrap w:val="0"/>
            <w:vAlign w:val="top"/>
          </w:tcPr>
          <w:p w14:paraId="770AFA5B">
            <w:pPr>
              <w:pStyle w:val="76"/>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noWrap w:val="0"/>
            <w:vAlign w:val="top"/>
          </w:tcPr>
          <w:p w14:paraId="03E4D7A5">
            <w:pPr>
              <w:pStyle w:val="76"/>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noWrap w:val="0"/>
            <w:vAlign w:val="top"/>
          </w:tcPr>
          <w:p w14:paraId="7E1536AB">
            <w:pPr>
              <w:pStyle w:val="76"/>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01EA30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1731D107">
            <w:pPr>
              <w:pStyle w:val="76"/>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noWrap w:val="0"/>
            <w:vAlign w:val="top"/>
          </w:tcPr>
          <w:p w14:paraId="0B3521BF">
            <w:pPr>
              <w:pStyle w:val="76"/>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noWrap w:val="0"/>
            <w:vAlign w:val="top"/>
          </w:tcPr>
          <w:p w14:paraId="196ECB51">
            <w:pPr>
              <w:pStyle w:val="76"/>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noWrap w:val="0"/>
            <w:vAlign w:val="top"/>
          </w:tcPr>
          <w:p w14:paraId="2957084F">
            <w:pPr>
              <w:pStyle w:val="76"/>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3B6A47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365829DC">
            <w:pPr>
              <w:pStyle w:val="76"/>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noWrap w:val="0"/>
            <w:vAlign w:val="top"/>
          </w:tcPr>
          <w:p w14:paraId="3861F1C5">
            <w:pPr>
              <w:pStyle w:val="76"/>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noWrap w:val="0"/>
            <w:vAlign w:val="top"/>
          </w:tcPr>
          <w:p w14:paraId="04B6CA88">
            <w:pPr>
              <w:pStyle w:val="76"/>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noWrap w:val="0"/>
            <w:vAlign w:val="top"/>
          </w:tcPr>
          <w:p w14:paraId="5C34CB71">
            <w:pPr>
              <w:pStyle w:val="76"/>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3142E4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2A080D0C">
            <w:pPr>
              <w:pStyle w:val="76"/>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Borders>
              <w:bottom w:val="single" w:color="auto" w:sz="4" w:space="0"/>
            </w:tcBorders>
            <w:noWrap w:val="0"/>
            <w:vAlign w:val="top"/>
          </w:tcPr>
          <w:p w14:paraId="7651EE83">
            <w:pPr>
              <w:pStyle w:val="76"/>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Borders>
              <w:bottom w:val="single" w:color="auto" w:sz="4" w:space="0"/>
            </w:tcBorders>
            <w:noWrap w:val="0"/>
            <w:vAlign w:val="top"/>
          </w:tcPr>
          <w:p w14:paraId="59EEDD6B">
            <w:pPr>
              <w:pStyle w:val="76"/>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bottom w:val="single" w:color="auto" w:sz="4" w:space="0"/>
              <w:right w:val="single" w:color="auto" w:sz="4" w:space="0"/>
            </w:tcBorders>
            <w:noWrap w:val="0"/>
            <w:vAlign w:val="top"/>
          </w:tcPr>
          <w:p w14:paraId="562E43C6">
            <w:pPr>
              <w:pStyle w:val="76"/>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bl>
    <w:p w14:paraId="687FFEC6">
      <w:pPr>
        <w:pStyle w:val="76"/>
        <w:tabs>
          <w:tab w:val="left" w:pos="1050"/>
        </w:tabs>
        <w:spacing w:line="360" w:lineRule="auto"/>
        <w:rPr>
          <w:rFonts w:hint="eastAsia" w:ascii="宋体" w:hAnsi="宋体" w:eastAsia="宋体" w:cs="宋体"/>
          <w:color w:val="000000" w:themeColor="text1"/>
          <w:sz w:val="24"/>
          <w:highlight w:val="none"/>
          <w14:textFill>
            <w14:solidFill>
              <w14:schemeClr w14:val="tx1"/>
            </w14:solidFill>
          </w14:textFill>
        </w:rPr>
      </w:pPr>
    </w:p>
    <w:p w14:paraId="1D6C5025">
      <w:pPr>
        <w:pStyle w:val="76"/>
        <w:tabs>
          <w:tab w:val="left" w:pos="1050"/>
        </w:tabs>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要求：</w:t>
      </w:r>
    </w:p>
    <w:p w14:paraId="3779333E">
      <w:pPr>
        <w:pStyle w:val="76"/>
        <w:tabs>
          <w:tab w:val="left" w:pos="1050"/>
        </w:tabs>
        <w:spacing w:line="360" w:lineRule="auto"/>
        <w:ind w:firstLine="424" w:firstLineChars="20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1.填写磋商供应商获得资质、认证或企业信誉证书。</w:t>
      </w:r>
    </w:p>
    <w:p w14:paraId="465496B0">
      <w:pPr>
        <w:pStyle w:val="76"/>
        <w:tabs>
          <w:tab w:val="left" w:pos="1050"/>
        </w:tabs>
        <w:spacing w:line="360" w:lineRule="auto"/>
        <w:ind w:firstLine="424" w:firstLineChars="20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2.附所列证书复印件或其他证明材料。</w:t>
      </w:r>
    </w:p>
    <w:p w14:paraId="247FE1D5">
      <w:pPr>
        <w:pStyle w:val="76"/>
        <w:tabs>
          <w:tab w:val="left" w:pos="1050"/>
        </w:tabs>
        <w:spacing w:line="360" w:lineRule="auto"/>
        <w:ind w:firstLine="424" w:firstLineChars="202"/>
        <w:rPr>
          <w:rFonts w:hint="eastAsia" w:ascii="宋体" w:hAnsi="宋体" w:eastAsia="宋体" w:cs="宋体"/>
          <w:color w:val="000000" w:themeColor="text1"/>
          <w:szCs w:val="21"/>
          <w:highlight w:val="none"/>
          <w14:textFill>
            <w14:solidFill>
              <w14:schemeClr w14:val="tx1"/>
            </w14:solidFill>
          </w14:textFill>
        </w:rPr>
      </w:pPr>
    </w:p>
    <w:p w14:paraId="2B655D48">
      <w:pPr>
        <w:pStyle w:val="76"/>
        <w:tabs>
          <w:tab w:val="left" w:pos="1050"/>
        </w:tabs>
        <w:spacing w:line="360" w:lineRule="auto"/>
        <w:ind w:firstLine="720" w:firstLineChars="300"/>
        <w:rPr>
          <w:rFonts w:hint="eastAsia" w:ascii="宋体" w:hAnsi="宋体" w:eastAsia="宋体" w:cs="宋体"/>
          <w:color w:val="000000" w:themeColor="text1"/>
          <w:sz w:val="24"/>
          <w:highlight w:val="none"/>
          <w14:textFill>
            <w14:solidFill>
              <w14:schemeClr w14:val="tx1"/>
            </w14:solidFill>
          </w14:textFill>
        </w:rPr>
      </w:pPr>
    </w:p>
    <w:p w14:paraId="59311D80">
      <w:pPr>
        <w:pStyle w:val="76"/>
        <w:tabs>
          <w:tab w:val="left" w:pos="1050"/>
        </w:tabs>
        <w:spacing w:line="360" w:lineRule="auto"/>
        <w:ind w:firstLine="720" w:firstLineChars="300"/>
        <w:rPr>
          <w:rFonts w:hint="eastAsia" w:ascii="宋体" w:hAnsi="宋体" w:eastAsia="宋体" w:cs="宋体"/>
          <w:color w:val="000000" w:themeColor="text1"/>
          <w:sz w:val="24"/>
          <w:highlight w:val="none"/>
          <w14:textFill>
            <w14:solidFill>
              <w14:schemeClr w14:val="tx1"/>
            </w14:solidFill>
          </w14:textFill>
        </w:rPr>
      </w:pPr>
    </w:p>
    <w:p w14:paraId="2C3BDD4A">
      <w:pPr>
        <w:pStyle w:val="76"/>
        <w:tabs>
          <w:tab w:val="left" w:pos="1050"/>
        </w:tabs>
        <w:spacing w:line="360" w:lineRule="auto"/>
        <w:ind w:firstLine="720" w:firstLineChars="300"/>
        <w:rPr>
          <w:rFonts w:hint="eastAsia" w:ascii="宋体" w:hAnsi="宋体" w:eastAsia="宋体" w:cs="宋体"/>
          <w:color w:val="000000" w:themeColor="text1"/>
          <w:sz w:val="24"/>
          <w:highlight w:val="none"/>
          <w14:textFill>
            <w14:solidFill>
              <w14:schemeClr w14:val="tx1"/>
            </w14:solidFill>
          </w14:textFill>
        </w:rPr>
      </w:pPr>
    </w:p>
    <w:p w14:paraId="1E79705E">
      <w:pPr>
        <w:spacing w:line="360" w:lineRule="auto"/>
        <w:ind w:firstLine="424" w:firstLineChars="177"/>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64DD520F">
      <w:pPr>
        <w:spacing w:line="360" w:lineRule="auto"/>
        <w:ind w:left="420"/>
        <w:rPr>
          <w:rFonts w:hint="eastAsia" w:ascii="宋体" w:hAnsi="宋体" w:eastAsia="宋体" w:cs="宋体"/>
          <w:color w:val="000000" w:themeColor="text1"/>
          <w:sz w:val="24"/>
          <w:highlight w:val="none"/>
          <w14:textFill>
            <w14:solidFill>
              <w14:schemeClr w14:val="tx1"/>
            </w14:solidFill>
          </w14:textFill>
        </w:rPr>
      </w:pPr>
    </w:p>
    <w:p w14:paraId="73B751E2">
      <w:pPr>
        <w:spacing w:line="360" w:lineRule="auto"/>
        <w:ind w:firstLine="424" w:firstLineChars="17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磋商供应商代表</w:t>
      </w:r>
      <w:r>
        <w:rPr>
          <w:rFonts w:hint="eastAsia" w:ascii="宋体" w:hAnsi="宋体" w:cs="宋体"/>
          <w:color w:val="000000" w:themeColor="text1"/>
          <w:sz w:val="24"/>
          <w:highlight w:val="none"/>
          <w:lang w:eastAsia="zh-CN"/>
          <w14:textFill>
            <w14:solidFill>
              <w14:schemeClr w14:val="tx1"/>
            </w14:solidFill>
          </w14:textFill>
        </w:rPr>
        <w:t>签字或盖章</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1CA502E">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14:paraId="38B77E50">
      <w:pPr>
        <w:spacing w:line="360" w:lineRule="auto"/>
        <w:ind w:firstLine="424" w:firstLineChars="177"/>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        务：</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6B26DACA">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7F2FEC2A">
      <w:pPr>
        <w:pStyle w:val="83"/>
        <w:shd w:val="clear" w:color="auto" w:fill="FFFFFF"/>
        <w:spacing w:before="0" w:beforeAutospacing="0" w:after="0" w:afterAutospacing="0" w:line="360" w:lineRule="auto"/>
        <w:ind w:firstLine="424" w:firstLineChars="177"/>
        <w:rPr>
          <w:rFonts w:hint="eastAsia" w:ascii="宋体" w:hAnsi="宋体" w:eastAsia="宋体" w:cs="宋体"/>
          <w:b/>
          <w:bCs/>
          <w:color w:val="000000" w:themeColor="text1"/>
          <w:spacing w:val="1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        期：</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p>
    <w:p w14:paraId="2D5FB3EF">
      <w:pPr>
        <w:spacing w:line="360" w:lineRule="auto"/>
        <w:rPr>
          <w:rFonts w:hint="eastAsia" w:ascii="宋体" w:hAnsi="宋体" w:eastAsia="宋体" w:cs="宋体"/>
          <w:b/>
          <w:color w:val="000000" w:themeColor="text1"/>
          <w:sz w:val="28"/>
          <w:highlight w:val="none"/>
          <w14:textFill>
            <w14:solidFill>
              <w14:schemeClr w14:val="tx1"/>
            </w14:solidFill>
          </w14:textFill>
        </w:rPr>
      </w:pPr>
    </w:p>
    <w:p w14:paraId="5A5968D3">
      <w:pPr>
        <w:spacing w:line="360" w:lineRule="auto"/>
        <w:rPr>
          <w:rFonts w:hint="eastAsia" w:ascii="宋体" w:hAnsi="宋体" w:eastAsia="宋体" w:cs="宋体"/>
          <w:b/>
          <w:color w:val="000000" w:themeColor="text1"/>
          <w:sz w:val="28"/>
          <w:highlight w:val="none"/>
          <w14:textFill>
            <w14:solidFill>
              <w14:schemeClr w14:val="tx1"/>
            </w14:solidFill>
          </w14:textFill>
        </w:rPr>
      </w:pPr>
    </w:p>
    <w:p w14:paraId="53CAAA70">
      <w:pPr>
        <w:pStyle w:val="4"/>
        <w:jc w:val="center"/>
        <w:rPr>
          <w:rFonts w:hint="eastAsia" w:ascii="宋体" w:hAnsi="宋体" w:eastAsia="宋体" w:cs="宋体"/>
          <w:b w:val="0"/>
          <w:color w:val="000000" w:themeColor="text1"/>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附件9：</w:t>
      </w:r>
      <w:r>
        <w:rPr>
          <w:rFonts w:hint="eastAsia" w:ascii="宋体" w:hAnsi="宋体" w:eastAsia="宋体" w:cs="宋体"/>
          <w:b w:val="0"/>
          <w:color w:val="000000" w:themeColor="text1"/>
          <w:highlight w:val="none"/>
          <w14:textFill>
            <w14:solidFill>
              <w14:schemeClr w14:val="tx1"/>
            </w14:solidFill>
          </w14:textFill>
        </w:rPr>
        <w:t>类似项目业绩一览表</w:t>
      </w:r>
    </w:p>
    <w:p w14:paraId="6FBD1469">
      <w:pPr>
        <w:pStyle w:val="70"/>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095CE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5C78A41D">
            <w:pPr>
              <w:pStyle w:val="70"/>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noWrap w:val="0"/>
            <w:vAlign w:val="center"/>
          </w:tcPr>
          <w:p w14:paraId="4162207B">
            <w:pPr>
              <w:pStyle w:val="70"/>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noWrap w:val="0"/>
            <w:vAlign w:val="center"/>
          </w:tcPr>
          <w:p w14:paraId="494F8A4F">
            <w:pPr>
              <w:pStyle w:val="70"/>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4576C9F3">
            <w:pPr>
              <w:pStyle w:val="70"/>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noWrap w:val="0"/>
            <w:vAlign w:val="center"/>
          </w:tcPr>
          <w:p w14:paraId="5554113C">
            <w:pPr>
              <w:pStyle w:val="70"/>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noWrap w:val="0"/>
            <w:vAlign w:val="center"/>
          </w:tcPr>
          <w:p w14:paraId="345B64ED">
            <w:pPr>
              <w:pStyle w:val="70"/>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noWrap w:val="0"/>
            <w:vAlign w:val="center"/>
          </w:tcPr>
          <w:p w14:paraId="36F734E2">
            <w:pPr>
              <w:pStyle w:val="70"/>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项目单位名称及其联系人电话</w:t>
            </w:r>
          </w:p>
        </w:tc>
      </w:tr>
      <w:tr w14:paraId="7DEA2F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4D0F1921">
            <w:pPr>
              <w:pStyle w:val="7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7801D07E">
            <w:pPr>
              <w:pStyle w:val="7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34003BD6">
            <w:pPr>
              <w:pStyle w:val="7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0052AE6">
            <w:pPr>
              <w:pStyle w:val="7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69F578FF">
            <w:pPr>
              <w:pStyle w:val="7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3B203C27">
            <w:pPr>
              <w:pStyle w:val="7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620029E1">
            <w:pPr>
              <w:pStyle w:val="70"/>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78958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012C0BF8">
            <w:pPr>
              <w:pStyle w:val="7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150A1940">
            <w:pPr>
              <w:pStyle w:val="7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30F45CDB">
            <w:pPr>
              <w:pStyle w:val="7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CB6A413">
            <w:pPr>
              <w:pStyle w:val="7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08235001">
            <w:pPr>
              <w:pStyle w:val="7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5C9E7E55">
            <w:pPr>
              <w:pStyle w:val="7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60309682">
            <w:pPr>
              <w:pStyle w:val="70"/>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2F7CD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05413B4E">
            <w:pPr>
              <w:pStyle w:val="7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40BD9F18">
            <w:pPr>
              <w:pStyle w:val="7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45E86D1E">
            <w:pPr>
              <w:pStyle w:val="7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2490565">
            <w:pPr>
              <w:pStyle w:val="7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624909EC">
            <w:pPr>
              <w:pStyle w:val="7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77C6D7D3">
            <w:pPr>
              <w:pStyle w:val="7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1EB760A2">
            <w:pPr>
              <w:pStyle w:val="70"/>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01ADD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0017B7E5">
            <w:pPr>
              <w:pStyle w:val="7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5D440F48">
            <w:pPr>
              <w:pStyle w:val="7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32C66AC6">
            <w:pPr>
              <w:pStyle w:val="7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37D8383">
            <w:pPr>
              <w:pStyle w:val="7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2F0B8070">
            <w:pPr>
              <w:pStyle w:val="7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343345E7">
            <w:pPr>
              <w:pStyle w:val="7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3DFE1623">
            <w:pPr>
              <w:pStyle w:val="70"/>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1D521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27828A01">
            <w:pPr>
              <w:pStyle w:val="7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50EA683B">
            <w:pPr>
              <w:pStyle w:val="7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676C6A11">
            <w:pPr>
              <w:pStyle w:val="7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9FABED6">
            <w:pPr>
              <w:pStyle w:val="7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62175E25">
            <w:pPr>
              <w:pStyle w:val="7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64283719">
            <w:pPr>
              <w:pStyle w:val="7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548FA4D3">
            <w:pPr>
              <w:pStyle w:val="70"/>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33C63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505058D3">
            <w:pPr>
              <w:pStyle w:val="7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3B906DB0">
            <w:pPr>
              <w:pStyle w:val="7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637E3276">
            <w:pPr>
              <w:pStyle w:val="7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298DA62">
            <w:pPr>
              <w:pStyle w:val="7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67000A32">
            <w:pPr>
              <w:pStyle w:val="7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452A26AC">
            <w:pPr>
              <w:pStyle w:val="7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1C38D423">
            <w:pPr>
              <w:pStyle w:val="70"/>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14B41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0B3BD50E">
            <w:pPr>
              <w:pStyle w:val="7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7FB00C9E">
            <w:pPr>
              <w:pStyle w:val="7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4A1452F9">
            <w:pPr>
              <w:pStyle w:val="7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229A07D">
            <w:pPr>
              <w:pStyle w:val="7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7D39DE59">
            <w:pPr>
              <w:pStyle w:val="7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62C7215E">
            <w:pPr>
              <w:pStyle w:val="7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638C2A8A">
            <w:pPr>
              <w:pStyle w:val="70"/>
              <w:spacing w:line="360" w:lineRule="auto"/>
              <w:rPr>
                <w:rFonts w:hint="eastAsia" w:ascii="宋体" w:hAnsi="宋体" w:eastAsia="宋体" w:cs="宋体"/>
                <w:color w:val="000000" w:themeColor="text1"/>
                <w:sz w:val="24"/>
                <w:highlight w:val="none"/>
                <w14:textFill>
                  <w14:solidFill>
                    <w14:schemeClr w14:val="tx1"/>
                  </w14:solidFill>
                </w14:textFill>
              </w:rPr>
            </w:pPr>
          </w:p>
        </w:tc>
      </w:tr>
    </w:tbl>
    <w:p w14:paraId="145A240D">
      <w:pPr>
        <w:autoSpaceDE w:val="0"/>
        <w:autoSpaceDN w:val="0"/>
        <w:adjustRightInd w:val="0"/>
        <w:spacing w:before="156" w:beforeLines="50"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要求：</w:t>
      </w:r>
    </w:p>
    <w:p w14:paraId="17796689">
      <w:pPr>
        <w:autoSpaceDE w:val="0"/>
        <w:autoSpaceDN w:val="0"/>
        <w:adjustRightInd w:val="0"/>
        <w:spacing w:before="156" w:beforeLines="50" w:line="360" w:lineRule="auto"/>
        <w:ind w:firstLine="424" w:firstLineChars="202"/>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1.业绩证明应提供证明材料（合同复印件可只提供首页、含金额页、盖章页并加盖磋商供应商公章）；</w:t>
      </w:r>
    </w:p>
    <w:p w14:paraId="12672AEB">
      <w:pPr>
        <w:spacing w:line="360" w:lineRule="auto"/>
        <w:ind w:firstLine="424" w:firstLineChars="20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2.磋商供应商可按此表格式复制。</w:t>
      </w:r>
    </w:p>
    <w:p w14:paraId="63BA42D6">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p w14:paraId="6280BC2B">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p w14:paraId="767BFC71">
      <w:pPr>
        <w:spacing w:line="360" w:lineRule="auto"/>
        <w:ind w:left="42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1F17EC4">
      <w:pPr>
        <w:spacing w:line="360" w:lineRule="auto"/>
        <w:ind w:left="420"/>
        <w:rPr>
          <w:rFonts w:hint="eastAsia" w:ascii="宋体" w:hAnsi="宋体" w:eastAsia="宋体" w:cs="宋体"/>
          <w:color w:val="000000" w:themeColor="text1"/>
          <w:sz w:val="24"/>
          <w:highlight w:val="none"/>
          <w14:textFill>
            <w14:solidFill>
              <w14:schemeClr w14:val="tx1"/>
            </w14:solidFill>
          </w14:textFill>
        </w:rPr>
      </w:pPr>
    </w:p>
    <w:p w14:paraId="5C51C5AD">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磋商供应商代表</w:t>
      </w:r>
      <w:r>
        <w:rPr>
          <w:rFonts w:hint="eastAsia" w:ascii="宋体" w:hAnsi="宋体" w:cs="宋体"/>
          <w:color w:val="000000" w:themeColor="text1"/>
          <w:sz w:val="24"/>
          <w:highlight w:val="none"/>
          <w:lang w:eastAsia="zh-CN"/>
          <w14:textFill>
            <w14:solidFill>
              <w14:schemeClr w14:val="tx1"/>
            </w14:solidFill>
          </w14:textFill>
        </w:rPr>
        <w:t>签字或盖章</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BF07126">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14:paraId="0DFA123E">
      <w:pPr>
        <w:spacing w:line="360" w:lineRule="auto"/>
        <w:ind w:firstLine="435"/>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        务：</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1BE4C7A9">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071FDE97">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9806371">
      <w:pPr>
        <w:jc w:val="center"/>
        <w:rPr>
          <w:rFonts w:hint="eastAsia" w:ascii="宋体" w:hAnsi="宋体" w:eastAsia="宋体" w:cs="宋体"/>
          <w:snapToGrid w:val="0"/>
          <w:color w:val="000000" w:themeColor="text1"/>
          <w:kern w:val="0"/>
          <w:sz w:val="24"/>
          <w:highlight w:val="none"/>
          <w14:textFill>
            <w14:solidFill>
              <w14:schemeClr w14:val="tx1"/>
            </w14:solidFill>
          </w14:textFill>
        </w:rPr>
      </w:pPr>
    </w:p>
    <w:p w14:paraId="6DC635A9">
      <w:pPr>
        <w:pStyle w:val="4"/>
        <w:jc w:val="center"/>
        <w:rPr>
          <w:rFonts w:hint="eastAsia" w:ascii="宋体" w:hAnsi="宋体" w:eastAsia="宋体" w:cs="宋体"/>
          <w:b w:val="0"/>
          <w:color w:val="000000" w:themeColor="text1"/>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附件10：</w:t>
      </w:r>
      <w:r>
        <w:rPr>
          <w:rFonts w:hint="eastAsia" w:ascii="宋体" w:hAnsi="宋体" w:eastAsia="宋体" w:cs="宋体"/>
          <w:b w:val="0"/>
          <w:color w:val="000000" w:themeColor="text1"/>
          <w:highlight w:val="none"/>
          <w14:textFill>
            <w14:solidFill>
              <w14:schemeClr w14:val="tx1"/>
            </w14:solidFill>
          </w14:textFill>
        </w:rPr>
        <w:t>售后服务措施及承诺</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1D2DC8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14:paraId="5F3AD1DC">
            <w:pPr>
              <w:pStyle w:val="67"/>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2355" w:type="dxa"/>
            <w:noWrap w:val="0"/>
            <w:vAlign w:val="center"/>
          </w:tcPr>
          <w:p w14:paraId="1CE77B05">
            <w:pPr>
              <w:pStyle w:val="67"/>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w:t>
            </w:r>
          </w:p>
        </w:tc>
        <w:tc>
          <w:tcPr>
            <w:tcW w:w="4061" w:type="dxa"/>
            <w:noWrap w:val="0"/>
            <w:vAlign w:val="center"/>
          </w:tcPr>
          <w:p w14:paraId="038B0646">
            <w:pPr>
              <w:pStyle w:val="67"/>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磋商供应商承诺</w:t>
            </w:r>
          </w:p>
        </w:tc>
        <w:tc>
          <w:tcPr>
            <w:tcW w:w="1373" w:type="dxa"/>
            <w:noWrap w:val="0"/>
            <w:vAlign w:val="center"/>
          </w:tcPr>
          <w:p w14:paraId="018AEE12">
            <w:pPr>
              <w:pStyle w:val="67"/>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w:t>
            </w:r>
          </w:p>
        </w:tc>
      </w:tr>
      <w:tr w14:paraId="2DED6B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noWrap w:val="0"/>
            <w:vAlign w:val="center"/>
          </w:tcPr>
          <w:p w14:paraId="41DEE68E">
            <w:pPr>
              <w:pStyle w:val="67"/>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w:t>
            </w:r>
          </w:p>
        </w:tc>
        <w:tc>
          <w:tcPr>
            <w:tcW w:w="2355" w:type="dxa"/>
            <w:noWrap w:val="0"/>
            <w:vAlign w:val="center"/>
          </w:tcPr>
          <w:p w14:paraId="2F2030B4">
            <w:pPr>
              <w:pStyle w:val="67"/>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服务期内售后服务情况(服务方式、服务网点、售后服务的内容和措施等等，可用附页和宣传材料)</w:t>
            </w:r>
          </w:p>
        </w:tc>
        <w:tc>
          <w:tcPr>
            <w:tcW w:w="4061" w:type="dxa"/>
            <w:noWrap w:val="0"/>
            <w:vAlign w:val="top"/>
          </w:tcPr>
          <w:p w14:paraId="20FAD0B4">
            <w:pPr>
              <w:pStyle w:val="67"/>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磋商供应商售后服务情况：</w:t>
            </w:r>
          </w:p>
        </w:tc>
        <w:tc>
          <w:tcPr>
            <w:tcW w:w="1373" w:type="dxa"/>
            <w:noWrap w:val="0"/>
            <w:vAlign w:val="top"/>
          </w:tcPr>
          <w:p w14:paraId="699967E4">
            <w:pPr>
              <w:pStyle w:val="67"/>
              <w:spacing w:line="360" w:lineRule="auto"/>
              <w:rPr>
                <w:rFonts w:hint="eastAsia" w:ascii="宋体" w:hAnsi="宋体" w:eastAsia="宋体" w:cs="宋体"/>
                <w:bCs/>
                <w:color w:val="000000" w:themeColor="text1"/>
                <w:sz w:val="24"/>
                <w:highlight w:val="none"/>
                <w14:textFill>
                  <w14:solidFill>
                    <w14:schemeClr w14:val="tx1"/>
                  </w14:solidFill>
                </w14:textFill>
              </w:rPr>
            </w:pPr>
          </w:p>
        </w:tc>
      </w:tr>
      <w:tr w14:paraId="462FC6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noWrap w:val="0"/>
            <w:vAlign w:val="center"/>
          </w:tcPr>
          <w:p w14:paraId="7BBD0AF6">
            <w:pPr>
              <w:pStyle w:val="67"/>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w:t>
            </w:r>
          </w:p>
        </w:tc>
        <w:tc>
          <w:tcPr>
            <w:tcW w:w="2355" w:type="dxa"/>
            <w:noWrap w:val="0"/>
            <w:vAlign w:val="center"/>
          </w:tcPr>
          <w:p w14:paraId="5D90A591">
            <w:pPr>
              <w:pStyle w:val="67"/>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服务期后售后服务</w:t>
            </w:r>
          </w:p>
        </w:tc>
        <w:tc>
          <w:tcPr>
            <w:tcW w:w="4061" w:type="dxa"/>
            <w:noWrap w:val="0"/>
            <w:vAlign w:val="top"/>
          </w:tcPr>
          <w:p w14:paraId="606BA5B6">
            <w:pPr>
              <w:pStyle w:val="67"/>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14:paraId="5B0F0138">
            <w:pPr>
              <w:pStyle w:val="67"/>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14:paraId="5FB1756A">
            <w:pPr>
              <w:pStyle w:val="67"/>
              <w:spacing w:line="360" w:lineRule="auto"/>
              <w:rPr>
                <w:rFonts w:hint="eastAsia" w:ascii="宋体" w:hAnsi="宋体" w:eastAsia="宋体" w:cs="宋体"/>
                <w:bCs/>
                <w:color w:val="000000" w:themeColor="text1"/>
                <w:sz w:val="24"/>
                <w:highlight w:val="none"/>
                <w14:textFill>
                  <w14:solidFill>
                    <w14:schemeClr w14:val="tx1"/>
                  </w14:solidFill>
                </w14:textFill>
              </w:rPr>
            </w:pPr>
          </w:p>
        </w:tc>
        <w:tc>
          <w:tcPr>
            <w:tcW w:w="1373" w:type="dxa"/>
            <w:noWrap w:val="0"/>
            <w:vAlign w:val="top"/>
          </w:tcPr>
          <w:p w14:paraId="253101C4">
            <w:pPr>
              <w:pStyle w:val="67"/>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14:paraId="4F26312D">
            <w:pPr>
              <w:pStyle w:val="67"/>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14:paraId="7BA64D6A">
            <w:pPr>
              <w:pStyle w:val="67"/>
              <w:spacing w:line="360" w:lineRule="auto"/>
              <w:rPr>
                <w:rFonts w:hint="eastAsia" w:ascii="宋体" w:hAnsi="宋体" w:eastAsia="宋体" w:cs="宋体"/>
                <w:bCs/>
                <w:color w:val="000000" w:themeColor="text1"/>
                <w:sz w:val="24"/>
                <w:highlight w:val="none"/>
                <w14:textFill>
                  <w14:solidFill>
                    <w14:schemeClr w14:val="tx1"/>
                  </w14:solidFill>
                </w14:textFill>
              </w:rPr>
            </w:pPr>
          </w:p>
        </w:tc>
      </w:tr>
      <w:tr w14:paraId="5D904B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2B41213E">
            <w:pPr>
              <w:pStyle w:val="67"/>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 xml:space="preserve"> 3</w:t>
            </w:r>
          </w:p>
        </w:tc>
        <w:tc>
          <w:tcPr>
            <w:tcW w:w="2355" w:type="dxa"/>
            <w:noWrap w:val="0"/>
            <w:vAlign w:val="center"/>
          </w:tcPr>
          <w:p w14:paraId="00D8A7F6">
            <w:pPr>
              <w:pStyle w:val="67"/>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tc>
        <w:tc>
          <w:tcPr>
            <w:tcW w:w="4061" w:type="dxa"/>
            <w:noWrap w:val="0"/>
            <w:vAlign w:val="top"/>
          </w:tcPr>
          <w:p w14:paraId="104FB3EC">
            <w:pPr>
              <w:pStyle w:val="67"/>
              <w:widowControl/>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p w14:paraId="311AD3AD">
            <w:pPr>
              <w:pStyle w:val="67"/>
              <w:widowControl/>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tc>
        <w:tc>
          <w:tcPr>
            <w:tcW w:w="1373" w:type="dxa"/>
            <w:noWrap w:val="0"/>
            <w:vAlign w:val="top"/>
          </w:tcPr>
          <w:p w14:paraId="305B1179">
            <w:pPr>
              <w:pStyle w:val="67"/>
              <w:widowControl/>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p w14:paraId="7B723163">
            <w:pPr>
              <w:pStyle w:val="67"/>
              <w:widowControl/>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p w14:paraId="4E71EF93">
            <w:pPr>
              <w:pStyle w:val="67"/>
              <w:widowControl/>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tc>
      </w:tr>
      <w:tr w14:paraId="14BF9C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14:paraId="5984348E">
            <w:pPr>
              <w:pStyle w:val="67"/>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p>
        </w:tc>
        <w:tc>
          <w:tcPr>
            <w:tcW w:w="2355" w:type="dxa"/>
            <w:noWrap w:val="0"/>
            <w:vAlign w:val="center"/>
          </w:tcPr>
          <w:p w14:paraId="06772ACE">
            <w:pPr>
              <w:pStyle w:val="67"/>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p>
        </w:tc>
        <w:tc>
          <w:tcPr>
            <w:tcW w:w="4061" w:type="dxa"/>
            <w:noWrap w:val="0"/>
            <w:vAlign w:val="top"/>
          </w:tcPr>
          <w:p w14:paraId="526E962F">
            <w:pPr>
              <w:pStyle w:val="67"/>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tc>
        <w:tc>
          <w:tcPr>
            <w:tcW w:w="1373" w:type="dxa"/>
            <w:noWrap w:val="0"/>
            <w:vAlign w:val="top"/>
          </w:tcPr>
          <w:p w14:paraId="6BA4E5D1">
            <w:pPr>
              <w:pStyle w:val="67"/>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tc>
      </w:tr>
    </w:tbl>
    <w:p w14:paraId="5E1A2426">
      <w:pPr>
        <w:spacing w:line="360" w:lineRule="auto"/>
        <w:ind w:left="420"/>
        <w:rPr>
          <w:rFonts w:hint="eastAsia" w:ascii="宋体" w:hAnsi="宋体" w:eastAsia="宋体" w:cs="宋体"/>
          <w:color w:val="000000" w:themeColor="text1"/>
          <w:sz w:val="24"/>
          <w:highlight w:val="none"/>
          <w14:textFill>
            <w14:solidFill>
              <w14:schemeClr w14:val="tx1"/>
            </w14:solidFill>
          </w14:textFill>
        </w:rPr>
      </w:pPr>
    </w:p>
    <w:p w14:paraId="02DACBAB">
      <w:pPr>
        <w:spacing w:line="360" w:lineRule="auto"/>
        <w:ind w:left="420"/>
        <w:rPr>
          <w:rFonts w:hint="eastAsia" w:ascii="宋体" w:hAnsi="宋体" w:eastAsia="宋体" w:cs="宋体"/>
          <w:color w:val="000000" w:themeColor="text1"/>
          <w:sz w:val="24"/>
          <w:highlight w:val="none"/>
          <w14:textFill>
            <w14:solidFill>
              <w14:schemeClr w14:val="tx1"/>
            </w14:solidFill>
          </w14:textFill>
        </w:rPr>
      </w:pPr>
    </w:p>
    <w:p w14:paraId="11DE3CB5">
      <w:pPr>
        <w:spacing w:line="360" w:lineRule="auto"/>
        <w:ind w:left="42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02360D79">
      <w:pPr>
        <w:spacing w:line="360" w:lineRule="auto"/>
        <w:ind w:lef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3EF091C1">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磋商供应商代表</w:t>
      </w:r>
      <w:r>
        <w:rPr>
          <w:rFonts w:hint="eastAsia" w:ascii="宋体" w:hAnsi="宋体" w:cs="宋体"/>
          <w:color w:val="000000" w:themeColor="text1"/>
          <w:sz w:val="24"/>
          <w:highlight w:val="none"/>
          <w:lang w:eastAsia="zh-CN"/>
          <w14:textFill>
            <w14:solidFill>
              <w14:schemeClr w14:val="tx1"/>
            </w14:solidFill>
          </w14:textFill>
        </w:rPr>
        <w:t>签字或盖章</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FBDB39C">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14:paraId="4AE7B1F6">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        务：</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A3B1C60">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14:paraId="74D13052">
      <w:pPr>
        <w:spacing w:line="360" w:lineRule="auto"/>
        <w:ind w:firstLine="435"/>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9883979">
      <w:pPr>
        <w:spacing w:line="360" w:lineRule="auto"/>
        <w:ind w:firstLine="435"/>
        <w:rPr>
          <w:rFonts w:hint="eastAsia" w:ascii="宋体" w:hAnsi="宋体" w:eastAsia="宋体" w:cs="宋体"/>
          <w:color w:val="000000" w:themeColor="text1"/>
          <w:sz w:val="24"/>
          <w:highlight w:val="none"/>
          <w:u w:val="single"/>
          <w14:textFill>
            <w14:solidFill>
              <w14:schemeClr w14:val="tx1"/>
            </w14:solidFill>
          </w14:textFill>
        </w:rPr>
      </w:pPr>
    </w:p>
    <w:p w14:paraId="730A3620">
      <w:pPr>
        <w:spacing w:line="360" w:lineRule="auto"/>
        <w:rPr>
          <w:rFonts w:hint="eastAsia" w:ascii="宋体" w:hAnsi="宋体" w:eastAsia="宋体" w:cs="宋体"/>
          <w:b/>
          <w:color w:val="000000" w:themeColor="text1"/>
          <w:sz w:val="28"/>
          <w:highlight w:val="none"/>
          <w14:textFill>
            <w14:solidFill>
              <w14:schemeClr w14:val="tx1"/>
            </w14:solidFill>
          </w14:textFill>
        </w:rPr>
      </w:pPr>
    </w:p>
    <w:p w14:paraId="19BB4756">
      <w:pPr>
        <w:snapToGrid w:val="0"/>
        <w:spacing w:before="156" w:beforeLines="50" w:after="50" w:line="360" w:lineRule="auto"/>
        <w:rPr>
          <w:rFonts w:hint="eastAsia" w:ascii="宋体" w:hAnsi="宋体" w:eastAsia="宋体" w:cs="宋体"/>
          <w:b/>
          <w:color w:val="000000" w:themeColor="text1"/>
          <w:sz w:val="28"/>
          <w:highlight w:val="none"/>
          <w14:textFill>
            <w14:solidFill>
              <w14:schemeClr w14:val="tx1"/>
            </w14:solidFill>
          </w14:textFill>
        </w:rPr>
      </w:pPr>
    </w:p>
    <w:p w14:paraId="0F2E33CE">
      <w:pPr>
        <w:pStyle w:val="4"/>
        <w:jc w:val="center"/>
        <w:rPr>
          <w:rFonts w:hint="eastAsia" w:ascii="宋体" w:hAnsi="宋体" w:eastAsia="宋体" w:cs="宋体"/>
          <w:b w:val="0"/>
          <w:color w:val="000000" w:themeColor="text1"/>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附件11：</w:t>
      </w:r>
      <w:r>
        <w:rPr>
          <w:rFonts w:hint="eastAsia" w:ascii="宋体" w:hAnsi="宋体" w:eastAsia="宋体" w:cs="宋体"/>
          <w:b w:val="0"/>
          <w:color w:val="000000" w:themeColor="text1"/>
          <w:highlight w:val="none"/>
          <w14:textFill>
            <w14:solidFill>
              <w14:schemeClr w14:val="tx1"/>
            </w14:solidFill>
          </w14:textFill>
        </w:rPr>
        <w:t>首次报价一览表</w:t>
      </w:r>
    </w:p>
    <w:p w14:paraId="18B5DACB">
      <w:pPr>
        <w:pStyle w:val="20"/>
        <w:spacing w:line="320" w:lineRule="exact"/>
        <w:rPr>
          <w:rFonts w:hint="eastAsia" w:ascii="宋体" w:hAnsi="宋体" w:eastAsia="宋体" w:cs="宋体"/>
          <w:b/>
          <w:color w:val="000000" w:themeColor="text1"/>
          <w:sz w:val="24"/>
          <w:highlight w:val="none"/>
          <w14:textFill>
            <w14:solidFill>
              <w14:schemeClr w14:val="tx1"/>
            </w14:solidFill>
          </w14:textFill>
        </w:rPr>
      </w:pPr>
    </w:p>
    <w:p w14:paraId="7D481ED6">
      <w:pPr>
        <w:pStyle w:val="20"/>
        <w:spacing w:line="320" w:lineRule="exact"/>
        <w:rPr>
          <w:rFonts w:hint="eastAsia" w:ascii="宋体" w:hAnsi="宋体" w:eastAsia="宋体" w:cs="宋体"/>
          <w:b/>
          <w:color w:val="000000" w:themeColor="text1"/>
          <w:sz w:val="24"/>
          <w:highlight w:val="none"/>
          <w:u w:val="single"/>
          <w:lang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项目编号：</w:t>
      </w:r>
      <w:r>
        <w:rPr>
          <w:rFonts w:hint="eastAsia" w:hAnsi="宋体" w:cs="宋体"/>
          <w:b/>
          <w:color w:val="000000" w:themeColor="text1"/>
          <w:sz w:val="24"/>
          <w:highlight w:val="none"/>
          <w:u w:val="single"/>
          <w:lang w:eastAsia="zh-CN"/>
          <w14:textFill>
            <w14:solidFill>
              <w14:schemeClr w14:val="tx1"/>
            </w14:solidFill>
          </w14:textFill>
        </w:rPr>
        <w:t>HQ-YHZFCG-2024-1004</w:t>
      </w:r>
    </w:p>
    <w:p w14:paraId="5B5C7901">
      <w:pPr>
        <w:pStyle w:val="63"/>
        <w:spacing w:line="360" w:lineRule="auto"/>
        <w:ind w:right="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项目名称：</w:t>
      </w:r>
      <w:r>
        <w:rPr>
          <w:rFonts w:hint="eastAsia" w:ascii="宋体" w:hAnsi="宋体" w:cs="宋体"/>
          <w:b/>
          <w:color w:val="000000" w:themeColor="text1"/>
          <w:sz w:val="24"/>
          <w:highlight w:val="none"/>
          <w:u w:val="single"/>
          <w:lang w:eastAsia="zh-CN"/>
          <w14:textFill>
            <w14:solidFill>
              <w14:schemeClr w14:val="tx1"/>
            </w14:solidFill>
          </w14:textFill>
        </w:rPr>
        <w:t>玉环水库自然资源统一确权调查服务</w:t>
      </w:r>
      <w:r>
        <w:rPr>
          <w:rFonts w:hint="eastAsia" w:ascii="宋体" w:hAnsi="宋体" w:eastAsia="宋体" w:cs="宋体"/>
          <w:color w:val="000000" w:themeColor="text1"/>
          <w:sz w:val="24"/>
          <w:highlight w:val="none"/>
          <w14:textFill>
            <w14:solidFill>
              <w14:schemeClr w14:val="tx1"/>
            </w14:solidFill>
          </w14:textFill>
        </w:rPr>
        <w:t xml:space="preserve">                  </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14:paraId="380C72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469" w:hRule="atLeast"/>
          <w:jc w:val="center"/>
        </w:trPr>
        <w:tc>
          <w:tcPr>
            <w:tcW w:w="2694" w:type="dxa"/>
            <w:vMerge w:val="restart"/>
            <w:tcBorders>
              <w:tl2br w:val="nil"/>
              <w:tr2bl w:val="nil"/>
            </w:tcBorders>
            <w:noWrap w:val="0"/>
            <w:vAlign w:val="center"/>
          </w:tcPr>
          <w:p w14:paraId="40436B54">
            <w:pPr>
              <w:autoSpaceDE w:val="0"/>
              <w:autoSpaceDN w:val="0"/>
              <w:spacing w:line="450" w:lineRule="exact"/>
              <w:jc w:val="center"/>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投标报价(元)</w:t>
            </w:r>
          </w:p>
        </w:tc>
        <w:tc>
          <w:tcPr>
            <w:tcW w:w="1349" w:type="dxa"/>
            <w:tcBorders>
              <w:tl2br w:val="nil"/>
              <w:tr2bl w:val="nil"/>
            </w:tcBorders>
            <w:noWrap w:val="0"/>
            <w:vAlign w:val="center"/>
          </w:tcPr>
          <w:p w14:paraId="0B4BF536">
            <w:pPr>
              <w:autoSpaceDE w:val="0"/>
              <w:autoSpaceDN w:val="0"/>
              <w:spacing w:line="450" w:lineRule="exact"/>
              <w:jc w:val="center"/>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大写</w:t>
            </w:r>
          </w:p>
        </w:tc>
        <w:tc>
          <w:tcPr>
            <w:tcW w:w="4629" w:type="dxa"/>
            <w:tcBorders>
              <w:tl2br w:val="nil"/>
              <w:tr2bl w:val="nil"/>
            </w:tcBorders>
            <w:noWrap w:val="0"/>
            <w:vAlign w:val="center"/>
          </w:tcPr>
          <w:p w14:paraId="0B9FE5C9">
            <w:pPr>
              <w:autoSpaceDE w:val="0"/>
              <w:autoSpaceDN w:val="0"/>
              <w:spacing w:line="450" w:lineRule="exact"/>
              <w:jc w:val="center"/>
              <w:textAlignment w:val="bottom"/>
              <w:rPr>
                <w:rFonts w:hint="default" w:ascii="宋体" w:hAnsi="宋体" w:eastAsia="宋体" w:cs="宋体"/>
                <w:color w:val="000000" w:themeColor="text1"/>
                <w:sz w:val="24"/>
                <w:highlight w:val="none"/>
                <w:lang w:val="en-US" w:eastAsia="zh-CN"/>
                <w14:textFill>
                  <w14:solidFill>
                    <w14:schemeClr w14:val="tx1"/>
                  </w14:solidFill>
                </w14:textFill>
              </w:rPr>
            </w:pPr>
          </w:p>
        </w:tc>
      </w:tr>
      <w:tr w14:paraId="0E4F5D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530" w:hRule="atLeast"/>
          <w:jc w:val="center"/>
        </w:trPr>
        <w:tc>
          <w:tcPr>
            <w:tcW w:w="2694" w:type="dxa"/>
            <w:vMerge w:val="continue"/>
            <w:tcBorders>
              <w:tl2br w:val="nil"/>
              <w:tr2bl w:val="nil"/>
            </w:tcBorders>
            <w:noWrap w:val="0"/>
            <w:vAlign w:val="center"/>
          </w:tcPr>
          <w:p w14:paraId="3DAA5BA3">
            <w:pPr>
              <w:rPr>
                <w:rFonts w:hint="eastAsia" w:ascii="宋体" w:hAnsi="宋体" w:cs="宋体"/>
                <w:color w:val="000000" w:themeColor="text1"/>
                <w:sz w:val="24"/>
                <w:highlight w:val="none"/>
                <w14:textFill>
                  <w14:solidFill>
                    <w14:schemeClr w14:val="tx1"/>
                  </w14:solidFill>
                </w14:textFill>
              </w:rPr>
            </w:pPr>
          </w:p>
        </w:tc>
        <w:tc>
          <w:tcPr>
            <w:tcW w:w="1349" w:type="dxa"/>
            <w:tcBorders>
              <w:tl2br w:val="nil"/>
              <w:tr2bl w:val="nil"/>
            </w:tcBorders>
            <w:noWrap w:val="0"/>
            <w:vAlign w:val="center"/>
          </w:tcPr>
          <w:p w14:paraId="5BA5AB38">
            <w:pPr>
              <w:autoSpaceDE w:val="0"/>
              <w:autoSpaceDN w:val="0"/>
              <w:spacing w:line="450" w:lineRule="exact"/>
              <w:jc w:val="center"/>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小写</w:t>
            </w:r>
          </w:p>
        </w:tc>
        <w:tc>
          <w:tcPr>
            <w:tcW w:w="4629" w:type="dxa"/>
            <w:tcBorders>
              <w:tl2br w:val="nil"/>
              <w:tr2bl w:val="nil"/>
            </w:tcBorders>
            <w:noWrap w:val="0"/>
            <w:vAlign w:val="center"/>
          </w:tcPr>
          <w:p w14:paraId="17D5FF30">
            <w:pPr>
              <w:autoSpaceDE w:val="0"/>
              <w:autoSpaceDN w:val="0"/>
              <w:spacing w:line="450" w:lineRule="exact"/>
              <w:jc w:val="center"/>
              <w:textAlignment w:val="bottom"/>
              <w:rPr>
                <w:rFonts w:hint="default" w:ascii="宋体" w:hAnsi="宋体" w:eastAsia="宋体" w:cs="宋体"/>
                <w:color w:val="000000" w:themeColor="text1"/>
                <w:sz w:val="24"/>
                <w:highlight w:val="none"/>
                <w:lang w:val="en-US" w:eastAsia="zh-CN"/>
                <w14:textFill>
                  <w14:solidFill>
                    <w14:schemeClr w14:val="tx1"/>
                  </w14:solidFill>
                </w14:textFill>
              </w:rPr>
            </w:pPr>
          </w:p>
        </w:tc>
      </w:tr>
    </w:tbl>
    <w:p w14:paraId="4F22F9A6">
      <w:pPr>
        <w:spacing w:line="360" w:lineRule="auto"/>
        <w:ind w:left="480"/>
        <w:rPr>
          <w:rFonts w:hint="eastAsia" w:ascii="宋体" w:hAnsi="宋体" w:eastAsia="宋体" w:cs="宋体"/>
          <w:b/>
          <w:color w:val="000000" w:themeColor="text1"/>
          <w:sz w:val="30"/>
          <w:highlight w:val="none"/>
          <w14:textFill>
            <w14:solidFill>
              <w14:schemeClr w14:val="tx1"/>
            </w14:solidFill>
          </w14:textFill>
        </w:rPr>
      </w:pPr>
    </w:p>
    <w:p w14:paraId="7130134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填报要求：</w:t>
      </w:r>
    </w:p>
    <w:p w14:paraId="405D615F">
      <w:pPr>
        <w:pStyle w:val="11"/>
        <w:spacing w:line="360" w:lineRule="auto"/>
        <w:ind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1.总报价是包括劳务费、人员工资、技术服务、合同包含的所有风险责任等各项费用及不可预见费等所需的全部费用。</w:t>
      </w:r>
    </w:p>
    <w:p w14:paraId="5650EBBF">
      <w:pPr>
        <w:pStyle w:val="11"/>
        <w:spacing w:line="360" w:lineRule="auto"/>
        <w:ind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2.报价一经涂改，应在涂改处加盖单位公章，或者由法定代表人或全权代表签字或盖章，否则作无效标处理。</w:t>
      </w:r>
    </w:p>
    <w:p w14:paraId="7CFB56CF">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p>
    <w:p w14:paraId="7BE7568E">
      <w:pPr>
        <w:pStyle w:val="11"/>
        <w:rPr>
          <w:rFonts w:hint="eastAsia" w:ascii="宋体" w:hAnsi="宋体" w:eastAsia="宋体" w:cs="宋体"/>
          <w:color w:val="000000" w:themeColor="text1"/>
          <w:highlight w:val="none"/>
          <w14:textFill>
            <w14:solidFill>
              <w14:schemeClr w14:val="tx1"/>
            </w14:solidFill>
          </w14:textFill>
        </w:rPr>
      </w:pPr>
    </w:p>
    <w:p w14:paraId="4AD355BE">
      <w:pPr>
        <w:spacing w:line="320" w:lineRule="exact"/>
        <w:ind w:left="420"/>
        <w:rPr>
          <w:rFonts w:hint="eastAsia" w:ascii="宋体" w:hAnsi="宋体" w:eastAsia="宋体" w:cs="宋体"/>
          <w:color w:val="000000" w:themeColor="text1"/>
          <w:sz w:val="24"/>
          <w:highlight w:val="none"/>
          <w14:textFill>
            <w14:solidFill>
              <w14:schemeClr w14:val="tx1"/>
            </w14:solidFill>
          </w14:textFill>
        </w:rPr>
      </w:pPr>
    </w:p>
    <w:p w14:paraId="3C07F2C8">
      <w:pPr>
        <w:spacing w:line="320" w:lineRule="exact"/>
        <w:ind w:left="42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3BB25CB8">
      <w:pPr>
        <w:spacing w:line="320" w:lineRule="exact"/>
        <w:ind w:left="420"/>
        <w:rPr>
          <w:rFonts w:hint="eastAsia" w:ascii="宋体" w:hAnsi="宋体" w:eastAsia="宋体" w:cs="宋体"/>
          <w:color w:val="000000" w:themeColor="text1"/>
          <w:sz w:val="24"/>
          <w:highlight w:val="none"/>
          <w14:textFill>
            <w14:solidFill>
              <w14:schemeClr w14:val="tx1"/>
            </w14:solidFill>
          </w14:textFill>
        </w:rPr>
      </w:pPr>
    </w:p>
    <w:p w14:paraId="55F74DC1">
      <w:pPr>
        <w:spacing w:line="320" w:lineRule="exact"/>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磋商供应商代表</w:t>
      </w:r>
      <w:r>
        <w:rPr>
          <w:rFonts w:hint="eastAsia" w:ascii="宋体" w:hAnsi="宋体" w:cs="宋体"/>
          <w:color w:val="000000" w:themeColor="text1"/>
          <w:sz w:val="24"/>
          <w:highlight w:val="none"/>
          <w:lang w:eastAsia="zh-CN"/>
          <w14:textFill>
            <w14:solidFill>
              <w14:schemeClr w14:val="tx1"/>
            </w14:solidFill>
          </w14:textFill>
        </w:rPr>
        <w:t>签字或盖章</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F1FD149">
      <w:pPr>
        <w:spacing w:line="320" w:lineRule="exact"/>
        <w:ind w:firstLine="435"/>
        <w:rPr>
          <w:rFonts w:hint="eastAsia" w:ascii="宋体" w:hAnsi="宋体" w:eastAsia="宋体" w:cs="宋体"/>
          <w:color w:val="000000" w:themeColor="text1"/>
          <w:sz w:val="24"/>
          <w:highlight w:val="none"/>
          <w14:textFill>
            <w14:solidFill>
              <w14:schemeClr w14:val="tx1"/>
            </w14:solidFill>
          </w14:textFill>
        </w:rPr>
      </w:pPr>
    </w:p>
    <w:p w14:paraId="67480FD5">
      <w:pPr>
        <w:spacing w:line="320" w:lineRule="exact"/>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        务：</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024FBA97">
      <w:pPr>
        <w:spacing w:line="320" w:lineRule="exact"/>
        <w:ind w:firstLine="435"/>
        <w:rPr>
          <w:rFonts w:hint="eastAsia" w:ascii="宋体" w:hAnsi="宋体" w:eastAsia="宋体" w:cs="宋体"/>
          <w:color w:val="000000" w:themeColor="text1"/>
          <w:sz w:val="24"/>
          <w:highlight w:val="none"/>
          <w14:textFill>
            <w14:solidFill>
              <w14:schemeClr w14:val="tx1"/>
            </w14:solidFill>
          </w14:textFill>
        </w:rPr>
      </w:pPr>
    </w:p>
    <w:p w14:paraId="2BB9A19A">
      <w:pPr>
        <w:spacing w:line="320" w:lineRule="exact"/>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3737834C">
      <w:pPr>
        <w:adjustRightInd w:val="0"/>
        <w:snapToGrid w:val="0"/>
        <w:spacing w:line="360" w:lineRule="auto"/>
        <w:ind w:right="480"/>
        <w:jc w:val="center"/>
        <w:rPr>
          <w:rFonts w:hint="eastAsia" w:ascii="宋体" w:hAnsi="宋体" w:eastAsia="宋体" w:cs="宋体"/>
          <w:color w:val="000000" w:themeColor="text1"/>
          <w:kern w:val="0"/>
          <w:sz w:val="24"/>
          <w:highlight w:val="none"/>
          <w:lang w:val="zh-CN"/>
          <w14:textFill>
            <w14:solidFill>
              <w14:schemeClr w14:val="tx1"/>
            </w14:solidFill>
          </w14:textFill>
        </w:rPr>
      </w:pPr>
    </w:p>
    <w:p w14:paraId="79DD3595">
      <w:pPr>
        <w:spacing w:line="360" w:lineRule="atLeast"/>
        <w:ind w:left="480"/>
        <w:rPr>
          <w:rFonts w:hint="eastAsia" w:ascii="宋体" w:hAnsi="宋体" w:eastAsia="宋体" w:cs="宋体"/>
          <w:b/>
          <w:color w:val="000000" w:themeColor="text1"/>
          <w:sz w:val="28"/>
          <w:highlight w:val="none"/>
          <w14:textFill>
            <w14:solidFill>
              <w14:schemeClr w14:val="tx1"/>
            </w14:solidFill>
          </w14:textFill>
        </w:rPr>
      </w:pPr>
    </w:p>
    <w:p w14:paraId="05C254A3">
      <w:pPr>
        <w:snapToGrid w:val="0"/>
        <w:spacing w:before="156" w:beforeLines="50" w:after="50" w:line="360" w:lineRule="auto"/>
        <w:rPr>
          <w:rFonts w:hint="eastAsia" w:ascii="宋体" w:hAnsi="宋体" w:eastAsia="宋体" w:cs="宋体"/>
          <w:b/>
          <w:color w:val="000000" w:themeColor="text1"/>
          <w:sz w:val="28"/>
          <w:highlight w:val="none"/>
          <w14:textFill>
            <w14:solidFill>
              <w14:schemeClr w14:val="tx1"/>
            </w14:solidFill>
          </w14:textFill>
        </w:rPr>
      </w:pPr>
    </w:p>
    <w:p w14:paraId="35A6086F">
      <w:pPr>
        <w:pStyle w:val="4"/>
        <w:jc w:val="center"/>
        <w:rPr>
          <w:rFonts w:hint="eastAsia" w:ascii="宋体" w:hAnsi="宋体" w:eastAsia="宋体"/>
          <w:color w:val="000000" w:themeColor="text1"/>
          <w:highlight w:val="none"/>
          <w:lang w:eastAsia="zh-CN"/>
          <w14:textFill>
            <w14:solidFill>
              <w14:schemeClr w14:val="tx1"/>
            </w14:solidFill>
          </w14:textFill>
        </w:rPr>
      </w:pPr>
      <w:r>
        <w:rPr>
          <w:rFonts w:hint="eastAsia"/>
          <w:color w:val="000000" w:themeColor="text1"/>
          <w:kern w:val="0"/>
          <w:sz w:val="28"/>
          <w:szCs w:val="28"/>
          <w:highlight w:val="none"/>
          <w14:textFill>
            <w14:solidFill>
              <w14:schemeClr w14:val="tx1"/>
            </w14:solidFill>
          </w14:textFill>
        </w:rPr>
        <w:t>附件1</w:t>
      </w:r>
      <w:r>
        <w:rPr>
          <w:rFonts w:hint="eastAsia"/>
          <w:color w:val="000000" w:themeColor="text1"/>
          <w:kern w:val="0"/>
          <w:sz w:val="28"/>
          <w:szCs w:val="28"/>
          <w:highlight w:val="none"/>
          <w:lang w:val="en-US" w:eastAsia="zh-CN"/>
          <w14:textFill>
            <w14:solidFill>
              <w14:schemeClr w14:val="tx1"/>
            </w14:solidFill>
          </w14:textFill>
        </w:rPr>
        <w:t>2</w:t>
      </w:r>
      <w:r>
        <w:rPr>
          <w:rFonts w:hint="eastAsia"/>
          <w:color w:val="000000" w:themeColor="text1"/>
          <w:kern w:val="0"/>
          <w:sz w:val="28"/>
          <w:szCs w:val="28"/>
          <w:highlight w:val="none"/>
          <w14:textFill>
            <w14:solidFill>
              <w14:schemeClr w14:val="tx1"/>
            </w14:solidFill>
          </w14:textFill>
        </w:rPr>
        <w:t>:</w:t>
      </w:r>
      <w:r>
        <w:rPr>
          <w:rFonts w:hint="eastAsia" w:ascii="宋体" w:hAnsi="宋体"/>
          <w:bCs w:val="0"/>
          <w:color w:val="000000" w:themeColor="text1"/>
          <w:highlight w:val="none"/>
          <w14:textFill>
            <w14:solidFill>
              <w14:schemeClr w14:val="tx1"/>
            </w14:solidFill>
          </w14:textFill>
        </w:rPr>
        <w:t xml:space="preserve"> </w:t>
      </w:r>
      <w:r>
        <w:rPr>
          <w:rFonts w:hint="eastAsia" w:ascii="宋体" w:hAnsi="宋体"/>
          <w:b w:val="0"/>
          <w:color w:val="000000" w:themeColor="text1"/>
          <w:highlight w:val="none"/>
          <w14:textFill>
            <w14:solidFill>
              <w14:schemeClr w14:val="tx1"/>
            </w14:solidFill>
          </w14:textFill>
        </w:rPr>
        <w:t>报价明细表</w:t>
      </w:r>
    </w:p>
    <w:p w14:paraId="4C302B9D">
      <w:pPr>
        <w:pStyle w:val="20"/>
        <w:spacing w:line="320" w:lineRule="exact"/>
        <w:rPr>
          <w:rFonts w:hint="eastAsia" w:ascii="宋体" w:hAnsi="宋体" w:eastAsia="宋体" w:cs="宋体"/>
          <w:b w:val="0"/>
          <w:bCs/>
          <w:color w:val="000000" w:themeColor="text1"/>
          <w:sz w:val="24"/>
          <w:highlight w:val="none"/>
          <w:u w:val="single"/>
          <w:lang w:eastAsia="zh-CN"/>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项目编号：</w:t>
      </w:r>
      <w:r>
        <w:rPr>
          <w:rFonts w:hint="eastAsia" w:hAnsi="宋体" w:cs="宋体"/>
          <w:b w:val="0"/>
          <w:bCs/>
          <w:color w:val="000000" w:themeColor="text1"/>
          <w:sz w:val="24"/>
          <w:highlight w:val="none"/>
          <w:u w:val="single"/>
          <w:lang w:eastAsia="zh-CN"/>
          <w14:textFill>
            <w14:solidFill>
              <w14:schemeClr w14:val="tx1"/>
            </w14:solidFill>
          </w14:textFill>
        </w:rPr>
        <w:t>HQ-YHZFCG-2024-1004</w:t>
      </w:r>
    </w:p>
    <w:p w14:paraId="65F05DA7">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项目名称：</w:t>
      </w:r>
      <w:r>
        <w:rPr>
          <w:rFonts w:hint="eastAsia" w:ascii="宋体" w:hAnsi="宋体" w:cs="宋体"/>
          <w:b w:val="0"/>
          <w:bCs/>
          <w:color w:val="000000" w:themeColor="text1"/>
          <w:sz w:val="24"/>
          <w:highlight w:val="none"/>
          <w:u w:val="single"/>
          <w:lang w:eastAsia="zh-CN"/>
          <w14:textFill>
            <w14:solidFill>
              <w14:schemeClr w14:val="tx1"/>
            </w14:solidFill>
          </w14:textFill>
        </w:rPr>
        <w:t>玉环水库自然资源统一确权调查服务</w:t>
      </w:r>
      <w:r>
        <w:rPr>
          <w:rFonts w:hint="eastAsia" w:ascii="宋体" w:hAnsi="宋体" w:eastAsia="宋体" w:cs="宋体"/>
          <w:b w:val="0"/>
          <w:bCs/>
          <w:color w:val="000000" w:themeColor="text1"/>
          <w:sz w:val="24"/>
          <w:highlight w:val="non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[货币单位：人民币元]</w:t>
      </w:r>
    </w:p>
    <w:p w14:paraId="7D34533F">
      <w:pPr>
        <w:pStyle w:val="15"/>
        <w:rPr>
          <w:rFonts w:hint="eastAsia"/>
          <w:color w:val="000000" w:themeColor="text1"/>
          <w:highlight w:val="none"/>
          <w14:textFill>
            <w14:solidFill>
              <w14:schemeClr w14:val="tx1"/>
            </w14:solidFill>
          </w14:textFill>
        </w:rPr>
      </w:pP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809"/>
        <w:gridCol w:w="5"/>
        <w:gridCol w:w="1258"/>
        <w:gridCol w:w="1023"/>
        <w:gridCol w:w="1025"/>
        <w:gridCol w:w="1250"/>
        <w:gridCol w:w="1483"/>
      </w:tblGrid>
      <w:tr w14:paraId="67BD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393" w:type="pct"/>
            <w:noWrap w:val="0"/>
            <w:vAlign w:val="top"/>
          </w:tcPr>
          <w:p w14:paraId="2B355176">
            <w:pPr>
              <w:spacing w:line="480" w:lineRule="auto"/>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序号</w:t>
            </w:r>
          </w:p>
        </w:tc>
        <w:tc>
          <w:tcPr>
            <w:tcW w:w="1061" w:type="pct"/>
            <w:noWrap w:val="0"/>
            <w:vAlign w:val="top"/>
          </w:tcPr>
          <w:p w14:paraId="5C3E8105">
            <w:pPr>
              <w:spacing w:line="480" w:lineRule="auto"/>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报价项</w:t>
            </w:r>
          </w:p>
        </w:tc>
        <w:tc>
          <w:tcPr>
            <w:tcW w:w="741" w:type="pct"/>
            <w:gridSpan w:val="2"/>
            <w:noWrap w:val="0"/>
            <w:vAlign w:val="top"/>
          </w:tcPr>
          <w:p w14:paraId="53060F78">
            <w:pPr>
              <w:spacing w:line="480" w:lineRule="auto"/>
              <w:jc w:val="center"/>
              <w:rPr>
                <w:rFonts w:hint="eastAsia" w:ascii="宋体" w:hAnsi="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数量</w:t>
            </w:r>
          </w:p>
        </w:tc>
        <w:tc>
          <w:tcPr>
            <w:tcW w:w="600" w:type="pct"/>
            <w:noWrap w:val="0"/>
            <w:vAlign w:val="top"/>
          </w:tcPr>
          <w:p w14:paraId="2119A13C">
            <w:pPr>
              <w:spacing w:line="480" w:lineRule="auto"/>
              <w:jc w:val="center"/>
              <w:rPr>
                <w:rFonts w:hint="eastAsia" w:ascii="宋体" w:hAnsi="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单位</w:t>
            </w:r>
          </w:p>
        </w:tc>
        <w:tc>
          <w:tcPr>
            <w:tcW w:w="601" w:type="pct"/>
            <w:noWrap w:val="0"/>
            <w:vAlign w:val="top"/>
          </w:tcPr>
          <w:p w14:paraId="57B9E141">
            <w:pPr>
              <w:spacing w:line="480" w:lineRule="auto"/>
              <w:jc w:val="center"/>
              <w:rPr>
                <w:rFonts w:hint="eastAsia" w:ascii="宋体" w:hAnsi="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单价（元）</w:t>
            </w:r>
          </w:p>
        </w:tc>
        <w:tc>
          <w:tcPr>
            <w:tcW w:w="733" w:type="pct"/>
            <w:noWrap w:val="0"/>
            <w:vAlign w:val="top"/>
          </w:tcPr>
          <w:p w14:paraId="197CC3C4">
            <w:pPr>
              <w:spacing w:line="480" w:lineRule="auto"/>
              <w:jc w:val="center"/>
              <w:rPr>
                <w:rFonts w:hint="eastAsia" w:ascii="宋体" w:hAnsi="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合计（元）</w:t>
            </w:r>
          </w:p>
        </w:tc>
        <w:tc>
          <w:tcPr>
            <w:tcW w:w="868" w:type="pct"/>
            <w:noWrap w:val="0"/>
            <w:vAlign w:val="top"/>
          </w:tcPr>
          <w:p w14:paraId="773E24EB">
            <w:pPr>
              <w:spacing w:line="480" w:lineRule="auto"/>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备注</w:t>
            </w:r>
          </w:p>
        </w:tc>
      </w:tr>
      <w:tr w14:paraId="2F2D0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93" w:type="pct"/>
            <w:noWrap w:val="0"/>
            <w:vAlign w:val="center"/>
          </w:tcPr>
          <w:p w14:paraId="7C3A2861">
            <w:pPr>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1</w:t>
            </w:r>
          </w:p>
        </w:tc>
        <w:tc>
          <w:tcPr>
            <w:tcW w:w="1061" w:type="pct"/>
            <w:noWrap w:val="0"/>
            <w:vAlign w:val="center"/>
          </w:tcPr>
          <w:p w14:paraId="7CFCAB38">
            <w:pPr>
              <w:jc w:val="center"/>
              <w:rPr>
                <w:rFonts w:hint="eastAsia" w:ascii="宋体" w:hAnsi="宋体" w:eastAsia="宋体" w:cs="宋体"/>
                <w:color w:val="000000" w:themeColor="text1"/>
                <w:sz w:val="22"/>
                <w:szCs w:val="22"/>
                <w:highlight w:val="none"/>
                <w:lang w:eastAsia="zh-CN"/>
                <w14:textFill>
                  <w14:solidFill>
                    <w14:schemeClr w14:val="tx1"/>
                  </w14:solidFill>
                </w14:textFill>
              </w:rPr>
            </w:pPr>
          </w:p>
        </w:tc>
        <w:tc>
          <w:tcPr>
            <w:tcW w:w="741" w:type="pct"/>
            <w:gridSpan w:val="2"/>
            <w:noWrap w:val="0"/>
            <w:vAlign w:val="center"/>
          </w:tcPr>
          <w:p w14:paraId="59680F40">
            <w:pPr>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p>
        </w:tc>
        <w:tc>
          <w:tcPr>
            <w:tcW w:w="600" w:type="pct"/>
            <w:noWrap w:val="0"/>
            <w:vAlign w:val="center"/>
          </w:tcPr>
          <w:p w14:paraId="7AAE068A">
            <w:pPr>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p>
        </w:tc>
        <w:tc>
          <w:tcPr>
            <w:tcW w:w="601" w:type="pct"/>
            <w:noWrap w:val="0"/>
            <w:vAlign w:val="center"/>
          </w:tcPr>
          <w:p w14:paraId="309CAA12">
            <w:pPr>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p>
        </w:tc>
        <w:tc>
          <w:tcPr>
            <w:tcW w:w="733" w:type="pct"/>
            <w:noWrap w:val="0"/>
            <w:vAlign w:val="center"/>
          </w:tcPr>
          <w:p w14:paraId="7FE68A5F">
            <w:pPr>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p>
        </w:tc>
        <w:tc>
          <w:tcPr>
            <w:tcW w:w="868" w:type="pct"/>
            <w:noWrap w:val="0"/>
            <w:vAlign w:val="center"/>
          </w:tcPr>
          <w:p w14:paraId="75B171C6">
            <w:pPr>
              <w:jc w:val="center"/>
              <w:rPr>
                <w:rFonts w:hint="eastAsia" w:ascii="宋体" w:hAnsi="宋体" w:cs="宋体"/>
                <w:color w:val="000000" w:themeColor="text1"/>
                <w:sz w:val="22"/>
                <w:szCs w:val="22"/>
                <w:highlight w:val="none"/>
                <w14:textFill>
                  <w14:solidFill>
                    <w14:schemeClr w14:val="tx1"/>
                  </w14:solidFill>
                </w14:textFill>
              </w:rPr>
            </w:pPr>
          </w:p>
        </w:tc>
      </w:tr>
      <w:tr w14:paraId="79D4D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93" w:type="pct"/>
            <w:noWrap w:val="0"/>
            <w:vAlign w:val="center"/>
          </w:tcPr>
          <w:p w14:paraId="7E694736">
            <w:pPr>
              <w:jc w:val="center"/>
              <w:rPr>
                <w:rFonts w:hint="eastAsia" w:ascii="宋体" w:hAnsi="宋体" w:cs="宋体"/>
                <w:color w:val="000000" w:themeColor="text1"/>
                <w:sz w:val="22"/>
                <w:szCs w:val="22"/>
                <w:highlight w:val="none"/>
                <w:lang w:val="en-US" w:eastAsia="zh-CN"/>
                <w14:textFill>
                  <w14:solidFill>
                    <w14:schemeClr w14:val="tx1"/>
                  </w14:solidFill>
                </w14:textFill>
              </w:rPr>
            </w:pPr>
          </w:p>
        </w:tc>
        <w:tc>
          <w:tcPr>
            <w:tcW w:w="1061" w:type="pct"/>
            <w:noWrap w:val="0"/>
            <w:vAlign w:val="center"/>
          </w:tcPr>
          <w:p w14:paraId="2A9D6B2A">
            <w:pPr>
              <w:jc w:val="center"/>
              <w:rPr>
                <w:rFonts w:hint="eastAsia" w:ascii="宋体" w:hAnsi="宋体" w:eastAsia="宋体" w:cs="宋体"/>
                <w:color w:val="000000" w:themeColor="text1"/>
                <w:sz w:val="22"/>
                <w:szCs w:val="22"/>
                <w:highlight w:val="none"/>
                <w:lang w:eastAsia="zh-CN"/>
                <w14:textFill>
                  <w14:solidFill>
                    <w14:schemeClr w14:val="tx1"/>
                  </w14:solidFill>
                </w14:textFill>
              </w:rPr>
            </w:pPr>
          </w:p>
        </w:tc>
        <w:tc>
          <w:tcPr>
            <w:tcW w:w="741" w:type="pct"/>
            <w:gridSpan w:val="2"/>
            <w:noWrap w:val="0"/>
            <w:vAlign w:val="center"/>
          </w:tcPr>
          <w:p w14:paraId="0CB1ABDF">
            <w:pPr>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p>
        </w:tc>
        <w:tc>
          <w:tcPr>
            <w:tcW w:w="600" w:type="pct"/>
            <w:noWrap w:val="0"/>
            <w:vAlign w:val="center"/>
          </w:tcPr>
          <w:p w14:paraId="01875EA5">
            <w:pPr>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p>
        </w:tc>
        <w:tc>
          <w:tcPr>
            <w:tcW w:w="601" w:type="pct"/>
            <w:noWrap w:val="0"/>
            <w:vAlign w:val="center"/>
          </w:tcPr>
          <w:p w14:paraId="5C9E53A3">
            <w:pPr>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p>
        </w:tc>
        <w:tc>
          <w:tcPr>
            <w:tcW w:w="733" w:type="pct"/>
            <w:noWrap w:val="0"/>
            <w:vAlign w:val="center"/>
          </w:tcPr>
          <w:p w14:paraId="6E0E4BD5">
            <w:pPr>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p>
        </w:tc>
        <w:tc>
          <w:tcPr>
            <w:tcW w:w="868" w:type="pct"/>
            <w:noWrap w:val="0"/>
            <w:vAlign w:val="center"/>
          </w:tcPr>
          <w:p w14:paraId="5BEF72C3">
            <w:pPr>
              <w:jc w:val="center"/>
              <w:rPr>
                <w:rFonts w:hint="eastAsia" w:ascii="宋体" w:hAnsi="宋体" w:cs="宋体"/>
                <w:color w:val="000000" w:themeColor="text1"/>
                <w:sz w:val="22"/>
                <w:szCs w:val="22"/>
                <w:highlight w:val="none"/>
                <w14:textFill>
                  <w14:solidFill>
                    <w14:schemeClr w14:val="tx1"/>
                  </w14:solidFill>
                </w14:textFill>
              </w:rPr>
            </w:pPr>
          </w:p>
        </w:tc>
      </w:tr>
      <w:tr w14:paraId="0BE9A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93" w:type="pct"/>
            <w:noWrap w:val="0"/>
            <w:vAlign w:val="center"/>
          </w:tcPr>
          <w:p w14:paraId="6E830C12">
            <w:pPr>
              <w:jc w:val="center"/>
              <w:rPr>
                <w:rFonts w:hint="eastAsia" w:ascii="宋体" w:hAnsi="宋体" w:cs="宋体"/>
                <w:color w:val="000000" w:themeColor="text1"/>
                <w:sz w:val="22"/>
                <w:szCs w:val="22"/>
                <w:highlight w:val="none"/>
                <w:lang w:val="en-US" w:eastAsia="zh-CN"/>
                <w14:textFill>
                  <w14:solidFill>
                    <w14:schemeClr w14:val="tx1"/>
                  </w14:solidFill>
                </w14:textFill>
              </w:rPr>
            </w:pPr>
          </w:p>
        </w:tc>
        <w:tc>
          <w:tcPr>
            <w:tcW w:w="1061" w:type="pct"/>
            <w:noWrap w:val="0"/>
            <w:vAlign w:val="center"/>
          </w:tcPr>
          <w:p w14:paraId="17E88C41">
            <w:pPr>
              <w:jc w:val="center"/>
              <w:rPr>
                <w:rFonts w:hint="eastAsia" w:ascii="宋体" w:hAnsi="宋体" w:eastAsia="宋体" w:cs="宋体"/>
                <w:color w:val="000000" w:themeColor="text1"/>
                <w:sz w:val="22"/>
                <w:szCs w:val="22"/>
                <w:highlight w:val="none"/>
                <w:lang w:eastAsia="zh-CN"/>
                <w14:textFill>
                  <w14:solidFill>
                    <w14:schemeClr w14:val="tx1"/>
                  </w14:solidFill>
                </w14:textFill>
              </w:rPr>
            </w:pPr>
          </w:p>
        </w:tc>
        <w:tc>
          <w:tcPr>
            <w:tcW w:w="741" w:type="pct"/>
            <w:gridSpan w:val="2"/>
            <w:noWrap w:val="0"/>
            <w:vAlign w:val="center"/>
          </w:tcPr>
          <w:p w14:paraId="40D06E1E">
            <w:pPr>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p>
        </w:tc>
        <w:tc>
          <w:tcPr>
            <w:tcW w:w="600" w:type="pct"/>
            <w:noWrap w:val="0"/>
            <w:vAlign w:val="center"/>
          </w:tcPr>
          <w:p w14:paraId="1E9E8198">
            <w:pPr>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p>
        </w:tc>
        <w:tc>
          <w:tcPr>
            <w:tcW w:w="601" w:type="pct"/>
            <w:noWrap w:val="0"/>
            <w:vAlign w:val="center"/>
          </w:tcPr>
          <w:p w14:paraId="2692F445">
            <w:pPr>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p>
        </w:tc>
        <w:tc>
          <w:tcPr>
            <w:tcW w:w="733" w:type="pct"/>
            <w:noWrap w:val="0"/>
            <w:vAlign w:val="center"/>
          </w:tcPr>
          <w:p w14:paraId="005C2103">
            <w:pPr>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p>
        </w:tc>
        <w:tc>
          <w:tcPr>
            <w:tcW w:w="868" w:type="pct"/>
            <w:noWrap w:val="0"/>
            <w:vAlign w:val="center"/>
          </w:tcPr>
          <w:p w14:paraId="0F7A5D42">
            <w:pPr>
              <w:jc w:val="center"/>
              <w:rPr>
                <w:rFonts w:hint="eastAsia" w:ascii="宋体" w:hAnsi="宋体" w:cs="宋体"/>
                <w:color w:val="000000" w:themeColor="text1"/>
                <w:sz w:val="22"/>
                <w:szCs w:val="22"/>
                <w:highlight w:val="none"/>
                <w14:textFill>
                  <w14:solidFill>
                    <w14:schemeClr w14:val="tx1"/>
                  </w14:solidFill>
                </w14:textFill>
              </w:rPr>
            </w:pPr>
          </w:p>
        </w:tc>
      </w:tr>
      <w:tr w14:paraId="4112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93" w:type="pct"/>
            <w:noWrap w:val="0"/>
            <w:vAlign w:val="center"/>
          </w:tcPr>
          <w:p w14:paraId="294CB03B">
            <w:pPr>
              <w:jc w:val="center"/>
              <w:rPr>
                <w:rFonts w:hint="eastAsia" w:ascii="宋体" w:hAnsi="宋体" w:cs="宋体"/>
                <w:color w:val="000000" w:themeColor="text1"/>
                <w:sz w:val="22"/>
                <w:szCs w:val="22"/>
                <w:highlight w:val="none"/>
                <w:lang w:val="en-US" w:eastAsia="zh-CN"/>
                <w14:textFill>
                  <w14:solidFill>
                    <w14:schemeClr w14:val="tx1"/>
                  </w14:solidFill>
                </w14:textFill>
              </w:rPr>
            </w:pPr>
          </w:p>
        </w:tc>
        <w:tc>
          <w:tcPr>
            <w:tcW w:w="1061" w:type="pct"/>
            <w:noWrap w:val="0"/>
            <w:vAlign w:val="center"/>
          </w:tcPr>
          <w:p w14:paraId="4ECE439C">
            <w:pPr>
              <w:jc w:val="center"/>
              <w:rPr>
                <w:rFonts w:hint="eastAsia" w:ascii="宋体" w:hAnsi="宋体" w:eastAsia="宋体" w:cs="宋体"/>
                <w:color w:val="000000" w:themeColor="text1"/>
                <w:sz w:val="22"/>
                <w:szCs w:val="22"/>
                <w:highlight w:val="none"/>
                <w:lang w:eastAsia="zh-CN"/>
                <w14:textFill>
                  <w14:solidFill>
                    <w14:schemeClr w14:val="tx1"/>
                  </w14:solidFill>
                </w14:textFill>
              </w:rPr>
            </w:pPr>
          </w:p>
        </w:tc>
        <w:tc>
          <w:tcPr>
            <w:tcW w:w="741" w:type="pct"/>
            <w:gridSpan w:val="2"/>
            <w:noWrap w:val="0"/>
            <w:vAlign w:val="center"/>
          </w:tcPr>
          <w:p w14:paraId="68D84FCE">
            <w:pPr>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p>
        </w:tc>
        <w:tc>
          <w:tcPr>
            <w:tcW w:w="600" w:type="pct"/>
            <w:noWrap w:val="0"/>
            <w:vAlign w:val="center"/>
          </w:tcPr>
          <w:p w14:paraId="0B56EA9C">
            <w:pPr>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p>
        </w:tc>
        <w:tc>
          <w:tcPr>
            <w:tcW w:w="601" w:type="pct"/>
            <w:noWrap w:val="0"/>
            <w:vAlign w:val="center"/>
          </w:tcPr>
          <w:p w14:paraId="4F79C795">
            <w:pPr>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p>
        </w:tc>
        <w:tc>
          <w:tcPr>
            <w:tcW w:w="733" w:type="pct"/>
            <w:noWrap w:val="0"/>
            <w:vAlign w:val="center"/>
          </w:tcPr>
          <w:p w14:paraId="7D5B1614">
            <w:pPr>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p>
        </w:tc>
        <w:tc>
          <w:tcPr>
            <w:tcW w:w="868" w:type="pct"/>
            <w:noWrap w:val="0"/>
            <w:vAlign w:val="center"/>
          </w:tcPr>
          <w:p w14:paraId="1A4891FA">
            <w:pPr>
              <w:jc w:val="center"/>
              <w:rPr>
                <w:rFonts w:hint="eastAsia" w:ascii="宋体" w:hAnsi="宋体" w:cs="宋体"/>
                <w:color w:val="000000" w:themeColor="text1"/>
                <w:sz w:val="22"/>
                <w:szCs w:val="22"/>
                <w:highlight w:val="none"/>
                <w14:textFill>
                  <w14:solidFill>
                    <w14:schemeClr w14:val="tx1"/>
                  </w14:solidFill>
                </w14:textFill>
              </w:rPr>
            </w:pPr>
          </w:p>
        </w:tc>
      </w:tr>
      <w:tr w14:paraId="00074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93" w:type="pct"/>
            <w:noWrap w:val="0"/>
            <w:vAlign w:val="center"/>
          </w:tcPr>
          <w:p w14:paraId="3D7D6EA0">
            <w:pPr>
              <w:jc w:val="center"/>
              <w:rPr>
                <w:rFonts w:hint="eastAsia" w:ascii="宋体" w:hAnsi="宋体" w:cs="宋体"/>
                <w:color w:val="000000" w:themeColor="text1"/>
                <w:sz w:val="22"/>
                <w:szCs w:val="22"/>
                <w:highlight w:val="none"/>
                <w:lang w:val="en-US" w:eastAsia="zh-CN"/>
                <w14:textFill>
                  <w14:solidFill>
                    <w14:schemeClr w14:val="tx1"/>
                  </w14:solidFill>
                </w14:textFill>
              </w:rPr>
            </w:pPr>
          </w:p>
        </w:tc>
        <w:tc>
          <w:tcPr>
            <w:tcW w:w="1061" w:type="pct"/>
            <w:noWrap w:val="0"/>
            <w:vAlign w:val="center"/>
          </w:tcPr>
          <w:p w14:paraId="28660996">
            <w:pPr>
              <w:jc w:val="center"/>
              <w:rPr>
                <w:rFonts w:hint="eastAsia" w:ascii="宋体" w:hAnsi="宋体" w:eastAsia="宋体" w:cs="宋体"/>
                <w:color w:val="000000" w:themeColor="text1"/>
                <w:sz w:val="22"/>
                <w:szCs w:val="22"/>
                <w:highlight w:val="none"/>
                <w:lang w:eastAsia="zh-CN"/>
                <w14:textFill>
                  <w14:solidFill>
                    <w14:schemeClr w14:val="tx1"/>
                  </w14:solidFill>
                </w14:textFill>
              </w:rPr>
            </w:pPr>
          </w:p>
        </w:tc>
        <w:tc>
          <w:tcPr>
            <w:tcW w:w="741" w:type="pct"/>
            <w:gridSpan w:val="2"/>
            <w:noWrap w:val="0"/>
            <w:vAlign w:val="center"/>
          </w:tcPr>
          <w:p w14:paraId="624F812F">
            <w:pPr>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p>
        </w:tc>
        <w:tc>
          <w:tcPr>
            <w:tcW w:w="600" w:type="pct"/>
            <w:noWrap w:val="0"/>
            <w:vAlign w:val="center"/>
          </w:tcPr>
          <w:p w14:paraId="737FE685">
            <w:pPr>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p>
        </w:tc>
        <w:tc>
          <w:tcPr>
            <w:tcW w:w="601" w:type="pct"/>
            <w:noWrap w:val="0"/>
            <w:vAlign w:val="center"/>
          </w:tcPr>
          <w:p w14:paraId="1B296BB9">
            <w:pPr>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p>
        </w:tc>
        <w:tc>
          <w:tcPr>
            <w:tcW w:w="733" w:type="pct"/>
            <w:noWrap w:val="0"/>
            <w:vAlign w:val="center"/>
          </w:tcPr>
          <w:p w14:paraId="74A550C2">
            <w:pPr>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p>
        </w:tc>
        <w:tc>
          <w:tcPr>
            <w:tcW w:w="868" w:type="pct"/>
            <w:noWrap w:val="0"/>
            <w:vAlign w:val="center"/>
          </w:tcPr>
          <w:p w14:paraId="2E563174">
            <w:pPr>
              <w:jc w:val="center"/>
              <w:rPr>
                <w:rFonts w:hint="eastAsia" w:ascii="宋体" w:hAnsi="宋体" w:cs="宋体"/>
                <w:color w:val="000000" w:themeColor="text1"/>
                <w:sz w:val="22"/>
                <w:szCs w:val="22"/>
                <w:highlight w:val="none"/>
                <w14:textFill>
                  <w14:solidFill>
                    <w14:schemeClr w14:val="tx1"/>
                  </w14:solidFill>
                </w14:textFill>
              </w:rPr>
            </w:pPr>
          </w:p>
        </w:tc>
      </w:tr>
      <w:tr w14:paraId="66CAC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457" w:type="pct"/>
            <w:gridSpan w:val="3"/>
            <w:noWrap w:val="0"/>
            <w:vAlign w:val="center"/>
          </w:tcPr>
          <w:p w14:paraId="00DCC0DE">
            <w:pPr>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合计</w:t>
            </w:r>
            <w:r>
              <w:rPr>
                <w:rFonts w:hint="eastAsia" w:ascii="宋体" w:hAnsi="宋体" w:cs="宋体"/>
                <w:color w:val="000000" w:themeColor="text1"/>
                <w:sz w:val="22"/>
                <w:szCs w:val="22"/>
                <w:highlight w:val="none"/>
                <w:lang w:val="en-US" w:eastAsia="zh-CN"/>
                <w14:textFill>
                  <w14:solidFill>
                    <w14:schemeClr w14:val="tx1"/>
                  </w14:solidFill>
                </w14:textFill>
              </w:rPr>
              <w:t>总价</w:t>
            </w:r>
          </w:p>
        </w:tc>
        <w:tc>
          <w:tcPr>
            <w:tcW w:w="3542" w:type="pct"/>
            <w:gridSpan w:val="5"/>
            <w:noWrap w:val="0"/>
            <w:vAlign w:val="center"/>
          </w:tcPr>
          <w:p w14:paraId="516D46AF">
            <w:pPr>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p>
        </w:tc>
      </w:tr>
    </w:tbl>
    <w:p w14:paraId="5CC35677">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要求：</w:t>
      </w:r>
    </w:p>
    <w:p w14:paraId="134C0837">
      <w:pPr>
        <w:spacing w:line="360" w:lineRule="auto"/>
        <w:ind w:left="43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本表为《首次报价一览表》的报价明细表，如有缺项、漏项，视为磋商报价中已包含相关费用，采购人无需另外支付任何费用。</w:t>
      </w:r>
    </w:p>
    <w:p w14:paraId="1EADAEFA">
      <w:pPr>
        <w:spacing w:line="360" w:lineRule="auto"/>
        <w:ind w:left="435"/>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报价明细表</w:t>
      </w:r>
      <w:r>
        <w:rPr>
          <w:rFonts w:hint="eastAsia" w:ascii="宋体" w:hAnsi="宋体" w:cs="宋体"/>
          <w:color w:val="000000" w:themeColor="text1"/>
          <w:szCs w:val="21"/>
          <w:highlight w:val="none"/>
          <w:lang w:val="zh-CN"/>
          <w14:textFill>
            <w14:solidFill>
              <w14:schemeClr w14:val="tx1"/>
            </w14:solidFill>
          </w14:textFill>
        </w:rPr>
        <w:t>”中的报价合计应与“首次报价一览表”中的总报价相一致，不一致时，以首次报价一览表为准。</w:t>
      </w:r>
    </w:p>
    <w:p w14:paraId="1E7BBBD0">
      <w:pPr>
        <w:pStyle w:val="11"/>
        <w:keepNext w:val="0"/>
        <w:keepLines w:val="0"/>
        <w:pageBreakBefore w:val="0"/>
        <w:widowControl w:val="0"/>
        <w:kinsoku/>
        <w:wordWrap/>
        <w:overflowPunct/>
        <w:topLinePunct w:val="0"/>
        <w:autoSpaceDE/>
        <w:autoSpaceDN/>
        <w:bidi w:val="0"/>
        <w:adjustRightInd/>
        <w:snapToGrid/>
        <w:spacing w:line="400" w:lineRule="exact"/>
        <w:ind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val="zh-CN"/>
          <w14:textFill>
            <w14:solidFill>
              <w14:schemeClr w14:val="tx1"/>
            </w14:solidFill>
          </w14:textFill>
        </w:rPr>
        <w:t>报价明细表所填内容按磋商文件采购设备清单要求为准。如有漏报的，视同已包含在磋商总价内或已作优惠处理。有重大缺项的将作无效标处理。</w:t>
      </w:r>
    </w:p>
    <w:p w14:paraId="7F666C27">
      <w:pPr>
        <w:pStyle w:val="11"/>
        <w:keepNext w:val="0"/>
        <w:keepLines w:val="0"/>
        <w:pageBreakBefore w:val="0"/>
        <w:widowControl w:val="0"/>
        <w:kinsoku/>
        <w:wordWrap/>
        <w:overflowPunct/>
        <w:topLinePunct w:val="0"/>
        <w:autoSpaceDE/>
        <w:autoSpaceDN/>
        <w:bidi w:val="0"/>
        <w:adjustRightInd/>
        <w:snapToGrid/>
        <w:spacing w:line="400" w:lineRule="exact"/>
        <w:ind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供应商名称（盖章）：</w:t>
      </w:r>
    </w:p>
    <w:p w14:paraId="5B5E1A78">
      <w:pPr>
        <w:pStyle w:val="11"/>
        <w:keepNext w:val="0"/>
        <w:keepLines w:val="0"/>
        <w:pageBreakBefore w:val="0"/>
        <w:widowControl w:val="0"/>
        <w:kinsoku/>
        <w:wordWrap/>
        <w:overflowPunct/>
        <w:topLinePunct w:val="0"/>
        <w:autoSpaceDE/>
        <w:autoSpaceDN/>
        <w:bidi w:val="0"/>
        <w:adjustRightInd/>
        <w:snapToGrid/>
        <w:spacing w:line="400" w:lineRule="exact"/>
        <w:ind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供应商代表签字或盖章：</w:t>
      </w:r>
    </w:p>
    <w:p w14:paraId="5925F190">
      <w:pPr>
        <w:pStyle w:val="11"/>
        <w:keepNext w:val="0"/>
        <w:keepLines w:val="0"/>
        <w:pageBreakBefore w:val="0"/>
        <w:widowControl w:val="0"/>
        <w:kinsoku/>
        <w:wordWrap/>
        <w:overflowPunct/>
        <w:topLinePunct w:val="0"/>
        <w:autoSpaceDE/>
        <w:autoSpaceDN/>
        <w:bidi w:val="0"/>
        <w:adjustRightInd/>
        <w:snapToGrid/>
        <w:spacing w:line="400" w:lineRule="exact"/>
        <w:ind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职        务：</w:t>
      </w:r>
    </w:p>
    <w:p w14:paraId="63272B25">
      <w:pPr>
        <w:pStyle w:val="11"/>
        <w:keepNext w:val="0"/>
        <w:keepLines w:val="0"/>
        <w:pageBreakBefore w:val="0"/>
        <w:widowControl w:val="0"/>
        <w:kinsoku/>
        <w:wordWrap/>
        <w:overflowPunct/>
        <w:topLinePunct w:val="0"/>
        <w:autoSpaceDE/>
        <w:autoSpaceDN/>
        <w:bidi w:val="0"/>
        <w:adjustRightInd/>
        <w:snapToGrid/>
        <w:spacing w:line="400" w:lineRule="exact"/>
        <w:ind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日        期：</w:t>
      </w:r>
    </w:p>
    <w:p w14:paraId="738816C7">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color w:val="000000" w:themeColor="text1"/>
          <w:sz w:val="28"/>
          <w:highlight w:val="none"/>
          <w14:textFill>
            <w14:solidFill>
              <w14:schemeClr w14:val="tx1"/>
            </w14:solidFill>
          </w14:textFill>
        </w:rPr>
      </w:pPr>
    </w:p>
    <w:p w14:paraId="67BE8BB9">
      <w:pPr>
        <w:snapToGrid w:val="0"/>
        <w:spacing w:before="156" w:beforeLines="50" w:after="50" w:line="360" w:lineRule="auto"/>
        <w:rPr>
          <w:rFonts w:hint="eastAsia" w:ascii="宋体" w:hAnsi="宋体" w:eastAsia="宋体" w:cs="宋体"/>
          <w:b/>
          <w:color w:val="000000" w:themeColor="text1"/>
          <w:sz w:val="28"/>
          <w:highlight w:val="none"/>
          <w14:textFill>
            <w14:solidFill>
              <w14:schemeClr w14:val="tx1"/>
            </w14:solidFill>
          </w14:textFill>
        </w:rPr>
      </w:pPr>
    </w:p>
    <w:p w14:paraId="4BCC4AAE">
      <w:pPr>
        <w:pStyle w:val="15"/>
        <w:rPr>
          <w:rFonts w:hint="eastAsia" w:ascii="宋体" w:hAnsi="宋体" w:eastAsia="宋体" w:cs="宋体"/>
          <w:b/>
          <w:color w:val="000000" w:themeColor="text1"/>
          <w:sz w:val="28"/>
          <w:highlight w:val="none"/>
          <w14:textFill>
            <w14:solidFill>
              <w14:schemeClr w14:val="tx1"/>
            </w14:solidFill>
          </w14:textFill>
        </w:rPr>
      </w:pPr>
    </w:p>
    <w:p w14:paraId="7B97401C">
      <w:pPr>
        <w:snapToGrid w:val="0"/>
        <w:spacing w:before="156" w:beforeLines="50" w:after="50" w:line="360" w:lineRule="auto"/>
        <w:rPr>
          <w:rFonts w:hint="eastAsia" w:ascii="宋体" w:hAnsi="宋体" w:eastAsia="宋体" w:cs="宋体"/>
          <w:b/>
          <w:color w:val="000000" w:themeColor="text1"/>
          <w:sz w:val="28"/>
          <w:highlight w:val="none"/>
          <w14:textFill>
            <w14:solidFill>
              <w14:schemeClr w14:val="tx1"/>
            </w14:solidFill>
          </w14:textFill>
        </w:rPr>
      </w:pPr>
    </w:p>
    <w:p w14:paraId="2014A3A9">
      <w:pPr>
        <w:snapToGrid w:val="0"/>
        <w:spacing w:before="156" w:beforeLines="50" w:after="50" w:line="360" w:lineRule="auto"/>
        <w:rPr>
          <w:rFonts w:hint="eastAsia" w:ascii="宋体" w:hAnsi="宋体" w:eastAsia="宋体" w:cs="宋体"/>
          <w:b/>
          <w:color w:val="000000" w:themeColor="text1"/>
          <w:sz w:val="28"/>
          <w:highlight w:val="none"/>
          <w14:textFill>
            <w14:solidFill>
              <w14:schemeClr w14:val="tx1"/>
            </w14:solidFill>
          </w14:textFill>
        </w:rPr>
      </w:pPr>
    </w:p>
    <w:p w14:paraId="0BC56829">
      <w:pPr>
        <w:snapToGrid w:val="0"/>
        <w:spacing w:before="156" w:beforeLines="50" w:after="50" w:line="360" w:lineRule="auto"/>
        <w:rPr>
          <w:rFonts w:hint="eastAsia" w:ascii="宋体" w:hAnsi="宋体" w:eastAsia="宋体" w:cs="宋体"/>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附件1</w:t>
      </w:r>
      <w:r>
        <w:rPr>
          <w:rFonts w:hint="eastAsia" w:ascii="宋体" w:hAnsi="宋体" w:cs="宋体"/>
          <w:b/>
          <w:color w:val="000000" w:themeColor="text1"/>
          <w:sz w:val="28"/>
          <w:highlight w:val="none"/>
          <w:lang w:val="en-US" w:eastAsia="zh-CN"/>
          <w14:textFill>
            <w14:solidFill>
              <w14:schemeClr w14:val="tx1"/>
            </w14:solidFill>
          </w14:textFill>
        </w:rPr>
        <w:t>3</w:t>
      </w:r>
    </w:p>
    <w:p w14:paraId="06F79EA3">
      <w:pPr>
        <w:spacing w:line="656" w:lineRule="exact"/>
        <w:ind w:right="21"/>
        <w:jc w:val="center"/>
        <w:rPr>
          <w:rFonts w:hint="eastAsia" w:ascii="宋体" w:hAnsi="宋体" w:eastAsia="宋体" w:cs="宋体"/>
          <w:b/>
          <w:color w:val="000000" w:themeColor="text1"/>
          <w:sz w:val="36"/>
          <w:highlight w:val="none"/>
          <w:lang w:eastAsia="zh-CN"/>
          <w14:textFill>
            <w14:solidFill>
              <w14:schemeClr w14:val="tx1"/>
            </w14:solidFill>
          </w14:textFill>
        </w:rPr>
      </w:pPr>
      <w:r>
        <w:rPr>
          <w:rFonts w:hint="eastAsia" w:ascii="宋体" w:hAnsi="宋体" w:eastAsia="宋体" w:cs="宋体"/>
          <w:b/>
          <w:color w:val="000000" w:themeColor="text1"/>
          <w:sz w:val="36"/>
          <w:highlight w:val="none"/>
          <w14:textFill>
            <w14:solidFill>
              <w14:schemeClr w14:val="tx1"/>
            </w14:solidFill>
          </w14:textFill>
        </w:rPr>
        <w:t>中小企业声明函</w:t>
      </w:r>
      <w:r>
        <w:rPr>
          <w:rFonts w:hint="eastAsia" w:ascii="宋体" w:hAnsi="宋体" w:cs="宋体"/>
          <w:b/>
          <w:color w:val="000000" w:themeColor="text1"/>
          <w:sz w:val="36"/>
          <w:highlight w:val="none"/>
          <w:lang w:eastAsia="zh-CN"/>
          <w14:textFill>
            <w14:solidFill>
              <w14:schemeClr w14:val="tx1"/>
            </w14:solidFill>
          </w14:textFill>
        </w:rPr>
        <w:t>（</w:t>
      </w:r>
      <w:r>
        <w:rPr>
          <w:rFonts w:hint="eastAsia" w:ascii="宋体" w:hAnsi="宋体" w:cs="宋体"/>
          <w:b/>
          <w:color w:val="000000" w:themeColor="text1"/>
          <w:sz w:val="36"/>
          <w:highlight w:val="none"/>
          <w:lang w:val="en-US" w:eastAsia="zh-CN"/>
          <w14:textFill>
            <w14:solidFill>
              <w14:schemeClr w14:val="tx1"/>
            </w14:solidFill>
          </w14:textFill>
        </w:rPr>
        <w:t>服务</w:t>
      </w:r>
      <w:r>
        <w:rPr>
          <w:rFonts w:hint="eastAsia" w:ascii="宋体" w:hAnsi="宋体" w:cs="宋体"/>
          <w:b/>
          <w:color w:val="000000" w:themeColor="text1"/>
          <w:sz w:val="36"/>
          <w:highlight w:val="none"/>
          <w:lang w:eastAsia="zh-CN"/>
          <w14:textFill>
            <w14:solidFill>
              <w14:schemeClr w14:val="tx1"/>
            </w14:solidFill>
          </w14:textFill>
        </w:rPr>
        <w:t>）</w:t>
      </w:r>
    </w:p>
    <w:p w14:paraId="3471BD80">
      <w:pPr>
        <w:spacing w:line="360" w:lineRule="auto"/>
        <w:ind w:left="15"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本公司（联合体）郑重声明，根据《政府采购促进中小企业发展管理办法》（财库﹝2020﹞46 号）的规定，本公司</w:t>
      </w:r>
      <w:r>
        <w:rPr>
          <w:rFonts w:hint="eastAsia" w:ascii="宋体" w:hAnsi="宋体" w:eastAsia="宋体" w:cs="宋体"/>
          <w:color w:val="000000" w:themeColor="text1"/>
          <w:sz w:val="24"/>
          <w:highlight w:val="none"/>
          <w:u w:val="single"/>
          <w14:textFill>
            <w14:solidFill>
              <w14:schemeClr w14:val="tx1"/>
            </w14:solidFill>
          </w14:textFill>
        </w:rPr>
        <w:t>（联合体）</w:t>
      </w:r>
      <w:r>
        <w:rPr>
          <w:rFonts w:hint="eastAsia" w:ascii="宋体" w:hAnsi="宋体" w:eastAsia="宋体" w:cs="宋体"/>
          <w:color w:val="000000" w:themeColor="text1"/>
          <w:sz w:val="24"/>
          <w:highlight w:val="none"/>
          <w14:textFill>
            <w14:solidFill>
              <w14:schemeClr w14:val="tx1"/>
            </w14:solidFill>
          </w14:textFill>
        </w:rPr>
        <w:t>参加</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玉环市不动产登记服务中心</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的</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玉环水库自然资源统一确权调查服务</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14:paraId="586236FE">
      <w:pPr>
        <w:numPr>
          <w:ilvl w:val="0"/>
          <w:numId w:val="11"/>
        </w:numPr>
        <w:spacing w:line="360" w:lineRule="auto"/>
        <w:ind w:left="15"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 xml:space="preserve"> （标的名称）</w:t>
      </w:r>
      <w:r>
        <w:rPr>
          <w:rFonts w:hint="eastAsia" w:ascii="宋体" w:hAnsi="宋体" w:eastAsia="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其他未列明行业</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承建（承接）企业为</w:t>
      </w:r>
      <w:r>
        <w:rPr>
          <w:rFonts w:hint="eastAsia" w:ascii="宋体" w:hAnsi="宋体" w:eastAsia="宋体" w:cs="宋体"/>
          <w:color w:val="000000" w:themeColor="text1"/>
          <w:sz w:val="24"/>
          <w:highlight w:val="none"/>
          <w:u w:val="single"/>
          <w14:textFill>
            <w14:solidFill>
              <w14:schemeClr w14:val="tx1"/>
            </w14:solidFill>
          </w14:textFill>
        </w:rPr>
        <w:t xml:space="preserve">     （企业名称）</w:t>
      </w:r>
      <w:r>
        <w:rPr>
          <w:rFonts w:hint="eastAsia" w:ascii="宋体" w:hAnsi="宋体" w:eastAsia="宋体" w:cs="宋体"/>
          <w:color w:val="000000" w:themeColor="text1"/>
          <w:sz w:val="24"/>
          <w:highlight w:val="none"/>
          <w14:textFill>
            <w14:solidFill>
              <w14:schemeClr w14:val="tx1"/>
            </w14:solidFill>
          </w14:textFill>
        </w:rPr>
        <w:t>，从业人员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u w:val="single"/>
          <w14:textFill>
            <w14:solidFill>
              <w14:schemeClr w14:val="tx1"/>
            </w14:solidFill>
          </w14:textFill>
        </w:rPr>
        <w:t xml:space="preserve">   人</w:t>
      </w:r>
      <w:r>
        <w:rPr>
          <w:rFonts w:hint="eastAsia" w:ascii="宋体" w:hAnsi="宋体" w:eastAsia="宋体" w:cs="宋体"/>
          <w:color w:val="000000" w:themeColor="text1"/>
          <w:sz w:val="24"/>
          <w:highlight w:val="none"/>
          <w14:textFill>
            <w14:solidFill>
              <w14:schemeClr w14:val="tx1"/>
            </w14:solidFill>
          </w14:textFill>
        </w:rPr>
        <w:t>，营业收入为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u w:val="single"/>
          <w14:textFill>
            <w14:solidFill>
              <w14:schemeClr w14:val="tx1"/>
            </w14:solidFill>
          </w14:textFill>
        </w:rPr>
        <w:t>万元</w:t>
      </w:r>
      <w:r>
        <w:rPr>
          <w:rFonts w:hint="eastAsia" w:ascii="宋体" w:hAnsi="宋体" w:eastAsia="宋体" w:cs="宋体"/>
          <w:color w:val="000000" w:themeColor="text1"/>
          <w:sz w:val="24"/>
          <w:highlight w:val="none"/>
          <w14:textFill>
            <w14:solidFill>
              <w14:schemeClr w14:val="tx1"/>
            </w14:solidFill>
          </w14:textFill>
        </w:rPr>
        <w:t>，资产总额为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u w:val="single"/>
          <w14:textFill>
            <w14:solidFill>
              <w14:schemeClr w14:val="tx1"/>
            </w14:solidFill>
          </w14:textFill>
        </w:rPr>
        <w:t>万元</w:t>
      </w:r>
      <w:r>
        <w:rPr>
          <w:rFonts w:hint="eastAsia" w:ascii="宋体" w:hAnsi="宋体" w:eastAsia="宋体" w:cs="宋体"/>
          <w:color w:val="000000" w:themeColor="text1"/>
          <w:sz w:val="24"/>
          <w:highlight w:val="none"/>
          <w14:textFill>
            <w14:solidFill>
              <w14:schemeClr w14:val="tx1"/>
            </w14:solidFill>
          </w14:textFill>
        </w:rPr>
        <w:t>，属于（中型企业、小型企业、微型企业）；</w:t>
      </w:r>
    </w:p>
    <w:p w14:paraId="5FD7CF04">
      <w:pPr>
        <w:numPr>
          <w:ilvl w:val="0"/>
          <w:numId w:val="11"/>
        </w:numPr>
        <w:spacing w:line="360" w:lineRule="auto"/>
        <w:ind w:left="15"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 xml:space="preserve">      （标的名称）</w:t>
      </w:r>
      <w:r>
        <w:rPr>
          <w:rFonts w:hint="eastAsia" w:ascii="宋体" w:hAnsi="宋体" w:eastAsia="宋体" w:cs="宋体"/>
          <w:color w:val="000000" w:themeColor="text1"/>
          <w:sz w:val="24"/>
          <w:highlight w:val="none"/>
          <w14:textFill>
            <w14:solidFill>
              <w14:schemeClr w14:val="tx1"/>
            </w14:solidFill>
          </w14:textFill>
        </w:rPr>
        <w:t>，属于</w:t>
      </w:r>
      <w:r>
        <w:rPr>
          <w:rFonts w:hint="eastAsia" w:ascii="宋体" w:hAnsi="宋体" w:eastAsia="宋体" w:cs="宋体"/>
          <w:color w:val="000000" w:themeColor="text1"/>
          <w:sz w:val="24"/>
          <w:highlight w:val="none"/>
          <w:u w:val="single"/>
          <w14:textFill>
            <w14:solidFill>
              <w14:schemeClr w14:val="tx1"/>
            </w14:solidFill>
          </w14:textFill>
        </w:rPr>
        <w:t>其他未列明行业</w:t>
      </w:r>
      <w:r>
        <w:rPr>
          <w:rFonts w:hint="eastAsia" w:ascii="宋体" w:hAnsi="宋体" w:eastAsia="宋体" w:cs="宋体"/>
          <w:color w:val="000000" w:themeColor="text1"/>
          <w:sz w:val="24"/>
          <w:highlight w:val="none"/>
          <w14:textFill>
            <w14:solidFill>
              <w14:schemeClr w14:val="tx1"/>
            </w14:solidFill>
          </w14:textFill>
        </w:rPr>
        <w:t>；承建（承接）企业为</w:t>
      </w:r>
      <w:r>
        <w:rPr>
          <w:rFonts w:hint="eastAsia" w:ascii="宋体" w:hAnsi="宋体" w:eastAsia="宋体" w:cs="宋体"/>
          <w:color w:val="000000" w:themeColor="text1"/>
          <w:sz w:val="24"/>
          <w:highlight w:val="none"/>
          <w:u w:val="single"/>
          <w14:textFill>
            <w14:solidFill>
              <w14:schemeClr w14:val="tx1"/>
            </w14:solidFill>
          </w14:textFill>
        </w:rPr>
        <w:t xml:space="preserve">     （企业名称）</w:t>
      </w:r>
      <w:r>
        <w:rPr>
          <w:rFonts w:hint="eastAsia" w:ascii="宋体" w:hAnsi="宋体" w:eastAsia="宋体" w:cs="宋体"/>
          <w:color w:val="000000" w:themeColor="text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u w:val="single"/>
          <w14:textFill>
            <w14:solidFill>
              <w14:schemeClr w14:val="tx1"/>
            </w14:solidFill>
          </w14:textFill>
        </w:rPr>
        <w:t>人</w:t>
      </w:r>
      <w:r>
        <w:rPr>
          <w:rFonts w:hint="eastAsia" w:ascii="宋体" w:hAnsi="宋体" w:eastAsia="宋体" w:cs="宋体"/>
          <w:color w:val="000000" w:themeColor="text1"/>
          <w:sz w:val="24"/>
          <w:highlight w:val="none"/>
          <w14:textFill>
            <w14:solidFill>
              <w14:schemeClr w14:val="tx1"/>
            </w14:solidFill>
          </w14:textFill>
        </w:rPr>
        <w:t xml:space="preserve">，营业收入为 </w:t>
      </w:r>
      <w:r>
        <w:rPr>
          <w:rFonts w:hint="eastAsia" w:ascii="宋体" w:hAnsi="宋体" w:eastAsia="宋体" w:cs="宋体"/>
          <w:color w:val="000000" w:themeColor="text1"/>
          <w:sz w:val="24"/>
          <w:highlight w:val="none"/>
          <w:u w:val="single"/>
          <w14:textFill>
            <w14:solidFill>
              <w14:schemeClr w14:val="tx1"/>
            </w14:solidFill>
          </w14:textFill>
        </w:rPr>
        <w:t xml:space="preserve">   万元</w:t>
      </w:r>
      <w:r>
        <w:rPr>
          <w:rFonts w:hint="eastAsia" w:ascii="宋体" w:hAnsi="宋体" w:eastAsia="宋体" w:cs="宋体"/>
          <w:color w:val="000000" w:themeColor="text1"/>
          <w:sz w:val="24"/>
          <w:highlight w:val="none"/>
          <w14:textFill>
            <w14:solidFill>
              <w14:schemeClr w14:val="tx1"/>
            </w14:solidFill>
          </w14:textFill>
        </w:rPr>
        <w:t>，资产总额为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u w:val="single"/>
          <w14:textFill>
            <w14:solidFill>
              <w14:schemeClr w14:val="tx1"/>
            </w14:solidFill>
          </w14:textFill>
        </w:rPr>
        <w:t>万元</w:t>
      </w:r>
      <w:r>
        <w:rPr>
          <w:rFonts w:hint="eastAsia" w:ascii="宋体" w:hAnsi="宋体" w:eastAsia="宋体" w:cs="宋体"/>
          <w:color w:val="000000" w:themeColor="text1"/>
          <w:sz w:val="24"/>
          <w:highlight w:val="none"/>
          <w14:textFill>
            <w14:solidFill>
              <w14:schemeClr w14:val="tx1"/>
            </w14:solidFill>
          </w14:textFill>
        </w:rPr>
        <w:t>， 属于（中型企业、小型企业、微型企业）；</w:t>
      </w:r>
    </w:p>
    <w:p w14:paraId="5DF57934">
      <w:pPr>
        <w:spacing w:line="360" w:lineRule="auto"/>
        <w:ind w:left="15"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13C2D710">
      <w:pPr>
        <w:spacing w:line="360" w:lineRule="auto"/>
        <w:ind w:left="15"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69E25140">
      <w:pPr>
        <w:spacing w:line="360" w:lineRule="auto"/>
        <w:ind w:left="15"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本企业对上述声明内容的真实性负责。如有虚假，将依法承担相应责任。</w:t>
      </w:r>
    </w:p>
    <w:p w14:paraId="43A1849C">
      <w:pPr>
        <w:pStyle w:val="15"/>
        <w:rPr>
          <w:rFonts w:hint="eastAsia" w:ascii="宋体" w:hAnsi="宋体" w:eastAsia="宋体" w:cs="宋体"/>
          <w:color w:val="000000" w:themeColor="text1"/>
          <w:sz w:val="24"/>
          <w:highlight w:val="none"/>
          <w14:textFill>
            <w14:solidFill>
              <w14:schemeClr w14:val="tx1"/>
            </w14:solidFill>
          </w14:textFill>
        </w:rPr>
      </w:pPr>
    </w:p>
    <w:p w14:paraId="72F6C59B">
      <w:pPr>
        <w:spacing w:line="360" w:lineRule="auto"/>
        <w:ind w:left="15"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企业名称（盖章）：</w:t>
      </w:r>
    </w:p>
    <w:p w14:paraId="5FF510B9">
      <w:pPr>
        <w:spacing w:line="360" w:lineRule="auto"/>
        <w:ind w:left="15"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14:paraId="06895667">
      <w:pPr>
        <w:pStyle w:val="87"/>
        <w:spacing w:line="360" w:lineRule="auto"/>
        <w:rPr>
          <w:rFonts w:hint="eastAsia" w:ascii="宋体" w:hAnsi="宋体" w:eastAsia="宋体" w:cs="宋体"/>
          <w:color w:val="000000" w:themeColor="text1"/>
          <w:sz w:val="24"/>
          <w:highlight w:val="none"/>
          <w14:textFill>
            <w14:solidFill>
              <w14:schemeClr w14:val="tx1"/>
            </w14:solidFill>
          </w14:textFill>
        </w:rPr>
      </w:pPr>
    </w:p>
    <w:p w14:paraId="3CD42CBC">
      <w:pPr>
        <w:pStyle w:val="87"/>
        <w:spacing w:line="360" w:lineRule="auto"/>
        <w:rPr>
          <w:rFonts w:hint="eastAsia" w:ascii="宋体" w:hAnsi="宋体" w:eastAsia="宋体" w:cs="宋体"/>
          <w:color w:val="000000" w:themeColor="text1"/>
          <w:sz w:val="24"/>
          <w:highlight w:val="none"/>
          <w14:textFill>
            <w14:solidFill>
              <w14:schemeClr w14:val="tx1"/>
            </w14:solidFill>
          </w14:textFill>
        </w:rPr>
      </w:pPr>
    </w:p>
    <w:p w14:paraId="55070460">
      <w:pPr>
        <w:pStyle w:val="87"/>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备注：从业人员、营业收入、资产总额填报上一年度数据，无上一年度数据的新成立企业可不填报。</w:t>
      </w:r>
    </w:p>
    <w:p w14:paraId="5C168F98">
      <w:pPr>
        <w:pStyle w:val="20"/>
        <w:spacing w:line="360" w:lineRule="auto"/>
        <w:jc w:val="center"/>
        <w:outlineLvl w:val="1"/>
        <w:rPr>
          <w:rFonts w:hint="eastAsia" w:ascii="宋体" w:hAnsi="宋体" w:eastAsia="宋体" w:cs="宋体"/>
          <w:b/>
          <w:color w:val="000000" w:themeColor="text1"/>
          <w:sz w:val="32"/>
          <w:szCs w:val="32"/>
          <w:highlight w:val="none"/>
          <w:lang w:val="en-GB"/>
          <w14:textFill>
            <w14:solidFill>
              <w14:schemeClr w14:val="tx1"/>
            </w14:solidFill>
          </w14:textFill>
        </w:rPr>
      </w:pPr>
    </w:p>
    <w:p w14:paraId="42E5076E">
      <w:pPr>
        <w:pStyle w:val="32"/>
        <w:ind w:firstLine="627"/>
        <w:rPr>
          <w:rFonts w:hint="eastAsia" w:ascii="宋体" w:hAnsi="宋体" w:eastAsia="宋体" w:cs="宋体"/>
          <w:b w:val="0"/>
          <w:color w:val="000000" w:themeColor="text1"/>
          <w:sz w:val="32"/>
          <w:szCs w:val="32"/>
          <w:highlight w:val="none"/>
          <w:lang w:val="en-GB"/>
          <w14:textFill>
            <w14:solidFill>
              <w14:schemeClr w14:val="tx1"/>
            </w14:solidFill>
          </w14:textFill>
        </w:rPr>
      </w:pPr>
    </w:p>
    <w:p w14:paraId="744BA4CD">
      <w:pPr>
        <w:pStyle w:val="15"/>
        <w:rPr>
          <w:rFonts w:hint="eastAsia" w:ascii="宋体" w:hAnsi="宋体" w:eastAsia="宋体" w:cs="宋体"/>
          <w:color w:val="000000" w:themeColor="text1"/>
          <w:highlight w:val="none"/>
          <w:lang w:val="en-GB"/>
          <w14:textFill>
            <w14:solidFill>
              <w14:schemeClr w14:val="tx1"/>
            </w14:solidFill>
          </w14:textFill>
        </w:rPr>
      </w:pPr>
    </w:p>
    <w:p w14:paraId="2D9D7A9C">
      <w:pPr>
        <w:pStyle w:val="16"/>
        <w:rPr>
          <w:rFonts w:hint="eastAsia" w:ascii="宋体" w:hAnsi="宋体" w:eastAsia="宋体" w:cs="宋体"/>
          <w:color w:val="000000" w:themeColor="text1"/>
          <w:highlight w:val="none"/>
          <w:lang w:val="en-GB"/>
          <w14:textFill>
            <w14:solidFill>
              <w14:schemeClr w14:val="tx1"/>
            </w14:solidFill>
          </w14:textFill>
        </w:rPr>
      </w:pPr>
    </w:p>
    <w:p w14:paraId="4B11ACA5">
      <w:pPr>
        <w:pStyle w:val="16"/>
        <w:ind w:firstLine="3240" w:firstLineChars="900"/>
        <w:rPr>
          <w:rFonts w:hint="eastAsia" w:ascii="宋体" w:hAnsi="宋体" w:eastAsia="宋体" w:cs="宋体"/>
          <w:color w:val="000000" w:themeColor="text1"/>
          <w:sz w:val="36"/>
          <w:szCs w:val="36"/>
          <w:highlight w:val="none"/>
          <w:lang w:val="en-GB"/>
          <w14:textFill>
            <w14:solidFill>
              <w14:schemeClr w14:val="tx1"/>
            </w14:solidFill>
          </w14:textFill>
        </w:rPr>
      </w:pPr>
      <w:r>
        <w:rPr>
          <w:rFonts w:hint="eastAsia" w:ascii="宋体" w:hAnsi="宋体" w:eastAsia="宋体" w:cs="宋体"/>
          <w:color w:val="000000" w:themeColor="text1"/>
          <w:sz w:val="36"/>
          <w:szCs w:val="36"/>
          <w:highlight w:val="none"/>
          <w:lang w:val="en-GB"/>
          <w14:textFill>
            <w14:solidFill>
              <w14:schemeClr w14:val="tx1"/>
            </w14:solidFill>
          </w14:textFill>
        </w:rPr>
        <w:t>中小企业划型标准规定</w:t>
      </w:r>
    </w:p>
    <w:p w14:paraId="1A27C34C">
      <w:pPr>
        <w:pStyle w:val="16"/>
        <w:ind w:firstLine="3600" w:firstLineChars="1500"/>
        <w:rPr>
          <w:rFonts w:hint="eastAsia" w:ascii="宋体" w:hAnsi="宋体" w:eastAsia="宋体" w:cs="宋体"/>
          <w:color w:val="000000" w:themeColor="text1"/>
          <w:sz w:val="24"/>
          <w:highlight w:val="none"/>
          <w:lang w:val="en-GB"/>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工信部联企业【2011】300 号</w:t>
      </w:r>
    </w:p>
    <w:tbl>
      <w:tblPr>
        <w:tblStyle w:val="37"/>
        <w:tblW w:w="10177" w:type="dxa"/>
        <w:tblInd w:w="-7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
        <w:gridCol w:w="860"/>
        <w:gridCol w:w="2157"/>
        <w:gridCol w:w="1215"/>
        <w:gridCol w:w="4322"/>
        <w:gridCol w:w="1099"/>
      </w:tblGrid>
      <w:tr w14:paraId="56F33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noWrap w:val="0"/>
            <w:vAlign w:val="center"/>
          </w:tcPr>
          <w:p w14:paraId="5BDF1DB1">
            <w:pPr>
              <w:pStyle w:val="80"/>
              <w:spacing w:before="68"/>
              <w:ind w:left="41" w:right="32"/>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860" w:type="dxa"/>
            <w:noWrap w:val="0"/>
            <w:vAlign w:val="center"/>
          </w:tcPr>
          <w:p w14:paraId="5743A67E">
            <w:pPr>
              <w:pStyle w:val="80"/>
              <w:spacing w:before="68"/>
              <w:ind w:left="10" w:right="2"/>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行业</w:t>
            </w:r>
          </w:p>
        </w:tc>
        <w:tc>
          <w:tcPr>
            <w:tcW w:w="2157" w:type="dxa"/>
            <w:noWrap w:val="0"/>
            <w:vAlign w:val="center"/>
          </w:tcPr>
          <w:p w14:paraId="57D8B9F0">
            <w:pPr>
              <w:pStyle w:val="80"/>
              <w:spacing w:before="68"/>
              <w:ind w:left="5"/>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原则</w:t>
            </w:r>
          </w:p>
        </w:tc>
        <w:tc>
          <w:tcPr>
            <w:tcW w:w="5537" w:type="dxa"/>
            <w:gridSpan w:val="2"/>
            <w:noWrap w:val="0"/>
            <w:vAlign w:val="center"/>
          </w:tcPr>
          <w:p w14:paraId="649D9BBD">
            <w:pPr>
              <w:pStyle w:val="80"/>
              <w:spacing w:before="68"/>
              <w:ind w:left="2472" w:right="110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具体规定</w:t>
            </w:r>
          </w:p>
        </w:tc>
        <w:tc>
          <w:tcPr>
            <w:tcW w:w="1099" w:type="dxa"/>
            <w:noWrap w:val="0"/>
            <w:vAlign w:val="center"/>
          </w:tcPr>
          <w:p w14:paraId="6C0B1A93">
            <w:pPr>
              <w:pStyle w:val="80"/>
              <w:spacing w:before="68"/>
              <w:ind w:left="325"/>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指标</w:t>
            </w:r>
          </w:p>
        </w:tc>
      </w:tr>
      <w:tr w14:paraId="05F4F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noWrap w:val="0"/>
            <w:vAlign w:val="center"/>
          </w:tcPr>
          <w:p w14:paraId="207C28D5">
            <w:pPr>
              <w:pStyle w:val="80"/>
              <w:spacing w:before="7"/>
              <w:rPr>
                <w:rFonts w:hint="eastAsia" w:ascii="宋体" w:hAnsi="宋体" w:eastAsia="宋体" w:cs="宋体"/>
                <w:b/>
                <w:color w:val="000000" w:themeColor="text1"/>
                <w:sz w:val="24"/>
                <w:highlight w:val="none"/>
                <w14:textFill>
                  <w14:solidFill>
                    <w14:schemeClr w14:val="tx1"/>
                  </w14:solidFill>
                </w14:textFill>
              </w:rPr>
            </w:pPr>
          </w:p>
          <w:p w14:paraId="5CBA361D">
            <w:pPr>
              <w:pStyle w:val="80"/>
              <w:ind w:left="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1</w:t>
            </w:r>
          </w:p>
        </w:tc>
        <w:tc>
          <w:tcPr>
            <w:tcW w:w="860" w:type="dxa"/>
            <w:vMerge w:val="restart"/>
            <w:noWrap w:val="0"/>
            <w:vAlign w:val="center"/>
          </w:tcPr>
          <w:p w14:paraId="4FBF47BF">
            <w:pPr>
              <w:pStyle w:val="80"/>
              <w:spacing w:before="3"/>
              <w:rPr>
                <w:rFonts w:hint="eastAsia" w:ascii="宋体" w:hAnsi="宋体" w:eastAsia="宋体" w:cs="宋体"/>
                <w:b/>
                <w:color w:val="000000" w:themeColor="text1"/>
                <w:sz w:val="24"/>
                <w:highlight w:val="none"/>
                <w14:textFill>
                  <w14:solidFill>
                    <w14:schemeClr w14:val="tx1"/>
                  </w14:solidFill>
                </w14:textFill>
              </w:rPr>
            </w:pPr>
          </w:p>
          <w:p w14:paraId="11587C79">
            <w:pPr>
              <w:pStyle w:val="80"/>
              <w:spacing w:before="1" w:line="292" w:lineRule="auto"/>
              <w:ind w:left="13" w:right="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农、林、牧、渔业</w:t>
            </w:r>
          </w:p>
        </w:tc>
        <w:tc>
          <w:tcPr>
            <w:tcW w:w="2157" w:type="dxa"/>
            <w:vMerge w:val="restart"/>
            <w:noWrap w:val="0"/>
            <w:vAlign w:val="center"/>
          </w:tcPr>
          <w:p w14:paraId="7B39E68F">
            <w:pPr>
              <w:pStyle w:val="80"/>
              <w:spacing w:before="3"/>
              <w:rPr>
                <w:rFonts w:hint="eastAsia" w:ascii="宋体" w:hAnsi="宋体" w:eastAsia="宋体" w:cs="宋体"/>
                <w:b/>
                <w:color w:val="000000" w:themeColor="text1"/>
                <w:sz w:val="24"/>
                <w:highlight w:val="none"/>
                <w14:textFill>
                  <w14:solidFill>
                    <w14:schemeClr w14:val="tx1"/>
                  </w14:solidFill>
                </w14:textFill>
              </w:rPr>
            </w:pPr>
          </w:p>
          <w:p w14:paraId="0C59A220">
            <w:pPr>
              <w:pStyle w:val="80"/>
              <w:spacing w:before="1" w:line="292" w:lineRule="auto"/>
              <w:ind w:left="15" w:right="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营业收入 20000 万元以下的为中小微型企业</w:t>
            </w:r>
          </w:p>
        </w:tc>
        <w:tc>
          <w:tcPr>
            <w:tcW w:w="1215" w:type="dxa"/>
            <w:noWrap w:val="0"/>
            <w:vAlign w:val="center"/>
          </w:tcPr>
          <w:p w14:paraId="7831B869">
            <w:pPr>
              <w:pStyle w:val="80"/>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14:paraId="66703F52">
            <w:pPr>
              <w:pStyle w:val="80"/>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营业收入 500 万元及以上的</w:t>
            </w:r>
          </w:p>
        </w:tc>
        <w:tc>
          <w:tcPr>
            <w:tcW w:w="1099" w:type="dxa"/>
            <w:vMerge w:val="restart"/>
            <w:noWrap w:val="0"/>
            <w:vAlign w:val="center"/>
          </w:tcPr>
          <w:p w14:paraId="681E1258">
            <w:pPr>
              <w:pStyle w:val="80"/>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营业收入</w:t>
            </w:r>
          </w:p>
        </w:tc>
      </w:tr>
      <w:tr w14:paraId="553D1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751F76C0">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3B46C97A">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14:paraId="6FE84F49">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14:paraId="4C81F2C9">
            <w:pPr>
              <w:pStyle w:val="80"/>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14:paraId="25A1E6F9">
            <w:pPr>
              <w:pStyle w:val="80"/>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营业收入 50 万元及以上的</w:t>
            </w:r>
          </w:p>
        </w:tc>
        <w:tc>
          <w:tcPr>
            <w:tcW w:w="1099" w:type="dxa"/>
            <w:vMerge w:val="continue"/>
            <w:noWrap w:val="0"/>
            <w:vAlign w:val="center"/>
          </w:tcPr>
          <w:p w14:paraId="341B7E83">
            <w:pPr>
              <w:rPr>
                <w:rFonts w:hint="eastAsia" w:ascii="宋体" w:hAnsi="宋体" w:eastAsia="宋体" w:cs="宋体"/>
                <w:color w:val="000000" w:themeColor="text1"/>
                <w:sz w:val="24"/>
                <w:highlight w:val="none"/>
                <w14:textFill>
                  <w14:solidFill>
                    <w14:schemeClr w14:val="tx1"/>
                  </w14:solidFill>
                </w14:textFill>
              </w:rPr>
            </w:pPr>
          </w:p>
        </w:tc>
      </w:tr>
      <w:tr w14:paraId="6C02D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14:paraId="5DE33482">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4E17C99C">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14:paraId="04098B85">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14:paraId="6DEE8D4A">
            <w:pPr>
              <w:pStyle w:val="80"/>
              <w:spacing w:before="69"/>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14:paraId="5B999F84">
            <w:pPr>
              <w:pStyle w:val="80"/>
              <w:spacing w:before="69"/>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营业收入 50 万元以下的</w:t>
            </w:r>
          </w:p>
        </w:tc>
        <w:tc>
          <w:tcPr>
            <w:tcW w:w="1099" w:type="dxa"/>
            <w:vMerge w:val="continue"/>
            <w:noWrap w:val="0"/>
            <w:vAlign w:val="center"/>
          </w:tcPr>
          <w:p w14:paraId="61D3D8AE">
            <w:pPr>
              <w:rPr>
                <w:rFonts w:hint="eastAsia" w:ascii="宋体" w:hAnsi="宋体" w:eastAsia="宋体" w:cs="宋体"/>
                <w:color w:val="000000" w:themeColor="text1"/>
                <w:sz w:val="24"/>
                <w:highlight w:val="none"/>
                <w14:textFill>
                  <w14:solidFill>
                    <w14:schemeClr w14:val="tx1"/>
                  </w14:solidFill>
                </w14:textFill>
              </w:rPr>
            </w:pPr>
          </w:p>
        </w:tc>
      </w:tr>
      <w:tr w14:paraId="711D0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noWrap w:val="0"/>
            <w:vAlign w:val="center"/>
          </w:tcPr>
          <w:p w14:paraId="29E820F5">
            <w:pPr>
              <w:pStyle w:val="80"/>
              <w:spacing w:before="6"/>
              <w:rPr>
                <w:rFonts w:hint="eastAsia" w:ascii="宋体" w:hAnsi="宋体" w:eastAsia="宋体" w:cs="宋体"/>
                <w:b/>
                <w:color w:val="000000" w:themeColor="text1"/>
                <w:sz w:val="24"/>
                <w:highlight w:val="none"/>
                <w14:textFill>
                  <w14:solidFill>
                    <w14:schemeClr w14:val="tx1"/>
                  </w14:solidFill>
                </w14:textFill>
              </w:rPr>
            </w:pPr>
          </w:p>
          <w:p w14:paraId="53006F4C">
            <w:pPr>
              <w:pStyle w:val="80"/>
              <w:ind w:left="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2</w:t>
            </w:r>
          </w:p>
        </w:tc>
        <w:tc>
          <w:tcPr>
            <w:tcW w:w="860" w:type="dxa"/>
            <w:vMerge w:val="restart"/>
            <w:noWrap w:val="0"/>
            <w:vAlign w:val="center"/>
          </w:tcPr>
          <w:p w14:paraId="699A0766">
            <w:pPr>
              <w:pStyle w:val="80"/>
              <w:spacing w:before="11"/>
              <w:rPr>
                <w:rFonts w:hint="eastAsia" w:ascii="宋体" w:hAnsi="宋体" w:eastAsia="宋体" w:cs="宋体"/>
                <w:b/>
                <w:color w:val="000000" w:themeColor="text1"/>
                <w:sz w:val="24"/>
                <w:highlight w:val="none"/>
                <w14:textFill>
                  <w14:solidFill>
                    <w14:schemeClr w14:val="tx1"/>
                  </w14:solidFill>
                </w14:textFill>
              </w:rPr>
            </w:pPr>
          </w:p>
          <w:p w14:paraId="4FDA3ADA">
            <w:pPr>
              <w:pStyle w:val="80"/>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工业</w:t>
            </w:r>
          </w:p>
        </w:tc>
        <w:tc>
          <w:tcPr>
            <w:tcW w:w="2157" w:type="dxa"/>
            <w:vMerge w:val="restart"/>
            <w:noWrap w:val="0"/>
            <w:vAlign w:val="center"/>
          </w:tcPr>
          <w:p w14:paraId="60175312">
            <w:pPr>
              <w:pStyle w:val="80"/>
              <w:spacing w:before="141"/>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9"/>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1000</w:t>
            </w:r>
            <w:r>
              <w:rPr>
                <w:rFonts w:hint="eastAsia" w:ascii="宋体" w:hAnsi="宋体" w:eastAsia="宋体" w:cs="宋体"/>
                <w:color w:val="000000" w:themeColor="text1"/>
                <w:spacing w:val="-8"/>
                <w:sz w:val="24"/>
                <w:highlight w:val="none"/>
                <w14:textFill>
                  <w14:solidFill>
                    <w14:schemeClr w14:val="tx1"/>
                  </w14:solidFill>
                </w14:textFill>
              </w:rPr>
              <w:t xml:space="preserve"> 人以下或</w:t>
            </w:r>
            <w:r>
              <w:rPr>
                <w:rFonts w:hint="eastAsia" w:ascii="宋体" w:hAnsi="宋体" w:eastAsia="宋体" w:cs="宋体"/>
                <w:color w:val="000000" w:themeColor="text1"/>
                <w:sz w:val="24"/>
                <w:highlight w:val="none"/>
                <w14:textFill>
                  <w14:solidFill>
                    <w14:schemeClr w14:val="tx1"/>
                  </w14:solidFill>
                </w14:textFill>
              </w:rPr>
              <w:t>营业收入 40000 万元以下的为中小微型企业</w:t>
            </w:r>
          </w:p>
        </w:tc>
        <w:tc>
          <w:tcPr>
            <w:tcW w:w="1215" w:type="dxa"/>
            <w:noWrap w:val="0"/>
            <w:vAlign w:val="center"/>
          </w:tcPr>
          <w:p w14:paraId="2AB70E3B">
            <w:pPr>
              <w:pStyle w:val="80"/>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14:paraId="4C309925">
            <w:pPr>
              <w:pStyle w:val="80"/>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300</w:t>
            </w:r>
            <w:r>
              <w:rPr>
                <w:rFonts w:hint="eastAsia" w:ascii="宋体" w:hAnsi="宋体" w:eastAsia="宋体" w:cs="宋体"/>
                <w:color w:val="000000" w:themeColor="text1"/>
                <w:spacing w:val="-13"/>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2000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restart"/>
            <w:noWrap w:val="0"/>
            <w:vAlign w:val="center"/>
          </w:tcPr>
          <w:p w14:paraId="28CC7F7D">
            <w:pPr>
              <w:pStyle w:val="80"/>
              <w:spacing w:before="67" w:line="362" w:lineRule="auto"/>
              <w:ind w:left="15" w:right="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14:paraId="4DEBC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14:paraId="7F60E31F">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526DAE80">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14:paraId="4CB2CEB1">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14:paraId="12A08119">
            <w:pPr>
              <w:pStyle w:val="80"/>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14:paraId="31D548F3">
            <w:pPr>
              <w:pStyle w:val="80"/>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20</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300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continue"/>
            <w:noWrap w:val="0"/>
            <w:vAlign w:val="center"/>
          </w:tcPr>
          <w:p w14:paraId="411C2602">
            <w:pPr>
              <w:rPr>
                <w:rFonts w:hint="eastAsia" w:ascii="宋体" w:hAnsi="宋体" w:eastAsia="宋体" w:cs="宋体"/>
                <w:color w:val="000000" w:themeColor="text1"/>
                <w:sz w:val="24"/>
                <w:highlight w:val="none"/>
                <w14:textFill>
                  <w14:solidFill>
                    <w14:schemeClr w14:val="tx1"/>
                  </w14:solidFill>
                </w14:textFill>
              </w:rPr>
            </w:pPr>
          </w:p>
        </w:tc>
      </w:tr>
      <w:tr w14:paraId="366DA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14:paraId="5962426E">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6A0CB882">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14:paraId="48A5ACFA">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14:paraId="3B91887B">
            <w:pPr>
              <w:pStyle w:val="80"/>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14:paraId="7F0C33F1">
            <w:pPr>
              <w:pStyle w:val="80"/>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20 人以下或营业收入 300 万元以下的</w:t>
            </w:r>
          </w:p>
        </w:tc>
        <w:tc>
          <w:tcPr>
            <w:tcW w:w="1099" w:type="dxa"/>
            <w:vMerge w:val="continue"/>
            <w:noWrap w:val="0"/>
            <w:vAlign w:val="center"/>
          </w:tcPr>
          <w:p w14:paraId="3B9B15A3">
            <w:pPr>
              <w:rPr>
                <w:rFonts w:hint="eastAsia" w:ascii="宋体" w:hAnsi="宋体" w:eastAsia="宋体" w:cs="宋体"/>
                <w:color w:val="000000" w:themeColor="text1"/>
                <w:sz w:val="24"/>
                <w:highlight w:val="none"/>
                <w14:textFill>
                  <w14:solidFill>
                    <w14:schemeClr w14:val="tx1"/>
                  </w14:solidFill>
                </w14:textFill>
              </w:rPr>
            </w:pPr>
          </w:p>
        </w:tc>
      </w:tr>
      <w:tr w14:paraId="6E849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524" w:type="dxa"/>
            <w:vMerge w:val="restart"/>
            <w:noWrap w:val="0"/>
            <w:vAlign w:val="center"/>
          </w:tcPr>
          <w:p w14:paraId="098822B2">
            <w:pPr>
              <w:pStyle w:val="80"/>
              <w:rPr>
                <w:rFonts w:hint="eastAsia" w:ascii="宋体" w:hAnsi="宋体" w:eastAsia="宋体" w:cs="宋体"/>
                <w:b/>
                <w:color w:val="000000" w:themeColor="text1"/>
                <w:sz w:val="24"/>
                <w:highlight w:val="none"/>
                <w14:textFill>
                  <w14:solidFill>
                    <w14:schemeClr w14:val="tx1"/>
                  </w14:solidFill>
                </w14:textFill>
              </w:rPr>
            </w:pPr>
          </w:p>
          <w:p w14:paraId="7060BE97">
            <w:pPr>
              <w:pStyle w:val="80"/>
              <w:spacing w:before="15"/>
              <w:rPr>
                <w:rFonts w:hint="eastAsia" w:ascii="宋体" w:hAnsi="宋体" w:eastAsia="宋体" w:cs="宋体"/>
                <w:b/>
                <w:color w:val="000000" w:themeColor="text1"/>
                <w:sz w:val="24"/>
                <w:highlight w:val="none"/>
                <w14:textFill>
                  <w14:solidFill>
                    <w14:schemeClr w14:val="tx1"/>
                  </w14:solidFill>
                </w14:textFill>
              </w:rPr>
            </w:pPr>
          </w:p>
          <w:p w14:paraId="40B69D87">
            <w:pPr>
              <w:pStyle w:val="80"/>
              <w:ind w:left="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3</w:t>
            </w:r>
          </w:p>
        </w:tc>
        <w:tc>
          <w:tcPr>
            <w:tcW w:w="860" w:type="dxa"/>
            <w:vMerge w:val="restart"/>
            <w:noWrap w:val="0"/>
            <w:vAlign w:val="center"/>
          </w:tcPr>
          <w:p w14:paraId="65B24511">
            <w:pPr>
              <w:pStyle w:val="80"/>
              <w:rPr>
                <w:rFonts w:hint="eastAsia" w:ascii="宋体" w:hAnsi="宋体" w:eastAsia="宋体" w:cs="宋体"/>
                <w:b/>
                <w:color w:val="000000" w:themeColor="text1"/>
                <w:sz w:val="24"/>
                <w:highlight w:val="none"/>
                <w14:textFill>
                  <w14:solidFill>
                    <w14:schemeClr w14:val="tx1"/>
                  </w14:solidFill>
                </w14:textFill>
              </w:rPr>
            </w:pPr>
          </w:p>
          <w:p w14:paraId="27AA38BD">
            <w:pPr>
              <w:pStyle w:val="80"/>
              <w:spacing w:before="2"/>
              <w:rPr>
                <w:rFonts w:hint="eastAsia" w:ascii="宋体" w:hAnsi="宋体" w:eastAsia="宋体" w:cs="宋体"/>
                <w:b/>
                <w:color w:val="000000" w:themeColor="text1"/>
                <w:sz w:val="24"/>
                <w:highlight w:val="none"/>
                <w14:textFill>
                  <w14:solidFill>
                    <w14:schemeClr w14:val="tx1"/>
                  </w14:solidFill>
                </w14:textFill>
              </w:rPr>
            </w:pPr>
          </w:p>
          <w:p w14:paraId="64B5A49C">
            <w:pPr>
              <w:pStyle w:val="80"/>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建筑业</w:t>
            </w:r>
          </w:p>
        </w:tc>
        <w:tc>
          <w:tcPr>
            <w:tcW w:w="2157" w:type="dxa"/>
            <w:vMerge w:val="restart"/>
            <w:noWrap w:val="0"/>
            <w:vAlign w:val="center"/>
          </w:tcPr>
          <w:p w14:paraId="3C91FC74">
            <w:pPr>
              <w:pStyle w:val="80"/>
              <w:ind w:left="15"/>
              <w:rPr>
                <w:rFonts w:hint="eastAsia" w:ascii="宋体" w:hAnsi="宋体" w:eastAsia="宋体" w:cs="宋体"/>
                <w:b/>
                <w:color w:val="000000" w:themeColor="text1"/>
                <w:sz w:val="24"/>
                <w:highlight w:val="none"/>
                <w14:textFill>
                  <w14:solidFill>
                    <w14:schemeClr w14:val="tx1"/>
                  </w14:solidFill>
                </w14:textFill>
              </w:rPr>
            </w:pPr>
          </w:p>
          <w:p w14:paraId="6EAA8A6E">
            <w:pPr>
              <w:pStyle w:val="80"/>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营业收入 80000 万元以下或资产总额 80000 万元以下的为中小微型企业</w:t>
            </w:r>
          </w:p>
        </w:tc>
        <w:tc>
          <w:tcPr>
            <w:tcW w:w="1215" w:type="dxa"/>
            <w:noWrap w:val="0"/>
            <w:vAlign w:val="center"/>
          </w:tcPr>
          <w:p w14:paraId="58C23CDF">
            <w:pPr>
              <w:pStyle w:val="80"/>
              <w:spacing w:before="2"/>
              <w:rPr>
                <w:rFonts w:hint="eastAsia" w:ascii="宋体" w:hAnsi="宋体" w:eastAsia="宋体" w:cs="宋体"/>
                <w:b/>
                <w:color w:val="000000" w:themeColor="text1"/>
                <w:sz w:val="24"/>
                <w:highlight w:val="none"/>
                <w14:textFill>
                  <w14:solidFill>
                    <w14:schemeClr w14:val="tx1"/>
                  </w14:solidFill>
                </w14:textFill>
              </w:rPr>
            </w:pPr>
          </w:p>
          <w:p w14:paraId="035A9848">
            <w:pPr>
              <w:pStyle w:val="80"/>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14:paraId="2F94F9B2">
            <w:pPr>
              <w:pStyle w:val="80"/>
              <w:spacing w:before="49"/>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9"/>
                <w:sz w:val="24"/>
                <w:highlight w:val="none"/>
                <w14:textFill>
                  <w14:solidFill>
                    <w14:schemeClr w14:val="tx1"/>
                  </w14:solidFill>
                </w14:textFill>
              </w:rPr>
              <w:t xml:space="preserve">营业收入 </w:t>
            </w:r>
            <w:r>
              <w:rPr>
                <w:rFonts w:hint="eastAsia" w:ascii="宋体" w:hAnsi="宋体" w:eastAsia="宋体" w:cs="宋体"/>
                <w:color w:val="000000" w:themeColor="text1"/>
                <w:sz w:val="24"/>
                <w:highlight w:val="none"/>
                <w14:textFill>
                  <w14:solidFill>
                    <w14:schemeClr w14:val="tx1"/>
                  </w14:solidFill>
                </w14:textFill>
              </w:rPr>
              <w:t>6000</w:t>
            </w:r>
            <w:r>
              <w:rPr>
                <w:rFonts w:hint="eastAsia" w:ascii="宋体" w:hAnsi="宋体" w:eastAsia="宋体" w:cs="宋体"/>
                <w:color w:val="000000" w:themeColor="text1"/>
                <w:spacing w:val="-6"/>
                <w:sz w:val="24"/>
                <w:highlight w:val="none"/>
                <w14:textFill>
                  <w14:solidFill>
                    <w14:schemeClr w14:val="tx1"/>
                  </w14:solidFill>
                </w14:textFill>
              </w:rPr>
              <w:t xml:space="preserve"> 万元及以上，且资产总额 </w:t>
            </w:r>
            <w:r>
              <w:rPr>
                <w:rFonts w:hint="eastAsia" w:ascii="宋体" w:hAnsi="宋体" w:eastAsia="宋体" w:cs="宋体"/>
                <w:color w:val="000000" w:themeColor="text1"/>
                <w:sz w:val="24"/>
                <w:highlight w:val="none"/>
                <w14:textFill>
                  <w14:solidFill>
                    <w14:schemeClr w14:val="tx1"/>
                  </w14:solidFill>
                </w14:textFill>
              </w:rPr>
              <w:t>5000</w:t>
            </w:r>
            <w:r>
              <w:rPr>
                <w:rFonts w:hint="eastAsia" w:ascii="宋体" w:hAnsi="宋体" w:eastAsia="宋体" w:cs="宋体"/>
                <w:color w:val="000000" w:themeColor="text1"/>
                <w:spacing w:val="-8"/>
                <w:sz w:val="24"/>
                <w:highlight w:val="none"/>
                <w14:textFill>
                  <w14:solidFill>
                    <w14:schemeClr w14:val="tx1"/>
                  </w14:solidFill>
                </w14:textFill>
              </w:rPr>
              <w:t xml:space="preserve"> 万元及以</w:t>
            </w:r>
          </w:p>
          <w:p w14:paraId="72BA2F72">
            <w:pPr>
              <w:pStyle w:val="80"/>
              <w:spacing w:before="56"/>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上的</w:t>
            </w:r>
          </w:p>
        </w:tc>
        <w:tc>
          <w:tcPr>
            <w:tcW w:w="1099" w:type="dxa"/>
            <w:vMerge w:val="restart"/>
            <w:noWrap w:val="0"/>
            <w:vAlign w:val="center"/>
          </w:tcPr>
          <w:p w14:paraId="075127AC">
            <w:pPr>
              <w:pStyle w:val="80"/>
              <w:spacing w:before="2"/>
              <w:rPr>
                <w:rFonts w:hint="eastAsia" w:ascii="宋体" w:hAnsi="宋体" w:eastAsia="宋体" w:cs="宋体"/>
                <w:b/>
                <w:color w:val="000000" w:themeColor="text1"/>
                <w:sz w:val="24"/>
                <w:highlight w:val="none"/>
                <w14:textFill>
                  <w14:solidFill>
                    <w14:schemeClr w14:val="tx1"/>
                  </w14:solidFill>
                </w14:textFill>
              </w:rPr>
            </w:pPr>
          </w:p>
          <w:p w14:paraId="6DE02186">
            <w:pPr>
              <w:pStyle w:val="80"/>
              <w:spacing w:line="612" w:lineRule="auto"/>
              <w:ind w:left="15" w:right="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营业收入资产总额</w:t>
            </w:r>
          </w:p>
        </w:tc>
      </w:tr>
      <w:tr w14:paraId="2DDE6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524" w:type="dxa"/>
            <w:vMerge w:val="continue"/>
            <w:noWrap w:val="0"/>
            <w:vAlign w:val="center"/>
          </w:tcPr>
          <w:p w14:paraId="78A4D2B6">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43C763ED">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14:paraId="1644FEBF">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14:paraId="4D403069">
            <w:pPr>
              <w:pStyle w:val="80"/>
              <w:spacing w:before="16"/>
              <w:rPr>
                <w:rFonts w:hint="eastAsia" w:ascii="宋体" w:hAnsi="宋体" w:eastAsia="宋体" w:cs="宋体"/>
                <w:b/>
                <w:color w:val="000000" w:themeColor="text1"/>
                <w:sz w:val="24"/>
                <w:highlight w:val="none"/>
                <w14:textFill>
                  <w14:solidFill>
                    <w14:schemeClr w14:val="tx1"/>
                  </w14:solidFill>
                </w14:textFill>
              </w:rPr>
            </w:pPr>
          </w:p>
          <w:p w14:paraId="2FE072CE">
            <w:pPr>
              <w:pStyle w:val="80"/>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14:paraId="234D89CC">
            <w:pPr>
              <w:pStyle w:val="80"/>
              <w:spacing w:before="45"/>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 xml:space="preserve">营业收入 </w:t>
            </w:r>
            <w:r>
              <w:rPr>
                <w:rFonts w:hint="eastAsia" w:ascii="宋体" w:hAnsi="宋体" w:eastAsia="宋体" w:cs="宋体"/>
                <w:color w:val="000000" w:themeColor="text1"/>
                <w:sz w:val="24"/>
                <w:highlight w:val="none"/>
                <w14:textFill>
                  <w14:solidFill>
                    <w14:schemeClr w14:val="tx1"/>
                  </w14:solidFill>
                </w14:textFill>
              </w:rPr>
              <w:t>300</w:t>
            </w:r>
            <w:r>
              <w:rPr>
                <w:rFonts w:hint="eastAsia" w:ascii="宋体" w:hAnsi="宋体" w:eastAsia="宋体" w:cs="宋体"/>
                <w:color w:val="000000" w:themeColor="text1"/>
                <w:spacing w:val="-7"/>
                <w:sz w:val="24"/>
                <w:highlight w:val="none"/>
                <w14:textFill>
                  <w14:solidFill>
                    <w14:schemeClr w14:val="tx1"/>
                  </w14:solidFill>
                </w14:textFill>
              </w:rPr>
              <w:t xml:space="preserve"> 万元及以上，且资产总额 </w:t>
            </w:r>
            <w:r>
              <w:rPr>
                <w:rFonts w:hint="eastAsia" w:ascii="宋体" w:hAnsi="宋体" w:eastAsia="宋体" w:cs="宋体"/>
                <w:color w:val="000000" w:themeColor="text1"/>
                <w:sz w:val="24"/>
                <w:highlight w:val="none"/>
                <w14:textFill>
                  <w14:solidFill>
                    <w14:schemeClr w14:val="tx1"/>
                  </w14:solidFill>
                </w14:textFill>
              </w:rPr>
              <w:t>300</w:t>
            </w:r>
            <w:r>
              <w:rPr>
                <w:rFonts w:hint="eastAsia" w:ascii="宋体" w:hAnsi="宋体" w:eastAsia="宋体" w:cs="宋体"/>
                <w:color w:val="000000" w:themeColor="text1"/>
                <w:spacing w:val="-8"/>
                <w:sz w:val="24"/>
                <w:highlight w:val="none"/>
                <w14:textFill>
                  <w14:solidFill>
                    <w14:schemeClr w14:val="tx1"/>
                  </w14:solidFill>
                </w14:textFill>
              </w:rPr>
              <w:t xml:space="preserve"> 万元及以上</w:t>
            </w:r>
          </w:p>
          <w:p w14:paraId="4E7B35DF">
            <w:pPr>
              <w:pStyle w:val="80"/>
              <w:spacing w:before="55"/>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的</w:t>
            </w:r>
          </w:p>
        </w:tc>
        <w:tc>
          <w:tcPr>
            <w:tcW w:w="1099" w:type="dxa"/>
            <w:vMerge w:val="continue"/>
            <w:noWrap w:val="0"/>
            <w:vAlign w:val="center"/>
          </w:tcPr>
          <w:p w14:paraId="21C5F3A5">
            <w:pPr>
              <w:rPr>
                <w:rFonts w:hint="eastAsia" w:ascii="宋体" w:hAnsi="宋体" w:eastAsia="宋体" w:cs="宋体"/>
                <w:color w:val="000000" w:themeColor="text1"/>
                <w:sz w:val="24"/>
                <w:highlight w:val="none"/>
                <w14:textFill>
                  <w14:solidFill>
                    <w14:schemeClr w14:val="tx1"/>
                  </w14:solidFill>
                </w14:textFill>
              </w:rPr>
            </w:pPr>
          </w:p>
        </w:tc>
      </w:tr>
      <w:tr w14:paraId="27691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7B2408D2">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0E15DD00">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14:paraId="4D4E0FD0">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14:paraId="295600AD">
            <w:pPr>
              <w:pStyle w:val="80"/>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14:paraId="378FC866">
            <w:pPr>
              <w:pStyle w:val="80"/>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营业收入 300 万元以下或资产总额 300 万元以下的</w:t>
            </w:r>
          </w:p>
        </w:tc>
        <w:tc>
          <w:tcPr>
            <w:tcW w:w="1099" w:type="dxa"/>
            <w:vMerge w:val="continue"/>
            <w:noWrap w:val="0"/>
            <w:vAlign w:val="center"/>
          </w:tcPr>
          <w:p w14:paraId="7BF16BC5">
            <w:pPr>
              <w:rPr>
                <w:rFonts w:hint="eastAsia" w:ascii="宋体" w:hAnsi="宋体" w:eastAsia="宋体" w:cs="宋体"/>
                <w:color w:val="000000" w:themeColor="text1"/>
                <w:sz w:val="24"/>
                <w:highlight w:val="none"/>
                <w14:textFill>
                  <w14:solidFill>
                    <w14:schemeClr w14:val="tx1"/>
                  </w14:solidFill>
                </w14:textFill>
              </w:rPr>
            </w:pPr>
          </w:p>
        </w:tc>
      </w:tr>
      <w:tr w14:paraId="5F6EB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noWrap w:val="0"/>
            <w:vAlign w:val="center"/>
          </w:tcPr>
          <w:p w14:paraId="70F5420C">
            <w:pPr>
              <w:pStyle w:val="80"/>
              <w:spacing w:before="7"/>
              <w:rPr>
                <w:rFonts w:hint="eastAsia" w:ascii="宋体" w:hAnsi="宋体" w:eastAsia="宋体" w:cs="宋体"/>
                <w:b/>
                <w:color w:val="000000" w:themeColor="text1"/>
                <w:sz w:val="24"/>
                <w:highlight w:val="none"/>
                <w14:textFill>
                  <w14:solidFill>
                    <w14:schemeClr w14:val="tx1"/>
                  </w14:solidFill>
                </w14:textFill>
              </w:rPr>
            </w:pPr>
          </w:p>
          <w:p w14:paraId="73C4F0F7">
            <w:pPr>
              <w:pStyle w:val="80"/>
              <w:ind w:left="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4</w:t>
            </w:r>
          </w:p>
        </w:tc>
        <w:tc>
          <w:tcPr>
            <w:tcW w:w="860" w:type="dxa"/>
            <w:vMerge w:val="restart"/>
            <w:noWrap w:val="0"/>
            <w:vAlign w:val="center"/>
          </w:tcPr>
          <w:p w14:paraId="2449201C">
            <w:pPr>
              <w:pStyle w:val="80"/>
              <w:spacing w:before="12"/>
              <w:rPr>
                <w:rFonts w:hint="eastAsia" w:ascii="宋体" w:hAnsi="宋体" w:eastAsia="宋体" w:cs="宋体"/>
                <w:b/>
                <w:color w:val="000000" w:themeColor="text1"/>
                <w:sz w:val="24"/>
                <w:highlight w:val="none"/>
                <w14:textFill>
                  <w14:solidFill>
                    <w14:schemeClr w14:val="tx1"/>
                  </w14:solidFill>
                </w14:textFill>
              </w:rPr>
            </w:pPr>
          </w:p>
          <w:p w14:paraId="41FB6EF7">
            <w:pPr>
              <w:pStyle w:val="80"/>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批发业</w:t>
            </w:r>
          </w:p>
        </w:tc>
        <w:tc>
          <w:tcPr>
            <w:tcW w:w="2157" w:type="dxa"/>
            <w:vMerge w:val="restart"/>
            <w:noWrap w:val="0"/>
            <w:vAlign w:val="center"/>
          </w:tcPr>
          <w:p w14:paraId="5584C669">
            <w:pPr>
              <w:pStyle w:val="80"/>
              <w:spacing w:before="142"/>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200 人以下或营业收入 40000 万元以下的为中小微型企业</w:t>
            </w:r>
          </w:p>
        </w:tc>
        <w:tc>
          <w:tcPr>
            <w:tcW w:w="1215" w:type="dxa"/>
            <w:noWrap w:val="0"/>
            <w:vAlign w:val="center"/>
          </w:tcPr>
          <w:p w14:paraId="01A8BFDC">
            <w:pPr>
              <w:pStyle w:val="80"/>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14:paraId="70C3E806">
            <w:pPr>
              <w:pStyle w:val="80"/>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20</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5000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restart"/>
            <w:noWrap w:val="0"/>
            <w:vAlign w:val="center"/>
          </w:tcPr>
          <w:p w14:paraId="37578F70">
            <w:pPr>
              <w:pStyle w:val="80"/>
              <w:spacing w:before="68" w:line="362" w:lineRule="auto"/>
              <w:ind w:left="15" w:right="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14:paraId="02483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062548FC">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0710CDDD">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14:paraId="5D1AD884">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14:paraId="11C0B651">
            <w:pPr>
              <w:pStyle w:val="80"/>
              <w:spacing w:before="69"/>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14:paraId="1F4B3734">
            <w:pPr>
              <w:pStyle w:val="80"/>
              <w:spacing w:before="69"/>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5</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1000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continue"/>
            <w:noWrap w:val="0"/>
            <w:vAlign w:val="center"/>
          </w:tcPr>
          <w:p w14:paraId="514F7905">
            <w:pPr>
              <w:rPr>
                <w:rFonts w:hint="eastAsia" w:ascii="宋体" w:hAnsi="宋体" w:eastAsia="宋体" w:cs="宋体"/>
                <w:color w:val="000000" w:themeColor="text1"/>
                <w:sz w:val="24"/>
                <w:highlight w:val="none"/>
                <w14:textFill>
                  <w14:solidFill>
                    <w14:schemeClr w14:val="tx1"/>
                  </w14:solidFill>
                </w14:textFill>
              </w:rPr>
            </w:pPr>
          </w:p>
        </w:tc>
      </w:tr>
      <w:tr w14:paraId="033A8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0ED60C40">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5B15E6E1">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14:paraId="5748D3CF">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14:paraId="7C385EC5">
            <w:pPr>
              <w:pStyle w:val="80"/>
              <w:spacing w:before="69"/>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14:paraId="04DB72D9">
            <w:pPr>
              <w:pStyle w:val="80"/>
              <w:spacing w:before="69"/>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5 人以下或营业收入 1000 万元以下的</w:t>
            </w:r>
          </w:p>
        </w:tc>
        <w:tc>
          <w:tcPr>
            <w:tcW w:w="1099" w:type="dxa"/>
            <w:vMerge w:val="continue"/>
            <w:noWrap w:val="0"/>
            <w:vAlign w:val="center"/>
          </w:tcPr>
          <w:p w14:paraId="10BB593C">
            <w:pPr>
              <w:rPr>
                <w:rFonts w:hint="eastAsia" w:ascii="宋体" w:hAnsi="宋体" w:eastAsia="宋体" w:cs="宋体"/>
                <w:color w:val="000000" w:themeColor="text1"/>
                <w:sz w:val="24"/>
                <w:highlight w:val="none"/>
                <w14:textFill>
                  <w14:solidFill>
                    <w14:schemeClr w14:val="tx1"/>
                  </w14:solidFill>
                </w14:textFill>
              </w:rPr>
            </w:pPr>
          </w:p>
        </w:tc>
      </w:tr>
      <w:tr w14:paraId="145DF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noWrap w:val="0"/>
            <w:vAlign w:val="center"/>
          </w:tcPr>
          <w:p w14:paraId="0ADC92C7">
            <w:pPr>
              <w:pStyle w:val="80"/>
              <w:spacing w:before="6"/>
              <w:rPr>
                <w:rFonts w:hint="eastAsia" w:ascii="宋体" w:hAnsi="宋体" w:eastAsia="宋体" w:cs="宋体"/>
                <w:b/>
                <w:color w:val="000000" w:themeColor="text1"/>
                <w:sz w:val="24"/>
                <w:highlight w:val="none"/>
                <w14:textFill>
                  <w14:solidFill>
                    <w14:schemeClr w14:val="tx1"/>
                  </w14:solidFill>
                </w14:textFill>
              </w:rPr>
            </w:pPr>
          </w:p>
          <w:p w14:paraId="26108A78">
            <w:pPr>
              <w:pStyle w:val="80"/>
              <w:ind w:left="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5</w:t>
            </w:r>
          </w:p>
        </w:tc>
        <w:tc>
          <w:tcPr>
            <w:tcW w:w="860" w:type="dxa"/>
            <w:vMerge w:val="restart"/>
            <w:noWrap w:val="0"/>
            <w:vAlign w:val="center"/>
          </w:tcPr>
          <w:p w14:paraId="26413703">
            <w:pPr>
              <w:pStyle w:val="80"/>
              <w:spacing w:before="11"/>
              <w:rPr>
                <w:rFonts w:hint="eastAsia" w:ascii="宋体" w:hAnsi="宋体" w:eastAsia="宋体" w:cs="宋体"/>
                <w:b/>
                <w:color w:val="000000" w:themeColor="text1"/>
                <w:sz w:val="24"/>
                <w:highlight w:val="none"/>
                <w14:textFill>
                  <w14:solidFill>
                    <w14:schemeClr w14:val="tx1"/>
                  </w14:solidFill>
                </w14:textFill>
              </w:rPr>
            </w:pPr>
          </w:p>
          <w:p w14:paraId="4BAA58A6">
            <w:pPr>
              <w:pStyle w:val="80"/>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零售业</w:t>
            </w:r>
          </w:p>
        </w:tc>
        <w:tc>
          <w:tcPr>
            <w:tcW w:w="2157" w:type="dxa"/>
            <w:vMerge w:val="restart"/>
            <w:noWrap w:val="0"/>
            <w:vAlign w:val="center"/>
          </w:tcPr>
          <w:p w14:paraId="6D5FBF69">
            <w:pPr>
              <w:pStyle w:val="80"/>
              <w:spacing w:before="141"/>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300 人以下或营业收入 20000 万元以下的为中小微型企业</w:t>
            </w:r>
          </w:p>
        </w:tc>
        <w:tc>
          <w:tcPr>
            <w:tcW w:w="1215" w:type="dxa"/>
            <w:noWrap w:val="0"/>
            <w:vAlign w:val="center"/>
          </w:tcPr>
          <w:p w14:paraId="5CB23566">
            <w:pPr>
              <w:pStyle w:val="80"/>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14:paraId="0983E2FA">
            <w:pPr>
              <w:pStyle w:val="80"/>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50</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500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restart"/>
            <w:noWrap w:val="0"/>
            <w:vAlign w:val="center"/>
          </w:tcPr>
          <w:p w14:paraId="0B242700">
            <w:pPr>
              <w:pStyle w:val="80"/>
              <w:spacing w:before="67" w:line="362" w:lineRule="auto"/>
              <w:ind w:left="15" w:right="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14:paraId="744F0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19E01D8E">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509A7F2A">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14:paraId="7399DA78">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14:paraId="293792FA">
            <w:pPr>
              <w:pStyle w:val="80"/>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14:paraId="33D2AE96">
            <w:pPr>
              <w:pStyle w:val="80"/>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100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continue"/>
            <w:noWrap w:val="0"/>
            <w:vAlign w:val="center"/>
          </w:tcPr>
          <w:p w14:paraId="472F5F1C">
            <w:pPr>
              <w:rPr>
                <w:rFonts w:hint="eastAsia" w:ascii="宋体" w:hAnsi="宋体" w:eastAsia="宋体" w:cs="宋体"/>
                <w:color w:val="000000" w:themeColor="text1"/>
                <w:sz w:val="24"/>
                <w:highlight w:val="none"/>
                <w14:textFill>
                  <w14:solidFill>
                    <w14:schemeClr w14:val="tx1"/>
                  </w14:solidFill>
                </w14:textFill>
              </w:rPr>
            </w:pPr>
          </w:p>
        </w:tc>
      </w:tr>
      <w:tr w14:paraId="48C50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14:paraId="280C4F72">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01CA90BE">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14:paraId="08EF4439">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14:paraId="0281B319">
            <w:pPr>
              <w:pStyle w:val="80"/>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14:paraId="242A0EB9">
            <w:pPr>
              <w:pStyle w:val="80"/>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10 人以下或营业收入 100 万元以下的</w:t>
            </w:r>
          </w:p>
        </w:tc>
        <w:tc>
          <w:tcPr>
            <w:tcW w:w="1099" w:type="dxa"/>
            <w:vMerge w:val="continue"/>
            <w:noWrap w:val="0"/>
            <w:vAlign w:val="center"/>
          </w:tcPr>
          <w:p w14:paraId="4CFA5729">
            <w:pPr>
              <w:rPr>
                <w:rFonts w:hint="eastAsia" w:ascii="宋体" w:hAnsi="宋体" w:eastAsia="宋体" w:cs="宋体"/>
                <w:color w:val="000000" w:themeColor="text1"/>
                <w:sz w:val="24"/>
                <w:highlight w:val="none"/>
                <w14:textFill>
                  <w14:solidFill>
                    <w14:schemeClr w14:val="tx1"/>
                  </w14:solidFill>
                </w14:textFill>
              </w:rPr>
            </w:pPr>
          </w:p>
        </w:tc>
      </w:tr>
      <w:tr w14:paraId="6AB51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noWrap w:val="0"/>
            <w:vAlign w:val="center"/>
          </w:tcPr>
          <w:p w14:paraId="032BAC27">
            <w:pPr>
              <w:pStyle w:val="80"/>
              <w:spacing w:before="7"/>
              <w:rPr>
                <w:rFonts w:hint="eastAsia" w:ascii="宋体" w:hAnsi="宋体" w:eastAsia="宋体" w:cs="宋体"/>
                <w:b/>
                <w:color w:val="000000" w:themeColor="text1"/>
                <w:sz w:val="24"/>
                <w:highlight w:val="none"/>
                <w14:textFill>
                  <w14:solidFill>
                    <w14:schemeClr w14:val="tx1"/>
                  </w14:solidFill>
                </w14:textFill>
              </w:rPr>
            </w:pPr>
          </w:p>
          <w:p w14:paraId="3E4311E6">
            <w:pPr>
              <w:pStyle w:val="80"/>
              <w:ind w:left="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6</w:t>
            </w:r>
          </w:p>
        </w:tc>
        <w:tc>
          <w:tcPr>
            <w:tcW w:w="860" w:type="dxa"/>
            <w:vMerge w:val="restart"/>
            <w:noWrap w:val="0"/>
            <w:vAlign w:val="center"/>
          </w:tcPr>
          <w:p w14:paraId="0D8CA629">
            <w:pPr>
              <w:pStyle w:val="80"/>
              <w:spacing w:before="3"/>
              <w:rPr>
                <w:rFonts w:hint="eastAsia" w:ascii="宋体" w:hAnsi="宋体" w:eastAsia="宋体" w:cs="宋体"/>
                <w:b/>
                <w:color w:val="000000" w:themeColor="text1"/>
                <w:sz w:val="24"/>
                <w:highlight w:val="none"/>
                <w14:textFill>
                  <w14:solidFill>
                    <w14:schemeClr w14:val="tx1"/>
                  </w14:solidFill>
                </w14:textFill>
              </w:rPr>
            </w:pPr>
          </w:p>
          <w:p w14:paraId="05A9C16C">
            <w:pPr>
              <w:pStyle w:val="80"/>
              <w:spacing w:before="1" w:line="292" w:lineRule="auto"/>
              <w:ind w:left="13" w:right="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交通运输业</w:t>
            </w:r>
          </w:p>
        </w:tc>
        <w:tc>
          <w:tcPr>
            <w:tcW w:w="2157" w:type="dxa"/>
            <w:vMerge w:val="restart"/>
            <w:noWrap w:val="0"/>
            <w:vAlign w:val="center"/>
          </w:tcPr>
          <w:p w14:paraId="1AF687A8">
            <w:pPr>
              <w:pStyle w:val="80"/>
              <w:spacing w:before="142"/>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9"/>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1000</w:t>
            </w:r>
            <w:r>
              <w:rPr>
                <w:rFonts w:hint="eastAsia" w:ascii="宋体" w:hAnsi="宋体" w:eastAsia="宋体" w:cs="宋体"/>
                <w:color w:val="000000" w:themeColor="text1"/>
                <w:spacing w:val="-8"/>
                <w:sz w:val="24"/>
                <w:highlight w:val="none"/>
                <w14:textFill>
                  <w14:solidFill>
                    <w14:schemeClr w14:val="tx1"/>
                  </w14:solidFill>
                </w14:textFill>
              </w:rPr>
              <w:t xml:space="preserve"> 人以下或</w:t>
            </w:r>
            <w:r>
              <w:rPr>
                <w:rFonts w:hint="eastAsia" w:ascii="宋体" w:hAnsi="宋体" w:eastAsia="宋体" w:cs="宋体"/>
                <w:color w:val="000000" w:themeColor="text1"/>
                <w:sz w:val="24"/>
                <w:highlight w:val="none"/>
                <w14:textFill>
                  <w14:solidFill>
                    <w14:schemeClr w14:val="tx1"/>
                  </w14:solidFill>
                </w14:textFill>
              </w:rPr>
              <w:t>营业收入 30000 万元以下的为中小微型企业</w:t>
            </w:r>
          </w:p>
        </w:tc>
        <w:tc>
          <w:tcPr>
            <w:tcW w:w="1215" w:type="dxa"/>
            <w:noWrap w:val="0"/>
            <w:vAlign w:val="center"/>
          </w:tcPr>
          <w:p w14:paraId="0CE5E202">
            <w:pPr>
              <w:pStyle w:val="80"/>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14:paraId="45A1C76C">
            <w:pPr>
              <w:pStyle w:val="80"/>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300</w:t>
            </w:r>
            <w:r>
              <w:rPr>
                <w:rFonts w:hint="eastAsia" w:ascii="宋体" w:hAnsi="宋体" w:eastAsia="宋体" w:cs="宋体"/>
                <w:color w:val="000000" w:themeColor="text1"/>
                <w:spacing w:val="-13"/>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3000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restart"/>
            <w:noWrap w:val="0"/>
            <w:vAlign w:val="center"/>
          </w:tcPr>
          <w:p w14:paraId="4AB30C65">
            <w:pPr>
              <w:pStyle w:val="80"/>
              <w:spacing w:before="68" w:line="362" w:lineRule="auto"/>
              <w:ind w:left="15" w:right="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14:paraId="43E4E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1570088C">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355890DA">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14:paraId="36E4AA96">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14:paraId="15F04A0D">
            <w:pPr>
              <w:pStyle w:val="80"/>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14:paraId="0EAFD5C1">
            <w:pPr>
              <w:pStyle w:val="80"/>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20</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200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continue"/>
            <w:noWrap w:val="0"/>
            <w:vAlign w:val="center"/>
          </w:tcPr>
          <w:p w14:paraId="10005B20">
            <w:pPr>
              <w:rPr>
                <w:rFonts w:hint="eastAsia" w:ascii="宋体" w:hAnsi="宋体" w:eastAsia="宋体" w:cs="宋体"/>
                <w:color w:val="000000" w:themeColor="text1"/>
                <w:sz w:val="24"/>
                <w:highlight w:val="none"/>
                <w14:textFill>
                  <w14:solidFill>
                    <w14:schemeClr w14:val="tx1"/>
                  </w14:solidFill>
                </w14:textFill>
              </w:rPr>
            </w:pPr>
          </w:p>
        </w:tc>
      </w:tr>
      <w:tr w14:paraId="32326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0F5762D9">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274857AF">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14:paraId="3A9D2BD5">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14:paraId="147225D3">
            <w:pPr>
              <w:pStyle w:val="80"/>
              <w:spacing w:before="69"/>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14:paraId="17FEBB69">
            <w:pPr>
              <w:pStyle w:val="80"/>
              <w:spacing w:before="69"/>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20 人以下或营业收入 200 万元以下的</w:t>
            </w:r>
          </w:p>
        </w:tc>
        <w:tc>
          <w:tcPr>
            <w:tcW w:w="1099" w:type="dxa"/>
            <w:vMerge w:val="continue"/>
            <w:noWrap w:val="0"/>
            <w:vAlign w:val="center"/>
          </w:tcPr>
          <w:p w14:paraId="51823DDD">
            <w:pPr>
              <w:rPr>
                <w:rFonts w:hint="eastAsia" w:ascii="宋体" w:hAnsi="宋体" w:eastAsia="宋体" w:cs="宋体"/>
                <w:color w:val="000000" w:themeColor="text1"/>
                <w:sz w:val="24"/>
                <w:highlight w:val="none"/>
                <w14:textFill>
                  <w14:solidFill>
                    <w14:schemeClr w14:val="tx1"/>
                  </w14:solidFill>
                </w14:textFill>
              </w:rPr>
            </w:pPr>
          </w:p>
        </w:tc>
      </w:tr>
      <w:tr w14:paraId="0059F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noWrap w:val="0"/>
            <w:vAlign w:val="center"/>
          </w:tcPr>
          <w:p w14:paraId="12EBA81F">
            <w:pPr>
              <w:pStyle w:val="80"/>
              <w:spacing w:before="6"/>
              <w:rPr>
                <w:rFonts w:hint="eastAsia" w:ascii="宋体" w:hAnsi="宋体" w:eastAsia="宋体" w:cs="宋体"/>
                <w:b/>
                <w:color w:val="000000" w:themeColor="text1"/>
                <w:sz w:val="24"/>
                <w:highlight w:val="none"/>
                <w14:textFill>
                  <w14:solidFill>
                    <w14:schemeClr w14:val="tx1"/>
                  </w14:solidFill>
                </w14:textFill>
              </w:rPr>
            </w:pPr>
          </w:p>
          <w:p w14:paraId="1720C093">
            <w:pPr>
              <w:pStyle w:val="80"/>
              <w:ind w:left="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7</w:t>
            </w:r>
          </w:p>
        </w:tc>
        <w:tc>
          <w:tcPr>
            <w:tcW w:w="860" w:type="dxa"/>
            <w:vMerge w:val="restart"/>
            <w:noWrap w:val="0"/>
            <w:vAlign w:val="center"/>
          </w:tcPr>
          <w:p w14:paraId="0EC46EA4">
            <w:pPr>
              <w:pStyle w:val="80"/>
              <w:spacing w:before="11"/>
              <w:rPr>
                <w:rFonts w:hint="eastAsia" w:ascii="宋体" w:hAnsi="宋体" w:eastAsia="宋体" w:cs="宋体"/>
                <w:b/>
                <w:color w:val="000000" w:themeColor="text1"/>
                <w:sz w:val="24"/>
                <w:highlight w:val="none"/>
                <w14:textFill>
                  <w14:solidFill>
                    <w14:schemeClr w14:val="tx1"/>
                  </w14:solidFill>
                </w14:textFill>
              </w:rPr>
            </w:pPr>
          </w:p>
          <w:p w14:paraId="6E8DE069">
            <w:pPr>
              <w:pStyle w:val="80"/>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仓储业</w:t>
            </w:r>
          </w:p>
        </w:tc>
        <w:tc>
          <w:tcPr>
            <w:tcW w:w="2157" w:type="dxa"/>
            <w:vMerge w:val="restart"/>
            <w:noWrap w:val="0"/>
            <w:vAlign w:val="center"/>
          </w:tcPr>
          <w:p w14:paraId="65C997C1">
            <w:pPr>
              <w:pStyle w:val="80"/>
              <w:spacing w:before="141"/>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200 人以下或营业收入 30000 万元以下的为中小微型企业</w:t>
            </w:r>
          </w:p>
        </w:tc>
        <w:tc>
          <w:tcPr>
            <w:tcW w:w="1215" w:type="dxa"/>
            <w:noWrap w:val="0"/>
            <w:vAlign w:val="center"/>
          </w:tcPr>
          <w:p w14:paraId="2A83D688">
            <w:pPr>
              <w:pStyle w:val="80"/>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14:paraId="6AD9CFCA">
            <w:pPr>
              <w:pStyle w:val="80"/>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100</w:t>
            </w:r>
            <w:r>
              <w:rPr>
                <w:rFonts w:hint="eastAsia" w:ascii="宋体" w:hAnsi="宋体" w:eastAsia="宋体" w:cs="宋体"/>
                <w:color w:val="000000" w:themeColor="text1"/>
                <w:spacing w:val="-13"/>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1000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restart"/>
            <w:noWrap w:val="0"/>
            <w:vAlign w:val="center"/>
          </w:tcPr>
          <w:p w14:paraId="7ABEB0F4">
            <w:pPr>
              <w:pStyle w:val="80"/>
              <w:spacing w:before="67" w:line="362" w:lineRule="auto"/>
              <w:ind w:left="15" w:right="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14:paraId="6B36E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70681325">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04C87D73">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14:paraId="2E1E1714">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14:paraId="7486F933">
            <w:pPr>
              <w:pStyle w:val="80"/>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14:paraId="4F323A87">
            <w:pPr>
              <w:pStyle w:val="80"/>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20</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100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continue"/>
            <w:noWrap w:val="0"/>
            <w:vAlign w:val="center"/>
          </w:tcPr>
          <w:p w14:paraId="7D4A4981">
            <w:pPr>
              <w:rPr>
                <w:rFonts w:hint="eastAsia" w:ascii="宋体" w:hAnsi="宋体" w:eastAsia="宋体" w:cs="宋体"/>
                <w:color w:val="000000" w:themeColor="text1"/>
                <w:sz w:val="24"/>
                <w:highlight w:val="none"/>
                <w14:textFill>
                  <w14:solidFill>
                    <w14:schemeClr w14:val="tx1"/>
                  </w14:solidFill>
                </w14:textFill>
              </w:rPr>
            </w:pPr>
          </w:p>
        </w:tc>
      </w:tr>
      <w:tr w14:paraId="3E478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14:paraId="11936C2A">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4F2C6107">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14:paraId="5C095EA9">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14:paraId="43D5D35B">
            <w:pPr>
              <w:pStyle w:val="80"/>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14:paraId="0E297DC6">
            <w:pPr>
              <w:pStyle w:val="80"/>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20 人以下或营业收入 100 万元以下的</w:t>
            </w:r>
          </w:p>
        </w:tc>
        <w:tc>
          <w:tcPr>
            <w:tcW w:w="1099" w:type="dxa"/>
            <w:vMerge w:val="continue"/>
            <w:noWrap w:val="0"/>
            <w:vAlign w:val="center"/>
          </w:tcPr>
          <w:p w14:paraId="0D76EE3B">
            <w:pPr>
              <w:rPr>
                <w:rFonts w:hint="eastAsia" w:ascii="宋体" w:hAnsi="宋体" w:eastAsia="宋体" w:cs="宋体"/>
                <w:color w:val="000000" w:themeColor="text1"/>
                <w:sz w:val="24"/>
                <w:highlight w:val="none"/>
                <w14:textFill>
                  <w14:solidFill>
                    <w14:schemeClr w14:val="tx1"/>
                  </w14:solidFill>
                </w14:textFill>
              </w:rPr>
            </w:pPr>
          </w:p>
        </w:tc>
      </w:tr>
      <w:tr w14:paraId="040EE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noWrap w:val="0"/>
            <w:vAlign w:val="center"/>
          </w:tcPr>
          <w:p w14:paraId="7D9F89DD">
            <w:pPr>
              <w:pStyle w:val="80"/>
              <w:spacing w:before="7"/>
              <w:rPr>
                <w:rFonts w:hint="eastAsia" w:ascii="宋体" w:hAnsi="宋体" w:eastAsia="宋体" w:cs="宋体"/>
                <w:b/>
                <w:color w:val="000000" w:themeColor="text1"/>
                <w:sz w:val="24"/>
                <w:highlight w:val="none"/>
                <w14:textFill>
                  <w14:solidFill>
                    <w14:schemeClr w14:val="tx1"/>
                  </w14:solidFill>
                </w14:textFill>
              </w:rPr>
            </w:pPr>
          </w:p>
          <w:p w14:paraId="1AFFCB54">
            <w:pPr>
              <w:pStyle w:val="80"/>
              <w:ind w:left="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8</w:t>
            </w:r>
          </w:p>
        </w:tc>
        <w:tc>
          <w:tcPr>
            <w:tcW w:w="860" w:type="dxa"/>
            <w:vMerge w:val="restart"/>
            <w:noWrap w:val="0"/>
            <w:vAlign w:val="center"/>
          </w:tcPr>
          <w:p w14:paraId="3A667818">
            <w:pPr>
              <w:pStyle w:val="80"/>
              <w:spacing w:before="12"/>
              <w:rPr>
                <w:rFonts w:hint="eastAsia" w:ascii="宋体" w:hAnsi="宋体" w:eastAsia="宋体" w:cs="宋体"/>
                <w:b/>
                <w:color w:val="000000" w:themeColor="text1"/>
                <w:sz w:val="24"/>
                <w:highlight w:val="none"/>
                <w14:textFill>
                  <w14:solidFill>
                    <w14:schemeClr w14:val="tx1"/>
                  </w14:solidFill>
                </w14:textFill>
              </w:rPr>
            </w:pPr>
          </w:p>
          <w:p w14:paraId="4554B20A">
            <w:pPr>
              <w:pStyle w:val="80"/>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邮政业</w:t>
            </w:r>
          </w:p>
        </w:tc>
        <w:tc>
          <w:tcPr>
            <w:tcW w:w="2157" w:type="dxa"/>
            <w:vMerge w:val="restart"/>
            <w:noWrap w:val="0"/>
            <w:vAlign w:val="center"/>
          </w:tcPr>
          <w:p w14:paraId="67504265">
            <w:pPr>
              <w:pStyle w:val="80"/>
              <w:spacing w:before="143"/>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9"/>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1000</w:t>
            </w:r>
            <w:r>
              <w:rPr>
                <w:rFonts w:hint="eastAsia" w:ascii="宋体" w:hAnsi="宋体" w:eastAsia="宋体" w:cs="宋体"/>
                <w:color w:val="000000" w:themeColor="text1"/>
                <w:spacing w:val="-8"/>
                <w:sz w:val="24"/>
                <w:highlight w:val="none"/>
                <w14:textFill>
                  <w14:solidFill>
                    <w14:schemeClr w14:val="tx1"/>
                  </w14:solidFill>
                </w14:textFill>
              </w:rPr>
              <w:t xml:space="preserve"> 人以下或</w:t>
            </w:r>
            <w:r>
              <w:rPr>
                <w:rFonts w:hint="eastAsia" w:ascii="宋体" w:hAnsi="宋体" w:eastAsia="宋体" w:cs="宋体"/>
                <w:color w:val="000000" w:themeColor="text1"/>
                <w:sz w:val="24"/>
                <w:highlight w:val="none"/>
                <w14:textFill>
                  <w14:solidFill>
                    <w14:schemeClr w14:val="tx1"/>
                  </w14:solidFill>
                </w14:textFill>
              </w:rPr>
              <w:t>营业收入 30000 万元以下的为中小微型企业</w:t>
            </w:r>
          </w:p>
        </w:tc>
        <w:tc>
          <w:tcPr>
            <w:tcW w:w="1215" w:type="dxa"/>
            <w:noWrap w:val="0"/>
            <w:vAlign w:val="center"/>
          </w:tcPr>
          <w:p w14:paraId="00EE7DA2">
            <w:pPr>
              <w:pStyle w:val="80"/>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14:paraId="4B4C4568">
            <w:pPr>
              <w:pStyle w:val="80"/>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300</w:t>
            </w:r>
            <w:r>
              <w:rPr>
                <w:rFonts w:hint="eastAsia" w:ascii="宋体" w:hAnsi="宋体" w:eastAsia="宋体" w:cs="宋体"/>
                <w:color w:val="000000" w:themeColor="text1"/>
                <w:spacing w:val="-13"/>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2000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restart"/>
            <w:noWrap w:val="0"/>
            <w:vAlign w:val="center"/>
          </w:tcPr>
          <w:p w14:paraId="1A863EB6">
            <w:pPr>
              <w:pStyle w:val="80"/>
              <w:spacing w:before="68" w:line="362" w:lineRule="auto"/>
              <w:ind w:left="15" w:right="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14:paraId="04F08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14:paraId="3A01FAA7">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2A584BDC">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14:paraId="52A69F57">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14:paraId="21FC9597">
            <w:pPr>
              <w:pStyle w:val="80"/>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14:paraId="74E0BA11">
            <w:pPr>
              <w:pStyle w:val="80"/>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20</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100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continue"/>
            <w:noWrap w:val="0"/>
            <w:vAlign w:val="center"/>
          </w:tcPr>
          <w:p w14:paraId="2087A785">
            <w:pPr>
              <w:rPr>
                <w:rFonts w:hint="eastAsia" w:ascii="宋体" w:hAnsi="宋体" w:eastAsia="宋体" w:cs="宋体"/>
                <w:color w:val="000000" w:themeColor="text1"/>
                <w:sz w:val="24"/>
                <w:highlight w:val="none"/>
                <w14:textFill>
                  <w14:solidFill>
                    <w14:schemeClr w14:val="tx1"/>
                  </w14:solidFill>
                </w14:textFill>
              </w:rPr>
            </w:pPr>
          </w:p>
        </w:tc>
      </w:tr>
      <w:tr w14:paraId="0689D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14:paraId="56711658">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54029699">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14:paraId="77D6E2A5">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14:paraId="63AE2EB7">
            <w:pPr>
              <w:pStyle w:val="80"/>
              <w:spacing w:before="69"/>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14:paraId="14B39FFE">
            <w:pPr>
              <w:pStyle w:val="80"/>
              <w:spacing w:before="69"/>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20 人以下或营业收入 100 万元以下的</w:t>
            </w:r>
          </w:p>
        </w:tc>
        <w:tc>
          <w:tcPr>
            <w:tcW w:w="1099" w:type="dxa"/>
            <w:vMerge w:val="continue"/>
            <w:noWrap w:val="0"/>
            <w:vAlign w:val="center"/>
          </w:tcPr>
          <w:p w14:paraId="67DA1A86">
            <w:pPr>
              <w:rPr>
                <w:rFonts w:hint="eastAsia" w:ascii="宋体" w:hAnsi="宋体" w:eastAsia="宋体" w:cs="宋体"/>
                <w:color w:val="000000" w:themeColor="text1"/>
                <w:sz w:val="24"/>
                <w:highlight w:val="none"/>
                <w14:textFill>
                  <w14:solidFill>
                    <w14:schemeClr w14:val="tx1"/>
                  </w14:solidFill>
                </w14:textFill>
              </w:rPr>
            </w:pPr>
          </w:p>
        </w:tc>
      </w:tr>
      <w:tr w14:paraId="7B745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noWrap w:val="0"/>
            <w:vAlign w:val="center"/>
          </w:tcPr>
          <w:p w14:paraId="34E7FDFE">
            <w:pPr>
              <w:pStyle w:val="80"/>
              <w:spacing w:before="6"/>
              <w:rPr>
                <w:rFonts w:hint="eastAsia" w:ascii="宋体" w:hAnsi="宋体" w:eastAsia="宋体" w:cs="宋体"/>
                <w:b/>
                <w:color w:val="000000" w:themeColor="text1"/>
                <w:sz w:val="24"/>
                <w:highlight w:val="none"/>
                <w14:textFill>
                  <w14:solidFill>
                    <w14:schemeClr w14:val="tx1"/>
                  </w14:solidFill>
                </w14:textFill>
              </w:rPr>
            </w:pPr>
          </w:p>
          <w:p w14:paraId="6FF20CAA">
            <w:pPr>
              <w:pStyle w:val="80"/>
              <w:ind w:left="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9</w:t>
            </w:r>
          </w:p>
        </w:tc>
        <w:tc>
          <w:tcPr>
            <w:tcW w:w="860" w:type="dxa"/>
            <w:vMerge w:val="restart"/>
            <w:noWrap w:val="0"/>
            <w:vAlign w:val="center"/>
          </w:tcPr>
          <w:p w14:paraId="1CF3A230">
            <w:pPr>
              <w:pStyle w:val="80"/>
              <w:spacing w:before="11"/>
              <w:rPr>
                <w:rFonts w:hint="eastAsia" w:ascii="宋体" w:hAnsi="宋体" w:eastAsia="宋体" w:cs="宋体"/>
                <w:b/>
                <w:color w:val="000000" w:themeColor="text1"/>
                <w:sz w:val="24"/>
                <w:highlight w:val="none"/>
                <w14:textFill>
                  <w14:solidFill>
                    <w14:schemeClr w14:val="tx1"/>
                  </w14:solidFill>
                </w14:textFill>
              </w:rPr>
            </w:pPr>
          </w:p>
          <w:p w14:paraId="6BB60116">
            <w:pPr>
              <w:pStyle w:val="80"/>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住宿业</w:t>
            </w:r>
          </w:p>
        </w:tc>
        <w:tc>
          <w:tcPr>
            <w:tcW w:w="2157" w:type="dxa"/>
            <w:vMerge w:val="restart"/>
            <w:noWrap w:val="0"/>
            <w:vAlign w:val="center"/>
          </w:tcPr>
          <w:p w14:paraId="707BCA71">
            <w:pPr>
              <w:pStyle w:val="80"/>
              <w:spacing w:before="141"/>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300 人以下或营业收入 10000 万元以下的为中小微型企业</w:t>
            </w:r>
          </w:p>
        </w:tc>
        <w:tc>
          <w:tcPr>
            <w:tcW w:w="1215" w:type="dxa"/>
            <w:noWrap w:val="0"/>
            <w:vAlign w:val="center"/>
          </w:tcPr>
          <w:p w14:paraId="22CD8118">
            <w:pPr>
              <w:pStyle w:val="80"/>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14:paraId="7AC2BC2D">
            <w:pPr>
              <w:pStyle w:val="80"/>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100</w:t>
            </w:r>
            <w:r>
              <w:rPr>
                <w:rFonts w:hint="eastAsia" w:ascii="宋体" w:hAnsi="宋体" w:eastAsia="宋体" w:cs="宋体"/>
                <w:color w:val="000000" w:themeColor="text1"/>
                <w:spacing w:val="-13"/>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2000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restart"/>
            <w:noWrap w:val="0"/>
            <w:vAlign w:val="center"/>
          </w:tcPr>
          <w:p w14:paraId="20BAE154">
            <w:pPr>
              <w:pStyle w:val="80"/>
              <w:spacing w:before="67" w:line="362" w:lineRule="auto"/>
              <w:ind w:left="15" w:right="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14:paraId="54A79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14:paraId="2B65CC20">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3B3362BB">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14:paraId="1B0A5D4B">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14:paraId="23105785">
            <w:pPr>
              <w:pStyle w:val="80"/>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14:paraId="0C783220">
            <w:pPr>
              <w:pStyle w:val="80"/>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100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continue"/>
            <w:noWrap w:val="0"/>
            <w:vAlign w:val="center"/>
          </w:tcPr>
          <w:p w14:paraId="26D5920D">
            <w:pPr>
              <w:rPr>
                <w:rFonts w:hint="eastAsia" w:ascii="宋体" w:hAnsi="宋体" w:eastAsia="宋体" w:cs="宋体"/>
                <w:color w:val="000000" w:themeColor="text1"/>
                <w:sz w:val="24"/>
                <w:highlight w:val="none"/>
                <w14:textFill>
                  <w14:solidFill>
                    <w14:schemeClr w14:val="tx1"/>
                  </w14:solidFill>
                </w14:textFill>
              </w:rPr>
            </w:pPr>
          </w:p>
        </w:tc>
      </w:tr>
      <w:tr w14:paraId="00E10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0C7DD6C8">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1F7895A1">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14:paraId="0768580F">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14:paraId="3EF53AEC">
            <w:pPr>
              <w:pStyle w:val="80"/>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14:paraId="7017E307">
            <w:pPr>
              <w:pStyle w:val="80"/>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10 人以下或营业收入 100 万元以下的</w:t>
            </w:r>
          </w:p>
        </w:tc>
        <w:tc>
          <w:tcPr>
            <w:tcW w:w="1099" w:type="dxa"/>
            <w:vMerge w:val="continue"/>
            <w:noWrap w:val="0"/>
            <w:vAlign w:val="center"/>
          </w:tcPr>
          <w:p w14:paraId="74C183DC">
            <w:pPr>
              <w:rPr>
                <w:rFonts w:hint="eastAsia" w:ascii="宋体" w:hAnsi="宋体" w:eastAsia="宋体" w:cs="宋体"/>
                <w:color w:val="000000" w:themeColor="text1"/>
                <w:sz w:val="24"/>
                <w:highlight w:val="none"/>
                <w14:textFill>
                  <w14:solidFill>
                    <w14:schemeClr w14:val="tx1"/>
                  </w14:solidFill>
                </w14:textFill>
              </w:rPr>
            </w:pPr>
          </w:p>
        </w:tc>
      </w:tr>
      <w:tr w14:paraId="3CA56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noWrap w:val="0"/>
            <w:vAlign w:val="center"/>
          </w:tcPr>
          <w:p w14:paraId="5FC94976">
            <w:pPr>
              <w:pStyle w:val="80"/>
              <w:spacing w:before="7"/>
              <w:rPr>
                <w:rFonts w:hint="eastAsia" w:ascii="宋体" w:hAnsi="宋体" w:eastAsia="宋体" w:cs="宋体"/>
                <w:b/>
                <w:color w:val="000000" w:themeColor="text1"/>
                <w:sz w:val="24"/>
                <w:highlight w:val="none"/>
                <w14:textFill>
                  <w14:solidFill>
                    <w14:schemeClr w14:val="tx1"/>
                  </w14:solidFill>
                </w14:textFill>
              </w:rPr>
            </w:pPr>
          </w:p>
          <w:p w14:paraId="4EA89085">
            <w:pPr>
              <w:pStyle w:val="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p>
        </w:tc>
        <w:tc>
          <w:tcPr>
            <w:tcW w:w="860" w:type="dxa"/>
            <w:vMerge w:val="restart"/>
            <w:noWrap w:val="0"/>
            <w:vAlign w:val="center"/>
          </w:tcPr>
          <w:p w14:paraId="4274D6F7">
            <w:pPr>
              <w:pStyle w:val="80"/>
              <w:spacing w:before="12"/>
              <w:rPr>
                <w:rFonts w:hint="eastAsia" w:ascii="宋体" w:hAnsi="宋体" w:eastAsia="宋体" w:cs="宋体"/>
                <w:b/>
                <w:color w:val="000000" w:themeColor="text1"/>
                <w:sz w:val="24"/>
                <w:highlight w:val="none"/>
                <w14:textFill>
                  <w14:solidFill>
                    <w14:schemeClr w14:val="tx1"/>
                  </w14:solidFill>
                </w14:textFill>
              </w:rPr>
            </w:pPr>
          </w:p>
          <w:p w14:paraId="3301E397">
            <w:pPr>
              <w:pStyle w:val="80"/>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餐饮业</w:t>
            </w:r>
          </w:p>
        </w:tc>
        <w:tc>
          <w:tcPr>
            <w:tcW w:w="2157" w:type="dxa"/>
            <w:vMerge w:val="restart"/>
            <w:noWrap w:val="0"/>
            <w:vAlign w:val="center"/>
          </w:tcPr>
          <w:p w14:paraId="690433E7">
            <w:pPr>
              <w:pStyle w:val="80"/>
              <w:spacing w:before="142"/>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300 人以下或营业收入 10000 万元以下的为中小微型企业</w:t>
            </w:r>
          </w:p>
        </w:tc>
        <w:tc>
          <w:tcPr>
            <w:tcW w:w="1215" w:type="dxa"/>
            <w:noWrap w:val="0"/>
            <w:vAlign w:val="center"/>
          </w:tcPr>
          <w:p w14:paraId="3E073245">
            <w:pPr>
              <w:pStyle w:val="80"/>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14:paraId="4254474D">
            <w:pPr>
              <w:pStyle w:val="80"/>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100</w:t>
            </w:r>
            <w:r>
              <w:rPr>
                <w:rFonts w:hint="eastAsia" w:ascii="宋体" w:hAnsi="宋体" w:eastAsia="宋体" w:cs="宋体"/>
                <w:color w:val="000000" w:themeColor="text1"/>
                <w:spacing w:val="-13"/>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2000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restart"/>
            <w:noWrap w:val="0"/>
            <w:vAlign w:val="center"/>
          </w:tcPr>
          <w:p w14:paraId="23A5EA5E">
            <w:pPr>
              <w:pStyle w:val="80"/>
              <w:spacing w:before="68" w:line="362" w:lineRule="auto"/>
              <w:ind w:left="15" w:right="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14:paraId="69F23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14:paraId="494BEC5F">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19A2B4C2">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14:paraId="422FD959">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14:paraId="1B54BD81">
            <w:pPr>
              <w:pStyle w:val="80"/>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14:paraId="4577D4F4">
            <w:pPr>
              <w:pStyle w:val="80"/>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100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continue"/>
            <w:noWrap w:val="0"/>
            <w:vAlign w:val="center"/>
          </w:tcPr>
          <w:p w14:paraId="07A39A03">
            <w:pPr>
              <w:rPr>
                <w:rFonts w:hint="eastAsia" w:ascii="宋体" w:hAnsi="宋体" w:eastAsia="宋体" w:cs="宋体"/>
                <w:color w:val="000000" w:themeColor="text1"/>
                <w:sz w:val="24"/>
                <w:highlight w:val="none"/>
                <w14:textFill>
                  <w14:solidFill>
                    <w14:schemeClr w14:val="tx1"/>
                  </w14:solidFill>
                </w14:textFill>
              </w:rPr>
            </w:pPr>
          </w:p>
        </w:tc>
      </w:tr>
      <w:tr w14:paraId="41797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33551711">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2C9D114F">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14:paraId="25A189B3">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14:paraId="4A5F3E63">
            <w:pPr>
              <w:pStyle w:val="80"/>
              <w:spacing w:before="69"/>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14:paraId="38331594">
            <w:pPr>
              <w:pStyle w:val="80"/>
              <w:spacing w:before="69"/>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10 人以下或营业收入 100 万元以下的</w:t>
            </w:r>
          </w:p>
        </w:tc>
        <w:tc>
          <w:tcPr>
            <w:tcW w:w="1099" w:type="dxa"/>
            <w:vMerge w:val="continue"/>
            <w:noWrap w:val="0"/>
            <w:vAlign w:val="center"/>
          </w:tcPr>
          <w:p w14:paraId="09BD7E3E">
            <w:pPr>
              <w:rPr>
                <w:rFonts w:hint="eastAsia" w:ascii="宋体" w:hAnsi="宋体" w:eastAsia="宋体" w:cs="宋体"/>
                <w:color w:val="000000" w:themeColor="text1"/>
                <w:sz w:val="24"/>
                <w:highlight w:val="none"/>
                <w14:textFill>
                  <w14:solidFill>
                    <w14:schemeClr w14:val="tx1"/>
                  </w14:solidFill>
                </w14:textFill>
              </w:rPr>
            </w:pPr>
          </w:p>
        </w:tc>
      </w:tr>
      <w:tr w14:paraId="15148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14:paraId="418FD65F">
            <w:pPr>
              <w:pStyle w:val="80"/>
              <w:spacing w:before="80"/>
              <w:ind w:left="40" w:right="3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w:t>
            </w:r>
          </w:p>
        </w:tc>
        <w:tc>
          <w:tcPr>
            <w:tcW w:w="860" w:type="dxa"/>
            <w:vMerge w:val="restart"/>
            <w:noWrap w:val="0"/>
            <w:vAlign w:val="center"/>
          </w:tcPr>
          <w:p w14:paraId="3992DDCE">
            <w:pPr>
              <w:pStyle w:val="80"/>
              <w:spacing w:before="67"/>
              <w:ind w:left="7" w:right="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信息传输</w:t>
            </w:r>
          </w:p>
        </w:tc>
        <w:tc>
          <w:tcPr>
            <w:tcW w:w="2157" w:type="dxa"/>
            <w:vMerge w:val="restart"/>
            <w:noWrap w:val="0"/>
            <w:vAlign w:val="center"/>
          </w:tcPr>
          <w:p w14:paraId="62E67D8A">
            <w:pPr>
              <w:pStyle w:val="80"/>
              <w:spacing w:before="67"/>
              <w:ind w:left="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从业人员2000人以下或营业收入100000万元以下的为中小微型企业。</w:t>
            </w:r>
          </w:p>
        </w:tc>
        <w:tc>
          <w:tcPr>
            <w:tcW w:w="1215" w:type="dxa"/>
            <w:noWrap w:val="0"/>
            <w:vAlign w:val="center"/>
          </w:tcPr>
          <w:p w14:paraId="2674531A">
            <w:pPr>
              <w:pStyle w:val="80"/>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14:paraId="004E7BE1">
            <w:pPr>
              <w:pStyle w:val="80"/>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100</w:t>
            </w:r>
            <w:r>
              <w:rPr>
                <w:rFonts w:hint="eastAsia" w:ascii="宋体" w:hAnsi="宋体" w:eastAsia="宋体" w:cs="宋体"/>
                <w:color w:val="000000" w:themeColor="text1"/>
                <w:spacing w:val="-13"/>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1000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restart"/>
            <w:noWrap w:val="0"/>
            <w:vAlign w:val="center"/>
          </w:tcPr>
          <w:p w14:paraId="514DB2DA">
            <w:pPr>
              <w:pStyle w:val="80"/>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14:paraId="47653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40FD6418">
            <w:pPr>
              <w:pStyle w:val="80"/>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61EAFE25">
            <w:pPr>
              <w:pStyle w:val="80"/>
              <w:spacing w:before="67"/>
              <w:ind w:left="7" w:right="2"/>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14:paraId="2F24F619">
            <w:pPr>
              <w:pStyle w:val="80"/>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14:paraId="56D1EA0E">
            <w:pPr>
              <w:pStyle w:val="80"/>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小型企业</w:t>
            </w:r>
          </w:p>
        </w:tc>
        <w:tc>
          <w:tcPr>
            <w:tcW w:w="4322" w:type="dxa"/>
            <w:noWrap w:val="0"/>
            <w:vAlign w:val="center"/>
          </w:tcPr>
          <w:p w14:paraId="4911A514">
            <w:pPr>
              <w:pStyle w:val="80"/>
              <w:spacing w:before="67"/>
              <w:ind w:left="15"/>
              <w:rPr>
                <w:rFonts w:hint="eastAsia" w:ascii="宋体" w:hAnsi="宋体" w:eastAsia="宋体" w:cs="宋体"/>
                <w:color w:val="000000" w:themeColor="text1"/>
                <w:spacing w:val="-1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从业人员10人及以上，且营业收入100万元及以上的</w:t>
            </w:r>
          </w:p>
        </w:tc>
        <w:tc>
          <w:tcPr>
            <w:tcW w:w="1099" w:type="dxa"/>
            <w:vMerge w:val="continue"/>
            <w:noWrap w:val="0"/>
            <w:vAlign w:val="center"/>
          </w:tcPr>
          <w:p w14:paraId="556EEFF9">
            <w:pPr>
              <w:pStyle w:val="80"/>
              <w:spacing w:before="67"/>
              <w:ind w:left="15"/>
              <w:rPr>
                <w:rFonts w:hint="eastAsia" w:ascii="宋体" w:hAnsi="宋体" w:eastAsia="宋体" w:cs="宋体"/>
                <w:color w:val="000000" w:themeColor="text1"/>
                <w:sz w:val="24"/>
                <w:highlight w:val="none"/>
                <w14:textFill>
                  <w14:solidFill>
                    <w14:schemeClr w14:val="tx1"/>
                  </w14:solidFill>
                </w14:textFill>
              </w:rPr>
            </w:pPr>
          </w:p>
        </w:tc>
      </w:tr>
      <w:tr w14:paraId="65F58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5E0A0BDA">
            <w:pPr>
              <w:pStyle w:val="80"/>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0C865417">
            <w:pPr>
              <w:pStyle w:val="80"/>
              <w:spacing w:before="67"/>
              <w:ind w:left="7" w:right="2"/>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14:paraId="6614F36B">
            <w:pPr>
              <w:pStyle w:val="80"/>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14:paraId="43E73C33">
            <w:pPr>
              <w:pStyle w:val="80"/>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微型企业</w:t>
            </w:r>
          </w:p>
        </w:tc>
        <w:tc>
          <w:tcPr>
            <w:tcW w:w="4322" w:type="dxa"/>
            <w:noWrap w:val="0"/>
            <w:vAlign w:val="center"/>
          </w:tcPr>
          <w:p w14:paraId="24C9C759">
            <w:pPr>
              <w:pStyle w:val="80"/>
              <w:spacing w:before="67"/>
              <w:ind w:left="15"/>
              <w:rPr>
                <w:rFonts w:hint="eastAsia" w:ascii="宋体" w:hAnsi="宋体" w:eastAsia="宋体" w:cs="宋体"/>
                <w:color w:val="000000" w:themeColor="text1"/>
                <w:spacing w:val="-1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从业人员10人以下或营业收入100万元以下的为</w:t>
            </w:r>
          </w:p>
        </w:tc>
        <w:tc>
          <w:tcPr>
            <w:tcW w:w="1099" w:type="dxa"/>
            <w:vMerge w:val="continue"/>
            <w:noWrap w:val="0"/>
            <w:vAlign w:val="center"/>
          </w:tcPr>
          <w:p w14:paraId="107718CD">
            <w:pPr>
              <w:pStyle w:val="80"/>
              <w:spacing w:before="67"/>
              <w:ind w:left="15"/>
              <w:rPr>
                <w:rFonts w:hint="eastAsia" w:ascii="宋体" w:hAnsi="宋体" w:eastAsia="宋体" w:cs="宋体"/>
                <w:color w:val="000000" w:themeColor="text1"/>
                <w:sz w:val="24"/>
                <w:highlight w:val="none"/>
                <w14:textFill>
                  <w14:solidFill>
                    <w14:schemeClr w14:val="tx1"/>
                  </w14:solidFill>
                </w14:textFill>
              </w:rPr>
            </w:pPr>
          </w:p>
        </w:tc>
      </w:tr>
      <w:tr w14:paraId="65F9C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14:paraId="515F3508">
            <w:pPr>
              <w:pStyle w:val="80"/>
              <w:spacing w:before="80"/>
              <w:ind w:left="40" w:right="3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w:t>
            </w:r>
          </w:p>
        </w:tc>
        <w:tc>
          <w:tcPr>
            <w:tcW w:w="860" w:type="dxa"/>
            <w:vMerge w:val="restart"/>
            <w:noWrap w:val="0"/>
            <w:vAlign w:val="center"/>
          </w:tcPr>
          <w:p w14:paraId="5D474AED">
            <w:pPr>
              <w:pStyle w:val="80"/>
              <w:spacing w:before="67"/>
              <w:ind w:left="7" w:right="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软件和信息技术服务业</w:t>
            </w:r>
          </w:p>
        </w:tc>
        <w:tc>
          <w:tcPr>
            <w:tcW w:w="2157" w:type="dxa"/>
            <w:vMerge w:val="restart"/>
            <w:noWrap w:val="0"/>
            <w:vAlign w:val="center"/>
          </w:tcPr>
          <w:p w14:paraId="6D3CF20A">
            <w:pPr>
              <w:pStyle w:val="80"/>
              <w:spacing w:before="67"/>
              <w:ind w:left="7"/>
              <w:rPr>
                <w:rFonts w:hint="eastAsia" w:ascii="宋体" w:hAnsi="宋体" w:eastAsia="宋体" w:cs="宋体"/>
                <w:color w:val="000000" w:themeColor="text1"/>
                <w:spacing w:val="-9"/>
                <w:sz w:val="24"/>
                <w:highlight w:val="none"/>
                <w14:textFill>
                  <w14:solidFill>
                    <w14:schemeClr w14:val="tx1"/>
                  </w14:solidFill>
                </w14:textFill>
              </w:rPr>
            </w:pPr>
            <w:r>
              <w:rPr>
                <w:rFonts w:hint="eastAsia" w:ascii="宋体" w:hAnsi="宋体" w:eastAsia="宋体" w:cs="宋体"/>
                <w:color w:val="000000" w:themeColor="text1"/>
                <w:spacing w:val="-9"/>
                <w:sz w:val="24"/>
                <w:highlight w:val="none"/>
                <w14:textFill>
                  <w14:solidFill>
                    <w14:schemeClr w14:val="tx1"/>
                  </w14:solidFill>
                </w14:textFill>
              </w:rPr>
              <w:t>从业人员300人以下或营业收入10000万元以下的为中小微型企业</w:t>
            </w:r>
          </w:p>
        </w:tc>
        <w:tc>
          <w:tcPr>
            <w:tcW w:w="1215" w:type="dxa"/>
            <w:noWrap w:val="0"/>
            <w:vAlign w:val="center"/>
          </w:tcPr>
          <w:p w14:paraId="62E1A9AD">
            <w:pPr>
              <w:pStyle w:val="80"/>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中型企业</w:t>
            </w:r>
          </w:p>
        </w:tc>
        <w:tc>
          <w:tcPr>
            <w:tcW w:w="4322" w:type="dxa"/>
            <w:noWrap w:val="0"/>
            <w:vAlign w:val="center"/>
          </w:tcPr>
          <w:p w14:paraId="15C6F137">
            <w:pPr>
              <w:pStyle w:val="80"/>
              <w:spacing w:before="67"/>
              <w:ind w:left="15"/>
              <w:rPr>
                <w:rFonts w:hint="eastAsia" w:ascii="宋体" w:hAnsi="宋体" w:eastAsia="宋体" w:cs="宋体"/>
                <w:color w:val="000000" w:themeColor="text1"/>
                <w:spacing w:val="-1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从业人员100人及以上，且营业收入1000万元及以上的</w:t>
            </w:r>
          </w:p>
        </w:tc>
        <w:tc>
          <w:tcPr>
            <w:tcW w:w="1099" w:type="dxa"/>
            <w:vMerge w:val="restart"/>
            <w:noWrap w:val="0"/>
            <w:vAlign w:val="center"/>
          </w:tcPr>
          <w:p w14:paraId="2B007A43">
            <w:pPr>
              <w:pStyle w:val="80"/>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14:paraId="288F3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781C5027">
            <w:pPr>
              <w:pStyle w:val="80"/>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738BDDC4">
            <w:pPr>
              <w:pStyle w:val="80"/>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14:paraId="0181E9D5">
            <w:pPr>
              <w:pStyle w:val="80"/>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14:paraId="4D8093D4">
            <w:pPr>
              <w:pStyle w:val="80"/>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小型企业</w:t>
            </w:r>
          </w:p>
        </w:tc>
        <w:tc>
          <w:tcPr>
            <w:tcW w:w="4322" w:type="dxa"/>
            <w:noWrap w:val="0"/>
            <w:vAlign w:val="center"/>
          </w:tcPr>
          <w:p w14:paraId="5B79B5D1">
            <w:pPr>
              <w:pStyle w:val="80"/>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从业人员10人及以上，且营业收入50万元及以上的</w:t>
            </w:r>
          </w:p>
        </w:tc>
        <w:tc>
          <w:tcPr>
            <w:tcW w:w="1099" w:type="dxa"/>
            <w:vMerge w:val="continue"/>
            <w:noWrap w:val="0"/>
            <w:vAlign w:val="center"/>
          </w:tcPr>
          <w:p w14:paraId="6E749F6E">
            <w:pPr>
              <w:pStyle w:val="80"/>
              <w:spacing w:before="67"/>
              <w:ind w:left="15"/>
              <w:rPr>
                <w:rFonts w:hint="eastAsia" w:ascii="宋体" w:hAnsi="宋体" w:eastAsia="宋体" w:cs="宋体"/>
                <w:color w:val="000000" w:themeColor="text1"/>
                <w:sz w:val="24"/>
                <w:highlight w:val="none"/>
                <w14:textFill>
                  <w14:solidFill>
                    <w14:schemeClr w14:val="tx1"/>
                  </w14:solidFill>
                </w14:textFill>
              </w:rPr>
            </w:pPr>
          </w:p>
        </w:tc>
      </w:tr>
      <w:tr w14:paraId="08E26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11E2F3BA">
            <w:pPr>
              <w:pStyle w:val="80"/>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57C12102">
            <w:pPr>
              <w:pStyle w:val="80"/>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14:paraId="1E7AC079">
            <w:pPr>
              <w:pStyle w:val="80"/>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14:paraId="4CDC28D0">
            <w:pPr>
              <w:pStyle w:val="80"/>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微型企业</w:t>
            </w:r>
          </w:p>
        </w:tc>
        <w:tc>
          <w:tcPr>
            <w:tcW w:w="4322" w:type="dxa"/>
            <w:noWrap w:val="0"/>
            <w:vAlign w:val="center"/>
          </w:tcPr>
          <w:p w14:paraId="40F9AB5C">
            <w:pPr>
              <w:pStyle w:val="80"/>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从业人员10人以下或营业收入50万元以下的</w:t>
            </w:r>
          </w:p>
        </w:tc>
        <w:tc>
          <w:tcPr>
            <w:tcW w:w="1099" w:type="dxa"/>
            <w:vMerge w:val="continue"/>
            <w:noWrap w:val="0"/>
            <w:vAlign w:val="center"/>
          </w:tcPr>
          <w:p w14:paraId="3F820EFB">
            <w:pPr>
              <w:pStyle w:val="80"/>
              <w:spacing w:before="67"/>
              <w:ind w:left="15"/>
              <w:rPr>
                <w:rFonts w:hint="eastAsia" w:ascii="宋体" w:hAnsi="宋体" w:eastAsia="宋体" w:cs="宋体"/>
                <w:color w:val="000000" w:themeColor="text1"/>
                <w:sz w:val="24"/>
                <w:highlight w:val="none"/>
                <w14:textFill>
                  <w14:solidFill>
                    <w14:schemeClr w14:val="tx1"/>
                  </w14:solidFill>
                </w14:textFill>
              </w:rPr>
            </w:pPr>
          </w:p>
        </w:tc>
      </w:tr>
      <w:tr w14:paraId="40F16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14:paraId="16517D62">
            <w:pPr>
              <w:pStyle w:val="80"/>
              <w:spacing w:before="80"/>
              <w:ind w:left="40" w:right="3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w:t>
            </w:r>
          </w:p>
        </w:tc>
        <w:tc>
          <w:tcPr>
            <w:tcW w:w="860" w:type="dxa"/>
            <w:vMerge w:val="restart"/>
            <w:noWrap w:val="0"/>
            <w:vAlign w:val="center"/>
          </w:tcPr>
          <w:p w14:paraId="374DFBB8">
            <w:pPr>
              <w:pStyle w:val="80"/>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房地产开发经营</w:t>
            </w:r>
          </w:p>
        </w:tc>
        <w:tc>
          <w:tcPr>
            <w:tcW w:w="2157" w:type="dxa"/>
            <w:vMerge w:val="restart"/>
            <w:noWrap w:val="0"/>
            <w:vAlign w:val="center"/>
          </w:tcPr>
          <w:p w14:paraId="2AB8CCFF">
            <w:pPr>
              <w:pStyle w:val="80"/>
              <w:spacing w:before="67"/>
              <w:ind w:left="7"/>
              <w:rPr>
                <w:rFonts w:hint="eastAsia" w:ascii="宋体" w:hAnsi="宋体" w:eastAsia="宋体" w:cs="宋体"/>
                <w:color w:val="000000" w:themeColor="text1"/>
                <w:spacing w:val="-9"/>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营业收入200000万元以下或资产总额10000万元以下的为中小微型企业</w:t>
            </w:r>
          </w:p>
        </w:tc>
        <w:tc>
          <w:tcPr>
            <w:tcW w:w="1215" w:type="dxa"/>
            <w:noWrap w:val="0"/>
            <w:vAlign w:val="center"/>
          </w:tcPr>
          <w:p w14:paraId="3A79AFAD">
            <w:pPr>
              <w:pStyle w:val="80"/>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中型企业；</w:t>
            </w:r>
          </w:p>
        </w:tc>
        <w:tc>
          <w:tcPr>
            <w:tcW w:w="4322" w:type="dxa"/>
            <w:noWrap w:val="0"/>
            <w:vAlign w:val="center"/>
          </w:tcPr>
          <w:p w14:paraId="49634E86">
            <w:pPr>
              <w:pStyle w:val="80"/>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营业收入1000万元及以上，且资产总额5000万元及以上的</w:t>
            </w:r>
          </w:p>
        </w:tc>
        <w:tc>
          <w:tcPr>
            <w:tcW w:w="1099" w:type="dxa"/>
            <w:vMerge w:val="restart"/>
            <w:noWrap w:val="0"/>
            <w:vAlign w:val="center"/>
          </w:tcPr>
          <w:p w14:paraId="33830788">
            <w:pPr>
              <w:pStyle w:val="80"/>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14:paraId="2DD12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480BB7E0">
            <w:pPr>
              <w:pStyle w:val="80"/>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146CD83C">
            <w:pPr>
              <w:pStyle w:val="80"/>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14:paraId="641ED392">
            <w:pPr>
              <w:pStyle w:val="80"/>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14:paraId="00F0CDEC">
            <w:pPr>
              <w:pStyle w:val="80"/>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小型企业</w:t>
            </w:r>
          </w:p>
        </w:tc>
        <w:tc>
          <w:tcPr>
            <w:tcW w:w="4322" w:type="dxa"/>
            <w:noWrap w:val="0"/>
            <w:vAlign w:val="center"/>
          </w:tcPr>
          <w:p w14:paraId="12436663">
            <w:pPr>
              <w:pStyle w:val="80"/>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营业收入100万元及以上，且资产总额2000万元及以上的</w:t>
            </w:r>
          </w:p>
        </w:tc>
        <w:tc>
          <w:tcPr>
            <w:tcW w:w="1099" w:type="dxa"/>
            <w:vMerge w:val="continue"/>
            <w:noWrap w:val="0"/>
            <w:vAlign w:val="center"/>
          </w:tcPr>
          <w:p w14:paraId="39F9E6BF">
            <w:pPr>
              <w:pStyle w:val="80"/>
              <w:spacing w:before="67"/>
              <w:ind w:left="15"/>
              <w:rPr>
                <w:rFonts w:hint="eastAsia" w:ascii="宋体" w:hAnsi="宋体" w:eastAsia="宋体" w:cs="宋体"/>
                <w:color w:val="000000" w:themeColor="text1"/>
                <w:sz w:val="24"/>
                <w:highlight w:val="none"/>
                <w14:textFill>
                  <w14:solidFill>
                    <w14:schemeClr w14:val="tx1"/>
                  </w14:solidFill>
                </w14:textFill>
              </w:rPr>
            </w:pPr>
          </w:p>
        </w:tc>
      </w:tr>
      <w:tr w14:paraId="4D440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02818636">
            <w:pPr>
              <w:pStyle w:val="80"/>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6F0FFF09">
            <w:pPr>
              <w:pStyle w:val="80"/>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14:paraId="1AE208F0">
            <w:pPr>
              <w:pStyle w:val="80"/>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14:paraId="72F7457F">
            <w:pPr>
              <w:pStyle w:val="80"/>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微型企业。</w:t>
            </w:r>
          </w:p>
        </w:tc>
        <w:tc>
          <w:tcPr>
            <w:tcW w:w="4322" w:type="dxa"/>
            <w:noWrap w:val="0"/>
            <w:vAlign w:val="center"/>
          </w:tcPr>
          <w:p w14:paraId="68104AB5">
            <w:pPr>
              <w:pStyle w:val="80"/>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营业收入100万元以下或资产总额2000万元以下的</w:t>
            </w:r>
          </w:p>
        </w:tc>
        <w:tc>
          <w:tcPr>
            <w:tcW w:w="1099" w:type="dxa"/>
            <w:vMerge w:val="continue"/>
            <w:noWrap w:val="0"/>
            <w:vAlign w:val="center"/>
          </w:tcPr>
          <w:p w14:paraId="1509458C">
            <w:pPr>
              <w:pStyle w:val="80"/>
              <w:spacing w:before="67"/>
              <w:ind w:left="15"/>
              <w:rPr>
                <w:rFonts w:hint="eastAsia" w:ascii="宋体" w:hAnsi="宋体" w:eastAsia="宋体" w:cs="宋体"/>
                <w:color w:val="000000" w:themeColor="text1"/>
                <w:sz w:val="24"/>
                <w:highlight w:val="none"/>
                <w14:textFill>
                  <w14:solidFill>
                    <w14:schemeClr w14:val="tx1"/>
                  </w14:solidFill>
                </w14:textFill>
              </w:rPr>
            </w:pPr>
          </w:p>
        </w:tc>
      </w:tr>
      <w:tr w14:paraId="21445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14:paraId="10E5B39F">
            <w:pPr>
              <w:pStyle w:val="80"/>
              <w:spacing w:before="80"/>
              <w:ind w:left="40" w:right="3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w:t>
            </w:r>
          </w:p>
        </w:tc>
        <w:tc>
          <w:tcPr>
            <w:tcW w:w="860" w:type="dxa"/>
            <w:vMerge w:val="restart"/>
            <w:noWrap w:val="0"/>
            <w:vAlign w:val="center"/>
          </w:tcPr>
          <w:p w14:paraId="54F03E28">
            <w:pPr>
              <w:pStyle w:val="80"/>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物业管理</w:t>
            </w:r>
          </w:p>
        </w:tc>
        <w:tc>
          <w:tcPr>
            <w:tcW w:w="2157" w:type="dxa"/>
            <w:vMerge w:val="restart"/>
            <w:noWrap w:val="0"/>
            <w:vAlign w:val="center"/>
          </w:tcPr>
          <w:p w14:paraId="70851FE4">
            <w:pPr>
              <w:pStyle w:val="80"/>
              <w:spacing w:before="67"/>
              <w:ind w:left="7"/>
              <w:rPr>
                <w:rFonts w:hint="eastAsia" w:ascii="宋体" w:hAnsi="宋体" w:eastAsia="宋体" w:cs="宋体"/>
                <w:color w:val="000000" w:themeColor="text1"/>
                <w:spacing w:val="-9"/>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从业人员1000人以下或营业收入5000万元以下的为中小微型企业</w:t>
            </w:r>
          </w:p>
        </w:tc>
        <w:tc>
          <w:tcPr>
            <w:tcW w:w="1215" w:type="dxa"/>
            <w:noWrap w:val="0"/>
            <w:vAlign w:val="center"/>
          </w:tcPr>
          <w:p w14:paraId="78E781C6">
            <w:pPr>
              <w:pStyle w:val="80"/>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中型企业</w:t>
            </w:r>
          </w:p>
        </w:tc>
        <w:tc>
          <w:tcPr>
            <w:tcW w:w="4322" w:type="dxa"/>
            <w:noWrap w:val="0"/>
            <w:vAlign w:val="center"/>
          </w:tcPr>
          <w:p w14:paraId="7FA6443A">
            <w:pPr>
              <w:pStyle w:val="80"/>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从业人员300人及以上，且营业收入1000万元及以上的</w:t>
            </w:r>
          </w:p>
        </w:tc>
        <w:tc>
          <w:tcPr>
            <w:tcW w:w="1099" w:type="dxa"/>
            <w:vMerge w:val="restart"/>
            <w:noWrap w:val="0"/>
            <w:vAlign w:val="center"/>
          </w:tcPr>
          <w:p w14:paraId="68F8E19A">
            <w:pPr>
              <w:pStyle w:val="80"/>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14:paraId="7E4EF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14896B92">
            <w:pPr>
              <w:pStyle w:val="80"/>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6831BEDF">
            <w:pPr>
              <w:pStyle w:val="80"/>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14:paraId="5539C393">
            <w:pPr>
              <w:pStyle w:val="80"/>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14:paraId="7F6188F2">
            <w:pPr>
              <w:pStyle w:val="80"/>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小型企业</w:t>
            </w:r>
          </w:p>
        </w:tc>
        <w:tc>
          <w:tcPr>
            <w:tcW w:w="4322" w:type="dxa"/>
            <w:noWrap w:val="0"/>
            <w:vAlign w:val="center"/>
          </w:tcPr>
          <w:p w14:paraId="3AFC6B63">
            <w:pPr>
              <w:pStyle w:val="80"/>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从业人员100人及以上，且营业收入500万元及以上的</w:t>
            </w:r>
          </w:p>
        </w:tc>
        <w:tc>
          <w:tcPr>
            <w:tcW w:w="1099" w:type="dxa"/>
            <w:vMerge w:val="continue"/>
            <w:noWrap w:val="0"/>
            <w:vAlign w:val="center"/>
          </w:tcPr>
          <w:p w14:paraId="644B82B7">
            <w:pPr>
              <w:pStyle w:val="80"/>
              <w:spacing w:before="67"/>
              <w:ind w:left="15"/>
              <w:rPr>
                <w:rFonts w:hint="eastAsia" w:ascii="宋体" w:hAnsi="宋体" w:eastAsia="宋体" w:cs="宋体"/>
                <w:color w:val="000000" w:themeColor="text1"/>
                <w:sz w:val="24"/>
                <w:highlight w:val="none"/>
                <w14:textFill>
                  <w14:solidFill>
                    <w14:schemeClr w14:val="tx1"/>
                  </w14:solidFill>
                </w14:textFill>
              </w:rPr>
            </w:pPr>
          </w:p>
        </w:tc>
      </w:tr>
      <w:tr w14:paraId="5BC10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3695806E">
            <w:pPr>
              <w:pStyle w:val="80"/>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68643299">
            <w:pPr>
              <w:pStyle w:val="80"/>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14:paraId="0867BB88">
            <w:pPr>
              <w:pStyle w:val="80"/>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14:paraId="069893D7">
            <w:pPr>
              <w:pStyle w:val="80"/>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微型企业</w:t>
            </w:r>
          </w:p>
        </w:tc>
        <w:tc>
          <w:tcPr>
            <w:tcW w:w="4322" w:type="dxa"/>
            <w:noWrap w:val="0"/>
            <w:vAlign w:val="center"/>
          </w:tcPr>
          <w:p w14:paraId="5790ED44">
            <w:pPr>
              <w:pStyle w:val="80"/>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从业人员100人以下或营业收入500万元以下的为</w:t>
            </w:r>
          </w:p>
        </w:tc>
        <w:tc>
          <w:tcPr>
            <w:tcW w:w="1099" w:type="dxa"/>
            <w:vMerge w:val="continue"/>
            <w:noWrap w:val="0"/>
            <w:vAlign w:val="center"/>
          </w:tcPr>
          <w:p w14:paraId="55ECD822">
            <w:pPr>
              <w:pStyle w:val="80"/>
              <w:spacing w:before="67"/>
              <w:ind w:left="15"/>
              <w:rPr>
                <w:rFonts w:hint="eastAsia" w:ascii="宋体" w:hAnsi="宋体" w:eastAsia="宋体" w:cs="宋体"/>
                <w:color w:val="000000" w:themeColor="text1"/>
                <w:sz w:val="24"/>
                <w:highlight w:val="none"/>
                <w14:textFill>
                  <w14:solidFill>
                    <w14:schemeClr w14:val="tx1"/>
                  </w14:solidFill>
                </w14:textFill>
              </w:rPr>
            </w:pPr>
          </w:p>
        </w:tc>
      </w:tr>
      <w:tr w14:paraId="2CC47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14:paraId="6F70B4E2">
            <w:pPr>
              <w:pStyle w:val="80"/>
              <w:spacing w:before="80"/>
              <w:ind w:left="40" w:right="3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w:t>
            </w:r>
          </w:p>
        </w:tc>
        <w:tc>
          <w:tcPr>
            <w:tcW w:w="860" w:type="dxa"/>
            <w:vMerge w:val="restart"/>
            <w:noWrap w:val="0"/>
            <w:vAlign w:val="center"/>
          </w:tcPr>
          <w:p w14:paraId="30020B8F">
            <w:pPr>
              <w:pStyle w:val="80"/>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租赁和商务服务业</w:t>
            </w:r>
          </w:p>
        </w:tc>
        <w:tc>
          <w:tcPr>
            <w:tcW w:w="2157" w:type="dxa"/>
            <w:vMerge w:val="restart"/>
            <w:noWrap w:val="0"/>
            <w:vAlign w:val="center"/>
          </w:tcPr>
          <w:p w14:paraId="3C653A24">
            <w:pPr>
              <w:pStyle w:val="80"/>
              <w:spacing w:before="67"/>
              <w:ind w:left="7"/>
              <w:rPr>
                <w:rFonts w:hint="eastAsia" w:ascii="宋体" w:hAnsi="宋体" w:eastAsia="宋体" w:cs="宋体"/>
                <w:color w:val="000000" w:themeColor="text1"/>
                <w:spacing w:val="-9"/>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从业人员300人以下或资产总额120000万元以下的为中小微型企业</w:t>
            </w:r>
          </w:p>
        </w:tc>
        <w:tc>
          <w:tcPr>
            <w:tcW w:w="1215" w:type="dxa"/>
            <w:noWrap w:val="0"/>
            <w:vAlign w:val="center"/>
          </w:tcPr>
          <w:p w14:paraId="5E1CED1A">
            <w:pPr>
              <w:pStyle w:val="80"/>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中型企业</w:t>
            </w:r>
          </w:p>
        </w:tc>
        <w:tc>
          <w:tcPr>
            <w:tcW w:w="4322" w:type="dxa"/>
            <w:noWrap w:val="0"/>
            <w:vAlign w:val="center"/>
          </w:tcPr>
          <w:p w14:paraId="52544BA3">
            <w:pPr>
              <w:pStyle w:val="80"/>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从业人员100人及以上，且资产总额8000万元及以上的</w:t>
            </w:r>
          </w:p>
        </w:tc>
        <w:tc>
          <w:tcPr>
            <w:tcW w:w="1099" w:type="dxa"/>
            <w:vMerge w:val="restart"/>
            <w:noWrap w:val="0"/>
            <w:vAlign w:val="center"/>
          </w:tcPr>
          <w:p w14:paraId="14011629">
            <w:pPr>
              <w:pStyle w:val="80"/>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14:paraId="75241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19395C70">
            <w:pPr>
              <w:pStyle w:val="80"/>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19B89767">
            <w:pPr>
              <w:pStyle w:val="80"/>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14:paraId="70CEB2F9">
            <w:pPr>
              <w:pStyle w:val="80"/>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14:paraId="7612453D">
            <w:pPr>
              <w:pStyle w:val="80"/>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小型企业</w:t>
            </w:r>
          </w:p>
        </w:tc>
        <w:tc>
          <w:tcPr>
            <w:tcW w:w="4322" w:type="dxa"/>
            <w:noWrap w:val="0"/>
            <w:vAlign w:val="center"/>
          </w:tcPr>
          <w:p w14:paraId="08976FE8">
            <w:pPr>
              <w:pStyle w:val="80"/>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从业人员10人及以上，且资产总额100万元及以上的</w:t>
            </w:r>
          </w:p>
        </w:tc>
        <w:tc>
          <w:tcPr>
            <w:tcW w:w="1099" w:type="dxa"/>
            <w:vMerge w:val="continue"/>
            <w:noWrap w:val="0"/>
            <w:vAlign w:val="center"/>
          </w:tcPr>
          <w:p w14:paraId="1D8C53D6">
            <w:pPr>
              <w:pStyle w:val="80"/>
              <w:spacing w:before="67"/>
              <w:ind w:left="15"/>
              <w:rPr>
                <w:rFonts w:hint="eastAsia" w:ascii="宋体" w:hAnsi="宋体" w:eastAsia="宋体" w:cs="宋体"/>
                <w:color w:val="000000" w:themeColor="text1"/>
                <w:sz w:val="24"/>
                <w:highlight w:val="none"/>
                <w14:textFill>
                  <w14:solidFill>
                    <w14:schemeClr w14:val="tx1"/>
                  </w14:solidFill>
                </w14:textFill>
              </w:rPr>
            </w:pPr>
          </w:p>
        </w:tc>
      </w:tr>
      <w:tr w14:paraId="44BA2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28668158">
            <w:pPr>
              <w:pStyle w:val="80"/>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27BC4668">
            <w:pPr>
              <w:pStyle w:val="80"/>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14:paraId="354050B1">
            <w:pPr>
              <w:pStyle w:val="80"/>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14:paraId="79E2D3CB">
            <w:pPr>
              <w:pStyle w:val="80"/>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微型企业</w:t>
            </w:r>
          </w:p>
        </w:tc>
        <w:tc>
          <w:tcPr>
            <w:tcW w:w="4322" w:type="dxa"/>
            <w:noWrap w:val="0"/>
            <w:vAlign w:val="center"/>
          </w:tcPr>
          <w:p w14:paraId="1D191D64">
            <w:pPr>
              <w:pStyle w:val="80"/>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从业人员10人以下或资产总额100万元以下的</w:t>
            </w:r>
          </w:p>
        </w:tc>
        <w:tc>
          <w:tcPr>
            <w:tcW w:w="1099" w:type="dxa"/>
            <w:vMerge w:val="continue"/>
            <w:noWrap w:val="0"/>
            <w:vAlign w:val="center"/>
          </w:tcPr>
          <w:p w14:paraId="6213C28B">
            <w:pPr>
              <w:pStyle w:val="80"/>
              <w:spacing w:before="67"/>
              <w:ind w:left="15"/>
              <w:rPr>
                <w:rFonts w:hint="eastAsia" w:ascii="宋体" w:hAnsi="宋体" w:eastAsia="宋体" w:cs="宋体"/>
                <w:color w:val="000000" w:themeColor="text1"/>
                <w:sz w:val="24"/>
                <w:highlight w:val="none"/>
                <w14:textFill>
                  <w14:solidFill>
                    <w14:schemeClr w14:val="tx1"/>
                  </w14:solidFill>
                </w14:textFill>
              </w:rPr>
            </w:pPr>
          </w:p>
        </w:tc>
      </w:tr>
      <w:tr w14:paraId="1D105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14:paraId="4D4D2BE7">
            <w:pPr>
              <w:pStyle w:val="80"/>
              <w:spacing w:before="80"/>
              <w:ind w:left="40" w:right="3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w:t>
            </w:r>
          </w:p>
        </w:tc>
        <w:tc>
          <w:tcPr>
            <w:tcW w:w="860" w:type="dxa"/>
            <w:vMerge w:val="restart"/>
            <w:noWrap w:val="0"/>
            <w:vAlign w:val="center"/>
          </w:tcPr>
          <w:p w14:paraId="7EF5538E">
            <w:pPr>
              <w:pStyle w:val="80"/>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其他未列明行业</w:t>
            </w:r>
          </w:p>
        </w:tc>
        <w:tc>
          <w:tcPr>
            <w:tcW w:w="2157" w:type="dxa"/>
            <w:vMerge w:val="restart"/>
            <w:noWrap w:val="0"/>
            <w:vAlign w:val="center"/>
          </w:tcPr>
          <w:p w14:paraId="6C6A10C8">
            <w:pPr>
              <w:pStyle w:val="80"/>
              <w:spacing w:before="67"/>
              <w:ind w:left="7"/>
              <w:rPr>
                <w:rFonts w:hint="eastAsia" w:ascii="宋体" w:hAnsi="宋体" w:eastAsia="宋体" w:cs="宋体"/>
                <w:color w:val="000000" w:themeColor="text1"/>
                <w:spacing w:val="-9"/>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从业人员300人以下的为中小微型企业。</w:t>
            </w:r>
          </w:p>
        </w:tc>
        <w:tc>
          <w:tcPr>
            <w:tcW w:w="1215" w:type="dxa"/>
            <w:noWrap w:val="0"/>
            <w:vAlign w:val="center"/>
          </w:tcPr>
          <w:p w14:paraId="1B9EC6D6">
            <w:pPr>
              <w:pStyle w:val="80"/>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中型企业</w:t>
            </w:r>
          </w:p>
        </w:tc>
        <w:tc>
          <w:tcPr>
            <w:tcW w:w="4322" w:type="dxa"/>
            <w:noWrap w:val="0"/>
            <w:vAlign w:val="center"/>
          </w:tcPr>
          <w:p w14:paraId="3533C64A">
            <w:pPr>
              <w:pStyle w:val="80"/>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从业人员100人及以上的</w:t>
            </w:r>
          </w:p>
        </w:tc>
        <w:tc>
          <w:tcPr>
            <w:tcW w:w="1099" w:type="dxa"/>
            <w:vMerge w:val="restart"/>
            <w:noWrap w:val="0"/>
            <w:vAlign w:val="center"/>
          </w:tcPr>
          <w:p w14:paraId="3341EA7A">
            <w:pPr>
              <w:pStyle w:val="80"/>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14:paraId="2D9F7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24CD912E">
            <w:pPr>
              <w:pStyle w:val="80"/>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62600D48">
            <w:pPr>
              <w:pStyle w:val="80"/>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14:paraId="43F8503E">
            <w:pPr>
              <w:pStyle w:val="80"/>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14:paraId="28ECF458">
            <w:pPr>
              <w:pStyle w:val="80"/>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小型企业</w:t>
            </w:r>
          </w:p>
        </w:tc>
        <w:tc>
          <w:tcPr>
            <w:tcW w:w="4322" w:type="dxa"/>
            <w:noWrap w:val="0"/>
            <w:vAlign w:val="center"/>
          </w:tcPr>
          <w:p w14:paraId="3BEF66A9">
            <w:pPr>
              <w:pStyle w:val="80"/>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从业人员10人及以上的</w:t>
            </w:r>
          </w:p>
        </w:tc>
        <w:tc>
          <w:tcPr>
            <w:tcW w:w="1099" w:type="dxa"/>
            <w:vMerge w:val="continue"/>
            <w:noWrap w:val="0"/>
            <w:vAlign w:val="center"/>
          </w:tcPr>
          <w:p w14:paraId="1F0D7FD4">
            <w:pPr>
              <w:pStyle w:val="80"/>
              <w:spacing w:before="67"/>
              <w:ind w:left="15"/>
              <w:rPr>
                <w:rFonts w:hint="eastAsia" w:ascii="宋体" w:hAnsi="宋体" w:eastAsia="宋体" w:cs="宋体"/>
                <w:color w:val="000000" w:themeColor="text1"/>
                <w:sz w:val="24"/>
                <w:highlight w:val="none"/>
                <w14:textFill>
                  <w14:solidFill>
                    <w14:schemeClr w14:val="tx1"/>
                  </w14:solidFill>
                </w14:textFill>
              </w:rPr>
            </w:pPr>
          </w:p>
        </w:tc>
      </w:tr>
      <w:tr w14:paraId="51C97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16988BC1">
            <w:pPr>
              <w:pStyle w:val="80"/>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04F09E7C">
            <w:pPr>
              <w:pStyle w:val="80"/>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14:paraId="516D4875">
            <w:pPr>
              <w:pStyle w:val="80"/>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14:paraId="63C34B56">
            <w:pPr>
              <w:pStyle w:val="80"/>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微型企业</w:t>
            </w:r>
          </w:p>
        </w:tc>
        <w:tc>
          <w:tcPr>
            <w:tcW w:w="4322" w:type="dxa"/>
            <w:noWrap w:val="0"/>
            <w:vAlign w:val="center"/>
          </w:tcPr>
          <w:p w14:paraId="02DA0C0A">
            <w:pPr>
              <w:pStyle w:val="80"/>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从业人员10人以下的</w:t>
            </w:r>
          </w:p>
        </w:tc>
        <w:tc>
          <w:tcPr>
            <w:tcW w:w="1099" w:type="dxa"/>
            <w:vMerge w:val="continue"/>
            <w:noWrap w:val="0"/>
            <w:vAlign w:val="center"/>
          </w:tcPr>
          <w:p w14:paraId="04BDB3AF">
            <w:pPr>
              <w:pStyle w:val="80"/>
              <w:spacing w:before="67"/>
              <w:ind w:left="15"/>
              <w:rPr>
                <w:rFonts w:hint="eastAsia" w:ascii="宋体" w:hAnsi="宋体" w:eastAsia="宋体" w:cs="宋体"/>
                <w:color w:val="000000" w:themeColor="text1"/>
                <w:sz w:val="24"/>
                <w:highlight w:val="none"/>
                <w14:textFill>
                  <w14:solidFill>
                    <w14:schemeClr w14:val="tx1"/>
                  </w14:solidFill>
                </w14:textFill>
              </w:rPr>
            </w:pPr>
          </w:p>
        </w:tc>
      </w:tr>
    </w:tbl>
    <w:p w14:paraId="0D11E31B">
      <w:pPr>
        <w:pStyle w:val="16"/>
        <w:ind w:firstLine="210"/>
        <w:rPr>
          <w:rFonts w:hint="eastAsia" w:ascii="宋体" w:hAnsi="宋体" w:eastAsia="宋体" w:cs="宋体"/>
          <w:color w:val="000000" w:themeColor="text1"/>
          <w:highlight w:val="none"/>
          <w:lang w:val="en-GB"/>
          <w14:textFill>
            <w14:solidFill>
              <w14:schemeClr w14:val="tx1"/>
            </w14:solidFill>
          </w14:textFill>
        </w:rPr>
      </w:pPr>
    </w:p>
    <w:p w14:paraId="58298DD6">
      <w:pPr>
        <w:rPr>
          <w:rFonts w:hint="eastAsia" w:ascii="宋体" w:hAnsi="宋体" w:eastAsia="宋体" w:cs="宋体"/>
          <w:color w:val="000000" w:themeColor="text1"/>
          <w:highlight w:val="none"/>
          <w:lang w:val="en-GB"/>
          <w14:textFill>
            <w14:solidFill>
              <w14:schemeClr w14:val="tx1"/>
            </w14:solidFill>
          </w14:textFill>
        </w:rPr>
      </w:pPr>
    </w:p>
    <w:p w14:paraId="448CE610">
      <w:pPr>
        <w:pStyle w:val="15"/>
        <w:rPr>
          <w:rFonts w:hint="eastAsia" w:ascii="宋体" w:hAnsi="宋体" w:eastAsia="宋体" w:cs="宋体"/>
          <w:color w:val="000000" w:themeColor="text1"/>
          <w:highlight w:val="none"/>
          <w:lang w:val="en-GB"/>
          <w14:textFill>
            <w14:solidFill>
              <w14:schemeClr w14:val="tx1"/>
            </w14:solidFill>
          </w14:textFill>
        </w:rPr>
      </w:pPr>
      <w:r>
        <w:rPr>
          <w:rFonts w:hint="eastAsia" w:ascii="宋体" w:hAnsi="宋体" w:eastAsia="宋体" w:cs="宋体"/>
          <w:color w:val="000000" w:themeColor="text1"/>
          <w:highlight w:val="none"/>
          <w:lang w:val="en-GB"/>
          <w14:textFill>
            <w14:solidFill>
              <w14:schemeClr w14:val="tx1"/>
            </w14:solidFill>
          </w14:textFill>
        </w:rPr>
        <w:t>该附件可供投标人参考。</w:t>
      </w:r>
    </w:p>
    <w:p w14:paraId="28027C58">
      <w:pPr>
        <w:pStyle w:val="16"/>
        <w:ind w:firstLine="210"/>
        <w:rPr>
          <w:rFonts w:hint="eastAsia" w:ascii="宋体" w:hAnsi="宋体" w:eastAsia="宋体" w:cs="宋体"/>
          <w:color w:val="000000" w:themeColor="text1"/>
          <w:highlight w:val="none"/>
          <w:lang w:val="en-GB"/>
          <w14:textFill>
            <w14:solidFill>
              <w14:schemeClr w14:val="tx1"/>
            </w14:solidFill>
          </w14:textFill>
        </w:rPr>
      </w:pPr>
    </w:p>
    <w:p w14:paraId="1C143D19">
      <w:pPr>
        <w:rPr>
          <w:rFonts w:hint="eastAsia" w:ascii="宋体" w:hAnsi="宋体" w:eastAsia="宋体" w:cs="宋体"/>
          <w:color w:val="000000" w:themeColor="text1"/>
          <w:highlight w:val="none"/>
          <w:lang w:val="en-GB"/>
          <w14:textFill>
            <w14:solidFill>
              <w14:schemeClr w14:val="tx1"/>
            </w14:solidFill>
          </w14:textFill>
        </w:rPr>
      </w:pPr>
    </w:p>
    <w:p w14:paraId="093F8A11">
      <w:pPr>
        <w:pStyle w:val="16"/>
        <w:ind w:firstLine="210"/>
        <w:rPr>
          <w:rFonts w:hint="eastAsia" w:ascii="宋体" w:hAnsi="宋体" w:eastAsia="宋体" w:cs="宋体"/>
          <w:color w:val="000000" w:themeColor="text1"/>
          <w:highlight w:val="none"/>
          <w:lang w:val="en-GB"/>
          <w14:textFill>
            <w14:solidFill>
              <w14:schemeClr w14:val="tx1"/>
            </w14:solidFill>
          </w14:textFill>
        </w:rPr>
      </w:pPr>
    </w:p>
    <w:p w14:paraId="58363CD8">
      <w:pPr>
        <w:rPr>
          <w:rFonts w:hint="eastAsia" w:ascii="宋体" w:hAnsi="宋体" w:eastAsia="宋体" w:cs="宋体"/>
          <w:color w:val="000000" w:themeColor="text1"/>
          <w:highlight w:val="none"/>
          <w:lang w:val="en-GB"/>
          <w14:textFill>
            <w14:solidFill>
              <w14:schemeClr w14:val="tx1"/>
            </w14:solidFill>
          </w14:textFill>
        </w:rPr>
      </w:pPr>
    </w:p>
    <w:p w14:paraId="11EEAA19">
      <w:pPr>
        <w:pStyle w:val="15"/>
        <w:rPr>
          <w:rFonts w:hint="eastAsia" w:ascii="宋体" w:hAnsi="宋体" w:eastAsia="宋体" w:cs="宋体"/>
          <w:color w:val="000000" w:themeColor="text1"/>
          <w:highlight w:val="none"/>
          <w:lang w:val="en-GB"/>
          <w14:textFill>
            <w14:solidFill>
              <w14:schemeClr w14:val="tx1"/>
            </w14:solidFill>
          </w14:textFill>
        </w:rPr>
      </w:pPr>
    </w:p>
    <w:p w14:paraId="6D758EB9">
      <w:pPr>
        <w:pStyle w:val="27"/>
        <w:rPr>
          <w:rFonts w:hint="eastAsia"/>
          <w:color w:val="000000" w:themeColor="text1"/>
          <w:highlight w:val="none"/>
          <w:lang w:val="en-GB"/>
          <w14:textFill>
            <w14:solidFill>
              <w14:schemeClr w14:val="tx1"/>
            </w14:solidFill>
          </w14:textFill>
        </w:rPr>
      </w:pPr>
    </w:p>
    <w:p w14:paraId="5ACCF4D7">
      <w:pPr>
        <w:pStyle w:val="16"/>
        <w:ind w:firstLine="210"/>
        <w:rPr>
          <w:rFonts w:hint="eastAsia" w:ascii="宋体" w:hAnsi="宋体" w:eastAsia="宋体" w:cs="宋体"/>
          <w:color w:val="000000" w:themeColor="text1"/>
          <w:highlight w:val="none"/>
          <w:lang w:val="en-GB"/>
          <w14:textFill>
            <w14:solidFill>
              <w14:schemeClr w14:val="tx1"/>
            </w14:solidFill>
          </w14:textFill>
        </w:rPr>
      </w:pPr>
    </w:p>
    <w:p w14:paraId="07D038AB">
      <w:pPr>
        <w:rPr>
          <w:rFonts w:hint="eastAsia" w:ascii="宋体" w:hAnsi="宋体" w:eastAsia="宋体" w:cs="宋体"/>
          <w:color w:val="000000" w:themeColor="text1"/>
          <w:highlight w:val="none"/>
          <w:lang w:val="en-GB"/>
          <w14:textFill>
            <w14:solidFill>
              <w14:schemeClr w14:val="tx1"/>
            </w14:solidFill>
          </w14:textFill>
        </w:rPr>
      </w:pPr>
    </w:p>
    <w:p w14:paraId="2161C28B">
      <w:pPr>
        <w:pStyle w:val="15"/>
        <w:rPr>
          <w:rFonts w:hint="eastAsia" w:ascii="宋体" w:hAnsi="宋体" w:eastAsia="宋体" w:cs="宋体"/>
          <w:color w:val="000000" w:themeColor="text1"/>
          <w:highlight w:val="none"/>
          <w:lang w:val="en-GB"/>
          <w14:textFill>
            <w14:solidFill>
              <w14:schemeClr w14:val="tx1"/>
            </w14:solidFill>
          </w14:textFill>
        </w:rPr>
      </w:pPr>
    </w:p>
    <w:p w14:paraId="19833B11">
      <w:pPr>
        <w:pStyle w:val="16"/>
        <w:ind w:firstLine="210"/>
        <w:rPr>
          <w:rFonts w:hint="eastAsia" w:ascii="宋体" w:hAnsi="宋体" w:eastAsia="宋体" w:cs="宋体"/>
          <w:color w:val="000000" w:themeColor="text1"/>
          <w:highlight w:val="none"/>
          <w:lang w:val="en-GB"/>
          <w14:textFill>
            <w14:solidFill>
              <w14:schemeClr w14:val="tx1"/>
            </w14:solidFill>
          </w14:textFill>
        </w:rPr>
      </w:pPr>
    </w:p>
    <w:p w14:paraId="0532BD1A">
      <w:pPr>
        <w:rPr>
          <w:rFonts w:hint="eastAsia" w:ascii="宋体" w:hAnsi="宋体" w:eastAsia="宋体" w:cs="宋体"/>
          <w:color w:val="000000" w:themeColor="text1"/>
          <w:highlight w:val="none"/>
          <w:lang w:val="en-GB"/>
          <w14:textFill>
            <w14:solidFill>
              <w14:schemeClr w14:val="tx1"/>
            </w14:solidFill>
          </w14:textFill>
        </w:rPr>
      </w:pPr>
    </w:p>
    <w:p w14:paraId="36F94B42">
      <w:pPr>
        <w:pStyle w:val="20"/>
        <w:spacing w:line="360" w:lineRule="auto"/>
        <w:jc w:val="center"/>
        <w:outlineLvl w:val="1"/>
        <w:rPr>
          <w:rFonts w:hint="eastAsia" w:ascii="宋体" w:hAnsi="宋体" w:eastAsia="宋体" w:cs="宋体"/>
          <w:b/>
          <w:color w:val="000000" w:themeColor="text1"/>
          <w:sz w:val="32"/>
          <w:szCs w:val="32"/>
          <w:highlight w:val="none"/>
          <w:lang w:val="en-GB"/>
          <w14:textFill>
            <w14:solidFill>
              <w14:schemeClr w14:val="tx1"/>
            </w14:solidFill>
          </w14:textFill>
        </w:rPr>
      </w:pPr>
      <w:r>
        <w:rPr>
          <w:rFonts w:hint="eastAsia" w:ascii="宋体" w:hAnsi="宋体" w:eastAsia="宋体" w:cs="宋体"/>
          <w:b/>
          <w:color w:val="000000" w:themeColor="text1"/>
          <w:sz w:val="32"/>
          <w:szCs w:val="32"/>
          <w:highlight w:val="none"/>
          <w:lang w:val="en-GB"/>
          <w14:textFill>
            <w14:solidFill>
              <w14:schemeClr w14:val="tx1"/>
            </w14:solidFill>
          </w14:textFill>
        </w:rPr>
        <w:t>残疾人福利性单位声明函</w:t>
      </w:r>
    </w:p>
    <w:p w14:paraId="2E322BDC">
      <w:pPr>
        <w:spacing w:line="588" w:lineRule="exact"/>
        <w:ind w:firstLine="504" w:firstLineChars="2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43B9FDD">
      <w:pPr>
        <w:spacing w:line="588" w:lineRule="exact"/>
        <w:ind w:firstLine="504" w:firstLineChars="2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本单位对上述声明的真实性负责。如有虚假，将依法承担相应责任。</w:t>
      </w:r>
    </w:p>
    <w:p w14:paraId="597ED846">
      <w:pPr>
        <w:tabs>
          <w:tab w:val="left" w:pos="4860"/>
        </w:tabs>
        <w:spacing w:line="588" w:lineRule="exact"/>
        <w:ind w:right="1560" w:firstLine="504" w:firstLineChars="200"/>
        <w:jc w:val="center"/>
        <w:rPr>
          <w:rFonts w:hint="eastAsia" w:ascii="宋体" w:hAnsi="宋体" w:eastAsia="宋体" w:cs="宋体"/>
          <w:color w:val="000000" w:themeColor="text1"/>
          <w:spacing w:val="6"/>
          <w:sz w:val="24"/>
          <w:highlight w:val="none"/>
          <w14:textFill>
            <w14:solidFill>
              <w14:schemeClr w14:val="tx1"/>
            </w14:solidFill>
          </w14:textFill>
        </w:rPr>
      </w:pPr>
    </w:p>
    <w:p w14:paraId="555CA9D1">
      <w:pPr>
        <w:tabs>
          <w:tab w:val="left" w:pos="4860"/>
        </w:tabs>
        <w:spacing w:line="588" w:lineRule="exact"/>
        <w:ind w:right="1560" w:firstLine="504" w:firstLineChars="200"/>
        <w:jc w:val="center"/>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 xml:space="preserve">             单位名称（盖章）：</w:t>
      </w:r>
    </w:p>
    <w:p w14:paraId="71F7983C">
      <w:pPr>
        <w:tabs>
          <w:tab w:val="left" w:pos="4860"/>
        </w:tabs>
        <w:spacing w:line="588" w:lineRule="exact"/>
        <w:ind w:right="1560" w:firstLine="504"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 xml:space="preserve">       日  期：</w:t>
      </w:r>
    </w:p>
    <w:p w14:paraId="291D7298">
      <w:pPr>
        <w:pStyle w:val="83"/>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14:paraId="11C551A7">
      <w:pPr>
        <w:pStyle w:val="83"/>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14:paraId="22D22E83">
      <w:pPr>
        <w:pStyle w:val="83"/>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14:paraId="1E88288D">
      <w:pPr>
        <w:pStyle w:val="83"/>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14:paraId="37CDBC57">
      <w:pPr>
        <w:pStyle w:val="83"/>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14:paraId="78D4345B">
      <w:pPr>
        <w:pStyle w:val="83"/>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14:paraId="761961CD">
      <w:pPr>
        <w:pStyle w:val="83"/>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14:paraId="1C1E5DA9">
      <w:pPr>
        <w:pStyle w:val="83"/>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14:paraId="499D687B">
      <w:pPr>
        <w:pStyle w:val="83"/>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14:paraId="500A6490">
      <w:pPr>
        <w:pStyle w:val="83"/>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14:paraId="643D22FB">
      <w:pPr>
        <w:pStyle w:val="83"/>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14:paraId="79D1E9BC">
      <w:pPr>
        <w:pStyle w:val="83"/>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14:paraId="4CF172C5">
      <w:pPr>
        <w:pStyle w:val="83"/>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14:paraId="00121450">
      <w:pPr>
        <w:pStyle w:val="83"/>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W1)">
    <w:altName w:val="Arial"/>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5AD7B">
    <w:pPr>
      <w:spacing w:line="14" w:lineRule="auto"/>
      <w:rPr>
        <w:rFonts w:ascii="Times New Roman" w:hAnsi="Times New Roman" w:eastAsia="宋体" w:cs="Times New Roman"/>
        <w:sz w:val="20"/>
        <w:szCs w:val="20"/>
      </w:rPr>
    </w:pPr>
    <w:r>
      <w:rPr>
        <w:rFonts w:ascii="Times New Roman" w:hAnsi="Times New Roman" w:eastAsia="宋体" w:cs="Times New Roman"/>
      </w:rPr>
      <mc:AlternateContent>
        <mc:Choice Requires="wps">
          <w:drawing>
            <wp:anchor distT="0" distB="0" distL="114300" distR="114300" simplePos="0" relativeHeight="251660288" behindDoc="1" locked="0" layoutInCell="1" allowOverlap="1">
              <wp:simplePos x="0" y="0"/>
              <wp:positionH relativeFrom="page">
                <wp:posOffset>3697605</wp:posOffset>
              </wp:positionH>
              <wp:positionV relativeFrom="page">
                <wp:posOffset>9931400</wp:posOffset>
              </wp:positionV>
              <wp:extent cx="166370" cy="139700"/>
              <wp:effectExtent l="0" t="0" r="0" b="0"/>
              <wp:wrapNone/>
              <wp:docPr id="7" name="Text Box 3"/>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14:paraId="0A835E46">
                          <w:pPr>
                            <w:spacing w:line="204" w:lineRule="exact"/>
                            <w:ind w:left="40"/>
                            <w:rPr>
                              <w:rFonts w:ascii="Times New Roman" w:hAnsi="Times New Roman" w:eastAsia="Times New Roman" w:cs="Times New Roman"/>
                              <w:sz w:val="18"/>
                              <w:szCs w:val="18"/>
                            </w:rPr>
                          </w:pPr>
                          <w:r>
                            <w:rPr>
                              <w:rFonts w:ascii="Times New Roman" w:hAnsi="Times New Roman" w:eastAsia="宋体" w:cs="Times New Roman"/>
                            </w:rPr>
                            <w:fldChar w:fldCharType="begin"/>
                          </w:r>
                          <w:r>
                            <w:rPr>
                              <w:rFonts w:ascii="Times New Roman" w:hAnsi="Times New Roman" w:eastAsia="宋体" w:cs="Times New Roman"/>
                              <w:sz w:val="18"/>
                            </w:rPr>
                            <w:instrText xml:space="preserve"> PAGE </w:instrText>
                          </w:r>
                          <w:r>
                            <w:rPr>
                              <w:rFonts w:ascii="Times New Roman" w:hAnsi="Times New Roman" w:eastAsia="宋体" w:cs="Times New Roman"/>
                            </w:rPr>
                            <w:fldChar w:fldCharType="separate"/>
                          </w:r>
                          <w:r>
                            <w:rPr>
                              <w:rFonts w:ascii="Times New Roman" w:hAnsi="Times New Roman" w:eastAsia="宋体" w:cs="Times New Roman"/>
                              <w:sz w:val="18"/>
                            </w:rPr>
                            <w:t>32</w:t>
                          </w:r>
                          <w:r>
                            <w:rPr>
                              <w:rFonts w:ascii="Times New Roman" w:hAnsi="Times New Roman" w:eastAsia="宋体" w:cs="Times New Roman"/>
                            </w:rPr>
                            <w:fldChar w:fldCharType="end"/>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291.15pt;margin-top:782pt;height:11pt;width:13.1pt;mso-position-horizontal-relative:page;mso-position-vertical-relative:page;z-index:-251656192;mso-width-relative:page;mso-height-relative:page;" filled="f" stroked="f" coordsize="21600,21600" o:gfxdata="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z3g19oAAAANAQAADwAAAAAAAAABACAAAAAiAAAAZHJzL2Rvd25y&#10;ZXYueG1sUEsBAhQAFAAAAAgAh07iQKNq/H/8AQAAAwQAAA4AAAAAAAAAAQAgAAAAKQEAAGRycy9l&#10;Mm9Eb2MueG1sUEsFBgAAAAAGAAYAWQEAAJcFAAAAAA==&#10;">
              <v:fill on="f" focussize="0,0"/>
              <v:stroke on="f"/>
              <v:imagedata o:title=""/>
              <o:lock v:ext="edit" aspectratio="f"/>
              <v:textbox inset="0mm,0mm,0mm,0mm">
                <w:txbxContent>
                  <w:p w14:paraId="0A835E46">
                    <w:pPr>
                      <w:spacing w:line="204" w:lineRule="exact"/>
                      <w:ind w:left="40"/>
                      <w:rPr>
                        <w:rFonts w:ascii="Times New Roman" w:hAnsi="Times New Roman" w:eastAsia="Times New Roman" w:cs="Times New Roman"/>
                        <w:sz w:val="18"/>
                        <w:szCs w:val="18"/>
                      </w:rPr>
                    </w:pPr>
                    <w:r>
                      <w:rPr>
                        <w:rFonts w:ascii="Times New Roman" w:hAnsi="Times New Roman" w:eastAsia="宋体" w:cs="Times New Roman"/>
                      </w:rPr>
                      <w:fldChar w:fldCharType="begin"/>
                    </w:r>
                    <w:r>
                      <w:rPr>
                        <w:rFonts w:ascii="Times New Roman" w:hAnsi="Times New Roman" w:eastAsia="宋体" w:cs="Times New Roman"/>
                        <w:sz w:val="18"/>
                      </w:rPr>
                      <w:instrText xml:space="preserve"> PAGE </w:instrText>
                    </w:r>
                    <w:r>
                      <w:rPr>
                        <w:rFonts w:ascii="Times New Roman" w:hAnsi="Times New Roman" w:eastAsia="宋体" w:cs="Times New Roman"/>
                      </w:rPr>
                      <w:fldChar w:fldCharType="separate"/>
                    </w:r>
                    <w:r>
                      <w:rPr>
                        <w:rFonts w:ascii="Times New Roman" w:hAnsi="Times New Roman" w:eastAsia="宋体" w:cs="Times New Roman"/>
                        <w:sz w:val="18"/>
                      </w:rPr>
                      <w:t>32</w:t>
                    </w:r>
                    <w:r>
                      <w:rPr>
                        <w:rFonts w:ascii="Times New Roman" w:hAnsi="Times New Roman" w:eastAsia="宋体"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ACA66">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5B1655">
                          <w:pPr>
                            <w:pStyle w:val="2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36</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14:paraId="0B5B1655">
                    <w:pPr>
                      <w:pStyle w:val="2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36</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D8A35">
    <w:pPr>
      <w:pStyle w:val="25"/>
      <w:jc w:val="both"/>
      <w:rPr>
        <w:u w:val="none"/>
      </w:rPr>
    </w:pPr>
    <w:r>
      <w:rPr>
        <w:rFonts w:hint="eastAsia"/>
        <w:b/>
        <w:i/>
        <w:color w:val="808080"/>
        <w:kern w:val="0"/>
        <w:sz w:val="18"/>
        <w:u w:val="none"/>
      </w:rPr>
      <w:t>玉环市政府采购竞争性磋商文件</w:t>
    </w:r>
    <w:r>
      <w:rPr>
        <w:b/>
        <w:i/>
        <w:color w:val="808080"/>
        <w:kern w:val="0"/>
        <w:sz w:val="18"/>
        <w:u w:val="none"/>
      </w:rPr>
      <w:t xml:space="preserve">                    </w:t>
    </w:r>
    <w:r>
      <w:rPr>
        <w:rFonts w:hint="eastAsia"/>
        <w:b/>
        <w:i/>
        <w:color w:val="808080"/>
        <w:kern w:val="0"/>
        <w:sz w:val="18"/>
        <w:u w:val="none"/>
        <w:lang w:val="en-US" w:eastAsia="zh-CN"/>
      </w:rPr>
      <w:t xml:space="preserve">        </w:t>
    </w:r>
    <w:r>
      <w:rPr>
        <w:b/>
        <w:i/>
        <w:color w:val="808080"/>
        <w:kern w:val="0"/>
        <w:sz w:val="18"/>
        <w:u w:val="none"/>
      </w:rPr>
      <w:t xml:space="preserve"> </w:t>
    </w:r>
    <w:r>
      <w:rPr>
        <w:rFonts w:hint="eastAsia"/>
        <w:b/>
        <w:i/>
        <w:color w:val="808080"/>
        <w:kern w:val="0"/>
        <w:sz w:val="18"/>
        <w:u w:val="none"/>
      </w:rPr>
      <w:t xml:space="preserve">                        </w:t>
    </w:r>
    <w:r>
      <w:rPr>
        <w:b/>
        <w:i/>
        <w:color w:val="808080"/>
        <w:kern w:val="0"/>
        <w:sz w:val="18"/>
        <w:u w:val="non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B41EC">
    <w:pPr>
      <w:spacing w:line="20" w:lineRule="atLeast"/>
      <w:rPr>
        <w:b/>
        <w:color w:val="808080"/>
        <w:sz w:val="10"/>
        <w:u w:val="single"/>
      </w:rPr>
    </w:pPr>
    <w:r>
      <w:rPr>
        <w:rFonts w:hint="eastAsia"/>
        <w:b/>
        <w:i/>
        <w:color w:val="808080"/>
        <w:kern w:val="0"/>
        <w:sz w:val="18"/>
        <w:u w:val="single"/>
      </w:rPr>
      <w:t>玉环市政府采购竞争性磋商文件</w:t>
    </w: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696CE2"/>
    <w:multiLevelType w:val="singleLevel"/>
    <w:tmpl w:val="D6696CE2"/>
    <w:lvl w:ilvl="0" w:tentative="0">
      <w:start w:val="1"/>
      <w:numFmt w:val="decimal"/>
      <w:suff w:val="space"/>
      <w:lvlText w:val="%1."/>
      <w:lvlJc w:val="left"/>
    </w:lvl>
  </w:abstractNum>
  <w:abstractNum w:abstractNumId="1">
    <w:nsid w:val="D8BA7137"/>
    <w:multiLevelType w:val="singleLevel"/>
    <w:tmpl w:val="D8BA7137"/>
    <w:lvl w:ilvl="0" w:tentative="0">
      <w:start w:val="1"/>
      <w:numFmt w:val="chineseCounting"/>
      <w:suff w:val="nothing"/>
      <w:lvlText w:val="第%1条、"/>
      <w:lvlJc w:val="left"/>
      <w:rPr>
        <w:rFonts w:hint="eastAsia"/>
      </w:rPr>
    </w:lvl>
  </w:abstractNum>
  <w:abstractNum w:abstractNumId="2">
    <w:nsid w:val="E35D3FDA"/>
    <w:multiLevelType w:val="singleLevel"/>
    <w:tmpl w:val="E35D3FDA"/>
    <w:lvl w:ilvl="0" w:tentative="0">
      <w:start w:val="1"/>
      <w:numFmt w:val="decimal"/>
      <w:lvlText w:val="%1."/>
      <w:lvlJc w:val="left"/>
      <w:pPr>
        <w:tabs>
          <w:tab w:val="left" w:pos="312"/>
        </w:tabs>
      </w:pPr>
    </w:lvl>
  </w:abstractNum>
  <w:abstractNum w:abstractNumId="3">
    <w:nsid w:val="F0EADC9C"/>
    <w:multiLevelType w:val="singleLevel"/>
    <w:tmpl w:val="F0EADC9C"/>
    <w:lvl w:ilvl="0" w:tentative="0">
      <w:start w:val="1"/>
      <w:numFmt w:val="decimal"/>
      <w:suff w:val="space"/>
      <w:lvlText w:val="%1、"/>
      <w:lvlJc w:val="left"/>
    </w:lvl>
  </w:abstractNum>
  <w:abstractNum w:abstractNumId="4">
    <w:nsid w:val="F1391CFB"/>
    <w:multiLevelType w:val="singleLevel"/>
    <w:tmpl w:val="F1391CFB"/>
    <w:lvl w:ilvl="0" w:tentative="0">
      <w:start w:val="1"/>
      <w:numFmt w:val="decimal"/>
      <w:pStyle w:val="90"/>
      <w:lvlText w:val="%1."/>
      <w:lvlJc w:val="left"/>
      <w:pPr>
        <w:ind w:left="425" w:hanging="425"/>
      </w:pPr>
      <w:rPr>
        <w:rFonts w:hint="default"/>
      </w:rPr>
    </w:lvl>
  </w:abstractNum>
  <w:abstractNum w:abstractNumId="5">
    <w:nsid w:val="00000008"/>
    <w:multiLevelType w:val="multilevel"/>
    <w:tmpl w:val="00000008"/>
    <w:lvl w:ilvl="0" w:tentative="0">
      <w:start w:val="1"/>
      <w:numFmt w:val="decimal"/>
      <w:suff w:val="nothing"/>
      <w:lvlText w:val="%1、"/>
      <w:lvlJc w:val="left"/>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A"/>
    <w:multiLevelType w:val="singleLevel"/>
    <w:tmpl w:val="0000000A"/>
    <w:lvl w:ilvl="0" w:tentative="0">
      <w:start w:val="1"/>
      <w:numFmt w:val="japaneseCounting"/>
      <w:pStyle w:val="10"/>
      <w:lvlText w:val="%1、"/>
      <w:lvlJc w:val="left"/>
      <w:pPr>
        <w:tabs>
          <w:tab w:val="left" w:pos="960"/>
        </w:tabs>
        <w:ind w:left="960" w:hanging="600"/>
      </w:pPr>
      <w:rPr>
        <w:rFonts w:hint="eastAsia"/>
        <w:lang w:val="en-US"/>
      </w:rPr>
    </w:lvl>
  </w:abstractNum>
  <w:abstractNum w:abstractNumId="7">
    <w:nsid w:val="00000011"/>
    <w:multiLevelType w:val="multilevel"/>
    <w:tmpl w:val="00000011"/>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8">
    <w:nsid w:val="212DA560"/>
    <w:multiLevelType w:val="singleLevel"/>
    <w:tmpl w:val="212DA560"/>
    <w:lvl w:ilvl="0" w:tentative="0">
      <w:start w:val="2"/>
      <w:numFmt w:val="decimal"/>
      <w:lvlText w:val="%1."/>
      <w:lvlJc w:val="left"/>
      <w:pPr>
        <w:tabs>
          <w:tab w:val="left" w:pos="312"/>
        </w:tabs>
      </w:pPr>
    </w:lvl>
  </w:abstractNum>
  <w:abstractNum w:abstractNumId="9">
    <w:nsid w:val="3380FA00"/>
    <w:multiLevelType w:val="singleLevel"/>
    <w:tmpl w:val="3380FA00"/>
    <w:lvl w:ilvl="0" w:tentative="0">
      <w:start w:val="1"/>
      <w:numFmt w:val="decimal"/>
      <w:suff w:val="nothing"/>
      <w:lvlText w:val="%1）"/>
      <w:lvlJc w:val="left"/>
    </w:lvl>
  </w:abstractNum>
  <w:abstractNum w:abstractNumId="10">
    <w:nsid w:val="5A729DFB"/>
    <w:multiLevelType w:val="singleLevel"/>
    <w:tmpl w:val="5A729DFB"/>
    <w:lvl w:ilvl="0" w:tentative="0">
      <w:start w:val="1"/>
      <w:numFmt w:val="decimal"/>
      <w:lvlText w:val="%1."/>
      <w:lvlJc w:val="left"/>
      <w:pPr>
        <w:tabs>
          <w:tab w:val="left" w:pos="312"/>
        </w:tabs>
      </w:pPr>
    </w:lvl>
  </w:abstractNum>
  <w:num w:numId="1">
    <w:abstractNumId w:val="6"/>
  </w:num>
  <w:num w:numId="2">
    <w:abstractNumId w:val="4"/>
  </w:num>
  <w:num w:numId="3">
    <w:abstractNumId w:val="7"/>
  </w:num>
  <w:num w:numId="4">
    <w:abstractNumId w:val="9"/>
  </w:num>
  <w:num w:numId="5">
    <w:abstractNumId w:val="10"/>
  </w:num>
  <w:num w:numId="6">
    <w:abstractNumId w:val="0"/>
  </w:num>
  <w:num w:numId="7">
    <w:abstractNumId w:val="8"/>
  </w:num>
  <w:num w:numId="8">
    <w:abstractNumId w:val="1"/>
  </w:num>
  <w:num w:numId="9">
    <w:abstractNumId w:val="5"/>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1"/>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3YWE1ODRmMjhhYjQwODY2ZDAzMzU0MTAzNzkyZmEifQ=="/>
  </w:docVars>
  <w:rsids>
    <w:rsidRoot w:val="00172A27"/>
    <w:rsid w:val="00042E5A"/>
    <w:rsid w:val="00057246"/>
    <w:rsid w:val="00060AEB"/>
    <w:rsid w:val="00084834"/>
    <w:rsid w:val="00085416"/>
    <w:rsid w:val="00096373"/>
    <w:rsid w:val="000E112E"/>
    <w:rsid w:val="000E2DCE"/>
    <w:rsid w:val="0013617F"/>
    <w:rsid w:val="00195C28"/>
    <w:rsid w:val="001B4837"/>
    <w:rsid w:val="0025429C"/>
    <w:rsid w:val="00257737"/>
    <w:rsid w:val="002A7177"/>
    <w:rsid w:val="002B470D"/>
    <w:rsid w:val="002B542A"/>
    <w:rsid w:val="002C25E0"/>
    <w:rsid w:val="003513A2"/>
    <w:rsid w:val="003B064B"/>
    <w:rsid w:val="003E124B"/>
    <w:rsid w:val="003F70BD"/>
    <w:rsid w:val="00412CB2"/>
    <w:rsid w:val="0042047A"/>
    <w:rsid w:val="00450B23"/>
    <w:rsid w:val="004D1412"/>
    <w:rsid w:val="00501645"/>
    <w:rsid w:val="00506F8B"/>
    <w:rsid w:val="00510ED9"/>
    <w:rsid w:val="00521D20"/>
    <w:rsid w:val="0052569A"/>
    <w:rsid w:val="00574551"/>
    <w:rsid w:val="00585FD0"/>
    <w:rsid w:val="005875C1"/>
    <w:rsid w:val="005E752D"/>
    <w:rsid w:val="00602421"/>
    <w:rsid w:val="006209C4"/>
    <w:rsid w:val="00636698"/>
    <w:rsid w:val="00645E9C"/>
    <w:rsid w:val="00657460"/>
    <w:rsid w:val="006778C1"/>
    <w:rsid w:val="00695B46"/>
    <w:rsid w:val="006A7E1B"/>
    <w:rsid w:val="006B2CA3"/>
    <w:rsid w:val="00714CC4"/>
    <w:rsid w:val="007501B4"/>
    <w:rsid w:val="007742E7"/>
    <w:rsid w:val="007B3F33"/>
    <w:rsid w:val="00862569"/>
    <w:rsid w:val="008D5038"/>
    <w:rsid w:val="008D786D"/>
    <w:rsid w:val="008E3D5A"/>
    <w:rsid w:val="009075C4"/>
    <w:rsid w:val="00913FE0"/>
    <w:rsid w:val="00936533"/>
    <w:rsid w:val="009E0CB5"/>
    <w:rsid w:val="009F4598"/>
    <w:rsid w:val="00A422F5"/>
    <w:rsid w:val="00A91D72"/>
    <w:rsid w:val="00A92440"/>
    <w:rsid w:val="00AC2004"/>
    <w:rsid w:val="00AD3AE0"/>
    <w:rsid w:val="00AF1C6B"/>
    <w:rsid w:val="00AF1D2E"/>
    <w:rsid w:val="00BA0984"/>
    <w:rsid w:val="00BA0FCD"/>
    <w:rsid w:val="00BE5EBB"/>
    <w:rsid w:val="00C020AE"/>
    <w:rsid w:val="00C74CD7"/>
    <w:rsid w:val="00C77233"/>
    <w:rsid w:val="00C8020B"/>
    <w:rsid w:val="00C93DB2"/>
    <w:rsid w:val="00CC3574"/>
    <w:rsid w:val="00CC5B2E"/>
    <w:rsid w:val="00CD215B"/>
    <w:rsid w:val="00D27EC2"/>
    <w:rsid w:val="00D32F3E"/>
    <w:rsid w:val="00D415AD"/>
    <w:rsid w:val="00D77AF6"/>
    <w:rsid w:val="00E17442"/>
    <w:rsid w:val="00E63783"/>
    <w:rsid w:val="00E64EEB"/>
    <w:rsid w:val="00E77F2D"/>
    <w:rsid w:val="00ED1E59"/>
    <w:rsid w:val="00EF2362"/>
    <w:rsid w:val="00F6654D"/>
    <w:rsid w:val="00FD1985"/>
    <w:rsid w:val="015A1305"/>
    <w:rsid w:val="01713E00"/>
    <w:rsid w:val="01731F7D"/>
    <w:rsid w:val="01DF7235"/>
    <w:rsid w:val="02E32DF4"/>
    <w:rsid w:val="035E700F"/>
    <w:rsid w:val="04436EBB"/>
    <w:rsid w:val="04C70F47"/>
    <w:rsid w:val="04F574FF"/>
    <w:rsid w:val="05787054"/>
    <w:rsid w:val="05E31CF0"/>
    <w:rsid w:val="060D7519"/>
    <w:rsid w:val="06C23C3F"/>
    <w:rsid w:val="09356CE4"/>
    <w:rsid w:val="097E3F6A"/>
    <w:rsid w:val="09BE263C"/>
    <w:rsid w:val="0A8E51BD"/>
    <w:rsid w:val="0C0546C8"/>
    <w:rsid w:val="0C7F345E"/>
    <w:rsid w:val="0D307C59"/>
    <w:rsid w:val="0EB43BBF"/>
    <w:rsid w:val="0F282F85"/>
    <w:rsid w:val="0F3A152F"/>
    <w:rsid w:val="12AC6286"/>
    <w:rsid w:val="13225964"/>
    <w:rsid w:val="154E1005"/>
    <w:rsid w:val="15BD53F5"/>
    <w:rsid w:val="15C52ACA"/>
    <w:rsid w:val="16874310"/>
    <w:rsid w:val="16AB26CE"/>
    <w:rsid w:val="16F917B8"/>
    <w:rsid w:val="17433165"/>
    <w:rsid w:val="17912B3F"/>
    <w:rsid w:val="19CB5539"/>
    <w:rsid w:val="1A8644BD"/>
    <w:rsid w:val="1B44229E"/>
    <w:rsid w:val="1B693E71"/>
    <w:rsid w:val="1BFB6CD4"/>
    <w:rsid w:val="1C79754F"/>
    <w:rsid w:val="1CBD1FC0"/>
    <w:rsid w:val="1DA869BB"/>
    <w:rsid w:val="1E9F5FDB"/>
    <w:rsid w:val="1EE052A5"/>
    <w:rsid w:val="1F6E6FF9"/>
    <w:rsid w:val="1FAF4D67"/>
    <w:rsid w:val="1FDF000F"/>
    <w:rsid w:val="20446136"/>
    <w:rsid w:val="219A3C4F"/>
    <w:rsid w:val="21D47FF9"/>
    <w:rsid w:val="222F25D4"/>
    <w:rsid w:val="224B504B"/>
    <w:rsid w:val="22A94D9E"/>
    <w:rsid w:val="22AC1C58"/>
    <w:rsid w:val="22C7390A"/>
    <w:rsid w:val="22D56919"/>
    <w:rsid w:val="23463D3E"/>
    <w:rsid w:val="23BE4E88"/>
    <w:rsid w:val="252871B3"/>
    <w:rsid w:val="255F0466"/>
    <w:rsid w:val="256D3777"/>
    <w:rsid w:val="25822815"/>
    <w:rsid w:val="26454CFF"/>
    <w:rsid w:val="266424F1"/>
    <w:rsid w:val="275E3AAA"/>
    <w:rsid w:val="277A5C23"/>
    <w:rsid w:val="27AA07AE"/>
    <w:rsid w:val="281738F2"/>
    <w:rsid w:val="2899474C"/>
    <w:rsid w:val="28E23EB1"/>
    <w:rsid w:val="29476B08"/>
    <w:rsid w:val="2A227A6A"/>
    <w:rsid w:val="2E655F96"/>
    <w:rsid w:val="2F0837F4"/>
    <w:rsid w:val="2F345C8E"/>
    <w:rsid w:val="2F3659E5"/>
    <w:rsid w:val="2F4D31F2"/>
    <w:rsid w:val="304E6E71"/>
    <w:rsid w:val="30AC16BA"/>
    <w:rsid w:val="30EF0166"/>
    <w:rsid w:val="32453068"/>
    <w:rsid w:val="325F167A"/>
    <w:rsid w:val="33BA1B1D"/>
    <w:rsid w:val="347A0CC1"/>
    <w:rsid w:val="347A36B8"/>
    <w:rsid w:val="35140239"/>
    <w:rsid w:val="351778F5"/>
    <w:rsid w:val="35981373"/>
    <w:rsid w:val="36373CE2"/>
    <w:rsid w:val="365157D2"/>
    <w:rsid w:val="366D2BE5"/>
    <w:rsid w:val="36D00EFD"/>
    <w:rsid w:val="36DD68E2"/>
    <w:rsid w:val="37402797"/>
    <w:rsid w:val="378F345B"/>
    <w:rsid w:val="387713A7"/>
    <w:rsid w:val="39614463"/>
    <w:rsid w:val="3A525E7B"/>
    <w:rsid w:val="3A8943B7"/>
    <w:rsid w:val="3ABE7FCD"/>
    <w:rsid w:val="3AD93B32"/>
    <w:rsid w:val="3BF62510"/>
    <w:rsid w:val="3C180E01"/>
    <w:rsid w:val="3CDE7D02"/>
    <w:rsid w:val="3D396A5F"/>
    <w:rsid w:val="3E4B54BF"/>
    <w:rsid w:val="3E51357F"/>
    <w:rsid w:val="3E8455B2"/>
    <w:rsid w:val="3EDD3310"/>
    <w:rsid w:val="3F1D59BF"/>
    <w:rsid w:val="3F5B598E"/>
    <w:rsid w:val="3FC13371"/>
    <w:rsid w:val="3FC63D24"/>
    <w:rsid w:val="40490E05"/>
    <w:rsid w:val="40974D22"/>
    <w:rsid w:val="40F33077"/>
    <w:rsid w:val="417F01B8"/>
    <w:rsid w:val="419F78C7"/>
    <w:rsid w:val="41D7007F"/>
    <w:rsid w:val="41E1532F"/>
    <w:rsid w:val="45112884"/>
    <w:rsid w:val="458406C1"/>
    <w:rsid w:val="45E32F25"/>
    <w:rsid w:val="462D194E"/>
    <w:rsid w:val="46E26868"/>
    <w:rsid w:val="46F20DA7"/>
    <w:rsid w:val="48091F41"/>
    <w:rsid w:val="48911F9D"/>
    <w:rsid w:val="48EE6122"/>
    <w:rsid w:val="48FD4805"/>
    <w:rsid w:val="49D00F6E"/>
    <w:rsid w:val="4AD267A4"/>
    <w:rsid w:val="4AE702C8"/>
    <w:rsid w:val="4AF0232E"/>
    <w:rsid w:val="4AF5558E"/>
    <w:rsid w:val="4B07665D"/>
    <w:rsid w:val="4BB31BAF"/>
    <w:rsid w:val="4C027E79"/>
    <w:rsid w:val="4C681A14"/>
    <w:rsid w:val="4C816674"/>
    <w:rsid w:val="4CE06828"/>
    <w:rsid w:val="4D3120B0"/>
    <w:rsid w:val="4D374B1A"/>
    <w:rsid w:val="4D461CF2"/>
    <w:rsid w:val="4D84279B"/>
    <w:rsid w:val="4E452571"/>
    <w:rsid w:val="4EA42529"/>
    <w:rsid w:val="4EDB6B5A"/>
    <w:rsid w:val="4FDF2071"/>
    <w:rsid w:val="50407935"/>
    <w:rsid w:val="504113B7"/>
    <w:rsid w:val="50643C23"/>
    <w:rsid w:val="50F825B3"/>
    <w:rsid w:val="518C3E45"/>
    <w:rsid w:val="519D5BDA"/>
    <w:rsid w:val="52994455"/>
    <w:rsid w:val="52FD188D"/>
    <w:rsid w:val="53A20B3D"/>
    <w:rsid w:val="53F1698C"/>
    <w:rsid w:val="54770D63"/>
    <w:rsid w:val="54862B3B"/>
    <w:rsid w:val="55260C43"/>
    <w:rsid w:val="55D44648"/>
    <w:rsid w:val="56323AF5"/>
    <w:rsid w:val="574F3BDC"/>
    <w:rsid w:val="57640856"/>
    <w:rsid w:val="576B7CB8"/>
    <w:rsid w:val="580A5AE5"/>
    <w:rsid w:val="58902710"/>
    <w:rsid w:val="589675AA"/>
    <w:rsid w:val="59C75EEA"/>
    <w:rsid w:val="5A3C40AB"/>
    <w:rsid w:val="5AB55796"/>
    <w:rsid w:val="5B1C25B6"/>
    <w:rsid w:val="5B466488"/>
    <w:rsid w:val="5B654180"/>
    <w:rsid w:val="5BCD50AF"/>
    <w:rsid w:val="5BE91D34"/>
    <w:rsid w:val="5BF77A5B"/>
    <w:rsid w:val="5C123859"/>
    <w:rsid w:val="5C7656B8"/>
    <w:rsid w:val="5D083396"/>
    <w:rsid w:val="5D5E0B25"/>
    <w:rsid w:val="5E002F34"/>
    <w:rsid w:val="5E660166"/>
    <w:rsid w:val="5E8A6D0B"/>
    <w:rsid w:val="5EAF1B3A"/>
    <w:rsid w:val="5ECC3001"/>
    <w:rsid w:val="5F471947"/>
    <w:rsid w:val="5FFE3A25"/>
    <w:rsid w:val="60F65CA8"/>
    <w:rsid w:val="614378DA"/>
    <w:rsid w:val="6186668A"/>
    <w:rsid w:val="61E30428"/>
    <w:rsid w:val="61EF10C7"/>
    <w:rsid w:val="62B67D2C"/>
    <w:rsid w:val="639A4204"/>
    <w:rsid w:val="64E1270B"/>
    <w:rsid w:val="652A70DC"/>
    <w:rsid w:val="653037CD"/>
    <w:rsid w:val="653B79AE"/>
    <w:rsid w:val="65B322CE"/>
    <w:rsid w:val="65D55A85"/>
    <w:rsid w:val="666F0EF8"/>
    <w:rsid w:val="67034B7C"/>
    <w:rsid w:val="67167495"/>
    <w:rsid w:val="67206500"/>
    <w:rsid w:val="67253540"/>
    <w:rsid w:val="67B760A5"/>
    <w:rsid w:val="67D424D9"/>
    <w:rsid w:val="687102E7"/>
    <w:rsid w:val="68866F70"/>
    <w:rsid w:val="689A152D"/>
    <w:rsid w:val="69462DA3"/>
    <w:rsid w:val="6996494C"/>
    <w:rsid w:val="6A037BC4"/>
    <w:rsid w:val="6A192242"/>
    <w:rsid w:val="6A900633"/>
    <w:rsid w:val="6AD5781A"/>
    <w:rsid w:val="6AE356DD"/>
    <w:rsid w:val="6AFE23F0"/>
    <w:rsid w:val="6B380995"/>
    <w:rsid w:val="6C6F7C07"/>
    <w:rsid w:val="6CA2193A"/>
    <w:rsid w:val="6D3D2902"/>
    <w:rsid w:val="6F5757FD"/>
    <w:rsid w:val="6F7503A0"/>
    <w:rsid w:val="7006529C"/>
    <w:rsid w:val="70761FC8"/>
    <w:rsid w:val="709A5CAE"/>
    <w:rsid w:val="70EE20BC"/>
    <w:rsid w:val="72843211"/>
    <w:rsid w:val="72DF33FB"/>
    <w:rsid w:val="730E7201"/>
    <w:rsid w:val="731A6088"/>
    <w:rsid w:val="736C56DF"/>
    <w:rsid w:val="73BB7E48"/>
    <w:rsid w:val="74461C45"/>
    <w:rsid w:val="750F1A33"/>
    <w:rsid w:val="75190CEB"/>
    <w:rsid w:val="75472989"/>
    <w:rsid w:val="75665BE0"/>
    <w:rsid w:val="75DA7ADF"/>
    <w:rsid w:val="76362718"/>
    <w:rsid w:val="7665792F"/>
    <w:rsid w:val="76BB6B3C"/>
    <w:rsid w:val="76EE37DD"/>
    <w:rsid w:val="77C7602D"/>
    <w:rsid w:val="78CC7DE6"/>
    <w:rsid w:val="797C5C3C"/>
    <w:rsid w:val="7A0929CB"/>
    <w:rsid w:val="7A87290A"/>
    <w:rsid w:val="7AA565F7"/>
    <w:rsid w:val="7AD75C27"/>
    <w:rsid w:val="7B452CBB"/>
    <w:rsid w:val="7CBA671B"/>
    <w:rsid w:val="7CDB38D7"/>
    <w:rsid w:val="7D23590C"/>
    <w:rsid w:val="7D6E713D"/>
    <w:rsid w:val="7F2E10F5"/>
    <w:rsid w:val="7F5117E4"/>
    <w:rsid w:val="7FC21D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qFormat="1" w:uiPriority="39" w:semiHidden="0" w:name="toc 4"/>
    <w:lsdException w:qFormat="1"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autoRedefine/>
    <w:qFormat/>
    <w:uiPriority w:val="0"/>
    <w:pPr>
      <w:keepNext/>
      <w:keepLines/>
      <w:pageBreakBefore/>
      <w:spacing w:before="340" w:after="330" w:line="576" w:lineRule="auto"/>
      <w:outlineLvl w:val="0"/>
    </w:pPr>
    <w:rPr>
      <w:b/>
      <w:bCs/>
      <w:kern w:val="44"/>
      <w:sz w:val="44"/>
      <w:szCs w:val="44"/>
    </w:rPr>
  </w:style>
  <w:style w:type="paragraph" w:styleId="4">
    <w:name w:val="heading 2"/>
    <w:basedOn w:val="1"/>
    <w:next w:val="1"/>
    <w:link w:val="50"/>
    <w:autoRedefine/>
    <w:qFormat/>
    <w:uiPriority w:val="0"/>
    <w:pPr>
      <w:keepNext/>
      <w:keepLines/>
      <w:spacing w:before="260" w:beforeLines="0" w:after="260" w:afterLines="0" w:line="413" w:lineRule="auto"/>
      <w:outlineLvl w:val="1"/>
    </w:pPr>
    <w:rPr>
      <w:rFonts w:ascii="Cambria" w:hAnsi="Cambria"/>
      <w:b/>
      <w:bCs/>
      <w:kern w:val="2"/>
      <w:sz w:val="32"/>
      <w:szCs w:val="32"/>
    </w:rPr>
  </w:style>
  <w:style w:type="paragraph" w:styleId="5">
    <w:name w:val="heading 3"/>
    <w:basedOn w:val="1"/>
    <w:next w:val="1"/>
    <w:autoRedefine/>
    <w:qFormat/>
    <w:uiPriority w:val="0"/>
    <w:pPr>
      <w:keepNext/>
      <w:keepLines/>
      <w:spacing w:before="260" w:beforeLines="0" w:after="260" w:afterLines="0" w:line="360" w:lineRule="auto"/>
      <w:ind w:firstLine="602" w:firstLineChars="200"/>
      <w:outlineLvl w:val="2"/>
    </w:pPr>
    <w:rPr>
      <w:rFonts w:ascii="仿宋_GB2312" w:eastAsia="仿宋_GB2312"/>
      <w:b/>
      <w:bCs/>
      <w:sz w:val="30"/>
      <w:szCs w:val="20"/>
    </w:rPr>
  </w:style>
  <w:style w:type="paragraph" w:styleId="6">
    <w:name w:val="heading 4"/>
    <w:basedOn w:val="1"/>
    <w:next w:val="1"/>
    <w:autoRedefine/>
    <w:qFormat/>
    <w:uiPriority w:val="0"/>
    <w:pPr>
      <w:keepNext/>
      <w:keepLines/>
      <w:spacing w:before="280" w:beforeLines="0" w:after="290" w:afterLines="0" w:line="372" w:lineRule="auto"/>
      <w:outlineLvl w:val="3"/>
    </w:pPr>
    <w:rPr>
      <w:rFonts w:ascii="Cambria" w:hAnsi="Cambria"/>
      <w:b/>
      <w:bCs/>
      <w:szCs w:val="28"/>
    </w:rPr>
  </w:style>
  <w:style w:type="paragraph" w:styleId="7">
    <w:name w:val="heading 5"/>
    <w:basedOn w:val="1"/>
    <w:next w:val="1"/>
    <w:autoRedefine/>
    <w:qFormat/>
    <w:uiPriority w:val="0"/>
    <w:pPr>
      <w:keepNext/>
      <w:keepLines/>
      <w:spacing w:before="280" w:after="290" w:line="372" w:lineRule="auto"/>
      <w:outlineLvl w:val="4"/>
    </w:pPr>
    <w:rPr>
      <w:rFonts w:ascii="仿宋_GB2312" w:hAnsi="Tahoma"/>
      <w:b/>
      <w:bCs/>
      <w:sz w:val="28"/>
      <w:szCs w:val="28"/>
    </w:rPr>
  </w:style>
  <w:style w:type="paragraph" w:styleId="8">
    <w:name w:val="heading 8"/>
    <w:basedOn w:val="1"/>
    <w:next w:val="1"/>
    <w:qFormat/>
    <w:uiPriority w:val="1"/>
    <w:pPr>
      <w:ind w:left="595"/>
      <w:outlineLvl w:val="7"/>
    </w:pPr>
    <w:rPr>
      <w:rFonts w:ascii="微软雅黑" w:hAnsi="微软雅黑" w:eastAsia="微软雅黑"/>
      <w:b/>
      <w:bCs/>
      <w:sz w:val="24"/>
    </w:rPr>
  </w:style>
  <w:style w:type="character" w:default="1" w:styleId="39">
    <w:name w:val="Default Paragraph Font"/>
    <w:autoRedefine/>
    <w:qFormat/>
    <w:uiPriority w:val="0"/>
  </w:style>
  <w:style w:type="table" w:default="1" w:styleId="37">
    <w:name w:val="Normal Table"/>
    <w:autoRedefine/>
    <w:semiHidden/>
    <w:qFormat/>
    <w:uiPriority w:val="0"/>
    <w:tblPr>
      <w:tblCellMar>
        <w:top w:w="0" w:type="dxa"/>
        <w:left w:w="108" w:type="dxa"/>
        <w:bottom w:w="0" w:type="dxa"/>
        <w:right w:w="108" w:type="dxa"/>
      </w:tblCellMar>
    </w:tblPr>
  </w:style>
  <w:style w:type="paragraph" w:customStyle="1" w:styleId="2">
    <w:name w:val="无间距1"/>
    <w:qFormat/>
    <w:uiPriority w:val="0"/>
    <w:pPr>
      <w:widowControl w:val="0"/>
      <w:jc w:val="both"/>
    </w:pPr>
    <w:rPr>
      <w:rFonts w:ascii="Calibri" w:hAnsi="Calibri" w:eastAsia="微软雅黑 Light" w:cs="Times New Roman"/>
      <w:kern w:val="2"/>
      <w:sz w:val="24"/>
      <w:szCs w:val="22"/>
      <w:lang w:val="en-US" w:eastAsia="zh-CN" w:bidi="ar-SA"/>
    </w:rPr>
  </w:style>
  <w:style w:type="paragraph" w:styleId="9">
    <w:name w:val="table of authorities"/>
    <w:basedOn w:val="1"/>
    <w:next w:val="1"/>
    <w:autoRedefine/>
    <w:qFormat/>
    <w:uiPriority w:val="0"/>
    <w:pPr>
      <w:ind w:left="420" w:leftChars="200"/>
    </w:pPr>
    <w:rPr>
      <w:rFonts w:ascii="Calibri" w:hAnsi="Calibri" w:eastAsia="宋体"/>
      <w:sz w:val="24"/>
      <w:szCs w:val="22"/>
    </w:rPr>
  </w:style>
  <w:style w:type="paragraph" w:styleId="10">
    <w:name w:val="List Number"/>
    <w:basedOn w:val="1"/>
    <w:autoRedefine/>
    <w:qFormat/>
    <w:uiPriority w:val="0"/>
    <w:pPr>
      <w:widowControl/>
      <w:numPr>
        <w:ilvl w:val="0"/>
        <w:numId w:val="1"/>
      </w:numPr>
      <w:tabs>
        <w:tab w:val="left" w:pos="454"/>
        <w:tab w:val="left" w:pos="720"/>
        <w:tab w:val="left" w:pos="899"/>
        <w:tab w:val="clear" w:pos="960"/>
      </w:tabs>
      <w:spacing w:after="156" w:afterLines="50"/>
      <w:jc w:val="left"/>
    </w:pPr>
    <w:rPr>
      <w:kern w:val="0"/>
      <w:sz w:val="24"/>
      <w:szCs w:val="20"/>
    </w:rPr>
  </w:style>
  <w:style w:type="paragraph" w:styleId="11">
    <w:name w:val="Normal Indent"/>
    <w:basedOn w:val="1"/>
    <w:autoRedefine/>
    <w:qFormat/>
    <w:uiPriority w:val="0"/>
    <w:pPr>
      <w:ind w:firstLine="420"/>
    </w:pPr>
    <w:rPr>
      <w:szCs w:val="20"/>
    </w:rPr>
  </w:style>
  <w:style w:type="paragraph" w:styleId="12">
    <w:name w:val="caption"/>
    <w:basedOn w:val="1"/>
    <w:next w:val="1"/>
    <w:autoRedefine/>
    <w:qFormat/>
    <w:uiPriority w:val="0"/>
    <w:pPr>
      <w:spacing w:before="152" w:beforeLines="0" w:after="160" w:afterLines="0"/>
    </w:pPr>
    <w:rPr>
      <w:rFonts w:ascii="Arial" w:hAnsi="Arial" w:eastAsia="黑体" w:cs="Arial"/>
      <w:sz w:val="20"/>
      <w:szCs w:val="20"/>
    </w:rPr>
  </w:style>
  <w:style w:type="paragraph" w:styleId="13">
    <w:name w:val="annotation text"/>
    <w:basedOn w:val="1"/>
    <w:link w:val="52"/>
    <w:autoRedefine/>
    <w:qFormat/>
    <w:uiPriority w:val="0"/>
    <w:pPr>
      <w:jc w:val="left"/>
    </w:pPr>
    <w:rPr>
      <w:kern w:val="2"/>
      <w:sz w:val="21"/>
      <w:szCs w:val="24"/>
    </w:rPr>
  </w:style>
  <w:style w:type="paragraph" w:styleId="14">
    <w:name w:val="Body Text 3"/>
    <w:basedOn w:val="1"/>
    <w:autoRedefine/>
    <w:qFormat/>
    <w:uiPriority w:val="0"/>
    <w:pPr>
      <w:spacing w:after="120" w:afterLines="0"/>
    </w:pPr>
    <w:rPr>
      <w:sz w:val="16"/>
      <w:szCs w:val="16"/>
    </w:rPr>
  </w:style>
  <w:style w:type="paragraph" w:styleId="15">
    <w:name w:val="Body Text"/>
    <w:basedOn w:val="1"/>
    <w:next w:val="16"/>
    <w:autoRedefine/>
    <w:qFormat/>
    <w:uiPriority w:val="0"/>
    <w:pPr>
      <w:spacing w:after="120" w:afterLines="0"/>
    </w:pPr>
  </w:style>
  <w:style w:type="paragraph" w:styleId="16">
    <w:name w:val="Body Text First Indent"/>
    <w:basedOn w:val="15"/>
    <w:autoRedefine/>
    <w:qFormat/>
    <w:uiPriority w:val="0"/>
    <w:pPr>
      <w:autoSpaceDE w:val="0"/>
      <w:autoSpaceDN w:val="0"/>
      <w:adjustRightInd w:val="0"/>
      <w:spacing w:line="360" w:lineRule="auto"/>
      <w:ind w:firstLine="420" w:firstLineChars="100"/>
    </w:pPr>
    <w:rPr>
      <w:szCs w:val="24"/>
    </w:rPr>
  </w:style>
  <w:style w:type="paragraph" w:styleId="17">
    <w:name w:val="Body Text Indent"/>
    <w:basedOn w:val="1"/>
    <w:next w:val="1"/>
    <w:link w:val="51"/>
    <w:autoRedefine/>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sz w:val="24"/>
    </w:rPr>
  </w:style>
  <w:style w:type="paragraph" w:styleId="18">
    <w:name w:val="List 2"/>
    <w:basedOn w:val="1"/>
    <w:autoRedefine/>
    <w:qFormat/>
    <w:uiPriority w:val="0"/>
    <w:pPr>
      <w:ind w:left="100" w:leftChars="200" w:hanging="200" w:hangingChars="200"/>
    </w:pPr>
  </w:style>
  <w:style w:type="paragraph" w:styleId="19">
    <w:name w:val="toc 5"/>
    <w:basedOn w:val="1"/>
    <w:next w:val="1"/>
    <w:autoRedefine/>
    <w:qFormat/>
    <w:uiPriority w:val="0"/>
    <w:pPr>
      <w:ind w:left="1680" w:leftChars="800"/>
    </w:pPr>
  </w:style>
  <w:style w:type="paragraph" w:styleId="20">
    <w:name w:val="Plain Text"/>
    <w:basedOn w:val="1"/>
    <w:next w:val="1"/>
    <w:link w:val="53"/>
    <w:autoRedefine/>
    <w:qFormat/>
    <w:uiPriority w:val="0"/>
    <w:rPr>
      <w:rFonts w:ascii="宋体" w:hAnsi="Courier New" w:eastAsia="宋体"/>
      <w:kern w:val="2"/>
      <w:sz w:val="21"/>
      <w:szCs w:val="24"/>
      <w:lang w:val="en-US" w:eastAsia="zh-CN" w:bidi="ar-SA"/>
    </w:rPr>
  </w:style>
  <w:style w:type="paragraph" w:styleId="21">
    <w:name w:val="Date"/>
    <w:basedOn w:val="1"/>
    <w:next w:val="1"/>
    <w:autoRedefine/>
    <w:qFormat/>
    <w:uiPriority w:val="0"/>
    <w:pPr>
      <w:ind w:leftChars="2500"/>
    </w:pPr>
    <w:rPr>
      <w:rFonts w:eastAsia="楷体_GB2312"/>
      <w:sz w:val="32"/>
      <w:szCs w:val="20"/>
    </w:rPr>
  </w:style>
  <w:style w:type="paragraph" w:styleId="22">
    <w:name w:val="Body Text Indent 2"/>
    <w:basedOn w:val="1"/>
    <w:autoRedefine/>
    <w:qFormat/>
    <w:uiPriority w:val="0"/>
    <w:pPr>
      <w:spacing w:after="120" w:afterLines="0" w:line="480" w:lineRule="auto"/>
      <w:ind w:left="420" w:leftChars="200"/>
    </w:pPr>
  </w:style>
  <w:style w:type="paragraph" w:styleId="23">
    <w:name w:val="Balloon Text"/>
    <w:basedOn w:val="1"/>
    <w:link w:val="54"/>
    <w:autoRedefine/>
    <w:qFormat/>
    <w:uiPriority w:val="0"/>
    <w:rPr>
      <w:kern w:val="2"/>
      <w:sz w:val="18"/>
      <w:szCs w:val="18"/>
    </w:rPr>
  </w:style>
  <w:style w:type="paragraph" w:styleId="24">
    <w:name w:val="footer"/>
    <w:basedOn w:val="1"/>
    <w:link w:val="55"/>
    <w:autoRedefine/>
    <w:qFormat/>
    <w:uiPriority w:val="0"/>
    <w:pPr>
      <w:tabs>
        <w:tab w:val="center" w:pos="4153"/>
        <w:tab w:val="right" w:pos="8306"/>
      </w:tabs>
      <w:snapToGrid w:val="0"/>
      <w:jc w:val="left"/>
    </w:pPr>
    <w:rPr>
      <w:kern w:val="2"/>
      <w:sz w:val="18"/>
      <w:szCs w:val="18"/>
    </w:rPr>
  </w:style>
  <w:style w:type="paragraph" w:styleId="25">
    <w:name w:val="header"/>
    <w:basedOn w:val="1"/>
    <w:link w:val="56"/>
    <w:autoRedefine/>
    <w:qFormat/>
    <w:uiPriority w:val="0"/>
    <w:pPr>
      <w:pBdr>
        <w:bottom w:val="single" w:color="auto" w:sz="6" w:space="1"/>
      </w:pBdr>
      <w:tabs>
        <w:tab w:val="center" w:pos="4153"/>
        <w:tab w:val="right" w:pos="8306"/>
      </w:tabs>
      <w:snapToGrid w:val="0"/>
      <w:jc w:val="center"/>
    </w:pPr>
    <w:rPr>
      <w:kern w:val="2"/>
      <w:sz w:val="18"/>
      <w:szCs w:val="18"/>
    </w:rPr>
  </w:style>
  <w:style w:type="paragraph" w:styleId="26">
    <w:name w:val="toc 1"/>
    <w:basedOn w:val="1"/>
    <w:next w:val="1"/>
    <w:autoRedefine/>
    <w:unhideWhenUsed/>
    <w:qFormat/>
    <w:uiPriority w:val="39"/>
    <w:pPr>
      <w:tabs>
        <w:tab w:val="right" w:leader="dot" w:pos="8835"/>
      </w:tabs>
    </w:pPr>
    <w:rPr>
      <w:rFonts w:eastAsia="仿宋_GB2312"/>
      <w:sz w:val="32"/>
    </w:rPr>
  </w:style>
  <w:style w:type="paragraph" w:styleId="27">
    <w:name w:val="toc 4"/>
    <w:basedOn w:val="1"/>
    <w:next w:val="1"/>
    <w:autoRedefine/>
    <w:unhideWhenUsed/>
    <w:qFormat/>
    <w:uiPriority w:val="39"/>
    <w:pPr>
      <w:ind w:left="1260" w:leftChars="600"/>
    </w:pPr>
    <w:rPr>
      <w:rFonts w:ascii="Calibri" w:hAnsi="Calibri"/>
      <w:szCs w:val="22"/>
    </w:rPr>
  </w:style>
  <w:style w:type="paragraph" w:styleId="28">
    <w:name w:val="Subtitle"/>
    <w:basedOn w:val="1"/>
    <w:next w:val="1"/>
    <w:autoRedefine/>
    <w:qFormat/>
    <w:uiPriority w:val="11"/>
    <w:pPr>
      <w:widowControl/>
      <w:adjustRightInd w:val="0"/>
      <w:snapToGrid w:val="0"/>
      <w:spacing w:before="240" w:after="60" w:line="312" w:lineRule="auto"/>
      <w:jc w:val="center"/>
      <w:outlineLvl w:val="1"/>
    </w:pPr>
    <w:rPr>
      <w:rFonts w:ascii="Cambria" w:hAnsi="Cambria"/>
      <w:bCs/>
      <w:kern w:val="28"/>
      <w:sz w:val="32"/>
      <w:szCs w:val="32"/>
    </w:rPr>
  </w:style>
  <w:style w:type="paragraph" w:styleId="29">
    <w:name w:val="List"/>
    <w:basedOn w:val="1"/>
    <w:autoRedefine/>
    <w:qFormat/>
    <w:uiPriority w:val="0"/>
    <w:pPr>
      <w:ind w:left="200" w:hanging="200" w:hangingChars="200"/>
    </w:pPr>
    <w:rPr>
      <w:sz w:val="28"/>
    </w:rPr>
  </w:style>
  <w:style w:type="paragraph" w:styleId="30">
    <w:name w:val="toc 6"/>
    <w:basedOn w:val="1"/>
    <w:next w:val="1"/>
    <w:autoRedefine/>
    <w:qFormat/>
    <w:uiPriority w:val="99"/>
    <w:pPr>
      <w:widowControl/>
      <w:ind w:left="1000"/>
      <w:jc w:val="left"/>
    </w:pPr>
    <w:rPr>
      <w:kern w:val="0"/>
      <w:sz w:val="18"/>
      <w:szCs w:val="20"/>
    </w:rPr>
  </w:style>
  <w:style w:type="paragraph" w:styleId="31">
    <w:name w:val="Body Text Indent 3"/>
    <w:basedOn w:val="1"/>
    <w:autoRedefine/>
    <w:qFormat/>
    <w:uiPriority w:val="0"/>
    <w:pPr>
      <w:spacing w:line="500" w:lineRule="exact"/>
      <w:ind w:left="511" w:hanging="511" w:hangingChars="213"/>
    </w:pPr>
    <w:rPr>
      <w:sz w:val="24"/>
    </w:rPr>
  </w:style>
  <w:style w:type="paragraph" w:styleId="32">
    <w:name w:val="toc 2"/>
    <w:basedOn w:val="1"/>
    <w:next w:val="1"/>
    <w:autoRedefine/>
    <w:qFormat/>
    <w:uiPriority w:val="0"/>
    <w:pPr>
      <w:spacing w:line="360" w:lineRule="auto"/>
      <w:ind w:left="210" w:leftChars="100" w:firstLine="472" w:firstLineChars="196"/>
      <w:jc w:val="left"/>
    </w:pPr>
    <w:rPr>
      <w:rFonts w:ascii="宋体" w:hAnsi="宋体"/>
      <w:b/>
      <w:sz w:val="24"/>
    </w:rPr>
  </w:style>
  <w:style w:type="paragraph" w:styleId="33">
    <w:name w:val="Normal (Web)"/>
    <w:basedOn w:val="1"/>
    <w:autoRedefine/>
    <w:qFormat/>
    <w:uiPriority w:val="0"/>
    <w:pPr>
      <w:widowControl/>
      <w:spacing w:before="100" w:beforeLines="0" w:beforeAutospacing="1" w:after="100" w:afterLines="0" w:afterAutospacing="1"/>
      <w:jc w:val="left"/>
    </w:pPr>
    <w:rPr>
      <w:rFonts w:hint="eastAsia" w:ascii="宋体" w:hAnsi="宋体"/>
      <w:kern w:val="0"/>
      <w:sz w:val="24"/>
    </w:rPr>
  </w:style>
  <w:style w:type="paragraph" w:styleId="34">
    <w:name w:val="Title"/>
    <w:basedOn w:val="1"/>
    <w:next w:val="1"/>
    <w:autoRedefine/>
    <w:qFormat/>
    <w:uiPriority w:val="0"/>
    <w:pPr>
      <w:spacing w:before="240" w:beforeLines="0" w:after="60" w:afterLines="0"/>
      <w:jc w:val="center"/>
      <w:outlineLvl w:val="0"/>
    </w:pPr>
    <w:rPr>
      <w:rFonts w:ascii="Arial" w:hAnsi="Arial" w:cs="Arial"/>
      <w:sz w:val="32"/>
      <w:szCs w:val="32"/>
    </w:rPr>
  </w:style>
  <w:style w:type="paragraph" w:styleId="35">
    <w:name w:val="annotation subject"/>
    <w:basedOn w:val="13"/>
    <w:next w:val="13"/>
    <w:link w:val="57"/>
    <w:autoRedefine/>
    <w:qFormat/>
    <w:uiPriority w:val="0"/>
  </w:style>
  <w:style w:type="paragraph" w:styleId="36">
    <w:name w:val="Body Text First Indent 2"/>
    <w:basedOn w:val="17"/>
    <w:next w:val="16"/>
    <w:autoRedefine/>
    <w:qFormat/>
    <w:uiPriority w:val="99"/>
    <w:pPr>
      <w:spacing w:line="200" w:lineRule="atLeast"/>
      <w:ind w:firstLine="420"/>
    </w:pPr>
    <w:rPr>
      <w:rFonts w:ascii="宋体" w:hAnsi="Courier New"/>
      <w:spacing w:val="-4"/>
      <w:sz w:val="18"/>
    </w:rPr>
  </w:style>
  <w:style w:type="table" w:styleId="38">
    <w:name w:val="Table Grid"/>
    <w:basedOn w:val="3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autoRedefine/>
    <w:qFormat/>
    <w:uiPriority w:val="0"/>
    <w:rPr>
      <w:rFonts w:ascii="Times New Roman" w:hAnsi="Times New Roman" w:eastAsia="宋体" w:cs="Times New Roman"/>
      <w:b/>
      <w:bCs/>
      <w:lang w:bidi="ar-SA"/>
    </w:rPr>
  </w:style>
  <w:style w:type="character" w:styleId="41">
    <w:name w:val="page number"/>
    <w:autoRedefine/>
    <w:qFormat/>
    <w:uiPriority w:val="0"/>
  </w:style>
  <w:style w:type="character" w:styleId="42">
    <w:name w:val="Emphasis"/>
    <w:autoRedefine/>
    <w:qFormat/>
    <w:uiPriority w:val="0"/>
    <w:rPr>
      <w:rFonts w:ascii="宋体" w:hAnsi="宋体" w:eastAsia="宋体"/>
      <w:i/>
      <w:kern w:val="2"/>
      <w:sz w:val="18"/>
      <w:szCs w:val="18"/>
      <w:lang w:val="en-GB" w:eastAsia="zh-CN" w:bidi="ar-SA"/>
    </w:rPr>
  </w:style>
  <w:style w:type="character" w:styleId="43">
    <w:name w:val="Hyperlink"/>
    <w:autoRedefine/>
    <w:qFormat/>
    <w:uiPriority w:val="0"/>
    <w:rPr>
      <w:color w:val="0000FF"/>
      <w:u w:val="single"/>
    </w:rPr>
  </w:style>
  <w:style w:type="character" w:styleId="44">
    <w:name w:val="annotation reference"/>
    <w:autoRedefine/>
    <w:qFormat/>
    <w:uiPriority w:val="0"/>
    <w:rPr>
      <w:sz w:val="21"/>
      <w:szCs w:val="21"/>
    </w:rPr>
  </w:style>
  <w:style w:type="paragraph" w:customStyle="1" w:styleId="45">
    <w:name w:val="表格文字"/>
    <w:basedOn w:val="20"/>
    <w:next w:val="15"/>
    <w:autoRedefine/>
    <w:qFormat/>
    <w:uiPriority w:val="0"/>
    <w:pPr>
      <w:tabs>
        <w:tab w:val="left" w:pos="720"/>
        <w:tab w:val="left" w:pos="1260"/>
        <w:tab w:val="left" w:pos="2160"/>
        <w:tab w:val="left" w:pos="2880"/>
        <w:tab w:val="left" w:pos="3600"/>
        <w:tab w:val="left" w:pos="4320"/>
        <w:tab w:val="left" w:pos="5040"/>
        <w:tab w:val="left" w:pos="5760"/>
      </w:tabs>
      <w:adjustRightInd w:val="0"/>
      <w:spacing w:line="420" w:lineRule="atLeast"/>
      <w:jc w:val="left"/>
      <w:textAlignment w:val="baseline"/>
    </w:pPr>
    <w:rPr>
      <w:rFonts w:ascii="Times New Roman" w:hAnsi="Times New Roman" w:cs="Times New Roman"/>
      <w:kern w:val="0"/>
      <w:szCs w:val="24"/>
    </w:rPr>
  </w:style>
  <w:style w:type="paragraph" w:customStyle="1" w:styleId="46">
    <w:name w:val="sf正文"/>
    <w:basedOn w:val="1"/>
    <w:autoRedefine/>
    <w:qFormat/>
    <w:uiPriority w:val="0"/>
    <w:pPr>
      <w:adjustRightInd w:val="0"/>
      <w:snapToGrid w:val="0"/>
      <w:ind w:firstLine="200" w:firstLineChars="200"/>
      <w:jc w:val="both"/>
    </w:pPr>
    <w:rPr>
      <w:rFonts w:ascii="Arial" w:hAnsi="Arial" w:eastAsia="仿宋"/>
      <w:sz w:val="30"/>
    </w:rPr>
  </w:style>
  <w:style w:type="paragraph" w:customStyle="1" w:styleId="47">
    <w:name w:val="[Normal]"/>
    <w:autoRedefine/>
    <w:qFormat/>
    <w:uiPriority w:val="0"/>
    <w:rPr>
      <w:rFonts w:ascii="宋体" w:hAnsi="宋体" w:eastAsia="宋体" w:cs="Times New Roman"/>
      <w:sz w:val="24"/>
      <w:szCs w:val="22"/>
      <w:lang w:val="zh-CN" w:eastAsia="zh-CN" w:bidi="ar-SA"/>
    </w:rPr>
  </w:style>
  <w:style w:type="paragraph" w:customStyle="1" w:styleId="48">
    <w:name w:val="正文（首行缩进2字符）"/>
    <w:basedOn w:val="1"/>
    <w:autoRedefine/>
    <w:qFormat/>
    <w:uiPriority w:val="0"/>
    <w:pPr>
      <w:spacing w:line="360" w:lineRule="auto"/>
      <w:ind w:firstLine="420" w:firstLineChars="200"/>
    </w:pPr>
    <w:rPr>
      <w:szCs w:val="21"/>
    </w:rPr>
  </w:style>
  <w:style w:type="character" w:customStyle="1" w:styleId="49">
    <w:name w:val="标题 1 字符"/>
    <w:link w:val="3"/>
    <w:autoRedefine/>
    <w:qFormat/>
    <w:uiPriority w:val="0"/>
    <w:rPr>
      <w:b/>
      <w:bCs/>
      <w:kern w:val="44"/>
      <w:sz w:val="44"/>
      <w:szCs w:val="44"/>
    </w:rPr>
  </w:style>
  <w:style w:type="character" w:customStyle="1" w:styleId="50">
    <w:name w:val="标题 2 字符"/>
    <w:link w:val="4"/>
    <w:autoRedefine/>
    <w:qFormat/>
    <w:uiPriority w:val="0"/>
    <w:rPr>
      <w:rFonts w:ascii="Cambria" w:hAnsi="Cambria"/>
      <w:b/>
      <w:bCs/>
      <w:kern w:val="2"/>
      <w:sz w:val="32"/>
      <w:szCs w:val="32"/>
    </w:rPr>
  </w:style>
  <w:style w:type="character" w:customStyle="1" w:styleId="51">
    <w:name w:val="正文文本缩进 字符"/>
    <w:link w:val="17"/>
    <w:autoRedefine/>
    <w:qFormat/>
    <w:uiPriority w:val="0"/>
    <w:rPr>
      <w:rFonts w:ascii="宋体"/>
      <w:color w:val="000000"/>
      <w:sz w:val="24"/>
    </w:rPr>
  </w:style>
  <w:style w:type="character" w:customStyle="1" w:styleId="52">
    <w:name w:val="批注文字 字符"/>
    <w:link w:val="13"/>
    <w:autoRedefine/>
    <w:qFormat/>
    <w:uiPriority w:val="0"/>
    <w:rPr>
      <w:kern w:val="2"/>
      <w:sz w:val="21"/>
      <w:szCs w:val="24"/>
    </w:rPr>
  </w:style>
  <w:style w:type="character" w:customStyle="1" w:styleId="53">
    <w:name w:val="纯文本 字符"/>
    <w:link w:val="20"/>
    <w:autoRedefine/>
    <w:qFormat/>
    <w:uiPriority w:val="0"/>
    <w:rPr>
      <w:rFonts w:ascii="宋体" w:hAnsi="Courier New" w:eastAsia="宋体"/>
      <w:kern w:val="2"/>
      <w:sz w:val="21"/>
      <w:szCs w:val="24"/>
      <w:lang w:val="en-US" w:eastAsia="zh-CN" w:bidi="ar-SA"/>
    </w:rPr>
  </w:style>
  <w:style w:type="character" w:customStyle="1" w:styleId="54">
    <w:name w:val="批注框文本 字符"/>
    <w:link w:val="23"/>
    <w:autoRedefine/>
    <w:qFormat/>
    <w:uiPriority w:val="0"/>
    <w:rPr>
      <w:kern w:val="2"/>
      <w:sz w:val="18"/>
      <w:szCs w:val="18"/>
    </w:rPr>
  </w:style>
  <w:style w:type="character" w:customStyle="1" w:styleId="55">
    <w:name w:val="页脚 字符"/>
    <w:link w:val="24"/>
    <w:autoRedefine/>
    <w:qFormat/>
    <w:uiPriority w:val="0"/>
    <w:rPr>
      <w:kern w:val="2"/>
      <w:sz w:val="18"/>
      <w:szCs w:val="18"/>
    </w:rPr>
  </w:style>
  <w:style w:type="character" w:customStyle="1" w:styleId="56">
    <w:name w:val="页眉 字符"/>
    <w:link w:val="25"/>
    <w:autoRedefine/>
    <w:qFormat/>
    <w:uiPriority w:val="0"/>
    <w:rPr>
      <w:kern w:val="2"/>
      <w:sz w:val="18"/>
      <w:szCs w:val="18"/>
    </w:rPr>
  </w:style>
  <w:style w:type="character" w:customStyle="1" w:styleId="57">
    <w:name w:val="批注主题 字符"/>
    <w:link w:val="35"/>
    <w:autoRedefine/>
    <w:qFormat/>
    <w:uiPriority w:val="0"/>
  </w:style>
  <w:style w:type="paragraph" w:customStyle="1" w:styleId="58">
    <w:name w:val="正文首行缩进 21"/>
    <w:basedOn w:val="17"/>
    <w:next w:val="59"/>
    <w:link w:val="60"/>
    <w:autoRedefine/>
    <w:qFormat/>
    <w:uiPriority w:val="0"/>
    <w:pPr>
      <w:tabs>
        <w:tab w:val="clear" w:pos="720"/>
        <w:tab w:val="clear" w:pos="1260"/>
        <w:tab w:val="clear" w:pos="2160"/>
        <w:tab w:val="clear" w:pos="2880"/>
        <w:tab w:val="clear" w:pos="3600"/>
        <w:tab w:val="clear" w:pos="4320"/>
        <w:tab w:val="clear" w:pos="5040"/>
        <w:tab w:val="clear" w:pos="5760"/>
      </w:tabs>
      <w:autoSpaceDE/>
      <w:autoSpaceDN/>
      <w:adjustRightInd/>
      <w:spacing w:after="120" w:afterLines="0" w:line="240" w:lineRule="auto"/>
      <w:ind w:left="420" w:leftChars="200" w:right="0" w:rightChars="0" w:firstLine="420" w:firstLineChars="200"/>
      <w:jc w:val="both"/>
    </w:pPr>
    <w:rPr>
      <w:rFonts w:ascii="宋体"/>
      <w:color w:val="000000"/>
      <w:kern w:val="2"/>
      <w:sz w:val="21"/>
      <w:szCs w:val="24"/>
    </w:rPr>
  </w:style>
  <w:style w:type="paragraph" w:customStyle="1" w:styleId="59">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character" w:customStyle="1" w:styleId="60">
    <w:name w:val="正文文本首行缩进 2 字符"/>
    <w:link w:val="58"/>
    <w:autoRedefine/>
    <w:qFormat/>
    <w:uiPriority w:val="0"/>
    <w:rPr>
      <w:rFonts w:ascii="宋体"/>
      <w:color w:val="000000"/>
      <w:kern w:val="2"/>
      <w:sz w:val="21"/>
      <w:szCs w:val="24"/>
    </w:rPr>
  </w:style>
  <w:style w:type="character" w:customStyle="1" w:styleId="61">
    <w:name w:val="font61"/>
    <w:basedOn w:val="39"/>
    <w:autoRedefine/>
    <w:qFormat/>
    <w:uiPriority w:val="0"/>
    <w:rPr>
      <w:rFonts w:hint="eastAsia" w:ascii="宋体" w:hAnsi="宋体" w:eastAsia="宋体"/>
      <w:b/>
      <w:bCs/>
      <w:color w:val="000000"/>
      <w:sz w:val="21"/>
      <w:szCs w:val="21"/>
      <w:u w:val="none"/>
    </w:rPr>
  </w:style>
  <w:style w:type="paragraph" w:customStyle="1" w:styleId="62">
    <w:name w:val="样式 标题 3 + (中文) 黑体 小四 非加粗 段前: 7.8 磅 段后: 0 磅 行距: 固定值 20 磅"/>
    <w:basedOn w:val="5"/>
    <w:autoRedefine/>
    <w:qFormat/>
    <w:uiPriority w:val="0"/>
    <w:pPr>
      <w:spacing w:line="400" w:lineRule="exact"/>
    </w:pPr>
    <w:rPr>
      <w:rFonts w:eastAsia="黑体" w:cs="宋体"/>
      <w:b w:val="0"/>
      <w:bCs w:val="0"/>
      <w:szCs w:val="20"/>
    </w:rPr>
  </w:style>
  <w:style w:type="paragraph" w:customStyle="1" w:styleId="63">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1"/>
    <w:basedOn w:val="1"/>
    <w:autoRedefine/>
    <w:qFormat/>
    <w:uiPriority w:val="0"/>
    <w:pPr>
      <w:ind w:firstLine="600" w:firstLineChars="200"/>
      <w:jc w:val="left"/>
    </w:pPr>
    <w:rPr>
      <w:rFonts w:ascii="Times New Roman" w:hAnsi="Times New Roman" w:eastAsia="仿宋_GB2312" w:cs="Times New Roman"/>
      <w:sz w:val="30"/>
      <w:szCs w:val="30"/>
    </w:rPr>
  </w:style>
  <w:style w:type="paragraph" w:customStyle="1" w:styleId="65">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Char"/>
    <w:basedOn w:val="1"/>
    <w:autoRedefine/>
    <w:qFormat/>
    <w:uiPriority w:val="0"/>
  </w:style>
  <w:style w:type="paragraph" w:customStyle="1" w:styleId="67">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样式 首行缩进:  2 字符"/>
    <w:basedOn w:val="1"/>
    <w:autoRedefine/>
    <w:qFormat/>
    <w:uiPriority w:val="0"/>
    <w:pPr>
      <w:tabs>
        <w:tab w:val="left" w:pos="3465"/>
        <w:tab w:val="left" w:pos="3600"/>
        <w:tab w:val="left" w:pos="3675"/>
      </w:tabs>
      <w:spacing w:line="430" w:lineRule="exact"/>
      <w:jc w:val="left"/>
    </w:pPr>
    <w:rPr>
      <w:rFonts w:eastAsia="仿宋_GB2312"/>
      <w:sz w:val="28"/>
      <w:szCs w:val="20"/>
    </w:rPr>
  </w:style>
  <w:style w:type="paragraph" w:customStyle="1" w:styleId="69">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70">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列出段落21"/>
    <w:basedOn w:val="1"/>
    <w:autoRedefine/>
    <w:qFormat/>
    <w:uiPriority w:val="0"/>
    <w:pPr>
      <w:ind w:firstLine="420" w:firstLineChars="200"/>
    </w:pPr>
    <w:rPr>
      <w:rFonts w:ascii="Calibri" w:hAnsi="Calibri" w:cs="黑体"/>
      <w:szCs w:val="22"/>
    </w:rPr>
  </w:style>
  <w:style w:type="paragraph" w:styleId="72">
    <w:name w:val="List Paragraph"/>
    <w:basedOn w:val="1"/>
    <w:autoRedefine/>
    <w:qFormat/>
    <w:uiPriority w:val="0"/>
    <w:pPr>
      <w:ind w:firstLine="420" w:firstLineChars="200"/>
    </w:pPr>
    <w:rPr>
      <w:rFonts w:ascii="Calibri" w:hAnsi="Calibri" w:eastAsia="宋体" w:cs="Times New Roman"/>
      <w:szCs w:val="22"/>
    </w:rPr>
  </w:style>
  <w:style w:type="paragraph" w:customStyle="1" w:styleId="73">
    <w:name w:val="正文_14"/>
    <w:autoRedefine/>
    <w:qFormat/>
    <w:uiPriority w:val="0"/>
    <w:rPr>
      <w:rFonts w:ascii="Times New Roman" w:hAnsi="Times New Roman" w:eastAsia="宋体" w:cs="Times New Roman"/>
      <w:sz w:val="21"/>
      <w:lang w:val="en-US" w:eastAsia="zh-CN" w:bidi="ar-SA"/>
    </w:rPr>
  </w:style>
  <w:style w:type="paragraph" w:customStyle="1" w:styleId="74">
    <w:name w:val="p0"/>
    <w:basedOn w:val="1"/>
    <w:autoRedefine/>
    <w:qFormat/>
    <w:uiPriority w:val="0"/>
    <w:pPr>
      <w:widowControl/>
    </w:pPr>
    <w:rPr>
      <w:rFonts w:ascii="仿宋_GB2312" w:hAnsi="宋体" w:eastAsia="仿宋_GB2312" w:cs="宋体"/>
      <w:b/>
      <w:bCs/>
      <w:color w:val="000000"/>
      <w:kern w:val="0"/>
      <w:szCs w:val="21"/>
    </w:rPr>
  </w:style>
  <w:style w:type="paragraph" w:customStyle="1" w:styleId="75">
    <w:name w:val="默认段落字体 Para Char Char Char Char Char Char Char Char Char1 Char Char Char Char"/>
    <w:basedOn w:val="1"/>
    <w:autoRedefine/>
    <w:qFormat/>
    <w:uiPriority w:val="0"/>
    <w:rPr>
      <w:rFonts w:ascii="Tahoma" w:hAnsi="Tahoma"/>
      <w:sz w:val="24"/>
      <w:szCs w:val="20"/>
    </w:rPr>
  </w:style>
  <w:style w:type="paragraph" w:customStyle="1" w:styleId="76">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 Char"/>
    <w:basedOn w:val="1"/>
    <w:autoRedefine/>
    <w:qFormat/>
    <w:uiPriority w:val="0"/>
  </w:style>
  <w:style w:type="paragraph" w:customStyle="1" w:styleId="78">
    <w:name w:val="正文文本缩进1"/>
    <w:basedOn w:val="1"/>
    <w:autoRedefine/>
    <w:qFormat/>
    <w:uiPriority w:val="0"/>
    <w:pPr>
      <w:spacing w:line="360" w:lineRule="auto"/>
      <w:ind w:firstLine="435"/>
    </w:pPr>
    <w:rPr>
      <w:sz w:val="28"/>
      <w:szCs w:val="24"/>
    </w:rPr>
  </w:style>
  <w:style w:type="paragraph" w:customStyle="1" w:styleId="79">
    <w:name w:val="No Spacing"/>
    <w:autoRedefine/>
    <w:qFormat/>
    <w:uiPriority w:val="0"/>
    <w:pPr>
      <w:adjustRightInd w:val="0"/>
      <w:snapToGrid w:val="0"/>
    </w:pPr>
    <w:rPr>
      <w:rFonts w:ascii="Tahoma" w:hAnsi="Tahoma" w:eastAsia="微软雅黑" w:cs="Times New Roman"/>
      <w:sz w:val="22"/>
      <w:szCs w:val="22"/>
      <w:lang w:val="en-US" w:eastAsia="zh-CN" w:bidi="ar-SA"/>
    </w:rPr>
  </w:style>
  <w:style w:type="paragraph" w:customStyle="1" w:styleId="80">
    <w:name w:val="Table Paragraph"/>
    <w:basedOn w:val="1"/>
    <w:autoRedefine/>
    <w:qFormat/>
    <w:uiPriority w:val="1"/>
    <w:rPr>
      <w:rFonts w:ascii="宋体" w:hAnsi="宋体" w:eastAsia="宋体" w:cs="宋体"/>
      <w:lang w:val="zh-CN" w:eastAsia="zh-CN" w:bidi="zh-CN"/>
    </w:rPr>
  </w:style>
  <w:style w:type="paragraph" w:customStyle="1" w:styleId="81">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zw"/>
    <w:basedOn w:val="1"/>
    <w:autoRedefine/>
    <w:qFormat/>
    <w:uiPriority w:val="0"/>
    <w:pPr>
      <w:widowControl/>
      <w:spacing w:before="30" w:beforeLines="0"/>
      <w:ind w:left="100" w:right="100"/>
    </w:pPr>
    <w:rPr>
      <w:rFonts w:ascii="方正书宋简体" w:hAnsi="宋体" w:eastAsia="方正书宋简体"/>
      <w:color w:val="000000"/>
      <w:kern w:val="0"/>
      <w:szCs w:val="21"/>
    </w:rPr>
  </w:style>
  <w:style w:type="paragraph" w:customStyle="1" w:styleId="83">
    <w:name w:val="reader-word-layer"/>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84">
    <w:name w:val="列出段落1"/>
    <w:basedOn w:val="1"/>
    <w:autoRedefine/>
    <w:qFormat/>
    <w:uiPriority w:val="0"/>
    <w:pPr>
      <w:ind w:firstLine="420" w:firstLineChars="200"/>
    </w:pPr>
    <w:rPr>
      <w:rFonts w:ascii="Calibri" w:hAnsi="Calibri"/>
      <w:kern w:val="0"/>
      <w:szCs w:val="20"/>
    </w:rPr>
  </w:style>
  <w:style w:type="paragraph" w:customStyle="1" w:styleId="85">
    <w:name w:val="无间隔1"/>
    <w:autoRedefine/>
    <w:qFormat/>
    <w:uiPriority w:val="0"/>
    <w:pPr>
      <w:adjustRightInd w:val="0"/>
      <w:snapToGrid w:val="0"/>
    </w:pPr>
    <w:rPr>
      <w:rFonts w:ascii="Tahoma" w:hAnsi="Tahoma" w:eastAsia="微软雅黑" w:cs="Times New Roman"/>
      <w:sz w:val="22"/>
      <w:szCs w:val="22"/>
      <w:lang w:val="en-US" w:eastAsia="zh-CN" w:bidi="ar-SA"/>
    </w:rPr>
  </w:style>
  <w:style w:type="paragraph" w:customStyle="1" w:styleId="86">
    <w:name w:val="列出段落3"/>
    <w:basedOn w:val="1"/>
    <w:autoRedefine/>
    <w:qFormat/>
    <w:uiPriority w:val="0"/>
    <w:pPr>
      <w:ind w:firstLine="420" w:firstLineChars="200"/>
    </w:pPr>
    <w:rPr>
      <w:rFonts w:ascii="Calibri" w:hAnsi="Calibri"/>
    </w:rPr>
  </w:style>
  <w:style w:type="paragraph" w:customStyle="1" w:styleId="87">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img"/>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89">
    <w:name w:val="文章正文"/>
    <w:basedOn w:val="1"/>
    <w:autoRedefine/>
    <w:qFormat/>
    <w:uiPriority w:val="0"/>
    <w:pPr>
      <w:spacing w:line="360" w:lineRule="auto"/>
      <w:ind w:firstLine="560" w:firstLineChars="200"/>
    </w:pPr>
    <w:rPr>
      <w:rFonts w:eastAsia="仿宋_GB2312"/>
      <w:kern w:val="0"/>
      <w:sz w:val="28"/>
      <w:szCs w:val="24"/>
    </w:rPr>
  </w:style>
  <w:style w:type="paragraph" w:customStyle="1" w:styleId="90">
    <w:name w:val="样式3"/>
    <w:basedOn w:val="1"/>
    <w:autoRedefine/>
    <w:qFormat/>
    <w:uiPriority w:val="0"/>
    <w:pPr>
      <w:widowControl/>
      <w:numPr>
        <w:ilvl w:val="0"/>
        <w:numId w:val="2"/>
      </w:numPr>
      <w:jc w:val="center"/>
      <w:textAlignment w:val="center"/>
    </w:pPr>
    <w:rPr>
      <w:rFonts w:hint="eastAsia" w:ascii="宋体" w:hAnsi="宋体" w:eastAsia="宋体" w:cs="宋体"/>
      <w:color w:val="auto"/>
      <w:kern w:val="0"/>
      <w:szCs w:val="21"/>
      <w:lang w:bidi="ar"/>
    </w:rPr>
  </w:style>
  <w:style w:type="paragraph" w:customStyle="1" w:styleId="91">
    <w:name w:val="DAS正文"/>
    <w:basedOn w:val="1"/>
    <w:autoRedefine/>
    <w:qFormat/>
    <w:uiPriority w:val="0"/>
    <w:pPr>
      <w:spacing w:line="360" w:lineRule="auto"/>
      <w:ind w:right="181" w:firstLine="480" w:firstLineChars="200"/>
    </w:pPr>
    <w:rPr>
      <w:rFonts w:ascii="Verdana" w:hAnsi="Verdana"/>
    </w:rPr>
  </w:style>
  <w:style w:type="paragraph" w:customStyle="1" w:styleId="92">
    <w:name w:val="一级标题"/>
    <w:basedOn w:val="1"/>
    <w:next w:val="15"/>
    <w:autoRedefine/>
    <w:qFormat/>
    <w:uiPriority w:val="0"/>
    <w:pPr>
      <w:outlineLvl w:val="0"/>
    </w:pPr>
    <w:rPr>
      <w:b/>
      <w:bCs/>
      <w:sz w:val="32"/>
    </w:rPr>
  </w:style>
  <w:style w:type="paragraph" w:customStyle="1" w:styleId="93">
    <w:name w:val="Other|1"/>
    <w:basedOn w:val="1"/>
    <w:autoRedefine/>
    <w:qFormat/>
    <w:uiPriority w:val="0"/>
    <w:pPr>
      <w:widowControl w:val="0"/>
      <w:shd w:val="clear" w:color="auto" w:fill="auto"/>
    </w:pPr>
    <w:rPr>
      <w:sz w:val="10"/>
      <w:szCs w:val="10"/>
      <w:u w:val="none"/>
      <w:shd w:val="clear" w:color="auto" w:fill="auto"/>
      <w:lang w:val="zh-TW" w:eastAsia="zh-TW" w:bidi="zh-TW"/>
    </w:rPr>
  </w:style>
  <w:style w:type="paragraph" w:customStyle="1" w:styleId="94">
    <w:name w:val="sf表格标题"/>
    <w:basedOn w:val="1"/>
    <w:next w:val="1"/>
    <w:autoRedefine/>
    <w:qFormat/>
    <w:uiPriority w:val="0"/>
    <w:pPr>
      <w:widowControl w:val="0"/>
      <w:adjustRightInd w:val="0"/>
      <w:snapToGrid w:val="0"/>
      <w:spacing w:line="240" w:lineRule="auto"/>
      <w:jc w:val="center"/>
    </w:pPr>
    <w:rPr>
      <w:rFonts w:ascii="Arial" w:hAnsi="Arial" w:eastAsia="仿宋"/>
      <w:sz w:val="28"/>
    </w:rPr>
  </w:style>
  <w:style w:type="character" w:customStyle="1" w:styleId="95">
    <w:name w:val="font71"/>
    <w:basedOn w:val="39"/>
    <w:autoRedefine/>
    <w:qFormat/>
    <w:uiPriority w:val="0"/>
    <w:rPr>
      <w:rFonts w:hint="eastAsia" w:ascii="宋体" w:hAnsi="宋体" w:eastAsia="宋体" w:cs="宋体"/>
      <w:b/>
      <w:bCs/>
      <w:color w:val="000000"/>
      <w:sz w:val="21"/>
      <w:szCs w:val="21"/>
      <w:u w:val="none"/>
    </w:rPr>
  </w:style>
  <w:style w:type="character" w:customStyle="1" w:styleId="96">
    <w:name w:val="font11"/>
    <w:basedOn w:val="39"/>
    <w:autoRedefine/>
    <w:qFormat/>
    <w:uiPriority w:val="0"/>
    <w:rPr>
      <w:rFonts w:hint="eastAsia" w:ascii="宋体" w:hAnsi="宋体" w:eastAsia="宋体" w:cs="宋体"/>
      <w:color w:val="000000"/>
      <w:sz w:val="21"/>
      <w:szCs w:val="21"/>
      <w:u w:val="none"/>
    </w:rPr>
  </w:style>
  <w:style w:type="character" w:customStyle="1" w:styleId="97">
    <w:name w:val="font31"/>
    <w:basedOn w:val="39"/>
    <w:autoRedefine/>
    <w:qFormat/>
    <w:uiPriority w:val="0"/>
    <w:rPr>
      <w:rFonts w:hint="eastAsia" w:ascii="宋体" w:hAnsi="宋体" w:eastAsia="宋体" w:cs="宋体"/>
      <w:b/>
      <w:bCs/>
      <w:color w:val="000000"/>
      <w:sz w:val="21"/>
      <w:szCs w:val="21"/>
      <w:u w:val="none"/>
    </w:rPr>
  </w:style>
  <w:style w:type="character" w:customStyle="1" w:styleId="98">
    <w:name w:val="font01"/>
    <w:basedOn w:val="39"/>
    <w:autoRedefine/>
    <w:qFormat/>
    <w:uiPriority w:val="0"/>
    <w:rPr>
      <w:rFonts w:hint="eastAsia" w:ascii="宋体" w:hAnsi="宋体" w:eastAsia="宋体" w:cs="宋体"/>
      <w:b/>
      <w:bCs/>
      <w:color w:val="000000"/>
      <w:sz w:val="21"/>
      <w:szCs w:val="21"/>
      <w:u w:val="none"/>
    </w:rPr>
  </w:style>
  <w:style w:type="character" w:customStyle="1" w:styleId="99">
    <w:name w:val="NormalCharacter"/>
    <w:autoRedefine/>
    <w:qFormat/>
    <w:uiPriority w:val="0"/>
    <w:rPr>
      <w:kern w:val="2"/>
      <w:sz w:val="21"/>
      <w:szCs w:val="24"/>
      <w:lang w:val="en-US" w:eastAsia="zh-CN" w:bidi="ar-SA"/>
    </w:rPr>
  </w:style>
  <w:style w:type="paragraph" w:customStyle="1" w:styleId="100">
    <w:name w:val="首行缩进"/>
    <w:basedOn w:val="1"/>
    <w:qFormat/>
    <w:uiPriority w:val="0"/>
    <w:pPr>
      <w:spacing w:line="360" w:lineRule="auto"/>
      <w:ind w:firstLine="480" w:firstLineChars="200"/>
    </w:pPr>
    <w:rPr>
      <w:sz w:val="24"/>
      <w:lang w:val="zh-CN"/>
    </w:rPr>
  </w:style>
  <w:style w:type="paragraph" w:customStyle="1" w:styleId="101">
    <w:name w:val="列出段落2"/>
    <w:autoRedefine/>
    <w:qFormat/>
    <w:uiPriority w:val="0"/>
    <w:pPr>
      <w:widowControl w:val="0"/>
      <w:ind w:firstLine="420"/>
      <w:jc w:val="both"/>
    </w:pPr>
    <w:rPr>
      <w:rFonts w:ascii="Times New Roman" w:hAnsi="Times New Roman" w:eastAsia="Calibri" w:cs="Calibri"/>
      <w:color w:val="000000"/>
      <w:kern w:val="2"/>
      <w:sz w:val="24"/>
      <w:szCs w:val="24"/>
      <w:lang w:val="en-US" w:eastAsia="zh-CN" w:bidi="ar-SA"/>
    </w:rPr>
  </w:style>
  <w:style w:type="paragraph" w:customStyle="1" w:styleId="102">
    <w:name w:val="_Style 2"/>
    <w:qFormat/>
    <w:uiPriority w:val="99"/>
    <w:pPr>
      <w:adjustRightInd w:val="0"/>
      <w:snapToGrid w:val="0"/>
    </w:pPr>
    <w:rPr>
      <w:rFonts w:ascii="Tahoma" w:hAnsi="Tahoma" w:eastAsia="微软雅黑" w:cs="Tahoma"/>
      <w:sz w:val="22"/>
      <w:szCs w:val="22"/>
      <w:lang w:val="en-US" w:eastAsia="zh-CN" w:bidi="ar-SA"/>
    </w:rPr>
  </w:style>
  <w:style w:type="table" w:customStyle="1" w:styleId="103">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53</Pages>
  <Words>6461</Words>
  <Characters>7036</Characters>
  <Lines>218</Lines>
  <Paragraphs>61</Paragraphs>
  <TotalTime>19</TotalTime>
  <ScaleCrop>false</ScaleCrop>
  <LinksUpToDate>false</LinksUpToDate>
  <CharactersWithSpaces>7337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2021-12-01T03:17:00Z</dcterms:created>
  <dc:creator>dell</dc:creator>
  <cp:lastModifiedBy>LF</cp:lastModifiedBy>
  <cp:lastPrinted>2021-11-30T02:20:00Z</cp:lastPrinted>
  <dcterms:modified xsi:type="dcterms:W3CDTF">2024-10-31T01:34:32Z</dcterms:modified>
  <dc:title>玉环市政府采购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2BF940B1D8634F00B9886C21C80AD436_13</vt:lpwstr>
  </property>
</Properties>
</file>