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38306">
      <w:pPr>
        <w:tabs>
          <w:tab w:val="left" w:pos="1069"/>
          <w:tab w:val="left" w:pos="2352"/>
        </w:tabs>
        <w:jc w:val="center"/>
        <w:rPr>
          <w:rFonts w:hint="eastAsia" w:ascii="宋体" w:hAnsi="宋体" w:cs="宋体"/>
          <w:b/>
          <w:bCs/>
          <w:color w:val="auto"/>
          <w:spacing w:val="100"/>
          <w:sz w:val="72"/>
          <w:szCs w:val="72"/>
          <w:highlight w:val="none"/>
        </w:rPr>
      </w:pPr>
    </w:p>
    <w:p w14:paraId="13A3CC3F">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14:paraId="254B6344">
      <w:pPr>
        <w:tabs>
          <w:tab w:val="left" w:pos="1069"/>
          <w:tab w:val="left" w:pos="2352"/>
        </w:tabs>
        <w:jc w:val="center"/>
        <w:rPr>
          <w:rFonts w:ascii="宋体" w:hAnsi="宋体" w:cs="宋体"/>
          <w:b/>
          <w:bCs/>
          <w:color w:val="auto"/>
          <w:kern w:val="0"/>
          <w:szCs w:val="24"/>
          <w:highlight w:val="none"/>
        </w:rPr>
      </w:pPr>
    </w:p>
    <w:p w14:paraId="33B8FD51">
      <w:pPr>
        <w:pStyle w:val="30"/>
        <w:tabs>
          <w:tab w:val="left" w:pos="1069"/>
          <w:tab w:val="left" w:pos="2352"/>
        </w:tabs>
        <w:rPr>
          <w:rFonts w:ascii="宋体" w:hAnsi="宋体" w:cs="宋体"/>
          <w:color w:val="auto"/>
          <w:highlight w:val="none"/>
        </w:rPr>
      </w:pPr>
    </w:p>
    <w:p w14:paraId="5D12A23A">
      <w:pPr>
        <w:tabs>
          <w:tab w:val="left" w:pos="1069"/>
          <w:tab w:val="left" w:pos="2352"/>
        </w:tabs>
        <w:jc w:val="center"/>
        <w:rPr>
          <w:rFonts w:ascii="宋体" w:hAnsi="宋体" w:cs="宋体"/>
          <w:b/>
          <w:bCs/>
          <w:color w:val="auto"/>
          <w:kern w:val="0"/>
          <w:szCs w:val="24"/>
          <w:highlight w:val="none"/>
        </w:rPr>
      </w:pPr>
    </w:p>
    <w:p w14:paraId="104ABC0D">
      <w:pPr>
        <w:tabs>
          <w:tab w:val="left" w:pos="1069"/>
          <w:tab w:val="left" w:pos="2352"/>
        </w:tabs>
        <w:jc w:val="center"/>
        <w:rPr>
          <w:rFonts w:ascii="宋体" w:hAnsi="宋体" w:cs="宋体"/>
          <w:b/>
          <w:bCs/>
          <w:color w:val="auto"/>
          <w:kern w:val="0"/>
          <w:szCs w:val="24"/>
          <w:highlight w:val="none"/>
        </w:rPr>
      </w:pPr>
    </w:p>
    <w:p w14:paraId="79690C53">
      <w:pPr>
        <w:pStyle w:val="7"/>
        <w:tabs>
          <w:tab w:val="left" w:pos="1069"/>
          <w:tab w:val="left" w:pos="2352"/>
        </w:tabs>
        <w:rPr>
          <w:rFonts w:ascii="宋体" w:hAnsi="宋体" w:cs="宋体"/>
          <w:b/>
          <w:color w:val="auto"/>
          <w:szCs w:val="24"/>
          <w:highlight w:val="none"/>
        </w:rPr>
      </w:pPr>
    </w:p>
    <w:p w14:paraId="6FB519CF">
      <w:pPr>
        <w:pStyle w:val="7"/>
        <w:tabs>
          <w:tab w:val="left" w:pos="1069"/>
          <w:tab w:val="left" w:pos="2352"/>
        </w:tabs>
        <w:rPr>
          <w:rFonts w:ascii="宋体" w:hAnsi="宋体" w:cs="宋体"/>
          <w:b/>
          <w:color w:val="auto"/>
          <w:szCs w:val="24"/>
          <w:highlight w:val="none"/>
        </w:rPr>
      </w:pPr>
    </w:p>
    <w:p w14:paraId="2B016FB5">
      <w:pPr>
        <w:pStyle w:val="7"/>
        <w:tabs>
          <w:tab w:val="left" w:pos="1069"/>
          <w:tab w:val="left" w:pos="2352"/>
        </w:tabs>
        <w:rPr>
          <w:rFonts w:ascii="宋体" w:hAnsi="宋体" w:cs="宋体"/>
          <w:b/>
          <w:color w:val="auto"/>
          <w:szCs w:val="24"/>
          <w:highlight w:val="none"/>
        </w:rPr>
      </w:pPr>
    </w:p>
    <w:p w14:paraId="18139597">
      <w:pPr>
        <w:pStyle w:val="7"/>
        <w:tabs>
          <w:tab w:val="left" w:pos="1069"/>
          <w:tab w:val="left" w:pos="2352"/>
        </w:tabs>
        <w:rPr>
          <w:rFonts w:ascii="宋体" w:hAnsi="宋体" w:cs="宋体"/>
          <w:b/>
          <w:color w:val="auto"/>
          <w:szCs w:val="24"/>
          <w:highlight w:val="none"/>
        </w:rPr>
      </w:pPr>
    </w:p>
    <w:p w14:paraId="1F9EB4BF">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14:paraId="16688A62">
      <w:pPr>
        <w:tabs>
          <w:tab w:val="left" w:pos="1069"/>
          <w:tab w:val="left" w:pos="2352"/>
        </w:tabs>
        <w:jc w:val="center"/>
        <w:rPr>
          <w:rFonts w:ascii="宋体" w:hAnsi="宋体" w:cs="宋体"/>
          <w:b/>
          <w:color w:val="auto"/>
          <w:sz w:val="36"/>
          <w:szCs w:val="36"/>
          <w:highlight w:val="none"/>
        </w:rPr>
      </w:pPr>
    </w:p>
    <w:p w14:paraId="0C4F3CAF">
      <w:pPr>
        <w:tabs>
          <w:tab w:val="left" w:pos="1069"/>
          <w:tab w:val="left" w:pos="2352"/>
        </w:tabs>
        <w:jc w:val="center"/>
        <w:rPr>
          <w:rFonts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6A73FCD5">
      <w:pPr>
        <w:pStyle w:val="18"/>
        <w:tabs>
          <w:tab w:val="left" w:pos="2352"/>
        </w:tabs>
        <w:rPr>
          <w:color w:val="auto"/>
          <w:highlight w:val="none"/>
        </w:rPr>
      </w:pPr>
    </w:p>
    <w:tbl>
      <w:tblPr>
        <w:tblStyle w:val="26"/>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14:paraId="04FA33A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3809C74E">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14:paraId="4FF90508">
            <w:pPr>
              <w:tabs>
                <w:tab w:val="left" w:pos="1069"/>
                <w:tab w:val="left" w:pos="2139"/>
                <w:tab w:val="left" w:pos="2352"/>
              </w:tabs>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TSCG202502003</w:t>
            </w:r>
          </w:p>
        </w:tc>
      </w:tr>
      <w:tr w14:paraId="6A6D317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tcBorders>
              <w:top w:val="dashSmallGap" w:color="auto" w:sz="4" w:space="0"/>
              <w:left w:val="dashSmallGap" w:color="auto" w:sz="4" w:space="0"/>
              <w:right w:val="dashSmallGap" w:color="auto" w:sz="4" w:space="0"/>
            </w:tcBorders>
            <w:vAlign w:val="center"/>
          </w:tcPr>
          <w:p w14:paraId="6898FF99">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tcBorders>
              <w:top w:val="dashSmallGap" w:color="auto" w:sz="4" w:space="0"/>
              <w:left w:val="dashSmallGap" w:color="auto" w:sz="4" w:space="0"/>
              <w:right w:val="dashSmallGap" w:color="auto" w:sz="4" w:space="0"/>
            </w:tcBorders>
            <w:vAlign w:val="center"/>
          </w:tcPr>
          <w:p w14:paraId="76EF4BE8">
            <w:pPr>
              <w:tabs>
                <w:tab w:val="left" w:pos="1069"/>
                <w:tab w:val="left" w:pos="2139"/>
                <w:tab w:val="left" w:pos="2352"/>
              </w:tabs>
              <w:rPr>
                <w:rFonts w:hint="eastAsia" w:ascii="宋体" w:hAnsi="宋体" w:eastAsia="宋体" w:cs="宋体"/>
                <w:b/>
                <w:color w:val="auto"/>
                <w:sz w:val="30"/>
                <w:szCs w:val="30"/>
                <w:highlight w:val="none"/>
                <w:lang w:eastAsia="zh-CN"/>
              </w:rPr>
            </w:pPr>
            <w:r>
              <w:rPr>
                <w:rFonts w:hint="eastAsia" w:ascii="宋体" w:hAnsi="宋体" w:cs="宋体"/>
                <w:b/>
                <w:bCs/>
                <w:color w:val="auto"/>
                <w:sz w:val="30"/>
                <w:szCs w:val="30"/>
                <w:highlight w:val="none"/>
                <w:lang w:eastAsia="zh-CN"/>
              </w:rPr>
              <w:t>2025年泰顺县食品安全抽检服务项目</w:t>
            </w:r>
          </w:p>
        </w:tc>
      </w:tr>
      <w:tr w14:paraId="415D2DF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tcBorders>
              <w:top w:val="dashSmallGap" w:color="auto" w:sz="4" w:space="0"/>
              <w:left w:val="dashSmallGap" w:color="auto" w:sz="4" w:space="0"/>
              <w:right w:val="dashSmallGap" w:color="auto" w:sz="4" w:space="0"/>
            </w:tcBorders>
            <w:vAlign w:val="center"/>
          </w:tcPr>
          <w:p w14:paraId="62342ACA">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tcBorders>
              <w:top w:val="dashSmallGap" w:color="auto" w:sz="4" w:space="0"/>
              <w:left w:val="dashSmallGap" w:color="auto" w:sz="4" w:space="0"/>
              <w:right w:val="dashSmallGap" w:color="auto" w:sz="4" w:space="0"/>
            </w:tcBorders>
            <w:vAlign w:val="center"/>
          </w:tcPr>
          <w:p w14:paraId="36779430">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14:paraId="197F63F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tcBorders>
              <w:top w:val="dashSmallGap" w:color="auto" w:sz="4" w:space="0"/>
              <w:left w:val="dashSmallGap" w:color="auto" w:sz="4" w:space="0"/>
              <w:right w:val="dashSmallGap" w:color="auto" w:sz="4" w:space="0"/>
            </w:tcBorders>
            <w:vAlign w:val="center"/>
          </w:tcPr>
          <w:p w14:paraId="011E0419">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tcBorders>
              <w:top w:val="dashSmallGap" w:color="auto" w:sz="4" w:space="0"/>
              <w:left w:val="dashSmallGap" w:color="auto" w:sz="4" w:space="0"/>
              <w:right w:val="dashSmallGap" w:color="auto" w:sz="4" w:space="0"/>
            </w:tcBorders>
            <w:vAlign w:val="center"/>
          </w:tcPr>
          <w:p w14:paraId="7EF29B95">
            <w:pPr>
              <w:tabs>
                <w:tab w:val="left" w:pos="1069"/>
                <w:tab w:val="left" w:pos="2139"/>
                <w:tab w:val="left" w:pos="2352"/>
              </w:tabs>
              <w:snapToGrid w:val="0"/>
              <w:spacing w:line="500" w:lineRule="atLeas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泰顺县市场监督管理局</w:t>
            </w:r>
          </w:p>
        </w:tc>
      </w:tr>
      <w:tr w14:paraId="4B20E3C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tcBorders>
              <w:top w:val="dashSmallGap" w:color="auto" w:sz="4" w:space="0"/>
              <w:left w:val="dashSmallGap" w:color="auto" w:sz="4" w:space="0"/>
              <w:right w:val="dashSmallGap" w:color="auto" w:sz="4" w:space="0"/>
            </w:tcBorders>
            <w:vAlign w:val="center"/>
          </w:tcPr>
          <w:p w14:paraId="0997B8E0">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tcBorders>
              <w:top w:val="dashSmallGap" w:color="auto" w:sz="4" w:space="0"/>
              <w:left w:val="dashSmallGap" w:color="auto" w:sz="4" w:space="0"/>
              <w:right w:val="dashSmallGap" w:color="auto" w:sz="4" w:space="0"/>
            </w:tcBorders>
            <w:vAlign w:val="center"/>
          </w:tcPr>
          <w:p w14:paraId="6ED0BB6B">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14:paraId="7E5B19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tcBorders>
              <w:top w:val="dashSmallGap" w:color="auto" w:sz="4" w:space="0"/>
              <w:left w:val="dashSmallGap" w:color="auto" w:sz="4" w:space="0"/>
              <w:right w:val="dashSmallGap" w:color="auto" w:sz="4" w:space="0"/>
            </w:tcBorders>
            <w:vAlign w:val="center"/>
          </w:tcPr>
          <w:p w14:paraId="38F6E096">
            <w:pPr>
              <w:tabs>
                <w:tab w:val="left" w:pos="1069"/>
                <w:tab w:val="left" w:pos="213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tcBorders>
              <w:top w:val="dashSmallGap" w:color="auto" w:sz="4" w:space="0"/>
              <w:left w:val="dashSmallGap" w:color="auto" w:sz="4" w:space="0"/>
              <w:right w:val="dashSmallGap" w:color="auto" w:sz="4" w:space="0"/>
            </w:tcBorders>
            <w:vAlign w:val="center"/>
          </w:tcPr>
          <w:p w14:paraId="1FD1256F">
            <w:pPr>
              <w:tabs>
                <w:tab w:val="left" w:pos="1069"/>
                <w:tab w:val="left" w:pos="213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14:paraId="59211186">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14:paraId="03968F5F">
      <w:pPr>
        <w:tabs>
          <w:tab w:val="left" w:pos="1069"/>
          <w:tab w:val="left" w:pos="2352"/>
          <w:tab w:val="left" w:pos="3850"/>
        </w:tabs>
        <w:autoSpaceDE w:val="0"/>
        <w:autoSpaceDN w:val="0"/>
        <w:adjustRightInd w:val="0"/>
        <w:spacing w:line="440" w:lineRule="atLeast"/>
        <w:jc w:val="center"/>
        <w:rPr>
          <w:rFonts w:ascii="宋体" w:hAnsi="宋体" w:cs="宋体"/>
          <w:color w:val="auto"/>
          <w:highlight w:val="none"/>
        </w:rPr>
        <w:sectPr>
          <w:headerReference r:id="rId4" w:type="first"/>
          <w:headerReference r:id="rId3" w:type="default"/>
          <w:pgSz w:w="11906" w:h="16838"/>
          <w:pgMar w:top="1440" w:right="1247" w:bottom="1440" w:left="1247" w:header="851" w:footer="992" w:gutter="0"/>
          <w:pgNumType w:fmt="numberInDash"/>
          <w:cols w:space="720" w:num="1"/>
          <w:titlePg/>
          <w:docGrid w:type="linesAndChars" w:linePitch="317" w:charSpace="799"/>
        </w:sectPr>
      </w:pPr>
      <w:r>
        <w:rPr>
          <w:rFonts w:hint="eastAsia" w:ascii="宋体" w:hAnsi="宋体" w:cs="宋体"/>
          <w:b/>
          <w:color w:val="auto"/>
          <w:sz w:val="30"/>
          <w:szCs w:val="30"/>
          <w:highlight w:val="none"/>
        </w:rPr>
        <w:t>二○二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二</w:t>
      </w:r>
      <w:r>
        <w:rPr>
          <w:rFonts w:hint="eastAsia" w:ascii="宋体" w:hAnsi="宋体" w:cs="宋体"/>
          <w:b/>
          <w:color w:val="auto"/>
          <w:sz w:val="30"/>
          <w:szCs w:val="30"/>
          <w:highlight w:val="none"/>
        </w:rPr>
        <w:t>月</w:t>
      </w:r>
    </w:p>
    <w:p w14:paraId="02E84C00">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14:paraId="2C37577E">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14:paraId="4668E621">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14:paraId="48A2DBBF">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14:paraId="6BEE75BE">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采购公告..................................................2</w:t>
      </w:r>
    </w:p>
    <w:p w14:paraId="29230221">
      <w:pPr>
        <w:tabs>
          <w:tab w:val="left" w:pos="1069"/>
          <w:tab w:val="left" w:pos="1080"/>
          <w:tab w:val="left" w:pos="2352"/>
        </w:tabs>
        <w:autoSpaceDE w:val="0"/>
        <w:autoSpaceDN w:val="0"/>
        <w:adjustRightInd w:val="0"/>
        <w:spacing w:line="800" w:lineRule="exact"/>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第一部分、投标邀请函（投标须知前附表）.....................5</w:t>
      </w:r>
    </w:p>
    <w:p w14:paraId="63110A43">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第二部分、采购内容及要求...................................9</w:t>
      </w:r>
    </w:p>
    <w:p w14:paraId="24075FC2">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第三部分、供应商须知......................................1</w:t>
      </w:r>
      <w:r>
        <w:rPr>
          <w:rFonts w:hint="eastAsia" w:ascii="宋体" w:hAnsi="宋体" w:cs="宋体"/>
          <w:color w:val="auto"/>
          <w:sz w:val="28"/>
          <w:szCs w:val="28"/>
          <w:highlight w:val="none"/>
          <w:lang w:val="en-US" w:eastAsia="zh-CN"/>
        </w:rPr>
        <w:t>7</w:t>
      </w:r>
    </w:p>
    <w:p w14:paraId="2203B9C8">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第四部分、政府采购政策功能相关说明........................2</w:t>
      </w:r>
      <w:r>
        <w:rPr>
          <w:rFonts w:hint="eastAsia" w:ascii="宋体" w:hAnsi="宋体" w:cs="宋体"/>
          <w:color w:val="auto"/>
          <w:sz w:val="28"/>
          <w:szCs w:val="28"/>
          <w:highlight w:val="none"/>
          <w:lang w:val="en-US" w:eastAsia="zh-CN"/>
        </w:rPr>
        <w:t>6</w:t>
      </w:r>
    </w:p>
    <w:p w14:paraId="3ECD9537">
      <w:pPr>
        <w:tabs>
          <w:tab w:val="left" w:pos="1069"/>
          <w:tab w:val="left" w:pos="1080"/>
          <w:tab w:val="left" w:pos="2352"/>
        </w:tabs>
        <w:autoSpaceDE w:val="0"/>
        <w:autoSpaceDN w:val="0"/>
        <w:adjustRightInd w:val="0"/>
        <w:spacing w:line="800" w:lineRule="exact"/>
        <w:textAlignment w:val="baseline"/>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第五部分、合同格式........................................</w:t>
      </w:r>
      <w:r>
        <w:rPr>
          <w:rFonts w:hint="eastAsia" w:ascii="宋体" w:hAnsi="宋体" w:cs="宋体"/>
          <w:color w:val="auto"/>
          <w:sz w:val="28"/>
          <w:szCs w:val="28"/>
          <w:highlight w:val="none"/>
          <w:lang w:val="en-US" w:eastAsia="zh-CN"/>
        </w:rPr>
        <w:t>31</w:t>
      </w:r>
    </w:p>
    <w:p w14:paraId="117CDD29">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第六部分、投标（响应）文件格式...........................3</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第七部分、评标办法........................................4</w:t>
      </w:r>
      <w:r>
        <w:rPr>
          <w:rFonts w:hint="eastAsia" w:ascii="宋体" w:hAnsi="宋体" w:cs="宋体"/>
          <w:color w:val="auto"/>
          <w:sz w:val="28"/>
          <w:szCs w:val="28"/>
          <w:highlight w:val="none"/>
          <w:lang w:val="en-US" w:eastAsia="zh-CN"/>
        </w:rPr>
        <w:t>8</w:t>
      </w:r>
    </w:p>
    <w:p w14:paraId="20369B96">
      <w:pPr>
        <w:pStyle w:val="16"/>
        <w:tabs>
          <w:tab w:val="left" w:pos="2352"/>
        </w:tabs>
        <w:rPr>
          <w:color w:val="auto"/>
          <w:highlight w:val="none"/>
        </w:rPr>
      </w:pPr>
    </w:p>
    <w:p w14:paraId="5C982920">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1C7D5589">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3B12FB84">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51A78EAF">
      <w:pPr>
        <w:pStyle w:val="16"/>
        <w:tabs>
          <w:tab w:val="left" w:pos="2352"/>
        </w:tabs>
        <w:rPr>
          <w:color w:val="auto"/>
          <w:highlight w:val="none"/>
        </w:rPr>
      </w:pPr>
    </w:p>
    <w:p w14:paraId="18B997B2">
      <w:pPr>
        <w:pStyle w:val="16"/>
        <w:tabs>
          <w:tab w:val="left" w:pos="2352"/>
        </w:tabs>
        <w:rPr>
          <w:color w:val="auto"/>
          <w:highlight w:val="none"/>
        </w:rPr>
      </w:pPr>
    </w:p>
    <w:p w14:paraId="4033E7A7">
      <w:pPr>
        <w:pStyle w:val="2"/>
        <w:widowControl/>
        <w:spacing w:line="225" w:lineRule="atLeast"/>
        <w:jc w:val="center"/>
        <w:rPr>
          <w:rFonts w:ascii="宋体" w:hAnsi="宋体" w:eastAsia="宋体" w:cs="宋体"/>
          <w:color w:val="auto"/>
          <w:sz w:val="28"/>
          <w:szCs w:val="28"/>
          <w:highlight w:val="none"/>
        </w:rPr>
      </w:pPr>
      <w:r>
        <w:rPr>
          <w:rFonts w:hint="eastAsia" w:ascii="宋体" w:hAnsi="宋体" w:eastAsia="宋体" w:cs="宋体"/>
          <w:color w:val="auto"/>
          <w:sz w:val="22"/>
          <w:szCs w:val="22"/>
          <w:highlight w:val="none"/>
          <w:shd w:val="clear" w:color="auto" w:fill="FFFFFF"/>
        </w:rPr>
        <w:t xml:space="preserve"> </w:t>
      </w:r>
      <w:r>
        <w:rPr>
          <w:rFonts w:hint="eastAsia" w:ascii="宋体" w:hAnsi="宋体" w:eastAsia="宋体" w:cs="宋体"/>
          <w:color w:val="auto"/>
          <w:sz w:val="28"/>
          <w:szCs w:val="28"/>
          <w:highlight w:val="none"/>
        </w:rPr>
        <w:t>关于</w:t>
      </w:r>
      <w:r>
        <w:rPr>
          <w:rFonts w:hint="eastAsia" w:ascii="宋体" w:hAnsi="宋体" w:eastAsia="宋体" w:cs="宋体"/>
          <w:color w:val="auto"/>
          <w:sz w:val="28"/>
          <w:szCs w:val="28"/>
          <w:highlight w:val="none"/>
          <w:lang w:eastAsia="zh-CN"/>
        </w:rPr>
        <w:t>2025年泰顺县食品安全抽检服务项目</w:t>
      </w:r>
      <w:r>
        <w:rPr>
          <w:rFonts w:hint="eastAsia" w:ascii="宋体" w:hAnsi="宋体" w:eastAsia="宋体" w:cs="宋体"/>
          <w:color w:val="auto"/>
          <w:sz w:val="28"/>
          <w:szCs w:val="28"/>
          <w:highlight w:val="none"/>
        </w:rPr>
        <w:t>的竞争性磋商公告</w:t>
      </w:r>
    </w:p>
    <w:tbl>
      <w:tblPr>
        <w:tblStyle w:val="26"/>
        <w:tblpPr w:leftFromText="180" w:rightFromText="180" w:vertAnchor="text" w:tblpX="-132" w:tblpY="1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E36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tcPr>
          <w:p w14:paraId="17C48CB6">
            <w:pPr>
              <w:pStyle w:val="21"/>
              <w:spacing w:before="38" w:after="156" w:afterLines="0"/>
              <w:rPr>
                <w:color w:val="auto"/>
                <w:szCs w:val="24"/>
                <w:highlight w:val="none"/>
              </w:rPr>
            </w:pPr>
            <w:r>
              <w:rPr>
                <w:rFonts w:ascii="仿宋" w:hAnsi="仿宋" w:eastAsia="仿宋" w:cs="仿宋"/>
                <w:color w:val="auto"/>
                <w:szCs w:val="24"/>
                <w:highlight w:val="none"/>
              </w:rPr>
              <w:t>项目概况</w:t>
            </w:r>
            <w:r>
              <w:rPr>
                <w:rFonts w:hint="eastAsia" w:ascii="仿宋" w:hAnsi="仿宋" w:eastAsia="仿宋" w:cs="仿宋"/>
                <w:color w:val="auto"/>
                <w:szCs w:val="24"/>
                <w:highlight w:val="none"/>
              </w:rPr>
              <w:t>                                                    </w:t>
            </w:r>
          </w:p>
          <w:p w14:paraId="30285A6A">
            <w:pPr>
              <w:pStyle w:val="21"/>
              <w:spacing w:after="156" w:afterLines="0"/>
              <w:ind w:firstLine="480" w:firstLineChars="200"/>
              <w:rPr>
                <w:rFonts w:ascii="宋体" w:hAnsi="宋体" w:eastAsia="宋体" w:cs="宋体"/>
                <w:color w:val="auto"/>
                <w:sz w:val="22"/>
                <w:highlight w:val="none"/>
                <w:shd w:val="clear" w:color="auto" w:fill="FFFFFF"/>
              </w:rPr>
            </w:pPr>
            <w:r>
              <w:rPr>
                <w:rFonts w:hint="eastAsia" w:ascii="仿宋" w:hAnsi="仿宋" w:eastAsia="仿宋" w:cs="仿宋"/>
                <w:color w:val="auto"/>
                <w:szCs w:val="24"/>
                <w:highlight w:val="none"/>
              </w:rPr>
              <w:t>    </w:t>
            </w:r>
            <w:r>
              <w:rPr>
                <w:rFonts w:hint="eastAsia" w:ascii="仿宋" w:hAnsi="仿宋" w:eastAsia="仿宋" w:cs="仿宋"/>
                <w:color w:val="auto"/>
                <w:szCs w:val="24"/>
                <w:highlight w:val="none"/>
                <w:lang w:eastAsia="zh-CN"/>
              </w:rPr>
              <w:t>2025年泰顺县食品安全抽检服务项目</w:t>
            </w:r>
            <w:r>
              <w:rPr>
                <w:rFonts w:hint="eastAsia" w:ascii="仿宋" w:hAnsi="仿宋" w:eastAsia="仿宋" w:cs="仿宋"/>
                <w:color w:val="auto"/>
                <w:szCs w:val="24"/>
                <w:highlight w:val="none"/>
              </w:rPr>
              <w:t>采购项目的潜在供应商应在政采云平台http://zfcg.czt.zj.gov.cn/ 获取（下载）采购文件，并于</w:t>
            </w:r>
            <w:r>
              <w:rPr>
                <w:rFonts w:hint="eastAsia" w:ascii="仿宋" w:hAnsi="仿宋" w:eastAsia="仿宋" w:cs="仿宋"/>
                <w:color w:val="auto"/>
                <w:szCs w:val="24"/>
                <w:highlight w:val="none"/>
                <w:lang w:eastAsia="zh-CN"/>
              </w:rPr>
              <w:t>2025年03月06日</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15:00</w:t>
            </w:r>
            <w:r>
              <w:rPr>
                <w:rFonts w:hint="eastAsia" w:ascii="仿宋" w:hAnsi="仿宋" w:eastAsia="仿宋" w:cs="仿宋"/>
                <w:color w:val="auto"/>
                <w:szCs w:val="24"/>
                <w:highlight w:val="none"/>
              </w:rPr>
              <w:t> （北京时间）前提交（上传）响应文件。       </w:t>
            </w:r>
          </w:p>
        </w:tc>
      </w:tr>
    </w:tbl>
    <w:p w14:paraId="15C019F4">
      <w:pPr>
        <w:pStyle w:val="21"/>
        <w:spacing w:before="38" w:after="156" w:afterLines="0"/>
        <w:rPr>
          <w:color w:val="auto"/>
          <w:szCs w:val="24"/>
          <w:highlight w:val="none"/>
        </w:rPr>
      </w:pPr>
      <w:r>
        <w:rPr>
          <w:rFonts w:hint="eastAsia" w:ascii="仿宋" w:hAnsi="仿宋" w:eastAsia="仿宋" w:cs="仿宋"/>
          <w:color w:val="auto"/>
          <w:szCs w:val="24"/>
          <w:highlight w:val="none"/>
        </w:rPr>
        <w:t xml:space="preserve">                     </w:t>
      </w:r>
    </w:p>
    <w:p w14:paraId="5487FC26">
      <w:pPr>
        <w:pStyle w:val="21"/>
        <w:spacing w:before="128" w:after="156" w:afterLines="0" w:line="225" w:lineRule="atLeast"/>
        <w:jc w:val="both"/>
        <w:rPr>
          <w:rFonts w:ascii="黑体" w:hAnsi="宋体" w:eastAsia="黑体" w:cs="黑体"/>
          <w:color w:val="auto"/>
          <w:szCs w:val="24"/>
          <w:highlight w:val="none"/>
        </w:rPr>
      </w:pPr>
      <w:r>
        <w:rPr>
          <w:rStyle w:val="28"/>
          <w:rFonts w:ascii="黑体" w:hAnsi="宋体" w:eastAsia="黑体" w:cs="黑体"/>
          <w:color w:val="auto"/>
          <w:szCs w:val="24"/>
          <w:highlight w:val="none"/>
        </w:rPr>
        <w:t>一、项目基本情况</w:t>
      </w:r>
    </w:p>
    <w:p w14:paraId="52C99099">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项目编号：</w:t>
      </w:r>
      <w:r>
        <w:rPr>
          <w:rFonts w:hint="eastAsia" w:ascii="仿宋" w:hAnsi="仿宋" w:eastAsia="仿宋" w:cs="仿宋"/>
          <w:color w:val="auto"/>
          <w:szCs w:val="24"/>
          <w:highlight w:val="none"/>
          <w:lang w:eastAsia="zh-CN"/>
        </w:rPr>
        <w:t>TSCG202502003</w:t>
      </w:r>
      <w:r>
        <w:rPr>
          <w:rFonts w:hint="eastAsia" w:ascii="仿宋" w:hAnsi="仿宋" w:eastAsia="仿宋" w:cs="仿宋"/>
          <w:color w:val="auto"/>
          <w:szCs w:val="24"/>
          <w:highlight w:val="none"/>
        </w:rPr>
        <w:t> </w:t>
      </w:r>
    </w:p>
    <w:p w14:paraId="390C46D8">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项目名称：</w:t>
      </w:r>
      <w:r>
        <w:rPr>
          <w:rFonts w:hint="eastAsia" w:ascii="仿宋" w:hAnsi="仿宋" w:eastAsia="仿宋" w:cs="仿宋"/>
          <w:color w:val="auto"/>
          <w:szCs w:val="24"/>
          <w:highlight w:val="none"/>
          <w:lang w:eastAsia="zh-CN"/>
        </w:rPr>
        <w:t>2025年泰顺县食品安全抽检服务项目</w:t>
      </w:r>
      <w:r>
        <w:rPr>
          <w:rFonts w:hint="eastAsia" w:ascii="仿宋" w:hAnsi="仿宋" w:eastAsia="仿宋" w:cs="仿宋"/>
          <w:color w:val="auto"/>
          <w:szCs w:val="24"/>
          <w:highlight w:val="none"/>
        </w:rPr>
        <w:t> </w:t>
      </w:r>
    </w:p>
    <w:p w14:paraId="1A5FDCC5">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采购方式：竞争性磋商 </w:t>
      </w:r>
    </w:p>
    <w:p w14:paraId="314ECC65">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预算金额（元）：</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00000  </w:t>
      </w:r>
    </w:p>
    <w:p w14:paraId="6B3BC342">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最高限价（元）：</w:t>
      </w:r>
      <w:r>
        <w:rPr>
          <w:rFonts w:hint="eastAsia" w:ascii="仿宋" w:hAnsi="仿宋" w:eastAsia="仿宋" w:cs="仿宋"/>
          <w:color w:val="auto"/>
          <w:szCs w:val="24"/>
          <w:highlight w:val="none"/>
          <w:lang w:val="en-US" w:eastAsia="zh-CN"/>
        </w:rPr>
        <w:t>250000,150000</w:t>
      </w:r>
      <w:r>
        <w:rPr>
          <w:rFonts w:hint="eastAsia" w:ascii="仿宋" w:hAnsi="仿宋" w:eastAsia="仿宋" w:cs="仿宋"/>
          <w:color w:val="auto"/>
          <w:szCs w:val="24"/>
          <w:highlight w:val="none"/>
        </w:rPr>
        <w:t>  </w:t>
      </w:r>
    </w:p>
    <w:p w14:paraId="5BBA36B6">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采购需求：</w:t>
      </w:r>
    </w:p>
    <w:p w14:paraId="410C9A0A">
      <w:pPr>
        <w:pStyle w:val="21"/>
        <w:spacing w:before="38" w:after="156" w:afterLines="0" w:line="15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         </w:t>
      </w: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  标项一</w:t>
      </w:r>
    </w:p>
    <w:p w14:paraId="659FD559">
      <w:pPr>
        <w:pStyle w:val="21"/>
        <w:spacing w:before="38" w:after="156" w:afterLines="0" w:line="150" w:lineRule="atLeast"/>
        <w:ind w:firstLine="240" w:firstLineChars="100"/>
        <w:rPr>
          <w:rFonts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标项名称：</w:t>
      </w:r>
      <w:r>
        <w:rPr>
          <w:rFonts w:hint="eastAsia" w:ascii="仿宋" w:hAnsi="仿宋" w:eastAsia="仿宋" w:cs="仿宋"/>
          <w:color w:val="auto"/>
          <w:szCs w:val="24"/>
          <w:highlight w:val="none"/>
          <w:lang w:eastAsia="zh-CN"/>
        </w:rPr>
        <w:t>食品安全抽检服务</w:t>
      </w:r>
      <w:r>
        <w:rPr>
          <w:rFonts w:hint="eastAsia" w:ascii="仿宋" w:hAnsi="仿宋" w:eastAsia="仿宋" w:cs="仿宋"/>
          <w:color w:val="auto"/>
          <w:szCs w:val="24"/>
          <w:highlight w:val="none"/>
          <w:lang w:val="en-US" w:eastAsia="zh-CN"/>
        </w:rPr>
        <w:t>-1</w:t>
      </w:r>
    </w:p>
    <w:p w14:paraId="7B0B86BD">
      <w:pPr>
        <w:pStyle w:val="21"/>
        <w:spacing w:before="38" w:after="156" w:afterLines="0" w:line="150" w:lineRule="atLeas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数量：不限       </w:t>
      </w:r>
    </w:p>
    <w:p w14:paraId="554FF843">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预算金额（元）：</w:t>
      </w:r>
      <w:r>
        <w:rPr>
          <w:rFonts w:hint="eastAsia" w:ascii="仿宋" w:hAnsi="仿宋" w:eastAsia="仿宋" w:cs="仿宋"/>
          <w:color w:val="auto"/>
          <w:szCs w:val="24"/>
          <w:highlight w:val="none"/>
          <w:lang w:val="en-US" w:eastAsia="zh-CN"/>
        </w:rPr>
        <w:t xml:space="preserve">250000 </w:t>
      </w:r>
      <w:r>
        <w:rPr>
          <w:rFonts w:hint="eastAsia" w:ascii="仿宋" w:hAnsi="仿宋" w:eastAsia="仿宋" w:cs="仿宋"/>
          <w:color w:val="auto"/>
          <w:szCs w:val="24"/>
          <w:highlight w:val="none"/>
        </w:rPr>
        <w:t> </w:t>
      </w:r>
    </w:p>
    <w:p w14:paraId="34D9B4E4">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单位：项 </w:t>
      </w:r>
    </w:p>
    <w:p w14:paraId="7DEF5CEC">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简要规格描述：</w:t>
      </w:r>
      <w:r>
        <w:rPr>
          <w:rFonts w:hint="eastAsia" w:ascii="仿宋" w:hAnsi="仿宋" w:eastAsia="仿宋" w:cs="仿宋"/>
          <w:color w:val="auto"/>
          <w:szCs w:val="24"/>
          <w:highlight w:val="none"/>
          <w:lang w:eastAsia="zh-CN"/>
        </w:rPr>
        <w:t>食品安全抽检服务</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 </w:t>
      </w:r>
    </w:p>
    <w:p w14:paraId="79745DE0">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备注： </w:t>
      </w:r>
    </w:p>
    <w:p w14:paraId="116CFB54">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合同履约期限：标项 1，按采购文件规定。  </w:t>
      </w:r>
    </w:p>
    <w:p w14:paraId="75324250">
      <w:pPr>
        <w:pStyle w:val="21"/>
        <w:spacing w:before="38" w:after="156" w:afterLines="0" w:line="15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799BCC6A">
      <w:pPr>
        <w:pStyle w:val="21"/>
        <w:spacing w:before="38" w:after="156" w:afterLines="0" w:line="150" w:lineRule="atLeas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标项</w:t>
      </w:r>
      <w:r>
        <w:rPr>
          <w:rFonts w:hint="eastAsia" w:ascii="仿宋" w:hAnsi="仿宋" w:eastAsia="仿宋" w:cs="仿宋"/>
          <w:color w:val="auto"/>
          <w:szCs w:val="24"/>
          <w:highlight w:val="none"/>
          <w:lang w:val="en-US" w:eastAsia="zh-CN"/>
        </w:rPr>
        <w:t>二</w:t>
      </w:r>
    </w:p>
    <w:p w14:paraId="4B74B9B4">
      <w:pPr>
        <w:pStyle w:val="21"/>
        <w:spacing w:before="38" w:after="156" w:afterLines="0" w:line="150" w:lineRule="atLeast"/>
        <w:ind w:firstLine="240" w:firstLineChars="100"/>
        <w:rPr>
          <w:rFonts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标项名称：</w:t>
      </w:r>
      <w:r>
        <w:rPr>
          <w:rFonts w:hint="eastAsia" w:ascii="仿宋" w:hAnsi="仿宋" w:eastAsia="仿宋" w:cs="仿宋"/>
          <w:color w:val="auto"/>
          <w:szCs w:val="24"/>
          <w:highlight w:val="none"/>
          <w:lang w:eastAsia="zh-CN"/>
        </w:rPr>
        <w:t>食品安全抽检服务</w:t>
      </w:r>
      <w:r>
        <w:rPr>
          <w:rFonts w:hint="eastAsia" w:ascii="仿宋" w:hAnsi="仿宋" w:eastAsia="仿宋" w:cs="仿宋"/>
          <w:color w:val="auto"/>
          <w:szCs w:val="24"/>
          <w:highlight w:val="none"/>
          <w:lang w:val="en-US" w:eastAsia="zh-CN"/>
        </w:rPr>
        <w:t>-2</w:t>
      </w:r>
    </w:p>
    <w:p w14:paraId="45FDF911">
      <w:pPr>
        <w:pStyle w:val="21"/>
        <w:spacing w:before="38" w:after="156" w:afterLines="0" w:line="150" w:lineRule="atLeas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数量：不限       </w:t>
      </w:r>
    </w:p>
    <w:p w14:paraId="2A61C25F">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预算金额（元）：</w:t>
      </w:r>
      <w:r>
        <w:rPr>
          <w:rFonts w:hint="eastAsia" w:ascii="仿宋" w:hAnsi="仿宋" w:eastAsia="仿宋" w:cs="仿宋"/>
          <w:color w:val="auto"/>
          <w:szCs w:val="24"/>
          <w:highlight w:val="none"/>
          <w:lang w:val="en-US" w:eastAsia="zh-CN"/>
        </w:rPr>
        <w:t xml:space="preserve"> 150000</w:t>
      </w:r>
      <w:r>
        <w:rPr>
          <w:rFonts w:hint="eastAsia" w:ascii="仿宋" w:hAnsi="仿宋" w:eastAsia="仿宋" w:cs="仿宋"/>
          <w:color w:val="auto"/>
          <w:szCs w:val="24"/>
          <w:highlight w:val="none"/>
        </w:rPr>
        <w:t> </w:t>
      </w:r>
    </w:p>
    <w:p w14:paraId="684746FF">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单位：项 </w:t>
      </w:r>
    </w:p>
    <w:p w14:paraId="58C874CF">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简要规格描述：</w:t>
      </w:r>
      <w:r>
        <w:rPr>
          <w:rFonts w:hint="eastAsia" w:ascii="仿宋" w:hAnsi="仿宋" w:eastAsia="仿宋" w:cs="仿宋"/>
          <w:color w:val="auto"/>
          <w:szCs w:val="24"/>
          <w:highlight w:val="none"/>
          <w:lang w:eastAsia="zh-CN"/>
        </w:rPr>
        <w:t>食品安全抽检服务</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 </w:t>
      </w:r>
    </w:p>
    <w:p w14:paraId="5006A5F2">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备注： </w:t>
      </w:r>
    </w:p>
    <w:p w14:paraId="6620F9CA">
      <w:pPr>
        <w:pStyle w:val="21"/>
        <w:spacing w:before="38" w:after="156" w:afterLines="0" w:line="15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    合同履约期限：标项 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 xml:space="preserve">标项 </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，按采购文件规定。</w:t>
      </w:r>
    </w:p>
    <w:p w14:paraId="2EDAFB31">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本项目（否）接受联合体投标。  </w:t>
      </w:r>
    </w:p>
    <w:p w14:paraId="7282DAD3">
      <w:pPr>
        <w:pStyle w:val="21"/>
        <w:spacing w:before="128" w:after="156" w:afterLines="0" w:line="225" w:lineRule="atLeast"/>
        <w:jc w:val="both"/>
        <w:rPr>
          <w:rFonts w:ascii="黑体" w:hAnsi="宋体" w:eastAsia="黑体" w:cs="黑体"/>
          <w:color w:val="auto"/>
          <w:szCs w:val="24"/>
          <w:highlight w:val="none"/>
        </w:rPr>
      </w:pPr>
      <w:r>
        <w:rPr>
          <w:rStyle w:val="28"/>
          <w:rFonts w:ascii="黑体" w:hAnsi="宋体" w:eastAsia="黑体" w:cs="黑体"/>
          <w:color w:val="auto"/>
          <w:szCs w:val="24"/>
          <w:highlight w:val="none"/>
        </w:rPr>
        <w:t>二、申请人的资格要求：</w:t>
      </w:r>
    </w:p>
    <w:p w14:paraId="50F6D7AD">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AA0A801">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2.落实政府采购政策需满足的资格要求：标项1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无；</w:t>
      </w:r>
      <w:r>
        <w:rPr>
          <w:rFonts w:hint="eastAsia" w:ascii="仿宋" w:hAnsi="仿宋" w:eastAsia="仿宋" w:cs="仿宋"/>
          <w:color w:val="auto"/>
          <w:szCs w:val="24"/>
          <w:highlight w:val="none"/>
        </w:rPr>
        <w:t xml:space="preserve">标项 </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本标项专门面向中小企业采购，投标供应商须为中小企业</w:t>
      </w:r>
      <w:r>
        <w:rPr>
          <w:rFonts w:hint="eastAsia" w:ascii="仿宋" w:hAnsi="仿宋" w:eastAsia="仿宋" w:cs="仿宋"/>
          <w:color w:val="auto"/>
          <w:szCs w:val="24"/>
          <w:highlight w:val="none"/>
        </w:rPr>
        <w:t>。 </w:t>
      </w:r>
    </w:p>
    <w:p w14:paraId="6AFCBE12">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3.本项目的特定资格要求：无 </w:t>
      </w:r>
    </w:p>
    <w:p w14:paraId="60A864D5">
      <w:pPr>
        <w:pStyle w:val="21"/>
        <w:spacing w:before="128" w:after="156" w:afterLines="0" w:line="225" w:lineRule="atLeast"/>
        <w:jc w:val="both"/>
        <w:rPr>
          <w:rFonts w:ascii="黑体" w:hAnsi="宋体" w:eastAsia="黑体" w:cs="黑体"/>
          <w:color w:val="auto"/>
          <w:szCs w:val="24"/>
          <w:highlight w:val="none"/>
        </w:rPr>
      </w:pPr>
      <w:r>
        <w:rPr>
          <w:rStyle w:val="28"/>
          <w:rFonts w:ascii="黑体" w:hAnsi="宋体" w:eastAsia="黑体" w:cs="黑体"/>
          <w:color w:val="auto"/>
          <w:szCs w:val="24"/>
          <w:highlight w:val="none"/>
        </w:rPr>
        <w:t>三、获取（下载）采购文件</w:t>
      </w:r>
    </w:p>
    <w:p w14:paraId="1F5503F9">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时间：/至</w:t>
      </w:r>
      <w:r>
        <w:rPr>
          <w:rFonts w:hint="eastAsia" w:ascii="仿宋" w:hAnsi="仿宋" w:eastAsia="仿宋" w:cs="仿宋"/>
          <w:color w:val="auto"/>
          <w:szCs w:val="24"/>
          <w:highlight w:val="none"/>
          <w:lang w:eastAsia="zh-CN"/>
        </w:rPr>
        <w:t>2025年03月06日</w:t>
      </w:r>
      <w:r>
        <w:rPr>
          <w:rFonts w:hint="eastAsia" w:ascii="仿宋" w:hAnsi="仿宋" w:eastAsia="仿宋" w:cs="仿宋"/>
          <w:color w:val="auto"/>
          <w:szCs w:val="24"/>
          <w:highlight w:val="none"/>
        </w:rPr>
        <w:t>，每天上午00:00至12:00，下午12:00至23:59（北京时间，线上获取法定节假日均可，线下获取文件法定节假日除外）</w:t>
      </w:r>
    </w:p>
    <w:p w14:paraId="0C00C5FD">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地点（网址）：政采云平台http://zfcg.czt.zj.gov.cn/  </w:t>
      </w:r>
    </w:p>
    <w:p w14:paraId="149D3535">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方式：供应商登录政采云平台http://zfcg.czt.zj.gov.cn/ 在线申请获取采购文件（进入“项目采购”应用，在获取采购文件菜单中选择项目，申请获取采购文件） </w:t>
      </w:r>
    </w:p>
    <w:p w14:paraId="1D149840">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售价（元）：0 </w:t>
      </w:r>
    </w:p>
    <w:p w14:paraId="30284AD4">
      <w:pPr>
        <w:pStyle w:val="21"/>
        <w:spacing w:before="128" w:after="156" w:afterLines="0" w:line="225" w:lineRule="atLeast"/>
        <w:jc w:val="both"/>
        <w:rPr>
          <w:rFonts w:ascii="黑体" w:hAnsi="宋体" w:eastAsia="黑体" w:cs="黑体"/>
          <w:color w:val="auto"/>
          <w:szCs w:val="24"/>
          <w:highlight w:val="none"/>
        </w:rPr>
      </w:pPr>
      <w:r>
        <w:rPr>
          <w:rStyle w:val="28"/>
          <w:rFonts w:ascii="黑体" w:hAnsi="宋体" w:eastAsia="黑体" w:cs="黑体"/>
          <w:color w:val="auto"/>
          <w:szCs w:val="24"/>
          <w:highlight w:val="none"/>
        </w:rPr>
        <w:t>四、响应文件提交（上传）</w:t>
      </w:r>
      <w:r>
        <w:rPr>
          <w:rFonts w:ascii="黑体" w:hAnsi="宋体" w:eastAsia="黑体" w:cs="黑体"/>
          <w:color w:val="auto"/>
          <w:szCs w:val="24"/>
          <w:highlight w:val="none"/>
        </w:rPr>
        <w:t> </w:t>
      </w:r>
    </w:p>
    <w:p w14:paraId="18A24E9B">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截止时间：</w:t>
      </w:r>
      <w:r>
        <w:rPr>
          <w:rFonts w:hint="eastAsia" w:ascii="仿宋" w:hAnsi="仿宋" w:eastAsia="仿宋" w:cs="仿宋"/>
          <w:color w:val="auto"/>
          <w:szCs w:val="24"/>
          <w:highlight w:val="none"/>
          <w:lang w:eastAsia="zh-CN"/>
        </w:rPr>
        <w:t>2025年03月06日</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15:00</w:t>
      </w:r>
      <w:r>
        <w:rPr>
          <w:rFonts w:hint="eastAsia" w:ascii="仿宋" w:hAnsi="仿宋" w:eastAsia="仿宋" w:cs="仿宋"/>
          <w:color w:val="auto"/>
          <w:szCs w:val="24"/>
          <w:highlight w:val="none"/>
        </w:rPr>
        <w:t> （北京时间）</w:t>
      </w:r>
    </w:p>
    <w:p w14:paraId="0B05C849">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地点（网址）：“政府采购云平台（http://zfcg.czt.zj.gov.cn/）”在线递交 </w:t>
      </w:r>
    </w:p>
    <w:p w14:paraId="3C54BB9D">
      <w:pPr>
        <w:pStyle w:val="21"/>
        <w:spacing w:before="128" w:after="156" w:afterLines="0" w:line="225" w:lineRule="atLeast"/>
        <w:jc w:val="both"/>
        <w:rPr>
          <w:rFonts w:ascii="黑体" w:hAnsi="宋体" w:eastAsia="黑体" w:cs="黑体"/>
          <w:color w:val="auto"/>
          <w:szCs w:val="24"/>
          <w:highlight w:val="none"/>
        </w:rPr>
      </w:pPr>
      <w:r>
        <w:rPr>
          <w:rStyle w:val="28"/>
          <w:rFonts w:ascii="黑体" w:hAnsi="宋体" w:eastAsia="黑体" w:cs="黑体"/>
          <w:color w:val="auto"/>
          <w:szCs w:val="24"/>
          <w:highlight w:val="none"/>
        </w:rPr>
        <w:t>五、响应文件开启</w:t>
      </w:r>
      <w:r>
        <w:rPr>
          <w:rFonts w:ascii="黑体" w:hAnsi="宋体" w:eastAsia="黑体" w:cs="黑体"/>
          <w:color w:val="auto"/>
          <w:szCs w:val="24"/>
          <w:highlight w:val="none"/>
        </w:rPr>
        <w:t> </w:t>
      </w:r>
    </w:p>
    <w:p w14:paraId="17C7044C">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开启时间：</w:t>
      </w:r>
      <w:r>
        <w:rPr>
          <w:rFonts w:hint="eastAsia" w:ascii="仿宋" w:hAnsi="仿宋" w:eastAsia="仿宋" w:cs="仿宋"/>
          <w:color w:val="auto"/>
          <w:szCs w:val="24"/>
          <w:highlight w:val="none"/>
          <w:lang w:eastAsia="zh-CN"/>
        </w:rPr>
        <w:t>2025年03月06日</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15:00</w:t>
      </w:r>
      <w:r>
        <w:rPr>
          <w:rFonts w:hint="eastAsia" w:ascii="仿宋" w:hAnsi="仿宋" w:eastAsia="仿宋" w:cs="仿宋"/>
          <w:color w:val="auto"/>
          <w:szCs w:val="24"/>
          <w:highlight w:val="none"/>
        </w:rPr>
        <w:t> （北京时间）</w:t>
      </w:r>
    </w:p>
    <w:p w14:paraId="07C1C655">
      <w:pPr>
        <w:pStyle w:val="21"/>
        <w:spacing w:before="38" w:after="156" w:afterLines="0" w:line="150" w:lineRule="atLeast"/>
        <w:rPr>
          <w:color w:val="auto"/>
          <w:szCs w:val="24"/>
          <w:highlight w:val="none"/>
        </w:rPr>
      </w:pPr>
      <w:r>
        <w:rPr>
          <w:rFonts w:hint="eastAsia" w:ascii="仿宋" w:hAnsi="仿宋" w:eastAsia="仿宋" w:cs="仿宋"/>
          <w:color w:val="auto"/>
          <w:szCs w:val="24"/>
          <w:highlight w:val="none"/>
        </w:rPr>
        <w:t>    地点（网址）：“政府采购云平台（http://zfcg.czt.zj.gov.cn/）”在线开标 </w:t>
      </w:r>
    </w:p>
    <w:p w14:paraId="57209E6C">
      <w:pPr>
        <w:pStyle w:val="21"/>
        <w:spacing w:before="128" w:after="156" w:afterLines="0" w:line="225" w:lineRule="atLeast"/>
        <w:jc w:val="both"/>
        <w:rPr>
          <w:rFonts w:ascii="黑体" w:hAnsi="宋体" w:eastAsia="黑体" w:cs="黑体"/>
          <w:color w:val="auto"/>
          <w:szCs w:val="24"/>
          <w:highlight w:val="none"/>
        </w:rPr>
      </w:pPr>
      <w:r>
        <w:rPr>
          <w:rStyle w:val="28"/>
          <w:rFonts w:ascii="黑体" w:hAnsi="宋体" w:eastAsia="黑体" w:cs="黑体"/>
          <w:color w:val="auto"/>
          <w:szCs w:val="24"/>
          <w:highlight w:val="none"/>
        </w:rPr>
        <w:t>六、公告期限</w:t>
      </w:r>
    </w:p>
    <w:p w14:paraId="1446B04D">
      <w:pPr>
        <w:pStyle w:val="21"/>
        <w:spacing w:before="38" w:after="156" w:afterLines="0"/>
        <w:rPr>
          <w:color w:val="auto"/>
          <w:szCs w:val="24"/>
          <w:highlight w:val="none"/>
        </w:rPr>
      </w:pPr>
      <w:r>
        <w:rPr>
          <w:rFonts w:hint="eastAsia" w:ascii="仿宋" w:hAnsi="仿宋" w:eastAsia="仿宋" w:cs="仿宋"/>
          <w:color w:val="auto"/>
          <w:szCs w:val="24"/>
          <w:highlight w:val="none"/>
        </w:rPr>
        <w:t>    自本公告发布之日起3个工作日。</w:t>
      </w:r>
    </w:p>
    <w:p w14:paraId="77E034B5">
      <w:pPr>
        <w:pStyle w:val="21"/>
        <w:spacing w:before="128" w:after="156" w:afterLines="0" w:line="225" w:lineRule="atLeast"/>
        <w:jc w:val="both"/>
        <w:rPr>
          <w:rFonts w:ascii="黑体" w:hAnsi="宋体" w:eastAsia="黑体" w:cs="黑体"/>
          <w:color w:val="auto"/>
          <w:szCs w:val="24"/>
          <w:highlight w:val="none"/>
        </w:rPr>
      </w:pPr>
      <w:r>
        <w:rPr>
          <w:rStyle w:val="28"/>
          <w:rFonts w:ascii="黑体" w:hAnsi="宋体" w:eastAsia="黑体" w:cs="黑体"/>
          <w:color w:val="auto"/>
          <w:szCs w:val="24"/>
          <w:highlight w:val="none"/>
        </w:rPr>
        <w:t>七、其他补充事宜</w:t>
      </w:r>
      <w:r>
        <w:rPr>
          <w:rFonts w:ascii="黑体" w:hAnsi="宋体" w:eastAsia="黑体" w:cs="黑体"/>
          <w:color w:val="auto"/>
          <w:szCs w:val="24"/>
          <w:highlight w:val="none"/>
        </w:rPr>
        <w:t> </w:t>
      </w:r>
    </w:p>
    <w:p w14:paraId="259AD3D0">
      <w:pPr>
        <w:pStyle w:val="21"/>
        <w:keepNext w:val="0"/>
        <w:keepLines w:val="0"/>
        <w:widowControl/>
        <w:suppressLineNumbers w:val="0"/>
        <w:spacing w:before="0" w:beforeAutospacing="0" w:after="0" w:afterAutospacing="0"/>
        <w:ind w:left="0" w:right="0"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15259FDB">
      <w:pPr>
        <w:pStyle w:val="21"/>
        <w:keepNext w:val="0"/>
        <w:keepLines w:val="0"/>
        <w:widowControl/>
        <w:suppressLineNumbers w:val="0"/>
        <w:spacing w:before="0" w:beforeAutospacing="0" w:after="0" w:afterAutospacing="0"/>
        <w:ind w:left="0" w:right="0"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7A6CB38">
      <w:pPr>
        <w:pStyle w:val="21"/>
        <w:keepNext w:val="0"/>
        <w:keepLines w:val="0"/>
        <w:widowControl/>
        <w:suppressLineNumbers w:val="0"/>
        <w:spacing w:before="0" w:beforeAutospacing="0" w:after="0" w:afterAutospacing="0"/>
        <w:ind w:left="0" w:right="0"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42BD8200">
      <w:pPr>
        <w:pStyle w:val="21"/>
        <w:keepNext w:val="0"/>
        <w:keepLines w:val="0"/>
        <w:widowControl/>
        <w:suppressLineNumbers w:val="0"/>
        <w:spacing w:before="0" w:beforeAutospacing="0" w:after="0" w:afterAutospacing="0"/>
        <w:ind w:left="0" w:right="0"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4.其他事项：/ </w:t>
      </w:r>
      <w:r>
        <w:rPr>
          <w:rFonts w:hint="eastAsia" w:ascii="仿宋" w:hAnsi="仿宋" w:eastAsia="仿宋" w:cs="仿宋"/>
          <w:color w:val="auto"/>
          <w:szCs w:val="24"/>
          <w:highlight w:val="none"/>
          <w:lang w:eastAsia="zh-CN"/>
        </w:rPr>
        <w:t>。</w:t>
      </w:r>
    </w:p>
    <w:p w14:paraId="3528167D">
      <w:pPr>
        <w:pStyle w:val="21"/>
        <w:shd w:val="clear" w:color="auto" w:fill="FFFFFF"/>
        <w:spacing w:before="128" w:after="156" w:afterLines="0" w:line="240" w:lineRule="atLeast"/>
        <w:jc w:val="both"/>
        <w:rPr>
          <w:rFonts w:ascii="宋体" w:hAnsi="宋体" w:eastAsia="宋体" w:cs="宋体"/>
          <w:color w:val="auto"/>
          <w:sz w:val="22"/>
          <w:highlight w:val="none"/>
        </w:rPr>
      </w:pPr>
      <w:r>
        <w:rPr>
          <w:rStyle w:val="28"/>
          <w:rFonts w:hint="eastAsia" w:ascii="宋体" w:hAnsi="宋体" w:eastAsia="宋体" w:cs="宋体"/>
          <w:color w:val="auto"/>
          <w:sz w:val="22"/>
          <w:highlight w:val="none"/>
          <w:shd w:val="clear" w:color="auto" w:fill="FFFFFF"/>
        </w:rPr>
        <w:t>八、凡对本次招标提出询问、质疑、投诉，请按以下方式联系</w:t>
      </w:r>
    </w:p>
    <w:p w14:paraId="549F3F03">
      <w:pPr>
        <w:pStyle w:val="21"/>
        <w:spacing w:before="38" w:after="156" w:afterLines="0" w:line="150" w:lineRule="atLeast"/>
        <w:rPr>
          <w:rFonts w:ascii="仿宋" w:hAnsi="仿宋" w:eastAsia="仿宋" w:cs="仿宋"/>
          <w:color w:val="auto"/>
          <w:szCs w:val="24"/>
          <w:highlight w:val="none"/>
        </w:rPr>
      </w:pPr>
      <w:r>
        <w:rPr>
          <w:rFonts w:hint="eastAsia" w:ascii="宋体" w:hAnsi="宋体" w:eastAsia="宋体" w:cs="宋体"/>
          <w:color w:val="auto"/>
          <w:sz w:val="22"/>
          <w:highlight w:val="none"/>
          <w:shd w:val="clear" w:color="auto" w:fill="FFFFFF"/>
        </w:rPr>
        <w:t xml:space="preserve">  </w:t>
      </w:r>
      <w:r>
        <w:rPr>
          <w:rFonts w:hint="eastAsia" w:ascii="仿宋" w:hAnsi="仿宋" w:eastAsia="仿宋" w:cs="仿宋"/>
          <w:color w:val="auto"/>
          <w:szCs w:val="24"/>
          <w:highlight w:val="none"/>
        </w:rPr>
        <w:t>  1.采购人信息</w:t>
      </w:r>
    </w:p>
    <w:p w14:paraId="519A4D62">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名    称：</w:t>
      </w:r>
      <w:r>
        <w:rPr>
          <w:rFonts w:hint="eastAsia" w:ascii="仿宋" w:hAnsi="仿宋" w:eastAsia="仿宋" w:cs="仿宋"/>
          <w:color w:val="auto"/>
          <w:szCs w:val="24"/>
          <w:highlight w:val="none"/>
          <w:lang w:eastAsia="zh-CN"/>
        </w:rPr>
        <w:t>泰顺县市场监督管理局</w:t>
      </w:r>
      <w:r>
        <w:rPr>
          <w:rFonts w:hint="eastAsia" w:ascii="仿宋" w:hAnsi="仿宋" w:eastAsia="仿宋" w:cs="仿宋"/>
          <w:color w:val="auto"/>
          <w:szCs w:val="24"/>
          <w:highlight w:val="none"/>
        </w:rPr>
        <w:t> </w:t>
      </w:r>
    </w:p>
    <w:p w14:paraId="4A237589">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地    址：温州市泰顺县罗阳镇云寿路48号 </w:t>
      </w:r>
    </w:p>
    <w:p w14:paraId="12CB647E">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传    真： </w:t>
      </w:r>
    </w:p>
    <w:p w14:paraId="10A4ADD6">
      <w:pPr>
        <w:pStyle w:val="21"/>
        <w:spacing w:before="38" w:after="156" w:afterLines="0"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项目联系人（询问）：</w:t>
      </w:r>
      <w:r>
        <w:rPr>
          <w:rFonts w:hint="eastAsia" w:ascii="仿宋" w:hAnsi="仿宋" w:eastAsia="仿宋" w:cs="仿宋"/>
          <w:color w:val="auto"/>
          <w:szCs w:val="24"/>
          <w:highlight w:val="none"/>
          <w:lang w:val="en-US" w:eastAsia="zh-CN"/>
        </w:rPr>
        <w:t>郑</w:t>
      </w:r>
      <w:r>
        <w:rPr>
          <w:rFonts w:hint="eastAsia" w:ascii="仿宋" w:hAnsi="仿宋" w:eastAsia="仿宋" w:cs="仿宋"/>
          <w:color w:val="auto"/>
          <w:szCs w:val="24"/>
          <w:highlight w:val="none"/>
        </w:rPr>
        <w:t>先生 </w:t>
      </w:r>
    </w:p>
    <w:p w14:paraId="37144F50">
      <w:pPr>
        <w:pStyle w:val="21"/>
        <w:spacing w:before="38" w:after="156" w:afterLines="0"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项目联系方式（询问）：0577-59281206</w:t>
      </w:r>
    </w:p>
    <w:p w14:paraId="5AFEB75B">
      <w:pPr>
        <w:pStyle w:val="21"/>
        <w:spacing w:before="38" w:after="156" w:afterLines="0"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质疑联系人：</w:t>
      </w:r>
      <w:r>
        <w:rPr>
          <w:rFonts w:hint="eastAsia" w:ascii="仿宋" w:hAnsi="仿宋" w:eastAsia="仿宋" w:cs="仿宋"/>
          <w:color w:val="auto"/>
          <w:szCs w:val="24"/>
          <w:highlight w:val="none"/>
          <w:lang w:val="en-US" w:eastAsia="zh-CN"/>
        </w:rPr>
        <w:t>郑</w:t>
      </w:r>
      <w:r>
        <w:rPr>
          <w:rFonts w:hint="eastAsia" w:ascii="仿宋" w:hAnsi="仿宋" w:eastAsia="仿宋" w:cs="仿宋"/>
          <w:color w:val="auto"/>
          <w:szCs w:val="24"/>
          <w:highlight w:val="none"/>
        </w:rPr>
        <w:t>先生  </w:t>
      </w:r>
    </w:p>
    <w:p w14:paraId="5BFA4189">
      <w:pPr>
        <w:pStyle w:val="21"/>
        <w:spacing w:before="38" w:after="156" w:afterLines="0"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质疑联系方式：0577-59281206</w:t>
      </w:r>
    </w:p>
    <w:p w14:paraId="639AEB9A">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2.采购代理机构信息</w:t>
      </w:r>
    </w:p>
    <w:p w14:paraId="5C0F69EF">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名    称：杭州华旗招标代理有限公司 </w:t>
      </w:r>
    </w:p>
    <w:p w14:paraId="67D5F32F">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地    址：温州市泰顺县罗阳镇湖滨花苑B8幢401 </w:t>
      </w:r>
    </w:p>
    <w:p w14:paraId="07E65FAC">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传    真：  </w:t>
      </w:r>
    </w:p>
    <w:p w14:paraId="10CF42C0">
      <w:pPr>
        <w:pStyle w:val="21"/>
        <w:spacing w:before="38" w:after="156" w:afterLines="0" w:line="15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    项目联系人（询问）：翁爱霜 </w:t>
      </w:r>
    </w:p>
    <w:p w14:paraId="304F2DB7">
      <w:pPr>
        <w:pStyle w:val="21"/>
        <w:spacing w:before="38" w:after="156" w:afterLines="0" w:line="15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    项目联系方式（询问）：17858065131 </w:t>
      </w:r>
    </w:p>
    <w:p w14:paraId="0412F0A0">
      <w:pPr>
        <w:pStyle w:val="21"/>
        <w:spacing w:before="38" w:after="156" w:afterLines="0" w:line="15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    质疑联系人：苏红 </w:t>
      </w:r>
    </w:p>
    <w:p w14:paraId="1C8F753E">
      <w:pPr>
        <w:pStyle w:val="21"/>
        <w:spacing w:before="38" w:after="156" w:afterLines="0" w:line="15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    质疑联系方式：15888799321 </w:t>
      </w: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    3.同级政府采购监督管理部门</w:t>
      </w:r>
    </w:p>
    <w:p w14:paraId="798D19E1">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名    称：泰顺县财政局 </w:t>
      </w:r>
    </w:p>
    <w:p w14:paraId="33E615C5">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地    址：温州市泰顺县罗阳镇公园路48号 </w:t>
      </w:r>
    </w:p>
    <w:p w14:paraId="5C601B70">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传    真：/ </w:t>
      </w:r>
    </w:p>
    <w:p w14:paraId="546B7115">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联系人 ：董女士 </w:t>
      </w:r>
    </w:p>
    <w:p w14:paraId="63A3E27B">
      <w:pPr>
        <w:pStyle w:val="21"/>
        <w:spacing w:before="38" w:after="156" w:afterLines="0"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监督投诉电话：0577-67588502</w:t>
      </w:r>
    </w:p>
    <w:p w14:paraId="2BA779DC">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36C435BC">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26136C5B">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20BE5C6E">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415BC0EB">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26CBE168">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0187CA5D">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728BD5ED">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421579ED">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7A74C8CF">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3BC4F705">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15936CCD">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6FE1FA71">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0C8D7A4F">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42E27182">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654DF604">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746EA5F1">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02512E35">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1C58B0EB">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26"/>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7821A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14:paraId="69B37711">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14:paraId="7E9BE1C2">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14:paraId="2700B53A">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14:paraId="3A303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3B27A494">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6981B68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tcBorders>
              <w:top w:val="single" w:color="auto" w:sz="4" w:space="0"/>
              <w:left w:val="single" w:color="auto" w:sz="4" w:space="0"/>
              <w:right w:val="single" w:color="auto" w:sz="12" w:space="0"/>
            </w:tcBorders>
            <w:vAlign w:val="center"/>
          </w:tcPr>
          <w:p w14:paraId="08EE750C">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bCs/>
                <w:color w:val="auto"/>
                <w:sz w:val="22"/>
                <w:highlight w:val="none"/>
                <w:lang w:eastAsia="zh-CN"/>
              </w:rPr>
              <w:t>2025年泰顺县食品安全抽检服务项目</w:t>
            </w:r>
          </w:p>
        </w:tc>
      </w:tr>
      <w:tr w14:paraId="1B3AD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F265FDE">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4CF9906B">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tcBorders>
              <w:top w:val="single" w:color="auto" w:sz="4" w:space="0"/>
              <w:left w:val="single" w:color="auto" w:sz="4" w:space="0"/>
              <w:right w:val="single" w:color="auto" w:sz="12" w:space="0"/>
            </w:tcBorders>
            <w:vAlign w:val="center"/>
          </w:tcPr>
          <w:p w14:paraId="2438C449">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TSCG202502003</w:t>
            </w:r>
          </w:p>
        </w:tc>
      </w:tr>
      <w:tr w14:paraId="48215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2053322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052C82A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tcBorders>
              <w:top w:val="single" w:color="auto" w:sz="4" w:space="0"/>
              <w:left w:val="single" w:color="auto" w:sz="4" w:space="0"/>
              <w:right w:val="single" w:color="auto" w:sz="12" w:space="0"/>
            </w:tcBorders>
            <w:vAlign w:val="center"/>
          </w:tcPr>
          <w:p w14:paraId="28E202D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财政性资金</w:t>
            </w:r>
          </w:p>
        </w:tc>
      </w:tr>
      <w:tr w14:paraId="36415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637EC35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7E6B62E6">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tcBorders>
              <w:top w:val="single" w:color="auto" w:sz="4" w:space="0"/>
              <w:left w:val="single" w:color="auto" w:sz="4" w:space="0"/>
              <w:right w:val="single" w:color="auto" w:sz="12" w:space="0"/>
            </w:tcBorders>
            <w:vAlign w:val="center"/>
          </w:tcPr>
          <w:p w14:paraId="47DF0BB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14:paraId="1B13A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135E8F72">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78624B1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14:paraId="6C65729C">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tcBorders>
              <w:top w:val="single" w:color="auto" w:sz="4" w:space="0"/>
              <w:left w:val="single" w:color="auto" w:sz="4" w:space="0"/>
              <w:right w:val="single" w:color="auto" w:sz="12" w:space="0"/>
            </w:tcBorders>
            <w:vAlign w:val="center"/>
          </w:tcPr>
          <w:p w14:paraId="79F7B8AD">
            <w:pPr>
              <w:tabs>
                <w:tab w:val="left" w:pos="1069"/>
                <w:tab w:val="left" w:pos="2352"/>
              </w:tabs>
              <w:rPr>
                <w:rFonts w:ascii="宋体" w:hAnsi="宋体" w:eastAsia="宋体" w:cs="宋体"/>
                <w:color w:val="auto"/>
                <w:sz w:val="22"/>
                <w:highlight w:val="none"/>
                <w:lang w:val="en-US" w:eastAsia="zh-CN"/>
              </w:rPr>
            </w:pPr>
            <w:r>
              <w:rPr>
                <w:rFonts w:hint="eastAsia" w:ascii="宋体" w:hAnsi="宋体" w:cs="宋体"/>
                <w:bCs/>
                <w:color w:val="auto"/>
                <w:sz w:val="22"/>
                <w:highlight w:val="none"/>
                <w:lang w:val="en-US" w:eastAsia="zh-CN"/>
              </w:rPr>
              <w:t>4</w:t>
            </w:r>
            <w:r>
              <w:rPr>
                <w:rFonts w:hint="eastAsia" w:ascii="宋体" w:hAnsi="宋体" w:cs="宋体"/>
                <w:bCs/>
                <w:color w:val="auto"/>
                <w:sz w:val="22"/>
                <w:highlight w:val="none"/>
              </w:rPr>
              <w:t>0万元</w:t>
            </w:r>
            <w:r>
              <w:rPr>
                <w:rFonts w:hint="eastAsia" w:ascii="宋体" w:hAnsi="宋体" w:cs="宋体"/>
                <w:bCs/>
                <w:color w:val="auto"/>
                <w:sz w:val="22"/>
                <w:highlight w:val="none"/>
                <w:lang w:eastAsia="zh-CN"/>
              </w:rPr>
              <w:t>，</w:t>
            </w:r>
            <w:r>
              <w:rPr>
                <w:rFonts w:hint="eastAsia" w:ascii="宋体" w:hAnsi="宋体" w:cs="宋体"/>
                <w:bCs/>
                <w:color w:val="auto"/>
                <w:sz w:val="22"/>
                <w:highlight w:val="none"/>
                <w:lang w:val="en-US" w:eastAsia="zh-CN"/>
              </w:rPr>
              <w:t>其中标项一：25万元；标项二：15万元。</w:t>
            </w:r>
          </w:p>
        </w:tc>
      </w:tr>
      <w:tr w14:paraId="23135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58967B43">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33779BB5">
            <w:pPr>
              <w:tabs>
                <w:tab w:val="left" w:pos="1069"/>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tcBorders>
              <w:top w:val="single" w:color="auto" w:sz="4" w:space="0"/>
              <w:left w:val="single" w:color="auto" w:sz="4" w:space="0"/>
              <w:right w:val="single" w:color="auto" w:sz="12" w:space="0"/>
            </w:tcBorders>
            <w:vAlign w:val="center"/>
          </w:tcPr>
          <w:p w14:paraId="284F00DD">
            <w:pPr>
              <w:tabs>
                <w:tab w:val="left" w:pos="1069"/>
                <w:tab w:val="left" w:pos="2352"/>
              </w:tabs>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eastAsia="zh-CN"/>
              </w:rPr>
              <w:t>泰顺县市场监督管理局</w:t>
            </w:r>
          </w:p>
        </w:tc>
      </w:tr>
      <w:tr w14:paraId="7B75E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5BFFB835">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5C86E63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tcBorders>
              <w:top w:val="single" w:color="auto" w:sz="4" w:space="0"/>
              <w:left w:val="single" w:color="auto" w:sz="4" w:space="0"/>
              <w:right w:val="single" w:color="auto" w:sz="12" w:space="0"/>
            </w:tcBorders>
            <w:vAlign w:val="center"/>
          </w:tcPr>
          <w:p w14:paraId="123C000C">
            <w:pPr>
              <w:tabs>
                <w:tab w:val="left" w:pos="1069"/>
                <w:tab w:val="left" w:pos="2352"/>
              </w:tabs>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杭州华旗招标代理有限公司</w:t>
            </w:r>
          </w:p>
        </w:tc>
      </w:tr>
      <w:tr w14:paraId="3BD08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3AADBCF9">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3461F95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tcBorders>
              <w:top w:val="single" w:color="auto" w:sz="4" w:space="0"/>
              <w:left w:val="single" w:color="auto" w:sz="4" w:space="0"/>
              <w:right w:val="single" w:color="auto" w:sz="12" w:space="0"/>
            </w:tcBorders>
            <w:vAlign w:val="center"/>
          </w:tcPr>
          <w:p w14:paraId="21115EB7">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14:paraId="565C3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4328DE6E">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2CC6B194">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tcBorders>
              <w:top w:val="single" w:color="auto" w:sz="4" w:space="0"/>
              <w:left w:val="single" w:color="auto" w:sz="4" w:space="0"/>
              <w:right w:val="single" w:color="auto" w:sz="12" w:space="0"/>
            </w:tcBorders>
            <w:vAlign w:val="center"/>
          </w:tcPr>
          <w:p w14:paraId="2D626CBD">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14:paraId="0A3D2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tcBorders>
              <w:top w:val="single" w:color="auto" w:sz="4" w:space="0"/>
              <w:left w:val="single" w:color="auto" w:sz="12" w:space="0"/>
              <w:right w:val="single" w:color="auto" w:sz="4" w:space="0"/>
            </w:tcBorders>
            <w:vAlign w:val="center"/>
          </w:tcPr>
          <w:p w14:paraId="5EB8D2A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7C81555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14:paraId="1ED19BF9">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tcBorders>
              <w:top w:val="single" w:color="auto" w:sz="4" w:space="0"/>
              <w:left w:val="single" w:color="auto" w:sz="4" w:space="0"/>
              <w:right w:val="single" w:color="auto" w:sz="12" w:space="0"/>
            </w:tcBorders>
            <w:vAlign w:val="center"/>
          </w:tcPr>
          <w:p w14:paraId="09D3DAA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详见采购公告</w:t>
            </w:r>
          </w:p>
        </w:tc>
      </w:tr>
      <w:tr w14:paraId="0225C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3ABBFB9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288143C5">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tcBorders>
              <w:top w:val="single" w:color="auto" w:sz="4" w:space="0"/>
              <w:left w:val="single" w:color="auto" w:sz="4" w:space="0"/>
              <w:right w:val="single" w:color="auto" w:sz="12" w:space="0"/>
            </w:tcBorders>
            <w:vAlign w:val="center"/>
          </w:tcPr>
          <w:p w14:paraId="30CDF952">
            <w:pPr>
              <w:tabs>
                <w:tab w:val="left" w:pos="1069"/>
                <w:tab w:val="left" w:pos="2352"/>
              </w:tabs>
              <w:rPr>
                <w:rFonts w:ascii="宋体" w:hAnsi="宋体" w:cs="宋体"/>
                <w:color w:val="auto"/>
                <w:sz w:val="22"/>
                <w:highlight w:val="none"/>
              </w:rPr>
            </w:pPr>
            <w:r>
              <w:rPr>
                <w:rFonts w:hint="eastAsia" w:ascii="宋体" w:hAnsi="宋体" w:cs="宋体"/>
                <w:color w:val="auto"/>
                <w:position w:val="2"/>
                <w:sz w:val="22"/>
                <w:highlight w:val="none"/>
              </w:rPr>
              <w:fldChar w:fldCharType="begin"/>
            </w:r>
            <w:r>
              <w:rPr>
                <w:rFonts w:hint="eastAsia" w:ascii="宋体" w:hAnsi="宋体" w:cs="宋体"/>
                <w:color w:val="auto"/>
                <w:position w:val="2"/>
                <w:sz w:val="22"/>
                <w:highlight w:val="none"/>
              </w:rPr>
              <w:instrText xml:space="preserve">eq \o\ac(□</w:instrText>
            </w:r>
            <w:r>
              <w:rPr>
                <w:rFonts w:hint="eastAsia" w:ascii="宋体" w:hAnsi="宋体" w:cs="宋体"/>
                <w:color w:val="auto"/>
                <w:position w:val="2"/>
                <w:sz w:val="15"/>
                <w:highlight w:val="none"/>
              </w:rPr>
              <w:instrText xml:space="preserve">,√)</w:instrText>
            </w:r>
            <w:r>
              <w:rPr>
                <w:rFonts w:hint="eastAsia" w:ascii="宋体" w:hAnsi="宋体" w:cs="宋体"/>
                <w:color w:val="auto"/>
                <w:position w:val="2"/>
                <w:sz w:val="22"/>
                <w:highlight w:val="none"/>
              </w:rPr>
              <w:fldChar w:fldCharType="end"/>
            </w:r>
            <w:r>
              <w:rPr>
                <w:rFonts w:hint="eastAsia" w:ascii="宋体" w:hAnsi="宋体" w:cs="宋体"/>
                <w:color w:val="auto"/>
                <w:sz w:val="22"/>
                <w:highlight w:val="none"/>
              </w:rPr>
              <w:t>不组织</w:t>
            </w:r>
          </w:p>
          <w:p w14:paraId="60D7F79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□组织</w:t>
            </w:r>
          </w:p>
        </w:tc>
      </w:tr>
      <w:tr w14:paraId="29553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tcBorders>
              <w:top w:val="single" w:color="auto" w:sz="4" w:space="0"/>
              <w:left w:val="single" w:color="auto" w:sz="12" w:space="0"/>
              <w:right w:val="single" w:color="auto" w:sz="4" w:space="0"/>
            </w:tcBorders>
            <w:vAlign w:val="center"/>
          </w:tcPr>
          <w:p w14:paraId="23B7D6C9">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4868BBDA">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tcBorders>
              <w:top w:val="single" w:color="auto" w:sz="4" w:space="0"/>
              <w:left w:val="single" w:color="auto" w:sz="4" w:space="0"/>
              <w:right w:val="single" w:color="auto" w:sz="12" w:space="0"/>
            </w:tcBorders>
            <w:vAlign w:val="center"/>
          </w:tcPr>
          <w:p w14:paraId="4EB7A1A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不允许</w:t>
            </w:r>
          </w:p>
          <w:p w14:paraId="5098B96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14:paraId="45081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tcBorders>
              <w:top w:val="single" w:color="auto" w:sz="4" w:space="0"/>
              <w:left w:val="single" w:color="auto" w:sz="12" w:space="0"/>
              <w:right w:val="single" w:color="auto" w:sz="4" w:space="0"/>
            </w:tcBorders>
            <w:vAlign w:val="center"/>
          </w:tcPr>
          <w:p w14:paraId="73AB1439">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35887044">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tcBorders>
              <w:top w:val="single" w:color="auto" w:sz="4" w:space="0"/>
              <w:left w:val="single" w:color="auto" w:sz="4" w:space="0"/>
              <w:right w:val="single" w:color="auto" w:sz="12" w:space="0"/>
            </w:tcBorders>
            <w:vAlign w:val="center"/>
          </w:tcPr>
          <w:p w14:paraId="0F7661E0">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14:paraId="01968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tcBorders>
              <w:top w:val="single" w:color="auto" w:sz="4" w:space="0"/>
              <w:left w:val="single" w:color="auto" w:sz="12" w:space="0"/>
              <w:right w:val="single" w:color="auto" w:sz="4" w:space="0"/>
            </w:tcBorders>
            <w:vAlign w:val="center"/>
          </w:tcPr>
          <w:p w14:paraId="1BA67A3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20E0EEBA">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tcBorders>
              <w:top w:val="single" w:color="auto" w:sz="4" w:space="0"/>
              <w:left w:val="single" w:color="auto" w:sz="4" w:space="0"/>
              <w:right w:val="single" w:color="auto" w:sz="12" w:space="0"/>
            </w:tcBorders>
            <w:vAlign w:val="center"/>
          </w:tcPr>
          <w:p w14:paraId="53A676D3">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14:paraId="25DC2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tcBorders>
              <w:top w:val="single" w:color="auto" w:sz="4" w:space="0"/>
              <w:left w:val="single" w:color="auto" w:sz="12" w:space="0"/>
              <w:right w:val="single" w:color="auto" w:sz="4" w:space="0"/>
            </w:tcBorders>
            <w:vAlign w:val="center"/>
          </w:tcPr>
          <w:p w14:paraId="42246B9D">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6A41EFD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tcBorders>
              <w:top w:val="single" w:color="auto" w:sz="4" w:space="0"/>
              <w:left w:val="single" w:color="auto" w:sz="4" w:space="0"/>
              <w:right w:val="single" w:color="auto" w:sz="12" w:space="0"/>
            </w:tcBorders>
            <w:vAlign w:val="center"/>
          </w:tcPr>
          <w:p w14:paraId="0A6470ED">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lang w:val="zh-CN"/>
              </w:rPr>
              <w:t>《资格文件》及《商务技术文件》和《报价文件》。</w:t>
            </w:r>
          </w:p>
          <w:p w14:paraId="4304178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rPr>
              <w:t>投标文件编制：</w:t>
            </w:r>
            <w:r>
              <w:rPr>
                <w:rFonts w:hint="eastAsia" w:ascii="宋体" w:hAnsi="宋体" w:cs="宋体"/>
                <w:color w:val="auto"/>
                <w:sz w:val="22"/>
                <w:highlight w:val="none"/>
              </w:rPr>
              <w:t>供应商应先安装“政采云电子交易客户端”，并按照本采购文件和“政府采购云平台”的要求，通过“政采云电子交易客户端”编制并加密投标文件。</w:t>
            </w:r>
          </w:p>
          <w:p w14:paraId="711F39C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rPr>
              <w:t>投标文件的签章：</w:t>
            </w:r>
            <w:r>
              <w:rPr>
                <w:rFonts w:hint="eastAsia" w:ascii="宋体" w:hAnsi="宋体" w:cs="宋体"/>
                <w:color w:val="auto"/>
                <w:sz w:val="22"/>
                <w:highlight w:val="none"/>
              </w:rPr>
              <w:t>电子签章。</w:t>
            </w:r>
          </w:p>
          <w:p w14:paraId="42FC42B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☑电子投标文件（“电子加密投标文件”，在投标文件编制完成后生成）；</w:t>
            </w:r>
          </w:p>
          <w:p w14:paraId="2204517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“电子加密投标文件”是指通过“政采云电子交易客户端”完成投标文件编制后生成并加密的数据电文形式的投标文件。</w:t>
            </w:r>
          </w:p>
          <w:p w14:paraId="562EFA22">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b/>
                <w:bCs/>
                <w:color w:val="auto"/>
                <w:sz w:val="22"/>
                <w:highlight w:val="none"/>
              </w:rPr>
              <w:t>5、投标文件份数：</w:t>
            </w:r>
            <w:r>
              <w:rPr>
                <w:rFonts w:hint="eastAsia" w:ascii="宋体" w:hAnsi="宋体" w:cs="宋体"/>
                <w:color w:val="auto"/>
                <w:sz w:val="22"/>
                <w:highlight w:val="none"/>
              </w:rPr>
              <w:t>“电子加密投标文件”：在线上传递交。</w:t>
            </w:r>
          </w:p>
          <w:p w14:paraId="352FA7A1">
            <w:pPr>
              <w:tabs>
                <w:tab w:val="left" w:pos="1069"/>
                <w:tab w:val="left" w:pos="2352"/>
              </w:tabs>
              <w:rPr>
                <w:rFonts w:ascii="宋体" w:hAnsi="宋体" w:cs="宋体"/>
                <w:b/>
                <w:bCs/>
                <w:color w:val="auto"/>
                <w:sz w:val="22"/>
                <w:highlight w:val="none"/>
              </w:rPr>
            </w:pPr>
            <w:r>
              <w:rPr>
                <w:rFonts w:hint="eastAsia" w:ascii="宋体" w:hAnsi="宋体" w:cs="宋体"/>
                <w:color w:val="auto"/>
                <w:sz w:val="22"/>
                <w:highlight w:val="none"/>
              </w:rPr>
              <w:t>6、</w:t>
            </w:r>
            <w:r>
              <w:rPr>
                <w:rFonts w:hint="eastAsia" w:ascii="宋体" w:hAnsi="宋体" w:cs="宋体"/>
                <w:b/>
                <w:bCs/>
                <w:color w:val="auto"/>
                <w:sz w:val="22"/>
                <w:highlight w:val="none"/>
              </w:rPr>
              <w:t>投标文件的上传和递交：</w:t>
            </w:r>
          </w:p>
          <w:p w14:paraId="40745C0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“电子加密投标文件”的上传、递交：</w:t>
            </w:r>
          </w:p>
          <w:p w14:paraId="47F3949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a.供应商应在投标截止时间前将“电子加密投标文件”成功上传递交至“政府采购云平台”，否则投标无效。</w:t>
            </w:r>
          </w:p>
          <w:p w14:paraId="4528EBF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b.“电子加密投标文件”成功上传递交后，供应商可自行打印投标文件接收回执。</w:t>
            </w:r>
          </w:p>
          <w:p w14:paraId="002FC532">
            <w:pPr>
              <w:tabs>
                <w:tab w:val="left" w:pos="1069"/>
                <w:tab w:val="left" w:pos="2352"/>
              </w:tabs>
              <w:rPr>
                <w:rFonts w:ascii="宋体" w:hAnsi="宋体" w:cs="宋体"/>
                <w:b/>
                <w:bCs/>
                <w:color w:val="auto"/>
                <w:sz w:val="22"/>
                <w:highlight w:val="none"/>
              </w:rPr>
            </w:pPr>
            <w:r>
              <w:rPr>
                <w:rFonts w:hint="eastAsia" w:ascii="宋体" w:hAnsi="宋体" w:cs="宋体"/>
                <w:b/>
                <w:bCs/>
                <w:color w:val="auto"/>
                <w:sz w:val="22"/>
                <w:highlight w:val="none"/>
              </w:rPr>
              <w:t>7、电子加密投标文件的解密和异常情况处理：</w:t>
            </w:r>
          </w:p>
          <w:p w14:paraId="3F911438">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（1）开标后，采购组织机构将向各供应商发出“电子加密投标文件”的解密通知，各供应商代表应当在接到解密通知后30分钟内自行完成“电子加密投标文件”的在线解密。</w:t>
            </w:r>
          </w:p>
          <w:p w14:paraId="22E3EE63">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（2）</w:t>
            </w:r>
            <w:r>
              <w:rPr>
                <w:rStyle w:val="28"/>
                <w:rFonts w:hint="eastAsia" w:ascii="宋体" w:hAnsi="宋体" w:cs="宋体"/>
                <w:b w:val="0"/>
                <w:color w:val="auto"/>
                <w:sz w:val="22"/>
                <w:highlight w:val="none"/>
              </w:rPr>
              <w:t>通过“政府采购云平台”上传递交的“电子加密投标文件”无法按时解密的，其投标无效。</w:t>
            </w:r>
          </w:p>
          <w:p w14:paraId="47F5864F">
            <w:pPr>
              <w:tabs>
                <w:tab w:val="left" w:pos="1069"/>
                <w:tab w:val="left" w:pos="2352"/>
              </w:tabs>
              <w:snapToGrid w:val="0"/>
              <w:rPr>
                <w:rFonts w:ascii="宋体" w:hAnsi="宋体" w:cs="宋体"/>
                <w:color w:val="auto"/>
                <w:sz w:val="22"/>
                <w:highlight w:val="none"/>
              </w:rPr>
            </w:pPr>
            <w:r>
              <w:rPr>
                <w:rFonts w:hint="eastAsia" w:ascii="宋体" w:hAnsi="宋体" w:cs="宋体"/>
                <w:b/>
                <w:bCs/>
                <w:color w:val="auto"/>
                <w:sz w:val="22"/>
                <w:highlight w:val="none"/>
              </w:rPr>
              <w:t>8、</w:t>
            </w:r>
            <w:r>
              <w:rPr>
                <w:rFonts w:hint="eastAsia" w:ascii="宋体" w:hAnsi="宋体" w:cs="宋体"/>
                <w:color w:val="auto"/>
                <w:sz w:val="22"/>
                <w:highlight w:val="none"/>
              </w:rPr>
              <w:t>投标截止后，在投标有效期内，供应商不能撤销投标文件。</w:t>
            </w:r>
          </w:p>
          <w:p w14:paraId="7F942BA3">
            <w:pPr>
              <w:tabs>
                <w:tab w:val="left" w:pos="1069"/>
                <w:tab w:val="left" w:pos="2352"/>
              </w:tabs>
              <w:snapToGrid w:val="0"/>
              <w:rPr>
                <w:rFonts w:ascii="宋体" w:hAnsi="宋体" w:cs="宋体"/>
                <w:color w:val="auto"/>
                <w:sz w:val="22"/>
                <w:highlight w:val="none"/>
              </w:rPr>
            </w:pPr>
            <w:r>
              <w:rPr>
                <w:rFonts w:hint="eastAsia" w:ascii="宋体" w:hAnsi="宋体" w:cs="宋体"/>
                <w:color w:val="auto"/>
                <w:sz w:val="22"/>
                <w:highlight w:val="none"/>
              </w:rPr>
              <w:t>9、存在下列行为的，招标代理机构将其失信行为上报政府采购主管部门，由主管部门按有关规定对其违法失信行为记录进行公开：</w:t>
            </w:r>
          </w:p>
          <w:p w14:paraId="3C248573">
            <w:pPr>
              <w:tabs>
                <w:tab w:val="left" w:pos="1069"/>
                <w:tab w:val="left" w:pos="2352"/>
              </w:tabs>
              <w:snapToGrid w:val="0"/>
              <w:rPr>
                <w:rFonts w:ascii="宋体" w:hAnsi="宋体" w:cs="宋体"/>
                <w:color w:val="auto"/>
                <w:sz w:val="22"/>
                <w:highlight w:val="none"/>
              </w:rPr>
            </w:pPr>
            <w:r>
              <w:rPr>
                <w:rFonts w:hint="eastAsia" w:ascii="宋体" w:hAnsi="宋体" w:cs="宋体"/>
                <w:color w:val="auto"/>
                <w:sz w:val="22"/>
                <w:highlight w:val="none"/>
              </w:rPr>
              <w:t>（1）中标或者成交后，拒绝签订政府采购合同的；</w:t>
            </w:r>
          </w:p>
          <w:p w14:paraId="2E868F1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（2）投标有效期内撤销投标文件的</w:t>
            </w:r>
          </w:p>
          <w:p w14:paraId="5345ECC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10、</w:t>
            </w:r>
            <w:r>
              <w:rPr>
                <w:rFonts w:hint="eastAsia" w:ascii="宋体" w:hAnsi="宋体" w:cs="宋体"/>
                <w:b/>
                <w:bCs/>
                <w:color w:val="auto"/>
                <w:sz w:val="22"/>
                <w:highlight w:val="none"/>
                <w:u w:val="single"/>
              </w:rPr>
              <w:t>中标后，中标（成交）供应商须提供4份纸质投标文件至招标代理机构处作为纸质存档</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lang w:val="en-US" w:eastAsia="zh-CN"/>
              </w:rPr>
              <w:t>邮寄地址详见公告</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rPr>
              <w:t>。</w:t>
            </w:r>
          </w:p>
        </w:tc>
      </w:tr>
      <w:tr w14:paraId="4058D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tcBorders>
              <w:top w:val="single" w:color="auto" w:sz="4" w:space="0"/>
              <w:left w:val="single" w:color="auto" w:sz="12" w:space="0"/>
              <w:right w:val="single" w:color="auto" w:sz="4" w:space="0"/>
            </w:tcBorders>
            <w:vAlign w:val="center"/>
          </w:tcPr>
          <w:p w14:paraId="6BAF5BC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27AEA9A4">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tcBorders>
              <w:top w:val="single" w:color="auto" w:sz="4" w:space="0"/>
              <w:left w:val="single" w:color="auto" w:sz="4" w:space="0"/>
              <w:right w:val="single" w:color="auto" w:sz="12" w:space="0"/>
            </w:tcBorders>
            <w:vAlign w:val="center"/>
          </w:tcPr>
          <w:p w14:paraId="10E7B592">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position w:val="2"/>
                <w:sz w:val="22"/>
                <w:highlight w:val="none"/>
              </w:rPr>
              <w:fldChar w:fldCharType="begin"/>
            </w:r>
            <w:r>
              <w:rPr>
                <w:rFonts w:hint="eastAsia" w:ascii="宋体" w:hAnsi="宋体" w:cs="宋体"/>
                <w:b/>
                <w:bCs/>
                <w:color w:val="auto"/>
                <w:kern w:val="0"/>
                <w:position w:val="2"/>
                <w:sz w:val="22"/>
                <w:highlight w:val="none"/>
              </w:rPr>
              <w:instrText xml:space="preserve">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position w:val="2"/>
                <w:sz w:val="22"/>
                <w:highlight w:val="none"/>
              </w:rPr>
              <w:fldChar w:fldCharType="end"/>
            </w:r>
            <w:r>
              <w:rPr>
                <w:rFonts w:hint="eastAsia" w:ascii="宋体" w:hAnsi="宋体" w:cs="宋体"/>
                <w:color w:val="auto"/>
                <w:kern w:val="0"/>
                <w:sz w:val="22"/>
                <w:highlight w:val="none"/>
              </w:rPr>
              <w:t xml:space="preserve">不需要  </w:t>
            </w:r>
          </w:p>
          <w:p w14:paraId="03FE6659">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14:paraId="7916B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tcBorders>
              <w:top w:val="single" w:color="auto" w:sz="4" w:space="0"/>
              <w:left w:val="single" w:color="auto" w:sz="12" w:space="0"/>
              <w:right w:val="single" w:color="auto" w:sz="4" w:space="0"/>
            </w:tcBorders>
            <w:vAlign w:val="center"/>
          </w:tcPr>
          <w:p w14:paraId="4B1F2CFD">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1EFF977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tcBorders>
              <w:top w:val="single" w:color="auto" w:sz="4" w:space="0"/>
              <w:left w:val="single" w:color="auto" w:sz="4" w:space="0"/>
              <w:right w:val="single" w:color="auto" w:sz="12" w:space="0"/>
            </w:tcBorders>
            <w:vAlign w:val="center"/>
          </w:tcPr>
          <w:p w14:paraId="457F16F9">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 xml:space="preserve">不需要  </w:t>
            </w:r>
          </w:p>
          <w:p w14:paraId="70840500">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14:paraId="5F027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tcBorders>
              <w:top w:val="single" w:color="auto" w:sz="4" w:space="0"/>
              <w:left w:val="single" w:color="auto" w:sz="12" w:space="0"/>
              <w:right w:val="single" w:color="auto" w:sz="4" w:space="0"/>
            </w:tcBorders>
            <w:vAlign w:val="center"/>
          </w:tcPr>
          <w:p w14:paraId="36B538C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477F5B5D">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tcBorders>
              <w:top w:val="single" w:color="auto" w:sz="4" w:space="0"/>
              <w:left w:val="single" w:color="auto" w:sz="4" w:space="0"/>
              <w:right w:val="single" w:color="auto" w:sz="12" w:space="0"/>
            </w:tcBorders>
            <w:vAlign w:val="center"/>
          </w:tcPr>
          <w:p w14:paraId="0B8BE68F">
            <w:pPr>
              <w:tabs>
                <w:tab w:val="left" w:pos="1069"/>
                <w:tab w:val="left" w:pos="2352"/>
              </w:tabs>
              <w:rPr>
                <w:rFonts w:ascii="宋体" w:hAnsi="宋体" w:cs="宋体"/>
                <w:color w:val="auto"/>
                <w:sz w:val="22"/>
                <w:highlight w:val="none"/>
              </w:rPr>
            </w:pPr>
            <w:r>
              <w:rPr>
                <w:rFonts w:hint="eastAsia" w:ascii="宋体" w:hAnsi="宋体" w:cs="宋体"/>
                <w:b/>
                <w:bCs/>
                <w:color w:val="auto"/>
                <w:kern w:val="0"/>
                <w:position w:val="2"/>
                <w:sz w:val="22"/>
                <w:highlight w:val="none"/>
              </w:rPr>
              <w:fldChar w:fldCharType="begin"/>
            </w:r>
            <w:r>
              <w:rPr>
                <w:rFonts w:hint="eastAsia" w:ascii="宋体" w:hAnsi="宋体" w:cs="宋体"/>
                <w:b/>
                <w:bCs/>
                <w:color w:val="auto"/>
                <w:kern w:val="0"/>
                <w:position w:val="2"/>
                <w:sz w:val="22"/>
                <w:highlight w:val="none"/>
              </w:rPr>
              <w:instrText xml:space="preserve">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position w:val="2"/>
                <w:sz w:val="22"/>
                <w:highlight w:val="none"/>
              </w:rPr>
              <w:fldChar w:fldCharType="end"/>
            </w:r>
            <w:r>
              <w:rPr>
                <w:rFonts w:hint="eastAsia" w:ascii="宋体" w:hAnsi="宋体" w:cs="宋体"/>
                <w:color w:val="auto"/>
                <w:sz w:val="22"/>
                <w:highlight w:val="none"/>
              </w:rPr>
              <w:t xml:space="preserve">不需要  </w:t>
            </w:r>
          </w:p>
          <w:p w14:paraId="546C3A4C">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rPr>
              <w:sym w:font="Wingdings 2" w:char="00A3"/>
            </w:r>
            <w:r>
              <w:rPr>
                <w:rFonts w:hint="eastAsia" w:ascii="宋体" w:hAnsi="宋体" w:cs="宋体"/>
                <w:color w:val="auto"/>
                <w:kern w:val="0"/>
                <w:sz w:val="22"/>
                <w:highlight w:val="none"/>
              </w:rPr>
              <w:t>需要</w:t>
            </w:r>
          </w:p>
        </w:tc>
      </w:tr>
      <w:tr w14:paraId="3580F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tcBorders>
              <w:top w:val="single" w:color="auto" w:sz="4" w:space="0"/>
              <w:left w:val="single" w:color="auto" w:sz="12" w:space="0"/>
              <w:right w:val="single" w:color="auto" w:sz="4" w:space="0"/>
            </w:tcBorders>
            <w:vAlign w:val="center"/>
          </w:tcPr>
          <w:p w14:paraId="75E70CD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2277A25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tcBorders>
              <w:top w:val="single" w:color="auto" w:sz="4" w:space="0"/>
              <w:left w:val="single" w:color="auto" w:sz="4" w:space="0"/>
              <w:right w:val="single" w:color="auto" w:sz="12" w:space="0"/>
            </w:tcBorders>
            <w:vAlign w:val="center"/>
          </w:tcPr>
          <w:p w14:paraId="65D3B7C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登录浙江省政府采购网（网址：</w:t>
            </w:r>
            <w:r>
              <w:rPr>
                <w:rFonts w:hint="eastAsia" w:ascii="宋体" w:hAnsi="宋体" w:cs="宋体"/>
                <w:color w:val="auto"/>
                <w:sz w:val="22"/>
                <w:highlight w:val="none"/>
              </w:rPr>
              <w:fldChar w:fldCharType="begin"/>
            </w:r>
            <w:r>
              <w:rPr>
                <w:color w:val="auto"/>
                <w:highlight w:val="none"/>
              </w:rPr>
              <w:instrText xml:space="preserve">HYPERLINK "http://www.zjzfcg.gov.cn）查找本项目并获取采购文件，获取采购文件时应填写正确的电子邮箱。"</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http://zfcg.czt.zj.gov.cn/）查找本项目并获取采购文件，获取采购文件时应填写正确的电子邮箱（开标时若有文件传输均发至此邮箱）。</w:t>
            </w:r>
          </w:p>
          <w:p w14:paraId="1104595F">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fldChar w:fldCharType="end"/>
            </w:r>
            <w:r>
              <w:rPr>
                <w:rFonts w:hint="eastAsia" w:ascii="宋体" w:hAnsi="宋体" w:cs="宋体"/>
                <w:color w:val="auto"/>
                <w:sz w:val="22"/>
                <w:highlight w:val="none"/>
              </w:rPr>
              <w:t>采购文件获取截止时间：本项目开标时间。</w:t>
            </w:r>
          </w:p>
        </w:tc>
      </w:tr>
      <w:tr w14:paraId="1167F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tcBorders>
              <w:top w:val="single" w:color="auto" w:sz="4" w:space="0"/>
              <w:left w:val="single" w:color="auto" w:sz="12" w:space="0"/>
              <w:right w:val="single" w:color="auto" w:sz="4" w:space="0"/>
            </w:tcBorders>
            <w:vAlign w:val="center"/>
          </w:tcPr>
          <w:p w14:paraId="681AF2F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28532EA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tcBorders>
              <w:top w:val="single" w:color="auto" w:sz="4" w:space="0"/>
              <w:left w:val="single" w:color="auto" w:sz="4" w:space="0"/>
              <w:right w:val="single" w:color="auto" w:sz="12" w:space="0"/>
            </w:tcBorders>
            <w:vAlign w:val="center"/>
          </w:tcPr>
          <w:p w14:paraId="6AEC154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eastAsia="zh-CN"/>
              </w:rPr>
              <w:t>2025年03月06日</w:t>
            </w:r>
            <w:r>
              <w:rPr>
                <w:rFonts w:hint="eastAsia" w:ascii="宋体" w:hAnsi="宋体" w:cs="宋体"/>
                <w:color w:val="auto"/>
                <w:sz w:val="22"/>
                <w:highlight w:val="none"/>
              </w:rPr>
              <w:t xml:space="preserve"> </w:t>
            </w:r>
            <w:r>
              <w:rPr>
                <w:rFonts w:hint="eastAsia" w:ascii="宋体" w:hAnsi="宋体" w:cs="宋体"/>
                <w:color w:val="auto"/>
                <w:sz w:val="22"/>
                <w:highlight w:val="none"/>
                <w:lang w:eastAsia="zh-CN"/>
              </w:rPr>
              <w:t>15:00</w:t>
            </w:r>
            <w:r>
              <w:rPr>
                <w:rFonts w:hint="eastAsia" w:ascii="宋体" w:hAnsi="宋体" w:cs="宋体"/>
                <w:color w:val="auto"/>
                <w:sz w:val="22"/>
                <w:highlight w:val="none"/>
              </w:rPr>
              <w:t>(北京时间)</w:t>
            </w:r>
          </w:p>
          <w:p w14:paraId="7546FA8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14:paraId="52DE2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tcBorders>
              <w:top w:val="single" w:color="auto" w:sz="4" w:space="0"/>
              <w:left w:val="single" w:color="auto" w:sz="12" w:space="0"/>
              <w:right w:val="single" w:color="auto" w:sz="4" w:space="0"/>
            </w:tcBorders>
            <w:vAlign w:val="center"/>
          </w:tcPr>
          <w:p w14:paraId="2EC41E69">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6853DD3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14:paraId="6B8D4FC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tcBorders>
              <w:top w:val="single" w:color="auto" w:sz="4" w:space="0"/>
              <w:left w:val="single" w:color="auto" w:sz="4" w:space="0"/>
              <w:right w:val="single" w:color="auto" w:sz="12" w:space="0"/>
            </w:tcBorders>
            <w:vAlign w:val="center"/>
          </w:tcPr>
          <w:p w14:paraId="556DC31E">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2025年03月06日</w:t>
            </w:r>
            <w:r>
              <w:rPr>
                <w:rFonts w:hint="eastAsia" w:ascii="宋体" w:hAnsi="宋体" w:cs="宋体"/>
                <w:color w:val="auto"/>
                <w:sz w:val="22"/>
                <w:highlight w:val="none"/>
              </w:rPr>
              <w:t xml:space="preserve"> </w:t>
            </w:r>
            <w:r>
              <w:rPr>
                <w:rFonts w:hint="eastAsia" w:ascii="宋体" w:hAnsi="宋体" w:cs="宋体"/>
                <w:color w:val="auto"/>
                <w:sz w:val="22"/>
                <w:highlight w:val="none"/>
                <w:lang w:eastAsia="zh-CN"/>
              </w:rPr>
              <w:t>15:00</w:t>
            </w:r>
            <w:r>
              <w:rPr>
                <w:rFonts w:hint="eastAsia" w:ascii="宋体" w:hAnsi="宋体" w:cs="宋体"/>
                <w:color w:val="auto"/>
                <w:sz w:val="22"/>
                <w:highlight w:val="none"/>
              </w:rPr>
              <w:t xml:space="preserve"> (北京时间)</w:t>
            </w:r>
          </w:p>
          <w:p w14:paraId="120F9D0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14:paraId="27C72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tcBorders>
              <w:top w:val="single" w:color="auto" w:sz="4" w:space="0"/>
              <w:left w:val="single" w:color="auto" w:sz="12" w:space="0"/>
              <w:right w:val="single" w:color="auto" w:sz="4" w:space="0"/>
            </w:tcBorders>
            <w:vAlign w:val="center"/>
          </w:tcPr>
          <w:p w14:paraId="37D2B45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19C5722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tcBorders>
              <w:top w:val="single" w:color="auto" w:sz="4" w:space="0"/>
              <w:left w:val="single" w:color="auto" w:sz="4" w:space="0"/>
              <w:right w:val="single" w:color="auto" w:sz="12" w:space="0"/>
            </w:tcBorders>
            <w:vAlign w:val="center"/>
          </w:tcPr>
          <w:p w14:paraId="7D5BB475">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val="en-US" w:eastAsia="zh-CN"/>
              </w:rPr>
              <w:t>杭州华旗招标代理有限公司</w:t>
            </w:r>
            <w:r>
              <w:rPr>
                <w:rFonts w:hint="eastAsia" w:ascii="宋体" w:hAnsi="宋体" w:cs="宋体"/>
                <w:color w:val="auto"/>
                <w:sz w:val="22"/>
                <w:highlight w:val="none"/>
              </w:rPr>
              <w:t>评标室1（温州市泰顺县罗阳镇</w:t>
            </w:r>
            <w:r>
              <w:rPr>
                <w:rFonts w:hint="eastAsia" w:ascii="宋体" w:hAnsi="宋体" w:cs="宋体"/>
                <w:color w:val="auto"/>
                <w:sz w:val="22"/>
                <w:highlight w:val="none"/>
                <w:lang w:val="en-US" w:eastAsia="zh-CN"/>
              </w:rPr>
              <w:t>湖滨花苑B8幢401</w:t>
            </w:r>
            <w:r>
              <w:rPr>
                <w:rFonts w:hint="eastAsia" w:ascii="宋体" w:hAnsi="宋体" w:cs="宋体"/>
                <w:color w:val="auto"/>
                <w:sz w:val="22"/>
                <w:highlight w:val="none"/>
              </w:rPr>
              <w:t>）</w:t>
            </w:r>
          </w:p>
        </w:tc>
      </w:tr>
      <w:tr w14:paraId="14166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tcBorders>
              <w:top w:val="single" w:color="auto" w:sz="4" w:space="0"/>
              <w:left w:val="single" w:color="auto" w:sz="12" w:space="0"/>
              <w:right w:val="single" w:color="auto" w:sz="4" w:space="0"/>
            </w:tcBorders>
            <w:vAlign w:val="center"/>
          </w:tcPr>
          <w:p w14:paraId="756F2AF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405CBB30">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开标程序</w:t>
            </w:r>
          </w:p>
        </w:tc>
        <w:tc>
          <w:tcPr>
            <w:tcW w:w="7619" w:type="dxa"/>
            <w:tcBorders>
              <w:top w:val="single" w:color="auto" w:sz="4" w:space="0"/>
              <w:left w:val="single" w:color="auto" w:sz="4" w:space="0"/>
              <w:right w:val="single" w:color="auto" w:sz="12" w:space="0"/>
            </w:tcBorders>
            <w:vAlign w:val="center"/>
          </w:tcPr>
          <w:p w14:paraId="2F848FE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（一）开标准备</w:t>
            </w:r>
          </w:p>
          <w:p w14:paraId="0E6AB1A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2F7DCDAF">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2.若磋商供应商在规定时间内无法解密或解密失败的，其投标无效。</w:t>
            </w:r>
          </w:p>
          <w:p w14:paraId="35BF799E">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038924C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（二）电子招投标开标及评审程序</w:t>
            </w:r>
          </w:p>
          <w:p w14:paraId="37788C8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06DE0C5F">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2.投标文件解密结束，开启响应文件，磋商小组对资格和商务技术响应文件进行评审；</w:t>
            </w:r>
          </w:p>
          <w:p w14:paraId="570E0AB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3.供应商按签到的前后顺序决定磋商的顺序，就价格、服务等认为需要磋商的内容进行磋商，供应商逐家回答磋商小组的提问，响应人作出最终承诺和最终报价。</w:t>
            </w:r>
          </w:p>
          <w:p w14:paraId="0100F80F">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5.在系统上公开资格和</w:t>
            </w:r>
            <w:r>
              <w:rPr>
                <w:rFonts w:hint="eastAsia" w:hAnsi="宋体" w:cs="宋体"/>
                <w:color w:val="auto"/>
                <w:sz w:val="22"/>
                <w:highlight w:val="none"/>
              </w:rPr>
              <w:t>商务技术评分</w:t>
            </w:r>
            <w:r>
              <w:rPr>
                <w:rFonts w:hint="eastAsia" w:ascii="宋体" w:hAnsi="宋体" w:cs="宋体"/>
                <w:color w:val="auto"/>
                <w:sz w:val="22"/>
                <w:highlight w:val="none"/>
              </w:rPr>
              <w:t>评审结果；</w:t>
            </w:r>
          </w:p>
          <w:p w14:paraId="0377A37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6.在系统上录入最终报价情况；</w:t>
            </w:r>
          </w:p>
          <w:p w14:paraId="60F12B6E">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7.磋商小组对报价情况进行评审；</w:t>
            </w:r>
          </w:p>
          <w:p w14:paraId="74788DA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8.在系统上公布评审结果。</w:t>
            </w:r>
          </w:p>
          <w:p w14:paraId="75B2F49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特别说明：政采云公司如对电子化开标及评审程序有调整的，按调整后的程序操作。</w:t>
            </w:r>
          </w:p>
        </w:tc>
      </w:tr>
      <w:tr w14:paraId="1862D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3ED5B39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5E20EE8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14:paraId="1D001BD0">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tcBorders>
              <w:top w:val="single" w:color="auto" w:sz="4" w:space="0"/>
              <w:left w:val="single" w:color="auto" w:sz="4" w:space="0"/>
              <w:right w:val="single" w:color="auto" w:sz="12" w:space="0"/>
            </w:tcBorders>
            <w:vAlign w:val="center"/>
          </w:tcPr>
          <w:p w14:paraId="6037647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14:paraId="56A6D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056E7FF7">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731D7941">
            <w:pPr>
              <w:adjustRightInd w:val="0"/>
              <w:jc w:val="center"/>
              <w:rPr>
                <w:rFonts w:ascii="宋体"/>
                <w:color w:val="auto"/>
                <w:sz w:val="22"/>
                <w:highlight w:val="none"/>
              </w:rPr>
            </w:pPr>
            <w:r>
              <w:rPr>
                <w:rFonts w:hint="eastAsia" w:ascii="宋体"/>
                <w:color w:val="auto"/>
                <w:sz w:val="22"/>
                <w:highlight w:val="none"/>
              </w:rPr>
              <w:t>政府采购</w:t>
            </w:r>
          </w:p>
          <w:p w14:paraId="1E549C26">
            <w:pPr>
              <w:adjustRightInd w:val="0"/>
              <w:jc w:val="center"/>
              <w:rPr>
                <w:rFonts w:ascii="宋体" w:hAnsi="宋体" w:cs="宋体"/>
                <w:color w:val="auto"/>
                <w:sz w:val="22"/>
                <w:highlight w:val="none"/>
              </w:rPr>
            </w:pPr>
            <w:r>
              <w:rPr>
                <w:rFonts w:hint="eastAsia" w:ascii="宋体"/>
                <w:color w:val="auto"/>
                <w:sz w:val="22"/>
                <w:highlight w:val="none"/>
              </w:rPr>
              <w:t>扶持政策</w:t>
            </w:r>
          </w:p>
        </w:tc>
        <w:tc>
          <w:tcPr>
            <w:tcW w:w="7619" w:type="dxa"/>
            <w:tcBorders>
              <w:top w:val="single" w:color="auto" w:sz="4" w:space="0"/>
              <w:left w:val="single" w:color="auto" w:sz="4" w:space="0"/>
              <w:right w:val="single" w:color="auto" w:sz="12" w:space="0"/>
            </w:tcBorders>
            <w:vAlign w:val="center"/>
          </w:tcPr>
          <w:p w14:paraId="02939A26">
            <w:pPr>
              <w:tabs>
                <w:tab w:val="left" w:pos="1069"/>
                <w:tab w:val="left" w:pos="2352"/>
              </w:tabs>
              <w:rPr>
                <w:rFonts w:ascii="宋体" w:cs="Arial"/>
                <w:color w:val="auto"/>
                <w:sz w:val="22"/>
                <w:highlight w:val="none"/>
              </w:rPr>
            </w:pPr>
            <w:r>
              <w:rPr>
                <w:rFonts w:ascii="宋体"/>
                <w:color w:val="auto"/>
                <w:sz w:val="22"/>
                <w:highlight w:val="none"/>
              </w:rPr>
              <w:t>1</w:t>
            </w:r>
            <w:r>
              <w:rPr>
                <w:rFonts w:hint="eastAsia" w:ascii="宋体"/>
                <w:color w:val="auto"/>
                <w:sz w:val="22"/>
                <w:highlight w:val="none"/>
                <w:lang w:eastAsia="zh-CN"/>
              </w:rPr>
              <w:t>.</w:t>
            </w:r>
            <w:r>
              <w:rPr>
                <w:rFonts w:hint="eastAsia" w:ascii="宋体" w:hAnsi="宋体" w:cs="宋体"/>
                <w:color w:val="auto"/>
                <w:sz w:val="22"/>
                <w:highlight w:val="none"/>
              </w:rPr>
              <w:t>对符合财政扶持政策的小微企业（或监狱企业、或残疾人福利性单位）给予评标价格折扣。供应商企业属于以上多种性质的，不重复享受扶持政策</w:t>
            </w:r>
            <w:r>
              <w:rPr>
                <w:rFonts w:hint="eastAsia" w:ascii="宋体" w:cs="Arial"/>
                <w:color w:val="auto"/>
                <w:sz w:val="22"/>
                <w:highlight w:val="none"/>
              </w:rPr>
              <w:t>。</w:t>
            </w:r>
          </w:p>
          <w:p w14:paraId="462E367D">
            <w:pPr>
              <w:rPr>
                <w:rFonts w:ascii="宋体" w:hAnsi="宋体" w:cs="宋体"/>
                <w:color w:val="auto"/>
                <w:sz w:val="22"/>
                <w:highlight w:val="none"/>
              </w:rPr>
            </w:pPr>
            <w:r>
              <w:rPr>
                <w:rFonts w:ascii="宋体" w:cs="Arial"/>
                <w:color w:val="auto"/>
                <w:sz w:val="22"/>
                <w:highlight w:val="none"/>
              </w:rPr>
              <w:t>2</w:t>
            </w:r>
            <w:r>
              <w:rPr>
                <w:rFonts w:hint="eastAsia" w:ascii="宋体" w:cs="Arial"/>
                <w:color w:val="auto"/>
                <w:sz w:val="22"/>
                <w:highlight w:val="none"/>
                <w:lang w:eastAsia="zh-CN"/>
              </w:rPr>
              <w:t>.</w:t>
            </w:r>
            <w:r>
              <w:rPr>
                <w:rFonts w:hint="eastAsia" w:ascii="宋体" w:cs="Arial"/>
                <w:color w:val="auto"/>
                <w:sz w:val="22"/>
                <w:highlight w:val="none"/>
              </w:rPr>
              <w:t>对节能、环保产品优先采购。</w:t>
            </w:r>
          </w:p>
        </w:tc>
      </w:tr>
      <w:tr w14:paraId="435B5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tcBorders>
              <w:top w:val="single" w:color="auto" w:sz="4" w:space="0"/>
              <w:left w:val="single" w:color="auto" w:sz="12" w:space="0"/>
              <w:right w:val="single" w:color="auto" w:sz="4" w:space="0"/>
            </w:tcBorders>
            <w:vAlign w:val="center"/>
          </w:tcPr>
          <w:p w14:paraId="216E28B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5CE6725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tcBorders>
              <w:top w:val="single" w:color="auto" w:sz="4" w:space="0"/>
              <w:left w:val="single" w:color="auto" w:sz="4" w:space="0"/>
              <w:right w:val="single" w:color="auto" w:sz="12" w:space="0"/>
            </w:tcBorders>
            <w:vAlign w:val="center"/>
          </w:tcPr>
          <w:p w14:paraId="289C515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投标供应商信用信息查询的查询渠道：“信用中国”(</w:t>
            </w:r>
            <w:r>
              <w:rPr>
                <w:rFonts w:hint="eastAsia" w:ascii="宋体" w:hAnsi="宋体" w:cs="宋体"/>
                <w:color w:val="auto"/>
                <w:sz w:val="22"/>
                <w:highlight w:val="none"/>
              </w:rPr>
              <w:fldChar w:fldCharType="begin"/>
            </w:r>
            <w:r>
              <w:rPr>
                <w:color w:val="auto"/>
                <w:highlight w:val="none"/>
              </w:rPr>
              <w:instrText xml:space="preserve">HYPERLINK "http://www.creditchina.gov.cn"</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14:paraId="2869291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投标供应商信用信息查询截止时点：本项目投标截止时间前。</w:t>
            </w:r>
          </w:p>
          <w:p w14:paraId="65A45D4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投标供应商信用信息查询记录和证据留存的具体方式：网页截图打印；</w:t>
            </w:r>
          </w:p>
          <w:p w14:paraId="268F3A3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lang w:eastAsia="zh-CN"/>
              </w:rPr>
              <w:t>.</w:t>
            </w:r>
            <w:r>
              <w:rPr>
                <w:rFonts w:hint="eastAsia" w:ascii="宋体" w:hAnsi="宋体" w:cs="宋体"/>
                <w:color w:val="auto"/>
                <w:sz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568E1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14DDB113">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58257694">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tcBorders>
              <w:top w:val="single" w:color="auto" w:sz="4" w:space="0"/>
              <w:left w:val="single" w:color="auto" w:sz="4" w:space="0"/>
              <w:right w:val="single" w:color="auto" w:sz="12" w:space="0"/>
            </w:tcBorders>
            <w:vAlign w:val="center"/>
          </w:tcPr>
          <w:p w14:paraId="3ADD988C">
            <w:pPr>
              <w:tabs>
                <w:tab w:val="left" w:pos="1069"/>
                <w:tab w:val="left" w:pos="2352"/>
              </w:tabs>
              <w:jc w:val="both"/>
              <w:rPr>
                <w:rFonts w:ascii="宋体" w:hAns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中标（成交）供应商须在发出中标（成交）通知书之日起30日历天内与</w:t>
            </w:r>
          </w:p>
          <w:p w14:paraId="0CB4F66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14:paraId="1A8EE6C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中标（成交）供应商与采购人签订合同后，2日历天内将合同原件交招标代理机构备案。</w:t>
            </w:r>
          </w:p>
          <w:p w14:paraId="25F6568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本项目政府采购合同按规定在浙江政府采购网（http://zfcg.czt.zj.gov.cn/）予以公告。</w:t>
            </w:r>
          </w:p>
        </w:tc>
      </w:tr>
      <w:tr w14:paraId="75ED1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56311093">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35F9E7F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tcBorders>
              <w:top w:val="single" w:color="auto" w:sz="4" w:space="0"/>
              <w:left w:val="single" w:color="auto" w:sz="4" w:space="0"/>
              <w:right w:val="single" w:color="auto" w:sz="12" w:space="0"/>
            </w:tcBorders>
            <w:vAlign w:val="center"/>
          </w:tcPr>
          <w:p w14:paraId="30D7CDC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成交）单位供货（或服务）、项目验收等重要关节，如实填写《合同验收报告》（表附合同条款中），并及时向同级财政部门报告验收过程中遇到的问题。</w:t>
            </w:r>
          </w:p>
        </w:tc>
      </w:tr>
      <w:tr w14:paraId="73350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24C29C37">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tcBorders>
              <w:top w:val="single" w:color="auto" w:sz="4" w:space="0"/>
              <w:left w:val="single" w:color="auto" w:sz="4" w:space="0"/>
              <w:right w:val="single" w:color="auto" w:sz="4" w:space="0"/>
            </w:tcBorders>
            <w:vAlign w:val="center"/>
          </w:tcPr>
          <w:p w14:paraId="68532A1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tcBorders>
              <w:top w:val="single" w:color="auto" w:sz="4" w:space="0"/>
              <w:left w:val="single" w:color="auto" w:sz="4" w:space="0"/>
              <w:right w:val="single" w:color="auto" w:sz="12" w:space="0"/>
            </w:tcBorders>
            <w:vAlign w:val="center"/>
          </w:tcPr>
          <w:p w14:paraId="7B49161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投标供应商自行承担投标过程中产生的费用。无论何种因素导致采购项目延期开标、废标（流标）、投标供应商未成交、项目终止采购的，采购人与代理机构均不承担供应商投标费用。</w:t>
            </w:r>
          </w:p>
          <w:p w14:paraId="4A6571A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投标供应商在投标、合同履行过程中必须做好安全保障工作，不因项目实施而危及自身及第三方人员、财产安全。若发生任何安全事故，由中标（成交）供应商自行承担一切责任并赔偿损失。</w:t>
            </w:r>
          </w:p>
        </w:tc>
      </w:tr>
    </w:tbl>
    <w:p w14:paraId="7E5AECA0">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bookmarkStart w:id="2" w:name="_Toc758_WPSOffice_Level1"/>
    </w:p>
    <w:p w14:paraId="14693101">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第二部分、采购内容</w:t>
      </w:r>
      <w:bookmarkEnd w:id="2"/>
    </w:p>
    <w:p w14:paraId="5293A4E0">
      <w:pPr>
        <w:keepNext w:val="0"/>
        <w:keepLines w:val="0"/>
        <w:pageBreakBefore w:val="0"/>
        <w:widowControl/>
        <w:tabs>
          <w:tab w:val="left" w:pos="0"/>
        </w:tabs>
        <w:kinsoku/>
        <w:wordWrap/>
        <w:topLinePunct w:val="0"/>
        <w:bidi w:val="0"/>
        <w:snapToGrid/>
        <w:spacing w:line="400" w:lineRule="exact"/>
        <w:ind w:left="424" w:right="60" w:hanging="426" w:hangingChars="193"/>
        <w:jc w:val="left"/>
        <w:rPr>
          <w:rFonts w:hint="eastAsia" w:ascii="宋体" w:hAnsi="宋体" w:eastAsia="宋体" w:cs="宋体"/>
          <w:b/>
          <w:bCs/>
          <w:color w:val="auto"/>
          <w:sz w:val="22"/>
          <w:szCs w:val="22"/>
          <w:highlight w:val="none"/>
        </w:rPr>
      </w:pPr>
      <w:bookmarkStart w:id="3" w:name="_Toc15571"/>
      <w:bookmarkStart w:id="4" w:name="_Toc27784"/>
      <w:bookmarkStart w:id="5" w:name="_Toc5493_WPSOffice_Level1"/>
      <w:r>
        <w:rPr>
          <w:rFonts w:hint="eastAsia"/>
          <w:b/>
          <w:bCs/>
          <w:color w:val="auto"/>
          <w:sz w:val="22"/>
          <w:szCs w:val="22"/>
          <w:highlight w:val="none"/>
        </w:rPr>
        <w:t>一、</w:t>
      </w:r>
      <w:bookmarkEnd w:id="3"/>
      <w:bookmarkEnd w:id="4"/>
      <w:r>
        <w:rPr>
          <w:rFonts w:hint="eastAsia" w:ascii="宋体" w:hAnsi="宋体" w:eastAsia="宋体" w:cs="宋体"/>
          <w:b/>
          <w:bCs/>
          <w:color w:val="auto"/>
          <w:sz w:val="22"/>
          <w:szCs w:val="22"/>
          <w:highlight w:val="none"/>
        </w:rPr>
        <w:t>项目概况</w:t>
      </w:r>
    </w:p>
    <w:p w14:paraId="6B392ACD">
      <w:pPr>
        <w:keepNext w:val="0"/>
        <w:keepLines w:val="0"/>
        <w:pageBreakBefore w:val="0"/>
        <w:widowControl/>
        <w:tabs>
          <w:tab w:val="left" w:pos="0"/>
        </w:tabs>
        <w:kinsoku/>
        <w:wordWrap/>
        <w:topLinePunct w:val="0"/>
        <w:bidi w:val="0"/>
        <w:snapToGrid/>
        <w:spacing w:line="400" w:lineRule="exact"/>
        <w:ind w:left="424" w:right="60" w:hanging="424" w:hangingChars="193"/>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抽检范围：</w:t>
      </w:r>
      <w:r>
        <w:rPr>
          <w:rFonts w:hint="eastAsia" w:ascii="宋体" w:hAnsi="宋体" w:cs="宋体"/>
          <w:color w:val="auto"/>
          <w:sz w:val="22"/>
          <w:szCs w:val="22"/>
          <w:highlight w:val="none"/>
          <w:lang w:eastAsia="zh-CN"/>
        </w:rPr>
        <w:t>泰顺县</w:t>
      </w:r>
      <w:r>
        <w:rPr>
          <w:rFonts w:hint="eastAsia" w:ascii="宋体" w:hAnsi="宋体" w:eastAsia="宋体" w:cs="宋体"/>
          <w:color w:val="auto"/>
          <w:sz w:val="22"/>
          <w:szCs w:val="22"/>
          <w:highlight w:val="none"/>
        </w:rPr>
        <w:t>行政区域范围内的食品生产经营单位。投标报价时应考虑全部的</w:t>
      </w:r>
    </w:p>
    <w:p w14:paraId="08998183">
      <w:pPr>
        <w:keepNext w:val="0"/>
        <w:keepLines w:val="0"/>
        <w:pageBreakBefore w:val="0"/>
        <w:widowControl/>
        <w:tabs>
          <w:tab w:val="left" w:pos="0"/>
        </w:tabs>
        <w:kinsoku/>
        <w:wordWrap/>
        <w:topLinePunct w:val="0"/>
        <w:bidi w:val="0"/>
        <w:snapToGrid/>
        <w:spacing w:line="400" w:lineRule="exact"/>
        <w:ind w:left="424" w:right="60" w:hanging="424" w:hangingChars="19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风险因素。</w:t>
      </w:r>
    </w:p>
    <w:p w14:paraId="5C971251">
      <w:pPr>
        <w:keepNext w:val="0"/>
        <w:keepLines w:val="0"/>
        <w:pageBreakBefore w:val="0"/>
        <w:widowControl/>
        <w:tabs>
          <w:tab w:val="left" w:pos="0"/>
        </w:tabs>
        <w:kinsoku/>
        <w:wordWrap/>
        <w:topLinePunct w:val="0"/>
        <w:bidi w:val="0"/>
        <w:snapToGrid/>
        <w:spacing w:line="400" w:lineRule="exact"/>
        <w:ind w:left="424" w:right="60" w:hanging="424" w:hangingChars="193"/>
        <w:jc w:val="left"/>
        <w:rPr>
          <w:rFonts w:hint="eastAsia" w:ascii="宋体" w:hAnsi="宋体" w:eastAsia="宋体" w:cs="宋体"/>
          <w:color w:val="auto"/>
          <w:sz w:val="22"/>
          <w:szCs w:val="22"/>
          <w:highlight w:val="none"/>
        </w:rPr>
      </w:pPr>
      <w:r>
        <w:rPr>
          <w:rFonts w:hint="eastAsia" w:ascii="宋体" w:hAnsi="宋体" w:cs="宋体"/>
          <w:snapToGrid w:val="0"/>
          <w:color w:val="auto"/>
          <w:sz w:val="22"/>
          <w:szCs w:val="22"/>
          <w:highlight w:val="none"/>
          <w:lang w:val="en-US" w:eastAsia="zh-CN"/>
        </w:rPr>
        <w:t>2.</w:t>
      </w:r>
      <w:r>
        <w:rPr>
          <w:rFonts w:hint="eastAsia" w:ascii="宋体" w:hAnsi="宋体" w:eastAsia="宋体" w:cs="宋体"/>
          <w:snapToGrid w:val="0"/>
          <w:color w:val="auto"/>
          <w:sz w:val="22"/>
          <w:szCs w:val="22"/>
          <w:highlight w:val="none"/>
        </w:rPr>
        <w:t>检测周期：</w:t>
      </w:r>
      <w:r>
        <w:rPr>
          <w:rFonts w:hint="eastAsia" w:ascii="宋体" w:hAnsi="宋体" w:eastAsia="宋体" w:cs="宋体"/>
          <w:bCs/>
          <w:snapToGrid w:val="0"/>
          <w:color w:val="auto"/>
          <w:sz w:val="22"/>
          <w:szCs w:val="22"/>
          <w:highlight w:val="none"/>
        </w:rPr>
        <w:t>食品</w:t>
      </w:r>
      <w:r>
        <w:rPr>
          <w:rFonts w:hint="eastAsia" w:ascii="宋体" w:hAnsi="宋体" w:eastAsia="宋体" w:cs="宋体"/>
          <w:color w:val="auto"/>
          <w:sz w:val="22"/>
          <w:szCs w:val="22"/>
          <w:highlight w:val="none"/>
        </w:rPr>
        <w:t>检测周期约为20天，每个周期抽检前由采购人安排抽检任务。</w:t>
      </w:r>
    </w:p>
    <w:p w14:paraId="6CDECABA">
      <w:pPr>
        <w:keepNext w:val="0"/>
        <w:keepLines w:val="0"/>
        <w:pageBreakBefore w:val="0"/>
        <w:widowControl/>
        <w:tabs>
          <w:tab w:val="left" w:pos="0"/>
        </w:tabs>
        <w:kinsoku/>
        <w:wordWrap/>
        <w:topLinePunct w:val="0"/>
        <w:bidi w:val="0"/>
        <w:snapToGrid/>
        <w:spacing w:line="400" w:lineRule="exact"/>
        <w:ind w:left="424" w:right="60" w:hanging="424" w:hangingChars="193"/>
        <w:jc w:val="left"/>
        <w:rPr>
          <w:rFonts w:hint="eastAsia" w:ascii="宋体" w:hAnsi="宋体" w:eastAsia="宋体" w:cs="宋体"/>
          <w:snapToGrid w:val="0"/>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服务期限：本次检测机构的服</w:t>
      </w:r>
      <w:r>
        <w:rPr>
          <w:rFonts w:hint="eastAsia" w:ascii="宋体" w:hAnsi="宋体" w:eastAsia="宋体" w:cs="宋体"/>
          <w:snapToGrid w:val="0"/>
          <w:color w:val="auto"/>
          <w:sz w:val="22"/>
          <w:szCs w:val="22"/>
          <w:highlight w:val="none"/>
        </w:rPr>
        <w:t>务期限为202</w:t>
      </w:r>
      <w:r>
        <w:rPr>
          <w:rFonts w:hint="eastAsia" w:ascii="宋体" w:hAnsi="宋体"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rPr>
        <w:t>年食品安全抽检工作项目完成为止。</w:t>
      </w:r>
    </w:p>
    <w:p w14:paraId="4386C13C">
      <w:pPr>
        <w:keepNext w:val="0"/>
        <w:keepLines w:val="0"/>
        <w:pageBreakBefore w:val="0"/>
        <w:widowControl/>
        <w:tabs>
          <w:tab w:val="left" w:pos="0"/>
        </w:tabs>
        <w:kinsoku/>
        <w:wordWrap/>
        <w:topLinePunct w:val="0"/>
        <w:bidi w:val="0"/>
        <w:snapToGrid/>
        <w:spacing w:line="400" w:lineRule="exact"/>
        <w:ind w:left="424" w:right="60" w:hanging="424" w:hangingChars="193"/>
        <w:jc w:val="left"/>
        <w:rPr>
          <w:rFonts w:hint="eastAsia" w:ascii="宋体" w:hAnsi="宋体" w:eastAsia="宋体" w:cs="宋体"/>
          <w:snapToGrid w:val="0"/>
          <w:color w:val="auto"/>
          <w:sz w:val="22"/>
          <w:szCs w:val="22"/>
          <w:highlight w:val="none"/>
          <w:lang w:eastAsia="zh-CN"/>
        </w:rPr>
      </w:pPr>
      <w:r>
        <w:rPr>
          <w:rFonts w:hint="eastAsia" w:ascii="宋体" w:hAnsi="宋体" w:cs="宋体"/>
          <w:snapToGrid w:val="0"/>
          <w:color w:val="auto"/>
          <w:sz w:val="22"/>
          <w:szCs w:val="22"/>
          <w:highlight w:val="none"/>
          <w:lang w:val="en-US" w:eastAsia="zh-CN"/>
        </w:rPr>
        <w:t>4.</w:t>
      </w:r>
      <w:r>
        <w:rPr>
          <w:rFonts w:hint="eastAsia" w:ascii="宋体" w:hAnsi="宋体" w:eastAsia="宋体" w:cs="宋体"/>
          <w:snapToGrid w:val="0"/>
          <w:color w:val="auto"/>
          <w:sz w:val="22"/>
          <w:szCs w:val="22"/>
          <w:highlight w:val="none"/>
        </w:rPr>
        <w:t>检测标准《国家食品安全监督抽检实施细则（</w:t>
      </w:r>
      <w:r>
        <w:rPr>
          <w:rFonts w:hint="eastAsia" w:ascii="宋体" w:hAnsi="宋体" w:cs="宋体"/>
          <w:snapToGrid w:val="0"/>
          <w:color w:val="auto"/>
          <w:sz w:val="22"/>
          <w:szCs w:val="22"/>
          <w:highlight w:val="none"/>
          <w:lang w:val="en-US" w:eastAsia="zh-CN"/>
        </w:rPr>
        <w:t>2024</w:t>
      </w:r>
      <w:r>
        <w:rPr>
          <w:rFonts w:hint="eastAsia" w:ascii="宋体" w:hAnsi="宋体" w:eastAsia="宋体" w:cs="宋体"/>
          <w:snapToGrid w:val="0"/>
          <w:color w:val="auto"/>
          <w:sz w:val="22"/>
          <w:szCs w:val="22"/>
          <w:highlight w:val="none"/>
        </w:rPr>
        <w:t>年版）》（在项目实施过程中如实施细则有所变动，则参照</w:t>
      </w:r>
      <w:r>
        <w:rPr>
          <w:rFonts w:hint="eastAsia" w:ascii="宋体" w:hAnsi="宋体" w:cs="宋体"/>
          <w:snapToGrid w:val="0"/>
          <w:color w:val="auto"/>
          <w:sz w:val="22"/>
          <w:szCs w:val="22"/>
          <w:highlight w:val="none"/>
          <w:lang w:val="en-US" w:eastAsia="zh-CN"/>
        </w:rPr>
        <w:t>最新</w:t>
      </w:r>
      <w:r>
        <w:rPr>
          <w:rFonts w:hint="eastAsia" w:ascii="宋体" w:hAnsi="宋体" w:eastAsia="宋体" w:cs="宋体"/>
          <w:snapToGrid w:val="0"/>
          <w:color w:val="auto"/>
          <w:sz w:val="22"/>
          <w:szCs w:val="22"/>
          <w:highlight w:val="none"/>
        </w:rPr>
        <w:t>的实施细则）</w:t>
      </w:r>
      <w:r>
        <w:rPr>
          <w:rFonts w:hint="eastAsia" w:ascii="宋体" w:hAnsi="宋体" w:eastAsia="宋体" w:cs="宋体"/>
          <w:snapToGrid w:val="0"/>
          <w:color w:val="auto"/>
          <w:sz w:val="22"/>
          <w:szCs w:val="22"/>
          <w:highlight w:val="none"/>
          <w:lang w:eastAsia="zh-CN"/>
        </w:rPr>
        <w:t>。</w:t>
      </w:r>
    </w:p>
    <w:p w14:paraId="31E4BBAE">
      <w:pPr>
        <w:pStyle w:val="45"/>
        <w:keepNext w:val="0"/>
        <w:keepLines w:val="0"/>
        <w:pageBreakBefore w:val="0"/>
        <w:widowControl w:val="0"/>
        <w:kinsoku/>
        <w:wordWrap/>
        <w:overflowPunct/>
        <w:topLinePunct w:val="0"/>
        <w:bidi w:val="0"/>
        <w:snapToGrid/>
        <w:spacing w:before="50" w:beforeLines="0" w:after="50" w:afterLines="0" w:line="400" w:lineRule="exact"/>
        <w:rPr>
          <w:rFonts w:hint="eastAsia" w:ascii="宋体" w:hAnsi="宋体" w:eastAsia="宋体" w:cs="Arial"/>
          <w:b/>
          <w:color w:val="auto"/>
          <w:kern w:val="0"/>
          <w:sz w:val="22"/>
          <w:szCs w:val="22"/>
          <w:highlight w:val="none"/>
          <w:lang w:val="en-US" w:eastAsia="zh-CN" w:bidi="ar-SA"/>
        </w:rPr>
      </w:pPr>
      <w:bookmarkStart w:id="6" w:name="_Toc1509"/>
      <w:r>
        <w:rPr>
          <w:rFonts w:hint="eastAsia" w:ascii="宋体" w:hAnsi="宋体" w:eastAsia="宋体" w:cs="Arial"/>
          <w:b/>
          <w:color w:val="auto"/>
          <w:kern w:val="0"/>
          <w:sz w:val="22"/>
          <w:szCs w:val="22"/>
          <w:highlight w:val="none"/>
          <w:lang w:val="en-US" w:eastAsia="zh-CN" w:bidi="ar-SA"/>
        </w:rPr>
        <w:t>二、采购清单及要求</w:t>
      </w:r>
      <w:bookmarkEnd w:id="6"/>
    </w:p>
    <w:p w14:paraId="36180286">
      <w:pPr>
        <w:keepNext w:val="0"/>
        <w:keepLines w:val="0"/>
        <w:pageBreakBefore w:val="0"/>
        <w:widowControl w:val="0"/>
        <w:kinsoku/>
        <w:wordWrap/>
        <w:overflowPunct/>
        <w:topLinePunct w:val="0"/>
        <w:bidi w:val="0"/>
        <w:snapToGrid/>
        <w:spacing w:line="400" w:lineRule="exact"/>
        <w:rPr>
          <w:rFonts w:ascii="宋体" w:hAnsi="宋体" w:eastAsia="宋体" w:cs="Arial Unicode MS"/>
          <w:color w:val="auto"/>
          <w:sz w:val="22"/>
          <w:szCs w:val="22"/>
          <w:highlight w:val="none"/>
          <w:lang w:val="en-US"/>
        </w:rPr>
      </w:pPr>
      <w:r>
        <w:rPr>
          <w:rFonts w:hint="eastAsia" w:ascii="宋体" w:hAnsi="宋体"/>
          <w:b/>
          <w:bCs/>
          <w:color w:val="auto"/>
          <w:sz w:val="22"/>
          <w:szCs w:val="22"/>
          <w:highlight w:val="none"/>
          <w:lang w:val="en-US" w:eastAsia="zh-CN"/>
        </w:rPr>
        <w:t>标项</w:t>
      </w:r>
      <w:r>
        <w:rPr>
          <w:rFonts w:hint="eastAsia" w:ascii="宋体" w:hAnsi="宋体" w:eastAsia="宋体"/>
          <w:b/>
          <w:bCs/>
          <w:color w:val="auto"/>
          <w:sz w:val="22"/>
          <w:szCs w:val="22"/>
          <w:highlight w:val="none"/>
          <w:lang w:val="en-US" w:eastAsia="zh-CN"/>
        </w:rPr>
        <w:t>一：</w:t>
      </w:r>
      <w:r>
        <w:rPr>
          <w:rFonts w:hint="eastAsia" w:ascii="宋体" w:hAnsi="宋体"/>
          <w:b/>
          <w:bCs/>
          <w:color w:val="auto"/>
          <w:sz w:val="22"/>
          <w:szCs w:val="22"/>
          <w:highlight w:val="none"/>
          <w:lang w:val="en-US" w:eastAsia="zh-CN"/>
        </w:rPr>
        <w:t>食品安全抽检服务-1</w:t>
      </w:r>
    </w:p>
    <w:tbl>
      <w:tblPr>
        <w:tblStyle w:val="26"/>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462"/>
        <w:gridCol w:w="5174"/>
        <w:gridCol w:w="1853"/>
      </w:tblGrid>
      <w:tr w14:paraId="1DFF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left w:val="single" w:color="auto" w:sz="4" w:space="0"/>
              <w:bottom w:val="single" w:color="auto" w:sz="4" w:space="0"/>
              <w:right w:val="single" w:color="auto" w:sz="4" w:space="0"/>
            </w:tcBorders>
            <w:noWrap/>
            <w:vAlign w:val="center"/>
          </w:tcPr>
          <w:p w14:paraId="55AEE76D">
            <w:pPr>
              <w:keepNext w:val="0"/>
              <w:keepLines w:val="0"/>
              <w:pageBreakBefore w:val="0"/>
              <w:widowControl/>
              <w:kinsoku/>
              <w:wordWrap/>
              <w:topLinePunct w:val="0"/>
              <w:bidi w:val="0"/>
              <w:snapToGrid/>
              <w:spacing w:line="40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1462" w:type="dxa"/>
            <w:tcBorders>
              <w:left w:val="single" w:color="auto" w:sz="4" w:space="0"/>
              <w:bottom w:val="single" w:color="auto" w:sz="4" w:space="0"/>
              <w:right w:val="single" w:color="auto" w:sz="4" w:space="0"/>
            </w:tcBorders>
            <w:noWrap/>
            <w:vAlign w:val="center"/>
          </w:tcPr>
          <w:p w14:paraId="667302E5">
            <w:pPr>
              <w:keepNext w:val="0"/>
              <w:keepLines w:val="0"/>
              <w:pageBreakBefore w:val="0"/>
              <w:widowControl/>
              <w:kinsoku/>
              <w:wordWrap/>
              <w:topLinePunct w:val="0"/>
              <w:bidi w:val="0"/>
              <w:snapToGrid/>
              <w:spacing w:line="40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抽检环节</w:t>
            </w:r>
          </w:p>
        </w:tc>
        <w:tc>
          <w:tcPr>
            <w:tcW w:w="5174" w:type="dxa"/>
            <w:tcBorders>
              <w:left w:val="single" w:color="auto" w:sz="4" w:space="0"/>
              <w:bottom w:val="single" w:color="auto" w:sz="4" w:space="0"/>
              <w:right w:val="single" w:color="auto" w:sz="4" w:space="0"/>
            </w:tcBorders>
            <w:noWrap/>
            <w:vAlign w:val="center"/>
          </w:tcPr>
          <w:p w14:paraId="6B6E6786">
            <w:pPr>
              <w:keepNext w:val="0"/>
              <w:keepLines w:val="0"/>
              <w:pageBreakBefore w:val="0"/>
              <w:widowControl/>
              <w:kinsoku/>
              <w:wordWrap/>
              <w:topLinePunct w:val="0"/>
              <w:bidi w:val="0"/>
              <w:snapToGrid/>
              <w:spacing w:line="40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项目</w:t>
            </w:r>
          </w:p>
        </w:tc>
        <w:tc>
          <w:tcPr>
            <w:tcW w:w="1853" w:type="dxa"/>
            <w:tcBorders>
              <w:left w:val="single" w:color="auto" w:sz="4" w:space="0"/>
              <w:bottom w:val="single" w:color="auto" w:sz="4" w:space="0"/>
              <w:right w:val="single" w:color="auto" w:sz="4" w:space="0"/>
            </w:tcBorders>
            <w:noWrap/>
            <w:vAlign w:val="center"/>
          </w:tcPr>
          <w:p w14:paraId="006F838A">
            <w:pPr>
              <w:keepNext w:val="0"/>
              <w:keepLines w:val="0"/>
              <w:pageBreakBefore w:val="0"/>
              <w:widowControl/>
              <w:kinsoku/>
              <w:wordWrap/>
              <w:topLinePunct w:val="0"/>
              <w:bidi w:val="0"/>
              <w:snapToGrid/>
              <w:spacing w:line="400" w:lineRule="exact"/>
              <w:jc w:val="center"/>
              <w:rPr>
                <w:rFonts w:hint="eastAsia" w:ascii="宋体" w:hAnsi="宋体" w:eastAsia="宋体" w:cs="宋体"/>
                <w:b/>
                <w:color w:val="auto"/>
                <w:sz w:val="22"/>
                <w:szCs w:val="22"/>
                <w:highlight w:val="none"/>
                <w:lang w:eastAsia="zh-CN"/>
              </w:rPr>
            </w:pPr>
            <w:r>
              <w:rPr>
                <w:rFonts w:hint="eastAsia" w:ascii="宋体" w:hAnsi="宋体" w:eastAsia="宋体" w:cs="宋体"/>
                <w:b/>
                <w:bCs/>
                <w:color w:val="auto"/>
                <w:kern w:val="0"/>
                <w:sz w:val="22"/>
                <w:szCs w:val="22"/>
                <w:highlight w:val="none"/>
                <w:lang w:eastAsia="zh-CN"/>
              </w:rPr>
              <w:t>备注</w:t>
            </w:r>
          </w:p>
        </w:tc>
      </w:tr>
      <w:tr w14:paraId="068C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7" w:type="dxa"/>
            <w:gridSpan w:val="4"/>
            <w:tcBorders>
              <w:left w:val="single" w:color="auto" w:sz="4" w:space="0"/>
              <w:bottom w:val="single" w:color="auto" w:sz="4" w:space="0"/>
              <w:right w:val="single" w:color="auto" w:sz="4" w:space="0"/>
            </w:tcBorders>
            <w:noWrap/>
            <w:vAlign w:val="center"/>
          </w:tcPr>
          <w:p w14:paraId="4A777E16">
            <w:pPr>
              <w:keepNext w:val="0"/>
              <w:keepLines w:val="0"/>
              <w:pageBreakBefore w:val="0"/>
              <w:widowControl/>
              <w:kinsoku/>
              <w:wordWrap/>
              <w:topLinePunct w:val="0"/>
              <w:bidi w:val="0"/>
              <w:snapToGrid/>
              <w:spacing w:line="400" w:lineRule="exact"/>
              <w:jc w:val="center"/>
              <w:rPr>
                <w:rFonts w:hint="eastAsia" w:ascii="宋体" w:hAnsi="宋体" w:eastAsia="宋体" w:cs="宋体"/>
                <w:b/>
                <w:bCs/>
                <w:color w:val="auto"/>
                <w:kern w:val="0"/>
                <w:sz w:val="22"/>
                <w:szCs w:val="22"/>
                <w:highlight w:val="none"/>
                <w:lang w:eastAsia="zh-CN"/>
              </w:rPr>
            </w:pPr>
            <w:r>
              <w:rPr>
                <w:rFonts w:hint="eastAsia" w:ascii="宋体" w:hAnsi="宋体" w:cs="宋体"/>
                <w:b/>
                <w:bCs w:val="0"/>
                <w:color w:val="auto"/>
                <w:sz w:val="22"/>
                <w:szCs w:val="22"/>
                <w:highlight w:val="none"/>
                <w:u w:val="single"/>
                <w:lang w:val="en-US" w:eastAsia="zh-CN"/>
              </w:rPr>
              <w:t xml:space="preserve"> 320 </w:t>
            </w:r>
            <w:r>
              <w:rPr>
                <w:rFonts w:hint="eastAsia" w:ascii="宋体" w:hAnsi="宋体" w:cs="宋体"/>
                <w:b/>
                <w:bCs w:val="0"/>
                <w:color w:val="auto"/>
                <w:sz w:val="22"/>
                <w:szCs w:val="22"/>
                <w:highlight w:val="none"/>
                <w:shd w:val="clear" w:color="auto" w:fill="FFFFFF"/>
                <w:lang w:val="en-US" w:eastAsia="zh-CN"/>
              </w:rPr>
              <w:t>批</w:t>
            </w:r>
            <w:r>
              <w:rPr>
                <w:rFonts w:hint="eastAsia" w:ascii="宋体" w:hAnsi="宋体" w:eastAsia="宋体" w:cs="宋体"/>
                <w:b/>
                <w:bCs w:val="0"/>
                <w:color w:val="auto"/>
                <w:sz w:val="22"/>
                <w:szCs w:val="22"/>
                <w:highlight w:val="none"/>
              </w:rPr>
              <w:t>次</w:t>
            </w:r>
          </w:p>
        </w:tc>
      </w:tr>
      <w:tr w14:paraId="768A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76CB31A0">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462" w:type="dxa"/>
            <w:vMerge w:val="restart"/>
            <w:tcBorders>
              <w:top w:val="single" w:color="auto" w:sz="4" w:space="0"/>
              <w:left w:val="single" w:color="auto" w:sz="4" w:space="0"/>
              <w:bottom w:val="single" w:color="auto" w:sz="4" w:space="0"/>
              <w:right w:val="single" w:color="auto" w:sz="4" w:space="0"/>
            </w:tcBorders>
            <w:noWrap/>
            <w:vAlign w:val="center"/>
          </w:tcPr>
          <w:p w14:paraId="48D79E9C">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食品</w:t>
            </w:r>
            <w:r>
              <w:rPr>
                <w:rFonts w:hint="eastAsia" w:ascii="宋体" w:hAnsi="宋体" w:cs="宋体"/>
                <w:color w:val="auto"/>
                <w:kern w:val="0"/>
                <w:sz w:val="22"/>
                <w:szCs w:val="22"/>
                <w:highlight w:val="none"/>
                <w:lang w:eastAsia="zh-CN"/>
              </w:rPr>
              <w:t>全</w:t>
            </w:r>
            <w:r>
              <w:rPr>
                <w:rFonts w:hint="eastAsia" w:ascii="宋体" w:hAnsi="宋体" w:eastAsia="宋体" w:cs="宋体"/>
                <w:color w:val="auto"/>
                <w:kern w:val="0"/>
                <w:sz w:val="22"/>
                <w:szCs w:val="22"/>
                <w:highlight w:val="none"/>
              </w:rPr>
              <w:t>环节</w:t>
            </w:r>
          </w:p>
        </w:tc>
        <w:tc>
          <w:tcPr>
            <w:tcW w:w="5174" w:type="dxa"/>
            <w:tcBorders>
              <w:top w:val="single" w:color="auto" w:sz="4" w:space="0"/>
              <w:left w:val="single" w:color="auto" w:sz="4" w:space="0"/>
              <w:bottom w:val="single" w:color="auto" w:sz="4" w:space="0"/>
              <w:right w:val="single" w:color="auto" w:sz="4" w:space="0"/>
            </w:tcBorders>
            <w:noWrap/>
            <w:vAlign w:val="center"/>
          </w:tcPr>
          <w:p w14:paraId="4F9C63D8">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粮食加工品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3F87CEDD">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78AD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131521A2">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1408F3BA">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6A7F5DD8">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食用油、油脂及其制品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4BD99FC4">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3160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58BA9A74">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4AFF8591">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58658971">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调味品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5D77B25A">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6A03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1E21F9BD">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64C723D7">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5D1713C3">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肉制品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3C8FFA7C">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1EF4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30A3BBDB">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5A3FC031">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745DEE7E">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乳制品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7AE1ACBC">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33BC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0FCCB8E3">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7A4A1968">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12D29942">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饮料</w:t>
            </w:r>
          </w:p>
        </w:tc>
        <w:tc>
          <w:tcPr>
            <w:tcW w:w="1853" w:type="dxa"/>
            <w:tcBorders>
              <w:top w:val="single" w:color="auto" w:sz="4" w:space="0"/>
              <w:left w:val="single" w:color="auto" w:sz="4" w:space="0"/>
              <w:bottom w:val="single" w:color="auto" w:sz="4" w:space="0"/>
              <w:right w:val="single" w:color="auto" w:sz="4" w:space="0"/>
            </w:tcBorders>
            <w:noWrap/>
            <w:vAlign w:val="center"/>
          </w:tcPr>
          <w:p w14:paraId="61166ED8">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6D64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18234CE3">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4B19502F">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11C63B34">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方便食品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416BC5C9">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14A7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61DD3A56">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5965A846">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015907F7">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饼干</w:t>
            </w:r>
          </w:p>
        </w:tc>
        <w:tc>
          <w:tcPr>
            <w:tcW w:w="1853" w:type="dxa"/>
            <w:tcBorders>
              <w:top w:val="single" w:color="auto" w:sz="4" w:space="0"/>
              <w:left w:val="single" w:color="auto" w:sz="4" w:space="0"/>
              <w:bottom w:val="single" w:color="auto" w:sz="4" w:space="0"/>
              <w:right w:val="single" w:color="auto" w:sz="4" w:space="0"/>
            </w:tcBorders>
            <w:noWrap/>
            <w:vAlign w:val="center"/>
          </w:tcPr>
          <w:p w14:paraId="15E6B65A">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3C21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359EB269">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0663C351">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40C6A562">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罐头</w:t>
            </w:r>
          </w:p>
        </w:tc>
        <w:tc>
          <w:tcPr>
            <w:tcW w:w="1853" w:type="dxa"/>
            <w:tcBorders>
              <w:top w:val="single" w:color="auto" w:sz="4" w:space="0"/>
              <w:left w:val="single" w:color="auto" w:sz="4" w:space="0"/>
              <w:bottom w:val="single" w:color="auto" w:sz="4" w:space="0"/>
              <w:right w:val="single" w:color="auto" w:sz="4" w:space="0"/>
            </w:tcBorders>
            <w:noWrap/>
            <w:vAlign w:val="center"/>
          </w:tcPr>
          <w:p w14:paraId="32A2E914">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1442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5B43D643">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40480DF7">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2CBA373C">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冷冻食品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50A6DCED">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15EC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7FDF6753">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6C84931E">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0A5AF770">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速冻食品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48BA5FA7">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5C22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109AE2B6">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09A06A67">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05146CDB">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薯类及膨化食品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3947E936">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72AA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7D48ACB1">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49E4866B">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5A6B0AAD">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糖果制品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05ABDE19">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207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0E304376">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5BE02FF6">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608CF9FA">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茶叶及相关制品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7E139E2F">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3B04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0DAD9C71">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0897379F">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064CBD6D">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酒类</w:t>
            </w:r>
          </w:p>
        </w:tc>
        <w:tc>
          <w:tcPr>
            <w:tcW w:w="1853" w:type="dxa"/>
            <w:tcBorders>
              <w:top w:val="single" w:color="auto" w:sz="4" w:space="0"/>
              <w:left w:val="single" w:color="auto" w:sz="4" w:space="0"/>
              <w:bottom w:val="single" w:color="auto" w:sz="4" w:space="0"/>
              <w:right w:val="single" w:color="auto" w:sz="4" w:space="0"/>
            </w:tcBorders>
            <w:noWrap/>
            <w:vAlign w:val="center"/>
          </w:tcPr>
          <w:p w14:paraId="0F70FCDB">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3049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196D0F96">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01CE2A28">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1300F53A">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蔬菜制品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6047114C">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1235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49A2C6CB">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6CD68F25">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1704D492">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水果制品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4FB62F9C">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2245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234DA33F">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10DB298F">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24038639">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炒货食品及坚果制品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3048B70F">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242B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0EC239CE">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34DA6CED">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24CBF6FD">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蛋制品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0C3D608F">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2CF1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27F91CBC">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1D359C5F">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3B723729">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食糖</w:t>
            </w:r>
          </w:p>
        </w:tc>
        <w:tc>
          <w:tcPr>
            <w:tcW w:w="1853" w:type="dxa"/>
            <w:tcBorders>
              <w:top w:val="single" w:color="auto" w:sz="4" w:space="0"/>
              <w:left w:val="single" w:color="auto" w:sz="4" w:space="0"/>
              <w:bottom w:val="single" w:color="auto" w:sz="4" w:space="0"/>
              <w:right w:val="single" w:color="auto" w:sz="4" w:space="0"/>
            </w:tcBorders>
            <w:noWrap/>
            <w:vAlign w:val="center"/>
          </w:tcPr>
          <w:p w14:paraId="4659A38D">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78EE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66A0BD4B">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5B47BF43">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07F702BC">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水产制品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1B34221D">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7E74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1DC09913">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113F8F8B">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1E23CA32">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淀粉及淀粉制品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6F9308A1">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53AB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36328884">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19636422">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34A95A7A">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糕点</w:t>
            </w:r>
          </w:p>
        </w:tc>
        <w:tc>
          <w:tcPr>
            <w:tcW w:w="1853" w:type="dxa"/>
            <w:tcBorders>
              <w:top w:val="single" w:color="auto" w:sz="4" w:space="0"/>
              <w:left w:val="single" w:color="auto" w:sz="4" w:space="0"/>
              <w:bottom w:val="single" w:color="auto" w:sz="4" w:space="0"/>
              <w:right w:val="single" w:color="auto" w:sz="4" w:space="0"/>
            </w:tcBorders>
            <w:noWrap/>
            <w:vAlign w:val="center"/>
          </w:tcPr>
          <w:p w14:paraId="49F2CFA7">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55C2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3E0F6161">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42B629E7">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6BA09256">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豆制品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5B1FA6F4">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5483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6DFAF906">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6280EB18">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0868FC0F">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蜂产品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330D9C48">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446B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0B161B06">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26</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4222ABBB">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177A2839">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食用农产品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36267FA2">
            <w:pPr>
              <w:keepNext w:val="0"/>
              <w:keepLines w:val="0"/>
              <w:pageBreakBefore w:val="0"/>
              <w:widowControl/>
              <w:kinsoku/>
              <w:wordWrap/>
              <w:topLinePunct w:val="0"/>
              <w:bidi w:val="0"/>
              <w:snapToGrid/>
              <w:spacing w:line="400" w:lineRule="exact"/>
              <w:jc w:val="center"/>
              <w:rPr>
                <w:rFonts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192</w:t>
            </w:r>
          </w:p>
        </w:tc>
      </w:tr>
      <w:tr w14:paraId="0419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2B8D096D">
            <w:pPr>
              <w:keepNext w:val="0"/>
              <w:keepLines w:val="0"/>
              <w:pageBreakBefore w:val="0"/>
              <w:widowControl/>
              <w:kinsoku/>
              <w:wordWrap/>
              <w:topLinePunct w:val="0"/>
              <w:bidi w:val="0"/>
              <w:snapToGrid/>
              <w:spacing w:line="400" w:lineRule="exact"/>
              <w:jc w:val="center"/>
              <w:rPr>
                <w:rFonts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27</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2188A980">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35D12419">
            <w:pPr>
              <w:keepNext w:val="0"/>
              <w:keepLines w:val="0"/>
              <w:pageBreakBefore w:val="0"/>
              <w:widowControl w:val="0"/>
              <w:kinsoku/>
              <w:wordWrap/>
              <w:topLinePunct w:val="0"/>
              <w:bidi w:val="0"/>
              <w:snapToGrid/>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食盐</w:t>
            </w:r>
          </w:p>
        </w:tc>
        <w:tc>
          <w:tcPr>
            <w:tcW w:w="1853" w:type="dxa"/>
            <w:tcBorders>
              <w:top w:val="single" w:color="auto" w:sz="4" w:space="0"/>
              <w:left w:val="single" w:color="auto" w:sz="4" w:space="0"/>
              <w:bottom w:val="single" w:color="auto" w:sz="4" w:space="0"/>
              <w:right w:val="single" w:color="auto" w:sz="4" w:space="0"/>
            </w:tcBorders>
            <w:noWrap/>
            <w:vAlign w:val="center"/>
          </w:tcPr>
          <w:p w14:paraId="14BA56AE">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r>
      <w:tr w14:paraId="7A08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14:paraId="1DD2C8C6">
            <w:pPr>
              <w:keepNext w:val="0"/>
              <w:keepLines w:val="0"/>
              <w:pageBreakBefore w:val="0"/>
              <w:widowControl/>
              <w:kinsoku/>
              <w:wordWrap/>
              <w:topLinePunct w:val="0"/>
              <w:bidi w:val="0"/>
              <w:snapToGrid/>
              <w:spacing w:line="400" w:lineRule="exact"/>
              <w:jc w:val="center"/>
              <w:rPr>
                <w:rFonts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rPr>
              <w:t>28</w:t>
            </w:r>
          </w:p>
        </w:tc>
        <w:tc>
          <w:tcPr>
            <w:tcW w:w="1462" w:type="dxa"/>
            <w:vMerge w:val="continue"/>
            <w:tcBorders>
              <w:top w:val="single" w:color="auto" w:sz="4" w:space="0"/>
              <w:left w:val="single" w:color="auto" w:sz="4" w:space="0"/>
              <w:bottom w:val="single" w:color="auto" w:sz="4" w:space="0"/>
              <w:right w:val="single" w:color="auto" w:sz="4" w:space="0"/>
            </w:tcBorders>
            <w:noWrap/>
            <w:vAlign w:val="center"/>
          </w:tcPr>
          <w:p w14:paraId="6979357F">
            <w:pPr>
              <w:rPr>
                <w:color w:val="auto"/>
                <w:highlight w:val="none"/>
              </w:rPr>
            </w:pPr>
          </w:p>
        </w:tc>
        <w:tc>
          <w:tcPr>
            <w:tcW w:w="5174" w:type="dxa"/>
            <w:tcBorders>
              <w:top w:val="single" w:color="auto" w:sz="4" w:space="0"/>
              <w:left w:val="single" w:color="auto" w:sz="4" w:space="0"/>
              <w:bottom w:val="single" w:color="auto" w:sz="4" w:space="0"/>
              <w:right w:val="single" w:color="auto" w:sz="4" w:space="0"/>
            </w:tcBorders>
            <w:noWrap/>
            <w:vAlign w:val="center"/>
          </w:tcPr>
          <w:p w14:paraId="5D55E358">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cs="宋体"/>
                <w:bCs/>
                <w:color w:val="auto"/>
                <w:sz w:val="22"/>
                <w:szCs w:val="22"/>
                <w:highlight w:val="none"/>
                <w:lang w:eastAsia="zh-CN"/>
              </w:rPr>
              <w:t>餐饮食品</w:t>
            </w:r>
          </w:p>
        </w:tc>
        <w:tc>
          <w:tcPr>
            <w:tcW w:w="1853" w:type="dxa"/>
            <w:tcBorders>
              <w:top w:val="single" w:color="auto" w:sz="4" w:space="0"/>
              <w:left w:val="single" w:color="auto" w:sz="4" w:space="0"/>
              <w:bottom w:val="single" w:color="auto" w:sz="4" w:space="0"/>
              <w:right w:val="single" w:color="auto" w:sz="4" w:space="0"/>
            </w:tcBorders>
            <w:noWrap/>
            <w:vAlign w:val="center"/>
          </w:tcPr>
          <w:p w14:paraId="6C2A8027">
            <w:pPr>
              <w:keepNext w:val="0"/>
              <w:keepLines w:val="0"/>
              <w:pageBreakBefore w:val="0"/>
              <w:widowControl/>
              <w:kinsoku/>
              <w:wordWrap/>
              <w:topLinePunct w:val="0"/>
              <w:bidi w:val="0"/>
              <w:snapToGrid/>
              <w:spacing w:line="400" w:lineRule="exact"/>
              <w:jc w:val="center"/>
              <w:rPr>
                <w:rFonts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50</w:t>
            </w:r>
          </w:p>
        </w:tc>
      </w:tr>
      <w:tr w14:paraId="5E78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7" w:type="dxa"/>
            <w:gridSpan w:val="4"/>
            <w:tcBorders>
              <w:top w:val="single" w:color="auto" w:sz="4" w:space="0"/>
              <w:left w:val="single" w:color="auto" w:sz="4" w:space="0"/>
              <w:bottom w:val="single" w:color="auto" w:sz="4" w:space="0"/>
              <w:right w:val="single" w:color="auto" w:sz="4" w:space="0"/>
            </w:tcBorders>
            <w:noWrap/>
            <w:vAlign w:val="center"/>
          </w:tcPr>
          <w:p w14:paraId="2C4AD4CA">
            <w:pPr>
              <w:keepNext w:val="0"/>
              <w:keepLines w:val="0"/>
              <w:pageBreakBefore w:val="0"/>
              <w:widowControl/>
              <w:tabs>
                <w:tab w:val="left" w:pos="0"/>
              </w:tabs>
              <w:kinsoku/>
              <w:wordWrap/>
              <w:topLinePunct w:val="0"/>
              <w:bidi w:val="0"/>
              <w:snapToGrid/>
              <w:spacing w:line="400" w:lineRule="exact"/>
              <w:ind w:right="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备注：因实际情况造成检测数量增减的，以实际检测数量为准，按实结算。</w:t>
            </w:r>
          </w:p>
        </w:tc>
      </w:tr>
    </w:tbl>
    <w:p w14:paraId="7CB073F5">
      <w:pPr>
        <w:keepNext w:val="0"/>
        <w:keepLines w:val="0"/>
        <w:pageBreakBefore w:val="0"/>
        <w:widowControl w:val="0"/>
        <w:kinsoku/>
        <w:wordWrap/>
        <w:overflowPunct/>
        <w:topLinePunct w:val="0"/>
        <w:bidi w:val="0"/>
        <w:snapToGrid/>
        <w:spacing w:line="400" w:lineRule="exact"/>
        <w:ind w:firstLine="442" w:firstLineChars="200"/>
        <w:rPr>
          <w:rFonts w:hint="eastAsia" w:ascii="宋体" w:hAnsi="宋体" w:eastAsia="宋体"/>
          <w:b/>
          <w:bCs/>
          <w:color w:val="auto"/>
          <w:sz w:val="22"/>
          <w:szCs w:val="22"/>
          <w:highlight w:val="none"/>
          <w:lang w:val="de-DE" w:eastAsia="zh-CN"/>
        </w:rPr>
      </w:pPr>
    </w:p>
    <w:p w14:paraId="4001AAB0">
      <w:pPr>
        <w:keepNext w:val="0"/>
        <w:keepLines w:val="0"/>
        <w:pageBreakBefore w:val="0"/>
        <w:widowControl w:val="0"/>
        <w:kinsoku/>
        <w:wordWrap/>
        <w:overflowPunct/>
        <w:topLinePunct w:val="0"/>
        <w:bidi w:val="0"/>
        <w:snapToGrid/>
        <w:spacing w:line="400" w:lineRule="exact"/>
        <w:outlineLvl w:val="1"/>
        <w:rPr>
          <w:rFonts w:hint="eastAsia" w:ascii="宋体" w:hAnsi="宋体" w:eastAsia="宋体" w:cs="宋体"/>
          <w:b/>
          <w:bCs/>
          <w:color w:val="auto"/>
          <w:kern w:val="2"/>
          <w:sz w:val="22"/>
          <w:szCs w:val="22"/>
          <w:highlight w:val="none"/>
          <w:lang w:val="en-US" w:eastAsia="zh-CN"/>
        </w:rPr>
      </w:pPr>
      <w:bookmarkStart w:id="7" w:name="_Toc3165"/>
      <w:bookmarkStart w:id="8" w:name="_Toc493249763"/>
      <w:bookmarkStart w:id="9" w:name="_Toc317503367"/>
      <w:r>
        <w:rPr>
          <w:rFonts w:hint="eastAsia" w:ascii="宋体" w:hAnsi="宋体" w:cs="宋体"/>
          <w:b/>
          <w:bCs/>
          <w:color w:val="auto"/>
          <w:kern w:val="2"/>
          <w:sz w:val="22"/>
          <w:szCs w:val="22"/>
          <w:highlight w:val="none"/>
          <w:lang w:val="en-US" w:eastAsia="zh-CN"/>
        </w:rPr>
        <w:t>标项</w:t>
      </w:r>
      <w:r>
        <w:rPr>
          <w:rFonts w:hint="eastAsia" w:ascii="宋体" w:hAnsi="宋体" w:eastAsia="宋体" w:cs="宋体"/>
          <w:b/>
          <w:bCs/>
          <w:color w:val="auto"/>
          <w:kern w:val="2"/>
          <w:sz w:val="22"/>
          <w:szCs w:val="22"/>
          <w:highlight w:val="none"/>
          <w:lang w:val="en-US" w:eastAsia="zh-CN"/>
        </w:rPr>
        <w:t>二：</w:t>
      </w:r>
      <w:bookmarkEnd w:id="7"/>
      <w:r>
        <w:rPr>
          <w:rFonts w:hint="eastAsia" w:ascii="宋体" w:hAnsi="宋体" w:cs="宋体"/>
          <w:b/>
          <w:bCs/>
          <w:color w:val="auto"/>
          <w:kern w:val="2"/>
          <w:sz w:val="22"/>
          <w:szCs w:val="22"/>
          <w:highlight w:val="none"/>
          <w:lang w:val="en-US" w:eastAsia="zh-CN"/>
        </w:rPr>
        <w:t>食品安全抽检服务-2</w:t>
      </w:r>
    </w:p>
    <w:tbl>
      <w:tblPr>
        <w:tblStyle w:val="26"/>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250"/>
        <w:gridCol w:w="3958"/>
        <w:gridCol w:w="1688"/>
      </w:tblGrid>
      <w:tr w14:paraId="3A72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noWrap/>
            <w:vAlign w:val="center"/>
          </w:tcPr>
          <w:p w14:paraId="58B95701">
            <w:pPr>
              <w:keepNext w:val="0"/>
              <w:keepLines w:val="0"/>
              <w:pageBreakBefore w:val="0"/>
              <w:widowControl/>
              <w:kinsoku/>
              <w:wordWrap/>
              <w:topLinePunct w:val="0"/>
              <w:bidi w:val="0"/>
              <w:snapToGrid/>
              <w:spacing w:line="40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2250" w:type="dxa"/>
            <w:noWrap/>
            <w:vAlign w:val="center"/>
          </w:tcPr>
          <w:p w14:paraId="0E95FBFE">
            <w:pPr>
              <w:keepNext w:val="0"/>
              <w:keepLines w:val="0"/>
              <w:pageBreakBefore w:val="0"/>
              <w:widowControl/>
              <w:kinsoku/>
              <w:wordWrap/>
              <w:topLinePunct w:val="0"/>
              <w:bidi w:val="0"/>
              <w:snapToGrid/>
              <w:spacing w:line="40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抽检环节</w:t>
            </w:r>
          </w:p>
        </w:tc>
        <w:tc>
          <w:tcPr>
            <w:tcW w:w="3958" w:type="dxa"/>
            <w:noWrap/>
            <w:vAlign w:val="center"/>
          </w:tcPr>
          <w:p w14:paraId="49A49EF8">
            <w:pPr>
              <w:keepNext w:val="0"/>
              <w:keepLines w:val="0"/>
              <w:pageBreakBefore w:val="0"/>
              <w:widowControl/>
              <w:kinsoku/>
              <w:wordWrap/>
              <w:topLinePunct w:val="0"/>
              <w:bidi w:val="0"/>
              <w:snapToGrid/>
              <w:spacing w:line="40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项目</w:t>
            </w:r>
          </w:p>
        </w:tc>
        <w:tc>
          <w:tcPr>
            <w:tcW w:w="1688" w:type="dxa"/>
            <w:noWrap/>
            <w:vAlign w:val="center"/>
          </w:tcPr>
          <w:p w14:paraId="725309DD">
            <w:pPr>
              <w:keepNext w:val="0"/>
              <w:keepLines w:val="0"/>
              <w:pageBreakBefore w:val="0"/>
              <w:widowControl/>
              <w:kinsoku/>
              <w:wordWrap/>
              <w:topLinePunct w:val="0"/>
              <w:bidi w:val="0"/>
              <w:snapToGrid/>
              <w:spacing w:line="400" w:lineRule="exact"/>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备注</w:t>
            </w:r>
          </w:p>
        </w:tc>
      </w:tr>
      <w:tr w14:paraId="12AC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6" w:type="dxa"/>
            <w:gridSpan w:val="4"/>
            <w:tcBorders>
              <w:top w:val="single" w:color="auto" w:sz="4" w:space="0"/>
              <w:left w:val="single" w:color="auto" w:sz="4" w:space="0"/>
              <w:right w:val="single" w:color="auto" w:sz="4" w:space="0"/>
            </w:tcBorders>
            <w:noWrap/>
            <w:vAlign w:val="center"/>
          </w:tcPr>
          <w:p w14:paraId="70F780A4">
            <w:pPr>
              <w:keepNext w:val="0"/>
              <w:keepLines w:val="0"/>
              <w:pageBreakBefore w:val="0"/>
              <w:widowControl/>
              <w:kinsoku/>
              <w:wordWrap/>
              <w:topLinePunct w:val="0"/>
              <w:bidi w:val="0"/>
              <w:snapToGrid/>
              <w:spacing w:line="400" w:lineRule="exact"/>
              <w:jc w:val="center"/>
              <w:rPr>
                <w:rFonts w:ascii="宋体" w:hAnsi="宋体" w:cs="宋体"/>
                <w:b/>
                <w:color w:val="auto"/>
                <w:sz w:val="22"/>
                <w:szCs w:val="22"/>
                <w:highlight w:val="none"/>
                <w:lang w:val="en-US" w:eastAsia="zh-CN"/>
              </w:rPr>
            </w:pPr>
            <w:r>
              <w:rPr>
                <w:rFonts w:hint="eastAsia" w:ascii="宋体" w:hAnsi="宋体" w:cs="宋体"/>
                <w:b/>
                <w:color w:val="auto"/>
                <w:sz w:val="22"/>
                <w:szCs w:val="22"/>
                <w:highlight w:val="none"/>
                <w:u w:val="single"/>
                <w:lang w:val="en-US" w:eastAsia="zh-CN"/>
              </w:rPr>
              <w:t xml:space="preserve"> 200 </w:t>
            </w:r>
            <w:r>
              <w:rPr>
                <w:rFonts w:hint="eastAsia" w:ascii="宋体" w:hAnsi="宋体" w:cs="宋体"/>
                <w:b/>
                <w:color w:val="auto"/>
                <w:sz w:val="22"/>
                <w:szCs w:val="22"/>
                <w:highlight w:val="none"/>
                <w:lang w:val="en-US" w:eastAsia="zh-CN"/>
              </w:rPr>
              <w:t>批次</w:t>
            </w:r>
          </w:p>
        </w:tc>
      </w:tr>
      <w:tr w14:paraId="1970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3F2AA575">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250" w:type="dxa"/>
            <w:vMerge w:val="restart"/>
            <w:tcBorders>
              <w:top w:val="single" w:color="auto" w:sz="4" w:space="0"/>
              <w:left w:val="single" w:color="auto" w:sz="4" w:space="0"/>
              <w:right w:val="single" w:color="auto" w:sz="4" w:space="0"/>
            </w:tcBorders>
            <w:noWrap/>
            <w:vAlign w:val="center"/>
          </w:tcPr>
          <w:p w14:paraId="441D303B">
            <w:pPr>
              <w:keepNext w:val="0"/>
              <w:keepLines w:val="0"/>
              <w:pageBreakBefore w:val="0"/>
              <w:widowControl/>
              <w:kinsoku/>
              <w:wordWrap/>
              <w:topLinePunct w:val="0"/>
              <w:bidi w:val="0"/>
              <w:snapToGrid/>
              <w:spacing w:line="400" w:lineRule="exact"/>
              <w:jc w:val="center"/>
              <w:rPr>
                <w:rFonts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食品流通环节</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生产环节</w:t>
            </w:r>
          </w:p>
        </w:tc>
        <w:tc>
          <w:tcPr>
            <w:tcW w:w="3958" w:type="dxa"/>
            <w:tcBorders>
              <w:top w:val="single" w:color="auto" w:sz="4" w:space="0"/>
              <w:left w:val="single" w:color="auto" w:sz="4" w:space="0"/>
              <w:right w:val="single" w:color="auto" w:sz="4" w:space="0"/>
            </w:tcBorders>
            <w:noWrap/>
            <w:vAlign w:val="center"/>
          </w:tcPr>
          <w:p w14:paraId="479951AF">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粮食加工品</w:t>
            </w:r>
          </w:p>
        </w:tc>
        <w:tc>
          <w:tcPr>
            <w:tcW w:w="1688" w:type="dxa"/>
            <w:tcBorders>
              <w:top w:val="single" w:color="auto" w:sz="4" w:space="0"/>
              <w:left w:val="single" w:color="auto" w:sz="4" w:space="0"/>
              <w:right w:val="single" w:color="auto" w:sz="4" w:space="0"/>
            </w:tcBorders>
            <w:noWrap/>
            <w:vAlign w:val="center"/>
          </w:tcPr>
          <w:p w14:paraId="34C03E32">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560C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361D10FA">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2250" w:type="dxa"/>
            <w:vMerge w:val="continue"/>
            <w:tcBorders>
              <w:top w:val="single" w:color="auto" w:sz="4" w:space="0"/>
              <w:left w:val="single" w:color="auto" w:sz="4" w:space="0"/>
              <w:right w:val="single" w:color="auto" w:sz="4" w:space="0"/>
            </w:tcBorders>
            <w:noWrap/>
            <w:vAlign w:val="center"/>
          </w:tcPr>
          <w:p w14:paraId="3835A425">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50BA2645">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食用油、油脂及其制品</w:t>
            </w:r>
          </w:p>
        </w:tc>
        <w:tc>
          <w:tcPr>
            <w:tcW w:w="1688" w:type="dxa"/>
            <w:tcBorders>
              <w:top w:val="single" w:color="auto" w:sz="4" w:space="0"/>
              <w:left w:val="single" w:color="auto" w:sz="4" w:space="0"/>
              <w:right w:val="single" w:color="auto" w:sz="4" w:space="0"/>
            </w:tcBorders>
            <w:noWrap/>
            <w:vAlign w:val="center"/>
          </w:tcPr>
          <w:p w14:paraId="4B54D45B">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707E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7E4FB7A8">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2250" w:type="dxa"/>
            <w:vMerge w:val="continue"/>
            <w:tcBorders>
              <w:top w:val="single" w:color="auto" w:sz="4" w:space="0"/>
              <w:left w:val="single" w:color="auto" w:sz="4" w:space="0"/>
              <w:right w:val="single" w:color="auto" w:sz="4" w:space="0"/>
            </w:tcBorders>
            <w:noWrap/>
            <w:vAlign w:val="center"/>
          </w:tcPr>
          <w:p w14:paraId="4865318A">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30EF0E45">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调味品</w:t>
            </w:r>
          </w:p>
        </w:tc>
        <w:tc>
          <w:tcPr>
            <w:tcW w:w="1688" w:type="dxa"/>
            <w:tcBorders>
              <w:top w:val="single" w:color="auto" w:sz="4" w:space="0"/>
              <w:left w:val="single" w:color="auto" w:sz="4" w:space="0"/>
              <w:right w:val="single" w:color="auto" w:sz="4" w:space="0"/>
            </w:tcBorders>
            <w:noWrap/>
            <w:vAlign w:val="center"/>
          </w:tcPr>
          <w:p w14:paraId="1DA1D740">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25C1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28F4FABD">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2250" w:type="dxa"/>
            <w:vMerge w:val="continue"/>
            <w:tcBorders>
              <w:top w:val="single" w:color="auto" w:sz="4" w:space="0"/>
              <w:left w:val="single" w:color="auto" w:sz="4" w:space="0"/>
              <w:right w:val="single" w:color="auto" w:sz="4" w:space="0"/>
            </w:tcBorders>
            <w:noWrap/>
            <w:vAlign w:val="center"/>
          </w:tcPr>
          <w:p w14:paraId="275729DD">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0742262C">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肉制品</w:t>
            </w:r>
          </w:p>
        </w:tc>
        <w:tc>
          <w:tcPr>
            <w:tcW w:w="1688" w:type="dxa"/>
            <w:tcBorders>
              <w:top w:val="single" w:color="auto" w:sz="4" w:space="0"/>
              <w:left w:val="single" w:color="auto" w:sz="4" w:space="0"/>
              <w:right w:val="single" w:color="auto" w:sz="4" w:space="0"/>
            </w:tcBorders>
            <w:noWrap/>
            <w:vAlign w:val="center"/>
          </w:tcPr>
          <w:p w14:paraId="1C96BBF8">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653C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1A8F18DF">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2250" w:type="dxa"/>
            <w:vMerge w:val="continue"/>
            <w:tcBorders>
              <w:top w:val="single" w:color="auto" w:sz="4" w:space="0"/>
              <w:left w:val="single" w:color="auto" w:sz="4" w:space="0"/>
              <w:right w:val="single" w:color="auto" w:sz="4" w:space="0"/>
            </w:tcBorders>
            <w:noWrap/>
            <w:vAlign w:val="center"/>
          </w:tcPr>
          <w:p w14:paraId="42E7CC98">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30827BA9">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乳制品</w:t>
            </w:r>
          </w:p>
        </w:tc>
        <w:tc>
          <w:tcPr>
            <w:tcW w:w="1688" w:type="dxa"/>
            <w:tcBorders>
              <w:top w:val="single" w:color="auto" w:sz="4" w:space="0"/>
              <w:left w:val="single" w:color="auto" w:sz="4" w:space="0"/>
              <w:right w:val="single" w:color="auto" w:sz="4" w:space="0"/>
            </w:tcBorders>
            <w:noWrap/>
            <w:vAlign w:val="center"/>
          </w:tcPr>
          <w:p w14:paraId="5CD07C1F">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0548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283E8A55">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2250" w:type="dxa"/>
            <w:vMerge w:val="continue"/>
            <w:tcBorders>
              <w:top w:val="single" w:color="auto" w:sz="4" w:space="0"/>
              <w:left w:val="single" w:color="auto" w:sz="4" w:space="0"/>
              <w:right w:val="single" w:color="auto" w:sz="4" w:space="0"/>
            </w:tcBorders>
            <w:noWrap/>
            <w:vAlign w:val="center"/>
          </w:tcPr>
          <w:p w14:paraId="05CC5BBC">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1FB5027A">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饮料</w:t>
            </w:r>
          </w:p>
        </w:tc>
        <w:tc>
          <w:tcPr>
            <w:tcW w:w="1688" w:type="dxa"/>
            <w:tcBorders>
              <w:top w:val="single" w:color="auto" w:sz="4" w:space="0"/>
              <w:left w:val="single" w:color="auto" w:sz="4" w:space="0"/>
              <w:right w:val="single" w:color="auto" w:sz="4" w:space="0"/>
            </w:tcBorders>
            <w:noWrap/>
            <w:vAlign w:val="center"/>
          </w:tcPr>
          <w:p w14:paraId="57FFC29A">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34DD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08A21606">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2250" w:type="dxa"/>
            <w:vMerge w:val="continue"/>
            <w:tcBorders>
              <w:top w:val="single" w:color="auto" w:sz="4" w:space="0"/>
              <w:left w:val="single" w:color="auto" w:sz="4" w:space="0"/>
              <w:right w:val="single" w:color="auto" w:sz="4" w:space="0"/>
            </w:tcBorders>
            <w:noWrap/>
            <w:vAlign w:val="center"/>
          </w:tcPr>
          <w:p w14:paraId="5E3BB060">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2E13633D">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方便食品</w:t>
            </w:r>
          </w:p>
        </w:tc>
        <w:tc>
          <w:tcPr>
            <w:tcW w:w="1688" w:type="dxa"/>
            <w:tcBorders>
              <w:top w:val="single" w:color="auto" w:sz="4" w:space="0"/>
              <w:left w:val="single" w:color="auto" w:sz="4" w:space="0"/>
              <w:right w:val="single" w:color="auto" w:sz="4" w:space="0"/>
            </w:tcBorders>
            <w:noWrap/>
            <w:vAlign w:val="center"/>
          </w:tcPr>
          <w:p w14:paraId="0BA5D2C6">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61DD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262F87F4">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2250" w:type="dxa"/>
            <w:vMerge w:val="continue"/>
            <w:tcBorders>
              <w:top w:val="single" w:color="auto" w:sz="4" w:space="0"/>
              <w:left w:val="single" w:color="auto" w:sz="4" w:space="0"/>
              <w:right w:val="single" w:color="auto" w:sz="4" w:space="0"/>
            </w:tcBorders>
            <w:noWrap/>
            <w:vAlign w:val="center"/>
          </w:tcPr>
          <w:p w14:paraId="1E3FB4B0">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22790DFC">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饼干</w:t>
            </w:r>
          </w:p>
        </w:tc>
        <w:tc>
          <w:tcPr>
            <w:tcW w:w="1688" w:type="dxa"/>
            <w:tcBorders>
              <w:top w:val="single" w:color="auto" w:sz="4" w:space="0"/>
              <w:left w:val="single" w:color="auto" w:sz="4" w:space="0"/>
              <w:right w:val="single" w:color="auto" w:sz="4" w:space="0"/>
            </w:tcBorders>
            <w:noWrap/>
            <w:vAlign w:val="center"/>
          </w:tcPr>
          <w:p w14:paraId="4185EB3D">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4EF4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5D675A8D">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2250" w:type="dxa"/>
            <w:vMerge w:val="continue"/>
            <w:tcBorders>
              <w:top w:val="single" w:color="auto" w:sz="4" w:space="0"/>
              <w:left w:val="single" w:color="auto" w:sz="4" w:space="0"/>
              <w:right w:val="single" w:color="auto" w:sz="4" w:space="0"/>
            </w:tcBorders>
            <w:noWrap/>
            <w:vAlign w:val="center"/>
          </w:tcPr>
          <w:p w14:paraId="212491D7">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451FB430">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罐头</w:t>
            </w:r>
          </w:p>
        </w:tc>
        <w:tc>
          <w:tcPr>
            <w:tcW w:w="1688" w:type="dxa"/>
            <w:tcBorders>
              <w:top w:val="single" w:color="auto" w:sz="4" w:space="0"/>
              <w:left w:val="single" w:color="auto" w:sz="4" w:space="0"/>
              <w:right w:val="single" w:color="auto" w:sz="4" w:space="0"/>
            </w:tcBorders>
            <w:noWrap/>
            <w:vAlign w:val="center"/>
          </w:tcPr>
          <w:p w14:paraId="0943B2B0">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63A5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7530909F">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250" w:type="dxa"/>
            <w:vMerge w:val="continue"/>
            <w:tcBorders>
              <w:top w:val="single" w:color="auto" w:sz="4" w:space="0"/>
              <w:left w:val="single" w:color="auto" w:sz="4" w:space="0"/>
              <w:right w:val="single" w:color="auto" w:sz="4" w:space="0"/>
            </w:tcBorders>
            <w:noWrap/>
            <w:vAlign w:val="center"/>
          </w:tcPr>
          <w:p w14:paraId="6A262183">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5DCE1EF2">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冷冻食品</w:t>
            </w:r>
          </w:p>
        </w:tc>
        <w:tc>
          <w:tcPr>
            <w:tcW w:w="1688" w:type="dxa"/>
            <w:tcBorders>
              <w:top w:val="single" w:color="auto" w:sz="4" w:space="0"/>
              <w:left w:val="single" w:color="auto" w:sz="4" w:space="0"/>
              <w:right w:val="single" w:color="auto" w:sz="4" w:space="0"/>
            </w:tcBorders>
            <w:noWrap/>
            <w:vAlign w:val="center"/>
          </w:tcPr>
          <w:p w14:paraId="2B00470E">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67EE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5D931010">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2250" w:type="dxa"/>
            <w:vMerge w:val="continue"/>
            <w:tcBorders>
              <w:top w:val="single" w:color="auto" w:sz="4" w:space="0"/>
              <w:left w:val="single" w:color="auto" w:sz="4" w:space="0"/>
              <w:right w:val="single" w:color="auto" w:sz="4" w:space="0"/>
            </w:tcBorders>
            <w:noWrap/>
            <w:vAlign w:val="center"/>
          </w:tcPr>
          <w:p w14:paraId="2E134E11">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003DB545">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速冻食品</w:t>
            </w:r>
          </w:p>
        </w:tc>
        <w:tc>
          <w:tcPr>
            <w:tcW w:w="1688" w:type="dxa"/>
            <w:tcBorders>
              <w:top w:val="single" w:color="auto" w:sz="4" w:space="0"/>
              <w:left w:val="single" w:color="auto" w:sz="4" w:space="0"/>
              <w:right w:val="single" w:color="auto" w:sz="4" w:space="0"/>
            </w:tcBorders>
            <w:noWrap/>
            <w:vAlign w:val="center"/>
          </w:tcPr>
          <w:p w14:paraId="0B15D4C3">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4DA4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3526F518">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2250" w:type="dxa"/>
            <w:vMerge w:val="continue"/>
            <w:tcBorders>
              <w:top w:val="single" w:color="auto" w:sz="4" w:space="0"/>
              <w:left w:val="single" w:color="auto" w:sz="4" w:space="0"/>
              <w:right w:val="single" w:color="auto" w:sz="4" w:space="0"/>
            </w:tcBorders>
            <w:noWrap/>
            <w:vAlign w:val="center"/>
          </w:tcPr>
          <w:p w14:paraId="78C90116">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1735DA27">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薯类及膨化食品</w:t>
            </w:r>
          </w:p>
        </w:tc>
        <w:tc>
          <w:tcPr>
            <w:tcW w:w="1688" w:type="dxa"/>
            <w:tcBorders>
              <w:top w:val="single" w:color="auto" w:sz="4" w:space="0"/>
              <w:left w:val="single" w:color="auto" w:sz="4" w:space="0"/>
              <w:right w:val="single" w:color="auto" w:sz="4" w:space="0"/>
            </w:tcBorders>
            <w:noWrap/>
            <w:vAlign w:val="center"/>
          </w:tcPr>
          <w:p w14:paraId="14314FC1">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3937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72655002">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2250" w:type="dxa"/>
            <w:vMerge w:val="continue"/>
            <w:tcBorders>
              <w:top w:val="single" w:color="auto" w:sz="4" w:space="0"/>
              <w:left w:val="single" w:color="auto" w:sz="4" w:space="0"/>
              <w:right w:val="single" w:color="auto" w:sz="4" w:space="0"/>
            </w:tcBorders>
            <w:noWrap/>
            <w:vAlign w:val="center"/>
          </w:tcPr>
          <w:p w14:paraId="3AF7A7A6">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388615C5">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糖果制品</w:t>
            </w:r>
          </w:p>
        </w:tc>
        <w:tc>
          <w:tcPr>
            <w:tcW w:w="1688" w:type="dxa"/>
            <w:tcBorders>
              <w:top w:val="single" w:color="auto" w:sz="4" w:space="0"/>
              <w:left w:val="single" w:color="auto" w:sz="4" w:space="0"/>
              <w:right w:val="single" w:color="auto" w:sz="4" w:space="0"/>
            </w:tcBorders>
            <w:noWrap/>
            <w:vAlign w:val="center"/>
          </w:tcPr>
          <w:p w14:paraId="13BEFE7A">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35EF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70A6E7A1">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2250" w:type="dxa"/>
            <w:vMerge w:val="continue"/>
            <w:tcBorders>
              <w:top w:val="single" w:color="auto" w:sz="4" w:space="0"/>
              <w:left w:val="single" w:color="auto" w:sz="4" w:space="0"/>
              <w:right w:val="single" w:color="auto" w:sz="4" w:space="0"/>
            </w:tcBorders>
            <w:noWrap/>
            <w:vAlign w:val="center"/>
          </w:tcPr>
          <w:p w14:paraId="09ECF356">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1136747E">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茶叶及相关制品</w:t>
            </w:r>
          </w:p>
        </w:tc>
        <w:tc>
          <w:tcPr>
            <w:tcW w:w="1688" w:type="dxa"/>
            <w:tcBorders>
              <w:top w:val="single" w:color="auto" w:sz="4" w:space="0"/>
              <w:left w:val="single" w:color="auto" w:sz="4" w:space="0"/>
              <w:right w:val="single" w:color="auto" w:sz="4" w:space="0"/>
            </w:tcBorders>
            <w:noWrap/>
            <w:vAlign w:val="center"/>
          </w:tcPr>
          <w:p w14:paraId="170ACD16">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71AA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62B35E5E">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2250" w:type="dxa"/>
            <w:vMerge w:val="continue"/>
            <w:tcBorders>
              <w:top w:val="single" w:color="auto" w:sz="4" w:space="0"/>
              <w:left w:val="single" w:color="auto" w:sz="4" w:space="0"/>
              <w:right w:val="single" w:color="auto" w:sz="4" w:space="0"/>
            </w:tcBorders>
            <w:noWrap/>
            <w:vAlign w:val="center"/>
          </w:tcPr>
          <w:p w14:paraId="07010363">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32E15C18">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酒类</w:t>
            </w:r>
          </w:p>
        </w:tc>
        <w:tc>
          <w:tcPr>
            <w:tcW w:w="1688" w:type="dxa"/>
            <w:tcBorders>
              <w:top w:val="single" w:color="auto" w:sz="4" w:space="0"/>
              <w:left w:val="single" w:color="auto" w:sz="4" w:space="0"/>
              <w:right w:val="single" w:color="auto" w:sz="4" w:space="0"/>
            </w:tcBorders>
            <w:noWrap/>
            <w:vAlign w:val="center"/>
          </w:tcPr>
          <w:p w14:paraId="1744B531">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78AF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2A293321">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2250" w:type="dxa"/>
            <w:vMerge w:val="continue"/>
            <w:tcBorders>
              <w:top w:val="single" w:color="auto" w:sz="4" w:space="0"/>
              <w:left w:val="single" w:color="auto" w:sz="4" w:space="0"/>
              <w:right w:val="single" w:color="auto" w:sz="4" w:space="0"/>
            </w:tcBorders>
            <w:noWrap/>
            <w:vAlign w:val="center"/>
          </w:tcPr>
          <w:p w14:paraId="27FF6C4B">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20F3A997">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蔬菜制品</w:t>
            </w:r>
          </w:p>
        </w:tc>
        <w:tc>
          <w:tcPr>
            <w:tcW w:w="1688" w:type="dxa"/>
            <w:tcBorders>
              <w:top w:val="single" w:color="auto" w:sz="4" w:space="0"/>
              <w:left w:val="single" w:color="auto" w:sz="4" w:space="0"/>
              <w:right w:val="single" w:color="auto" w:sz="4" w:space="0"/>
            </w:tcBorders>
            <w:noWrap/>
            <w:vAlign w:val="center"/>
          </w:tcPr>
          <w:p w14:paraId="01A500D2">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453A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765D65DE">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p>
        </w:tc>
        <w:tc>
          <w:tcPr>
            <w:tcW w:w="2250" w:type="dxa"/>
            <w:vMerge w:val="continue"/>
            <w:tcBorders>
              <w:top w:val="single" w:color="auto" w:sz="4" w:space="0"/>
              <w:left w:val="single" w:color="auto" w:sz="4" w:space="0"/>
              <w:right w:val="single" w:color="auto" w:sz="4" w:space="0"/>
            </w:tcBorders>
            <w:noWrap/>
            <w:vAlign w:val="center"/>
          </w:tcPr>
          <w:p w14:paraId="453E7D07">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3248F3BB">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水果制品</w:t>
            </w:r>
          </w:p>
        </w:tc>
        <w:tc>
          <w:tcPr>
            <w:tcW w:w="1688" w:type="dxa"/>
            <w:tcBorders>
              <w:top w:val="single" w:color="auto" w:sz="4" w:space="0"/>
              <w:left w:val="single" w:color="auto" w:sz="4" w:space="0"/>
              <w:right w:val="single" w:color="auto" w:sz="4" w:space="0"/>
            </w:tcBorders>
            <w:noWrap/>
            <w:vAlign w:val="center"/>
          </w:tcPr>
          <w:p w14:paraId="56D814A0">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148F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5A887B23">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c>
          <w:tcPr>
            <w:tcW w:w="2250" w:type="dxa"/>
            <w:vMerge w:val="continue"/>
            <w:tcBorders>
              <w:top w:val="single" w:color="auto" w:sz="4" w:space="0"/>
              <w:left w:val="single" w:color="auto" w:sz="4" w:space="0"/>
              <w:right w:val="single" w:color="auto" w:sz="4" w:space="0"/>
            </w:tcBorders>
            <w:noWrap/>
            <w:vAlign w:val="center"/>
          </w:tcPr>
          <w:p w14:paraId="0D4E5ABB">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18AA21A6">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炒货食品及坚果制品</w:t>
            </w:r>
          </w:p>
        </w:tc>
        <w:tc>
          <w:tcPr>
            <w:tcW w:w="1688" w:type="dxa"/>
            <w:tcBorders>
              <w:top w:val="single" w:color="auto" w:sz="4" w:space="0"/>
              <w:left w:val="single" w:color="auto" w:sz="4" w:space="0"/>
              <w:right w:val="single" w:color="auto" w:sz="4" w:space="0"/>
            </w:tcBorders>
            <w:noWrap/>
            <w:vAlign w:val="center"/>
          </w:tcPr>
          <w:p w14:paraId="645562C5">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53F2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2B586262">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2250" w:type="dxa"/>
            <w:vMerge w:val="continue"/>
            <w:tcBorders>
              <w:top w:val="single" w:color="auto" w:sz="4" w:space="0"/>
              <w:left w:val="single" w:color="auto" w:sz="4" w:space="0"/>
              <w:right w:val="single" w:color="auto" w:sz="4" w:space="0"/>
            </w:tcBorders>
            <w:noWrap/>
            <w:vAlign w:val="center"/>
          </w:tcPr>
          <w:p w14:paraId="10A83446">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68FACBCF">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蛋制品</w:t>
            </w:r>
          </w:p>
        </w:tc>
        <w:tc>
          <w:tcPr>
            <w:tcW w:w="1688" w:type="dxa"/>
            <w:tcBorders>
              <w:top w:val="single" w:color="auto" w:sz="4" w:space="0"/>
              <w:left w:val="single" w:color="auto" w:sz="4" w:space="0"/>
              <w:right w:val="single" w:color="auto" w:sz="4" w:space="0"/>
            </w:tcBorders>
            <w:noWrap/>
            <w:vAlign w:val="center"/>
          </w:tcPr>
          <w:p w14:paraId="0BD82A54">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7FDE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bottom w:val="single" w:color="auto" w:sz="4" w:space="0"/>
            </w:tcBorders>
            <w:noWrap/>
            <w:vAlign w:val="center"/>
          </w:tcPr>
          <w:p w14:paraId="4AD4B0FE">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2250" w:type="dxa"/>
            <w:vMerge w:val="continue"/>
            <w:tcBorders>
              <w:bottom w:val="single" w:color="auto" w:sz="4" w:space="0"/>
            </w:tcBorders>
            <w:noWrap/>
            <w:vAlign w:val="center"/>
          </w:tcPr>
          <w:p w14:paraId="3D03A43C">
            <w:pPr>
              <w:rPr>
                <w:color w:val="auto"/>
                <w:highlight w:val="none"/>
              </w:rPr>
            </w:pPr>
          </w:p>
        </w:tc>
        <w:tc>
          <w:tcPr>
            <w:tcW w:w="3958" w:type="dxa"/>
            <w:tcBorders>
              <w:bottom w:val="single" w:color="auto" w:sz="4" w:space="0"/>
            </w:tcBorders>
            <w:noWrap/>
            <w:vAlign w:val="center"/>
          </w:tcPr>
          <w:p w14:paraId="318DE74E">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食糖</w:t>
            </w:r>
          </w:p>
        </w:tc>
        <w:tc>
          <w:tcPr>
            <w:tcW w:w="1688" w:type="dxa"/>
            <w:tcBorders>
              <w:bottom w:val="single" w:color="auto" w:sz="4" w:space="0"/>
            </w:tcBorders>
            <w:noWrap/>
            <w:vAlign w:val="center"/>
          </w:tcPr>
          <w:p w14:paraId="6DD81248">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3FDE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06203CD2">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w:t>
            </w:r>
          </w:p>
        </w:tc>
        <w:tc>
          <w:tcPr>
            <w:tcW w:w="2250" w:type="dxa"/>
            <w:vMerge w:val="continue"/>
            <w:tcBorders>
              <w:top w:val="single" w:color="auto" w:sz="4" w:space="0"/>
              <w:left w:val="single" w:color="auto" w:sz="4" w:space="0"/>
              <w:right w:val="single" w:color="auto" w:sz="4" w:space="0"/>
            </w:tcBorders>
            <w:noWrap/>
            <w:vAlign w:val="center"/>
          </w:tcPr>
          <w:p w14:paraId="225C30F7">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340BA470">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水产制品</w:t>
            </w:r>
          </w:p>
        </w:tc>
        <w:tc>
          <w:tcPr>
            <w:tcW w:w="1688" w:type="dxa"/>
            <w:tcBorders>
              <w:top w:val="single" w:color="auto" w:sz="4" w:space="0"/>
              <w:left w:val="single" w:color="auto" w:sz="4" w:space="0"/>
              <w:right w:val="single" w:color="auto" w:sz="4" w:space="0"/>
            </w:tcBorders>
            <w:noWrap/>
            <w:vAlign w:val="center"/>
          </w:tcPr>
          <w:p w14:paraId="516A2678">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1DEB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70" w:type="dxa"/>
            <w:tcBorders>
              <w:top w:val="single" w:color="auto" w:sz="4" w:space="0"/>
              <w:left w:val="single" w:color="auto" w:sz="4" w:space="0"/>
              <w:right w:val="single" w:color="auto" w:sz="4" w:space="0"/>
            </w:tcBorders>
            <w:noWrap/>
            <w:vAlign w:val="center"/>
          </w:tcPr>
          <w:p w14:paraId="12175D07">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2250" w:type="dxa"/>
            <w:vMerge w:val="continue"/>
            <w:tcBorders>
              <w:top w:val="single" w:color="auto" w:sz="4" w:space="0"/>
              <w:left w:val="single" w:color="auto" w:sz="4" w:space="0"/>
              <w:right w:val="single" w:color="auto" w:sz="4" w:space="0"/>
            </w:tcBorders>
            <w:noWrap/>
            <w:vAlign w:val="center"/>
          </w:tcPr>
          <w:p w14:paraId="6A2039BC">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60C887D4">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淀粉及淀粉制品</w:t>
            </w:r>
          </w:p>
        </w:tc>
        <w:tc>
          <w:tcPr>
            <w:tcW w:w="1688" w:type="dxa"/>
            <w:tcBorders>
              <w:top w:val="single" w:color="auto" w:sz="4" w:space="0"/>
              <w:left w:val="single" w:color="auto" w:sz="4" w:space="0"/>
              <w:right w:val="single" w:color="auto" w:sz="4" w:space="0"/>
            </w:tcBorders>
            <w:noWrap/>
            <w:vAlign w:val="center"/>
          </w:tcPr>
          <w:p w14:paraId="5ECCF55E">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6194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379ED188">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w:t>
            </w:r>
          </w:p>
        </w:tc>
        <w:tc>
          <w:tcPr>
            <w:tcW w:w="2250" w:type="dxa"/>
            <w:vMerge w:val="continue"/>
            <w:tcBorders>
              <w:top w:val="single" w:color="auto" w:sz="4" w:space="0"/>
              <w:left w:val="single" w:color="auto" w:sz="4" w:space="0"/>
              <w:right w:val="single" w:color="auto" w:sz="4" w:space="0"/>
            </w:tcBorders>
            <w:noWrap/>
            <w:vAlign w:val="center"/>
          </w:tcPr>
          <w:p w14:paraId="1F056AF7">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23BB4265">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糕点</w:t>
            </w:r>
          </w:p>
        </w:tc>
        <w:tc>
          <w:tcPr>
            <w:tcW w:w="1688" w:type="dxa"/>
            <w:tcBorders>
              <w:top w:val="single" w:color="auto" w:sz="4" w:space="0"/>
              <w:left w:val="single" w:color="auto" w:sz="4" w:space="0"/>
              <w:right w:val="single" w:color="auto" w:sz="4" w:space="0"/>
            </w:tcBorders>
            <w:noWrap/>
            <w:vAlign w:val="center"/>
          </w:tcPr>
          <w:p w14:paraId="07B1F9E1">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1D4C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0FB8C7FA">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w:t>
            </w:r>
          </w:p>
        </w:tc>
        <w:tc>
          <w:tcPr>
            <w:tcW w:w="2250" w:type="dxa"/>
            <w:vMerge w:val="continue"/>
            <w:tcBorders>
              <w:top w:val="single" w:color="auto" w:sz="4" w:space="0"/>
              <w:left w:val="single" w:color="auto" w:sz="4" w:space="0"/>
              <w:right w:val="single" w:color="auto" w:sz="4" w:space="0"/>
            </w:tcBorders>
            <w:noWrap/>
            <w:vAlign w:val="center"/>
          </w:tcPr>
          <w:p w14:paraId="270DF22F">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72E98AA2">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豆制品</w:t>
            </w:r>
          </w:p>
        </w:tc>
        <w:tc>
          <w:tcPr>
            <w:tcW w:w="1688" w:type="dxa"/>
            <w:tcBorders>
              <w:top w:val="single" w:color="auto" w:sz="4" w:space="0"/>
              <w:left w:val="single" w:color="auto" w:sz="4" w:space="0"/>
              <w:right w:val="single" w:color="auto" w:sz="4" w:space="0"/>
            </w:tcBorders>
            <w:noWrap/>
            <w:vAlign w:val="center"/>
          </w:tcPr>
          <w:p w14:paraId="6CFC9770">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6639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55F1FBFC">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c>
          <w:tcPr>
            <w:tcW w:w="2250" w:type="dxa"/>
            <w:vMerge w:val="continue"/>
            <w:tcBorders>
              <w:top w:val="single" w:color="auto" w:sz="4" w:space="0"/>
              <w:left w:val="single" w:color="auto" w:sz="4" w:space="0"/>
              <w:right w:val="single" w:color="auto" w:sz="4" w:space="0"/>
            </w:tcBorders>
            <w:noWrap/>
            <w:vAlign w:val="center"/>
          </w:tcPr>
          <w:p w14:paraId="79890646">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215114D0">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蜂产品</w:t>
            </w:r>
          </w:p>
        </w:tc>
        <w:tc>
          <w:tcPr>
            <w:tcW w:w="1688" w:type="dxa"/>
            <w:tcBorders>
              <w:top w:val="single" w:color="auto" w:sz="4" w:space="0"/>
              <w:left w:val="single" w:color="auto" w:sz="4" w:space="0"/>
              <w:right w:val="single" w:color="auto" w:sz="4" w:space="0"/>
            </w:tcBorders>
            <w:noWrap/>
            <w:vAlign w:val="center"/>
          </w:tcPr>
          <w:p w14:paraId="3341B38B">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14:paraId="40CC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0" w:type="dxa"/>
            <w:tcBorders>
              <w:top w:val="single" w:color="auto" w:sz="4" w:space="0"/>
              <w:left w:val="single" w:color="auto" w:sz="4" w:space="0"/>
              <w:right w:val="single" w:color="auto" w:sz="4" w:space="0"/>
            </w:tcBorders>
            <w:noWrap/>
            <w:vAlign w:val="center"/>
          </w:tcPr>
          <w:p w14:paraId="19ECF641">
            <w:pPr>
              <w:keepNext w:val="0"/>
              <w:keepLines w:val="0"/>
              <w:pageBreakBefore w:val="0"/>
              <w:widowControl/>
              <w:kinsoku/>
              <w:wordWrap/>
              <w:topLinePunct w:val="0"/>
              <w:bidi w:val="0"/>
              <w:snapToGrid/>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26</w:t>
            </w:r>
          </w:p>
        </w:tc>
        <w:tc>
          <w:tcPr>
            <w:tcW w:w="2250" w:type="dxa"/>
            <w:vMerge w:val="continue"/>
            <w:tcBorders>
              <w:top w:val="single" w:color="auto" w:sz="4" w:space="0"/>
              <w:left w:val="single" w:color="auto" w:sz="4" w:space="0"/>
              <w:right w:val="single" w:color="auto" w:sz="4" w:space="0"/>
            </w:tcBorders>
            <w:noWrap/>
            <w:vAlign w:val="center"/>
          </w:tcPr>
          <w:p w14:paraId="59FEA29F">
            <w:pPr>
              <w:rPr>
                <w:color w:val="auto"/>
                <w:highlight w:val="none"/>
              </w:rPr>
            </w:pPr>
          </w:p>
        </w:tc>
        <w:tc>
          <w:tcPr>
            <w:tcW w:w="3958" w:type="dxa"/>
            <w:tcBorders>
              <w:top w:val="single" w:color="auto" w:sz="4" w:space="0"/>
              <w:left w:val="single" w:color="auto" w:sz="4" w:space="0"/>
              <w:right w:val="single" w:color="auto" w:sz="4" w:space="0"/>
            </w:tcBorders>
            <w:noWrap/>
            <w:vAlign w:val="center"/>
          </w:tcPr>
          <w:p w14:paraId="49B6BE31">
            <w:pPr>
              <w:keepNext w:val="0"/>
              <w:keepLines w:val="0"/>
              <w:pageBreakBefore w:val="0"/>
              <w:widowControl w:val="0"/>
              <w:kinsoku/>
              <w:wordWrap/>
              <w:topLinePunct w:val="0"/>
              <w:bidi w:val="0"/>
              <w:snapToGrid/>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食用农产品</w:t>
            </w:r>
          </w:p>
        </w:tc>
        <w:tc>
          <w:tcPr>
            <w:tcW w:w="1688" w:type="dxa"/>
            <w:tcBorders>
              <w:top w:val="single" w:color="auto" w:sz="4" w:space="0"/>
              <w:left w:val="single" w:color="auto" w:sz="4" w:space="0"/>
              <w:right w:val="single" w:color="auto" w:sz="4" w:space="0"/>
            </w:tcBorders>
            <w:noWrap/>
            <w:vAlign w:val="center"/>
          </w:tcPr>
          <w:p w14:paraId="21E2DD4A">
            <w:pPr>
              <w:keepNext w:val="0"/>
              <w:keepLines w:val="0"/>
              <w:pageBreakBefore w:val="0"/>
              <w:widowControl/>
              <w:kinsoku/>
              <w:wordWrap/>
              <w:topLinePunct w:val="0"/>
              <w:bidi w:val="0"/>
              <w:snapToGrid/>
              <w:spacing w:line="400" w:lineRule="exact"/>
              <w:jc w:val="center"/>
              <w:rPr>
                <w:rFonts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150</w:t>
            </w:r>
          </w:p>
        </w:tc>
      </w:tr>
      <w:tr w14:paraId="6345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6" w:type="dxa"/>
            <w:gridSpan w:val="4"/>
            <w:tcBorders>
              <w:top w:val="single" w:color="auto" w:sz="4" w:space="0"/>
              <w:left w:val="single" w:color="auto" w:sz="4" w:space="0"/>
              <w:right w:val="single" w:color="auto" w:sz="4" w:space="0"/>
            </w:tcBorders>
            <w:noWrap/>
            <w:vAlign w:val="center"/>
          </w:tcPr>
          <w:p w14:paraId="46A602FE">
            <w:pPr>
              <w:keepNext w:val="0"/>
              <w:keepLines w:val="0"/>
              <w:pageBreakBefore w:val="0"/>
              <w:widowControl/>
              <w:kinsoku/>
              <w:wordWrap/>
              <w:topLinePunct w:val="0"/>
              <w:bidi w:val="0"/>
              <w:snapToGrid/>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备注：因实际情况造成检测数量增减的，以实际检测数量为准，按实结算。</w:t>
            </w:r>
          </w:p>
        </w:tc>
      </w:tr>
      <w:bookmarkEnd w:id="8"/>
      <w:bookmarkEnd w:id="9"/>
    </w:tbl>
    <w:p w14:paraId="0386059A">
      <w:pPr>
        <w:keepNext w:val="0"/>
        <w:keepLines w:val="0"/>
        <w:pageBreakBefore w:val="0"/>
        <w:widowControl w:val="0"/>
        <w:tabs>
          <w:tab w:val="left" w:pos="9135"/>
        </w:tabs>
        <w:kinsoku/>
        <w:wordWrap/>
        <w:topLinePunct w:val="0"/>
        <w:bidi w:val="0"/>
        <w:snapToGrid/>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项目要求</w:t>
      </w:r>
    </w:p>
    <w:p w14:paraId="47476555">
      <w:pPr>
        <w:keepNext w:val="0"/>
        <w:keepLines w:val="0"/>
        <w:pageBreakBefore w:val="0"/>
        <w:widowControl/>
        <w:tabs>
          <w:tab w:val="left" w:pos="0"/>
        </w:tabs>
        <w:kinsoku/>
        <w:wordWrap/>
        <w:topLinePunct w:val="0"/>
        <w:bidi w:val="0"/>
        <w:snapToGrid/>
        <w:spacing w:line="400" w:lineRule="exact"/>
        <w:ind w:left="437" w:leftChars="208" w:right="60" w:firstLine="15" w:firstLineChars="7"/>
        <w:jc w:val="lef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2.1生产环节食品质量安全监督抽检要求</w:t>
      </w:r>
    </w:p>
    <w:p w14:paraId="1938BA9C">
      <w:pPr>
        <w:keepNext w:val="0"/>
        <w:keepLines w:val="0"/>
        <w:pageBreakBefore w:val="0"/>
        <w:widowControl/>
        <w:tabs>
          <w:tab w:val="left" w:pos="0"/>
        </w:tabs>
        <w:kinsoku/>
        <w:wordWrap/>
        <w:topLinePunct w:val="0"/>
        <w:bidi w:val="0"/>
        <w:snapToGrid/>
        <w:spacing w:line="400" w:lineRule="exact"/>
        <w:ind w:left="437" w:leftChars="208" w:right="60" w:firstLine="15" w:firstLineChars="7"/>
        <w:jc w:val="lef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eastAsia="宋体" w:cs="宋体"/>
          <w:color w:val="auto"/>
          <w:sz w:val="22"/>
          <w:szCs w:val="22"/>
          <w:highlight w:val="none"/>
        </w:rPr>
        <w:t>1抽检范围：</w:t>
      </w:r>
      <w:r>
        <w:rPr>
          <w:rFonts w:hint="eastAsia" w:ascii="宋体" w:hAnsi="宋体" w:cs="宋体"/>
          <w:color w:val="auto"/>
          <w:sz w:val="22"/>
          <w:szCs w:val="22"/>
          <w:highlight w:val="none"/>
          <w:lang w:eastAsia="zh-CN"/>
        </w:rPr>
        <w:t>泰顺县</w:t>
      </w:r>
      <w:r>
        <w:rPr>
          <w:rFonts w:hint="eastAsia" w:ascii="宋体" w:hAnsi="宋体" w:eastAsia="宋体" w:cs="宋体"/>
          <w:color w:val="auto"/>
          <w:sz w:val="22"/>
          <w:szCs w:val="22"/>
          <w:highlight w:val="none"/>
        </w:rPr>
        <w:t>内的食品生产企业、食品添加剂生产企业、食品生产加工</w:t>
      </w:r>
    </w:p>
    <w:p w14:paraId="053624B5">
      <w:pPr>
        <w:keepNext w:val="0"/>
        <w:keepLines w:val="0"/>
        <w:pageBreakBefore w:val="0"/>
        <w:widowControl/>
        <w:tabs>
          <w:tab w:val="left" w:pos="0"/>
        </w:tabs>
        <w:kinsoku/>
        <w:wordWrap/>
        <w:topLinePunct w:val="0"/>
        <w:bidi w:val="0"/>
        <w:snapToGrid/>
        <w:spacing w:line="400" w:lineRule="exact"/>
        <w:ind w:right="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小作坊等生产经营主体，具体抽检区域由根据相关文件执行。</w:t>
      </w:r>
    </w:p>
    <w:p w14:paraId="16FBCB63">
      <w:pPr>
        <w:keepNext w:val="0"/>
        <w:keepLines w:val="0"/>
        <w:pageBreakBefore w:val="0"/>
        <w:widowControl/>
        <w:tabs>
          <w:tab w:val="left" w:pos="0"/>
        </w:tabs>
        <w:kinsoku/>
        <w:wordWrap/>
        <w:topLinePunct w:val="0"/>
        <w:bidi w:val="0"/>
        <w:snapToGrid/>
        <w:spacing w:line="400" w:lineRule="exact"/>
        <w:ind w:left="437" w:leftChars="208" w:right="60" w:firstLine="15" w:firstLineChars="7"/>
        <w:jc w:val="lef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eastAsia="宋体" w:cs="宋体"/>
          <w:color w:val="auto"/>
          <w:sz w:val="22"/>
          <w:szCs w:val="22"/>
          <w:highlight w:val="none"/>
        </w:rPr>
        <w:t>2检测周期：食品检测周期约为20天，每个周期抽检前由采购商安排抽检任</w:t>
      </w:r>
    </w:p>
    <w:p w14:paraId="60D890C7">
      <w:pPr>
        <w:keepNext w:val="0"/>
        <w:keepLines w:val="0"/>
        <w:pageBreakBefore w:val="0"/>
        <w:widowControl/>
        <w:tabs>
          <w:tab w:val="left" w:pos="0"/>
        </w:tabs>
        <w:kinsoku/>
        <w:wordWrap/>
        <w:topLinePunct w:val="0"/>
        <w:bidi w:val="0"/>
        <w:snapToGrid/>
        <w:spacing w:line="400" w:lineRule="exact"/>
        <w:ind w:right="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务。</w:t>
      </w:r>
    </w:p>
    <w:p w14:paraId="1EF03F10">
      <w:pPr>
        <w:keepNext w:val="0"/>
        <w:keepLines w:val="0"/>
        <w:pageBreakBefore w:val="0"/>
        <w:widowControl/>
        <w:tabs>
          <w:tab w:val="left" w:pos="0"/>
        </w:tabs>
        <w:kinsoku/>
        <w:wordWrap/>
        <w:topLinePunct w:val="0"/>
        <w:bidi w:val="0"/>
        <w:snapToGrid/>
        <w:spacing w:line="400" w:lineRule="exact"/>
        <w:ind w:left="437" w:leftChars="208" w:right="60" w:firstLine="15" w:firstLineChars="7"/>
        <w:jc w:val="lef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eastAsia="宋体" w:cs="宋体"/>
          <w:color w:val="auto"/>
          <w:sz w:val="22"/>
          <w:szCs w:val="22"/>
          <w:highlight w:val="none"/>
        </w:rPr>
        <w:t>3服务期限：本次检测机构的服务期限截止到本期食品安全抽检工作项目完成</w:t>
      </w:r>
    </w:p>
    <w:p w14:paraId="548550A7">
      <w:pPr>
        <w:keepNext w:val="0"/>
        <w:keepLines w:val="0"/>
        <w:pageBreakBefore w:val="0"/>
        <w:widowControl/>
        <w:tabs>
          <w:tab w:val="left" w:pos="0"/>
        </w:tabs>
        <w:kinsoku/>
        <w:wordWrap/>
        <w:topLinePunct w:val="0"/>
        <w:bidi w:val="0"/>
        <w:snapToGrid/>
        <w:spacing w:line="400" w:lineRule="exact"/>
        <w:ind w:right="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为止。</w:t>
      </w:r>
    </w:p>
    <w:p w14:paraId="56ABA611">
      <w:pPr>
        <w:keepNext w:val="0"/>
        <w:keepLines w:val="0"/>
        <w:pageBreakBefore w:val="0"/>
        <w:widowControl w:val="0"/>
        <w:kinsoku/>
        <w:wordWrap/>
        <w:topLinePunct w:val="0"/>
        <w:bidi w:val="0"/>
        <w:snapToGrid/>
        <w:spacing w:line="400" w:lineRule="exact"/>
        <w:ind w:left="437" w:leftChars="208" w:firstLine="158" w:firstLineChars="72"/>
        <w:rPr>
          <w:rFonts w:hint="eastAsia" w:ascii="宋体" w:hAnsi="宋体" w:eastAsia="宋体" w:cs="宋体"/>
          <w:snapToGrid w:val="0"/>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eastAsia="宋体" w:cs="宋体"/>
          <w:color w:val="auto"/>
          <w:sz w:val="22"/>
          <w:szCs w:val="22"/>
          <w:highlight w:val="none"/>
        </w:rPr>
        <w:t>4</w:t>
      </w:r>
      <w:r>
        <w:rPr>
          <w:rFonts w:hint="eastAsia" w:ascii="宋体" w:hAnsi="宋体" w:eastAsia="宋体" w:cs="宋体"/>
          <w:snapToGrid w:val="0"/>
          <w:color w:val="auto"/>
          <w:sz w:val="22"/>
          <w:szCs w:val="22"/>
          <w:highlight w:val="none"/>
        </w:rPr>
        <w:t>本次质量安全监督抽检工作流程、规范和纪律要求严格按照《食品安全法》、</w:t>
      </w:r>
    </w:p>
    <w:p w14:paraId="2CAE69E2">
      <w:pPr>
        <w:keepNext w:val="0"/>
        <w:keepLines w:val="0"/>
        <w:pageBreakBefore w:val="0"/>
        <w:widowControl w:val="0"/>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《食品安全抽样检验管理办法》、《食品安全监督抽检和风险监测工作规范》、《食品安全监督抽检和风险监测实施细则》等文件执行，</w:t>
      </w:r>
      <w:r>
        <w:rPr>
          <w:rFonts w:hint="eastAsia" w:ascii="宋体" w:hAnsi="宋体" w:eastAsia="宋体" w:cs="宋体"/>
          <w:snapToGrid w:val="0"/>
          <w:color w:val="auto"/>
          <w:sz w:val="22"/>
          <w:szCs w:val="22"/>
          <w:highlight w:val="none"/>
          <w:lang w:val="en-US" w:eastAsia="zh-CN"/>
        </w:rPr>
        <w:t>如有最新标准文件按最新文件标准</w:t>
      </w:r>
      <w:r>
        <w:rPr>
          <w:rFonts w:hint="eastAsia" w:ascii="宋体" w:hAnsi="宋体" w:eastAsia="宋体" w:cs="宋体"/>
          <w:snapToGrid w:val="0"/>
          <w:color w:val="auto"/>
          <w:sz w:val="22"/>
          <w:szCs w:val="22"/>
          <w:highlight w:val="none"/>
        </w:rPr>
        <w:t>执行</w:t>
      </w:r>
      <w:r>
        <w:rPr>
          <w:rFonts w:hint="eastAsia" w:ascii="宋体" w:hAnsi="宋体" w:eastAsia="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rPr>
        <w:t>认真做好样品检验、数据录入和报送等工作，确保检验结果准确可靠。</w:t>
      </w:r>
    </w:p>
    <w:p w14:paraId="4348857F">
      <w:pPr>
        <w:keepNext w:val="0"/>
        <w:keepLines w:val="0"/>
        <w:pageBreakBefore w:val="0"/>
        <w:widowControl w:val="0"/>
        <w:tabs>
          <w:tab w:val="left" w:pos="9135"/>
        </w:tabs>
        <w:kinsoku/>
        <w:wordWrap/>
        <w:topLinePunct w:val="0"/>
        <w:bidi w:val="0"/>
        <w:snapToGrid/>
        <w:spacing w:line="400" w:lineRule="exact"/>
        <w:ind w:left="437" w:leftChars="208" w:firstLine="158" w:firstLineChars="72"/>
        <w:rPr>
          <w:rFonts w:hint="eastAsia" w:ascii="宋体" w:hAnsi="宋体" w:eastAsia="宋体" w:cs="宋体"/>
          <w:snapToGrid w:val="0"/>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eastAsia="宋体" w:cs="宋体"/>
          <w:color w:val="auto"/>
          <w:sz w:val="22"/>
          <w:szCs w:val="22"/>
          <w:highlight w:val="none"/>
        </w:rPr>
        <w:t>5</w:t>
      </w:r>
      <w:r>
        <w:rPr>
          <w:rFonts w:hint="eastAsia" w:ascii="宋体" w:hAnsi="宋体" w:eastAsia="宋体" w:cs="宋体"/>
          <w:snapToGrid w:val="0"/>
          <w:color w:val="auto"/>
          <w:sz w:val="22"/>
          <w:szCs w:val="22"/>
          <w:highlight w:val="none"/>
        </w:rPr>
        <w:t>承检机构在检验报告签发之日起3个工作日内将检测报告等监督检查结果</w:t>
      </w:r>
    </w:p>
    <w:p w14:paraId="01B75C56">
      <w:pPr>
        <w:keepNext w:val="0"/>
        <w:keepLines w:val="0"/>
        <w:pageBreakBefore w:val="0"/>
        <w:widowControl w:val="0"/>
        <w:tabs>
          <w:tab w:val="left" w:pos="9135"/>
        </w:tabs>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材料连同结果清单，送</w:t>
      </w:r>
      <w:r>
        <w:rPr>
          <w:rFonts w:hint="eastAsia" w:ascii="宋体" w:hAnsi="宋体" w:eastAsia="宋体" w:cs="宋体"/>
          <w:snapToGrid w:val="0"/>
          <w:color w:val="auto"/>
          <w:sz w:val="22"/>
          <w:szCs w:val="22"/>
          <w:highlight w:val="none"/>
          <w:lang w:eastAsia="zh-CN"/>
        </w:rPr>
        <w:t>县市场监督管理局</w:t>
      </w:r>
      <w:r>
        <w:rPr>
          <w:rFonts w:hint="eastAsia" w:ascii="宋体" w:hAnsi="宋体" w:eastAsia="宋体" w:cs="宋体"/>
          <w:color w:val="auto"/>
          <w:sz w:val="22"/>
          <w:szCs w:val="22"/>
          <w:highlight w:val="none"/>
        </w:rPr>
        <w:t>食品生产流通科</w:t>
      </w:r>
      <w:r>
        <w:rPr>
          <w:rFonts w:hint="eastAsia" w:ascii="宋体" w:hAnsi="宋体" w:eastAsia="宋体" w:cs="宋体"/>
          <w:snapToGrid w:val="0"/>
          <w:color w:val="auto"/>
          <w:sz w:val="22"/>
          <w:szCs w:val="22"/>
          <w:highlight w:val="none"/>
        </w:rPr>
        <w:t>，合格报告2份,不合格报告一式4份。检验过程中发现样品中含有</w:t>
      </w:r>
      <w:r>
        <w:rPr>
          <w:rFonts w:hint="eastAsia" w:ascii="宋体" w:hAnsi="宋体" w:eastAsia="宋体" w:cs="宋体"/>
          <w:color w:val="auto"/>
          <w:sz w:val="22"/>
          <w:szCs w:val="22"/>
          <w:highlight w:val="none"/>
        </w:rPr>
        <w:t>非食用物质或致病菌等其他可能存在较高食品安全风险的，应在确认检验结果后24小时内通知</w:t>
      </w:r>
      <w:r>
        <w:rPr>
          <w:rFonts w:hint="eastAsia" w:ascii="宋体" w:hAnsi="宋体" w:eastAsia="宋体" w:cs="宋体"/>
          <w:color w:val="auto"/>
          <w:sz w:val="22"/>
          <w:szCs w:val="22"/>
          <w:highlight w:val="none"/>
          <w:lang w:eastAsia="zh-CN"/>
        </w:rPr>
        <w:t>县市场监督管理局</w:t>
      </w:r>
      <w:r>
        <w:rPr>
          <w:rFonts w:hint="eastAsia" w:ascii="宋体" w:hAnsi="宋体" w:eastAsia="宋体" w:cs="宋体"/>
          <w:color w:val="auto"/>
          <w:sz w:val="22"/>
          <w:szCs w:val="22"/>
          <w:highlight w:val="none"/>
        </w:rPr>
        <w:t>食品生产流通科。</w:t>
      </w:r>
      <w:r>
        <w:rPr>
          <w:rFonts w:hint="eastAsia" w:ascii="宋体" w:hAnsi="宋体" w:eastAsia="宋体" w:cs="宋体"/>
          <w:color w:val="auto"/>
          <w:kern w:val="0"/>
          <w:sz w:val="22"/>
          <w:szCs w:val="22"/>
          <w:highlight w:val="none"/>
        </w:rPr>
        <w:t>抽检数据由承检机构报送至“国家食品安全抽样检测信息系统”。</w:t>
      </w:r>
    </w:p>
    <w:p w14:paraId="2FC28C20">
      <w:pPr>
        <w:keepNext w:val="0"/>
        <w:keepLines w:val="0"/>
        <w:pageBreakBefore w:val="0"/>
        <w:widowControl w:val="0"/>
        <w:tabs>
          <w:tab w:val="left" w:pos="9135"/>
        </w:tabs>
        <w:kinsoku/>
        <w:wordWrap/>
        <w:topLinePunct w:val="0"/>
        <w:bidi w:val="0"/>
        <w:snapToGrid/>
        <w:spacing w:line="400" w:lineRule="exact"/>
        <w:ind w:left="437" w:leftChars="208" w:firstLine="158" w:firstLineChars="72"/>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eastAsia="宋体" w:cs="宋体"/>
          <w:color w:val="auto"/>
          <w:sz w:val="22"/>
          <w:szCs w:val="22"/>
          <w:highlight w:val="none"/>
        </w:rPr>
        <w:t>6、在抽样过程中发现有新增、符合监督抽查条件的不在名单之内的生产企业，</w:t>
      </w:r>
    </w:p>
    <w:p w14:paraId="192C88A1">
      <w:pPr>
        <w:keepNext w:val="0"/>
        <w:keepLines w:val="0"/>
        <w:pageBreakBefore w:val="0"/>
        <w:widowControl w:val="0"/>
        <w:tabs>
          <w:tab w:val="left" w:pos="9135"/>
        </w:tabs>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并实施监督抽查。对当季未实施监督抽查的企业，应注明原因，并在下一季度追加抽查，确保抽查覆盖率。对于长期停产抽不到样品的企业，必须上报</w:t>
      </w:r>
      <w:r>
        <w:rPr>
          <w:rFonts w:hint="eastAsia" w:ascii="宋体" w:hAnsi="宋体" w:cs="宋体"/>
          <w:color w:val="auto"/>
          <w:sz w:val="22"/>
          <w:szCs w:val="22"/>
          <w:highlight w:val="none"/>
          <w:lang w:eastAsia="zh-CN"/>
        </w:rPr>
        <w:t>泰顺县</w:t>
      </w:r>
      <w:r>
        <w:rPr>
          <w:rFonts w:hint="eastAsia" w:ascii="宋体" w:hAnsi="宋体" w:eastAsia="宋体" w:cs="宋体"/>
          <w:color w:val="auto"/>
          <w:sz w:val="22"/>
          <w:szCs w:val="22"/>
          <w:highlight w:val="none"/>
        </w:rPr>
        <w:t>市场监管局。</w:t>
      </w:r>
    </w:p>
    <w:p w14:paraId="722FE5D8">
      <w:pPr>
        <w:keepNext w:val="0"/>
        <w:keepLines w:val="0"/>
        <w:pageBreakBefore w:val="0"/>
        <w:widowControl w:val="0"/>
        <w:kinsoku/>
        <w:wordWrap/>
        <w:topLinePunct w:val="0"/>
        <w:bidi w:val="0"/>
        <w:snapToGrid/>
        <w:spacing w:line="400" w:lineRule="exact"/>
        <w:ind w:left="437" w:leftChars="208" w:firstLine="82" w:firstLineChars="37"/>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2.2</w:t>
      </w:r>
      <w:r>
        <w:rPr>
          <w:rFonts w:hint="eastAsia" w:ascii="宋体" w:hAnsi="宋体" w:eastAsia="宋体" w:cs="宋体"/>
          <w:b/>
          <w:bCs/>
          <w:color w:val="auto"/>
          <w:sz w:val="22"/>
          <w:szCs w:val="22"/>
          <w:highlight w:val="none"/>
        </w:rPr>
        <w:t>餐饮服务环节食品安全监督抽检要求</w:t>
      </w:r>
      <w:r>
        <w:rPr>
          <w:rFonts w:hint="eastAsia" w:ascii="宋体" w:hAnsi="宋体" w:eastAsia="宋体" w:cs="宋体"/>
          <w:color w:val="auto"/>
          <w:kern w:val="0"/>
          <w:sz w:val="22"/>
          <w:szCs w:val="22"/>
          <w:highlight w:val="none"/>
        </w:rPr>
        <w:t xml:space="preserve"> </w:t>
      </w:r>
    </w:p>
    <w:p w14:paraId="4AAC7416">
      <w:pPr>
        <w:keepNext w:val="0"/>
        <w:keepLines w:val="0"/>
        <w:pageBreakBefore w:val="0"/>
        <w:widowControl w:val="0"/>
        <w:tabs>
          <w:tab w:val="left" w:pos="9135"/>
        </w:tabs>
        <w:kinsoku/>
        <w:wordWrap/>
        <w:topLinePunct w:val="0"/>
        <w:bidi w:val="0"/>
        <w:snapToGrid/>
        <w:spacing w:line="40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2.2.1</w:t>
      </w:r>
      <w:r>
        <w:rPr>
          <w:rFonts w:hint="eastAsia" w:ascii="宋体" w:hAnsi="宋体" w:eastAsia="宋体" w:cs="宋体"/>
          <w:color w:val="auto"/>
          <w:sz w:val="22"/>
          <w:szCs w:val="22"/>
          <w:highlight w:val="none"/>
        </w:rPr>
        <w:t>抽检范围：</w:t>
      </w:r>
      <w:r>
        <w:rPr>
          <w:rFonts w:hint="eastAsia" w:ascii="宋体" w:hAnsi="宋体" w:cs="宋体"/>
          <w:color w:val="auto"/>
          <w:sz w:val="22"/>
          <w:szCs w:val="22"/>
          <w:highlight w:val="none"/>
          <w:lang w:eastAsia="zh-CN"/>
        </w:rPr>
        <w:t>泰顺县</w:t>
      </w:r>
      <w:r>
        <w:rPr>
          <w:rFonts w:hint="eastAsia" w:ascii="宋体" w:hAnsi="宋体" w:eastAsia="宋体" w:cs="宋体"/>
          <w:color w:val="auto"/>
          <w:sz w:val="22"/>
          <w:szCs w:val="22"/>
          <w:highlight w:val="none"/>
        </w:rPr>
        <w:t>内的各类餐馆（特大型餐馆、大型餐馆、中型餐馆、小</w:t>
      </w:r>
    </w:p>
    <w:p w14:paraId="24F10567">
      <w:pPr>
        <w:keepNext w:val="0"/>
        <w:keepLines w:val="0"/>
        <w:pageBreakBefore w:val="0"/>
        <w:widowControl w:val="0"/>
        <w:tabs>
          <w:tab w:val="left" w:pos="9135"/>
        </w:tabs>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型餐馆等）、食堂【机关食堂、学校食堂（含托幼机构食堂）、企事业单位食堂、建筑工地食堂等】、小吃店、快餐店、饮品店等经营主体，具体抽检区域由根据相关文件执行。</w:t>
      </w:r>
    </w:p>
    <w:p w14:paraId="7670F467">
      <w:pPr>
        <w:keepNext w:val="0"/>
        <w:keepLines w:val="0"/>
        <w:pageBreakBefore w:val="0"/>
        <w:widowControl w:val="0"/>
        <w:tabs>
          <w:tab w:val="left" w:pos="9135"/>
        </w:tabs>
        <w:kinsoku/>
        <w:wordWrap/>
        <w:topLinePunct w:val="0"/>
        <w:bidi w:val="0"/>
        <w:snapToGrid/>
        <w:spacing w:line="400" w:lineRule="exact"/>
        <w:ind w:left="437" w:leftChars="208" w:firstLine="159" w:firstLineChars="72"/>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2.2.2</w:t>
      </w:r>
      <w:r>
        <w:rPr>
          <w:rFonts w:hint="eastAsia" w:ascii="宋体" w:hAnsi="宋体" w:eastAsia="宋体" w:cs="宋体"/>
          <w:color w:val="auto"/>
          <w:sz w:val="22"/>
          <w:szCs w:val="22"/>
          <w:highlight w:val="none"/>
        </w:rPr>
        <w:t>检测周期：食品检测周期约为20天，每个周期抽检前由采购人安排抽检任</w:t>
      </w:r>
    </w:p>
    <w:p w14:paraId="760331BC">
      <w:pPr>
        <w:keepNext w:val="0"/>
        <w:keepLines w:val="0"/>
        <w:pageBreakBefore w:val="0"/>
        <w:widowControl w:val="0"/>
        <w:tabs>
          <w:tab w:val="left" w:pos="9135"/>
        </w:tabs>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务。</w:t>
      </w:r>
    </w:p>
    <w:p w14:paraId="2809A829">
      <w:pPr>
        <w:keepNext w:val="0"/>
        <w:keepLines w:val="0"/>
        <w:pageBreakBefore w:val="0"/>
        <w:widowControl w:val="0"/>
        <w:tabs>
          <w:tab w:val="left" w:pos="9135"/>
        </w:tabs>
        <w:kinsoku/>
        <w:wordWrap/>
        <w:topLinePunct w:val="0"/>
        <w:bidi w:val="0"/>
        <w:snapToGrid/>
        <w:spacing w:line="400" w:lineRule="exact"/>
        <w:ind w:left="437" w:leftChars="208" w:firstLine="159" w:firstLineChars="72"/>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2.2.3</w:t>
      </w:r>
      <w:r>
        <w:rPr>
          <w:rFonts w:hint="eastAsia" w:ascii="宋体" w:hAnsi="宋体" w:eastAsia="宋体" w:cs="宋体"/>
          <w:color w:val="auto"/>
          <w:sz w:val="22"/>
          <w:szCs w:val="22"/>
          <w:highlight w:val="none"/>
        </w:rPr>
        <w:t>服务期限：本次检测机构的服务期限截止到本期食品安全抽检工作项目完</w:t>
      </w:r>
    </w:p>
    <w:p w14:paraId="6A622816">
      <w:pPr>
        <w:keepNext w:val="0"/>
        <w:keepLines w:val="0"/>
        <w:pageBreakBefore w:val="0"/>
        <w:widowControl w:val="0"/>
        <w:tabs>
          <w:tab w:val="left" w:pos="9135"/>
        </w:tabs>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成为止。</w:t>
      </w:r>
    </w:p>
    <w:p w14:paraId="13F18546">
      <w:pPr>
        <w:keepNext w:val="0"/>
        <w:keepLines w:val="0"/>
        <w:pageBreakBefore w:val="0"/>
        <w:widowControl w:val="0"/>
        <w:tabs>
          <w:tab w:val="left" w:pos="9135"/>
        </w:tabs>
        <w:kinsoku/>
        <w:wordWrap/>
        <w:topLinePunct w:val="0"/>
        <w:bidi w:val="0"/>
        <w:snapToGrid/>
        <w:spacing w:line="400" w:lineRule="exact"/>
        <w:ind w:firstLine="663" w:firstLineChars="3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2.2.4</w:t>
      </w:r>
      <w:r>
        <w:rPr>
          <w:rFonts w:hint="eastAsia" w:ascii="宋体" w:hAnsi="宋体" w:eastAsia="宋体" w:cs="宋体"/>
          <w:snapToGrid w:val="0"/>
          <w:color w:val="auto"/>
          <w:sz w:val="22"/>
          <w:szCs w:val="22"/>
          <w:highlight w:val="none"/>
        </w:rPr>
        <w:t>本次质量安全监督抽检工作流程、规范和纪律要求严格按照《食品安全法》、</w:t>
      </w:r>
      <w:r>
        <w:rPr>
          <w:rFonts w:hint="eastAsia" w:ascii="宋体" w:hAnsi="宋体" w:eastAsia="宋体" w:cs="宋体"/>
          <w:color w:val="auto"/>
          <w:sz w:val="22"/>
          <w:szCs w:val="22"/>
          <w:highlight w:val="none"/>
        </w:rPr>
        <w:t>《食品安全抽样检验管理办法》、《食品安全监督抽检和风险监测工作规范》等规定执行，认真做好样品检验、数据录入和报送等工作，确保检验结果准确可靠。承检机构在检验报告签发之日起3个工作日内将检测报告等监督检查结果材料连同结果清单，送区局餐饮科，合格报告2份,不合格报告一式4份。检验过程中发现样品中含有非食用物质或致病菌等其他可能存在较高食品安全风险的，应在确认检验结果后24小时内通知区市场监管局餐饮科。</w:t>
      </w:r>
      <w:r>
        <w:rPr>
          <w:rFonts w:hint="eastAsia" w:ascii="宋体" w:hAnsi="宋体" w:eastAsia="宋体" w:cs="宋体"/>
          <w:color w:val="auto"/>
          <w:kern w:val="0"/>
          <w:sz w:val="22"/>
          <w:szCs w:val="22"/>
          <w:highlight w:val="none"/>
        </w:rPr>
        <w:t>抽检数据由承检机构报送至“国家食品安全抽样检测信息系统”。</w:t>
      </w:r>
    </w:p>
    <w:p w14:paraId="708038E7">
      <w:pPr>
        <w:keepNext w:val="0"/>
        <w:keepLines w:val="0"/>
        <w:pageBreakBefore w:val="0"/>
        <w:widowControl w:val="0"/>
        <w:tabs>
          <w:tab w:val="left" w:pos="9135"/>
        </w:tabs>
        <w:kinsoku/>
        <w:wordWrap/>
        <w:topLinePunct w:val="0"/>
        <w:bidi w:val="0"/>
        <w:snapToGrid/>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2.3销售环节食品质量安全监督抽检要求</w:t>
      </w:r>
    </w:p>
    <w:p w14:paraId="2D409A2F">
      <w:pPr>
        <w:keepNext w:val="0"/>
        <w:keepLines w:val="0"/>
        <w:pageBreakBefore w:val="0"/>
        <w:widowControl w:val="0"/>
        <w:tabs>
          <w:tab w:val="left" w:pos="9135"/>
        </w:tabs>
        <w:kinsoku/>
        <w:wordWrap/>
        <w:topLinePunct w:val="0"/>
        <w:bidi w:val="0"/>
        <w:snapToGrid/>
        <w:spacing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2.3.1抽检范围：</w:t>
      </w:r>
      <w:r>
        <w:rPr>
          <w:rFonts w:hint="eastAsia" w:ascii="宋体" w:hAnsi="宋体" w:cs="宋体"/>
          <w:color w:val="auto"/>
          <w:sz w:val="22"/>
          <w:szCs w:val="22"/>
          <w:highlight w:val="none"/>
          <w:lang w:eastAsia="zh-CN"/>
        </w:rPr>
        <w:t>泰顺县</w:t>
      </w:r>
      <w:r>
        <w:rPr>
          <w:rFonts w:hint="eastAsia" w:ascii="宋体" w:hAnsi="宋体" w:eastAsia="宋体" w:cs="宋体"/>
          <w:color w:val="auto"/>
          <w:sz w:val="22"/>
          <w:szCs w:val="22"/>
          <w:highlight w:val="none"/>
        </w:rPr>
        <w:t>内农贸市场及其周边超市门店、自销农产品店，实行抽检区域全覆盖，具体抽检区域由根据相关文件执行。</w:t>
      </w:r>
    </w:p>
    <w:p w14:paraId="36BAB924">
      <w:pPr>
        <w:keepNext w:val="0"/>
        <w:keepLines w:val="0"/>
        <w:pageBreakBefore w:val="0"/>
        <w:widowControl w:val="0"/>
        <w:tabs>
          <w:tab w:val="left" w:pos="9135"/>
        </w:tabs>
        <w:kinsoku/>
        <w:wordWrap/>
        <w:topLinePunct w:val="0"/>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w:t>
      </w:r>
      <w:r>
        <w:rPr>
          <w:rFonts w:hint="eastAsia" w:ascii="宋体" w:hAnsi="宋体" w:eastAsia="宋体" w:cs="宋体"/>
          <w:snapToGrid w:val="0"/>
          <w:color w:val="auto"/>
          <w:sz w:val="22"/>
          <w:szCs w:val="22"/>
          <w:highlight w:val="none"/>
        </w:rPr>
        <w:t>检测周期：</w:t>
      </w:r>
      <w:r>
        <w:rPr>
          <w:rFonts w:hint="eastAsia" w:ascii="宋体" w:hAnsi="宋体" w:eastAsia="宋体" w:cs="宋体"/>
          <w:bCs/>
          <w:snapToGrid w:val="0"/>
          <w:color w:val="auto"/>
          <w:sz w:val="22"/>
          <w:szCs w:val="22"/>
          <w:highlight w:val="none"/>
        </w:rPr>
        <w:t>食品</w:t>
      </w:r>
      <w:r>
        <w:rPr>
          <w:rFonts w:hint="eastAsia" w:ascii="宋体" w:hAnsi="宋体" w:eastAsia="宋体" w:cs="宋体"/>
          <w:color w:val="auto"/>
          <w:sz w:val="22"/>
          <w:szCs w:val="22"/>
          <w:highlight w:val="none"/>
        </w:rPr>
        <w:t>检测周期约为20天，每个周期抽检前由采购人安排抽检任务。</w:t>
      </w:r>
    </w:p>
    <w:p w14:paraId="78EC9780">
      <w:pPr>
        <w:keepNext w:val="0"/>
        <w:keepLines w:val="0"/>
        <w:pageBreakBefore w:val="0"/>
        <w:widowControl w:val="0"/>
        <w:tabs>
          <w:tab w:val="left" w:pos="9135"/>
        </w:tabs>
        <w:kinsoku/>
        <w:wordWrap/>
        <w:topLinePunct w:val="0"/>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2.3.3</w:t>
      </w:r>
      <w:r>
        <w:rPr>
          <w:rFonts w:hint="eastAsia" w:ascii="宋体" w:hAnsi="宋体" w:eastAsia="宋体" w:cs="宋体"/>
          <w:snapToGrid w:val="0"/>
          <w:color w:val="auto"/>
          <w:sz w:val="22"/>
          <w:szCs w:val="22"/>
          <w:highlight w:val="none"/>
        </w:rPr>
        <w:t>服务期限：本次检测机构的服务期限截止到本期食品安全抽检工作项目完成为止。</w:t>
      </w:r>
    </w:p>
    <w:p w14:paraId="75DC7C08">
      <w:pPr>
        <w:keepNext w:val="0"/>
        <w:keepLines w:val="0"/>
        <w:pageBreakBefore w:val="0"/>
        <w:widowControl w:val="0"/>
        <w:tabs>
          <w:tab w:val="left" w:pos="9135"/>
        </w:tabs>
        <w:kinsoku/>
        <w:wordWrap/>
        <w:topLinePunct w:val="0"/>
        <w:bidi w:val="0"/>
        <w:snapToGrid/>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2.3.4</w:t>
      </w:r>
      <w:r>
        <w:rPr>
          <w:rFonts w:hint="eastAsia" w:ascii="宋体" w:hAnsi="宋体" w:eastAsia="宋体" w:cs="宋体"/>
          <w:snapToGrid w:val="0"/>
          <w:color w:val="auto"/>
          <w:sz w:val="22"/>
          <w:szCs w:val="22"/>
          <w:highlight w:val="none"/>
        </w:rPr>
        <w:t>本次质量安全监督抽检工作流程、规范和纪律要求严格按照《食品安全法》、《食品安全抽样检验管理办法》、《食用农产品抽样检验和核查处置规定》、《食品安全监督抽检和风险监测工作规范》、《食品安全监督抽检和风险监测实施细则》等文件执行，认真做好样品检验、数据录入和报送等工作，确保检验结果准确可靠。</w:t>
      </w:r>
    </w:p>
    <w:p w14:paraId="36F61778">
      <w:pPr>
        <w:keepNext w:val="0"/>
        <w:keepLines w:val="0"/>
        <w:pageBreakBefore w:val="0"/>
        <w:widowControl w:val="0"/>
        <w:tabs>
          <w:tab w:val="left" w:pos="9135"/>
        </w:tabs>
        <w:kinsoku/>
        <w:wordWrap/>
        <w:topLinePunct w:val="0"/>
        <w:bidi w:val="0"/>
        <w:snapToGrid/>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2.3.5</w:t>
      </w:r>
      <w:r>
        <w:rPr>
          <w:rFonts w:hint="eastAsia" w:ascii="宋体" w:hAnsi="宋体" w:eastAsia="宋体" w:cs="宋体"/>
          <w:snapToGrid w:val="0"/>
          <w:color w:val="auto"/>
          <w:sz w:val="22"/>
          <w:szCs w:val="22"/>
          <w:highlight w:val="none"/>
        </w:rPr>
        <w:t>食用农产品检测项目执行《</w:t>
      </w:r>
      <w:r>
        <w:rPr>
          <w:rFonts w:hint="eastAsia" w:ascii="宋体" w:hAnsi="宋体" w:cs="宋体"/>
          <w:snapToGrid w:val="0"/>
          <w:color w:val="auto"/>
          <w:sz w:val="22"/>
          <w:szCs w:val="22"/>
          <w:highlight w:val="none"/>
          <w:lang w:eastAsia="zh-CN"/>
        </w:rPr>
        <w:t>202</w:t>
      </w:r>
      <w:r>
        <w:rPr>
          <w:rFonts w:hint="eastAsia" w:ascii="宋体" w:hAnsi="宋体" w:cs="宋体"/>
          <w:snapToGrid w:val="0"/>
          <w:color w:val="auto"/>
          <w:sz w:val="22"/>
          <w:szCs w:val="22"/>
          <w:highlight w:val="none"/>
          <w:lang w:val="en-US" w:eastAsia="zh-CN"/>
        </w:rPr>
        <w:t>4</w:t>
      </w:r>
      <w:r>
        <w:rPr>
          <w:rFonts w:hint="eastAsia" w:ascii="宋体" w:hAnsi="宋体" w:eastAsia="宋体" w:cs="宋体"/>
          <w:snapToGrid w:val="0"/>
          <w:color w:val="auto"/>
          <w:sz w:val="22"/>
          <w:szCs w:val="22"/>
          <w:highlight w:val="none"/>
        </w:rPr>
        <w:t>年市、县食用农产品必检品种和项目表》中指定项目。</w:t>
      </w:r>
    </w:p>
    <w:p w14:paraId="06F03F69">
      <w:pPr>
        <w:keepNext w:val="0"/>
        <w:keepLines w:val="0"/>
        <w:pageBreakBefore w:val="0"/>
        <w:widowControl w:val="0"/>
        <w:tabs>
          <w:tab w:val="left" w:pos="9135"/>
        </w:tabs>
        <w:kinsoku/>
        <w:wordWrap/>
        <w:topLinePunct w:val="0"/>
        <w:bidi w:val="0"/>
        <w:snapToGrid/>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2.3.6</w:t>
      </w:r>
      <w:r>
        <w:rPr>
          <w:rFonts w:hint="eastAsia" w:ascii="宋体" w:hAnsi="宋体" w:eastAsia="宋体" w:cs="宋体"/>
          <w:snapToGrid w:val="0"/>
          <w:color w:val="auto"/>
          <w:sz w:val="22"/>
          <w:szCs w:val="22"/>
          <w:highlight w:val="none"/>
        </w:rPr>
        <w:t>每个农贸市场或商超被抽样的水产品和动物产品品种不得重复，果蔬品种不得重复2次以上。</w:t>
      </w:r>
    </w:p>
    <w:p w14:paraId="4E3C98A3">
      <w:pPr>
        <w:keepNext w:val="0"/>
        <w:keepLines w:val="0"/>
        <w:pageBreakBefore w:val="0"/>
        <w:widowControl w:val="0"/>
        <w:tabs>
          <w:tab w:val="left" w:pos="9135"/>
        </w:tabs>
        <w:kinsoku/>
        <w:wordWrap/>
        <w:topLinePunct w:val="0"/>
        <w:bidi w:val="0"/>
        <w:snapToGrid/>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2.3.7</w:t>
      </w:r>
      <w:r>
        <w:rPr>
          <w:rFonts w:hint="eastAsia" w:ascii="宋体" w:hAnsi="宋体" w:eastAsia="宋体" w:cs="宋体"/>
          <w:snapToGrid w:val="0"/>
          <w:color w:val="auto"/>
          <w:sz w:val="22"/>
          <w:szCs w:val="22"/>
          <w:highlight w:val="none"/>
        </w:rPr>
        <w:t>农贸市场及其周边每个摊位被抽样不得超过3批次，且被抽样摊位必须含1至2个市场周边摊位，确无市场周边摊位经</w:t>
      </w:r>
      <w:r>
        <w:rPr>
          <w:rFonts w:hint="eastAsia" w:ascii="宋体" w:hAnsi="宋体" w:eastAsia="宋体" w:cs="宋体"/>
          <w:snapToGrid w:val="0"/>
          <w:color w:val="auto"/>
          <w:sz w:val="22"/>
          <w:szCs w:val="22"/>
          <w:highlight w:val="none"/>
          <w:lang w:eastAsia="zh-CN"/>
        </w:rPr>
        <w:t>县市场监督管理局</w:t>
      </w:r>
      <w:r>
        <w:rPr>
          <w:rFonts w:hint="eastAsia" w:ascii="宋体" w:hAnsi="宋体" w:eastAsia="宋体" w:cs="宋体"/>
          <w:snapToGrid w:val="0"/>
          <w:color w:val="auto"/>
          <w:sz w:val="22"/>
          <w:szCs w:val="22"/>
          <w:highlight w:val="none"/>
        </w:rPr>
        <w:t>同意在市场内补足。</w:t>
      </w:r>
    </w:p>
    <w:p w14:paraId="757AE045">
      <w:pPr>
        <w:keepNext w:val="0"/>
        <w:keepLines w:val="0"/>
        <w:pageBreakBefore w:val="0"/>
        <w:widowControl w:val="0"/>
        <w:tabs>
          <w:tab w:val="left" w:pos="9135"/>
        </w:tabs>
        <w:kinsoku/>
        <w:wordWrap/>
        <w:topLinePunct w:val="0"/>
        <w:bidi w:val="0"/>
        <w:snapToGrid/>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2.3.8</w:t>
      </w:r>
      <w:r>
        <w:rPr>
          <w:rFonts w:hint="eastAsia" w:ascii="宋体" w:hAnsi="宋体" w:eastAsia="宋体" w:cs="宋体"/>
          <w:snapToGrid w:val="0"/>
          <w:color w:val="auto"/>
          <w:sz w:val="22"/>
          <w:szCs w:val="22"/>
          <w:highlight w:val="none"/>
        </w:rPr>
        <w:t>如遇农贸市场因关闭或改造提升等原因无法抽样的，经</w:t>
      </w:r>
      <w:r>
        <w:rPr>
          <w:rFonts w:hint="eastAsia" w:ascii="宋体" w:hAnsi="宋体" w:eastAsia="宋体" w:cs="宋体"/>
          <w:snapToGrid w:val="0"/>
          <w:color w:val="auto"/>
          <w:sz w:val="22"/>
          <w:szCs w:val="22"/>
          <w:highlight w:val="none"/>
          <w:lang w:eastAsia="zh-CN"/>
        </w:rPr>
        <w:t>县市场监督管理局</w:t>
      </w:r>
      <w:r>
        <w:rPr>
          <w:rFonts w:hint="eastAsia" w:ascii="宋体" w:hAnsi="宋体" w:eastAsia="宋体" w:cs="宋体"/>
          <w:snapToGrid w:val="0"/>
          <w:color w:val="auto"/>
          <w:sz w:val="22"/>
          <w:szCs w:val="22"/>
          <w:highlight w:val="none"/>
        </w:rPr>
        <w:t>同意在其它市场内补足。</w:t>
      </w:r>
    </w:p>
    <w:p w14:paraId="1084D5E2">
      <w:pPr>
        <w:keepNext w:val="0"/>
        <w:keepLines w:val="0"/>
        <w:pageBreakBefore w:val="0"/>
        <w:widowControl w:val="0"/>
        <w:tabs>
          <w:tab w:val="left" w:pos="9135"/>
        </w:tabs>
        <w:kinsoku/>
        <w:wordWrap/>
        <w:topLinePunct w:val="0"/>
        <w:bidi w:val="0"/>
        <w:snapToGrid/>
        <w:spacing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2.3.9</w:t>
      </w:r>
      <w:r>
        <w:rPr>
          <w:rFonts w:hint="eastAsia" w:ascii="宋体" w:hAnsi="宋体" w:eastAsia="宋体" w:cs="宋体"/>
          <w:snapToGrid w:val="0"/>
          <w:color w:val="auto"/>
          <w:sz w:val="22"/>
          <w:szCs w:val="22"/>
          <w:highlight w:val="none"/>
        </w:rPr>
        <w:t>承检机构在检验报告签发之日起3个工作日内将检测报告等监督检查结果材料连同结果清单，送区局</w:t>
      </w:r>
      <w:r>
        <w:rPr>
          <w:rFonts w:hint="eastAsia" w:ascii="宋体" w:hAnsi="宋体" w:eastAsia="宋体" w:cs="宋体"/>
          <w:color w:val="auto"/>
          <w:sz w:val="22"/>
          <w:szCs w:val="22"/>
          <w:highlight w:val="none"/>
        </w:rPr>
        <w:t>食品生产流通科</w:t>
      </w:r>
      <w:r>
        <w:rPr>
          <w:rFonts w:hint="eastAsia" w:ascii="宋体" w:hAnsi="宋体" w:eastAsia="宋体" w:cs="宋体"/>
          <w:snapToGrid w:val="0"/>
          <w:color w:val="auto"/>
          <w:sz w:val="22"/>
          <w:szCs w:val="22"/>
          <w:highlight w:val="none"/>
        </w:rPr>
        <w:t>，合格报告2份,不合格报告一式4份。检验过程中发现样品中含有</w:t>
      </w:r>
      <w:r>
        <w:rPr>
          <w:rFonts w:hint="eastAsia" w:ascii="宋体" w:hAnsi="宋体" w:eastAsia="宋体" w:cs="宋体"/>
          <w:color w:val="auto"/>
          <w:sz w:val="22"/>
          <w:szCs w:val="22"/>
          <w:highlight w:val="none"/>
        </w:rPr>
        <w:t>非食用物质或致病菌等其他可能存在较高食品安全风险的，应在确认检验结果后24小时内通知</w:t>
      </w:r>
      <w:r>
        <w:rPr>
          <w:rFonts w:hint="eastAsia" w:ascii="宋体" w:hAnsi="宋体" w:eastAsia="宋体" w:cs="宋体"/>
          <w:snapToGrid w:val="0"/>
          <w:color w:val="auto"/>
          <w:sz w:val="22"/>
          <w:szCs w:val="22"/>
          <w:highlight w:val="none"/>
          <w:lang w:eastAsia="zh-CN"/>
        </w:rPr>
        <w:t>县市场监督管理局</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抽检数据由承检机构报送至“国家食品安全抽样检测信息系统”。</w:t>
      </w:r>
    </w:p>
    <w:p w14:paraId="6C409BD7">
      <w:pPr>
        <w:keepNext w:val="0"/>
        <w:keepLines w:val="0"/>
        <w:pageBreakBefore w:val="0"/>
        <w:widowControl w:val="0"/>
        <w:kinsoku/>
        <w:wordWrap/>
        <w:topLinePunct w:val="0"/>
        <w:bidi w:val="0"/>
        <w:snapToGrid/>
        <w:spacing w:line="400" w:lineRule="exact"/>
        <w:ind w:left="437" w:leftChars="208" w:firstLine="110" w:firstLineChars="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u w:val="single"/>
        </w:rPr>
        <w:t>▲抽样和检测要求</w:t>
      </w:r>
    </w:p>
    <w:p w14:paraId="13109016">
      <w:pPr>
        <w:keepNext w:val="0"/>
        <w:keepLines w:val="0"/>
        <w:pageBreakBefore w:val="0"/>
        <w:widowControl w:val="0"/>
        <w:kinsoku/>
        <w:wordWrap/>
        <w:topLinePunct w:val="0"/>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抽样和检测严格按照国家总局《食品安全抽样检验管理办法》（11号令）、《食品安全监督抽检和风险监测工作规范》、《食品安全监督抽检和风险监测实施细则》等规定执行</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如有最新文件要求，则按最新文件执行</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样品采集过程严格按照监督抽检工作程序，履行法定手续。</w:t>
      </w:r>
    </w:p>
    <w:p w14:paraId="602338EA">
      <w:pPr>
        <w:keepNext w:val="0"/>
        <w:keepLines w:val="0"/>
        <w:pageBreakBefore w:val="0"/>
        <w:widowControl w:val="0"/>
        <w:kinsoku/>
        <w:wordWrap/>
        <w:topLinePunct w:val="0"/>
        <w:bidi w:val="0"/>
        <w:snapToGrid/>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3.1抽样 </w:t>
      </w:r>
    </w:p>
    <w:p w14:paraId="0097670A">
      <w:pPr>
        <w:keepNext w:val="0"/>
        <w:keepLines w:val="0"/>
        <w:pageBreakBefore w:val="0"/>
        <w:widowControl w:val="0"/>
        <w:numPr>
          <w:ilvl w:val="0"/>
          <w:numId w:val="2"/>
        </w:numPr>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抽检时间：每次的抽检具体时间安排由采购人根据计划任务安排确定，承检人应在接到采购人检测通知后2天内，组织安排好相关人员及车辆，负责抽样技术辅助工作。在同等条件下，承检方应当优先安排采购人的任务，准备好每次检验所需的交通工具并承担费用，保证抽检任务顺利完成。</w:t>
      </w:r>
    </w:p>
    <w:p w14:paraId="64FC976D">
      <w:pPr>
        <w:keepNext w:val="0"/>
        <w:keepLines w:val="0"/>
        <w:pageBreakBefore w:val="0"/>
        <w:widowControl w:val="0"/>
        <w:numPr>
          <w:ilvl w:val="0"/>
          <w:numId w:val="2"/>
        </w:numPr>
        <w:kinsoku/>
        <w:wordWrap/>
        <w:topLinePunct w:val="0"/>
        <w:bidi w:val="0"/>
        <w:snapToGrid/>
        <w:spacing w:line="40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抽样地点：</w:t>
      </w:r>
      <w:r>
        <w:rPr>
          <w:rFonts w:hint="eastAsia" w:ascii="宋体" w:hAnsi="宋体" w:cs="宋体"/>
          <w:color w:val="auto"/>
          <w:sz w:val="22"/>
          <w:szCs w:val="22"/>
          <w:highlight w:val="none"/>
          <w:lang w:eastAsia="zh-CN"/>
        </w:rPr>
        <w:t>泰顺县</w:t>
      </w:r>
      <w:r>
        <w:rPr>
          <w:rFonts w:hint="eastAsia" w:ascii="宋体" w:hAnsi="宋体" w:eastAsia="宋体" w:cs="宋体"/>
          <w:color w:val="auto"/>
          <w:sz w:val="22"/>
          <w:szCs w:val="22"/>
          <w:highlight w:val="none"/>
        </w:rPr>
        <w:t>范围内，每次任务根据实际工作要求由采购人进行分配。</w:t>
      </w:r>
    </w:p>
    <w:p w14:paraId="62A93813">
      <w:pPr>
        <w:keepNext w:val="0"/>
        <w:keepLines w:val="0"/>
        <w:pageBreakBefore w:val="0"/>
        <w:widowControl w:val="0"/>
        <w:numPr>
          <w:ilvl w:val="0"/>
          <w:numId w:val="2"/>
        </w:numPr>
        <w:kinsoku/>
        <w:wordWrap/>
        <w:topLinePunct w:val="0"/>
        <w:bidi w:val="0"/>
        <w:snapToGrid/>
        <w:spacing w:line="40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承检方到食品生产经营单位进行具体抽样时应与所在地市场监督管理部门联系，与执法人员共同完成抽样工作。抽样时承检方辅助技术辅助工作，包括但不限于填写抽检文书，提取检品、买样付款、封样储运等工作。</w:t>
      </w:r>
    </w:p>
    <w:p w14:paraId="2C412647">
      <w:pPr>
        <w:keepNext w:val="0"/>
        <w:keepLines w:val="0"/>
        <w:pageBreakBefore w:val="0"/>
        <w:widowControl w:val="0"/>
        <w:numPr>
          <w:ilvl w:val="0"/>
          <w:numId w:val="2"/>
        </w:numPr>
        <w:kinsoku/>
        <w:wordWrap/>
        <w:topLinePunct w:val="0"/>
        <w:bidi w:val="0"/>
        <w:snapToGrid/>
        <w:spacing w:line="40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样品采集完成后应快速送检，在有关食品安全标准及抽检规范规定的时间内及时送达检测实验室，以确保采样样品的新鲜度，并按样品相关要求保存。</w:t>
      </w:r>
    </w:p>
    <w:p w14:paraId="6F32351A">
      <w:pPr>
        <w:keepNext w:val="0"/>
        <w:keepLines w:val="0"/>
        <w:pageBreakBefore w:val="0"/>
        <w:widowControl w:val="0"/>
        <w:numPr>
          <w:ilvl w:val="0"/>
          <w:numId w:val="2"/>
        </w:numPr>
        <w:kinsoku/>
        <w:wordWrap/>
        <w:topLinePunct w:val="0"/>
        <w:bidi w:val="0"/>
        <w:snapToGrid/>
        <w:spacing w:line="40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抽样人员：承检方须安排抽样人员进行培训并持证上岗。</w:t>
      </w:r>
      <w:r>
        <w:rPr>
          <w:rFonts w:hint="eastAsia" w:ascii="宋体" w:hAnsi="宋体" w:eastAsia="宋体" w:cs="宋体"/>
          <w:b/>
          <w:color w:val="auto"/>
          <w:sz w:val="22"/>
          <w:szCs w:val="22"/>
          <w:highlight w:val="none"/>
        </w:rPr>
        <w:t xml:space="preserve"> </w:t>
      </w:r>
    </w:p>
    <w:p w14:paraId="410FBB93">
      <w:pPr>
        <w:keepNext w:val="0"/>
        <w:keepLines w:val="0"/>
        <w:pageBreakBefore w:val="0"/>
        <w:widowControl w:val="0"/>
        <w:numPr>
          <w:ilvl w:val="0"/>
          <w:numId w:val="2"/>
        </w:numPr>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抽检对象：以同一标称生产者或被抽检人生产的同一品牌、同一型号、同一规格、同一批次（生产日期）的食品作为一个抽检对象。</w:t>
      </w:r>
    </w:p>
    <w:p w14:paraId="4C2D1713">
      <w:pPr>
        <w:keepNext w:val="0"/>
        <w:keepLines w:val="0"/>
        <w:pageBreakBefore w:val="0"/>
        <w:widowControl w:val="0"/>
        <w:numPr>
          <w:ilvl w:val="0"/>
          <w:numId w:val="2"/>
        </w:numPr>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抽样办法：抽样人员应当核对被抽样食品生产经营者的营业执照、许可证等资质证明文件。抽样人员应从食品经营者的货架、冷柜等食品盛具或营业场所、仓库内中随机或按照食品安全法律法规和食品安全标准规定的采样方法抽取样品，不得由食品生产经营者自行提供样品。食品安全监督抽检的抽样数量原则上应当满足检验和复检的要求。</w:t>
      </w:r>
    </w:p>
    <w:p w14:paraId="637DB25A">
      <w:pPr>
        <w:keepNext w:val="0"/>
        <w:keepLines w:val="0"/>
        <w:pageBreakBefore w:val="0"/>
        <w:widowControl w:val="0"/>
        <w:numPr>
          <w:ilvl w:val="0"/>
          <w:numId w:val="2"/>
        </w:numPr>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样品费用支付：抽样人员应按规定向被抽检人支付监督抽检和风险监测的样品购买费。</w:t>
      </w:r>
    </w:p>
    <w:p w14:paraId="7EFB022D">
      <w:pPr>
        <w:keepNext w:val="0"/>
        <w:keepLines w:val="0"/>
        <w:pageBreakBefore w:val="0"/>
        <w:widowControl w:val="0"/>
        <w:numPr>
          <w:ilvl w:val="0"/>
          <w:numId w:val="2"/>
        </w:numPr>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确认样品：抽样人员须按照法律法规和食品安全标准及其规定的国家食品安全标准、被检食品的国家标准、行业标准、地方标准的规定，分为检验样品和复检备份样品。抽样人员应当采取有效的防拆封措施，对复检备份样品单独封样由抽样人员、被抽检人或其依法指定的代表签字或者盖章确认、加贴封条，当场将检验样品和复检备份样品一起提取，不得留置于被抽检人处或交由被抽检人运送、保管。</w:t>
      </w:r>
    </w:p>
    <w:p w14:paraId="7407C1C2">
      <w:pPr>
        <w:keepNext w:val="0"/>
        <w:keepLines w:val="0"/>
        <w:pageBreakBefore w:val="0"/>
        <w:widowControl w:val="0"/>
        <w:numPr>
          <w:ilvl w:val="0"/>
          <w:numId w:val="2"/>
        </w:numPr>
        <w:tabs>
          <w:tab w:val="left" w:pos="709"/>
        </w:tabs>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文书记录：抽样人员应当使用规范的抽样文书，准确、详细、客观地记录抽样信息，认真填写《食品安全抽样检验抽样单》，须与被抽检人或其依法指定的代表在《抽样单》上签名（盖章），应通过拍照、录像、留存购物票据等方式保存抽样信息。承检方对抽样过程及《抽样单》记录内容的合法性、真实性负责，《抽样单》等抽样记录材料保存期限不得少于2年。</w:t>
      </w:r>
    </w:p>
    <w:p w14:paraId="515A9CB2">
      <w:pPr>
        <w:keepNext w:val="0"/>
        <w:keepLines w:val="0"/>
        <w:pageBreakBefore w:val="0"/>
        <w:widowControl w:val="0"/>
        <w:numPr>
          <w:ilvl w:val="0"/>
          <w:numId w:val="2"/>
        </w:numPr>
        <w:tabs>
          <w:tab w:val="left" w:pos="567"/>
        </w:tabs>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样品运输：由承检方负责，承检方须配备每次抽检所需的运输工具，须依照食品安全法律法规和食品安全标准规定及食品标签要求的方式、条件运输，采取相应措施，确保样品安全，不发生影响检验结论的变化。</w:t>
      </w:r>
    </w:p>
    <w:p w14:paraId="7FE69506">
      <w:pPr>
        <w:keepNext w:val="0"/>
        <w:keepLines w:val="0"/>
        <w:pageBreakBefore w:val="0"/>
        <w:widowControl w:val="0"/>
        <w:numPr>
          <w:ilvl w:val="0"/>
          <w:numId w:val="2"/>
        </w:numPr>
        <w:tabs>
          <w:tab w:val="left" w:pos="567"/>
        </w:tabs>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样品保管：由承检方负责，接收食品安全监督抽检的样品时，应当查验、记录样品的外观、状态、封条有无破损以及其他可能对检验结论产生影响的情况，并确认样品与抽样文书的记录相符，对检验样品和复检备份样品分别加贴相应标识后，依照食品安全法律法规和食品安全标准规定及食品标签要求的方式、条件保存，确保样品处于食品安全标准规定及食品标签要求的条件下，确保样品不遗失、不调换、不损坏，并按照食品安全法律法规和</w:t>
      </w:r>
      <w:r>
        <w:rPr>
          <w:rFonts w:hint="eastAsia" w:ascii="宋体" w:hAnsi="宋体" w:cs="宋体"/>
          <w:color w:val="auto"/>
          <w:sz w:val="22"/>
          <w:szCs w:val="22"/>
          <w:highlight w:val="none"/>
          <w:lang w:eastAsia="zh-CN"/>
        </w:rPr>
        <w:t>泰顺县</w:t>
      </w:r>
      <w:r>
        <w:rPr>
          <w:rFonts w:hint="eastAsia" w:ascii="宋体" w:hAnsi="宋体" w:eastAsia="宋体" w:cs="宋体"/>
          <w:color w:val="auto"/>
          <w:sz w:val="22"/>
          <w:szCs w:val="22"/>
          <w:highlight w:val="none"/>
        </w:rPr>
        <w:t>市场监管局要求进行销毁等处理。检验发现样品抽取不规范或有其他问题的，应及时向采购人报告，按采购人的意见处置。</w:t>
      </w:r>
    </w:p>
    <w:p w14:paraId="03A8F416">
      <w:pPr>
        <w:keepNext w:val="0"/>
        <w:keepLines w:val="0"/>
        <w:pageBreakBefore w:val="0"/>
        <w:widowControl w:val="0"/>
        <w:numPr>
          <w:ilvl w:val="0"/>
          <w:numId w:val="2"/>
        </w:numPr>
        <w:tabs>
          <w:tab w:val="left" w:pos="567"/>
        </w:tabs>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检方应及时报告食品生产经营单位抽查情况，并汇总于抽样月份的25日将汇总表报送采购人，计划内食品生产经营单位无法抽到样品的，要说明原因。如因食品生产经营单位发生注销、破产等情况导致无法抽样的，须提供当地市场监管部门的相关证明。</w:t>
      </w:r>
    </w:p>
    <w:p w14:paraId="0FD60DB4">
      <w:pPr>
        <w:keepNext w:val="0"/>
        <w:keepLines w:val="0"/>
        <w:pageBreakBefore w:val="0"/>
        <w:widowControl w:val="0"/>
        <w:numPr>
          <w:ilvl w:val="0"/>
          <w:numId w:val="2"/>
        </w:numPr>
        <w:tabs>
          <w:tab w:val="left" w:pos="567"/>
        </w:tabs>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检方要建立监督抽查样品的管理规范，应有样品登记、编号等流转记录，配备必要的设备设施，在规定条件下保存备样，确保备样的有效性。对检验结论为不合格的产品，其备样应保留至被抽查食品生产经营单位不合格后处理工作结束后方可处置。</w:t>
      </w:r>
    </w:p>
    <w:p w14:paraId="7A8596CF">
      <w:pPr>
        <w:keepNext w:val="0"/>
        <w:keepLines w:val="0"/>
        <w:pageBreakBefore w:val="0"/>
        <w:widowControl w:val="0"/>
        <w:kinsoku/>
        <w:wordWrap/>
        <w:topLinePunct w:val="0"/>
        <w:bidi w:val="0"/>
        <w:snapToGrid/>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 检验及结果报告</w:t>
      </w:r>
    </w:p>
    <w:p w14:paraId="0B634F76">
      <w:pPr>
        <w:keepNext w:val="0"/>
        <w:keepLines w:val="0"/>
        <w:pageBreakBefore w:val="0"/>
        <w:widowControl w:val="0"/>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（1）检验实验室：所有样品必须在投标文件中明确的承担本项目检测的实验室中进行检测。</w:t>
      </w:r>
    </w:p>
    <w:p w14:paraId="095ED44E">
      <w:pPr>
        <w:keepNext w:val="0"/>
        <w:keepLines w:val="0"/>
        <w:pageBreakBefore w:val="0"/>
        <w:widowControl w:val="0"/>
        <w:kinsoku/>
        <w:wordWrap/>
        <w:topLinePunct w:val="0"/>
        <w:bidi w:val="0"/>
        <w:snapToGrid/>
        <w:spacing w:line="400" w:lineRule="exact"/>
        <w:ind w:left="549" w:leftChars="-15" w:hanging="580" w:hangingChars="26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（2）检验依据：依照法律法规和食品安全标准及其规定的国家食品安全标准、被检食品的国家标准、行业标准、地方标准、备案有效的企业标准。</w:t>
      </w:r>
    </w:p>
    <w:p w14:paraId="6CD9C36C">
      <w:pPr>
        <w:keepNext w:val="0"/>
        <w:keepLines w:val="0"/>
        <w:pageBreakBefore w:val="0"/>
        <w:widowControl w:val="0"/>
        <w:kinsoku/>
        <w:wordWrap/>
        <w:topLinePunct w:val="0"/>
        <w:bidi w:val="0"/>
        <w:snapToGrid/>
        <w:spacing w:line="400" w:lineRule="exact"/>
        <w:ind w:left="549" w:leftChars="52"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检验方法：承检方应当对检验工作负责，须按照法律法规、国家食品安全标准、行业标准、地方标准、备案有效的企业标准和食品检验技术要求开展检验工作，如实、准确、完整、及时地填写检验原始记录，保证检验工作的科学、独立、客观和规范。为处理案件稽查、事故调查、应急处置、风险监测等工作需要，经采购人同意，可以采用非食品安全标准等规定的检验方法，分析查找食品安全问题的原因。</w:t>
      </w:r>
    </w:p>
    <w:p w14:paraId="51485BBC">
      <w:pPr>
        <w:keepNext w:val="0"/>
        <w:keepLines w:val="0"/>
        <w:pageBreakBefore w:val="0"/>
        <w:widowControl w:val="0"/>
        <w:kinsoku/>
        <w:wordWrap/>
        <w:topLinePunct w:val="0"/>
        <w:bidi w:val="0"/>
        <w:snapToGrid/>
        <w:spacing w:line="400" w:lineRule="exact"/>
        <w:ind w:left="571" w:leftChars="1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 结果判定：承检机构应根据国家相关标准进行判定检测项目是否合格并出具检查结果，同时承检方要对检测结果进行综合评价和原因分析，并作出消费提示，另外还应及时提交检测数据明细和监测数据批量导入文件。</w:t>
      </w:r>
    </w:p>
    <w:p w14:paraId="294A0E82">
      <w:pPr>
        <w:keepNext w:val="0"/>
        <w:keepLines w:val="0"/>
        <w:pageBreakBefore w:val="0"/>
        <w:widowControl w:val="0"/>
        <w:kinsoku/>
        <w:wordWrap/>
        <w:topLinePunct w:val="0"/>
        <w:bidi w:val="0"/>
        <w:snapToGrid/>
        <w:spacing w:line="40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 出具结果：承检方须在自收到样品之日起20个工作日内出具检测报告，检测合格报告提交一式二份，检测不合格报告提交一式四份。</w:t>
      </w:r>
    </w:p>
    <w:p w14:paraId="640EE320">
      <w:pPr>
        <w:keepNext w:val="0"/>
        <w:keepLines w:val="0"/>
        <w:pageBreakBefore w:val="0"/>
        <w:widowControl w:val="0"/>
        <w:kinsoku/>
        <w:wordWrap/>
        <w:topLinePunct w:val="0"/>
        <w:bidi w:val="0"/>
        <w:snapToGrid/>
        <w:spacing w:line="40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出具的检验报告应具有相关执法效力，并对检测结果做出科学分析，完成相应的数据汇总、总结报告等，报送给采购人。检验结论不合格的，承检方应当在检验结论作出后2个工作日内报告采购人，其中：发现不合格食品含有违法添加的非食用物质，或者存在致病性微生物、农药残留、兽药残留、重金属以及其他危害人体健康的物质严重超出标准限量等情形的，承检方应当在12小时内报告采购人。检验结论合格的，承检方应当在检验结论作出后10个工作日内将检验结论报送采购人。所有检验结论必须输入国家食品安全抽样检验信息系统。</w:t>
      </w:r>
    </w:p>
    <w:p w14:paraId="55486397">
      <w:pPr>
        <w:keepNext w:val="0"/>
        <w:keepLines w:val="0"/>
        <w:pageBreakBefore w:val="0"/>
        <w:widowControl w:val="0"/>
        <w:kinsoku/>
        <w:wordWrap/>
        <w:topLinePunct w:val="0"/>
        <w:bidi w:val="0"/>
        <w:snapToGrid/>
        <w:spacing w:line="40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（7）若需要复检的，则应由采购人指定省级以上的第三方检测进行复检，检验机构应配合复检机构完成复检，</w:t>
      </w:r>
      <w:r>
        <w:rPr>
          <w:rFonts w:hint="eastAsia" w:ascii="宋体" w:hAnsi="宋体" w:eastAsia="宋体" w:cs="宋体"/>
          <w:bCs/>
          <w:snapToGrid w:val="0"/>
          <w:color w:val="auto"/>
          <w:sz w:val="22"/>
          <w:szCs w:val="22"/>
          <w:highlight w:val="none"/>
        </w:rPr>
        <w:t>并承担合理的备样寄送费用。</w:t>
      </w:r>
      <w:r>
        <w:rPr>
          <w:rFonts w:hint="eastAsia" w:ascii="宋体" w:hAnsi="宋体" w:eastAsia="宋体" w:cs="宋体"/>
          <w:color w:val="auto"/>
          <w:sz w:val="22"/>
          <w:szCs w:val="22"/>
          <w:highlight w:val="none"/>
        </w:rPr>
        <w:t>若提交的报告经复检后，更改结果的，由原检测机构支付并承担相应的复检费用，并记一次不合格。</w:t>
      </w:r>
    </w:p>
    <w:p w14:paraId="5D94EE95">
      <w:pPr>
        <w:pStyle w:val="30"/>
        <w:keepNext w:val="0"/>
        <w:keepLines w:val="0"/>
        <w:pageBreakBefore w:val="0"/>
        <w:widowControl w:val="0"/>
        <w:kinsoku/>
        <w:wordWrap/>
        <w:topLinePunct w:val="0"/>
        <w:bidi w:val="0"/>
        <w:adjustRightInd w:val="0"/>
        <w:snapToGrid/>
        <w:spacing w:line="40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（8）承检方出具的抽样单和检验报告盖章落款单位名称必须与其投标时所用单位名称一致，否则采购人将取消其中标资格，并终止合同及没收履约保证金。</w:t>
      </w:r>
    </w:p>
    <w:p w14:paraId="687DB8F5">
      <w:pPr>
        <w:keepNext w:val="0"/>
        <w:keepLines w:val="0"/>
        <w:pageBreakBefore w:val="0"/>
        <w:widowControl w:val="0"/>
        <w:kinsoku/>
        <w:wordWrap/>
        <w:topLinePunct w:val="0"/>
        <w:bidi w:val="0"/>
        <w:snapToGrid/>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服务要求</w:t>
      </w:r>
    </w:p>
    <w:p w14:paraId="343E3839">
      <w:pPr>
        <w:keepNext w:val="0"/>
        <w:keepLines w:val="0"/>
        <w:pageBreakBefore w:val="0"/>
        <w:widowControl w:val="0"/>
        <w:kinsoku/>
        <w:wordWrap/>
        <w:topLinePunct w:val="0"/>
        <w:bidi w:val="0"/>
        <w:snapToGrid/>
        <w:spacing w:line="40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检机构要严格按照《食品安全监督抽检和风险监测工作质量控制和管理考核方案》，加强对组织实施、样品抽样、实验室检测、数据报送等关键环节的质量控制，确保检测结果准确可靠。参与监督抽查工作的工作人员应严格按照要求进行抽样、检验和结果上报，不得随意更改抽样地点和样品信息，不得瞒报、谎报和故意漏报、错报检测数据，确保结果的真实客观和准确。</w:t>
      </w:r>
    </w:p>
    <w:p w14:paraId="71E82955">
      <w:pPr>
        <w:keepNext w:val="0"/>
        <w:keepLines w:val="0"/>
        <w:pageBreakBefore w:val="0"/>
        <w:widowControl w:val="0"/>
        <w:kinsoku/>
        <w:wordWrap/>
        <w:topLinePunct w:val="0"/>
        <w:bidi w:val="0"/>
        <w:snapToGrid/>
        <w:spacing w:line="40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做好数据统计和录入工作。承检机构应配合采购人做好“国家食品安全抽样检验信息系统”计划制定、方案实施等工作，并在收到样品2个工作日内将抽样信息输入该系统，监督抽查结果数据在完成检验工作的5个工作日内输入该系统，并将本次监督抽查有关检验数据、分析报告及实施情况汇总表于10个工作日内报送区市场监管局。</w:t>
      </w:r>
    </w:p>
    <w:p w14:paraId="39A97C51">
      <w:pPr>
        <w:keepNext w:val="0"/>
        <w:keepLines w:val="0"/>
        <w:pageBreakBefore w:val="0"/>
        <w:widowControl w:val="0"/>
        <w:kinsoku/>
        <w:wordWrap/>
        <w:topLinePunct w:val="0"/>
        <w:bidi w:val="0"/>
        <w:snapToGrid/>
        <w:spacing w:line="40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（3）保密责任：涉及抽样的全部情况包括数据及结果，承检方必须保密，不得向除委托方外的任何单位与个人透露情况。</w:t>
      </w:r>
    </w:p>
    <w:p w14:paraId="6E046944">
      <w:pPr>
        <w:keepNext w:val="0"/>
        <w:keepLines w:val="0"/>
        <w:pageBreakBefore w:val="0"/>
        <w:widowControl w:val="0"/>
        <w:kinsoku/>
        <w:wordWrap/>
        <w:topLinePunct w:val="0"/>
        <w:bidi w:val="0"/>
        <w:snapToGrid/>
        <w:spacing w:line="40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（4）失误责任：承检方对检验结果的真实性负责，如果因故意隐瞒、弄虚作假、错误检验数据和结论等行为而给被检验人造成损失的，或者给社会带来不良影响的，承检方应当负责赔偿，并承担相应法律责任。</w:t>
      </w:r>
    </w:p>
    <w:p w14:paraId="204586C7">
      <w:pPr>
        <w:keepNext w:val="0"/>
        <w:keepLines w:val="0"/>
        <w:pageBreakBefore w:val="0"/>
        <w:widowControl w:val="0"/>
        <w:kinsoku/>
        <w:wordWrap/>
        <w:topLinePunct w:val="0"/>
        <w:bidi w:val="0"/>
        <w:snapToGrid/>
        <w:spacing w:line="40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（5）配合服务：承检方应积极配合委托方开展抽检及售后工作，应安排专人到采购人处配合开展检测工作。</w:t>
      </w:r>
    </w:p>
    <w:p w14:paraId="72B59356">
      <w:pPr>
        <w:keepNext w:val="0"/>
        <w:keepLines w:val="0"/>
        <w:pageBreakBefore w:val="0"/>
        <w:widowControl w:val="0"/>
        <w:kinsoku/>
        <w:wordWrap/>
        <w:topLinePunct w:val="0"/>
        <w:bidi w:val="0"/>
        <w:snapToGrid/>
        <w:spacing w:line="40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（6）配合复检：承检方应配合采购人开展复检工作，及时做好复检样品交接工作。复检结果与初检结果不一致时，复检费用由承检方承担；若复检结果与初检结果一致，复检费用由复检申请人承担。</w:t>
      </w:r>
    </w:p>
    <w:p w14:paraId="7117B27A">
      <w:pPr>
        <w:keepNext w:val="0"/>
        <w:keepLines w:val="0"/>
        <w:pageBreakBefore w:val="0"/>
        <w:widowControl w:val="0"/>
        <w:kinsoku/>
        <w:wordWrap/>
        <w:topLinePunct w:val="0"/>
        <w:bidi w:val="0"/>
        <w:snapToGrid/>
        <w:spacing w:line="40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信息服务：承检方主动向采购人提供进度报告、发布进度信息。承检方应及时向采购人提供检验结果分析，全年任务完成后，应向采购人提交年度分析报告。采购人提出查看原始数据的，承检方需2天内提供原始数据供采购人查看，采购人也可到承检方实验室现场查看原始数据。市场监督管理部门对相关检验数据有要求的，承检方应在规定的时间内，按照规定的方式报送有关数据。</w:t>
      </w:r>
    </w:p>
    <w:p w14:paraId="0CF1575E">
      <w:pPr>
        <w:keepNext w:val="0"/>
        <w:keepLines w:val="0"/>
        <w:pageBreakBefore w:val="0"/>
        <w:widowControl w:val="0"/>
        <w:kinsoku/>
        <w:wordWrap/>
        <w:topLinePunct w:val="0"/>
        <w:bidi w:val="0"/>
        <w:snapToGrid/>
        <w:spacing w:line="40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（8）业务建档制度：承检方须针对</w:t>
      </w:r>
      <w:r>
        <w:rPr>
          <w:rFonts w:hint="eastAsia" w:ascii="宋体" w:hAnsi="宋体" w:cs="宋体"/>
          <w:color w:val="auto"/>
          <w:sz w:val="22"/>
          <w:szCs w:val="22"/>
          <w:highlight w:val="none"/>
          <w:lang w:eastAsia="zh-CN"/>
        </w:rPr>
        <w:t>泰顺县</w:t>
      </w:r>
      <w:r>
        <w:rPr>
          <w:rFonts w:hint="eastAsia" w:ascii="宋体" w:hAnsi="宋体" w:eastAsia="宋体" w:cs="宋体"/>
          <w:color w:val="auto"/>
          <w:sz w:val="22"/>
          <w:szCs w:val="22"/>
          <w:highlight w:val="none"/>
        </w:rPr>
        <w:t>市场监督管理局检测业务建立单独的业务档案资料，并按规定进行备案。</w:t>
      </w:r>
    </w:p>
    <w:p w14:paraId="6F824C29">
      <w:pPr>
        <w:keepNext w:val="0"/>
        <w:keepLines w:val="0"/>
        <w:pageBreakBefore w:val="0"/>
        <w:widowControl w:val="0"/>
        <w:kinsoku/>
        <w:wordWrap/>
        <w:topLinePunct w:val="0"/>
        <w:bidi w:val="0"/>
        <w:snapToGrid/>
        <w:spacing w:line="40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违规处理：采购人可在委托期间对承检方是否规范操作进行监督检查，如发生违规操作或其他违法行为，一经发现将立即终止该次检测活动，采购人将记录备案，并扣罚相应的违约赔偿费；有严重违反《食品安全抽样检验管理办法》第50条规定情形的，采购人将立即单方面终止合同，并将承检方列入不诚信供应商名单，拒绝其参加今后采购单位相关检测项目的投标资格。如有需要将依法追究承检方和相关人员的法律责任。</w:t>
      </w:r>
    </w:p>
    <w:p w14:paraId="7A9D62D8">
      <w:pPr>
        <w:pStyle w:val="5"/>
        <w:keepNext w:val="0"/>
        <w:keepLines w:val="0"/>
        <w:pageBreakBefore w:val="0"/>
        <w:widowControl w:val="0"/>
        <w:kinsoku/>
        <w:wordWrap/>
        <w:topLinePunct w:val="0"/>
        <w:bidi w:val="0"/>
        <w:snapToGrid/>
        <w:spacing w:line="400" w:lineRule="exact"/>
        <w:ind w:left="701" w:leftChars="334"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二、其他要求</w:t>
      </w:r>
    </w:p>
    <w:p w14:paraId="6CDE2A29">
      <w:pPr>
        <w:keepNext w:val="0"/>
        <w:keepLines w:val="0"/>
        <w:pageBreakBefore w:val="0"/>
        <w:widowControl w:val="0"/>
        <w:kinsoku/>
        <w:wordWrap/>
        <w:topLinePunct w:val="0"/>
        <w:bidi w:val="0"/>
        <w:snapToGrid/>
        <w:spacing w:line="400" w:lineRule="exact"/>
        <w:ind w:left="370" w:leftChars="176" w:firstLine="44" w:firstLine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承检方应保证所受托检测项目能提供计量认证标识，保证检测结果的合法性、科学性、公正性和有效性。</w:t>
      </w:r>
    </w:p>
    <w:p w14:paraId="19C2BA4E">
      <w:pPr>
        <w:keepNext w:val="0"/>
        <w:keepLines w:val="0"/>
        <w:pageBreakBefore w:val="0"/>
        <w:widowControl w:val="0"/>
        <w:kinsoku/>
        <w:wordWrap/>
        <w:topLinePunct w:val="0"/>
        <w:bidi w:val="0"/>
        <w:snapToGrid/>
        <w:spacing w:line="400" w:lineRule="exact"/>
        <w:ind w:left="370" w:leftChars="176" w:firstLine="44" w:firstLineChars="2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合同款按照具体委托检测的批次和投标批次单价进行结算。</w:t>
      </w:r>
      <w:r>
        <w:rPr>
          <w:rFonts w:hint="eastAsia" w:ascii="宋体" w:hAnsi="宋体" w:cs="宋体"/>
          <w:color w:val="auto"/>
          <w:sz w:val="22"/>
          <w:szCs w:val="22"/>
          <w:highlight w:val="none"/>
          <w:u w:val="single"/>
          <w:lang w:eastAsia="zh-CN"/>
        </w:rPr>
        <w:t>磋商文件</w:t>
      </w:r>
      <w:r>
        <w:rPr>
          <w:rFonts w:hint="eastAsia" w:ascii="宋体" w:hAnsi="宋体" w:eastAsia="宋体" w:cs="宋体"/>
          <w:color w:val="auto"/>
          <w:sz w:val="22"/>
          <w:szCs w:val="22"/>
          <w:highlight w:val="none"/>
          <w:u w:val="single"/>
        </w:rPr>
        <w:t>规定的各</w:t>
      </w:r>
    </w:p>
    <w:p w14:paraId="78FFFBD1">
      <w:pPr>
        <w:keepNext w:val="0"/>
        <w:keepLines w:val="0"/>
        <w:pageBreakBefore w:val="0"/>
        <w:widowControl w:val="0"/>
        <w:kinsoku/>
        <w:wordWrap/>
        <w:topLinePunct w:val="0"/>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品种检测批次数量均为暂定，采购人可根据实际及国家市场监管总局食品抽检相关规定需要对各品种检测批次数量进行适当调整，中标供应商不得拒绝。</w:t>
      </w:r>
    </w:p>
    <w:p w14:paraId="70B48AC1">
      <w:pPr>
        <w:keepNext w:val="0"/>
        <w:keepLines w:val="0"/>
        <w:pageBreakBefore w:val="0"/>
        <w:widowControl w:val="0"/>
        <w:numPr>
          <w:ilvl w:val="0"/>
          <w:numId w:val="3"/>
        </w:numPr>
        <w:kinsoku/>
        <w:wordWrap/>
        <w:topLinePunct w:val="0"/>
        <w:bidi w:val="0"/>
        <w:snapToGrid/>
        <w:spacing w:line="400" w:lineRule="exact"/>
        <w:ind w:left="370" w:leftChars="176" w:firstLine="44" w:firstLineChars="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项目实施过程中</w:t>
      </w:r>
      <w:r>
        <w:rPr>
          <w:rFonts w:hint="eastAsia" w:ascii="宋体" w:hAnsi="宋体" w:eastAsia="宋体" w:cs="宋体"/>
          <w:color w:val="auto"/>
          <w:kern w:val="0"/>
          <w:sz w:val="22"/>
          <w:szCs w:val="22"/>
          <w:highlight w:val="none"/>
        </w:rPr>
        <w:t>项目组负责人发生</w:t>
      </w:r>
      <w:r>
        <w:rPr>
          <w:rFonts w:hint="eastAsia" w:ascii="宋体" w:hAnsi="宋体" w:eastAsia="宋体" w:cs="宋体"/>
          <w:bCs/>
          <w:color w:val="auto"/>
          <w:sz w:val="22"/>
          <w:szCs w:val="22"/>
          <w:highlight w:val="none"/>
        </w:rPr>
        <w:t>变动的，需提前通知采购人并获同意才能更</w:t>
      </w:r>
    </w:p>
    <w:p w14:paraId="0AD43C6F">
      <w:pPr>
        <w:keepNext w:val="0"/>
        <w:keepLines w:val="0"/>
        <w:pageBreakBefore w:val="0"/>
        <w:widowControl w:val="0"/>
        <w:kinsoku/>
        <w:wordWrap/>
        <w:topLinePunct w:val="0"/>
        <w:bidi w:val="0"/>
        <w:snapToGrid/>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换，更换后的人员专业素质、技术能力及经验等情况不能低于原先水准。如采购人对项目组人员服务能力或态度不满意的，承检方必须及时更换。</w:t>
      </w:r>
    </w:p>
    <w:p w14:paraId="11230E70">
      <w:pPr>
        <w:spacing w:line="400" w:lineRule="exact"/>
        <w:ind w:firstLine="440" w:firstLineChars="200"/>
        <w:rPr>
          <w:rFonts w:ascii="宋体" w:hAnsi="宋体" w:cs="宋体"/>
          <w:color w:val="auto"/>
          <w:sz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如某一批次或某一品种，中标人无法检测的，必须经采购人同意后委托具有检测能力的第三方检测，费用由中标人承担。未经采购人同意擅自分包或者转包检验任务的，将取消其检测服务资格</w:t>
      </w:r>
      <w:r>
        <w:rPr>
          <w:rFonts w:hint="eastAsia" w:ascii="宋体" w:hAnsi="宋体" w:cs="宋体"/>
          <w:color w:val="auto"/>
          <w:sz w:val="22"/>
          <w:highlight w:val="none"/>
        </w:rPr>
        <w:t>。</w:t>
      </w:r>
    </w:p>
    <w:p w14:paraId="082EF5FE">
      <w:pPr>
        <w:pStyle w:val="31"/>
        <w:snapToGrid w:val="0"/>
        <w:spacing w:line="400" w:lineRule="exact"/>
        <w:ind w:firstLine="0" w:firstLineChars="0"/>
        <w:rPr>
          <w:rFonts w:ascii="宋体" w:hAnsi="宋体" w:cs="宋体"/>
          <w:color w:val="auto"/>
          <w:sz w:val="22"/>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3C56687C">
      <w:pPr>
        <w:spacing w:line="400" w:lineRule="exact"/>
        <w:rPr>
          <w:rFonts w:ascii="宋体" w:hAnsi="宋体" w:cs="宋体"/>
          <w:color w:val="auto"/>
          <w:sz w:val="22"/>
          <w:highlight w:val="none"/>
        </w:rPr>
      </w:pPr>
    </w:p>
    <w:p w14:paraId="0A6BCB85">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5"/>
    </w:p>
    <w:p w14:paraId="04C164BA">
      <w:pPr>
        <w:tabs>
          <w:tab w:val="left" w:pos="1069"/>
          <w:tab w:val="left" w:pos="2352"/>
        </w:tabs>
        <w:autoSpaceDE w:val="0"/>
        <w:autoSpaceDN w:val="0"/>
        <w:adjustRightInd w:val="0"/>
        <w:spacing w:line="450" w:lineRule="atLeast"/>
        <w:ind w:firstLine="446" w:firstLineChars="200"/>
        <w:rPr>
          <w:rFonts w:ascii="宋体" w:hAnsi="宋体" w:cs="宋体"/>
          <w:b/>
          <w:color w:val="auto"/>
          <w:sz w:val="22"/>
          <w:highlight w:val="none"/>
          <w:lang w:val="zh-CN"/>
        </w:rPr>
      </w:pPr>
      <w:bookmarkStart w:id="10" w:name="_Toc9317_WPSOffice_Level2"/>
      <w:r>
        <w:rPr>
          <w:rFonts w:hint="eastAsia" w:ascii="宋体" w:hAnsi="宋体" w:cs="宋体"/>
          <w:b/>
          <w:color w:val="auto"/>
          <w:sz w:val="22"/>
          <w:highlight w:val="none"/>
          <w:lang w:val="zh-CN"/>
        </w:rPr>
        <w:t>一、说明</w:t>
      </w:r>
      <w:bookmarkEnd w:id="10"/>
    </w:p>
    <w:p w14:paraId="00AA286B">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25D1DCC1">
      <w:pPr>
        <w:tabs>
          <w:tab w:val="left" w:pos="1069"/>
          <w:tab w:val="left" w:pos="2352"/>
        </w:tabs>
        <w:adjustRightInd w:val="0"/>
        <w:spacing w:line="400" w:lineRule="atLeast"/>
        <w:ind w:firstLine="436" w:firstLineChars="196"/>
        <w:rPr>
          <w:rFonts w:ascii="宋体" w:hAnsi="宋体" w:cs="宋体"/>
          <w:b/>
          <w:bCs/>
          <w:color w:val="auto"/>
          <w:sz w:val="22"/>
          <w:highlight w:val="none"/>
          <w:u w:val="single"/>
        </w:rPr>
      </w:pPr>
      <w:r>
        <w:rPr>
          <w:rFonts w:hint="eastAsia" w:ascii="宋体" w:hAnsi="宋体" w:cs="宋体"/>
          <w:color w:val="auto"/>
          <w:sz w:val="22"/>
          <w:highlight w:val="none"/>
        </w:rPr>
        <w:t>2.</w:t>
      </w:r>
      <w:r>
        <w:rPr>
          <w:rFonts w:hint="eastAsia" w:ascii="宋体" w:hAnsi="宋体" w:cs="宋体"/>
          <w:b/>
          <w:bCs/>
          <w:color w:val="auto"/>
          <w:sz w:val="22"/>
          <w:highlight w:val="none"/>
          <w:u w:val="single"/>
          <w:lang w:val="en-US" w:eastAsia="zh-CN"/>
        </w:rPr>
        <w:t>本项目分为2个标项，</w:t>
      </w:r>
      <w:r>
        <w:rPr>
          <w:rFonts w:hint="eastAsia" w:ascii="宋体" w:hAnsi="宋体" w:cs="宋体"/>
          <w:b/>
          <w:bCs/>
          <w:color w:val="auto"/>
          <w:sz w:val="22"/>
          <w:highlight w:val="none"/>
          <w:u w:val="single"/>
        </w:rPr>
        <w:t>供应商</w:t>
      </w:r>
      <w:r>
        <w:rPr>
          <w:rFonts w:hint="eastAsia" w:ascii="宋体" w:hAnsi="宋体" w:cs="宋体"/>
          <w:b/>
          <w:bCs/>
          <w:color w:val="auto"/>
          <w:sz w:val="22"/>
          <w:highlight w:val="none"/>
          <w:u w:val="single"/>
          <w:lang w:val="en-US" w:eastAsia="zh-CN"/>
        </w:rPr>
        <w:t>可以选择标项投标，但</w:t>
      </w:r>
      <w:r>
        <w:rPr>
          <w:rFonts w:hint="eastAsia" w:ascii="宋体" w:hAnsi="宋体" w:cs="宋体"/>
          <w:b/>
          <w:bCs/>
          <w:color w:val="auto"/>
          <w:sz w:val="22"/>
          <w:highlight w:val="none"/>
          <w:u w:val="single"/>
        </w:rPr>
        <w:t>必须对所投标项全部内容进行报价，只对部分内容进行报价的供应商将按无效投标处理。▲投标供应商同时投</w:t>
      </w:r>
      <w:r>
        <w:rPr>
          <w:rFonts w:hint="eastAsia" w:ascii="宋体"/>
          <w:b/>
          <w:bCs/>
          <w:color w:val="auto"/>
          <w:sz w:val="22"/>
          <w:highlight w:val="none"/>
          <w:u w:val="single"/>
        </w:rPr>
        <w:t>两个标项的，若投标供应商为第一标项的中标单位，则视为自动放弃第二标项的中标资格</w:t>
      </w:r>
      <w:r>
        <w:rPr>
          <w:rFonts w:hint="eastAsia" w:ascii="宋体"/>
          <w:color w:val="auto"/>
          <w:sz w:val="22"/>
          <w:highlight w:val="none"/>
          <w:u w:val="single"/>
        </w:rPr>
        <w:t>。</w:t>
      </w:r>
      <w:r>
        <w:rPr>
          <w:rFonts w:hint="eastAsia" w:ascii="宋体" w:hAnsi="宋体" w:cs="宋体"/>
          <w:b/>
          <w:bCs/>
          <w:color w:val="auto"/>
          <w:sz w:val="22"/>
          <w:highlight w:val="none"/>
          <w:u w:val="single"/>
          <w:lang w:val="en-US" w:eastAsia="zh-CN"/>
        </w:rPr>
        <w:t>评审顺序为先标项一后标项二。</w:t>
      </w:r>
    </w:p>
    <w:p w14:paraId="1DBD8EC8">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w:t>
      </w:r>
      <w:bookmarkStart w:id="99" w:name="_GoBack"/>
      <w:bookmarkEnd w:id="99"/>
      <w:r>
        <w:rPr>
          <w:rFonts w:hint="eastAsia" w:ascii="宋体" w:hAnsi="宋体" w:cs="宋体"/>
          <w:color w:val="auto"/>
          <w:sz w:val="22"/>
          <w:highlight w:val="none"/>
        </w:rPr>
        <w:t>供应商自行承担投标活动中所发生的全部费用；采购人有权选择供应商的供货和服务范围。</w:t>
      </w:r>
    </w:p>
    <w:p w14:paraId="1390C784">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4.安全管理</w:t>
      </w:r>
    </w:p>
    <w:p w14:paraId="0C95B4EB">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07C99640">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5.知识产权</w:t>
      </w:r>
    </w:p>
    <w:p w14:paraId="0875B069">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14:paraId="5CBE6245">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5.2投标人应对采购人在使用该服务时所涉及到的专利权负责，不损害采购人的利益。</w:t>
      </w:r>
    </w:p>
    <w:p w14:paraId="74B443D5">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14:paraId="097B8E49">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5.4投标人提供的服务中如使用其他公司的相关专利，应在标书中出示相关授权，如未出示但使用了其他公司的专利，导致供应商中标(成交)而引起相关诉讼，由投标人承担。</w:t>
      </w:r>
    </w:p>
    <w:p w14:paraId="29ED375E">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025A50B7">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14:paraId="7848599E">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14:paraId="6F7D1464">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14:paraId="30155400">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14:paraId="4FF16505">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14:paraId="341E94B7">
      <w:pPr>
        <w:widowControl/>
        <w:tabs>
          <w:tab w:val="left" w:pos="1069"/>
          <w:tab w:val="left" w:pos="2352"/>
        </w:tabs>
        <w:snapToGrid w:val="0"/>
        <w:spacing w:line="400" w:lineRule="atLeast"/>
        <w:ind w:firstLine="446"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rPr>
        <w:t>▲</w:t>
      </w:r>
      <w:r>
        <w:rPr>
          <w:rFonts w:hint="eastAsia" w:ascii="宋体" w:hAnsi="宋体" w:cs="宋体"/>
          <w:b/>
          <w:color w:val="auto"/>
          <w:sz w:val="22"/>
          <w:highlight w:val="none"/>
          <w:u w:val="single"/>
        </w:rPr>
        <w:t>如供应商有上述情形并参与本项目投标的，一经查实，其投标做无效投标处理。</w:t>
      </w:r>
    </w:p>
    <w:p w14:paraId="7577DF44">
      <w:pPr>
        <w:widowControl/>
        <w:tabs>
          <w:tab w:val="left" w:pos="1069"/>
          <w:tab w:val="left" w:pos="2352"/>
        </w:tabs>
        <w:snapToGrid w:val="0"/>
        <w:spacing w:line="380" w:lineRule="exact"/>
        <w:ind w:firstLine="446" w:firstLineChars="200"/>
        <w:rPr>
          <w:rFonts w:ascii="宋体" w:hAnsi="宋体" w:cs="宋体"/>
          <w:color w:val="auto"/>
          <w:sz w:val="22"/>
          <w:highlight w:val="none"/>
          <w:u w:val="single"/>
        </w:rPr>
      </w:pPr>
      <w:r>
        <w:rPr>
          <w:rFonts w:hint="eastAsia" w:ascii="宋体" w:hAnsi="宋体" w:cs="宋体"/>
          <w:b/>
          <w:color w:val="auto"/>
          <w:sz w:val="22"/>
          <w:highlight w:val="none"/>
        </w:rPr>
        <w:t>9.</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14:paraId="2DEB9AB3">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14:paraId="3B2E48D3">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11"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11"/>
    </w:p>
    <w:p w14:paraId="1CE66080">
      <w:pPr>
        <w:tabs>
          <w:tab w:val="left" w:pos="1069"/>
          <w:tab w:val="left" w:pos="2352"/>
        </w:tabs>
        <w:spacing w:line="400" w:lineRule="atLeast"/>
        <w:ind w:firstLine="446" w:firstLineChars="200"/>
        <w:rPr>
          <w:rFonts w:ascii="宋体" w:hAnsi="宋体" w:cs="宋体"/>
          <w:color w:val="auto"/>
          <w:sz w:val="22"/>
          <w:highlight w:val="none"/>
        </w:rPr>
      </w:pPr>
      <w:bookmarkStart w:id="12" w:name="_Toc24610_WPSOffice_Level3"/>
      <w:r>
        <w:rPr>
          <w:rFonts w:hint="eastAsia" w:ascii="宋体" w:hAnsi="宋体" w:cs="宋体"/>
          <w:color w:val="auto"/>
          <w:sz w:val="22"/>
          <w:highlight w:val="none"/>
          <w:lang w:val="zh-CN"/>
        </w:rPr>
        <w:t>1.竞争性磋商文件</w:t>
      </w:r>
      <w:bookmarkEnd w:id="12"/>
    </w:p>
    <w:p w14:paraId="453BA890">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14:paraId="3A6FF181">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14:paraId="4C5C170D">
      <w:pPr>
        <w:tabs>
          <w:tab w:val="left" w:pos="1069"/>
          <w:tab w:val="left" w:pos="2352"/>
        </w:tabs>
        <w:autoSpaceDE w:val="0"/>
        <w:autoSpaceDN w:val="0"/>
        <w:adjustRightInd w:val="0"/>
        <w:spacing w:line="400" w:lineRule="atLeast"/>
        <w:ind w:firstLine="446"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14:paraId="77222B2A">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14:paraId="670A1FD7">
      <w:pPr>
        <w:tabs>
          <w:tab w:val="left" w:pos="1069"/>
          <w:tab w:val="left" w:pos="2352"/>
        </w:tabs>
        <w:autoSpaceDE w:val="0"/>
        <w:autoSpaceDN w:val="0"/>
        <w:adjustRightInd w:val="0"/>
        <w:spacing w:line="400" w:lineRule="atLeast"/>
        <w:ind w:firstLine="669" w:firstLineChars="300"/>
        <w:rPr>
          <w:rFonts w:ascii="宋体" w:hAnsi="宋体" w:cs="宋体"/>
          <w:color w:val="auto"/>
          <w:sz w:val="22"/>
          <w:highlight w:val="none"/>
          <w:lang w:val="zh-CN"/>
        </w:rPr>
      </w:pPr>
      <w:bookmarkStart w:id="13" w:name="_Toc9317_WPSOffice_Level3"/>
      <w:r>
        <w:rPr>
          <w:rFonts w:hint="eastAsia" w:ascii="宋体" w:hAnsi="宋体" w:cs="宋体"/>
          <w:color w:val="auto"/>
          <w:sz w:val="22"/>
          <w:highlight w:val="none"/>
          <w:lang w:val="zh-CN"/>
        </w:rPr>
        <w:t>2.竞争性磋商文件的澄清</w:t>
      </w:r>
      <w:bookmarkEnd w:id="13"/>
    </w:p>
    <w:p w14:paraId="0AF3A4DD">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21F8F9CD">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bookmarkStart w:id="14" w:name="_Toc6226_WPSOffice_Level3"/>
      <w:r>
        <w:rPr>
          <w:rFonts w:hint="eastAsia" w:ascii="宋体" w:hAnsi="宋体" w:cs="宋体"/>
          <w:color w:val="auto"/>
          <w:sz w:val="22"/>
          <w:highlight w:val="none"/>
          <w:lang w:val="zh-CN"/>
        </w:rPr>
        <w:t>3.竞争性磋商文件的修改</w:t>
      </w:r>
      <w:bookmarkEnd w:id="14"/>
    </w:p>
    <w:p w14:paraId="3478B381">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2992ABC0">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14:paraId="7FCCD957">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15"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15"/>
      <w:r>
        <w:rPr>
          <w:rFonts w:hint="eastAsia" w:ascii="宋体" w:hAnsi="宋体" w:cs="宋体"/>
          <w:b/>
          <w:color w:val="auto"/>
          <w:sz w:val="22"/>
          <w:highlight w:val="none"/>
          <w:lang w:val="zh-CN"/>
        </w:rPr>
        <w:t>投标（响应）文件</w:t>
      </w:r>
    </w:p>
    <w:p w14:paraId="198D33E2">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14:paraId="0DE884CA">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14:paraId="48DA5CAA">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14:paraId="226DA799">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14:paraId="63EC2446">
      <w:pPr>
        <w:tabs>
          <w:tab w:val="left" w:pos="1069"/>
          <w:tab w:val="left" w:pos="2352"/>
        </w:tabs>
        <w:autoSpaceDE w:val="0"/>
        <w:autoSpaceDN w:val="0"/>
        <w:adjustRightInd w:val="0"/>
        <w:snapToGri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14:paraId="56DC2590">
      <w:pPr>
        <w:tabs>
          <w:tab w:val="left" w:pos="1069"/>
          <w:tab w:val="left" w:pos="2352"/>
        </w:tabs>
        <w:autoSpaceDE w:val="0"/>
        <w:autoSpaceDN w:val="0"/>
        <w:adjustRightInd w:val="0"/>
        <w:snapToGrid w:val="0"/>
        <w:spacing w:line="400" w:lineRule="atLeast"/>
        <w:ind w:firstLine="446" w:firstLineChars="20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p>
    <w:p w14:paraId="7B76C4AE">
      <w:pPr>
        <w:tabs>
          <w:tab w:val="left" w:pos="1069"/>
          <w:tab w:val="left" w:pos="2352"/>
        </w:tabs>
        <w:autoSpaceDE w:val="0"/>
        <w:autoSpaceDN w:val="0"/>
        <w:adjustRightInd w:val="0"/>
        <w:snapToGri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2.1</w:t>
      </w:r>
      <w:r>
        <w:rPr>
          <w:rFonts w:hint="eastAsia" w:ascii="宋体" w:hAnsi="宋体" w:cs="宋体"/>
          <w:color w:val="auto"/>
          <w:sz w:val="22"/>
          <w:highlight w:val="none"/>
        </w:rPr>
        <w:t xml:space="preserve"> </w:t>
      </w:r>
      <w:r>
        <w:rPr>
          <w:rFonts w:hint="eastAsia" w:ascii="宋体" w:hAnsi="宋体" w:cs="宋体"/>
          <w:b/>
          <w:bCs/>
          <w:color w:val="auto"/>
          <w:sz w:val="22"/>
          <w:highlight w:val="none"/>
        </w:rPr>
        <w:t>《报价文件》</w:t>
      </w:r>
      <w:r>
        <w:rPr>
          <w:rFonts w:hint="eastAsia" w:ascii="宋体" w:hAnsi="宋体" w:cs="宋体"/>
          <w:b/>
          <w:bCs/>
          <w:color w:val="auto"/>
          <w:sz w:val="22"/>
          <w:highlight w:val="none"/>
          <w:lang w:val="zh-CN"/>
        </w:rPr>
        <w:t>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5FC9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41EC6405">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6" w:name="_Toc132122410"/>
            <w:bookmarkStart w:id="17" w:name="_Toc132122113"/>
            <w:r>
              <w:rPr>
                <w:rFonts w:hint="eastAsia" w:ascii="宋体" w:hAnsi="宋体" w:cs="宋体"/>
                <w:color w:val="auto"/>
                <w:sz w:val="22"/>
                <w:highlight w:val="none"/>
                <w:lang w:val="zh-CN"/>
              </w:rPr>
              <w:t>序号</w:t>
            </w:r>
          </w:p>
        </w:tc>
        <w:tc>
          <w:tcPr>
            <w:tcW w:w="8736" w:type="dxa"/>
          </w:tcPr>
          <w:p w14:paraId="75DEA488">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rPr>
              <w:t>1-2</w:t>
            </w:r>
            <w:r>
              <w:rPr>
                <w:rFonts w:hint="eastAsia" w:ascii="宋体" w:hAnsi="宋体" w:cs="宋体"/>
                <w:color w:val="auto"/>
                <w:sz w:val="22"/>
                <w:highlight w:val="none"/>
                <w:lang w:val="zh-CN"/>
              </w:rPr>
              <w:t>项供应商必须提供，否则不能通过符合性审查的，责任自负）</w:t>
            </w:r>
          </w:p>
        </w:tc>
      </w:tr>
      <w:tr w14:paraId="1BF1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48705272">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7BC84578">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开标（报价）一览表（附件一）</w:t>
            </w:r>
          </w:p>
        </w:tc>
      </w:tr>
      <w:tr w14:paraId="20A1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23402CB0">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Borders>
              <w:top w:val="single" w:color="auto" w:sz="4" w:space="0"/>
              <w:left w:val="single" w:color="auto" w:sz="4" w:space="0"/>
              <w:right w:val="single" w:color="auto" w:sz="4" w:space="0"/>
            </w:tcBorders>
          </w:tcPr>
          <w:p w14:paraId="5EF6973B">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投标分项报价表（附件二）</w:t>
            </w:r>
          </w:p>
        </w:tc>
      </w:tr>
      <w:bookmarkEnd w:id="16"/>
      <w:bookmarkEnd w:id="17"/>
    </w:tbl>
    <w:p w14:paraId="38DD1616">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2.2 </w:t>
      </w:r>
      <w:r>
        <w:rPr>
          <w:rFonts w:hint="eastAsia" w:ascii="宋体" w:hAnsi="宋体" w:cs="宋体"/>
          <w:b/>
          <w:bCs/>
          <w:color w:val="auto"/>
          <w:sz w:val="22"/>
          <w:highlight w:val="none"/>
        </w:rPr>
        <w:t>《资格文件》组成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9AA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743B066">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3EB40974">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w:t>
            </w:r>
            <w:r>
              <w:rPr>
                <w:rFonts w:hint="eastAsia" w:ascii="宋体" w:hAnsi="宋体" w:cs="宋体"/>
                <w:color w:val="auto"/>
                <w:sz w:val="22"/>
                <w:highlight w:val="none"/>
                <w:lang w:val="en-US" w:eastAsia="zh-CN"/>
              </w:rPr>
              <w:t>1-4</w:t>
            </w:r>
            <w:r>
              <w:rPr>
                <w:rFonts w:hint="eastAsia" w:ascii="宋体" w:hAnsi="宋体" w:cs="宋体"/>
                <w:color w:val="auto"/>
                <w:sz w:val="22"/>
                <w:highlight w:val="none"/>
              </w:rPr>
              <w:t>项</w:t>
            </w:r>
            <w:r>
              <w:rPr>
                <w:rFonts w:hint="eastAsia" w:ascii="宋体" w:hAnsi="宋体" w:cs="宋体"/>
                <w:color w:val="auto"/>
                <w:sz w:val="22"/>
                <w:highlight w:val="none"/>
                <w:lang w:val="zh-CN"/>
              </w:rPr>
              <w:t>供应商必须提供，否则不能通过符合性审查的，责任自负）</w:t>
            </w:r>
          </w:p>
        </w:tc>
      </w:tr>
      <w:tr w14:paraId="0A51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right w:val="single" w:color="auto" w:sz="4" w:space="0"/>
            </w:tcBorders>
          </w:tcPr>
          <w:p w14:paraId="3BAFC8CA">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7D6B2DC1">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rPr>
              <w:t>供应商的营业执照、税务登记证（如为多证合一仅需提供营业执照）</w:t>
            </w:r>
          </w:p>
        </w:tc>
      </w:tr>
      <w:tr w14:paraId="52CD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right w:val="single" w:color="auto" w:sz="4" w:space="0"/>
            </w:tcBorders>
          </w:tcPr>
          <w:p w14:paraId="49E04823">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1160CAB2">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4"/>
                <w:szCs w:val="24"/>
                <w:highlight w:val="none"/>
              </w:rPr>
              <w:t>符合参加政府采购活动应当具备的一般条件的承诺函（附件三）</w:t>
            </w:r>
          </w:p>
        </w:tc>
      </w:tr>
      <w:tr w14:paraId="1ED3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right w:val="single" w:color="auto" w:sz="4" w:space="0"/>
            </w:tcBorders>
          </w:tcPr>
          <w:p w14:paraId="5EDAB8C0">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vAlign w:val="center"/>
          </w:tcPr>
          <w:p w14:paraId="3E31F384">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供应商“信用中国”(</w:t>
            </w:r>
            <w:r>
              <w:rPr>
                <w:rFonts w:hint="eastAsia" w:ascii="宋体" w:hAnsi="宋体" w:cs="宋体"/>
                <w:color w:val="auto"/>
                <w:sz w:val="22"/>
                <w:highlight w:val="none"/>
              </w:rPr>
              <w:fldChar w:fldCharType="begin"/>
            </w:r>
            <w:r>
              <w:rPr>
                <w:color w:val="auto"/>
                <w:highlight w:val="none"/>
              </w:rPr>
              <w:instrText xml:space="preserve">HYPERLINK "http://www.creditchina.gov.cn"</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4512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tcPr>
          <w:p w14:paraId="1B06A1BF">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bottom w:val="single" w:color="auto" w:sz="4" w:space="0"/>
              <w:right w:val="single" w:color="auto" w:sz="4" w:space="0"/>
            </w:tcBorders>
            <w:vAlign w:val="center"/>
          </w:tcPr>
          <w:p w14:paraId="25588DBD">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法定代表人授权书（附件四）</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若法定代表人直接参与的无需提供此项</w:t>
            </w:r>
            <w:r>
              <w:rPr>
                <w:rFonts w:hint="eastAsia" w:ascii="宋体" w:hAnsi="宋体" w:cs="宋体"/>
                <w:color w:val="auto"/>
                <w:sz w:val="22"/>
                <w:highlight w:val="none"/>
                <w:lang w:eastAsia="zh-CN"/>
              </w:rPr>
              <w:t>）</w:t>
            </w:r>
          </w:p>
        </w:tc>
      </w:tr>
      <w:tr w14:paraId="3A88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right w:val="single" w:color="auto" w:sz="4" w:space="0"/>
            </w:tcBorders>
          </w:tcPr>
          <w:p w14:paraId="73F337CD">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vAlign w:val="center"/>
          </w:tcPr>
          <w:p w14:paraId="31949021">
            <w:pPr>
              <w:autoSpaceDE w:val="0"/>
              <w:autoSpaceDN w:val="0"/>
              <w:adjustRightInd w:val="0"/>
              <w:spacing w:line="260" w:lineRule="exact"/>
              <w:jc w:val="left"/>
              <w:textAlignment w:val="bottom"/>
              <w:rPr>
                <w:rFonts w:ascii="宋体" w:hAnsi="宋体" w:cs="Arial"/>
                <w:b/>
                <w:bCs/>
                <w:color w:val="auto"/>
                <w:sz w:val="22"/>
                <w:highlight w:val="none"/>
                <w:u w:val="single"/>
              </w:rPr>
            </w:pPr>
            <w:r>
              <w:rPr>
                <w:rFonts w:hint="eastAsia" w:ascii="宋体" w:hAnsi="宋体" w:cs="Arial"/>
                <w:color w:val="auto"/>
                <w:sz w:val="22"/>
                <w:highlight w:val="none"/>
              </w:rPr>
              <w:t>中小企业（含监狱企业、残疾人福利性单位）提供以下相关的证明材料</w:t>
            </w:r>
            <w:r>
              <w:rPr>
                <w:rFonts w:hint="eastAsia" w:ascii="宋体" w:hAnsi="宋体" w:cs="Arial"/>
                <w:b/>
                <w:bCs/>
                <w:color w:val="auto"/>
                <w:sz w:val="22"/>
                <w:highlight w:val="none"/>
                <w:u w:val="single"/>
                <w:lang w:eastAsia="zh-CN"/>
              </w:rPr>
              <w:t>（</w:t>
            </w:r>
            <w:r>
              <w:rPr>
                <w:rFonts w:hint="eastAsia" w:ascii="宋体" w:hAnsi="宋体" w:cs="Arial"/>
                <w:b/>
                <w:bCs/>
                <w:color w:val="auto"/>
                <w:sz w:val="22"/>
                <w:highlight w:val="none"/>
                <w:u w:val="single"/>
                <w:lang w:val="en-US" w:eastAsia="zh-CN"/>
              </w:rPr>
              <w:t>标项二投标供应商必须提供，标项一投标供应商不作强制要求</w:t>
            </w:r>
            <w:r>
              <w:rPr>
                <w:rFonts w:hint="eastAsia" w:ascii="宋体" w:hAnsi="宋体" w:cs="Arial"/>
                <w:b/>
                <w:bCs/>
                <w:color w:val="auto"/>
                <w:sz w:val="22"/>
                <w:highlight w:val="none"/>
                <w:u w:val="single"/>
                <w:lang w:eastAsia="zh-CN"/>
              </w:rPr>
              <w:t>）</w:t>
            </w:r>
            <w:r>
              <w:rPr>
                <w:rFonts w:hint="eastAsia" w:ascii="宋体" w:hAnsi="宋体" w:cs="Arial"/>
                <w:b/>
                <w:bCs/>
                <w:color w:val="auto"/>
                <w:sz w:val="22"/>
                <w:highlight w:val="none"/>
                <w:u w:val="single"/>
              </w:rPr>
              <w:t>：</w:t>
            </w:r>
          </w:p>
          <w:p w14:paraId="059FDA3E">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（1）中小企业</w:t>
            </w:r>
          </w:p>
          <w:p w14:paraId="70D621FD">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501999EA">
            <w:pPr>
              <w:autoSpaceDE w:val="0"/>
              <w:autoSpaceDN w:val="0"/>
              <w:adjustRightInd w:val="0"/>
              <w:spacing w:line="260" w:lineRule="exact"/>
              <w:jc w:val="left"/>
              <w:textAlignment w:val="bottom"/>
              <w:rPr>
                <w:rFonts w:hint="eastAsia" w:ascii="宋体" w:hAnsi="宋体" w:eastAsia="宋体" w:cs="Arial"/>
                <w:color w:val="auto"/>
                <w:sz w:val="22"/>
                <w:highlight w:val="none"/>
              </w:rPr>
            </w:pPr>
            <w:r>
              <w:rPr>
                <w:rFonts w:hint="eastAsia" w:ascii="宋体" w:hAnsi="宋体" w:cs="Arial"/>
                <w:color w:val="auto"/>
                <w:sz w:val="22"/>
                <w:highlight w:val="none"/>
              </w:rPr>
              <w:t>（2</w:t>
            </w:r>
            <w:r>
              <w:rPr>
                <w:rFonts w:hint="eastAsia" w:ascii="宋体" w:hAnsi="宋体" w:eastAsia="宋体" w:cs="Arial"/>
                <w:color w:val="auto"/>
                <w:sz w:val="22"/>
                <w:highlight w:val="none"/>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511E1EDA">
            <w:pPr>
              <w:tabs>
                <w:tab w:val="left" w:pos="1069"/>
                <w:tab w:val="left" w:pos="2352"/>
              </w:tabs>
              <w:autoSpaceDE w:val="0"/>
              <w:autoSpaceDN w:val="0"/>
              <w:adjustRightInd w:val="0"/>
              <w:spacing w:line="260" w:lineRule="exact"/>
              <w:textAlignment w:val="bottom"/>
              <w:rPr>
                <w:rFonts w:hint="eastAsia" w:ascii="宋体" w:hAnsi="宋体" w:cs="宋体"/>
                <w:color w:val="auto"/>
                <w:sz w:val="22"/>
                <w:highlight w:val="none"/>
              </w:rPr>
            </w:pPr>
            <w:r>
              <w:rPr>
                <w:rFonts w:hint="eastAsia" w:ascii="宋体" w:hAnsi="宋体" w:eastAsia="宋体" w:cs="Arial"/>
                <w:color w:val="auto"/>
                <w:sz w:val="22"/>
                <w:highlight w:val="none"/>
              </w:rPr>
              <w:t>（3）残疾人福利性单位声明函（原件，加盖供应商公章，格式见招标文件第四部分附件2）。在政府采购活动中，残疾人福利性单位视同小型、微型企业，享受评审中价格扣除政策。</w:t>
            </w:r>
          </w:p>
        </w:tc>
      </w:tr>
    </w:tbl>
    <w:p w14:paraId="64652B5D">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2.3 </w:t>
      </w:r>
      <w:r>
        <w:rPr>
          <w:rFonts w:hint="eastAsia" w:ascii="宋体" w:hAnsi="宋体" w:cs="宋体"/>
          <w:b/>
          <w:bCs/>
          <w:color w:val="auto"/>
          <w:sz w:val="22"/>
          <w:highlight w:val="none"/>
        </w:rPr>
        <w:t>《商务技术文件》组成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E53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53869E1">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4F2132B1">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-6</w:t>
            </w:r>
            <w:r>
              <w:rPr>
                <w:rFonts w:hint="eastAsia" w:ascii="宋体" w:hAnsi="宋体" w:cs="宋体"/>
                <w:color w:val="auto"/>
                <w:sz w:val="22"/>
                <w:highlight w:val="none"/>
                <w:lang w:val="zh-CN"/>
              </w:rPr>
              <w:t>项供应商必须提供，否则不能通过符合性审查的，责任自负）</w:t>
            </w:r>
          </w:p>
        </w:tc>
      </w:tr>
      <w:tr w14:paraId="1664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Borders>
              <w:top w:val="single" w:color="auto" w:sz="4" w:space="0"/>
              <w:left w:val="single" w:color="auto" w:sz="4" w:space="0"/>
              <w:right w:val="single" w:color="auto" w:sz="4" w:space="0"/>
            </w:tcBorders>
          </w:tcPr>
          <w:p w14:paraId="52188B99">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7D06A350">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报价函（附件六）</w:t>
            </w:r>
          </w:p>
        </w:tc>
      </w:tr>
      <w:tr w14:paraId="1E5C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9F88C7B">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269D5FEE">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供应商参与政府采购活动投标资格声明（附件七）</w:t>
            </w:r>
          </w:p>
        </w:tc>
      </w:tr>
      <w:tr w14:paraId="2F1E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637CEE7">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65438098">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法定代表人诚信投标承诺书（附件八）</w:t>
            </w:r>
          </w:p>
        </w:tc>
      </w:tr>
      <w:tr w14:paraId="4759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2A9AC4F">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54AC26B9">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商务偏离表（附件九（一））、技术偏离表（附件九（二））</w:t>
            </w:r>
          </w:p>
        </w:tc>
      </w:tr>
      <w:tr w14:paraId="5DC4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D399CF6">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62DE351B">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lang w:val="en-US" w:eastAsia="zh-CN"/>
              </w:rPr>
              <w:t>服务</w:t>
            </w:r>
            <w:r>
              <w:rPr>
                <w:rFonts w:hint="eastAsia" w:ascii="宋体" w:hAnsi="宋体"/>
                <w:b/>
                <w:bCs/>
                <w:color w:val="auto"/>
                <w:sz w:val="22"/>
                <w:highlight w:val="none"/>
              </w:rPr>
              <w:t>方案</w:t>
            </w:r>
          </w:p>
        </w:tc>
      </w:tr>
      <w:tr w14:paraId="33A3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E821040">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067A4B84">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供应商项目服务人员汇总表（附件十）；</w:t>
            </w:r>
          </w:p>
        </w:tc>
      </w:tr>
      <w:tr w14:paraId="02D7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B65390B">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73A2AE60">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距离采购人最近的服务机构的详细介绍、服务机构总负责人，电话，地址，技术力量配置等；</w:t>
            </w:r>
          </w:p>
        </w:tc>
      </w:tr>
      <w:tr w14:paraId="1186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5AA7DD5">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2E30F17D">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供应商质量体系认证证书、供应商环境体系认证证书、供应商职业健康体系认证证书（（如有则提供）</w:t>
            </w:r>
          </w:p>
        </w:tc>
      </w:tr>
      <w:tr w14:paraId="589C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F2DAA49">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vAlign w:val="center"/>
          </w:tcPr>
          <w:p w14:paraId="6712B61E">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供应商项目业绩清单，如有（附件十）</w:t>
            </w:r>
          </w:p>
        </w:tc>
      </w:tr>
      <w:tr w14:paraId="20B5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7B8C1AA">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vAlign w:val="center"/>
          </w:tcPr>
          <w:p w14:paraId="78D46931">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14:paraId="6DC9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96A6606">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43AFE42F">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14:paraId="1499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92353FF">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23571250">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14:paraId="1A82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25C070A">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645B57BF">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14:paraId="5093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4C2BDD1">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Borders>
              <w:top w:val="single" w:color="auto" w:sz="4" w:space="0"/>
              <w:left w:val="single" w:color="auto" w:sz="4" w:space="0"/>
              <w:right w:val="single" w:color="auto" w:sz="4" w:space="0"/>
            </w:tcBorders>
          </w:tcPr>
          <w:p w14:paraId="2DA82D85">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政府采购活动现场确认声明书（附件十一）</w:t>
            </w:r>
          </w:p>
        </w:tc>
      </w:tr>
    </w:tbl>
    <w:p w14:paraId="375AFFE0">
      <w:pPr>
        <w:tabs>
          <w:tab w:val="left" w:pos="1069"/>
          <w:tab w:val="left" w:pos="2352"/>
        </w:tabs>
        <w:rPr>
          <w:rFonts w:ascii="宋体" w:hAnsi="宋体" w:cs="宋体"/>
          <w:color w:val="auto"/>
          <w:highlight w:val="none"/>
        </w:rPr>
      </w:pPr>
    </w:p>
    <w:p w14:paraId="3F0AB46E">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14:paraId="719340E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14:paraId="543C5A00">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bookmarkStart w:id="18" w:name="_Toc132122412"/>
      <w:bookmarkStart w:id="19" w:name="_Toc132122115"/>
      <w:r>
        <w:rPr>
          <w:rFonts w:hint="eastAsia" w:ascii="宋体" w:hAnsi="宋体" w:cs="宋体"/>
          <w:color w:val="auto"/>
          <w:sz w:val="22"/>
          <w:highlight w:val="none"/>
        </w:rPr>
        <w:t>4.投标报价</w:t>
      </w:r>
      <w:bookmarkEnd w:id="18"/>
      <w:bookmarkEnd w:id="19"/>
    </w:p>
    <w:p w14:paraId="4EE83B7D">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14:paraId="6F987746">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14:paraId="61355952">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14:paraId="76B28934">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bookmarkStart w:id="20" w:name="_Toc132122117"/>
      <w:bookmarkStart w:id="21" w:name="_Toc132122414"/>
      <w:r>
        <w:rPr>
          <w:rFonts w:hint="eastAsia" w:ascii="宋体" w:hAnsi="宋体" w:cs="宋体"/>
          <w:color w:val="auto"/>
          <w:sz w:val="22"/>
          <w:highlight w:val="none"/>
        </w:rPr>
        <w:t>6.投标（响应）文件的有效期</w:t>
      </w:r>
      <w:bookmarkEnd w:id="20"/>
      <w:bookmarkEnd w:id="21"/>
    </w:p>
    <w:p w14:paraId="1979A32E">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14:paraId="48B6859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14:paraId="254D0503">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14:paraId="0925250F">
      <w:pPr>
        <w:pStyle w:val="32"/>
        <w:tabs>
          <w:tab w:val="left" w:pos="1069"/>
          <w:tab w:val="left" w:pos="2352"/>
        </w:tabs>
        <w:adjustRightInd w:val="0"/>
        <w:snapToGrid w:val="0"/>
        <w:spacing w:line="400" w:lineRule="atLeast"/>
        <w:outlineLvl w:val="0"/>
        <w:rPr>
          <w:rFonts w:hAnsi="宋体" w:cs="宋体"/>
          <w:b/>
          <w:bCs/>
          <w:color w:val="auto"/>
          <w:sz w:val="22"/>
          <w:szCs w:val="22"/>
          <w:highlight w:val="none"/>
        </w:rPr>
      </w:pPr>
      <w:bookmarkStart w:id="22" w:name="_Toc132123440"/>
      <w:bookmarkStart w:id="23" w:name="_Toc132125984"/>
      <w:bookmarkStart w:id="24" w:name="_Toc132124595"/>
      <w:bookmarkStart w:id="25" w:name="_Toc132123548"/>
      <w:bookmarkStart w:id="26" w:name="_Toc132125096"/>
      <w:bookmarkStart w:id="27" w:name="_Toc132125152"/>
      <w:bookmarkStart w:id="28" w:name="_Toc132123839"/>
      <w:bookmarkStart w:id="29" w:name="_Toc132123635"/>
      <w:bookmarkStart w:id="30" w:name="_Toc132126155"/>
      <w:bookmarkStart w:id="31" w:name="_Toc132122417"/>
      <w:bookmarkStart w:id="32" w:name="_Toc132655777"/>
      <w:bookmarkStart w:id="33" w:name="_Toc132122120"/>
      <w:bookmarkStart w:id="34" w:name="_Toc132125038"/>
      <w:bookmarkStart w:id="35" w:name="_Toc132125575"/>
      <w:bookmarkStart w:id="36" w:name="_Toc132123882"/>
      <w:r>
        <w:rPr>
          <w:rFonts w:hint="eastAsia" w:hAnsi="宋体" w:cs="宋体"/>
          <w:b/>
          <w:bCs/>
          <w:color w:val="auto"/>
          <w:sz w:val="22"/>
          <w:highlight w:val="none"/>
        </w:rPr>
        <w:t>四、</w:t>
      </w:r>
      <w:r>
        <w:rPr>
          <w:rFonts w:hint="eastAsia" w:hAnsi="宋体" w:cs="宋体"/>
          <w:b/>
          <w:bCs/>
          <w:color w:val="auto"/>
          <w:sz w:val="22"/>
          <w:szCs w:val="22"/>
          <w:highlight w:val="none"/>
        </w:rPr>
        <w:t>投标文件</w:t>
      </w:r>
    </w:p>
    <w:p w14:paraId="2278CD74">
      <w:pPr>
        <w:pStyle w:val="32"/>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1. 投标文件的上传、递交：见《投标邀请函（投标须知前附表）》。</w:t>
      </w:r>
    </w:p>
    <w:p w14:paraId="52D6C344">
      <w:pPr>
        <w:pStyle w:val="32"/>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2.“电子加密投标文件”解密和异常情况处理：见《投标邀请函（投标须知前附表）》。</w:t>
      </w:r>
    </w:p>
    <w:p w14:paraId="4801CA77">
      <w:pPr>
        <w:pStyle w:val="32"/>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3.投标文件的补充、修改或撤回</w:t>
      </w:r>
    </w:p>
    <w:p w14:paraId="1EB3D885">
      <w:pPr>
        <w:pStyle w:val="32"/>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B410CBA">
      <w:pPr>
        <w:pStyle w:val="32"/>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3.2投标截止时间后，供应商不得撤回、修改《投标文件》。</w:t>
      </w:r>
    </w:p>
    <w:p w14:paraId="0BC30A34">
      <w:pPr>
        <w:pStyle w:val="32"/>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4.投标文件的备选方案</w:t>
      </w:r>
    </w:p>
    <w:p w14:paraId="450FC706">
      <w:pPr>
        <w:pStyle w:val="32"/>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4.1供应商不得递交任何的投标备选（替代）方案，否则其投标文件将作无效标处理。</w:t>
      </w:r>
    </w:p>
    <w:p w14:paraId="17BB8C0A">
      <w:pPr>
        <w:pStyle w:val="32"/>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 投标截止期</w:t>
      </w:r>
    </w:p>
    <w:p w14:paraId="7B59DBA5">
      <w:pPr>
        <w:pStyle w:val="32"/>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5.1供应商应按前附表中规定的时间、地点将投标文件递交给采购人，采购人将拒绝接受逾期送达的投标文件。</w:t>
      </w:r>
    </w:p>
    <w:p w14:paraId="1F103D9A">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1C0D8BE7">
      <w:pPr>
        <w:pStyle w:val="10"/>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7" w:name="_Toc15003_WPSOffice_Level2"/>
      <w:bookmarkStart w:id="38" w:name="_Toc493530207"/>
      <w:r>
        <w:rPr>
          <w:rFonts w:hint="eastAsia" w:hAnsi="宋体" w:cs="宋体"/>
          <w:b/>
          <w:bCs/>
          <w:color w:val="auto"/>
          <w:sz w:val="22"/>
          <w:highlight w:val="none"/>
        </w:rPr>
        <w:t>五、开标和评标</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B44FB9C">
      <w:pPr>
        <w:pStyle w:val="10"/>
        <w:tabs>
          <w:tab w:val="left" w:pos="1069"/>
          <w:tab w:val="left" w:pos="2352"/>
        </w:tabs>
        <w:snapToGrid w:val="0"/>
        <w:spacing w:line="440" w:lineRule="exact"/>
        <w:ind w:firstLine="436" w:firstLineChars="196"/>
        <w:rPr>
          <w:rFonts w:hAnsi="宋体" w:cs="宋体"/>
          <w:color w:val="auto"/>
          <w:sz w:val="22"/>
          <w:szCs w:val="22"/>
          <w:highlight w:val="none"/>
        </w:rPr>
      </w:pPr>
      <w:r>
        <w:rPr>
          <w:rFonts w:hint="eastAsia" w:hAnsi="宋体" w:cs="宋体"/>
          <w:color w:val="auto"/>
          <w:sz w:val="22"/>
          <w:szCs w:val="22"/>
          <w:highlight w:val="none"/>
        </w:rPr>
        <w:t>（一）开标准备</w:t>
      </w:r>
    </w:p>
    <w:p w14:paraId="26725415">
      <w:pPr>
        <w:tabs>
          <w:tab w:val="left" w:pos="1069"/>
          <w:tab w:val="left" w:pos="2352"/>
        </w:tabs>
        <w:snapToGrid w:val="0"/>
        <w:spacing w:line="440" w:lineRule="exact"/>
        <w:ind w:firstLine="446" w:firstLineChars="200"/>
        <w:jc w:val="left"/>
        <w:rPr>
          <w:rFonts w:ascii="宋体" w:hAnsi="宋体" w:cs="宋体"/>
          <w:b/>
          <w:color w:val="auto"/>
          <w:kern w:val="0"/>
          <w:sz w:val="22"/>
          <w:highlight w:val="none"/>
        </w:rPr>
      </w:pPr>
      <w:r>
        <w:rPr>
          <w:rFonts w:hint="eastAsia" w:ascii="宋体" w:hAnsi="宋体" w:cs="宋体"/>
          <w:b/>
          <w:color w:val="auto"/>
          <w:sz w:val="22"/>
          <w:highlight w:val="none"/>
        </w:rPr>
        <w:t>1.采购组织机构原则上采用电子评标，按照响应文件规定的时间通过“政府采购云平台”组织开标、开启响应文件，所有供应商均应当准时在线参加。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highlight w:val="none"/>
        </w:rPr>
        <w:t>供应商如不参加磋商大会的，视同认可磋商结果，事后不得对采购相关人员、磋商过程和磋商结果提出异议，同时供应商因未在线参加磋商而导致响应文件无法按时解密等一切后果由供应商自己承担。</w:t>
      </w:r>
    </w:p>
    <w:p w14:paraId="6AB34F3F">
      <w:pPr>
        <w:pStyle w:val="33"/>
        <w:tabs>
          <w:tab w:val="left" w:pos="1069"/>
          <w:tab w:val="left" w:pos="2352"/>
        </w:tabs>
        <w:adjustRightInd w:val="0"/>
        <w:spacing w:before="0" w:line="440" w:lineRule="exact"/>
        <w:ind w:left="0" w:firstLine="446"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2.若磋商供应商在规定时间内无法解密或解密失败的，其投标无效。</w:t>
      </w:r>
    </w:p>
    <w:p w14:paraId="7942A84D">
      <w:pPr>
        <w:tabs>
          <w:tab w:val="left" w:pos="1069"/>
          <w:tab w:val="left" w:pos="2352"/>
        </w:tabs>
        <w:snapToGrid w:val="0"/>
        <w:spacing w:line="440" w:lineRule="exact"/>
        <w:ind w:firstLine="446" w:firstLineChars="200"/>
        <w:jc w:val="left"/>
        <w:rPr>
          <w:rFonts w:ascii="宋体" w:hAnsi="宋体" w:cs="宋体"/>
          <w:b/>
          <w:bCs/>
          <w:color w:val="auto"/>
          <w:sz w:val="22"/>
          <w:highlight w:val="none"/>
        </w:rPr>
      </w:pPr>
      <w:r>
        <w:rPr>
          <w:rFonts w:hint="eastAsia" w:ascii="宋体" w:hAnsi="宋体" w:cs="宋体"/>
          <w:b/>
          <w:bCs/>
          <w:color w:val="auto"/>
          <w:sz w:val="22"/>
          <w:highlight w:val="none"/>
          <w:shd w:val="clear" w:color="auto" w:fill="FFFFFF"/>
        </w:rPr>
        <w:t>3.所有二次报价询标流程，均在线上完成，请各供应商务必不要离开电脑太久，并留意手机短信。（请提前检查“政采云”内，关于‘项目采购’的岗位权限是否已勾选上。如有问题，请致电400-881-7190）</w:t>
      </w:r>
    </w:p>
    <w:p w14:paraId="0D3E0D09">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hint="eastAsia" w:ascii="宋体" w:hAnsi="宋体" w:cs="宋体"/>
          <w:bCs/>
          <w:color w:val="auto"/>
          <w:sz w:val="22"/>
          <w:highlight w:val="none"/>
        </w:rPr>
        <w:t>（二）电子招投标开标及评审程序</w:t>
      </w:r>
    </w:p>
    <w:p w14:paraId="4F51A014">
      <w:pPr>
        <w:tabs>
          <w:tab w:val="left" w:pos="1069"/>
          <w:tab w:val="left" w:pos="2352"/>
        </w:tabs>
        <w:spacing w:line="440" w:lineRule="exact"/>
        <w:ind w:firstLine="446" w:firstLineChars="200"/>
        <w:rPr>
          <w:rFonts w:ascii="宋体" w:hAnsi="宋体" w:cs="宋体"/>
          <w:color w:val="auto"/>
          <w:sz w:val="22"/>
          <w:highlight w:val="none"/>
        </w:rPr>
      </w:pPr>
      <w:r>
        <w:rPr>
          <w:rFonts w:hint="eastAsia" w:ascii="宋体" w:hAnsi="宋体" w:cs="宋体"/>
          <w:bCs/>
          <w:color w:val="auto"/>
          <w:sz w:val="22"/>
          <w:highlight w:val="none"/>
        </w:rPr>
        <w:t>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14:paraId="63FB46FC">
      <w:pPr>
        <w:tabs>
          <w:tab w:val="left" w:pos="1069"/>
          <w:tab w:val="left" w:pos="2352"/>
        </w:tabs>
        <w:spacing w:line="440" w:lineRule="exact"/>
        <w:ind w:firstLine="446" w:firstLineChars="200"/>
        <w:jc w:val="left"/>
        <w:rPr>
          <w:rFonts w:ascii="宋体" w:hAnsi="宋体" w:cs="宋体"/>
          <w:bCs/>
          <w:color w:val="auto"/>
          <w:sz w:val="22"/>
          <w:highlight w:val="none"/>
        </w:rPr>
      </w:pPr>
      <w:r>
        <w:rPr>
          <w:rFonts w:hint="eastAsia" w:ascii="宋体" w:hAnsi="宋体" w:cs="宋体"/>
          <w:color w:val="auto"/>
          <w:kern w:val="0"/>
          <w:sz w:val="22"/>
          <w:highlight w:val="none"/>
        </w:rPr>
        <w:t>2.投标文件解密结束，</w:t>
      </w:r>
      <w:r>
        <w:rPr>
          <w:rFonts w:hint="eastAsia" w:ascii="宋体" w:hAnsi="宋体" w:cs="宋体"/>
          <w:bCs/>
          <w:color w:val="auto"/>
          <w:sz w:val="22"/>
          <w:highlight w:val="none"/>
        </w:rPr>
        <w:t>开启响应文件，磋商小组对资格和商务技术响应文件进行评审；</w:t>
      </w:r>
    </w:p>
    <w:p w14:paraId="42920EFB">
      <w:pPr>
        <w:tabs>
          <w:tab w:val="left" w:pos="1069"/>
          <w:tab w:val="left" w:pos="2352"/>
        </w:tabs>
        <w:spacing w:line="44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cs="宋体"/>
          <w:bCs/>
          <w:color w:val="auto"/>
          <w:sz w:val="22"/>
          <w:highlight w:val="none"/>
        </w:rPr>
        <w:t>响应人作出最终承诺和最终报价（</w:t>
      </w:r>
      <w:r>
        <w:rPr>
          <w:rFonts w:hint="eastAsia" w:ascii="宋体" w:hAnsi="宋体" w:cs="宋体"/>
          <w:b/>
          <w:color w:val="auto"/>
          <w:sz w:val="22"/>
          <w:highlight w:val="none"/>
          <w:u w:val="single"/>
        </w:rPr>
        <w:t>超过时间未递交最终报价的，以首次报价为准</w:t>
      </w:r>
      <w:r>
        <w:rPr>
          <w:rFonts w:hint="eastAsia" w:ascii="宋体" w:hAnsi="宋体" w:cs="宋体"/>
          <w:bCs/>
          <w:color w:val="auto"/>
          <w:sz w:val="22"/>
          <w:highlight w:val="none"/>
        </w:rPr>
        <w:t>）。</w:t>
      </w:r>
    </w:p>
    <w:p w14:paraId="0F1559E3">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4</w:t>
      </w:r>
      <w:r>
        <w:rPr>
          <w:rFonts w:hint="eastAsia" w:ascii="宋体" w:hAnsi="宋体" w:cs="宋体"/>
          <w:bCs/>
          <w:color w:val="auto"/>
          <w:sz w:val="22"/>
          <w:highlight w:val="none"/>
        </w:rPr>
        <w:t>.在系统上公开资格和商务技术评审结果；</w:t>
      </w:r>
    </w:p>
    <w:p w14:paraId="617A0A66">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5</w:t>
      </w:r>
      <w:r>
        <w:rPr>
          <w:rFonts w:hint="eastAsia" w:ascii="宋体" w:hAnsi="宋体" w:cs="宋体"/>
          <w:bCs/>
          <w:color w:val="auto"/>
          <w:sz w:val="22"/>
          <w:highlight w:val="none"/>
        </w:rPr>
        <w:t>.在系统上录入最终报价情况；</w:t>
      </w:r>
    </w:p>
    <w:p w14:paraId="5D943FD1">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6</w:t>
      </w:r>
      <w:r>
        <w:rPr>
          <w:rFonts w:hint="eastAsia" w:ascii="宋体" w:hAnsi="宋体" w:cs="宋体"/>
          <w:bCs/>
          <w:color w:val="auto"/>
          <w:sz w:val="22"/>
          <w:highlight w:val="none"/>
        </w:rPr>
        <w:t>.磋商小组对报价情况进行评审；</w:t>
      </w:r>
    </w:p>
    <w:p w14:paraId="42F300E9">
      <w:pPr>
        <w:tabs>
          <w:tab w:val="left" w:pos="1069"/>
          <w:tab w:val="left" w:pos="2352"/>
        </w:tabs>
        <w:snapToGrid w:val="0"/>
        <w:spacing w:line="440" w:lineRule="exact"/>
        <w:ind w:firstLine="446" w:firstLineChars="200"/>
        <w:jc w:val="left"/>
        <w:rPr>
          <w:rFonts w:ascii="宋体" w:hAnsi="宋体" w:cs="宋体"/>
          <w:color w:val="auto"/>
          <w:sz w:val="22"/>
          <w:highlight w:val="none"/>
        </w:rPr>
      </w:pPr>
      <w:r>
        <w:rPr>
          <w:rFonts w:ascii="宋体" w:hAnsi="宋体" w:cs="宋体"/>
          <w:bCs/>
          <w:color w:val="auto"/>
          <w:sz w:val="22"/>
          <w:highlight w:val="none"/>
        </w:rPr>
        <w:t>7</w:t>
      </w:r>
      <w:r>
        <w:rPr>
          <w:rFonts w:hint="eastAsia" w:ascii="宋体" w:hAnsi="宋体" w:cs="宋体"/>
          <w:bCs/>
          <w:color w:val="auto"/>
          <w:sz w:val="22"/>
          <w:highlight w:val="none"/>
        </w:rPr>
        <w:t>.在系统上公布评审结果。</w:t>
      </w:r>
    </w:p>
    <w:p w14:paraId="3B20A866">
      <w:pPr>
        <w:pStyle w:val="10"/>
        <w:tabs>
          <w:tab w:val="left" w:pos="1069"/>
          <w:tab w:val="left" w:pos="2352"/>
        </w:tabs>
        <w:adjustRightInd w:val="0"/>
        <w:spacing w:line="400" w:lineRule="exact"/>
        <w:ind w:firstLine="446"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14:paraId="77C8AFC1">
      <w:pPr>
        <w:tabs>
          <w:tab w:val="left" w:pos="1069"/>
          <w:tab w:val="left" w:pos="2352"/>
        </w:tabs>
        <w:adjustRightInd w:val="0"/>
        <w:snapToGrid w:val="0"/>
        <w:spacing w:line="400" w:lineRule="atLeast"/>
        <w:ind w:firstLine="438" w:firstLineChars="197"/>
        <w:rPr>
          <w:rFonts w:ascii="宋体" w:hAnsi="宋体" w:cs="宋体"/>
          <w:color w:val="auto"/>
          <w:highlight w:val="none"/>
        </w:rPr>
      </w:pPr>
      <w:r>
        <w:rPr>
          <w:rFonts w:hint="eastAsia" w:ascii="宋体" w:hAnsi="宋体" w:cs="宋体"/>
          <w:color w:val="auto"/>
          <w:sz w:val="22"/>
          <w:highlight w:val="none"/>
        </w:rPr>
        <w:t>▲</w:t>
      </w:r>
      <w:r>
        <w:rPr>
          <w:rFonts w:hint="eastAsia" w:ascii="宋体" w:hAns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14:paraId="3A560B65">
      <w:pPr>
        <w:pStyle w:val="10"/>
        <w:tabs>
          <w:tab w:val="left" w:pos="1069"/>
          <w:tab w:val="left" w:pos="2352"/>
        </w:tabs>
        <w:adjustRightInd w:val="0"/>
        <w:spacing w:line="400" w:lineRule="exact"/>
        <w:ind w:firstLine="446" w:firstLineChars="200"/>
        <w:rPr>
          <w:rFonts w:hAnsi="宋体" w:cs="宋体"/>
          <w:b/>
          <w:bCs/>
          <w:color w:val="auto"/>
          <w:sz w:val="22"/>
          <w:szCs w:val="22"/>
          <w:highlight w:val="none"/>
        </w:rPr>
      </w:pPr>
    </w:p>
    <w:p w14:paraId="66DDA8F5">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2.评标</w:t>
      </w:r>
    </w:p>
    <w:p w14:paraId="63695873">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14:paraId="035F56D0">
      <w:pPr>
        <w:tabs>
          <w:tab w:val="left" w:pos="1069"/>
          <w:tab w:val="left" w:pos="2352"/>
        </w:tabs>
        <w:spacing w:line="400" w:lineRule="exact"/>
        <w:ind w:firstLine="436" w:firstLineChars="196"/>
        <w:rPr>
          <w:rFonts w:ascii="宋体" w:hAnsi="宋体" w:cs="宋体"/>
          <w:color w:val="auto"/>
          <w:sz w:val="22"/>
          <w:highlight w:val="none"/>
        </w:rPr>
      </w:pPr>
      <w:bookmarkStart w:id="39" w:name="_Toc2500_WPSOffice_Level3"/>
      <w:r>
        <w:rPr>
          <w:rFonts w:hint="eastAsia" w:ascii="宋体" w:hAnsi="宋体" w:cs="宋体"/>
          <w:color w:val="auto"/>
          <w:sz w:val="22"/>
          <w:highlight w:val="none"/>
        </w:rPr>
        <w:t>1）审查投标（响应）文件是否符合竞争性磋商文件要求，并作出评价；</w:t>
      </w:r>
      <w:bookmarkEnd w:id="39"/>
    </w:p>
    <w:p w14:paraId="4E84ADF4">
      <w:pPr>
        <w:tabs>
          <w:tab w:val="left" w:pos="1069"/>
          <w:tab w:val="left" w:pos="2352"/>
        </w:tabs>
        <w:spacing w:line="400" w:lineRule="exact"/>
        <w:ind w:firstLine="446" w:firstLineChars="200"/>
        <w:rPr>
          <w:rFonts w:ascii="宋体" w:hAnsi="宋体" w:cs="宋体"/>
          <w:color w:val="auto"/>
          <w:sz w:val="22"/>
          <w:highlight w:val="none"/>
        </w:rPr>
      </w:pPr>
      <w:bookmarkStart w:id="40" w:name="_Toc20806_WPSOffice_Level3"/>
      <w:r>
        <w:rPr>
          <w:rFonts w:hint="eastAsia" w:ascii="宋体" w:hAnsi="宋体" w:cs="宋体"/>
          <w:color w:val="auto"/>
          <w:sz w:val="22"/>
          <w:highlight w:val="none"/>
        </w:rPr>
        <w:t>2）要求供应商对投标（响应）文件有关事项作出解释或者澄清；</w:t>
      </w:r>
      <w:bookmarkEnd w:id="40"/>
    </w:p>
    <w:p w14:paraId="0544F97C">
      <w:pPr>
        <w:tabs>
          <w:tab w:val="left" w:pos="1069"/>
          <w:tab w:val="left" w:pos="2352"/>
        </w:tabs>
        <w:spacing w:line="400" w:lineRule="exact"/>
        <w:ind w:firstLine="446" w:firstLineChars="200"/>
        <w:rPr>
          <w:rFonts w:ascii="宋体" w:hAnsi="宋体" w:cs="宋体"/>
          <w:color w:val="auto"/>
          <w:sz w:val="22"/>
          <w:highlight w:val="none"/>
        </w:rPr>
      </w:pPr>
      <w:bookmarkStart w:id="41" w:name="_Toc12689_WPSOffice_Level3"/>
      <w:r>
        <w:rPr>
          <w:rFonts w:hint="eastAsia" w:ascii="宋体" w:hAnsi="宋体" w:cs="宋体"/>
          <w:color w:val="auto"/>
          <w:sz w:val="22"/>
          <w:highlight w:val="none"/>
        </w:rPr>
        <w:t>3）按照竞争性磋商文件确定的评标办法直接确定中标（成交）供应商；</w:t>
      </w:r>
      <w:bookmarkEnd w:id="41"/>
    </w:p>
    <w:p w14:paraId="103AFE5F">
      <w:pPr>
        <w:pStyle w:val="10"/>
        <w:tabs>
          <w:tab w:val="left" w:pos="1069"/>
          <w:tab w:val="left" w:pos="2352"/>
        </w:tabs>
        <w:adjustRightInd w:val="0"/>
        <w:spacing w:line="400" w:lineRule="exact"/>
        <w:ind w:firstLine="436" w:firstLineChars="196"/>
        <w:rPr>
          <w:rFonts w:hAnsi="宋体" w:cs="宋体"/>
          <w:b/>
          <w:bCs/>
          <w:color w:val="auto"/>
          <w:sz w:val="22"/>
          <w:highlight w:val="none"/>
        </w:rPr>
      </w:pPr>
      <w:bookmarkStart w:id="42" w:name="_Toc20017_WPSOffice_Level3"/>
      <w:r>
        <w:rPr>
          <w:rFonts w:hint="eastAsia" w:hAnsi="宋体" w:cs="宋体"/>
          <w:color w:val="auto"/>
          <w:sz w:val="22"/>
          <w:highlight w:val="none"/>
        </w:rPr>
        <w:t>4）向采购人或者有关部门报告非法干预评标工作的行为。</w:t>
      </w:r>
      <w:bookmarkEnd w:id="42"/>
    </w:p>
    <w:p w14:paraId="6DA658FB">
      <w:pPr>
        <w:tabs>
          <w:tab w:val="left" w:pos="1069"/>
          <w:tab w:val="left" w:pos="2352"/>
        </w:tabs>
        <w:spacing w:line="400" w:lineRule="exact"/>
        <w:ind w:firstLine="436"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14:paraId="019DD13F">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14:paraId="5C0A9278">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14:paraId="25DCA481">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14:paraId="6F38E8F5">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14:paraId="5A18D199">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14:paraId="6D83883A">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14:paraId="4C21C5EC">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14:paraId="0A4E2330">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14:paraId="258DDB95">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14:paraId="11F5A3A6">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14:paraId="0A3D6ADB">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14:paraId="2B12F3DF">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14:paraId="2FB19455">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14:paraId="48CA855F">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14:paraId="2D615672">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14:paraId="7F43B9E2">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14:paraId="6A927330">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14:paraId="6DE9080F">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14:paraId="5AF0F9AE">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14:paraId="221638A7">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14:paraId="6F650DDA">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14:paraId="75434F1C">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14:paraId="251FB861">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b/>
          <w:bCs/>
          <w:color w:val="auto"/>
          <w:sz w:val="22"/>
          <w:highlight w:val="none"/>
        </w:rPr>
        <w:t>2.9</w:t>
      </w:r>
      <w:r>
        <w:rPr>
          <w:rFonts w:hint="eastAsia" w:hAnsi="宋体" w:cs="宋体"/>
          <w:b/>
          <w:bCs/>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b/>
          <w:bCs/>
          <w:color w:val="auto"/>
          <w:sz w:val="22"/>
          <w:highlight w:val="none"/>
        </w:rPr>
        <w:t>。</w:t>
      </w:r>
    </w:p>
    <w:p w14:paraId="490D5824">
      <w:pPr>
        <w:pStyle w:val="10"/>
        <w:tabs>
          <w:tab w:val="left" w:pos="1069"/>
          <w:tab w:val="left" w:pos="2352"/>
        </w:tabs>
        <w:adjustRightInd w:val="0"/>
        <w:snapToGri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3.投标（响应）文件的澄清</w:t>
      </w:r>
    </w:p>
    <w:p w14:paraId="1FE9F011">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14:paraId="752B3243">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14:paraId="3906C54A">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14:paraId="59ED72B7">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14:paraId="50244AC4">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14:paraId="70BFD74E">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14:paraId="52FDCE9B">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4.5不同供应商的投标（响应）文件相互混装；</w:t>
      </w:r>
    </w:p>
    <w:p w14:paraId="31C5953B">
      <w:pPr>
        <w:pStyle w:val="10"/>
        <w:tabs>
          <w:tab w:val="left" w:pos="1069"/>
          <w:tab w:val="left" w:pos="2352"/>
        </w:tabs>
        <w:adjustRightInd w:val="0"/>
        <w:spacing w:line="400" w:lineRule="exact"/>
        <w:ind w:left="443"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14:paraId="5BB9FCD0">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5.评标原则</w:t>
      </w:r>
    </w:p>
    <w:p w14:paraId="24F8CAD8">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评标办法具体见本竞争性磋商文件第七部分。</w:t>
      </w:r>
    </w:p>
    <w:p w14:paraId="08A887AD">
      <w:pPr>
        <w:pStyle w:val="10"/>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43" w:name="_Toc132125985"/>
      <w:bookmarkStart w:id="44" w:name="_Toc132126156"/>
      <w:bookmarkStart w:id="45" w:name="_Toc132125097"/>
      <w:bookmarkStart w:id="46" w:name="_Toc132123549"/>
      <w:bookmarkStart w:id="47" w:name="_Toc132123636"/>
      <w:bookmarkStart w:id="48" w:name="_Toc132123840"/>
      <w:bookmarkStart w:id="49" w:name="_Toc132125576"/>
      <w:bookmarkStart w:id="50" w:name="_Toc132123883"/>
      <w:bookmarkStart w:id="51" w:name="_Toc132125039"/>
      <w:bookmarkStart w:id="52" w:name="_Toc493530208"/>
      <w:bookmarkStart w:id="53" w:name="_Toc132125153"/>
      <w:bookmarkStart w:id="54" w:name="_Toc132124596"/>
      <w:bookmarkStart w:id="55" w:name="_Toc132122418"/>
      <w:bookmarkStart w:id="56" w:name="_Toc24884_WPSOffice_Level2"/>
      <w:bookmarkStart w:id="57" w:name="_Toc132122121"/>
      <w:bookmarkStart w:id="58" w:name="_Toc132123441"/>
      <w:bookmarkStart w:id="59" w:name="_Toc132655778"/>
      <w:r>
        <w:rPr>
          <w:rFonts w:hint="eastAsia" w:hAnsi="宋体" w:cs="宋体"/>
          <w:b/>
          <w:bCs/>
          <w:color w:val="auto"/>
          <w:sz w:val="22"/>
          <w:highlight w:val="none"/>
        </w:rPr>
        <w:t>六、授予合同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8F51693">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60" w:name="_Toc23038_WPSOffice_Level3"/>
      <w:r>
        <w:rPr>
          <w:rFonts w:hint="eastAsia" w:hAnsi="宋体" w:cs="宋体"/>
          <w:color w:val="auto"/>
          <w:sz w:val="22"/>
          <w:highlight w:val="none"/>
        </w:rPr>
        <w:t>1.决标</w:t>
      </w:r>
      <w:bookmarkEnd w:id="60"/>
    </w:p>
    <w:p w14:paraId="0CD20A16">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14:paraId="367584E8">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61" w:name="_Toc764_WPSOffice_Level3"/>
      <w:r>
        <w:rPr>
          <w:rFonts w:hint="eastAsia" w:hAnsi="宋体" w:cs="宋体"/>
          <w:color w:val="auto"/>
          <w:sz w:val="22"/>
          <w:highlight w:val="none"/>
        </w:rPr>
        <w:t>2.</w:t>
      </w:r>
      <w:bookmarkEnd w:id="61"/>
      <w:r>
        <w:rPr>
          <w:rFonts w:hint="eastAsia" w:hAnsi="宋体" w:cs="宋体"/>
          <w:color w:val="auto"/>
          <w:sz w:val="22"/>
          <w:highlight w:val="none"/>
        </w:rPr>
        <w:t>中标（成交）通知书</w:t>
      </w:r>
    </w:p>
    <w:p w14:paraId="19A8E2DD">
      <w:pPr>
        <w:tabs>
          <w:tab w:val="left" w:pos="1069"/>
          <w:tab w:val="left" w:pos="2352"/>
        </w:tabs>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14:paraId="26998BAD">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14:paraId="636413C9">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3.中标（成交）无效</w:t>
      </w:r>
    </w:p>
    <w:p w14:paraId="4CC716F7">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14:paraId="07325D89">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2）有《中华人民共和国政府采购法实施条例》第七十一条、第七十二条、第七十三条、第七十四条规定的违法行为之一，由政府采购监管部门依法处理。</w:t>
      </w:r>
    </w:p>
    <w:p w14:paraId="267BCBEE">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62" w:name="_Toc3709_WPSOffice_Level3"/>
      <w:r>
        <w:rPr>
          <w:rFonts w:hint="eastAsia" w:hAnsi="宋体" w:cs="宋体"/>
          <w:color w:val="auto"/>
          <w:sz w:val="22"/>
          <w:highlight w:val="none"/>
        </w:rPr>
        <w:t>4.签订合同</w:t>
      </w:r>
      <w:bookmarkEnd w:id="62"/>
    </w:p>
    <w:p w14:paraId="70F35F3F">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05388981">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14:paraId="33FB26EF">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14:paraId="7D8E046E">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57A28C99">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63" w:name="_Toc21884_WPSOffice_Level3"/>
      <w:r>
        <w:rPr>
          <w:rFonts w:hint="eastAsia" w:hAnsi="宋体" w:cs="宋体"/>
          <w:color w:val="auto"/>
          <w:sz w:val="22"/>
          <w:highlight w:val="none"/>
        </w:rPr>
        <w:t>5.</w:t>
      </w:r>
      <w:bookmarkEnd w:id="63"/>
      <w:r>
        <w:rPr>
          <w:rFonts w:hint="eastAsia" w:hAnsi="宋体" w:cs="宋体"/>
          <w:color w:val="auto"/>
          <w:sz w:val="22"/>
          <w:highlight w:val="none"/>
        </w:rPr>
        <w:t>履约保证金</w:t>
      </w:r>
    </w:p>
    <w:p w14:paraId="22234C1C">
      <w:pPr>
        <w:tabs>
          <w:tab w:val="left" w:pos="2352"/>
        </w:tabs>
        <w:autoSpaceDE w:val="0"/>
        <w:autoSpaceDN w:val="0"/>
        <w:adjustRightInd w:val="0"/>
        <w:snapToGrid w:val="0"/>
        <w:spacing w:line="400" w:lineRule="exact"/>
        <w:ind w:firstLine="446" w:firstLineChars="200"/>
        <w:textAlignment w:val="bottom"/>
        <w:rPr>
          <w:rFonts w:ascii="宋体" w:hAnsi="宋体" w:cs="宋体"/>
          <w:color w:val="auto"/>
          <w:sz w:val="22"/>
          <w:highlight w:val="none"/>
        </w:rPr>
      </w:pPr>
      <w:r>
        <w:rPr>
          <w:rFonts w:hint="eastAsia" w:hAnsi="宋体" w:cs="宋体"/>
          <w:color w:val="auto"/>
          <w:sz w:val="22"/>
          <w:highlight w:val="none"/>
        </w:rPr>
        <w:t>无</w:t>
      </w:r>
      <w:r>
        <w:rPr>
          <w:rFonts w:hint="eastAsia" w:ascii="宋体" w:hAnsi="宋体" w:cs="宋体"/>
          <w:color w:val="auto"/>
          <w:sz w:val="22"/>
          <w:highlight w:val="none"/>
        </w:rPr>
        <w:t>。</w:t>
      </w:r>
    </w:p>
    <w:p w14:paraId="6BA39D4E">
      <w:pPr>
        <w:tabs>
          <w:tab w:val="left" w:pos="1069"/>
          <w:tab w:val="left" w:pos="2352"/>
        </w:tabs>
        <w:spacing w:line="400"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14:paraId="2E31E861">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本项目向中标供应商收取招标代理服务费</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其中标项一肆仟叁佰</w:t>
      </w:r>
      <w:r>
        <w:rPr>
          <w:rFonts w:hint="eastAsia" w:ascii="宋体" w:hAnsi="宋体" w:cs="宋体"/>
          <w:color w:val="auto"/>
          <w:sz w:val="22"/>
          <w:highlight w:val="none"/>
          <w:u w:val="none"/>
          <w:lang w:val="en-US" w:eastAsia="zh-CN"/>
        </w:rPr>
        <w:t>元、标项二贰仟柒佰元</w:t>
      </w:r>
      <w:r>
        <w:rPr>
          <w:rFonts w:hint="eastAsia" w:ascii="宋体" w:hAnsi="宋体" w:cs="宋体"/>
          <w:color w:val="auto"/>
          <w:sz w:val="22"/>
          <w:highlight w:val="none"/>
        </w:rPr>
        <w:t>。</w:t>
      </w:r>
    </w:p>
    <w:p w14:paraId="42150F2E">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highlight w:val="none"/>
        </w:rPr>
      </w:pPr>
      <w:r>
        <w:rPr>
          <w:rFonts w:hint="eastAsia" w:ascii="宋体" w:hAnsi="宋体" w:cs="宋体"/>
          <w:color w:val="auto"/>
          <w:sz w:val="22"/>
          <w:highlight w:val="none"/>
        </w:rPr>
        <w:t>招标代理费汇入账号以招标代理机构提供的为准。</w:t>
      </w:r>
    </w:p>
    <w:p w14:paraId="5F90EE14">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14:paraId="41D67F65">
      <w:pPr>
        <w:pStyle w:val="34"/>
        <w:tabs>
          <w:tab w:val="left" w:pos="1069"/>
          <w:tab w:val="left" w:pos="2352"/>
        </w:tabs>
        <w:snapToGrid w:val="0"/>
        <w:spacing w:before="0" w:line="400" w:lineRule="exact"/>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05B1FC75">
      <w:pPr>
        <w:pStyle w:val="34"/>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14:paraId="22133927">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6EFEEC21">
      <w:pPr>
        <w:pStyle w:val="34"/>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14:paraId="5B45DD51">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14:paraId="6306F6BA">
      <w:pPr>
        <w:pStyle w:val="10"/>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14:paraId="68D32393">
      <w:pPr>
        <w:pStyle w:val="10"/>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14:paraId="001EFC34">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14:paraId="32D18FC4">
      <w:pPr>
        <w:pStyle w:val="10"/>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14:paraId="5E16811A">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14:paraId="3BBC6F5F">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14:paraId="2A1E7E52">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14:paraId="18278AD4">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14:paraId="6EBC76B5">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（4）事实依据；</w:t>
      </w:r>
    </w:p>
    <w:p w14:paraId="1BC0907B">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14:paraId="4A9FC2B8">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14:paraId="0897BE6E">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06C21AB9">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14:paraId="1B27F510">
      <w:pPr>
        <w:pStyle w:val="34"/>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14:paraId="322C10D6">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779F31D9">
      <w:pPr>
        <w:pStyle w:val="10"/>
        <w:tabs>
          <w:tab w:val="left" w:pos="1069"/>
          <w:tab w:val="left" w:pos="2352"/>
        </w:tabs>
        <w:spacing w:line="400" w:lineRule="exact"/>
        <w:ind w:firstLine="501" w:firstLineChars="225"/>
        <w:rPr>
          <w:rFonts w:hint="eastAsia"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651C0E2D">
      <w:pPr>
        <w:pStyle w:val="10"/>
        <w:tabs>
          <w:tab w:val="left" w:pos="1069"/>
          <w:tab w:val="left" w:pos="2352"/>
        </w:tabs>
        <w:spacing w:line="400" w:lineRule="exact"/>
        <w:ind w:firstLine="478" w:firstLineChars="225"/>
        <w:rPr>
          <w:rFonts w:ascii="宋体" w:hAnsi="宋体" w:eastAsia="宋体"/>
          <w:b/>
          <w:bCs/>
          <w:color w:val="auto"/>
          <w:highlight w:val="none"/>
          <w:lang w:val="en-US" w:eastAsia="zh-CN"/>
        </w:rPr>
      </w:pPr>
      <w:r>
        <w:rPr>
          <w:rFonts w:hint="eastAsia" w:ascii="宋体" w:hAnsi="宋体"/>
          <w:color w:val="auto"/>
          <w:highlight w:val="none"/>
        </w:rPr>
        <w:t>质疑函范本</w:t>
      </w:r>
      <w:r>
        <w:rPr>
          <w:rFonts w:hint="eastAsia" w:ascii="宋体" w:hAnsi="宋体"/>
          <w:color w:val="auto"/>
          <w:highlight w:val="none"/>
          <w:lang w:eastAsia="zh-CN"/>
        </w:rPr>
        <w:t>、</w:t>
      </w:r>
      <w:r>
        <w:rPr>
          <w:rFonts w:hint="eastAsia" w:ascii="宋体" w:hAnsi="宋体"/>
          <w:color w:val="auto"/>
          <w:highlight w:val="none"/>
        </w:rPr>
        <w:t>投诉书范本</w:t>
      </w:r>
      <w:r>
        <w:rPr>
          <w:rFonts w:hint="eastAsia" w:ascii="宋体" w:hAnsi="宋体"/>
          <w:color w:val="auto"/>
          <w:highlight w:val="none"/>
          <w:lang w:val="en-US" w:eastAsia="zh-CN"/>
        </w:rPr>
        <w:t>请至浙江政府采购网下载。</w:t>
      </w:r>
    </w:p>
    <w:p w14:paraId="57804B09">
      <w:pPr>
        <w:pStyle w:val="32"/>
        <w:spacing w:line="400" w:lineRule="exact"/>
        <w:ind w:firstLine="446" w:firstLineChars="200"/>
        <w:rPr>
          <w:rFonts w:hint="eastAsia"/>
          <w:b/>
          <w:bCs/>
          <w:color w:val="auto"/>
          <w:sz w:val="22"/>
          <w:szCs w:val="22"/>
          <w:highlight w:val="none"/>
        </w:rPr>
      </w:pPr>
      <w:r>
        <w:rPr>
          <w:rFonts w:hint="eastAsia"/>
          <w:b/>
          <w:bCs/>
          <w:color w:val="auto"/>
          <w:sz w:val="22"/>
          <w:szCs w:val="22"/>
          <w:highlight w:val="none"/>
        </w:rPr>
        <w:t>4.线上质疑及投诉</w:t>
      </w:r>
    </w:p>
    <w:p w14:paraId="517086B3">
      <w:pPr>
        <w:pStyle w:val="32"/>
        <w:spacing w:line="400" w:lineRule="exact"/>
        <w:ind w:firstLine="446" w:firstLineChars="200"/>
        <w:rPr>
          <w:rFonts w:hint="eastAsia"/>
          <w:color w:val="auto"/>
          <w:sz w:val="22"/>
          <w:szCs w:val="22"/>
          <w:highlight w:val="none"/>
        </w:rPr>
      </w:pPr>
      <w:r>
        <w:rPr>
          <w:rFonts w:hint="eastAsia"/>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E89F1C">
      <w:pPr>
        <w:pStyle w:val="25"/>
        <w:tabs>
          <w:tab w:val="left" w:pos="1069"/>
          <w:tab w:val="left" w:pos="2352"/>
        </w:tabs>
        <w:rPr>
          <w:rFonts w:ascii="宋体" w:hAnsi="宋体"/>
          <w:color w:val="auto"/>
          <w:highlight w:val="none"/>
        </w:rPr>
      </w:pPr>
    </w:p>
    <w:p w14:paraId="262144C9">
      <w:pPr>
        <w:tabs>
          <w:tab w:val="left" w:pos="1069"/>
          <w:tab w:val="left" w:pos="2352"/>
        </w:tabs>
        <w:jc w:val="center"/>
        <w:rPr>
          <w:rFonts w:ascii="宋体" w:hAnsi="宋体" w:cs="宋体"/>
          <w:b/>
          <w:color w:val="auto"/>
          <w:sz w:val="32"/>
          <w:szCs w:val="32"/>
          <w:highlight w:val="none"/>
        </w:rPr>
      </w:pPr>
      <w:bookmarkStart w:id="64" w:name="_Toc29876_WPSOffice_Level1"/>
    </w:p>
    <w:p w14:paraId="7E628D5D">
      <w:pPr>
        <w:tabs>
          <w:tab w:val="left" w:pos="1069"/>
          <w:tab w:val="left" w:pos="2352"/>
        </w:tabs>
        <w:jc w:val="center"/>
        <w:rPr>
          <w:rFonts w:hint="eastAsia" w:ascii="宋体" w:hAnsi="宋体" w:cs="宋体"/>
          <w:b/>
          <w:color w:val="auto"/>
          <w:sz w:val="32"/>
          <w:szCs w:val="32"/>
          <w:highlight w:val="none"/>
        </w:rPr>
      </w:pPr>
    </w:p>
    <w:p w14:paraId="21DD1918">
      <w:pPr>
        <w:tabs>
          <w:tab w:val="left" w:pos="1069"/>
          <w:tab w:val="left" w:pos="2352"/>
        </w:tabs>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3784A8AB">
      <w:pPr>
        <w:tabs>
          <w:tab w:val="left" w:pos="1069"/>
          <w:tab w:val="left" w:pos="2352"/>
        </w:tabs>
        <w:jc w:val="left"/>
        <w:rPr>
          <w:rFonts w:ascii="宋体"/>
          <w:b/>
          <w:bCs/>
          <w:color w:val="auto"/>
          <w:sz w:val="22"/>
          <w:highlight w:val="none"/>
        </w:rPr>
      </w:pPr>
      <w:bookmarkStart w:id="65" w:name="_Toc25899_WPSOffice_Level2"/>
      <w:bookmarkStart w:id="66" w:name="_Toc10483_WPSOffice_Level2"/>
      <w:r>
        <w:rPr>
          <w:rFonts w:hint="eastAsia" w:ascii="宋体"/>
          <w:b/>
          <w:bCs/>
          <w:color w:val="auto"/>
          <w:sz w:val="22"/>
          <w:highlight w:val="none"/>
        </w:rPr>
        <w:t>一、</w:t>
      </w:r>
      <w:bookmarkEnd w:id="65"/>
      <w:r>
        <w:rPr>
          <w:rFonts w:hint="eastAsia" w:ascii="宋体"/>
          <w:b/>
          <w:bCs/>
          <w:color w:val="auto"/>
          <w:sz w:val="22"/>
          <w:highlight w:val="none"/>
        </w:rPr>
        <w:t>中小企业（含监狱企业、残疾人福利性单位）扶持政策说明</w:t>
      </w:r>
    </w:p>
    <w:p w14:paraId="46FCAA5F">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lang w:eastAsia="zh-CN"/>
        </w:rPr>
        <w:t>.</w:t>
      </w:r>
      <w:r>
        <w:rPr>
          <w:rFonts w:hint="eastAsia" w:ascii="宋体"/>
          <w:color w:val="auto"/>
          <w:sz w:val="22"/>
          <w:highlight w:val="none"/>
        </w:rPr>
        <w:t>文件依据</w:t>
      </w:r>
    </w:p>
    <w:p w14:paraId="474C1EAB">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146DFB76">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20548433">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4CC0DD55">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51EA0C58">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0173FD55">
      <w:pPr>
        <w:tabs>
          <w:tab w:val="left" w:pos="1069"/>
          <w:tab w:val="left" w:pos="2352"/>
        </w:tabs>
        <w:spacing w:line="440" w:lineRule="atLeast"/>
        <w:jc w:val="left"/>
        <w:rPr>
          <w:rFonts w:hAnsi="宋体"/>
          <w:color w:val="auto"/>
          <w:sz w:val="22"/>
          <w:highlight w:val="none"/>
        </w:rPr>
      </w:pPr>
      <w:r>
        <w:rPr>
          <w:rFonts w:hint="eastAsia" w:ascii="宋体"/>
          <w:color w:val="auto"/>
          <w:sz w:val="22"/>
          <w:highlight w:val="none"/>
        </w:rPr>
        <w:t>（6）</w:t>
      </w:r>
      <w:r>
        <w:rPr>
          <w:rFonts w:hint="eastAsia" w:hAnsi="宋体"/>
          <w:color w:val="auto"/>
          <w:sz w:val="22"/>
          <w:highlight w:val="none"/>
        </w:rPr>
        <w:t>《关于进一步加大政府采购支持中小企业力度的通知》（财库〔2022〕19号）；</w:t>
      </w:r>
    </w:p>
    <w:p w14:paraId="2379E046">
      <w:pPr>
        <w:tabs>
          <w:tab w:val="left" w:pos="1069"/>
          <w:tab w:val="left" w:pos="2352"/>
        </w:tabs>
        <w:spacing w:line="440" w:lineRule="atLeast"/>
        <w:jc w:val="left"/>
        <w:rPr>
          <w:rFonts w:hAnsi="宋体"/>
          <w:color w:val="auto"/>
          <w:sz w:val="22"/>
          <w:highlight w:val="none"/>
        </w:rPr>
      </w:pPr>
      <w:r>
        <w:rPr>
          <w:rFonts w:hint="eastAsia" w:hAnsi="宋体" w:cs="宋体"/>
          <w:color w:val="auto"/>
          <w:sz w:val="22"/>
          <w:highlight w:val="none"/>
        </w:rPr>
        <w:t>（7）《浙江省财政厅关于进一步发挥政府采购政策 功能全力推动经济稳进提质的通知》（浙财采监〔2022〕3号）</w:t>
      </w:r>
      <w:r>
        <w:rPr>
          <w:rFonts w:hint="eastAsia" w:hAnsi="宋体"/>
          <w:color w:val="auto"/>
          <w:sz w:val="22"/>
          <w:highlight w:val="none"/>
        </w:rPr>
        <w:t>；</w:t>
      </w:r>
    </w:p>
    <w:p w14:paraId="157184AD">
      <w:pPr>
        <w:tabs>
          <w:tab w:val="left" w:pos="1069"/>
          <w:tab w:val="left" w:pos="2352"/>
        </w:tabs>
        <w:spacing w:line="440" w:lineRule="atLeast"/>
        <w:jc w:val="left"/>
        <w:rPr>
          <w:color w:val="auto"/>
          <w:highlight w:val="none"/>
        </w:rPr>
      </w:pPr>
      <w:r>
        <w:rPr>
          <w:rFonts w:hint="eastAsia" w:hAnsi="宋体" w:cs="宋体"/>
          <w:color w:val="auto"/>
          <w:sz w:val="22"/>
          <w:highlight w:val="none"/>
        </w:rPr>
        <w:t>（8）《关于进一步加大政府采购 支持中小企业力度 助力扎实稳住经济 的通知》（浙财采监〔2022〕8号）</w:t>
      </w:r>
    </w:p>
    <w:p w14:paraId="60A0727E">
      <w:pPr>
        <w:tabs>
          <w:tab w:val="left" w:pos="1069"/>
          <w:tab w:val="left" w:pos="2352"/>
        </w:tabs>
        <w:spacing w:line="440" w:lineRule="atLeast"/>
        <w:jc w:val="left"/>
        <w:rPr>
          <w:rFonts w:ascii="宋体"/>
          <w:b/>
          <w:bCs/>
          <w:color w:val="auto"/>
          <w:sz w:val="22"/>
          <w:highlight w:val="none"/>
        </w:rPr>
      </w:pPr>
      <w:r>
        <w:rPr>
          <w:rFonts w:hint="eastAsia" w:ascii="宋体"/>
          <w:b/>
          <w:bCs/>
          <w:color w:val="auto"/>
          <w:sz w:val="22"/>
          <w:highlight w:val="none"/>
        </w:rPr>
        <w:t>2</w:t>
      </w:r>
      <w:r>
        <w:rPr>
          <w:rFonts w:hint="eastAsia" w:ascii="宋体"/>
          <w:b/>
          <w:bCs/>
          <w:color w:val="auto"/>
          <w:sz w:val="22"/>
          <w:highlight w:val="none"/>
          <w:lang w:eastAsia="zh-CN"/>
        </w:rPr>
        <w:t>.</w:t>
      </w:r>
      <w:r>
        <w:rPr>
          <w:rFonts w:hint="eastAsia" w:ascii="宋体"/>
          <w:b/>
          <w:bCs/>
          <w:color w:val="auto"/>
          <w:sz w:val="22"/>
          <w:highlight w:val="none"/>
          <w:u w:val="single"/>
          <w:lang w:val="en-US" w:eastAsia="zh-CN"/>
        </w:rPr>
        <w:t>本项目标项二专门面向中小企业采购，须</w:t>
      </w:r>
      <w:r>
        <w:rPr>
          <w:rFonts w:hint="eastAsia" w:ascii="宋体"/>
          <w:b/>
          <w:bCs/>
          <w:color w:val="auto"/>
          <w:sz w:val="22"/>
          <w:highlight w:val="none"/>
          <w:u w:val="single"/>
        </w:rPr>
        <w:t>提供以下证明材料（附在</w:t>
      </w:r>
      <w:r>
        <w:rPr>
          <w:rFonts w:hint="eastAsia" w:ascii="宋体" w:hAnsi="宋体" w:cs="宋体"/>
          <w:b/>
          <w:bCs/>
          <w:color w:val="auto"/>
          <w:sz w:val="22"/>
          <w:highlight w:val="none"/>
          <w:u w:val="single"/>
        </w:rPr>
        <w:t>《</w:t>
      </w:r>
      <w:r>
        <w:rPr>
          <w:rFonts w:hint="eastAsia" w:ascii="宋体" w:hAnsi="宋体" w:cs="宋体"/>
          <w:b/>
          <w:bCs/>
          <w:color w:val="auto"/>
          <w:sz w:val="22"/>
          <w:highlight w:val="none"/>
          <w:u w:val="single"/>
          <w:lang w:val="en-US" w:eastAsia="zh-CN"/>
        </w:rPr>
        <w:t>资格</w:t>
      </w:r>
      <w:r>
        <w:rPr>
          <w:rFonts w:hint="eastAsia" w:ascii="宋体" w:hAnsi="宋体" w:cs="宋体"/>
          <w:b/>
          <w:bCs/>
          <w:color w:val="auto"/>
          <w:sz w:val="22"/>
          <w:highlight w:val="none"/>
          <w:u w:val="single"/>
        </w:rPr>
        <w:t>文件》</w:t>
      </w:r>
      <w:r>
        <w:rPr>
          <w:rFonts w:hint="eastAsia" w:ascii="宋体"/>
          <w:b/>
          <w:bCs/>
          <w:color w:val="auto"/>
          <w:sz w:val="22"/>
          <w:highlight w:val="none"/>
          <w:u w:val="single"/>
        </w:rPr>
        <w:t>中）</w:t>
      </w:r>
      <w:r>
        <w:rPr>
          <w:rFonts w:hint="eastAsia" w:ascii="宋体"/>
          <w:b/>
          <w:bCs/>
          <w:color w:val="auto"/>
          <w:sz w:val="22"/>
          <w:highlight w:val="none"/>
          <w:u w:val="single"/>
          <w:lang w:eastAsia="zh-CN"/>
        </w:rPr>
        <w:t>，标项二投标供应商必须提供，标项一投标供应商不作强制要求</w:t>
      </w:r>
      <w:r>
        <w:rPr>
          <w:rFonts w:hint="eastAsia" w:ascii="宋体"/>
          <w:b/>
          <w:bCs/>
          <w:color w:val="auto"/>
          <w:sz w:val="22"/>
          <w:highlight w:val="none"/>
        </w:rPr>
        <w:t>：</w:t>
      </w:r>
    </w:p>
    <w:p w14:paraId="249A6624">
      <w:pPr>
        <w:tabs>
          <w:tab w:val="left" w:pos="2352"/>
        </w:tabs>
        <w:spacing w:line="440" w:lineRule="atLeast"/>
        <w:jc w:val="left"/>
        <w:rPr>
          <w:rFonts w:ascii="宋体"/>
          <w:color w:val="auto"/>
          <w:sz w:val="22"/>
          <w:highlight w:val="none"/>
        </w:rPr>
      </w:pPr>
      <w:r>
        <w:rPr>
          <w:rFonts w:hint="eastAsia" w:ascii="宋体"/>
          <w:color w:val="auto"/>
          <w:sz w:val="22"/>
          <w:highlight w:val="none"/>
        </w:rPr>
        <w:t>（1）</w:t>
      </w:r>
      <w:r>
        <w:rPr>
          <w:rFonts w:hint="eastAsia" w:ascii="宋体"/>
          <w:color w:val="auto"/>
          <w:sz w:val="22"/>
          <w:highlight w:val="none"/>
          <w:lang w:val="en-US" w:eastAsia="zh-CN"/>
        </w:rPr>
        <w:t>中小</w:t>
      </w:r>
      <w:r>
        <w:rPr>
          <w:rFonts w:hint="eastAsia" w:ascii="宋体"/>
          <w:color w:val="auto"/>
          <w:sz w:val="22"/>
          <w:highlight w:val="none"/>
        </w:rPr>
        <w:t>企业：中小企业声明函（原件，加盖供应商公章，格式见附件1）</w:t>
      </w:r>
    </w:p>
    <w:p w14:paraId="3723F68D">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14:paraId="5A5BF388">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14012BD9">
      <w:pPr>
        <w:tabs>
          <w:tab w:val="left" w:pos="2352"/>
        </w:tabs>
        <w:spacing w:line="440" w:lineRule="atLeast"/>
        <w:jc w:val="left"/>
        <w:rPr>
          <w:rFonts w:ascii="宋体"/>
          <w:color w:val="auto"/>
          <w:sz w:val="22"/>
          <w:highlight w:val="none"/>
        </w:rPr>
      </w:pPr>
      <w:r>
        <w:rPr>
          <w:rFonts w:hint="eastAsia" w:ascii="宋体"/>
          <w:color w:val="auto"/>
          <w:sz w:val="22"/>
          <w:highlight w:val="none"/>
        </w:rPr>
        <w:t>3</w:t>
      </w:r>
      <w:r>
        <w:rPr>
          <w:rFonts w:hint="eastAsia" w:ascii="宋体"/>
          <w:color w:val="auto"/>
          <w:sz w:val="22"/>
          <w:highlight w:val="none"/>
          <w:lang w:eastAsia="zh-CN"/>
        </w:rPr>
        <w:t>.</w:t>
      </w:r>
      <w:r>
        <w:rPr>
          <w:rFonts w:hint="eastAsia" w:ascii="宋体"/>
          <w:color w:val="auto"/>
          <w:sz w:val="22"/>
          <w:highlight w:val="none"/>
        </w:rPr>
        <w:t>扶持政策说明：</w:t>
      </w:r>
    </w:p>
    <w:p w14:paraId="633206BA">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14:paraId="6BF07CA2">
      <w:pPr>
        <w:numPr>
          <w:ilvl w:val="0"/>
          <w:numId w:val="0"/>
        </w:numPr>
        <w:tabs>
          <w:tab w:val="left" w:pos="2352"/>
        </w:tabs>
        <w:spacing w:line="440" w:lineRule="atLeast"/>
        <w:ind w:leftChars="0"/>
        <w:jc w:val="left"/>
        <w:rPr>
          <w:rFonts w:hint="eastAsia" w:ascii="宋体" w:hAnsi="宋体" w:cs="宋体"/>
          <w:b/>
          <w:bCs/>
          <w:color w:val="auto"/>
          <w:sz w:val="22"/>
          <w:highlight w:val="none"/>
          <w:u w:val="single"/>
        </w:rPr>
      </w:pPr>
      <w:r>
        <w:rPr>
          <w:rFonts w:hint="eastAsia" w:ascii="宋体"/>
          <w:b/>
          <w:bCs/>
          <w:color w:val="auto"/>
          <w:sz w:val="22"/>
          <w:highlight w:val="none"/>
          <w:lang w:val="en-US" w:eastAsia="zh-CN"/>
        </w:rPr>
        <w:t>4.</w:t>
      </w:r>
      <w:r>
        <w:rPr>
          <w:rFonts w:hint="eastAsia" w:ascii="宋体"/>
          <w:b/>
          <w:bCs/>
          <w:color w:val="auto"/>
          <w:sz w:val="22"/>
          <w:highlight w:val="none"/>
        </w:rPr>
        <w:t xml:space="preserve">本项目采购标的所属行业为 </w:t>
      </w:r>
      <w:r>
        <w:rPr>
          <w:rFonts w:hint="eastAsia" w:ascii="宋体" w:hAnsi="宋体" w:cs="宋体"/>
          <w:b/>
          <w:bCs/>
          <w:color w:val="auto"/>
          <w:sz w:val="22"/>
          <w:highlight w:val="none"/>
          <w:u w:val="single"/>
        </w:rPr>
        <w:t>其他未列明行业。</w:t>
      </w:r>
    </w:p>
    <w:p w14:paraId="67BB0B50">
      <w:pPr>
        <w:numPr>
          <w:ilvl w:val="0"/>
          <w:numId w:val="0"/>
        </w:numPr>
        <w:tabs>
          <w:tab w:val="left" w:pos="2352"/>
        </w:tabs>
        <w:spacing w:line="440" w:lineRule="atLeast"/>
        <w:ind w:leftChars="0"/>
        <w:jc w:val="left"/>
        <w:rPr>
          <w:rFonts w:hint="eastAsia" w:ascii="宋体" w:hAnsi="宋体" w:cs="宋体"/>
          <w:b/>
          <w:bCs/>
          <w:color w:val="auto"/>
          <w:sz w:val="22"/>
          <w:highlight w:val="none"/>
          <w:u w:val="single"/>
          <w:lang w:eastAsia="zh-CN"/>
        </w:rPr>
      </w:pPr>
      <w:r>
        <w:rPr>
          <w:rFonts w:hint="eastAsia" w:ascii="宋体" w:hAnsi="宋体" w:cs="宋体"/>
          <w:b/>
          <w:bCs/>
          <w:color w:val="auto"/>
          <w:sz w:val="22"/>
          <w:highlight w:val="none"/>
          <w:u w:val="none"/>
          <w:lang w:val="en-US" w:eastAsia="zh-CN"/>
        </w:rPr>
        <w:t>5.</w:t>
      </w:r>
      <w:r>
        <w:rPr>
          <w:rFonts w:hint="eastAsia" w:ascii="宋体"/>
          <w:b/>
          <w:bCs/>
          <w:color w:val="auto"/>
          <w:sz w:val="22"/>
          <w:highlight w:val="none"/>
          <w:u w:val="single"/>
          <w:lang w:eastAsia="zh-CN"/>
        </w:rPr>
        <w:t>标项一</w:t>
      </w:r>
      <w:r>
        <w:rPr>
          <w:rFonts w:hint="eastAsia" w:ascii="宋体"/>
          <w:b/>
          <w:bCs/>
          <w:color w:val="auto"/>
          <w:sz w:val="22"/>
          <w:highlight w:val="none"/>
          <w:u w:val="single"/>
          <w:lang w:val="en-US" w:eastAsia="zh-CN"/>
        </w:rPr>
        <w:t>：</w:t>
      </w:r>
      <w:r>
        <w:rPr>
          <w:rFonts w:hint="eastAsia" w:ascii="宋体" w:hAnsi="宋体" w:cs="宋体"/>
          <w:b/>
          <w:bCs/>
          <w:color w:val="auto"/>
          <w:sz w:val="22"/>
          <w:highlight w:val="none"/>
          <w:u w:val="single"/>
        </w:rPr>
        <w:t>本</w:t>
      </w:r>
      <w:r>
        <w:rPr>
          <w:rFonts w:hint="eastAsia" w:ascii="宋体" w:hAnsi="宋体" w:cs="宋体"/>
          <w:b/>
          <w:bCs/>
          <w:color w:val="auto"/>
          <w:sz w:val="22"/>
          <w:highlight w:val="none"/>
          <w:u w:val="single"/>
          <w:lang w:val="en-US" w:eastAsia="zh-CN"/>
        </w:rPr>
        <w:t>标项</w:t>
      </w:r>
      <w:r>
        <w:rPr>
          <w:rFonts w:hint="eastAsia" w:ascii="宋体" w:hAnsi="宋体" w:cs="宋体"/>
          <w:b/>
          <w:bCs/>
          <w:color w:val="auto"/>
          <w:sz w:val="22"/>
          <w:highlight w:val="none"/>
          <w:u w:val="single"/>
        </w:rPr>
        <w:t>对小型和微型企业产品的价格给予扣除10%，按扣除后的价格参与评审</w:t>
      </w:r>
      <w:r>
        <w:rPr>
          <w:rFonts w:hint="eastAsia" w:ascii="宋体" w:hAnsi="宋体" w:cs="宋体"/>
          <w:b/>
          <w:bCs/>
          <w:color w:val="auto"/>
          <w:sz w:val="22"/>
          <w:highlight w:val="none"/>
          <w:u w:val="single"/>
          <w:lang w:eastAsia="zh-CN"/>
        </w:rPr>
        <w:t>；</w:t>
      </w:r>
    </w:p>
    <w:p w14:paraId="211C1C4F">
      <w:pPr>
        <w:numPr>
          <w:ilvl w:val="0"/>
          <w:numId w:val="0"/>
        </w:numPr>
        <w:tabs>
          <w:tab w:val="left" w:pos="2352"/>
        </w:tabs>
        <w:spacing w:line="440" w:lineRule="atLeast"/>
        <w:ind w:leftChars="0" w:firstLine="223" w:firstLineChars="100"/>
        <w:jc w:val="left"/>
        <w:rPr>
          <w:rFonts w:hint="default" w:ascii="宋体" w:hAnsi="宋体" w:cs="宋体"/>
          <w:b/>
          <w:bCs/>
          <w:color w:val="auto"/>
          <w:sz w:val="22"/>
          <w:highlight w:val="none"/>
          <w:u w:val="single"/>
          <w:lang w:val="en-US" w:eastAsia="zh-CN"/>
        </w:rPr>
      </w:pPr>
      <w:r>
        <w:rPr>
          <w:rFonts w:hint="eastAsia" w:ascii="宋体" w:hAnsi="宋体" w:cs="宋体"/>
          <w:b/>
          <w:bCs/>
          <w:color w:val="auto"/>
          <w:sz w:val="22"/>
          <w:highlight w:val="none"/>
          <w:u w:val="single"/>
          <w:lang w:val="en-US" w:eastAsia="zh-CN"/>
        </w:rPr>
        <w:t>标项二：</w:t>
      </w:r>
      <w:r>
        <w:rPr>
          <w:rFonts w:hint="eastAsia" w:ascii="宋体" w:hAnsi="宋体" w:cs="宋体"/>
          <w:b/>
          <w:bCs/>
          <w:color w:val="auto"/>
          <w:sz w:val="22"/>
          <w:highlight w:val="none"/>
          <w:u w:val="single"/>
        </w:rPr>
        <w:t>本</w:t>
      </w:r>
      <w:r>
        <w:rPr>
          <w:rFonts w:hint="eastAsia" w:ascii="宋体" w:hAnsi="宋体" w:cs="宋体"/>
          <w:b/>
          <w:bCs/>
          <w:color w:val="auto"/>
          <w:sz w:val="22"/>
          <w:highlight w:val="none"/>
          <w:u w:val="single"/>
          <w:lang w:val="en-US" w:eastAsia="zh-CN"/>
        </w:rPr>
        <w:t>标项专门面向中小企业采购，不再执行价格评审优惠的扶持政策。</w:t>
      </w:r>
    </w:p>
    <w:p w14:paraId="40C21802">
      <w:pPr>
        <w:tabs>
          <w:tab w:val="left" w:pos="2352"/>
        </w:tabs>
        <w:snapToGrid w:val="0"/>
        <w:spacing w:line="360" w:lineRule="auto"/>
        <w:jc w:val="left"/>
        <w:rPr>
          <w:b/>
          <w:color w:val="auto"/>
          <w:sz w:val="28"/>
          <w:szCs w:val="28"/>
          <w:highlight w:val="none"/>
        </w:rPr>
      </w:pPr>
    </w:p>
    <w:p w14:paraId="05398897">
      <w:pPr>
        <w:tabs>
          <w:tab w:val="left" w:pos="2352"/>
        </w:tabs>
        <w:snapToGrid w:val="0"/>
        <w:spacing w:line="360" w:lineRule="auto"/>
        <w:jc w:val="left"/>
        <w:rPr>
          <w:b/>
          <w:color w:val="auto"/>
          <w:sz w:val="28"/>
          <w:szCs w:val="28"/>
          <w:highlight w:val="none"/>
        </w:rPr>
      </w:pPr>
    </w:p>
    <w:p w14:paraId="56D80817">
      <w:pPr>
        <w:tabs>
          <w:tab w:val="left" w:pos="2352"/>
        </w:tabs>
        <w:snapToGrid w:val="0"/>
        <w:spacing w:line="360" w:lineRule="auto"/>
        <w:jc w:val="left"/>
        <w:rPr>
          <w:b/>
          <w:color w:val="auto"/>
          <w:sz w:val="28"/>
          <w:szCs w:val="28"/>
          <w:highlight w:val="none"/>
        </w:rPr>
      </w:pPr>
    </w:p>
    <w:p w14:paraId="1D6EF0CC">
      <w:pPr>
        <w:tabs>
          <w:tab w:val="left" w:pos="2352"/>
        </w:tabs>
        <w:snapToGrid w:val="0"/>
        <w:spacing w:line="360" w:lineRule="auto"/>
        <w:jc w:val="left"/>
        <w:rPr>
          <w:b/>
          <w:color w:val="auto"/>
          <w:sz w:val="28"/>
          <w:szCs w:val="28"/>
          <w:highlight w:val="none"/>
        </w:rPr>
      </w:pPr>
    </w:p>
    <w:p w14:paraId="01A62BD3">
      <w:pPr>
        <w:tabs>
          <w:tab w:val="left" w:pos="2352"/>
        </w:tabs>
        <w:snapToGrid w:val="0"/>
        <w:spacing w:line="360" w:lineRule="auto"/>
        <w:jc w:val="left"/>
        <w:rPr>
          <w:rFonts w:hint="eastAsia"/>
          <w:b/>
          <w:color w:val="auto"/>
          <w:sz w:val="28"/>
          <w:szCs w:val="28"/>
          <w:highlight w:val="none"/>
        </w:rPr>
      </w:pPr>
    </w:p>
    <w:p w14:paraId="29E2680C">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14:paraId="2D3907BF">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6BE8584C">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泰顺县市场监督管理局</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2025年泰顺县食品安全抽检服务项目</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5C0E779">
      <w:pPr>
        <w:numPr>
          <w:ilvl w:val="0"/>
          <w:numId w:val="7"/>
        </w:numPr>
        <w:tabs>
          <w:tab w:val="left" w:pos="1069"/>
          <w:tab w:val="left" w:pos="2352"/>
        </w:tabs>
        <w:spacing w:line="400" w:lineRule="exact"/>
        <w:ind w:left="0" w:firstLine="446"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611A46D4">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6990F824">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457882EE">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62F33D0E">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日 期：</w:t>
      </w:r>
    </w:p>
    <w:p w14:paraId="7C1E0D8E">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14:paraId="0D683E31">
      <w:pPr>
        <w:pStyle w:val="24"/>
        <w:tabs>
          <w:tab w:val="left" w:pos="2352"/>
        </w:tabs>
        <w:rPr>
          <w:color w:val="auto"/>
          <w:highlight w:val="none"/>
        </w:rPr>
      </w:pPr>
    </w:p>
    <w:p w14:paraId="07029EC6">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14:paraId="731E31E7">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313B89AE">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88C3EB">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14:paraId="2D9B71BB">
      <w:pPr>
        <w:tabs>
          <w:tab w:val="left" w:pos="2352"/>
        </w:tabs>
        <w:snapToGrid w:val="0"/>
        <w:spacing w:line="360" w:lineRule="auto"/>
        <w:ind w:firstLine="446" w:firstLineChars="200"/>
        <w:rPr>
          <w:color w:val="auto"/>
          <w:sz w:val="22"/>
          <w:highlight w:val="none"/>
        </w:rPr>
      </w:pPr>
    </w:p>
    <w:p w14:paraId="08823DEF">
      <w:pPr>
        <w:tabs>
          <w:tab w:val="left" w:pos="2352"/>
        </w:tabs>
        <w:snapToGrid w:val="0"/>
        <w:spacing w:line="360" w:lineRule="auto"/>
        <w:ind w:firstLine="446" w:firstLineChars="200"/>
        <w:rPr>
          <w:color w:val="auto"/>
          <w:sz w:val="22"/>
          <w:highlight w:val="none"/>
        </w:rPr>
      </w:pPr>
    </w:p>
    <w:p w14:paraId="5CE61C0F">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14:paraId="4BF9BC6B">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p w14:paraId="34F087DF">
      <w:pPr>
        <w:pStyle w:val="35"/>
        <w:tabs>
          <w:tab w:val="left" w:pos="2352"/>
        </w:tabs>
        <w:snapToGrid w:val="0"/>
        <w:spacing w:line="360" w:lineRule="auto"/>
        <w:ind w:left="360" w:firstLine="0" w:firstLineChars="0"/>
        <w:rPr>
          <w:rFonts w:cs="宋体"/>
          <w:color w:val="auto"/>
          <w:sz w:val="22"/>
          <w:highlight w:val="none"/>
        </w:rPr>
      </w:pPr>
    </w:p>
    <w:bookmarkEnd w:id="66"/>
    <w:p w14:paraId="7CC930C8">
      <w:pPr>
        <w:pStyle w:val="7"/>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14:paraId="5B208A60">
      <w:pPr>
        <w:tabs>
          <w:tab w:val="left" w:pos="1069"/>
          <w:tab w:val="left" w:pos="2352"/>
        </w:tabs>
        <w:snapToGrid w:val="0"/>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2075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11D1465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14:paraId="422B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Borders>
              <w:top w:val="single" w:color="auto" w:sz="4" w:space="0"/>
              <w:left w:val="single" w:color="auto" w:sz="4" w:space="0"/>
              <w:right w:val="single" w:color="auto" w:sz="4" w:space="0"/>
            </w:tcBorders>
          </w:tcPr>
          <w:p w14:paraId="77493AB5">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Borders>
              <w:top w:val="single" w:color="auto" w:sz="4" w:space="0"/>
              <w:left w:val="single" w:color="auto" w:sz="4" w:space="0"/>
              <w:right w:val="single" w:color="auto" w:sz="4" w:space="0"/>
            </w:tcBorders>
          </w:tcPr>
          <w:p w14:paraId="4EF534CC">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Borders>
              <w:top w:val="single" w:color="auto" w:sz="4" w:space="0"/>
              <w:left w:val="single" w:color="auto" w:sz="4" w:space="0"/>
              <w:right w:val="single" w:color="auto" w:sz="4" w:space="0"/>
            </w:tcBorders>
          </w:tcPr>
          <w:p w14:paraId="472FE772">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Borders>
              <w:top w:val="single" w:color="auto" w:sz="4" w:space="0"/>
              <w:left w:val="single" w:color="auto" w:sz="4" w:space="0"/>
              <w:right w:val="single" w:color="auto" w:sz="4" w:space="0"/>
            </w:tcBorders>
          </w:tcPr>
          <w:p w14:paraId="7AEB98E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14:paraId="02D8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0C9CB2AE">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Borders>
              <w:top w:val="single" w:color="auto" w:sz="4" w:space="0"/>
              <w:left w:val="single" w:color="auto" w:sz="4" w:space="0"/>
              <w:right w:val="single" w:color="auto" w:sz="4" w:space="0"/>
            </w:tcBorders>
          </w:tcPr>
          <w:p w14:paraId="7CC80F3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Borders>
              <w:top w:val="single" w:color="auto" w:sz="4" w:space="0"/>
              <w:left w:val="single" w:color="auto" w:sz="4" w:space="0"/>
              <w:right w:val="single" w:color="auto" w:sz="4" w:space="0"/>
            </w:tcBorders>
          </w:tcPr>
          <w:p w14:paraId="206E323F">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Borders>
              <w:top w:val="single" w:color="auto" w:sz="4" w:space="0"/>
              <w:left w:val="single" w:color="auto" w:sz="4" w:space="0"/>
              <w:right w:val="single" w:color="auto" w:sz="4" w:space="0"/>
            </w:tcBorders>
          </w:tcPr>
          <w:p w14:paraId="7DA1DFE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14:paraId="2C34FEB1">
            <w:pPr>
              <w:tabs>
                <w:tab w:val="left" w:pos="1069"/>
                <w:tab w:val="left" w:pos="2352"/>
              </w:tabs>
              <w:jc w:val="left"/>
              <w:rPr>
                <w:rFonts w:ascii="宋体" w:hAnsi="宋体" w:cs="宋体"/>
                <w:color w:val="auto"/>
                <w:sz w:val="22"/>
                <w:highlight w:val="none"/>
              </w:rPr>
            </w:pPr>
          </w:p>
        </w:tc>
      </w:tr>
      <w:tr w14:paraId="41E0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Borders>
              <w:top w:val="single" w:color="auto" w:sz="4" w:space="0"/>
              <w:left w:val="single" w:color="auto" w:sz="4" w:space="0"/>
              <w:right w:val="single" w:color="auto" w:sz="4" w:space="0"/>
            </w:tcBorders>
          </w:tcPr>
          <w:p w14:paraId="182D8CE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Borders>
              <w:top w:val="single" w:color="auto" w:sz="4" w:space="0"/>
              <w:left w:val="single" w:color="auto" w:sz="4" w:space="0"/>
              <w:right w:val="single" w:color="auto" w:sz="4" w:space="0"/>
            </w:tcBorders>
          </w:tcPr>
          <w:p w14:paraId="2C90A31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Borders>
              <w:top w:val="single" w:color="auto" w:sz="4" w:space="0"/>
              <w:left w:val="single" w:color="auto" w:sz="4" w:space="0"/>
              <w:right w:val="single" w:color="auto" w:sz="4" w:space="0"/>
            </w:tcBorders>
          </w:tcPr>
          <w:p w14:paraId="2F1C7AA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Borders>
              <w:top w:val="single" w:color="auto" w:sz="4" w:space="0"/>
              <w:left w:val="single" w:color="auto" w:sz="4" w:space="0"/>
              <w:right w:val="single" w:color="auto" w:sz="4" w:space="0"/>
            </w:tcBorders>
          </w:tcPr>
          <w:p w14:paraId="25B32D3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14:paraId="0BF9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3492FC57">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tcBorders>
              <w:top w:val="single" w:color="auto" w:sz="4" w:space="0"/>
              <w:left w:val="single" w:color="auto" w:sz="4" w:space="0"/>
              <w:right w:val="single" w:color="auto" w:sz="4" w:space="0"/>
            </w:tcBorders>
            <w:vAlign w:val="center"/>
          </w:tcPr>
          <w:p w14:paraId="5C8A899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tcBorders>
              <w:top w:val="single" w:color="auto" w:sz="4" w:space="0"/>
              <w:left w:val="single" w:color="auto" w:sz="4" w:space="0"/>
              <w:right w:val="single" w:color="auto" w:sz="4" w:space="0"/>
            </w:tcBorders>
            <w:vAlign w:val="center"/>
          </w:tcPr>
          <w:p w14:paraId="1F461E6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tcBorders>
              <w:top w:val="single" w:color="auto" w:sz="4" w:space="0"/>
              <w:left w:val="single" w:color="auto" w:sz="4" w:space="0"/>
              <w:right w:val="single" w:color="auto" w:sz="4" w:space="0"/>
            </w:tcBorders>
            <w:vAlign w:val="center"/>
          </w:tcPr>
          <w:p w14:paraId="7644363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14:paraId="2CA45260">
            <w:pPr>
              <w:tabs>
                <w:tab w:val="left" w:pos="1069"/>
                <w:tab w:val="left" w:pos="2352"/>
              </w:tabs>
              <w:jc w:val="left"/>
              <w:rPr>
                <w:rFonts w:ascii="宋体" w:hAnsi="宋体" w:cs="宋体"/>
                <w:color w:val="auto"/>
                <w:sz w:val="22"/>
                <w:highlight w:val="none"/>
              </w:rPr>
            </w:pPr>
          </w:p>
        </w:tc>
      </w:tr>
      <w:tr w14:paraId="072F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602769E2">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Borders>
              <w:top w:val="single" w:color="auto" w:sz="4" w:space="0"/>
              <w:left w:val="single" w:color="auto" w:sz="4" w:space="0"/>
              <w:right w:val="single" w:color="auto" w:sz="4" w:space="0"/>
            </w:tcBorders>
          </w:tcPr>
          <w:p w14:paraId="6FFE4621">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Borders>
              <w:top w:val="single" w:color="auto" w:sz="4" w:space="0"/>
              <w:left w:val="single" w:color="auto" w:sz="4" w:space="0"/>
              <w:right w:val="single" w:color="auto" w:sz="4" w:space="0"/>
            </w:tcBorders>
          </w:tcPr>
          <w:p w14:paraId="42494CC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Borders>
              <w:top w:val="single" w:color="auto" w:sz="4" w:space="0"/>
              <w:left w:val="single" w:color="auto" w:sz="4" w:space="0"/>
              <w:right w:val="single" w:color="auto" w:sz="4" w:space="0"/>
            </w:tcBorders>
          </w:tcPr>
          <w:p w14:paraId="6AFC83B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14:paraId="0191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254947D9">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Borders>
              <w:top w:val="single" w:color="auto" w:sz="4" w:space="0"/>
              <w:left w:val="single" w:color="auto" w:sz="4" w:space="0"/>
              <w:right w:val="single" w:color="auto" w:sz="4" w:space="0"/>
            </w:tcBorders>
          </w:tcPr>
          <w:p w14:paraId="2471100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Borders>
              <w:top w:val="single" w:color="auto" w:sz="4" w:space="0"/>
              <w:left w:val="single" w:color="auto" w:sz="4" w:space="0"/>
              <w:right w:val="single" w:color="auto" w:sz="4" w:space="0"/>
            </w:tcBorders>
          </w:tcPr>
          <w:p w14:paraId="6C26DFB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Borders>
              <w:top w:val="single" w:color="auto" w:sz="4" w:space="0"/>
              <w:left w:val="single" w:color="auto" w:sz="4" w:space="0"/>
              <w:right w:val="single" w:color="auto" w:sz="4" w:space="0"/>
            </w:tcBorders>
          </w:tcPr>
          <w:p w14:paraId="3E10DF1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14:paraId="4A24E2A7">
            <w:pPr>
              <w:tabs>
                <w:tab w:val="left" w:pos="1069"/>
                <w:tab w:val="left" w:pos="2352"/>
              </w:tabs>
              <w:jc w:val="left"/>
              <w:rPr>
                <w:rFonts w:ascii="宋体" w:hAnsi="宋体" w:cs="宋体"/>
                <w:color w:val="auto"/>
                <w:sz w:val="22"/>
                <w:highlight w:val="none"/>
              </w:rPr>
            </w:pPr>
          </w:p>
        </w:tc>
      </w:tr>
      <w:tr w14:paraId="0A93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57AD78C4">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Borders>
              <w:top w:val="single" w:color="auto" w:sz="4" w:space="0"/>
              <w:left w:val="single" w:color="auto" w:sz="4" w:space="0"/>
              <w:right w:val="single" w:color="auto" w:sz="4" w:space="0"/>
            </w:tcBorders>
          </w:tcPr>
          <w:p w14:paraId="2B85500A">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14:paraId="1F98DFFD">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14:paraId="21E37F9F">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14:paraId="6D7012B8">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Borders>
              <w:top w:val="single" w:color="auto" w:sz="4" w:space="0"/>
              <w:left w:val="single" w:color="auto" w:sz="4" w:space="0"/>
              <w:right w:val="single" w:color="auto" w:sz="4" w:space="0"/>
            </w:tcBorders>
          </w:tcPr>
          <w:p w14:paraId="2E15C36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Borders>
              <w:top w:val="single" w:color="auto" w:sz="4" w:space="0"/>
              <w:left w:val="single" w:color="auto" w:sz="4" w:space="0"/>
              <w:right w:val="single" w:color="auto" w:sz="4" w:space="0"/>
            </w:tcBorders>
          </w:tcPr>
          <w:p w14:paraId="38F7414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14:paraId="64F3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5FA92F05">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Borders>
              <w:top w:val="single" w:color="auto" w:sz="4" w:space="0"/>
              <w:left w:val="single" w:color="auto" w:sz="4" w:space="0"/>
              <w:right w:val="single" w:color="auto" w:sz="4" w:space="0"/>
            </w:tcBorders>
          </w:tcPr>
          <w:p w14:paraId="3B9C490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Borders>
              <w:top w:val="single" w:color="auto" w:sz="4" w:space="0"/>
              <w:left w:val="single" w:color="auto" w:sz="4" w:space="0"/>
              <w:right w:val="single" w:color="auto" w:sz="4" w:space="0"/>
            </w:tcBorders>
          </w:tcPr>
          <w:p w14:paraId="57A2434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Borders>
              <w:top w:val="single" w:color="auto" w:sz="4" w:space="0"/>
              <w:left w:val="single" w:color="auto" w:sz="4" w:space="0"/>
              <w:right w:val="single" w:color="auto" w:sz="4" w:space="0"/>
            </w:tcBorders>
          </w:tcPr>
          <w:p w14:paraId="41DC3A2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14:paraId="3034E475">
            <w:pPr>
              <w:tabs>
                <w:tab w:val="left" w:pos="1069"/>
                <w:tab w:val="left" w:pos="2352"/>
              </w:tabs>
              <w:jc w:val="left"/>
              <w:rPr>
                <w:rFonts w:ascii="宋体" w:hAnsi="宋体" w:cs="宋体"/>
                <w:color w:val="auto"/>
                <w:sz w:val="22"/>
                <w:highlight w:val="none"/>
              </w:rPr>
            </w:pPr>
          </w:p>
        </w:tc>
      </w:tr>
      <w:tr w14:paraId="695C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663C2A9F">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tcBorders>
              <w:top w:val="single" w:color="auto" w:sz="4" w:space="0"/>
              <w:left w:val="single" w:color="auto" w:sz="4" w:space="0"/>
              <w:right w:val="single" w:color="auto" w:sz="4" w:space="0"/>
            </w:tcBorders>
            <w:vAlign w:val="center"/>
          </w:tcPr>
          <w:p w14:paraId="46B40A7E">
            <w:pPr>
              <w:pStyle w:val="36"/>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tcBorders>
              <w:top w:val="single" w:color="auto" w:sz="4" w:space="0"/>
              <w:left w:val="single" w:color="auto" w:sz="4" w:space="0"/>
              <w:right w:val="single" w:color="auto" w:sz="4" w:space="0"/>
            </w:tcBorders>
            <w:vAlign w:val="center"/>
          </w:tcPr>
          <w:p w14:paraId="30766D9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14:paraId="156F447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Borders>
              <w:top w:val="single" w:color="auto" w:sz="4" w:space="0"/>
              <w:left w:val="single" w:color="auto" w:sz="4" w:space="0"/>
              <w:right w:val="single" w:color="auto" w:sz="4" w:space="0"/>
            </w:tcBorders>
            <w:vAlign w:val="center"/>
          </w:tcPr>
          <w:p w14:paraId="147BDD84">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14:paraId="0F9D2473">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14:paraId="3EA4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1C9F2432">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Borders>
              <w:top w:val="single" w:color="auto" w:sz="4" w:space="0"/>
              <w:left w:val="single" w:color="auto" w:sz="4" w:space="0"/>
              <w:right w:val="single" w:color="auto" w:sz="4" w:space="0"/>
            </w:tcBorders>
          </w:tcPr>
          <w:p w14:paraId="23578716">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Borders>
              <w:top w:val="single" w:color="auto" w:sz="4" w:space="0"/>
              <w:left w:val="single" w:color="auto" w:sz="4" w:space="0"/>
              <w:right w:val="single" w:color="auto" w:sz="4" w:space="0"/>
            </w:tcBorders>
          </w:tcPr>
          <w:p w14:paraId="273C41B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Borders>
              <w:top w:val="single" w:color="auto" w:sz="4" w:space="0"/>
              <w:left w:val="single" w:color="auto" w:sz="4" w:space="0"/>
              <w:right w:val="single" w:color="auto" w:sz="4" w:space="0"/>
            </w:tcBorders>
          </w:tcPr>
          <w:p w14:paraId="3A93784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14:paraId="35BB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0A8112E8">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Borders>
              <w:top w:val="single" w:color="auto" w:sz="4" w:space="0"/>
              <w:left w:val="single" w:color="auto" w:sz="4" w:space="0"/>
              <w:right w:val="single" w:color="auto" w:sz="4" w:space="0"/>
            </w:tcBorders>
          </w:tcPr>
          <w:p w14:paraId="4E219FF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7EB2C8E9">
            <w:pPr>
              <w:pStyle w:val="35"/>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14:paraId="2ACE9FD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Borders>
              <w:top w:val="single" w:color="auto" w:sz="4" w:space="0"/>
              <w:left w:val="single" w:color="auto" w:sz="4" w:space="0"/>
              <w:right w:val="single" w:color="auto" w:sz="4" w:space="0"/>
            </w:tcBorders>
          </w:tcPr>
          <w:p w14:paraId="78D4653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Borders>
              <w:top w:val="single" w:color="auto" w:sz="4" w:space="0"/>
              <w:left w:val="single" w:color="auto" w:sz="4" w:space="0"/>
              <w:right w:val="single" w:color="auto" w:sz="4" w:space="0"/>
            </w:tcBorders>
          </w:tcPr>
          <w:p w14:paraId="10A5BED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14:paraId="23D5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27734D0C">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Borders>
              <w:top w:val="single" w:color="auto" w:sz="4" w:space="0"/>
              <w:left w:val="single" w:color="auto" w:sz="4" w:space="0"/>
              <w:right w:val="single" w:color="auto" w:sz="4" w:space="0"/>
            </w:tcBorders>
          </w:tcPr>
          <w:p w14:paraId="3F618F6E">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Borders>
              <w:top w:val="single" w:color="auto" w:sz="4" w:space="0"/>
              <w:left w:val="single" w:color="auto" w:sz="4" w:space="0"/>
              <w:right w:val="single" w:color="auto" w:sz="4" w:space="0"/>
            </w:tcBorders>
          </w:tcPr>
          <w:p w14:paraId="1944134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Borders>
              <w:top w:val="single" w:color="auto" w:sz="4" w:space="0"/>
              <w:left w:val="single" w:color="auto" w:sz="4" w:space="0"/>
              <w:right w:val="single" w:color="auto" w:sz="4" w:space="0"/>
            </w:tcBorders>
          </w:tcPr>
          <w:p w14:paraId="0FDC156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14:paraId="7CA8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Borders>
              <w:top w:val="single" w:color="auto" w:sz="4" w:space="0"/>
              <w:left w:val="single" w:color="auto" w:sz="4" w:space="0"/>
              <w:right w:val="single" w:color="auto" w:sz="4" w:space="0"/>
            </w:tcBorders>
          </w:tcPr>
          <w:p w14:paraId="3C0057B1">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Borders>
              <w:top w:val="single" w:color="auto" w:sz="4" w:space="0"/>
              <w:left w:val="single" w:color="auto" w:sz="4" w:space="0"/>
              <w:right w:val="single" w:color="auto" w:sz="4" w:space="0"/>
            </w:tcBorders>
          </w:tcPr>
          <w:p w14:paraId="3D929521">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0AAFC873">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Borders>
              <w:top w:val="single" w:color="auto" w:sz="4" w:space="0"/>
              <w:left w:val="single" w:color="auto" w:sz="4" w:space="0"/>
              <w:right w:val="single" w:color="auto" w:sz="4" w:space="0"/>
            </w:tcBorders>
          </w:tcPr>
          <w:p w14:paraId="0AE0D71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Borders>
              <w:top w:val="single" w:color="auto" w:sz="4" w:space="0"/>
              <w:left w:val="single" w:color="auto" w:sz="4" w:space="0"/>
              <w:right w:val="single" w:color="auto" w:sz="4" w:space="0"/>
            </w:tcBorders>
          </w:tcPr>
          <w:p w14:paraId="780F3F7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14:paraId="120837BA">
            <w:pPr>
              <w:tabs>
                <w:tab w:val="left" w:pos="1069"/>
                <w:tab w:val="left" w:pos="2352"/>
              </w:tabs>
              <w:jc w:val="left"/>
              <w:rPr>
                <w:rFonts w:ascii="宋体" w:hAnsi="宋体" w:cs="宋体"/>
                <w:color w:val="auto"/>
                <w:sz w:val="22"/>
                <w:highlight w:val="none"/>
              </w:rPr>
            </w:pPr>
          </w:p>
        </w:tc>
      </w:tr>
    </w:tbl>
    <w:p w14:paraId="13C5A287">
      <w:pPr>
        <w:tabs>
          <w:tab w:val="left" w:pos="1069"/>
          <w:tab w:val="left" w:pos="2352"/>
        </w:tabs>
        <w:snapToGrid w:val="0"/>
        <w:spacing w:line="460" w:lineRule="atLeast"/>
        <w:ind w:firstLine="446" w:firstLineChars="200"/>
        <w:jc w:val="left"/>
        <w:rPr>
          <w:rFonts w:ascii="宋体" w:hAnsi="宋体" w:cs="宋体"/>
          <w:color w:val="auto"/>
          <w:sz w:val="22"/>
          <w:highlight w:val="none"/>
        </w:rPr>
      </w:pPr>
    </w:p>
    <w:p w14:paraId="798C7FF2">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14:paraId="51B8964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7AC4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2972D2A8">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14:paraId="3F0FEEB7">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7CBC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tcPr>
          <w:p w14:paraId="3C530FC2">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Borders>
              <w:top w:val="single" w:color="auto" w:sz="4" w:space="0"/>
              <w:left w:val="single" w:color="auto" w:sz="4" w:space="0"/>
              <w:right w:val="single" w:color="auto" w:sz="4" w:space="0"/>
            </w:tcBorders>
          </w:tcPr>
          <w:p w14:paraId="2F369D45">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Borders>
              <w:top w:val="single" w:color="auto" w:sz="4" w:space="0"/>
              <w:left w:val="single" w:color="auto" w:sz="4" w:space="0"/>
              <w:right w:val="single" w:color="auto" w:sz="4" w:space="0"/>
            </w:tcBorders>
          </w:tcPr>
          <w:p w14:paraId="053AFF8E">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Borders>
              <w:top w:val="single" w:color="auto" w:sz="4" w:space="0"/>
              <w:left w:val="single" w:color="auto" w:sz="4" w:space="0"/>
              <w:right w:val="single" w:color="auto" w:sz="4" w:space="0"/>
            </w:tcBorders>
          </w:tcPr>
          <w:p w14:paraId="3131496D">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7C6E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tcPr>
          <w:p w14:paraId="7AE1FDAE">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Borders>
              <w:top w:val="single" w:color="auto" w:sz="4" w:space="0"/>
              <w:left w:val="single" w:color="auto" w:sz="4" w:space="0"/>
              <w:right w:val="single" w:color="auto" w:sz="4" w:space="0"/>
            </w:tcBorders>
          </w:tcPr>
          <w:p w14:paraId="1C255568">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Borders>
              <w:top w:val="single" w:color="auto" w:sz="4" w:space="0"/>
              <w:left w:val="single" w:color="auto" w:sz="4" w:space="0"/>
              <w:right w:val="single" w:color="auto" w:sz="4" w:space="0"/>
            </w:tcBorders>
          </w:tcPr>
          <w:p w14:paraId="6458F719">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Borders>
              <w:top w:val="single" w:color="auto" w:sz="4" w:space="0"/>
              <w:left w:val="single" w:color="auto" w:sz="4" w:space="0"/>
              <w:right w:val="single" w:color="auto" w:sz="4" w:space="0"/>
            </w:tcBorders>
          </w:tcPr>
          <w:p w14:paraId="16ACA1D6">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1DA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vAlign w:val="center"/>
          </w:tcPr>
          <w:p w14:paraId="4654A611">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Borders>
              <w:top w:val="single" w:color="auto" w:sz="4" w:space="0"/>
              <w:left w:val="single" w:color="auto" w:sz="4" w:space="0"/>
              <w:right w:val="single" w:color="auto" w:sz="4" w:space="0"/>
            </w:tcBorders>
          </w:tcPr>
          <w:p w14:paraId="7E682FD5">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14:paraId="0B7A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0611354E">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Borders>
              <w:top w:val="single" w:color="auto" w:sz="4" w:space="0"/>
              <w:left w:val="single" w:color="auto" w:sz="4" w:space="0"/>
              <w:right w:val="single" w:color="auto" w:sz="4" w:space="0"/>
            </w:tcBorders>
          </w:tcPr>
          <w:p w14:paraId="0D389217">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D7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06F4490C">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Borders>
              <w:top w:val="single" w:color="auto" w:sz="4" w:space="0"/>
              <w:left w:val="single" w:color="auto" w:sz="4" w:space="0"/>
              <w:right w:val="single" w:color="auto" w:sz="4" w:space="0"/>
            </w:tcBorders>
          </w:tcPr>
          <w:p w14:paraId="614BBC30">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04AD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19335C53">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Borders>
              <w:top w:val="single" w:color="auto" w:sz="4" w:space="0"/>
              <w:left w:val="single" w:color="auto" w:sz="4" w:space="0"/>
              <w:right w:val="single" w:color="auto" w:sz="4" w:space="0"/>
            </w:tcBorders>
          </w:tcPr>
          <w:p w14:paraId="126CF42C">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0DDA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tcPr>
          <w:p w14:paraId="379ECD7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Borders>
              <w:top w:val="single" w:color="auto" w:sz="4" w:space="0"/>
              <w:left w:val="single" w:color="auto" w:sz="4" w:space="0"/>
              <w:right w:val="single" w:color="auto" w:sz="4" w:space="0"/>
            </w:tcBorders>
          </w:tcPr>
          <w:p w14:paraId="28727A2C">
            <w:pPr>
              <w:tabs>
                <w:tab w:val="left" w:pos="1069"/>
                <w:tab w:val="left" w:pos="2352"/>
              </w:tabs>
              <w:rPr>
                <w:rFonts w:ascii="宋体" w:hAnsi="宋体" w:cs="宋体"/>
                <w:color w:val="auto"/>
                <w:sz w:val="22"/>
                <w:highlight w:val="none"/>
              </w:rPr>
            </w:pPr>
          </w:p>
        </w:tc>
      </w:tr>
      <w:tr w14:paraId="12F8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4F39029B">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Borders>
              <w:top w:val="single" w:color="auto" w:sz="4" w:space="0"/>
              <w:left w:val="single" w:color="auto" w:sz="4" w:space="0"/>
              <w:right w:val="single" w:color="auto" w:sz="4" w:space="0"/>
            </w:tcBorders>
          </w:tcPr>
          <w:p w14:paraId="28B6F2A6">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052C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5D30E191">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Borders>
              <w:top w:val="single" w:color="auto" w:sz="4" w:space="0"/>
              <w:left w:val="single" w:color="auto" w:sz="4" w:space="0"/>
              <w:right w:val="single" w:color="auto" w:sz="4" w:space="0"/>
            </w:tcBorders>
          </w:tcPr>
          <w:p w14:paraId="64439B02">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3F5A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559244A4">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Borders>
              <w:top w:val="single" w:color="auto" w:sz="4" w:space="0"/>
              <w:left w:val="single" w:color="auto" w:sz="4" w:space="0"/>
              <w:right w:val="single" w:color="auto" w:sz="4" w:space="0"/>
            </w:tcBorders>
          </w:tcPr>
          <w:p w14:paraId="28A2BF8A">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AA8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57BAD7CD">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Borders>
              <w:top w:val="single" w:color="auto" w:sz="4" w:space="0"/>
              <w:left w:val="single" w:color="auto" w:sz="4" w:space="0"/>
              <w:right w:val="single" w:color="auto" w:sz="4" w:space="0"/>
            </w:tcBorders>
          </w:tcPr>
          <w:p w14:paraId="65B40CEB">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E43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7A9CACE7">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Borders>
              <w:top w:val="single" w:color="auto" w:sz="4" w:space="0"/>
              <w:left w:val="single" w:color="auto" w:sz="4" w:space="0"/>
              <w:right w:val="single" w:color="auto" w:sz="4" w:space="0"/>
            </w:tcBorders>
          </w:tcPr>
          <w:p w14:paraId="163BDE4E">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66C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50F3FBFC">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Borders>
              <w:top w:val="single" w:color="auto" w:sz="4" w:space="0"/>
              <w:left w:val="single" w:color="auto" w:sz="4" w:space="0"/>
              <w:right w:val="single" w:color="auto" w:sz="4" w:space="0"/>
            </w:tcBorders>
          </w:tcPr>
          <w:p w14:paraId="79701516">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2683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1C3F9AD5">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Borders>
              <w:top w:val="single" w:color="auto" w:sz="4" w:space="0"/>
              <w:left w:val="single" w:color="auto" w:sz="4" w:space="0"/>
              <w:right w:val="single" w:color="auto" w:sz="4" w:space="0"/>
            </w:tcBorders>
          </w:tcPr>
          <w:p w14:paraId="3EDB830E">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2F2B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tcPr>
          <w:p w14:paraId="00AD0F52">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Borders>
              <w:top w:val="single" w:color="auto" w:sz="4" w:space="0"/>
              <w:left w:val="single" w:color="auto" w:sz="4" w:space="0"/>
              <w:right w:val="single" w:color="auto" w:sz="4" w:space="0"/>
            </w:tcBorders>
          </w:tcPr>
          <w:p w14:paraId="3B204179">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bl>
    <w:p w14:paraId="4D57AAD9">
      <w:pPr>
        <w:tabs>
          <w:tab w:val="left" w:pos="1069"/>
          <w:tab w:val="left" w:pos="2352"/>
        </w:tabs>
        <w:rPr>
          <w:rFonts w:ascii="宋体" w:hAnsi="宋体" w:cs="宋体"/>
          <w:color w:val="auto"/>
          <w:sz w:val="22"/>
          <w:highlight w:val="none"/>
        </w:rPr>
      </w:pPr>
    </w:p>
    <w:p w14:paraId="3A21311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14:paraId="6426F78A">
      <w:pPr>
        <w:tabs>
          <w:tab w:val="left" w:pos="1069"/>
          <w:tab w:val="left" w:pos="2352"/>
        </w:tabs>
        <w:spacing w:line="588"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14:paraId="2C0725DD">
      <w:pPr>
        <w:pStyle w:val="24"/>
        <w:tabs>
          <w:tab w:val="left" w:pos="1069"/>
          <w:tab w:val="left" w:pos="2352"/>
        </w:tabs>
        <w:rPr>
          <w:rFonts w:ascii="宋体" w:hAnsi="宋体" w:cs="宋体"/>
          <w:b/>
          <w:color w:val="auto"/>
          <w:sz w:val="32"/>
          <w:szCs w:val="32"/>
          <w:highlight w:val="none"/>
        </w:rPr>
      </w:pPr>
    </w:p>
    <w:p w14:paraId="59A3606F">
      <w:pPr>
        <w:tabs>
          <w:tab w:val="left" w:pos="1069"/>
          <w:tab w:val="left" w:pos="2352"/>
        </w:tabs>
        <w:snapToGrid w:val="0"/>
        <w:spacing w:line="380" w:lineRule="exact"/>
        <w:jc w:val="center"/>
        <w:rPr>
          <w:rFonts w:ascii="宋体" w:hAnsi="宋体" w:cs="宋体"/>
          <w:b/>
          <w:color w:val="auto"/>
          <w:sz w:val="32"/>
          <w:szCs w:val="32"/>
          <w:highlight w:val="none"/>
        </w:rPr>
      </w:pPr>
    </w:p>
    <w:p w14:paraId="326C2415">
      <w:pPr>
        <w:tabs>
          <w:tab w:val="left" w:pos="1069"/>
          <w:tab w:val="left" w:pos="2352"/>
        </w:tabs>
        <w:snapToGrid w:val="0"/>
        <w:spacing w:line="380" w:lineRule="exact"/>
        <w:jc w:val="center"/>
        <w:rPr>
          <w:rFonts w:ascii="宋体" w:hAnsi="宋体" w:cs="宋体"/>
          <w:b/>
          <w:color w:val="auto"/>
          <w:sz w:val="32"/>
          <w:szCs w:val="32"/>
          <w:highlight w:val="none"/>
        </w:rPr>
      </w:pPr>
    </w:p>
    <w:p w14:paraId="464533B5">
      <w:pPr>
        <w:tabs>
          <w:tab w:val="left" w:pos="1069"/>
          <w:tab w:val="left" w:pos="2352"/>
        </w:tabs>
        <w:snapToGrid w:val="0"/>
        <w:spacing w:line="380" w:lineRule="exact"/>
        <w:jc w:val="center"/>
        <w:rPr>
          <w:rFonts w:ascii="宋体" w:hAnsi="宋体" w:cs="宋体"/>
          <w:b/>
          <w:color w:val="auto"/>
          <w:sz w:val="32"/>
          <w:szCs w:val="32"/>
          <w:highlight w:val="none"/>
        </w:rPr>
      </w:pPr>
    </w:p>
    <w:p w14:paraId="3F8D4327">
      <w:pPr>
        <w:tabs>
          <w:tab w:val="left" w:pos="1069"/>
          <w:tab w:val="left" w:pos="2352"/>
        </w:tabs>
        <w:snapToGrid w:val="0"/>
        <w:spacing w:line="380" w:lineRule="exact"/>
        <w:jc w:val="center"/>
        <w:rPr>
          <w:rFonts w:ascii="宋体" w:hAnsi="宋体" w:cs="宋体"/>
          <w:b/>
          <w:color w:val="auto"/>
          <w:sz w:val="32"/>
          <w:szCs w:val="32"/>
          <w:highlight w:val="none"/>
        </w:rPr>
      </w:pPr>
    </w:p>
    <w:p w14:paraId="55847206">
      <w:pPr>
        <w:tabs>
          <w:tab w:val="left" w:pos="1069"/>
          <w:tab w:val="left" w:pos="2352"/>
        </w:tabs>
        <w:snapToGrid w:val="0"/>
        <w:spacing w:line="380" w:lineRule="exact"/>
        <w:jc w:val="center"/>
        <w:rPr>
          <w:rFonts w:ascii="宋体" w:hAnsi="宋体" w:cs="宋体"/>
          <w:b/>
          <w:color w:val="auto"/>
          <w:sz w:val="32"/>
          <w:szCs w:val="32"/>
          <w:highlight w:val="none"/>
        </w:rPr>
      </w:pPr>
    </w:p>
    <w:p w14:paraId="15C13B80">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474358DC">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64"/>
      <w:bookmarkStart w:id="67" w:name="_Toc11700_WPSOffice_Level1"/>
    </w:p>
    <w:p w14:paraId="138E9FC2">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color w:val="auto"/>
          <w:kern w:val="0"/>
          <w:sz w:val="22"/>
          <w:szCs w:val="22"/>
          <w:highlight w:val="none"/>
          <w:u w:val="single"/>
        </w:rPr>
      </w:pPr>
      <w:bookmarkStart w:id="68" w:name="_Toc150068561"/>
      <w:bookmarkStart w:id="69" w:name="_Toc150225202"/>
      <w:r>
        <w:rPr>
          <w:rFonts w:hint="eastAsia" w:ascii="宋体" w:hAnsi="宋体" w:cs="宋体"/>
          <w:color w:val="auto"/>
          <w:kern w:val="0"/>
          <w:sz w:val="22"/>
          <w:szCs w:val="22"/>
          <w:highlight w:val="none"/>
        </w:rPr>
        <w:t>甲方：</w:t>
      </w:r>
      <w:r>
        <w:rPr>
          <w:rFonts w:hint="eastAsia" w:ascii="宋体" w:hAnsi="宋体" w:cs="宋体"/>
          <w:color w:val="auto"/>
          <w:kern w:val="0"/>
          <w:sz w:val="22"/>
          <w:szCs w:val="22"/>
          <w:highlight w:val="none"/>
          <w:u w:val="single"/>
        </w:rPr>
        <w:t xml:space="preserve"> （采购人）</w:t>
      </w:r>
      <w:r>
        <w:rPr>
          <w:rFonts w:ascii="宋体" w:hAnsi="宋体" w:cs="宋体"/>
          <w:color w:val="auto"/>
          <w:kern w:val="0"/>
          <w:sz w:val="22"/>
          <w:szCs w:val="22"/>
          <w:highlight w:val="none"/>
          <w:u w:val="single"/>
        </w:rPr>
        <w:t xml:space="preserve">         </w:t>
      </w:r>
    </w:p>
    <w:p w14:paraId="7574CE19">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乙方：</w:t>
      </w:r>
      <w:r>
        <w:rPr>
          <w:rFonts w:hint="eastAsia" w:ascii="宋体" w:hAnsi="宋体" w:cs="宋体"/>
          <w:color w:val="auto"/>
          <w:kern w:val="0"/>
          <w:sz w:val="22"/>
          <w:szCs w:val="22"/>
          <w:highlight w:val="none"/>
          <w:u w:val="single"/>
        </w:rPr>
        <w:t xml:space="preserve"> （</w:t>
      </w:r>
      <w:r>
        <w:rPr>
          <w:rFonts w:hint="eastAsia" w:ascii="宋体" w:hAnsi="宋体" w:cs="楷体"/>
          <w:bCs/>
          <w:color w:val="auto"/>
          <w:sz w:val="22"/>
          <w:szCs w:val="22"/>
          <w:highlight w:val="none"/>
          <w:u w:val="single"/>
        </w:rPr>
        <w:t>中标（成交）供应商</w:t>
      </w:r>
      <w:r>
        <w:rPr>
          <w:rFonts w:hint="eastAsia" w:ascii="宋体" w:hAnsi="宋体" w:cs="宋体"/>
          <w:color w:val="auto"/>
          <w:kern w:val="0"/>
          <w:sz w:val="22"/>
          <w:szCs w:val="22"/>
          <w:highlight w:val="none"/>
          <w:u w:val="single"/>
        </w:rPr>
        <w:t xml:space="preserve">） </w:t>
      </w:r>
      <w:r>
        <w:rPr>
          <w:rFonts w:ascii="宋体" w:hAnsi="宋体" w:cs="宋体"/>
          <w:color w:val="auto"/>
          <w:kern w:val="0"/>
          <w:sz w:val="22"/>
          <w:szCs w:val="22"/>
          <w:highlight w:val="none"/>
          <w:u w:val="single"/>
        </w:rPr>
        <w:t xml:space="preserve">    </w:t>
      </w:r>
    </w:p>
    <w:p w14:paraId="1F14B7EA">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甲、乙双方根据</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项目（项目编号：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）采购结果和磋商文件的要求，并经双方协调一致，订立本采购合同。</w:t>
      </w:r>
    </w:p>
    <w:p w14:paraId="59607C91">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 w:val="22"/>
          <w:szCs w:val="22"/>
          <w:highlight w:val="none"/>
        </w:rPr>
      </w:pPr>
      <w:r>
        <w:rPr>
          <w:rFonts w:hint="eastAsia" w:ascii="宋体" w:hAnsi="宋体"/>
          <w:b/>
          <w:color w:val="auto"/>
          <w:sz w:val="22"/>
          <w:szCs w:val="22"/>
          <w:highlight w:val="none"/>
        </w:rPr>
        <w:t>1、合同内容</w:t>
      </w:r>
      <w:r>
        <w:rPr>
          <w:rFonts w:hint="eastAsia" w:ascii="宋体" w:hAnsi="宋体"/>
          <w:color w:val="auto"/>
          <w:sz w:val="22"/>
          <w:szCs w:val="22"/>
          <w:highlight w:val="none"/>
        </w:rPr>
        <w:t>：依据磋商文件及</w:t>
      </w:r>
      <w:r>
        <w:rPr>
          <w:rFonts w:hint="eastAsia" w:ascii="宋体" w:hAnsi="宋体"/>
          <w:color w:val="auto"/>
          <w:kern w:val="0"/>
          <w:sz w:val="22"/>
          <w:szCs w:val="22"/>
          <w:highlight w:val="none"/>
          <w:lang w:val="zh-CN"/>
        </w:rPr>
        <w:t>采购人</w:t>
      </w:r>
      <w:r>
        <w:rPr>
          <w:rFonts w:hint="eastAsia" w:ascii="宋体" w:hAnsi="宋体"/>
          <w:color w:val="auto"/>
          <w:sz w:val="22"/>
          <w:szCs w:val="22"/>
          <w:highlight w:val="none"/>
        </w:rPr>
        <w:t>规定的服务内容。</w:t>
      </w:r>
    </w:p>
    <w:p w14:paraId="11E1133D">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2、合同价格</w:t>
      </w:r>
    </w:p>
    <w:p w14:paraId="5A4E16A3">
      <w:pPr>
        <w:keepNext w:val="0"/>
        <w:keepLines w:val="0"/>
        <w:pageBreakBefore w:val="0"/>
        <w:widowControl w:val="0"/>
        <w:kinsoku/>
        <w:wordWrap/>
        <w:overflowPunct/>
        <w:topLinePunct w:val="0"/>
        <w:autoSpaceDE/>
        <w:autoSpaceDN/>
        <w:bidi w:val="0"/>
        <w:adjustRightInd/>
        <w:spacing w:line="400" w:lineRule="exact"/>
        <w:ind w:left="106" w:leftChars="50" w:firstLine="223" w:firstLineChars="100"/>
        <w:textAlignment w:val="auto"/>
        <w:rPr>
          <w:rFonts w:ascii="宋体" w:hAnsi="宋体"/>
          <w:color w:val="auto"/>
          <w:sz w:val="22"/>
          <w:szCs w:val="22"/>
          <w:highlight w:val="none"/>
        </w:rPr>
      </w:pPr>
      <w:r>
        <w:rPr>
          <w:rFonts w:hint="eastAsia" w:ascii="宋体" w:hAnsi="宋体"/>
          <w:color w:val="auto"/>
          <w:sz w:val="22"/>
          <w:szCs w:val="22"/>
          <w:highlight w:val="none"/>
        </w:rPr>
        <w:t>人民币</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元，大写：</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元整（已含税）。</w:t>
      </w:r>
    </w:p>
    <w:p w14:paraId="17D08B20">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 xml:space="preserve">3、承包合同期限： </w:t>
      </w:r>
    </w:p>
    <w:p w14:paraId="3E6A4210">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食品检测周期约为20天，每个周期抽检前由</w:t>
      </w:r>
      <w:r>
        <w:rPr>
          <w:rFonts w:hint="eastAsia" w:ascii="宋体" w:hAnsi="宋体"/>
          <w:color w:val="auto"/>
          <w:sz w:val="22"/>
          <w:szCs w:val="22"/>
          <w:highlight w:val="none"/>
          <w:lang w:val="en-US" w:eastAsia="zh-CN"/>
        </w:rPr>
        <w:t>甲方</w:t>
      </w:r>
      <w:r>
        <w:rPr>
          <w:rFonts w:hint="eastAsia" w:ascii="宋体" w:hAnsi="宋体"/>
          <w:color w:val="auto"/>
          <w:sz w:val="22"/>
          <w:szCs w:val="22"/>
          <w:highlight w:val="none"/>
        </w:rPr>
        <w:t>安排抽检任务。</w:t>
      </w:r>
    </w:p>
    <w:p w14:paraId="36C1F00A">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4、工作条件和要求</w:t>
      </w:r>
    </w:p>
    <w:p w14:paraId="2D296E98">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1.乙方必须对样品的一切检测数据和检测技术要求保密，未经甲方书面同意不得泄露给任何第三方，也不得将与样品有关的技术资料用于任何经营及开发活动。</w:t>
      </w:r>
    </w:p>
    <w:p w14:paraId="6AA849BD">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2.乙方应具备合作项目样品的检测能力和资质，甲方应按照乙方要求提交与检测有关的材料及必要的检测依据或文本。同时，甲方在每次送样时还应与乙方签署《委托检测协议书》。该《委托检测协议书》构成本协议附件，是本协议的组成部分，传真件或电子邮件等形式下单有效。</w:t>
      </w:r>
    </w:p>
    <w:p w14:paraId="18218D08">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pacing w:val="20"/>
          <w:sz w:val="22"/>
          <w:szCs w:val="22"/>
          <w:highlight w:val="none"/>
          <w:u w:val="single"/>
        </w:rPr>
      </w:pPr>
      <w:r>
        <w:rPr>
          <w:rFonts w:hint="eastAsia" w:ascii="宋体" w:hAnsi="宋体"/>
          <w:color w:val="auto"/>
          <w:sz w:val="22"/>
          <w:szCs w:val="22"/>
          <w:highlight w:val="none"/>
        </w:rPr>
        <w:t>3.乙方在样品到达实验室后7-10个工作日内完成检测数据。</w:t>
      </w:r>
    </w:p>
    <w:p w14:paraId="00D2B99D">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4.甲方指定</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共</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人作为本协议项目联系人，项目联系人签署的《委托检测协议书》代表甲方的真实意思表示，具有法律效力。该项目联系人如发生变更等情况，甲方应于变更前3日将变更情况书面或电子邮件形式通知乙方，乙方将作出相应客户记录变更，否则，甲方项目联系人签署或指定的委托检测视为订单生成有效，如由此产生的不利后果均由甲方承担。</w:t>
      </w:r>
    </w:p>
    <w:p w14:paraId="1529F543">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5.乙方应按照专业操守尽其所能，按甲方的要求完成分析测试任务，并向甲方出具检测报告。在甲方与未签署长期协议的第三方同等的条件下，乙方应优先完成对甲方的测试任务。</w:t>
      </w:r>
    </w:p>
    <w:p w14:paraId="7B35599F">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6.甲方对提供样品资料的真实性和样品的代表性负责。甲方对检测结果若有异议，可于收到《检测报告》之日起十五日内向乙方提出复检，复检费用另行结算，样品因客观特性不能复检的或双方已约定不复检的除外。如甲方未在十五日内提出复检要求，视为甲方已经认可乙方的检测结果。乙方可不再保留甲方的检测样品，并可自行合理处置，如有其他约定的，按双方约定办理。</w:t>
      </w:r>
    </w:p>
    <w:p w14:paraId="35960B67">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5、检测费用及其支付方式</w:t>
      </w:r>
    </w:p>
    <w:p w14:paraId="314DF995">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t>乙方按照附件中有关规定或双方协议优惠收取甲方检测费用按照具体委托检测的批次和投标批次单价进行结算。</w:t>
      </w:r>
      <w:r>
        <w:rPr>
          <w:rFonts w:hint="eastAsia" w:ascii="宋体" w:hAnsi="宋体" w:cs="Times New Roman"/>
          <w:color w:val="auto"/>
          <w:sz w:val="22"/>
          <w:szCs w:val="22"/>
          <w:highlight w:val="none"/>
          <w:lang w:eastAsia="zh-CN"/>
        </w:rPr>
        <w:t>磋商文件</w:t>
      </w:r>
      <w:r>
        <w:rPr>
          <w:rFonts w:hint="eastAsia" w:ascii="宋体" w:hAnsi="宋体" w:cs="Times New Roman"/>
          <w:color w:val="auto"/>
          <w:sz w:val="22"/>
          <w:szCs w:val="22"/>
          <w:highlight w:val="none"/>
        </w:rPr>
        <w:t>规定的各品种检测批次数量均为暂定，采购人可根据实际及国家市场监管总局食品抽检相关规定需要对各品种检测批次数量进行适当调整，</w:t>
      </w:r>
      <w:r>
        <w:rPr>
          <w:rFonts w:hint="eastAsia" w:ascii="宋体" w:hAnsi="宋体" w:cs="Times New Roman"/>
          <w:color w:val="auto"/>
          <w:sz w:val="22"/>
          <w:szCs w:val="22"/>
          <w:highlight w:val="none"/>
          <w:lang w:val="en-US" w:eastAsia="zh-CN"/>
        </w:rPr>
        <w:t>乙方</w:t>
      </w:r>
      <w:r>
        <w:rPr>
          <w:rFonts w:hint="eastAsia" w:ascii="宋体" w:hAnsi="宋体" w:cs="Times New Roman"/>
          <w:color w:val="auto"/>
          <w:sz w:val="22"/>
          <w:szCs w:val="22"/>
          <w:highlight w:val="none"/>
        </w:rPr>
        <w:t>不得拒绝。</w:t>
      </w:r>
    </w:p>
    <w:p w14:paraId="414CD78D">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s="Times New Roman"/>
          <w:color w:val="auto"/>
          <w:sz w:val="22"/>
          <w:szCs w:val="22"/>
          <w:highlight w:val="none"/>
        </w:rPr>
        <w:t>结算费用时可以用支票或银行转账方式支付，甲方收到正式发票后7个工作日内结算费用。检测样品、检测</w:t>
      </w:r>
      <w:r>
        <w:rPr>
          <w:rFonts w:hint="eastAsia" w:ascii="宋体" w:hAnsi="宋体"/>
          <w:color w:val="auto"/>
          <w:sz w:val="22"/>
          <w:szCs w:val="22"/>
          <w:highlight w:val="none"/>
        </w:rPr>
        <w:t>报告及发票等可以通过特快专递等方式递送。</w:t>
      </w:r>
      <w:r>
        <w:rPr>
          <w:rFonts w:hint="eastAsia" w:ascii="宋体" w:hAnsi="宋体"/>
          <w:b/>
          <w:color w:val="auto"/>
          <w:sz w:val="22"/>
          <w:szCs w:val="22"/>
          <w:highlight w:val="none"/>
          <w:u w:val="single"/>
        </w:rPr>
        <w:t>以上合同款的具体支付时间以财政审核及支付时间为准。</w:t>
      </w:r>
    </w:p>
    <w:p w14:paraId="6F81A0DC">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6、甲乙双方的责任与义务</w:t>
      </w:r>
    </w:p>
    <w:p w14:paraId="13A579FE">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1.乙方现告知甲方，乙方与其雇员已经签有知识产权及商业秘密保护、竞业禁止协议的事实，因此甲方同意绝不直接或间接引诱、帮助或促使乙方的雇员违反前述协议的应有法律真意，否则，甲方与乙方的雇员共同向乙方承担连带责任。</w:t>
      </w:r>
    </w:p>
    <w:p w14:paraId="59C43608">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u w:val="single"/>
        </w:rPr>
      </w:pPr>
      <w:r>
        <w:rPr>
          <w:rFonts w:hint="eastAsia" w:ascii="宋体" w:hAnsi="宋体"/>
          <w:color w:val="auto"/>
          <w:sz w:val="22"/>
          <w:szCs w:val="22"/>
          <w:highlight w:val="none"/>
        </w:rPr>
        <w:t>2．基于乙方所属行业所需的技术和保密等特殊性，甲方同意在本协议有效期内至协议终止后的一年内，不直接或间接聘用乙方雇员、或介绍乙方雇员到第三方任职、或诱使乙方雇员直接或间接投资、经营与乙方经营范围相同或近似的业务，否则，甲方在此期间因此员工所得全部收益归乙方所有，同时乙方有权要求甲方支付不低于壹拾万元的违约金。</w:t>
      </w:r>
    </w:p>
    <w:p w14:paraId="6EEBCC2D">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7、违约责任</w:t>
      </w:r>
    </w:p>
    <w:p w14:paraId="0F555AF9">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1．各方应当认真履行本协议下的各项义务。</w:t>
      </w:r>
    </w:p>
    <w:p w14:paraId="362A7569">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2．甲方如连续两次以上未按照双方约定的天/月/季等时限条件付款，甲方再次送检则付款方式自动变更为按次结算，先付费后检测。甲方说明后，经乙方书面或电子邮件确认可恢复本协议约定付款方式，否则，按次结算的付款方式长期有效。</w:t>
      </w:r>
    </w:p>
    <w:p w14:paraId="34908190">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bCs/>
          <w:color w:val="auto"/>
          <w:sz w:val="22"/>
          <w:szCs w:val="22"/>
          <w:highlight w:val="none"/>
        </w:rPr>
        <w:t>3．</w:t>
      </w:r>
      <w:r>
        <w:rPr>
          <w:rFonts w:hint="eastAsia" w:ascii="宋体" w:hAnsi="宋体"/>
          <w:color w:val="auto"/>
          <w:sz w:val="22"/>
          <w:szCs w:val="22"/>
          <w:highlight w:val="none"/>
        </w:rPr>
        <w:t>乙方只对甲方送检的样品自身的检测结果负责，由于样品的检测结果与样品所代表的同种产品物质真实情况存在的客观误差,所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14:paraId="62C2D18B">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8、适用法律及仲裁</w:t>
      </w:r>
    </w:p>
    <w:p w14:paraId="36820FB9">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本协议适用中华人民共和国法律和法规。如双方约定之内容与国家法律相抵触时，可依法经协商一致后变更本协议。</w:t>
      </w:r>
    </w:p>
    <w:p w14:paraId="29B91313">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在履行本协议的过程中，双方当事人因本协议或其附件发生任何争议，双方应尽最大努力友好协商解决。如协商未果，应向温州仲裁委员会(“仲裁委”)提出申请，请求根据仲裁委的仲裁规则进行仲裁。</w:t>
      </w:r>
    </w:p>
    <w:p w14:paraId="3EB799DC">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9、协议的生效、变更</w:t>
      </w:r>
    </w:p>
    <w:p w14:paraId="7338500C">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本协议自双方正式签订时生效，有效期</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年。有效期内双方不得单方面改变或终止协议的执行。</w:t>
      </w:r>
    </w:p>
    <w:p w14:paraId="0E8DFC91">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任何一方对于由以下不可控制的原因造成的延迟交付或履行不能均不负有法律责任，双方应共同协商变更或者解除本协议；</w:t>
      </w:r>
    </w:p>
    <w:p w14:paraId="7DE4602B">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（1）战争或军事行为；</w:t>
      </w:r>
    </w:p>
    <w:p w14:paraId="0E5B00EC">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（2）自然灾害，包括但不限于洪水、旱灾、台风、地震、火灾等；</w:t>
      </w:r>
    </w:p>
    <w:p w14:paraId="3AC2B9B1">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（3）集体罢工或暴乱；</w:t>
      </w:r>
    </w:p>
    <w:p w14:paraId="25A7A0AD">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（4）国际制裁。</w:t>
      </w:r>
    </w:p>
    <w:p w14:paraId="7CE52D70">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10、协议的终止</w:t>
      </w:r>
    </w:p>
    <w:p w14:paraId="4A6199FB">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本协议于期满或经双方协商一致解除后终止。本协议的终止将不影响双方之间已有的其它协议/合同的效力。</w:t>
      </w:r>
    </w:p>
    <w:p w14:paraId="37BA951F">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11、争议解决</w:t>
      </w:r>
    </w:p>
    <w:p w14:paraId="5F162F9F">
      <w:pPr>
        <w:keepNext w:val="0"/>
        <w:keepLines w:val="0"/>
        <w:pageBreakBefore w:val="0"/>
        <w:widowControl w:val="0"/>
        <w:tabs>
          <w:tab w:val="left" w:pos="1080"/>
        </w:tabs>
        <w:kinsoku/>
        <w:wordWrap/>
        <w:overflowPunct/>
        <w:topLinePunct w:val="0"/>
        <w:autoSpaceDE/>
        <w:autoSpaceDN/>
        <w:bidi w:val="0"/>
        <w:adjustRightInd/>
        <w:spacing w:line="400" w:lineRule="exact"/>
        <w:ind w:left="330" w:leftChars="155"/>
        <w:textAlignment w:val="auto"/>
        <w:rPr>
          <w:rFonts w:ascii="宋体" w:hAnsi="宋体"/>
          <w:color w:val="auto"/>
          <w:sz w:val="22"/>
          <w:szCs w:val="22"/>
          <w:highlight w:val="none"/>
        </w:rPr>
      </w:pPr>
      <w:r>
        <w:rPr>
          <w:rFonts w:hint="eastAsia" w:ascii="宋体" w:hAnsi="宋体"/>
          <w:color w:val="auto"/>
          <w:sz w:val="22"/>
          <w:szCs w:val="22"/>
          <w:highlight w:val="none"/>
        </w:rPr>
        <w:t>凡由本合同引起的或与解释或执行本合同有关的任何争议，双方应首先通过友好协商或调解解决。若协商或调解不成，双方约定：向温州仲裁委员会申请仲裁，仲裁应依据该委员会当时的仲裁规则进行；仲裁裁决是终局的，对双方都有约束力；仲裁费用应由败诉方承担，除非仲裁裁决另有裁定。</w:t>
      </w:r>
    </w:p>
    <w:p w14:paraId="1CEDF7E2">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color w:val="auto"/>
          <w:sz w:val="22"/>
          <w:szCs w:val="22"/>
          <w:highlight w:val="none"/>
        </w:rPr>
      </w:pPr>
      <w:r>
        <w:rPr>
          <w:rFonts w:hint="eastAsia" w:ascii="宋体" w:hAnsi="宋体"/>
          <w:b/>
          <w:color w:val="auto"/>
          <w:sz w:val="22"/>
          <w:szCs w:val="22"/>
          <w:highlight w:val="none"/>
        </w:rPr>
        <w:t>12、合同生效及其他</w:t>
      </w:r>
    </w:p>
    <w:p w14:paraId="776DF904">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1.合同在双方签字并盖章后开始生效。</w:t>
      </w:r>
    </w:p>
    <w:p w14:paraId="69830CCD">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2.本合同一式肆份，双方各执贰份，具有同等效力。</w:t>
      </w:r>
    </w:p>
    <w:p w14:paraId="2F86AB5E">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3.如需修改或补充合同内容，经协商，双方应签署书面修改或补充协议，该协议将作为本合同的一个组成部分。</w:t>
      </w:r>
    </w:p>
    <w:p w14:paraId="0113E63B">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4.下列文件构成本合同的组成部分：</w:t>
      </w:r>
    </w:p>
    <w:p w14:paraId="48DC4AE6">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 xml:space="preserve">  （1）合同条款             </w:t>
      </w:r>
      <w:r>
        <w:rPr>
          <w:rFonts w:ascii="宋体" w:hAnsi="宋体"/>
          <w:color w:val="auto"/>
          <w:sz w:val="22"/>
          <w:szCs w:val="22"/>
          <w:highlight w:val="none"/>
        </w:rPr>
        <w:t xml:space="preserve">       </w:t>
      </w:r>
      <w:r>
        <w:rPr>
          <w:rFonts w:hint="eastAsia" w:ascii="宋体" w:hAnsi="宋体"/>
          <w:color w:val="auto"/>
          <w:sz w:val="22"/>
          <w:szCs w:val="22"/>
          <w:highlight w:val="none"/>
        </w:rPr>
        <w:t>（2）中标（成交）通知书</w:t>
      </w:r>
    </w:p>
    <w:p w14:paraId="0CDA76A0">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 xml:space="preserve">  （3）报价一览表              </w:t>
      </w:r>
      <w:r>
        <w:rPr>
          <w:rFonts w:ascii="宋体" w:hAnsi="宋体"/>
          <w:color w:val="auto"/>
          <w:sz w:val="22"/>
          <w:szCs w:val="22"/>
          <w:highlight w:val="none"/>
        </w:rPr>
        <w:t xml:space="preserve">    </w:t>
      </w:r>
      <w:r>
        <w:rPr>
          <w:rFonts w:hint="eastAsia" w:ascii="宋体" w:hAnsi="宋体"/>
          <w:color w:val="auto"/>
          <w:sz w:val="22"/>
          <w:szCs w:val="22"/>
          <w:highlight w:val="none"/>
        </w:rPr>
        <w:t>（4）采购需求偏离表</w:t>
      </w:r>
    </w:p>
    <w:p w14:paraId="38E6DF6D">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 xml:space="preserve">  （5）采购内容及要求              （6）合同补充条款或说明（如有的话）</w:t>
      </w:r>
    </w:p>
    <w:p w14:paraId="70790B14">
      <w:pPr>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ascii="宋体" w:hAnsi="宋体"/>
          <w:color w:val="auto"/>
          <w:sz w:val="22"/>
          <w:szCs w:val="22"/>
          <w:highlight w:val="none"/>
        </w:rPr>
      </w:pPr>
      <w:r>
        <w:rPr>
          <w:rFonts w:hint="eastAsia" w:ascii="宋体" w:hAnsi="宋体"/>
          <w:color w:val="auto"/>
          <w:sz w:val="22"/>
          <w:szCs w:val="22"/>
          <w:highlight w:val="none"/>
        </w:rPr>
        <w:t xml:space="preserve">  （7）承诺书（含询标记录和优惠条件）</w:t>
      </w:r>
    </w:p>
    <w:p w14:paraId="159764CB">
      <w:pPr>
        <w:keepNext w:val="0"/>
        <w:keepLines w:val="0"/>
        <w:pageBreakBefore w:val="0"/>
        <w:widowControl w:val="0"/>
        <w:kinsoku/>
        <w:wordWrap/>
        <w:overflowPunct/>
        <w:topLinePunct w:val="0"/>
        <w:autoSpaceDE/>
        <w:autoSpaceDN/>
        <w:bidi w:val="0"/>
        <w:adjustRightInd/>
        <w:snapToGrid w:val="0"/>
        <w:spacing w:line="400" w:lineRule="exact"/>
        <w:ind w:firstLine="659" w:firstLineChars="296"/>
        <w:textAlignment w:val="auto"/>
        <w:rPr>
          <w:rFonts w:hint="eastAsia" w:ascii="宋体" w:hAnsi="宋体"/>
          <w:color w:val="auto"/>
          <w:sz w:val="22"/>
          <w:szCs w:val="22"/>
          <w:highlight w:val="none"/>
        </w:rPr>
      </w:pPr>
    </w:p>
    <w:p w14:paraId="57155036">
      <w:pPr>
        <w:keepNext w:val="0"/>
        <w:keepLines w:val="0"/>
        <w:pageBreakBefore w:val="0"/>
        <w:widowControl w:val="0"/>
        <w:kinsoku/>
        <w:wordWrap/>
        <w:overflowPunct/>
        <w:topLinePunct w:val="0"/>
        <w:autoSpaceDE/>
        <w:autoSpaceDN/>
        <w:bidi w:val="0"/>
        <w:adjustRightInd/>
        <w:snapToGrid w:val="0"/>
        <w:spacing w:line="400" w:lineRule="exact"/>
        <w:ind w:firstLine="659" w:firstLineChars="296"/>
        <w:textAlignment w:val="auto"/>
        <w:rPr>
          <w:rFonts w:ascii="宋体" w:hAnsi="宋体"/>
          <w:color w:val="auto"/>
          <w:sz w:val="22"/>
          <w:szCs w:val="22"/>
          <w:highlight w:val="none"/>
        </w:rPr>
      </w:pPr>
      <w:r>
        <w:rPr>
          <w:rFonts w:hint="eastAsia" w:ascii="宋体" w:hAnsi="宋体"/>
          <w:color w:val="auto"/>
          <w:sz w:val="22"/>
          <w:szCs w:val="22"/>
          <w:highlight w:val="none"/>
        </w:rPr>
        <w:t xml:space="preserve">甲方（盖章）：                                 </w:t>
      </w:r>
      <w:r>
        <w:rPr>
          <w:rFonts w:ascii="宋体" w:hAnsi="宋体"/>
          <w:color w:val="auto"/>
          <w:sz w:val="22"/>
          <w:szCs w:val="22"/>
          <w:highlight w:val="none"/>
        </w:rPr>
        <w:t xml:space="preserve">  </w:t>
      </w:r>
      <w:r>
        <w:rPr>
          <w:rFonts w:hint="eastAsia" w:ascii="宋体" w:hAnsi="宋体"/>
          <w:color w:val="auto"/>
          <w:sz w:val="22"/>
          <w:szCs w:val="22"/>
          <w:highlight w:val="none"/>
        </w:rPr>
        <w:t>乙方（盖章）：</w:t>
      </w:r>
    </w:p>
    <w:p w14:paraId="38FDBE57">
      <w:pPr>
        <w:keepNext w:val="0"/>
        <w:keepLines w:val="0"/>
        <w:pageBreakBefore w:val="0"/>
        <w:widowControl w:val="0"/>
        <w:kinsoku/>
        <w:wordWrap/>
        <w:overflowPunct/>
        <w:topLinePunct w:val="0"/>
        <w:autoSpaceDE/>
        <w:autoSpaceDN/>
        <w:bidi w:val="0"/>
        <w:adjustRightInd/>
        <w:snapToGrid w:val="0"/>
        <w:spacing w:line="400" w:lineRule="exact"/>
        <w:ind w:firstLine="659" w:firstLineChars="296"/>
        <w:textAlignment w:val="auto"/>
        <w:rPr>
          <w:rFonts w:ascii="宋体" w:hAnsi="宋体"/>
          <w:color w:val="auto"/>
          <w:sz w:val="22"/>
          <w:szCs w:val="22"/>
          <w:highlight w:val="none"/>
        </w:rPr>
      </w:pPr>
      <w:r>
        <w:rPr>
          <w:rFonts w:hint="eastAsia" w:ascii="宋体" w:hAnsi="宋体"/>
          <w:color w:val="auto"/>
          <w:sz w:val="22"/>
          <w:szCs w:val="22"/>
          <w:highlight w:val="none"/>
        </w:rPr>
        <w:t>单位负责人（或授权代表）：                       单位负责人（或授权代表）：</w:t>
      </w:r>
    </w:p>
    <w:p w14:paraId="0C450B4A">
      <w:pPr>
        <w:keepNext w:val="0"/>
        <w:keepLines w:val="0"/>
        <w:pageBreakBefore w:val="0"/>
        <w:widowControl w:val="0"/>
        <w:kinsoku/>
        <w:wordWrap/>
        <w:overflowPunct/>
        <w:topLinePunct w:val="0"/>
        <w:autoSpaceDE/>
        <w:autoSpaceDN/>
        <w:bidi w:val="0"/>
        <w:adjustRightInd/>
        <w:snapToGrid w:val="0"/>
        <w:spacing w:line="400" w:lineRule="exact"/>
        <w:ind w:firstLine="659" w:firstLineChars="296"/>
        <w:textAlignment w:val="auto"/>
        <w:rPr>
          <w:rFonts w:ascii="宋体" w:hAnsi="宋体"/>
          <w:color w:val="auto"/>
          <w:sz w:val="22"/>
          <w:szCs w:val="22"/>
          <w:highlight w:val="none"/>
        </w:rPr>
      </w:pPr>
      <w:r>
        <w:rPr>
          <w:rFonts w:hint="eastAsia" w:ascii="宋体" w:hAnsi="宋体"/>
          <w:color w:val="auto"/>
          <w:sz w:val="22"/>
          <w:szCs w:val="22"/>
          <w:highlight w:val="none"/>
        </w:rPr>
        <w:t>开户银行：                                      开户银行：</w:t>
      </w:r>
    </w:p>
    <w:p w14:paraId="3E798443">
      <w:pPr>
        <w:keepNext w:val="0"/>
        <w:keepLines w:val="0"/>
        <w:pageBreakBefore w:val="0"/>
        <w:widowControl w:val="0"/>
        <w:kinsoku/>
        <w:wordWrap/>
        <w:overflowPunct/>
        <w:topLinePunct w:val="0"/>
        <w:autoSpaceDE/>
        <w:autoSpaceDN/>
        <w:bidi w:val="0"/>
        <w:adjustRightInd/>
        <w:snapToGrid w:val="0"/>
        <w:spacing w:line="400" w:lineRule="exact"/>
        <w:ind w:firstLine="659" w:firstLineChars="296"/>
        <w:textAlignment w:val="auto"/>
        <w:rPr>
          <w:rFonts w:ascii="宋体" w:hAnsi="宋体"/>
          <w:color w:val="auto"/>
          <w:sz w:val="22"/>
          <w:szCs w:val="22"/>
          <w:highlight w:val="none"/>
        </w:rPr>
      </w:pPr>
      <w:r>
        <w:rPr>
          <w:rFonts w:hint="eastAsia" w:ascii="宋体" w:hAnsi="宋体"/>
          <w:color w:val="auto"/>
          <w:sz w:val="22"/>
          <w:szCs w:val="22"/>
          <w:highlight w:val="none"/>
        </w:rPr>
        <w:t>开户名称：                                      开户名称：</w:t>
      </w:r>
    </w:p>
    <w:p w14:paraId="517AA57F">
      <w:pPr>
        <w:keepNext w:val="0"/>
        <w:keepLines w:val="0"/>
        <w:pageBreakBefore w:val="0"/>
        <w:widowControl w:val="0"/>
        <w:kinsoku/>
        <w:wordWrap/>
        <w:overflowPunct/>
        <w:topLinePunct w:val="0"/>
        <w:autoSpaceDE/>
        <w:autoSpaceDN/>
        <w:bidi w:val="0"/>
        <w:adjustRightInd/>
        <w:snapToGrid w:val="0"/>
        <w:spacing w:line="400" w:lineRule="exact"/>
        <w:ind w:firstLine="659" w:firstLineChars="296"/>
        <w:textAlignment w:val="auto"/>
        <w:rPr>
          <w:rFonts w:ascii="宋体" w:hAnsi="宋体"/>
          <w:color w:val="auto"/>
          <w:sz w:val="22"/>
          <w:szCs w:val="22"/>
          <w:highlight w:val="none"/>
        </w:rPr>
      </w:pPr>
      <w:r>
        <w:rPr>
          <w:rFonts w:hint="eastAsia" w:ascii="宋体" w:hAnsi="宋体"/>
          <w:color w:val="auto"/>
          <w:sz w:val="22"/>
          <w:szCs w:val="22"/>
          <w:highlight w:val="none"/>
        </w:rPr>
        <w:t>账号：                                          账号：</w:t>
      </w:r>
    </w:p>
    <w:p w14:paraId="53CB69AA">
      <w:pPr>
        <w:keepNext w:val="0"/>
        <w:keepLines w:val="0"/>
        <w:pageBreakBefore w:val="0"/>
        <w:widowControl w:val="0"/>
        <w:kinsoku/>
        <w:wordWrap/>
        <w:overflowPunct/>
        <w:topLinePunct w:val="0"/>
        <w:autoSpaceDE/>
        <w:autoSpaceDN/>
        <w:bidi w:val="0"/>
        <w:adjustRightInd/>
        <w:snapToGrid w:val="0"/>
        <w:spacing w:line="400" w:lineRule="exact"/>
        <w:ind w:firstLine="659" w:firstLineChars="296"/>
        <w:textAlignment w:val="auto"/>
        <w:rPr>
          <w:rFonts w:ascii="宋体" w:hAnsi="宋体"/>
          <w:color w:val="auto"/>
          <w:sz w:val="22"/>
          <w:szCs w:val="22"/>
          <w:highlight w:val="none"/>
        </w:rPr>
      </w:pPr>
      <w:r>
        <w:rPr>
          <w:rFonts w:hint="eastAsia" w:ascii="宋体" w:hAnsi="宋体"/>
          <w:color w:val="auto"/>
          <w:sz w:val="22"/>
          <w:szCs w:val="22"/>
          <w:highlight w:val="none"/>
        </w:rPr>
        <w:t>签约日期：                                      签约日期：</w:t>
      </w:r>
    </w:p>
    <w:bookmarkEnd w:id="68"/>
    <w:bookmarkEnd w:id="69"/>
    <w:p w14:paraId="15CCD0CE">
      <w:pPr>
        <w:keepNext w:val="0"/>
        <w:keepLines w:val="0"/>
        <w:pageBreakBefore w:val="0"/>
        <w:widowControl w:val="0"/>
        <w:tabs>
          <w:tab w:val="left" w:pos="1069"/>
          <w:tab w:val="left" w:pos="2352"/>
        </w:tabs>
        <w:kinsoku/>
        <w:wordWrap/>
        <w:overflowPunct/>
        <w:topLinePunct w:val="0"/>
        <w:autoSpaceDE/>
        <w:autoSpaceDN/>
        <w:bidi w:val="0"/>
        <w:adjustRightInd/>
        <w:spacing w:line="400" w:lineRule="exact"/>
        <w:textAlignment w:val="auto"/>
        <w:rPr>
          <w:rFonts w:ascii="宋体"/>
          <w:color w:val="auto"/>
          <w:sz w:val="22"/>
          <w:highlight w:val="none"/>
          <w:u w:val="single"/>
        </w:rPr>
      </w:pPr>
    </w:p>
    <w:p w14:paraId="61B079D2">
      <w:pPr>
        <w:keepNext w:val="0"/>
        <w:keepLines w:val="0"/>
        <w:pageBreakBefore w:val="0"/>
        <w:widowControl w:val="0"/>
        <w:tabs>
          <w:tab w:val="left" w:pos="1069"/>
          <w:tab w:val="left" w:pos="2352"/>
        </w:tabs>
        <w:kinsoku/>
        <w:wordWrap/>
        <w:overflowPunct/>
        <w:topLinePunct w:val="0"/>
        <w:autoSpaceDE/>
        <w:autoSpaceDN/>
        <w:bidi w:val="0"/>
        <w:adjustRightInd/>
        <w:spacing w:line="400" w:lineRule="exact"/>
        <w:textAlignment w:val="auto"/>
        <w:rPr>
          <w:rFonts w:ascii="宋体" w:hAnsi="宋体" w:cs="宋体"/>
          <w:color w:val="auto"/>
          <w:sz w:val="22"/>
          <w:highlight w:val="none"/>
          <w:u w:val="single"/>
        </w:rPr>
      </w:pPr>
      <w:r>
        <w:rPr>
          <w:rFonts w:hint="eastAsia" w:ascii="宋体"/>
          <w:color w:val="auto"/>
          <w:sz w:val="22"/>
          <w:highlight w:val="none"/>
          <w:u w:val="single"/>
        </w:rPr>
        <w:t>注：以上合同条款供采购人及中标（成交）供应商作为商务参考，具体签订时，采购人可根据自身项目情况与中标（成交）供应商协商另行修改拟定相关合同具体条款。</w:t>
      </w:r>
    </w:p>
    <w:p w14:paraId="0E523224">
      <w:pPr>
        <w:pStyle w:val="5"/>
        <w:tabs>
          <w:tab w:val="left" w:pos="1069"/>
          <w:tab w:val="left" w:pos="2352"/>
        </w:tabs>
        <w:jc w:val="center"/>
        <w:rPr>
          <w:rFonts w:hint="eastAsia" w:ascii="宋体" w:hAnsi="宋体" w:cs="宋体"/>
          <w:b/>
          <w:bCs/>
          <w:color w:val="auto"/>
          <w:sz w:val="32"/>
          <w:szCs w:val="32"/>
          <w:highlight w:val="none"/>
        </w:rPr>
      </w:pPr>
    </w:p>
    <w:p w14:paraId="183A6B68">
      <w:pPr>
        <w:pStyle w:val="5"/>
        <w:tabs>
          <w:tab w:val="left" w:pos="1069"/>
          <w:tab w:val="left" w:pos="2352"/>
        </w:tabs>
        <w:jc w:val="center"/>
        <w:rPr>
          <w:rFonts w:hint="eastAsia" w:ascii="宋体" w:hAnsi="宋体" w:cs="宋体"/>
          <w:b/>
          <w:bCs/>
          <w:color w:val="auto"/>
          <w:sz w:val="32"/>
          <w:szCs w:val="32"/>
          <w:highlight w:val="none"/>
        </w:rPr>
      </w:pPr>
    </w:p>
    <w:p w14:paraId="0AC48199">
      <w:pPr>
        <w:pStyle w:val="5"/>
        <w:tabs>
          <w:tab w:val="left" w:pos="1069"/>
          <w:tab w:val="left" w:pos="2352"/>
        </w:tabs>
        <w:jc w:val="center"/>
        <w:rPr>
          <w:rFonts w:hint="eastAsia" w:ascii="宋体" w:hAnsi="宋体" w:cs="宋体"/>
          <w:b/>
          <w:bCs/>
          <w:color w:val="auto"/>
          <w:sz w:val="32"/>
          <w:szCs w:val="32"/>
          <w:highlight w:val="none"/>
        </w:rPr>
      </w:pPr>
    </w:p>
    <w:p w14:paraId="7DE37BFF">
      <w:pPr>
        <w:pStyle w:val="5"/>
        <w:tabs>
          <w:tab w:val="left" w:pos="1069"/>
          <w:tab w:val="left" w:pos="2352"/>
        </w:tabs>
        <w:jc w:val="center"/>
        <w:rPr>
          <w:rFonts w:hint="eastAsia" w:ascii="宋体" w:hAnsi="宋体" w:cs="宋体"/>
          <w:b/>
          <w:bCs/>
          <w:color w:val="auto"/>
          <w:sz w:val="32"/>
          <w:szCs w:val="32"/>
          <w:highlight w:val="none"/>
        </w:rPr>
      </w:pPr>
    </w:p>
    <w:p w14:paraId="5BEF9492">
      <w:pPr>
        <w:pStyle w:val="5"/>
        <w:tabs>
          <w:tab w:val="left" w:pos="1069"/>
          <w:tab w:val="left" w:pos="2352"/>
        </w:tabs>
        <w:jc w:val="center"/>
        <w:rPr>
          <w:rFonts w:hint="eastAsia" w:ascii="宋体" w:hAnsi="宋体" w:cs="宋体"/>
          <w:b/>
          <w:bCs/>
          <w:color w:val="auto"/>
          <w:sz w:val="32"/>
          <w:szCs w:val="32"/>
          <w:highlight w:val="none"/>
        </w:rPr>
      </w:pPr>
    </w:p>
    <w:p w14:paraId="4C1CB72B">
      <w:pPr>
        <w:pStyle w:val="5"/>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7"/>
    </w:p>
    <w:p w14:paraId="10B5FDBF">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14:paraId="629DF48F">
      <w:pPr>
        <w:pStyle w:val="7"/>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21A4474C">
      <w:pPr>
        <w:tabs>
          <w:tab w:val="left" w:pos="1069"/>
          <w:tab w:val="left" w:pos="2352"/>
        </w:tabs>
        <w:snapToGrid w:val="0"/>
        <w:spacing w:line="440" w:lineRule="exact"/>
        <w:jc w:val="center"/>
        <w:rPr>
          <w:rFonts w:ascii="宋体" w:hAnsi="宋体" w:cs="宋体"/>
          <w:b/>
          <w:color w:val="auto"/>
          <w:sz w:val="32"/>
          <w:szCs w:val="32"/>
          <w:highlight w:val="none"/>
        </w:rPr>
      </w:pPr>
    </w:p>
    <w:p w14:paraId="38E3CBC0">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2025年泰顺县食品安全抽检服务项目</w:t>
      </w:r>
    </w:p>
    <w:p w14:paraId="49A868B7">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04674F4">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2A9046EE">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6EB4A7AC">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0CA9A45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BB829B4">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TSCG202502003</w:t>
            </w:r>
          </w:p>
        </w:tc>
      </w:tr>
      <w:tr w14:paraId="2358AB6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8E450E9">
            <w:pPr>
              <w:tabs>
                <w:tab w:val="left" w:pos="1069"/>
                <w:tab w:val="left" w:pos="2352"/>
              </w:tabs>
              <w:snapToGrid w:val="0"/>
              <w:spacing w:line="600" w:lineRule="atLeast"/>
              <w:rPr>
                <w:rFonts w:hint="eastAsia"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lang w:val="en-US" w:eastAsia="zh-CN"/>
              </w:rPr>
              <w:t>标项：</w:t>
            </w:r>
          </w:p>
        </w:tc>
      </w:tr>
      <w:tr w14:paraId="70610F4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18" w:hRule="atLeast"/>
        </w:trPr>
        <w:tc>
          <w:tcPr>
            <w:tcW w:w="7678" w:type="dxa"/>
            <w:tcBorders>
              <w:top w:val="dashed" w:color="auto" w:sz="4" w:space="0"/>
              <w:left w:val="dashed" w:color="auto" w:sz="4" w:space="0"/>
              <w:right w:val="dashed" w:color="auto" w:sz="4" w:space="0"/>
            </w:tcBorders>
          </w:tcPr>
          <w:p w14:paraId="111CD3E0">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泰顺县市场监督管理局</w:t>
            </w:r>
          </w:p>
        </w:tc>
      </w:tr>
      <w:tr w14:paraId="643C015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743510AD">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50F91C4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50B518F7">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DC3060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7E18836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4FCB360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79DF103B">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42CA92C3">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213FC9B0">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409D1B4B">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20F91371">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1FABC2D5">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1A7E6106">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14:paraId="75B11774">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2025年泰顺县食品安全抽检服务项目</w:t>
      </w:r>
    </w:p>
    <w:p w14:paraId="49461F0C">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TSCG202502003</w:t>
      </w:r>
    </w:p>
    <w:p w14:paraId="3049738A">
      <w:pPr>
        <w:tabs>
          <w:tab w:val="left" w:pos="1069"/>
          <w:tab w:val="left" w:pos="2352"/>
        </w:tabs>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225"/>
        <w:gridCol w:w="1540"/>
        <w:gridCol w:w="1225"/>
      </w:tblGrid>
      <w:tr w14:paraId="6FD9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767" w:type="dxa"/>
            <w:vAlign w:val="center"/>
          </w:tcPr>
          <w:p w14:paraId="59036271">
            <w:pPr>
              <w:pStyle w:val="10"/>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24" w:type="dxa"/>
            <w:tcBorders>
              <w:right w:val="single" w:color="000000" w:sz="4" w:space="0"/>
            </w:tcBorders>
            <w:vAlign w:val="center"/>
          </w:tcPr>
          <w:p w14:paraId="3905648A">
            <w:pPr>
              <w:pStyle w:val="10"/>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225" w:type="dxa"/>
            <w:tcBorders>
              <w:left w:val="single" w:color="000000" w:sz="4" w:space="0"/>
            </w:tcBorders>
            <w:vAlign w:val="center"/>
          </w:tcPr>
          <w:p w14:paraId="40D605C3">
            <w:pPr>
              <w:pStyle w:val="10"/>
              <w:tabs>
                <w:tab w:val="left" w:pos="1069"/>
                <w:tab w:val="left" w:pos="2352"/>
              </w:tabs>
              <w:jc w:val="center"/>
              <w:rPr>
                <w:rFonts w:hAnsi="宋体" w:cs="宋体"/>
                <w:color w:val="auto"/>
                <w:sz w:val="22"/>
                <w:highlight w:val="none"/>
              </w:rPr>
            </w:pPr>
            <w:r>
              <w:rPr>
                <w:rFonts w:hint="eastAsia" w:hAnsi="宋体" w:cs="宋体"/>
                <w:color w:val="auto"/>
                <w:sz w:val="22"/>
                <w:highlight w:val="none"/>
              </w:rPr>
              <w:t>投标报价</w:t>
            </w:r>
          </w:p>
        </w:tc>
        <w:tc>
          <w:tcPr>
            <w:tcW w:w="1540" w:type="dxa"/>
            <w:vAlign w:val="center"/>
          </w:tcPr>
          <w:p w14:paraId="7FC50F3B">
            <w:pPr>
              <w:pStyle w:val="10"/>
              <w:tabs>
                <w:tab w:val="left" w:pos="1069"/>
                <w:tab w:val="left" w:pos="2352"/>
              </w:tabs>
              <w:jc w:val="center"/>
              <w:rPr>
                <w:rFonts w:hAnsi="宋体" w:cs="宋体"/>
                <w:b/>
                <w:bCs/>
                <w:color w:val="auto"/>
                <w:kern w:val="2"/>
                <w:sz w:val="22"/>
                <w:szCs w:val="22"/>
                <w:highlight w:val="none"/>
              </w:rPr>
            </w:pPr>
            <w:r>
              <w:rPr>
                <w:rFonts w:hint="eastAsia" w:hAnsi="宋体" w:cs="宋体"/>
                <w:color w:val="auto"/>
                <w:sz w:val="22"/>
                <w:highlight w:val="none"/>
              </w:rPr>
              <w:t>项目负责人</w:t>
            </w:r>
          </w:p>
        </w:tc>
        <w:tc>
          <w:tcPr>
            <w:tcW w:w="1225" w:type="dxa"/>
            <w:vAlign w:val="center"/>
          </w:tcPr>
          <w:p w14:paraId="13471EA1">
            <w:pPr>
              <w:pStyle w:val="10"/>
              <w:tabs>
                <w:tab w:val="left" w:pos="1069"/>
                <w:tab w:val="left" w:pos="2352"/>
              </w:tabs>
              <w:jc w:val="center"/>
              <w:rPr>
                <w:rFonts w:hAnsi="宋体" w:cs="宋体"/>
                <w:color w:val="auto"/>
                <w:sz w:val="22"/>
                <w:highlight w:val="none"/>
              </w:rPr>
            </w:pPr>
            <w:r>
              <w:rPr>
                <w:rFonts w:hint="eastAsia" w:hAnsi="宋体" w:cs="宋体"/>
                <w:color w:val="auto"/>
                <w:kern w:val="2"/>
                <w:sz w:val="22"/>
                <w:szCs w:val="22"/>
                <w:highlight w:val="none"/>
              </w:rPr>
              <w:t>最高限价</w:t>
            </w:r>
          </w:p>
        </w:tc>
      </w:tr>
      <w:tr w14:paraId="70E4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trPr>
        <w:tc>
          <w:tcPr>
            <w:tcW w:w="767" w:type="dxa"/>
            <w:tcBorders>
              <w:top w:val="single" w:color="auto" w:sz="4" w:space="0"/>
              <w:left w:val="single" w:color="auto" w:sz="4" w:space="0"/>
              <w:right w:val="single" w:color="auto" w:sz="4" w:space="0"/>
            </w:tcBorders>
            <w:vAlign w:val="center"/>
          </w:tcPr>
          <w:p w14:paraId="0D515515">
            <w:pPr>
              <w:pStyle w:val="10"/>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724" w:type="dxa"/>
            <w:tcBorders>
              <w:right w:val="single" w:color="000000" w:sz="4" w:space="0"/>
            </w:tcBorders>
            <w:vAlign w:val="center"/>
          </w:tcPr>
          <w:p w14:paraId="769D2E09">
            <w:pPr>
              <w:pStyle w:val="10"/>
              <w:tabs>
                <w:tab w:val="left" w:pos="1069"/>
                <w:tab w:val="left" w:pos="2352"/>
              </w:tabs>
              <w:spacing w:line="440" w:lineRule="atLeast"/>
              <w:jc w:val="center"/>
              <w:rPr>
                <w:rFonts w:hAnsi="宋体" w:eastAsia="宋体" w:cs="宋体"/>
                <w:color w:val="auto"/>
                <w:kern w:val="2"/>
                <w:sz w:val="22"/>
                <w:szCs w:val="22"/>
                <w:highlight w:val="none"/>
                <w:lang w:val="en-US" w:eastAsia="zh-CN"/>
              </w:rPr>
            </w:pPr>
            <w:r>
              <w:rPr>
                <w:rFonts w:hint="eastAsia" w:hAnsi="宋体" w:cs="宋体"/>
                <w:bCs/>
                <w:color w:val="auto"/>
                <w:sz w:val="22"/>
                <w:highlight w:val="none"/>
                <w:lang w:eastAsia="zh-CN"/>
              </w:rPr>
              <w:t>食品安全抽检服务-</w:t>
            </w:r>
            <w:r>
              <w:rPr>
                <w:rFonts w:hint="eastAsia" w:hAnsi="宋体" w:cs="宋体"/>
                <w:bCs/>
                <w:color w:val="auto"/>
                <w:sz w:val="22"/>
                <w:highlight w:val="none"/>
                <w:lang w:val="en-US" w:eastAsia="zh-CN"/>
              </w:rPr>
              <w:t>1</w:t>
            </w:r>
          </w:p>
        </w:tc>
        <w:tc>
          <w:tcPr>
            <w:tcW w:w="4225" w:type="dxa"/>
            <w:tcBorders>
              <w:left w:val="single" w:color="000000" w:sz="4" w:space="0"/>
            </w:tcBorders>
            <w:vAlign w:val="center"/>
          </w:tcPr>
          <w:p w14:paraId="329D58BF">
            <w:pPr>
              <w:pStyle w:val="10"/>
              <w:tabs>
                <w:tab w:val="left" w:pos="1069"/>
                <w:tab w:val="left" w:pos="2352"/>
              </w:tabs>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09DB0C5E">
            <w:pPr>
              <w:pStyle w:val="10"/>
              <w:tabs>
                <w:tab w:val="left" w:pos="1069"/>
                <w:tab w:val="left" w:pos="2352"/>
              </w:tabs>
              <w:ind w:firstLine="892" w:firstLineChars="400"/>
              <w:rPr>
                <w:rFonts w:hAnsi="宋体" w:cs="宋体"/>
                <w:color w:val="auto"/>
                <w:sz w:val="22"/>
                <w:highlight w:val="none"/>
                <w:u w:val="single"/>
              </w:rPr>
            </w:pPr>
            <w:r>
              <w:rPr>
                <w:rFonts w:hint="eastAsia" w:hAnsi="宋体" w:cs="宋体"/>
                <w:color w:val="auto"/>
                <w:kern w:val="2"/>
                <w:sz w:val="22"/>
                <w:szCs w:val="22"/>
                <w:highlight w:val="none"/>
                <w:u w:val="single"/>
              </w:rPr>
              <w:t xml:space="preserve">小写：                </w:t>
            </w:r>
          </w:p>
        </w:tc>
        <w:tc>
          <w:tcPr>
            <w:tcW w:w="1540" w:type="dxa"/>
            <w:tcBorders>
              <w:top w:val="single" w:color="auto" w:sz="4" w:space="0"/>
              <w:left w:val="single" w:color="auto" w:sz="4" w:space="0"/>
              <w:right w:val="single" w:color="auto" w:sz="4" w:space="0"/>
            </w:tcBorders>
            <w:vAlign w:val="center"/>
          </w:tcPr>
          <w:p w14:paraId="745FCA80">
            <w:pPr>
              <w:pStyle w:val="10"/>
              <w:tabs>
                <w:tab w:val="left" w:pos="1069"/>
                <w:tab w:val="left" w:pos="2352"/>
              </w:tabs>
              <w:spacing w:line="440" w:lineRule="atLeast"/>
              <w:rPr>
                <w:rFonts w:hAnsi="宋体" w:cs="宋体"/>
                <w:color w:val="auto"/>
                <w:kern w:val="2"/>
                <w:sz w:val="22"/>
                <w:szCs w:val="22"/>
                <w:highlight w:val="none"/>
                <w:u w:val="single"/>
              </w:rPr>
            </w:pPr>
          </w:p>
        </w:tc>
        <w:tc>
          <w:tcPr>
            <w:tcW w:w="1225" w:type="dxa"/>
            <w:tcBorders>
              <w:top w:val="single" w:color="auto" w:sz="4" w:space="0"/>
              <w:left w:val="single" w:color="auto" w:sz="4" w:space="0"/>
              <w:right w:val="single" w:color="auto" w:sz="4" w:space="0"/>
            </w:tcBorders>
            <w:vAlign w:val="center"/>
          </w:tcPr>
          <w:p w14:paraId="1D7E085E">
            <w:pPr>
              <w:pStyle w:val="10"/>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lang w:val="en-US" w:eastAsia="zh-CN"/>
              </w:rPr>
              <w:t>250000</w:t>
            </w:r>
            <w:r>
              <w:rPr>
                <w:rFonts w:hint="eastAsia" w:hAnsi="宋体" w:cs="宋体"/>
                <w:color w:val="auto"/>
                <w:kern w:val="2"/>
                <w:sz w:val="22"/>
                <w:szCs w:val="22"/>
                <w:highlight w:val="none"/>
              </w:rPr>
              <w:t>元</w:t>
            </w:r>
          </w:p>
        </w:tc>
      </w:tr>
      <w:tr w14:paraId="21A5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767" w:type="dxa"/>
            <w:tcBorders>
              <w:top w:val="single" w:color="auto" w:sz="4" w:space="0"/>
              <w:left w:val="single" w:color="auto" w:sz="4" w:space="0"/>
              <w:right w:val="single" w:color="auto" w:sz="4" w:space="0"/>
            </w:tcBorders>
            <w:vAlign w:val="center"/>
          </w:tcPr>
          <w:p w14:paraId="322CF321">
            <w:pPr>
              <w:pStyle w:val="10"/>
              <w:tabs>
                <w:tab w:val="left" w:pos="1069"/>
                <w:tab w:val="left" w:pos="2352"/>
              </w:tabs>
              <w:spacing w:line="440" w:lineRule="atLeast"/>
              <w:jc w:val="center"/>
              <w:rPr>
                <w:rFonts w:hint="eastAsia" w:hAnsi="宋体" w:eastAsia="宋体" w:cs="宋体"/>
                <w:color w:val="auto"/>
                <w:kern w:val="2"/>
                <w:sz w:val="22"/>
                <w:szCs w:val="22"/>
                <w:highlight w:val="none"/>
                <w:lang w:val="en-US" w:eastAsia="zh-CN"/>
              </w:rPr>
            </w:pPr>
            <w:r>
              <w:rPr>
                <w:rFonts w:hint="eastAsia" w:hAnsi="宋体" w:cs="宋体"/>
                <w:color w:val="auto"/>
                <w:kern w:val="2"/>
                <w:sz w:val="22"/>
                <w:szCs w:val="22"/>
                <w:highlight w:val="none"/>
                <w:lang w:val="en-US" w:eastAsia="zh-CN"/>
              </w:rPr>
              <w:t>二</w:t>
            </w:r>
          </w:p>
        </w:tc>
        <w:tc>
          <w:tcPr>
            <w:tcW w:w="1724" w:type="dxa"/>
            <w:tcBorders>
              <w:right w:val="single" w:color="000000" w:sz="4" w:space="0"/>
            </w:tcBorders>
            <w:vAlign w:val="center"/>
          </w:tcPr>
          <w:p w14:paraId="3FDFBE1D">
            <w:pPr>
              <w:pStyle w:val="10"/>
              <w:tabs>
                <w:tab w:val="left" w:pos="1069"/>
                <w:tab w:val="left" w:pos="2352"/>
              </w:tabs>
              <w:spacing w:line="440" w:lineRule="atLeast"/>
              <w:jc w:val="center"/>
              <w:rPr>
                <w:rFonts w:hAnsi="宋体" w:cs="宋体"/>
                <w:bCs/>
                <w:color w:val="auto"/>
                <w:sz w:val="22"/>
                <w:highlight w:val="none"/>
                <w:lang w:val="en-US" w:eastAsia="zh-CN"/>
              </w:rPr>
            </w:pPr>
            <w:r>
              <w:rPr>
                <w:rFonts w:hint="eastAsia" w:hAnsi="宋体" w:cs="宋体"/>
                <w:bCs/>
                <w:color w:val="auto"/>
                <w:sz w:val="22"/>
                <w:highlight w:val="none"/>
                <w:lang w:eastAsia="zh-CN"/>
              </w:rPr>
              <w:t>食品安全抽检服务-</w:t>
            </w:r>
            <w:r>
              <w:rPr>
                <w:rFonts w:hint="eastAsia" w:hAnsi="宋体" w:cs="宋体"/>
                <w:bCs/>
                <w:color w:val="auto"/>
                <w:sz w:val="22"/>
                <w:highlight w:val="none"/>
                <w:lang w:val="en-US" w:eastAsia="zh-CN"/>
              </w:rPr>
              <w:t>2</w:t>
            </w:r>
          </w:p>
        </w:tc>
        <w:tc>
          <w:tcPr>
            <w:tcW w:w="4225" w:type="dxa"/>
            <w:tcBorders>
              <w:left w:val="single" w:color="000000" w:sz="4" w:space="0"/>
            </w:tcBorders>
            <w:vAlign w:val="center"/>
          </w:tcPr>
          <w:p w14:paraId="33BD698C">
            <w:pPr>
              <w:pStyle w:val="10"/>
              <w:tabs>
                <w:tab w:val="left" w:pos="1069"/>
                <w:tab w:val="left" w:pos="2352"/>
              </w:tabs>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5E3B2E7B">
            <w:pPr>
              <w:pStyle w:val="10"/>
              <w:tabs>
                <w:tab w:val="left" w:pos="1069"/>
                <w:tab w:val="left" w:pos="2352"/>
              </w:tabs>
              <w:ind w:firstLine="892" w:firstLineChars="400"/>
              <w:rPr>
                <w:rFonts w:hint="eastAsia"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小写：                </w:t>
            </w:r>
          </w:p>
        </w:tc>
        <w:tc>
          <w:tcPr>
            <w:tcW w:w="1540" w:type="dxa"/>
            <w:tcBorders>
              <w:top w:val="single" w:color="auto" w:sz="4" w:space="0"/>
              <w:left w:val="single" w:color="auto" w:sz="4" w:space="0"/>
              <w:right w:val="single" w:color="auto" w:sz="4" w:space="0"/>
            </w:tcBorders>
            <w:vAlign w:val="center"/>
          </w:tcPr>
          <w:p w14:paraId="59B35FD7">
            <w:pPr>
              <w:pStyle w:val="10"/>
              <w:tabs>
                <w:tab w:val="left" w:pos="1069"/>
                <w:tab w:val="left" w:pos="2352"/>
              </w:tabs>
              <w:spacing w:line="440" w:lineRule="atLeast"/>
              <w:rPr>
                <w:rFonts w:hAnsi="宋体" w:cs="宋体"/>
                <w:color w:val="auto"/>
                <w:kern w:val="2"/>
                <w:sz w:val="22"/>
                <w:szCs w:val="22"/>
                <w:highlight w:val="none"/>
                <w:u w:val="single"/>
              </w:rPr>
            </w:pPr>
          </w:p>
        </w:tc>
        <w:tc>
          <w:tcPr>
            <w:tcW w:w="1225" w:type="dxa"/>
            <w:tcBorders>
              <w:top w:val="single" w:color="auto" w:sz="4" w:space="0"/>
              <w:left w:val="single" w:color="auto" w:sz="4" w:space="0"/>
              <w:right w:val="single" w:color="auto" w:sz="4" w:space="0"/>
            </w:tcBorders>
            <w:vAlign w:val="center"/>
          </w:tcPr>
          <w:p w14:paraId="2B92C00E">
            <w:pPr>
              <w:pStyle w:val="10"/>
              <w:tabs>
                <w:tab w:val="left" w:pos="1069"/>
                <w:tab w:val="left" w:pos="2352"/>
              </w:tabs>
              <w:spacing w:line="440" w:lineRule="atLeast"/>
              <w:jc w:val="center"/>
              <w:rPr>
                <w:rFonts w:hint="eastAsia" w:hAnsi="宋体" w:cs="宋体"/>
                <w:color w:val="auto"/>
                <w:kern w:val="2"/>
                <w:sz w:val="22"/>
                <w:szCs w:val="22"/>
                <w:highlight w:val="none"/>
              </w:rPr>
            </w:pPr>
            <w:r>
              <w:rPr>
                <w:rFonts w:hint="eastAsia" w:hAnsi="宋体" w:cs="宋体"/>
                <w:color w:val="auto"/>
                <w:kern w:val="2"/>
                <w:sz w:val="22"/>
                <w:szCs w:val="22"/>
                <w:highlight w:val="none"/>
                <w:lang w:val="en-US" w:eastAsia="zh-CN"/>
              </w:rPr>
              <w:t>150000</w:t>
            </w:r>
            <w:r>
              <w:rPr>
                <w:rFonts w:hint="eastAsia" w:hAnsi="宋体" w:cs="宋体"/>
                <w:color w:val="auto"/>
                <w:kern w:val="2"/>
                <w:sz w:val="22"/>
                <w:szCs w:val="22"/>
                <w:highlight w:val="none"/>
              </w:rPr>
              <w:t>元</w:t>
            </w:r>
          </w:p>
        </w:tc>
      </w:tr>
    </w:tbl>
    <w:p w14:paraId="7C48B471">
      <w:pPr>
        <w:pStyle w:val="10"/>
        <w:tabs>
          <w:tab w:val="left" w:pos="1069"/>
          <w:tab w:val="left" w:pos="2352"/>
        </w:tabs>
        <w:spacing w:line="440" w:lineRule="atLeast"/>
        <w:rPr>
          <w:rFonts w:hAnsi="宋体" w:cs="宋体"/>
          <w:color w:val="auto"/>
          <w:sz w:val="22"/>
          <w:highlight w:val="none"/>
        </w:rPr>
      </w:pPr>
    </w:p>
    <w:p w14:paraId="545783F3">
      <w:pPr>
        <w:tabs>
          <w:tab w:val="left" w:pos="1069"/>
          <w:tab w:val="left" w:pos="2352"/>
        </w:tabs>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开标（报价）一览表中投标价为符合竞争性磋商文件要求的总价</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lang w:val="en-US" w:eastAsia="zh-CN"/>
        </w:rPr>
        <w:t>填写所投标项，未投标项空着即可</w:t>
      </w:r>
      <w:r>
        <w:rPr>
          <w:rFonts w:hint="eastAsia" w:ascii="宋体" w:hAnsi="宋体" w:cs="宋体"/>
          <w:color w:val="auto"/>
          <w:sz w:val="22"/>
          <w:highlight w:val="none"/>
        </w:rPr>
        <w:t>。</w:t>
      </w:r>
    </w:p>
    <w:p w14:paraId="5D3C522D">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不提供此表格的将视为没有实质性响应竞争性磋商文件</w:t>
      </w:r>
      <w:r>
        <w:rPr>
          <w:rFonts w:hint="eastAsia" w:ascii="宋体" w:hAnsi="宋体" w:cs="宋体"/>
          <w:color w:val="auto"/>
          <w:sz w:val="22"/>
          <w:highlight w:val="none"/>
        </w:rPr>
        <w:t>。</w:t>
      </w:r>
    </w:p>
    <w:p w14:paraId="3610A3DD">
      <w:pPr>
        <w:pStyle w:val="10"/>
        <w:tabs>
          <w:tab w:val="left" w:pos="1069"/>
          <w:tab w:val="left" w:pos="2352"/>
        </w:tabs>
        <w:spacing w:line="440" w:lineRule="atLeast"/>
        <w:rPr>
          <w:rFonts w:hAnsi="宋体" w:cs="宋体"/>
          <w:b/>
          <w:bCs/>
          <w:color w:val="auto"/>
          <w:sz w:val="22"/>
          <w:highlight w:val="none"/>
        </w:rPr>
      </w:pPr>
    </w:p>
    <w:p w14:paraId="332C0342">
      <w:pPr>
        <w:pStyle w:val="10"/>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0B8A1295">
      <w:pPr>
        <w:pStyle w:val="10"/>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0E02EB92">
      <w:pPr>
        <w:pStyle w:val="10"/>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14:paraId="67CE5258">
      <w:pPr>
        <w:tabs>
          <w:tab w:val="left" w:pos="1069"/>
          <w:tab w:val="left" w:pos="2352"/>
        </w:tabs>
        <w:spacing w:line="360" w:lineRule="exact"/>
        <w:jc w:val="left"/>
        <w:rPr>
          <w:rFonts w:ascii="宋体" w:hAnsi="宋体" w:cs="宋体"/>
          <w:color w:val="auto"/>
          <w:sz w:val="22"/>
          <w:highlight w:val="none"/>
          <w:lang w:val="zh-CN"/>
        </w:rPr>
      </w:pPr>
      <w:bookmarkStart w:id="70" w:name="_Toc31481_WPSOffice_Level2"/>
    </w:p>
    <w:p w14:paraId="14AFF9C8">
      <w:pPr>
        <w:pStyle w:val="24"/>
        <w:tabs>
          <w:tab w:val="left" w:pos="1069"/>
          <w:tab w:val="left" w:pos="2352"/>
        </w:tabs>
        <w:rPr>
          <w:rFonts w:ascii="宋体" w:hAnsi="宋体" w:cs="宋体"/>
          <w:color w:val="auto"/>
          <w:sz w:val="22"/>
          <w:highlight w:val="none"/>
          <w:lang w:val="zh-CN"/>
        </w:rPr>
      </w:pPr>
    </w:p>
    <w:p w14:paraId="0AA0A4F1">
      <w:pPr>
        <w:pStyle w:val="24"/>
        <w:tabs>
          <w:tab w:val="left" w:pos="1069"/>
          <w:tab w:val="left" w:pos="2352"/>
        </w:tabs>
        <w:rPr>
          <w:rFonts w:ascii="宋体" w:hAnsi="宋体" w:cs="宋体"/>
          <w:color w:val="auto"/>
          <w:sz w:val="22"/>
          <w:highlight w:val="none"/>
          <w:lang w:val="zh-CN"/>
        </w:rPr>
      </w:pPr>
    </w:p>
    <w:p w14:paraId="29971EA2">
      <w:pPr>
        <w:pStyle w:val="24"/>
        <w:tabs>
          <w:tab w:val="left" w:pos="1069"/>
          <w:tab w:val="left" w:pos="2352"/>
        </w:tabs>
        <w:rPr>
          <w:rFonts w:ascii="宋体" w:hAnsi="宋体" w:cs="宋体"/>
          <w:color w:val="auto"/>
          <w:sz w:val="22"/>
          <w:highlight w:val="none"/>
          <w:lang w:val="zh-CN"/>
        </w:rPr>
      </w:pPr>
    </w:p>
    <w:bookmarkEnd w:id="70"/>
    <w:p w14:paraId="6C91679F">
      <w:pPr>
        <w:pStyle w:val="7"/>
        <w:tabs>
          <w:tab w:val="left" w:pos="1069"/>
          <w:tab w:val="left" w:pos="2352"/>
        </w:tabs>
        <w:rPr>
          <w:rFonts w:ascii="宋体" w:hAnsi="宋体" w:cs="宋体"/>
          <w:b/>
          <w:bCs/>
          <w:color w:val="auto"/>
          <w:sz w:val="32"/>
          <w:szCs w:val="32"/>
          <w:highlight w:val="none"/>
        </w:rPr>
      </w:pPr>
    </w:p>
    <w:p w14:paraId="56BD6822">
      <w:pPr>
        <w:pStyle w:val="7"/>
        <w:tabs>
          <w:tab w:val="left" w:pos="2352"/>
        </w:tabs>
        <w:rPr>
          <w:rFonts w:ascii="宋体"/>
          <w:b/>
          <w:bCs/>
          <w:color w:val="auto"/>
          <w:sz w:val="32"/>
          <w:szCs w:val="32"/>
          <w:highlight w:val="none"/>
        </w:rPr>
      </w:pPr>
    </w:p>
    <w:p w14:paraId="7FECA348">
      <w:pPr>
        <w:pStyle w:val="7"/>
        <w:tabs>
          <w:tab w:val="left" w:pos="2352"/>
        </w:tabs>
        <w:rPr>
          <w:rFonts w:ascii="宋体"/>
          <w:b/>
          <w:bCs/>
          <w:color w:val="auto"/>
          <w:sz w:val="32"/>
          <w:szCs w:val="32"/>
          <w:highlight w:val="none"/>
        </w:rPr>
      </w:pPr>
      <w:r>
        <w:rPr>
          <w:rFonts w:hint="eastAsia" w:ascii="宋体"/>
          <w:b/>
          <w:bCs/>
          <w:color w:val="auto"/>
          <w:sz w:val="32"/>
          <w:szCs w:val="32"/>
          <w:highlight w:val="none"/>
        </w:rPr>
        <w:t>附件二</w:t>
      </w:r>
    </w:p>
    <w:p w14:paraId="3B514770">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14:paraId="2600F129">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2025年泰顺县食品安全抽检服务项目</w:t>
      </w:r>
    </w:p>
    <w:p w14:paraId="2D11C8A2">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TSCG202502003</w:t>
      </w:r>
    </w:p>
    <w:p w14:paraId="66BEE7D5">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6"/>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14:paraId="530D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14:paraId="772A744B">
            <w:pPr>
              <w:tabs>
                <w:tab w:val="left" w:pos="2352"/>
              </w:tabs>
              <w:ind w:right="-11"/>
              <w:jc w:val="center"/>
              <w:rPr>
                <w:rFonts w:ascii="宋体" w:cs="Arial"/>
                <w:bCs/>
                <w:color w:val="auto"/>
                <w:sz w:val="22"/>
                <w:highlight w:val="none"/>
              </w:rPr>
            </w:pPr>
            <w:r>
              <w:rPr>
                <w:rFonts w:hint="eastAsia" w:ascii="宋体" w:cs="Arial"/>
                <w:bCs/>
                <w:color w:val="auto"/>
                <w:sz w:val="22"/>
                <w:highlight w:val="none"/>
              </w:rPr>
              <w:t>序号</w:t>
            </w:r>
          </w:p>
        </w:tc>
        <w:tc>
          <w:tcPr>
            <w:tcW w:w="2668" w:type="dxa"/>
            <w:vAlign w:val="center"/>
          </w:tcPr>
          <w:p w14:paraId="5CD4CA7E">
            <w:pPr>
              <w:tabs>
                <w:tab w:val="left" w:pos="2352"/>
              </w:tabs>
              <w:ind w:right="-11"/>
              <w:jc w:val="center"/>
              <w:rPr>
                <w:rFonts w:ascii="宋体" w:cs="Arial"/>
                <w:bCs/>
                <w:color w:val="auto"/>
                <w:sz w:val="22"/>
                <w:highlight w:val="none"/>
              </w:rPr>
            </w:pPr>
            <w:r>
              <w:rPr>
                <w:rFonts w:hint="eastAsia" w:ascii="宋体" w:cs="Arial"/>
                <w:bCs/>
                <w:color w:val="auto"/>
                <w:sz w:val="22"/>
                <w:highlight w:val="none"/>
              </w:rPr>
              <w:t>报价项</w:t>
            </w:r>
          </w:p>
        </w:tc>
        <w:tc>
          <w:tcPr>
            <w:tcW w:w="988" w:type="dxa"/>
            <w:vAlign w:val="center"/>
          </w:tcPr>
          <w:p w14:paraId="2B31B598">
            <w:pPr>
              <w:tabs>
                <w:tab w:val="left" w:pos="2352"/>
              </w:tabs>
              <w:ind w:right="-11"/>
              <w:jc w:val="center"/>
              <w:rPr>
                <w:rFonts w:ascii="宋体" w:cs="Arial"/>
                <w:bCs/>
                <w:color w:val="auto"/>
                <w:sz w:val="22"/>
                <w:highlight w:val="none"/>
              </w:rPr>
            </w:pPr>
            <w:r>
              <w:rPr>
                <w:rFonts w:hint="eastAsia" w:ascii="宋体" w:cs="Arial"/>
                <w:bCs/>
                <w:color w:val="auto"/>
                <w:sz w:val="22"/>
                <w:highlight w:val="none"/>
              </w:rPr>
              <w:t>单位</w:t>
            </w:r>
          </w:p>
        </w:tc>
        <w:tc>
          <w:tcPr>
            <w:tcW w:w="1012" w:type="dxa"/>
            <w:vAlign w:val="center"/>
          </w:tcPr>
          <w:p w14:paraId="20DDC121">
            <w:pPr>
              <w:tabs>
                <w:tab w:val="left" w:pos="2352"/>
              </w:tabs>
              <w:ind w:right="-11"/>
              <w:jc w:val="center"/>
              <w:rPr>
                <w:rFonts w:ascii="宋体" w:cs="Arial"/>
                <w:bCs/>
                <w:color w:val="auto"/>
                <w:sz w:val="22"/>
                <w:highlight w:val="none"/>
              </w:rPr>
            </w:pPr>
            <w:r>
              <w:rPr>
                <w:rFonts w:hint="eastAsia" w:ascii="宋体" w:cs="Arial"/>
                <w:bCs/>
                <w:color w:val="auto"/>
                <w:sz w:val="22"/>
                <w:highlight w:val="none"/>
              </w:rPr>
              <w:t>数量</w:t>
            </w:r>
          </w:p>
        </w:tc>
        <w:tc>
          <w:tcPr>
            <w:tcW w:w="1336" w:type="dxa"/>
            <w:vAlign w:val="center"/>
          </w:tcPr>
          <w:p w14:paraId="29D08A7C">
            <w:pPr>
              <w:tabs>
                <w:tab w:val="left" w:pos="2352"/>
              </w:tabs>
              <w:ind w:right="-11"/>
              <w:jc w:val="center"/>
              <w:rPr>
                <w:rFonts w:ascii="宋体" w:cs="Arial"/>
                <w:color w:val="auto"/>
                <w:sz w:val="22"/>
                <w:highlight w:val="none"/>
              </w:rPr>
            </w:pPr>
            <w:r>
              <w:rPr>
                <w:rFonts w:hint="eastAsia" w:ascii="宋体" w:cs="Arial"/>
                <w:bCs/>
                <w:color w:val="auto"/>
                <w:sz w:val="22"/>
                <w:highlight w:val="none"/>
              </w:rPr>
              <w:t>单价</w:t>
            </w:r>
          </w:p>
        </w:tc>
        <w:tc>
          <w:tcPr>
            <w:tcW w:w="1503" w:type="dxa"/>
            <w:vAlign w:val="center"/>
          </w:tcPr>
          <w:p w14:paraId="648FC359">
            <w:pPr>
              <w:tabs>
                <w:tab w:val="left" w:pos="2352"/>
              </w:tabs>
              <w:ind w:right="-11"/>
              <w:jc w:val="center"/>
              <w:rPr>
                <w:rFonts w:ascii="宋体" w:cs="Arial"/>
                <w:color w:val="auto"/>
                <w:sz w:val="22"/>
                <w:highlight w:val="none"/>
              </w:rPr>
            </w:pPr>
            <w:r>
              <w:rPr>
                <w:rFonts w:hint="eastAsia" w:ascii="宋体" w:cs="Arial"/>
                <w:bCs/>
                <w:color w:val="auto"/>
                <w:sz w:val="22"/>
                <w:highlight w:val="none"/>
              </w:rPr>
              <w:t>总价</w:t>
            </w:r>
          </w:p>
        </w:tc>
        <w:tc>
          <w:tcPr>
            <w:tcW w:w="1560" w:type="dxa"/>
            <w:vAlign w:val="center"/>
          </w:tcPr>
          <w:p w14:paraId="6182AD3B">
            <w:pPr>
              <w:tabs>
                <w:tab w:val="left" w:pos="2352"/>
              </w:tabs>
              <w:ind w:right="-11"/>
              <w:jc w:val="center"/>
              <w:rPr>
                <w:rFonts w:ascii="宋体" w:cs="Arial"/>
                <w:bCs/>
                <w:color w:val="auto"/>
                <w:sz w:val="22"/>
                <w:highlight w:val="none"/>
              </w:rPr>
            </w:pPr>
            <w:r>
              <w:rPr>
                <w:rFonts w:hint="eastAsia" w:ascii="宋体" w:cs="Arial"/>
                <w:bCs/>
                <w:color w:val="auto"/>
                <w:sz w:val="22"/>
                <w:highlight w:val="none"/>
              </w:rPr>
              <w:t>备注</w:t>
            </w:r>
          </w:p>
        </w:tc>
      </w:tr>
      <w:tr w14:paraId="1F5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57EBC734">
            <w:pPr>
              <w:tabs>
                <w:tab w:val="left" w:pos="2352"/>
              </w:tabs>
              <w:ind w:right="-11"/>
              <w:jc w:val="center"/>
              <w:rPr>
                <w:rFonts w:ascii="宋体" w:cs="Arial"/>
                <w:color w:val="auto"/>
                <w:sz w:val="22"/>
                <w:highlight w:val="none"/>
              </w:rPr>
            </w:pPr>
            <w:r>
              <w:rPr>
                <w:rFonts w:hint="eastAsia" w:ascii="宋体" w:cs="Arial"/>
                <w:color w:val="auto"/>
                <w:sz w:val="22"/>
                <w:highlight w:val="none"/>
              </w:rPr>
              <w:t>1</w:t>
            </w:r>
          </w:p>
        </w:tc>
        <w:tc>
          <w:tcPr>
            <w:tcW w:w="2668" w:type="dxa"/>
            <w:tcBorders>
              <w:top w:val="single" w:color="auto" w:sz="4" w:space="0"/>
              <w:left w:val="single" w:color="auto" w:sz="4" w:space="0"/>
              <w:right w:val="single" w:color="auto" w:sz="4" w:space="0"/>
            </w:tcBorders>
            <w:vAlign w:val="center"/>
          </w:tcPr>
          <w:p w14:paraId="76B67AC6">
            <w:pPr>
              <w:tabs>
                <w:tab w:val="left" w:pos="2352"/>
              </w:tabs>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0019B43B">
            <w:pPr>
              <w:tabs>
                <w:tab w:val="left" w:pos="2352"/>
              </w:tabs>
              <w:ind w:right="-11"/>
              <w:jc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38CB6D8C">
            <w:pPr>
              <w:tabs>
                <w:tab w:val="left" w:pos="2352"/>
              </w:tabs>
              <w:jc w:val="center"/>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112CD57E">
            <w:pPr>
              <w:tabs>
                <w:tab w:val="left" w:pos="2352"/>
              </w:tabs>
              <w:ind w:right="-11"/>
              <w:jc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1D7F831F">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1C7306BC">
            <w:pPr>
              <w:tabs>
                <w:tab w:val="left" w:pos="2352"/>
              </w:tabs>
              <w:ind w:right="-11"/>
              <w:jc w:val="center"/>
              <w:rPr>
                <w:rFonts w:ascii="宋体" w:cs="Arial"/>
                <w:color w:val="auto"/>
                <w:sz w:val="22"/>
                <w:highlight w:val="none"/>
              </w:rPr>
            </w:pPr>
          </w:p>
        </w:tc>
      </w:tr>
      <w:tr w14:paraId="641C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DF4A578">
            <w:pPr>
              <w:tabs>
                <w:tab w:val="left" w:pos="2352"/>
              </w:tabs>
              <w:ind w:right="-11"/>
              <w:jc w:val="center"/>
              <w:rPr>
                <w:rFonts w:ascii="宋体" w:cs="Arial"/>
                <w:color w:val="auto"/>
                <w:sz w:val="22"/>
                <w:highlight w:val="none"/>
              </w:rPr>
            </w:pPr>
            <w:r>
              <w:rPr>
                <w:rFonts w:hint="eastAsia" w:ascii="宋体" w:cs="Arial"/>
                <w:color w:val="auto"/>
                <w:sz w:val="22"/>
                <w:highlight w:val="none"/>
              </w:rPr>
              <w:t>2</w:t>
            </w:r>
          </w:p>
        </w:tc>
        <w:tc>
          <w:tcPr>
            <w:tcW w:w="2668" w:type="dxa"/>
            <w:tcBorders>
              <w:top w:val="single" w:color="auto" w:sz="4" w:space="0"/>
              <w:left w:val="single" w:color="auto" w:sz="4" w:space="0"/>
              <w:right w:val="single" w:color="auto" w:sz="4" w:space="0"/>
            </w:tcBorders>
            <w:vAlign w:val="center"/>
          </w:tcPr>
          <w:p w14:paraId="6F098544">
            <w:pPr>
              <w:tabs>
                <w:tab w:val="left" w:pos="2352"/>
              </w:tabs>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548604A5">
            <w:pPr>
              <w:tabs>
                <w:tab w:val="left" w:pos="2352"/>
              </w:tabs>
              <w:ind w:right="-11"/>
              <w:jc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5D7AA9BC">
            <w:pPr>
              <w:tabs>
                <w:tab w:val="left" w:pos="2352"/>
              </w:tabs>
              <w:jc w:val="center"/>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7E807F73">
            <w:pPr>
              <w:tabs>
                <w:tab w:val="left" w:pos="2352"/>
              </w:tabs>
              <w:ind w:right="-11"/>
              <w:jc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33A505AD">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1D6BFAB8">
            <w:pPr>
              <w:tabs>
                <w:tab w:val="left" w:pos="2352"/>
              </w:tabs>
              <w:ind w:right="-11"/>
              <w:jc w:val="center"/>
              <w:rPr>
                <w:rFonts w:ascii="宋体" w:cs="Arial"/>
                <w:color w:val="auto"/>
                <w:sz w:val="22"/>
                <w:highlight w:val="none"/>
              </w:rPr>
            </w:pPr>
          </w:p>
        </w:tc>
      </w:tr>
      <w:tr w14:paraId="4103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7A60E8D">
            <w:pPr>
              <w:tabs>
                <w:tab w:val="left" w:pos="2352"/>
              </w:tabs>
              <w:ind w:right="-11"/>
              <w:jc w:val="center"/>
              <w:rPr>
                <w:rFonts w:ascii="宋体" w:cs="Arial"/>
                <w:color w:val="auto"/>
                <w:sz w:val="22"/>
                <w:highlight w:val="none"/>
              </w:rPr>
            </w:pPr>
            <w:r>
              <w:rPr>
                <w:rFonts w:hint="eastAsia" w:ascii="宋体" w:cs="Arial"/>
                <w:color w:val="auto"/>
                <w:sz w:val="22"/>
                <w:highlight w:val="none"/>
              </w:rPr>
              <w:t>3</w:t>
            </w:r>
          </w:p>
        </w:tc>
        <w:tc>
          <w:tcPr>
            <w:tcW w:w="2668" w:type="dxa"/>
            <w:tcBorders>
              <w:top w:val="single" w:color="auto" w:sz="4" w:space="0"/>
              <w:left w:val="single" w:color="auto" w:sz="4" w:space="0"/>
              <w:right w:val="single" w:color="auto" w:sz="4" w:space="0"/>
            </w:tcBorders>
            <w:vAlign w:val="center"/>
          </w:tcPr>
          <w:p w14:paraId="064203AE">
            <w:pPr>
              <w:tabs>
                <w:tab w:val="left" w:pos="2352"/>
              </w:tabs>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21B33325">
            <w:pPr>
              <w:tabs>
                <w:tab w:val="left" w:pos="2352"/>
              </w:tabs>
              <w:ind w:right="-11"/>
              <w:jc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207D9127">
            <w:pPr>
              <w:tabs>
                <w:tab w:val="left" w:pos="2352"/>
              </w:tabs>
              <w:jc w:val="center"/>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2FEEF4CC">
            <w:pPr>
              <w:tabs>
                <w:tab w:val="left" w:pos="2352"/>
              </w:tabs>
              <w:ind w:right="-11"/>
              <w:jc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299D2F86">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0F1AD62E">
            <w:pPr>
              <w:tabs>
                <w:tab w:val="left" w:pos="2352"/>
              </w:tabs>
              <w:ind w:right="-11"/>
              <w:jc w:val="center"/>
              <w:rPr>
                <w:rFonts w:ascii="宋体" w:cs="Arial"/>
                <w:color w:val="auto"/>
                <w:sz w:val="22"/>
                <w:highlight w:val="none"/>
              </w:rPr>
            </w:pPr>
          </w:p>
        </w:tc>
      </w:tr>
      <w:tr w14:paraId="1AB7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54308135">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tcBorders>
              <w:top w:val="single" w:color="auto" w:sz="4" w:space="0"/>
              <w:left w:val="single" w:color="auto" w:sz="4" w:space="0"/>
              <w:right w:val="single" w:color="auto" w:sz="4" w:space="0"/>
            </w:tcBorders>
            <w:vAlign w:val="center"/>
          </w:tcPr>
          <w:p w14:paraId="0D4A47B5">
            <w:pPr>
              <w:tabs>
                <w:tab w:val="left" w:pos="2352"/>
              </w:tabs>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26C63919">
            <w:pPr>
              <w:tabs>
                <w:tab w:val="left" w:pos="2352"/>
              </w:tabs>
              <w:ind w:right="-11"/>
              <w:jc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1BF4D798">
            <w:pPr>
              <w:tabs>
                <w:tab w:val="left" w:pos="2352"/>
              </w:tabs>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13E1AD6E">
            <w:pPr>
              <w:tabs>
                <w:tab w:val="left" w:pos="2352"/>
              </w:tabs>
              <w:ind w:right="-11"/>
              <w:jc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7D9D34FB">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2CB7B2C6">
            <w:pPr>
              <w:tabs>
                <w:tab w:val="left" w:pos="2352"/>
              </w:tabs>
              <w:ind w:right="-11"/>
              <w:jc w:val="center"/>
              <w:rPr>
                <w:rFonts w:ascii="宋体" w:cs="Arial"/>
                <w:color w:val="auto"/>
                <w:sz w:val="22"/>
                <w:highlight w:val="none"/>
              </w:rPr>
            </w:pPr>
          </w:p>
        </w:tc>
      </w:tr>
      <w:tr w14:paraId="165C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343902A0">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tcBorders>
              <w:top w:val="single" w:color="auto" w:sz="4" w:space="0"/>
              <w:left w:val="single" w:color="auto" w:sz="4" w:space="0"/>
              <w:right w:val="single" w:color="auto" w:sz="4" w:space="0"/>
            </w:tcBorders>
            <w:vAlign w:val="center"/>
          </w:tcPr>
          <w:p w14:paraId="618C9692">
            <w:pPr>
              <w:tabs>
                <w:tab w:val="left" w:pos="2352"/>
              </w:tabs>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0C97D2CD">
            <w:pPr>
              <w:tabs>
                <w:tab w:val="left" w:pos="2352"/>
              </w:tabs>
              <w:ind w:right="-11"/>
              <w:jc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6E460189">
            <w:pPr>
              <w:tabs>
                <w:tab w:val="left" w:pos="2352"/>
              </w:tabs>
              <w:jc w:val="center"/>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21A81E88">
            <w:pPr>
              <w:tabs>
                <w:tab w:val="left" w:pos="2352"/>
              </w:tabs>
              <w:ind w:right="-11"/>
              <w:jc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571B185B">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6C1E098E">
            <w:pPr>
              <w:tabs>
                <w:tab w:val="left" w:pos="2352"/>
              </w:tabs>
              <w:ind w:right="-11"/>
              <w:jc w:val="center"/>
              <w:rPr>
                <w:rFonts w:ascii="宋体" w:cs="Arial"/>
                <w:color w:val="auto"/>
                <w:sz w:val="22"/>
                <w:highlight w:val="none"/>
              </w:rPr>
            </w:pPr>
          </w:p>
        </w:tc>
      </w:tr>
      <w:tr w14:paraId="5F23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AEC1261">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tcBorders>
              <w:top w:val="single" w:color="auto" w:sz="4" w:space="0"/>
              <w:left w:val="single" w:color="auto" w:sz="4" w:space="0"/>
              <w:right w:val="single" w:color="auto" w:sz="4" w:space="0"/>
            </w:tcBorders>
            <w:vAlign w:val="center"/>
          </w:tcPr>
          <w:p w14:paraId="2B6B792D">
            <w:pPr>
              <w:tabs>
                <w:tab w:val="left" w:pos="2352"/>
              </w:tabs>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6FF2FB95">
            <w:pPr>
              <w:tabs>
                <w:tab w:val="left" w:pos="2352"/>
              </w:tabs>
              <w:ind w:right="-11"/>
              <w:jc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5A8F2DE7">
            <w:pPr>
              <w:tabs>
                <w:tab w:val="left" w:pos="2352"/>
              </w:tabs>
              <w:jc w:val="center"/>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22E6B658">
            <w:pPr>
              <w:tabs>
                <w:tab w:val="left" w:pos="2352"/>
              </w:tabs>
              <w:ind w:right="-11"/>
              <w:jc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60F20B65">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4E414A49">
            <w:pPr>
              <w:tabs>
                <w:tab w:val="left" w:pos="2352"/>
              </w:tabs>
              <w:ind w:right="-11"/>
              <w:jc w:val="center"/>
              <w:rPr>
                <w:rFonts w:ascii="宋体" w:cs="Arial"/>
                <w:color w:val="auto"/>
                <w:sz w:val="22"/>
                <w:highlight w:val="none"/>
              </w:rPr>
            </w:pPr>
          </w:p>
        </w:tc>
      </w:tr>
      <w:tr w14:paraId="7F56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31D98D8B">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tcBorders>
              <w:top w:val="single" w:color="auto" w:sz="4" w:space="0"/>
              <w:left w:val="single" w:color="auto" w:sz="4" w:space="0"/>
              <w:right w:val="single" w:color="auto" w:sz="4" w:space="0"/>
            </w:tcBorders>
            <w:vAlign w:val="center"/>
          </w:tcPr>
          <w:p w14:paraId="1C66AB23">
            <w:pPr>
              <w:tabs>
                <w:tab w:val="left" w:pos="2352"/>
              </w:tabs>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4B9ECF01">
            <w:pPr>
              <w:tabs>
                <w:tab w:val="left" w:pos="2352"/>
              </w:tabs>
              <w:ind w:right="-11"/>
              <w:jc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4B584A9C">
            <w:pPr>
              <w:tabs>
                <w:tab w:val="left" w:pos="2352"/>
              </w:tabs>
              <w:jc w:val="center"/>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28F8E4D6">
            <w:pPr>
              <w:tabs>
                <w:tab w:val="left" w:pos="2352"/>
              </w:tabs>
              <w:ind w:right="-11"/>
              <w:jc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756480E9">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5BB49BEE">
            <w:pPr>
              <w:tabs>
                <w:tab w:val="left" w:pos="2352"/>
              </w:tabs>
              <w:ind w:right="-11"/>
              <w:jc w:val="center"/>
              <w:rPr>
                <w:rFonts w:ascii="宋体" w:cs="Arial"/>
                <w:color w:val="auto"/>
                <w:sz w:val="22"/>
                <w:highlight w:val="none"/>
              </w:rPr>
            </w:pPr>
          </w:p>
        </w:tc>
      </w:tr>
      <w:tr w14:paraId="5123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96BFB33">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tcBorders>
              <w:top w:val="single" w:color="auto" w:sz="4" w:space="0"/>
              <w:left w:val="single" w:color="auto" w:sz="4" w:space="0"/>
              <w:right w:val="single" w:color="auto" w:sz="4" w:space="0"/>
            </w:tcBorders>
            <w:vAlign w:val="center"/>
          </w:tcPr>
          <w:p w14:paraId="3F574CF4">
            <w:pPr>
              <w:widowControl/>
              <w:tabs>
                <w:tab w:val="left" w:pos="2352"/>
              </w:tabs>
              <w:jc w:val="center"/>
              <w:textAlignment w:val="center"/>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3DA359CA">
            <w:pPr>
              <w:widowControl/>
              <w:tabs>
                <w:tab w:val="left" w:pos="2352"/>
              </w:tabs>
              <w:jc w:val="center"/>
              <w:textAlignment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10CDE984">
            <w:pPr>
              <w:widowControl/>
              <w:tabs>
                <w:tab w:val="left" w:pos="2352"/>
              </w:tabs>
              <w:jc w:val="center"/>
              <w:textAlignment w:val="center"/>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2F82CBCA">
            <w:pPr>
              <w:widowControl/>
              <w:tabs>
                <w:tab w:val="left" w:pos="2352"/>
              </w:tabs>
              <w:jc w:val="center"/>
              <w:textAlignment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40468DEE">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1B15ADEC">
            <w:pPr>
              <w:tabs>
                <w:tab w:val="left" w:pos="2352"/>
              </w:tabs>
              <w:ind w:right="-11"/>
              <w:jc w:val="center"/>
              <w:rPr>
                <w:rFonts w:ascii="宋体" w:cs="Arial"/>
                <w:color w:val="auto"/>
                <w:sz w:val="22"/>
                <w:highlight w:val="none"/>
              </w:rPr>
            </w:pPr>
          </w:p>
        </w:tc>
      </w:tr>
      <w:tr w14:paraId="3EB6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7B27004A">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tcBorders>
              <w:top w:val="single" w:color="auto" w:sz="4" w:space="0"/>
              <w:left w:val="single" w:color="auto" w:sz="4" w:space="0"/>
              <w:right w:val="single" w:color="auto" w:sz="4" w:space="0"/>
            </w:tcBorders>
            <w:vAlign w:val="center"/>
          </w:tcPr>
          <w:p w14:paraId="3F1793FE">
            <w:pPr>
              <w:widowControl/>
              <w:tabs>
                <w:tab w:val="left" w:pos="2352"/>
              </w:tabs>
              <w:jc w:val="left"/>
              <w:textAlignment w:val="center"/>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512B09FB">
            <w:pPr>
              <w:widowControl/>
              <w:tabs>
                <w:tab w:val="left" w:pos="2352"/>
              </w:tabs>
              <w:jc w:val="center"/>
              <w:textAlignment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50801B16">
            <w:pPr>
              <w:widowControl/>
              <w:tabs>
                <w:tab w:val="left" w:pos="2352"/>
              </w:tabs>
              <w:jc w:val="center"/>
              <w:textAlignment w:val="center"/>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6DD1473E">
            <w:pPr>
              <w:widowControl/>
              <w:tabs>
                <w:tab w:val="left" w:pos="2352"/>
              </w:tabs>
              <w:jc w:val="center"/>
              <w:textAlignment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2D344E19">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6CAE0A9F">
            <w:pPr>
              <w:tabs>
                <w:tab w:val="left" w:pos="2352"/>
              </w:tabs>
              <w:ind w:right="-11"/>
              <w:jc w:val="center"/>
              <w:rPr>
                <w:rFonts w:ascii="宋体" w:cs="Arial"/>
                <w:color w:val="auto"/>
                <w:sz w:val="22"/>
                <w:highlight w:val="none"/>
              </w:rPr>
            </w:pPr>
          </w:p>
        </w:tc>
      </w:tr>
      <w:tr w14:paraId="0170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E64680C">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tcBorders>
              <w:top w:val="single" w:color="auto" w:sz="4" w:space="0"/>
              <w:left w:val="single" w:color="auto" w:sz="4" w:space="0"/>
              <w:right w:val="single" w:color="auto" w:sz="4" w:space="0"/>
            </w:tcBorders>
            <w:vAlign w:val="center"/>
          </w:tcPr>
          <w:p w14:paraId="283A2A90">
            <w:pPr>
              <w:widowControl/>
              <w:tabs>
                <w:tab w:val="left" w:pos="2352"/>
              </w:tabs>
              <w:jc w:val="left"/>
              <w:textAlignment w:val="center"/>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1754157E">
            <w:pPr>
              <w:widowControl/>
              <w:tabs>
                <w:tab w:val="left" w:pos="2352"/>
              </w:tabs>
              <w:jc w:val="center"/>
              <w:textAlignment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6876CDBC">
            <w:pPr>
              <w:widowControl/>
              <w:tabs>
                <w:tab w:val="left" w:pos="2352"/>
              </w:tabs>
              <w:jc w:val="center"/>
              <w:textAlignment w:val="center"/>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37E21119">
            <w:pPr>
              <w:widowControl/>
              <w:tabs>
                <w:tab w:val="left" w:pos="2352"/>
              </w:tabs>
              <w:jc w:val="center"/>
              <w:textAlignment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24F0FB28">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111DA1D5">
            <w:pPr>
              <w:tabs>
                <w:tab w:val="left" w:pos="2352"/>
              </w:tabs>
              <w:ind w:right="-11"/>
              <w:jc w:val="center"/>
              <w:rPr>
                <w:rFonts w:ascii="宋体" w:cs="Arial"/>
                <w:color w:val="auto"/>
                <w:sz w:val="22"/>
                <w:highlight w:val="none"/>
              </w:rPr>
            </w:pPr>
          </w:p>
        </w:tc>
      </w:tr>
      <w:tr w14:paraId="0902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405DC6BC">
            <w:pPr>
              <w:widowControl/>
              <w:tabs>
                <w:tab w:val="left" w:pos="2352"/>
              </w:tabs>
              <w:jc w:val="center"/>
              <w:textAlignment w:val="center"/>
              <w:rPr>
                <w:rFonts w:ascii="宋体" w:cs="Arial"/>
                <w:color w:val="auto"/>
                <w:sz w:val="22"/>
                <w:highlight w:val="none"/>
              </w:rPr>
            </w:pPr>
          </w:p>
        </w:tc>
        <w:tc>
          <w:tcPr>
            <w:tcW w:w="2668" w:type="dxa"/>
            <w:tcBorders>
              <w:top w:val="single" w:color="auto" w:sz="4" w:space="0"/>
              <w:left w:val="single" w:color="auto" w:sz="4" w:space="0"/>
              <w:right w:val="single" w:color="auto" w:sz="4" w:space="0"/>
            </w:tcBorders>
            <w:vAlign w:val="center"/>
          </w:tcPr>
          <w:p w14:paraId="22BDB136">
            <w:pPr>
              <w:widowControl/>
              <w:tabs>
                <w:tab w:val="left" w:pos="2352"/>
              </w:tabs>
              <w:jc w:val="left"/>
              <w:textAlignment w:val="center"/>
              <w:rPr>
                <w:rFonts w:ascii="宋体" w:cs="Arial"/>
                <w:color w:val="auto"/>
                <w:sz w:val="22"/>
                <w:highlight w:val="none"/>
              </w:rPr>
            </w:pPr>
          </w:p>
        </w:tc>
        <w:tc>
          <w:tcPr>
            <w:tcW w:w="988" w:type="dxa"/>
            <w:tcBorders>
              <w:top w:val="single" w:color="auto" w:sz="4" w:space="0"/>
              <w:left w:val="single" w:color="auto" w:sz="4" w:space="0"/>
              <w:right w:val="single" w:color="auto" w:sz="4" w:space="0"/>
            </w:tcBorders>
            <w:vAlign w:val="center"/>
          </w:tcPr>
          <w:p w14:paraId="5406576E">
            <w:pPr>
              <w:widowControl/>
              <w:tabs>
                <w:tab w:val="left" w:pos="2352"/>
              </w:tabs>
              <w:jc w:val="center"/>
              <w:textAlignment w:val="center"/>
              <w:rPr>
                <w:rFonts w:ascii="宋体" w:cs="Arial"/>
                <w:color w:val="auto"/>
                <w:sz w:val="22"/>
                <w:highlight w:val="none"/>
              </w:rPr>
            </w:pPr>
          </w:p>
        </w:tc>
        <w:tc>
          <w:tcPr>
            <w:tcW w:w="1012" w:type="dxa"/>
            <w:tcBorders>
              <w:top w:val="single" w:color="auto" w:sz="4" w:space="0"/>
              <w:left w:val="single" w:color="auto" w:sz="4" w:space="0"/>
              <w:right w:val="single" w:color="auto" w:sz="4" w:space="0"/>
            </w:tcBorders>
            <w:vAlign w:val="center"/>
          </w:tcPr>
          <w:p w14:paraId="47BFE897">
            <w:pPr>
              <w:widowControl/>
              <w:tabs>
                <w:tab w:val="left" w:pos="2352"/>
              </w:tabs>
              <w:jc w:val="center"/>
              <w:textAlignment w:val="center"/>
              <w:rPr>
                <w:rFonts w:ascii="宋体" w:cs="Arial"/>
                <w:color w:val="auto"/>
                <w:sz w:val="22"/>
                <w:highlight w:val="none"/>
              </w:rPr>
            </w:pPr>
          </w:p>
        </w:tc>
        <w:tc>
          <w:tcPr>
            <w:tcW w:w="1336" w:type="dxa"/>
            <w:tcBorders>
              <w:top w:val="single" w:color="auto" w:sz="4" w:space="0"/>
              <w:left w:val="single" w:color="auto" w:sz="4" w:space="0"/>
              <w:right w:val="single" w:color="auto" w:sz="4" w:space="0"/>
            </w:tcBorders>
            <w:vAlign w:val="center"/>
          </w:tcPr>
          <w:p w14:paraId="6381EE35">
            <w:pPr>
              <w:widowControl/>
              <w:tabs>
                <w:tab w:val="left" w:pos="2352"/>
              </w:tabs>
              <w:jc w:val="center"/>
              <w:textAlignment w:val="center"/>
              <w:rPr>
                <w:rFonts w:ascii="宋体" w:cs="Arial"/>
                <w:color w:val="auto"/>
                <w:sz w:val="22"/>
                <w:highlight w:val="none"/>
              </w:rPr>
            </w:pPr>
          </w:p>
        </w:tc>
        <w:tc>
          <w:tcPr>
            <w:tcW w:w="1503" w:type="dxa"/>
            <w:tcBorders>
              <w:top w:val="single" w:color="auto" w:sz="4" w:space="0"/>
              <w:left w:val="single" w:color="auto" w:sz="4" w:space="0"/>
              <w:right w:val="single" w:color="auto" w:sz="4" w:space="0"/>
            </w:tcBorders>
            <w:vAlign w:val="center"/>
          </w:tcPr>
          <w:p w14:paraId="1C926E6F">
            <w:pPr>
              <w:tabs>
                <w:tab w:val="left" w:pos="2352"/>
              </w:tabs>
              <w:ind w:right="-11"/>
              <w:jc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61F579E0">
            <w:pPr>
              <w:tabs>
                <w:tab w:val="left" w:pos="2352"/>
              </w:tabs>
              <w:ind w:right="-11"/>
              <w:jc w:val="center"/>
              <w:rPr>
                <w:rFonts w:ascii="宋体" w:cs="Arial"/>
                <w:color w:val="auto"/>
                <w:sz w:val="22"/>
                <w:highlight w:val="none"/>
              </w:rPr>
            </w:pPr>
          </w:p>
        </w:tc>
      </w:tr>
      <w:tr w14:paraId="3BA5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tcBorders>
              <w:top w:val="single" w:color="auto" w:sz="4" w:space="0"/>
              <w:left w:val="single" w:color="auto" w:sz="4" w:space="0"/>
              <w:right w:val="single" w:color="auto" w:sz="4" w:space="0"/>
            </w:tcBorders>
            <w:vAlign w:val="center"/>
          </w:tcPr>
          <w:p w14:paraId="1D2843D0">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合计</w:t>
            </w:r>
          </w:p>
        </w:tc>
        <w:tc>
          <w:tcPr>
            <w:tcW w:w="1503" w:type="dxa"/>
            <w:tcBorders>
              <w:top w:val="single" w:color="auto" w:sz="4" w:space="0"/>
              <w:left w:val="single" w:color="auto" w:sz="4" w:space="0"/>
              <w:right w:val="single" w:color="auto" w:sz="4" w:space="0"/>
            </w:tcBorders>
            <w:vAlign w:val="center"/>
          </w:tcPr>
          <w:p w14:paraId="6BD8FA7C">
            <w:pPr>
              <w:widowControl/>
              <w:tabs>
                <w:tab w:val="left" w:pos="2352"/>
              </w:tabs>
              <w:jc w:val="center"/>
              <w:textAlignment w:val="center"/>
              <w:rPr>
                <w:rFonts w:ascii="宋体" w:cs="Arial"/>
                <w:color w:val="auto"/>
                <w:sz w:val="22"/>
                <w:highlight w:val="none"/>
              </w:rPr>
            </w:pPr>
          </w:p>
        </w:tc>
        <w:tc>
          <w:tcPr>
            <w:tcW w:w="1560" w:type="dxa"/>
            <w:tcBorders>
              <w:top w:val="single" w:color="auto" w:sz="4" w:space="0"/>
              <w:left w:val="single" w:color="auto" w:sz="4" w:space="0"/>
              <w:right w:val="single" w:color="auto" w:sz="4" w:space="0"/>
            </w:tcBorders>
            <w:vAlign w:val="center"/>
          </w:tcPr>
          <w:p w14:paraId="43A069CC">
            <w:pPr>
              <w:tabs>
                <w:tab w:val="left" w:pos="2352"/>
              </w:tabs>
              <w:ind w:right="-11"/>
              <w:jc w:val="center"/>
              <w:rPr>
                <w:rFonts w:ascii="宋体" w:cs="Arial"/>
                <w:color w:val="auto"/>
                <w:sz w:val="22"/>
                <w:highlight w:val="none"/>
              </w:rPr>
            </w:pPr>
          </w:p>
        </w:tc>
      </w:tr>
    </w:tbl>
    <w:p w14:paraId="70074E56">
      <w:pPr>
        <w:tabs>
          <w:tab w:val="left" w:pos="2352"/>
        </w:tabs>
        <w:rPr>
          <w:rFonts w:ascii="宋体" w:cs="Arial"/>
          <w:bCs/>
          <w:color w:val="auto"/>
          <w:sz w:val="22"/>
          <w:highlight w:val="none"/>
        </w:rPr>
      </w:pPr>
    </w:p>
    <w:p w14:paraId="414C35C2">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竞争性磋商文件</w:t>
      </w:r>
      <w:r>
        <w:rPr>
          <w:rFonts w:ascii="宋体" w:cs="Arial"/>
          <w:color w:val="auto"/>
          <w:sz w:val="22"/>
          <w:highlight w:val="none"/>
        </w:rPr>
        <w:t>。</w:t>
      </w:r>
    </w:p>
    <w:p w14:paraId="62B7DEB2">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件一“开标（报价）一览表”投标总价相一</w:t>
      </w:r>
      <w:r>
        <w:rPr>
          <w:rFonts w:ascii="宋体" w:cs="Arial"/>
          <w:color w:val="auto"/>
          <w:sz w:val="22"/>
          <w:highlight w:val="none"/>
        </w:rPr>
        <w:t>致</w:t>
      </w:r>
      <w:r>
        <w:rPr>
          <w:rFonts w:ascii="宋体" w:cs="Arial"/>
          <w:b/>
          <w:bCs/>
          <w:color w:val="auto"/>
          <w:sz w:val="22"/>
          <w:highlight w:val="none"/>
        </w:rPr>
        <w:t>。</w:t>
      </w:r>
    </w:p>
    <w:p w14:paraId="398D8908">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14:paraId="0D502AA2">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14:paraId="1D883E04">
      <w:pPr>
        <w:ind w:firstLine="630"/>
        <w:rPr>
          <w:rFonts w:ascii="宋体" w:hAnsi="宋体" w:cs="宋体"/>
          <w:b/>
          <w:bCs/>
          <w:color w:val="auto"/>
          <w:sz w:val="22"/>
          <w:highlight w:val="none"/>
          <w:u w:val="single"/>
        </w:rPr>
      </w:pPr>
      <w:r>
        <w:rPr>
          <w:rFonts w:hint="eastAsia" w:ascii="宋体" w:cs="Arial"/>
          <w:color w:val="auto"/>
          <w:sz w:val="22"/>
          <w:highlight w:val="none"/>
        </w:rPr>
        <w:t>5.</w:t>
      </w:r>
      <w:r>
        <w:rPr>
          <w:rFonts w:hint="eastAsia" w:ascii="宋体" w:hAnsi="宋体" w:cs="宋体"/>
          <w:b/>
          <w:bCs/>
          <w:color w:val="auto"/>
          <w:sz w:val="22"/>
          <w:highlight w:val="none"/>
          <w:u w:val="single"/>
        </w:rPr>
        <w:t>▲中标后，以上投标单价将按投标供应商最终报价同比例下浮（采购人若有变更采购需求的情况除外），供应商报价时应注意各个分项报价。</w:t>
      </w:r>
    </w:p>
    <w:p w14:paraId="5807DED1">
      <w:pPr>
        <w:ind w:firstLine="630"/>
        <w:rPr>
          <w:color w:val="auto"/>
          <w:sz w:val="22"/>
          <w:highlight w:val="none"/>
          <w:u w:val="single"/>
        </w:rPr>
      </w:pPr>
      <w:r>
        <w:rPr>
          <w:rFonts w:hint="eastAsia" w:ascii="宋体" w:cs="Arial"/>
          <w:color w:val="auto"/>
          <w:sz w:val="22"/>
          <w:highlight w:val="none"/>
        </w:rPr>
        <w:t xml:space="preserve">6.表格可以延续。      </w:t>
      </w:r>
      <w:r>
        <w:rPr>
          <w:rFonts w:hint="eastAsia"/>
          <w:color w:val="auto"/>
          <w:sz w:val="22"/>
          <w:highlight w:val="none"/>
        </w:rPr>
        <w:t xml:space="preserve">      </w:t>
      </w:r>
      <w:r>
        <w:rPr>
          <w:rFonts w:hint="eastAsia" w:ascii="宋体" w:cs="Arial"/>
          <w:color w:val="auto"/>
          <w:sz w:val="22"/>
          <w:highlight w:val="none"/>
        </w:rPr>
        <w:t xml:space="preserve">    </w:t>
      </w:r>
      <w:r>
        <w:rPr>
          <w:rFonts w:hint="eastAsia"/>
          <w:color w:val="auto"/>
          <w:sz w:val="22"/>
          <w:highlight w:val="none"/>
        </w:rPr>
        <w:t xml:space="preserve">      </w:t>
      </w:r>
    </w:p>
    <w:p w14:paraId="5694FEBD">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14:paraId="535FD5A9">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3A002F7E">
      <w:pPr>
        <w:tabs>
          <w:tab w:val="left" w:pos="2352"/>
        </w:tabs>
        <w:spacing w:line="440" w:lineRule="atLeast"/>
        <w:rPr>
          <w:rFonts w:hAnsi="宋体"/>
          <w:color w:val="auto"/>
          <w:sz w:val="22"/>
          <w:highlight w:val="none"/>
        </w:rPr>
      </w:pPr>
      <w:r>
        <w:rPr>
          <w:rFonts w:hint="eastAsia" w:hAnsi="宋体"/>
          <w:color w:val="auto"/>
          <w:sz w:val="22"/>
          <w:highlight w:val="none"/>
        </w:rPr>
        <w:t>日期：</w:t>
      </w:r>
    </w:p>
    <w:p w14:paraId="0A232F72">
      <w:pPr>
        <w:tabs>
          <w:tab w:val="left" w:pos="1069"/>
          <w:tab w:val="left" w:pos="2352"/>
        </w:tabs>
        <w:snapToGrid w:val="0"/>
        <w:spacing w:line="440" w:lineRule="exact"/>
        <w:rPr>
          <w:rFonts w:ascii="宋体" w:hAnsi="宋体" w:cs="宋体"/>
          <w:b/>
          <w:bCs/>
          <w:color w:val="auto"/>
          <w:sz w:val="22"/>
          <w:highlight w:val="none"/>
        </w:rPr>
      </w:pPr>
    </w:p>
    <w:p w14:paraId="5B074C3F">
      <w:pPr>
        <w:tabs>
          <w:tab w:val="left" w:pos="1069"/>
          <w:tab w:val="left" w:pos="2352"/>
        </w:tabs>
        <w:snapToGrid w:val="0"/>
        <w:spacing w:line="440" w:lineRule="exact"/>
        <w:rPr>
          <w:rFonts w:ascii="宋体" w:hAnsi="宋体" w:cs="宋体"/>
          <w:b/>
          <w:bCs/>
          <w:color w:val="auto"/>
          <w:sz w:val="22"/>
          <w:highlight w:val="none"/>
        </w:rPr>
      </w:pPr>
    </w:p>
    <w:p w14:paraId="2CCCAF9A">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14:paraId="1C949A1E">
      <w:pPr>
        <w:pStyle w:val="7"/>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185BC7FF">
      <w:pPr>
        <w:tabs>
          <w:tab w:val="left" w:pos="1069"/>
          <w:tab w:val="left" w:pos="2352"/>
        </w:tabs>
        <w:spacing w:line="480" w:lineRule="auto"/>
        <w:jc w:val="center"/>
        <w:rPr>
          <w:rFonts w:ascii="宋体" w:hAnsi="宋体" w:cs="宋体"/>
          <w:b/>
          <w:color w:val="auto"/>
          <w:sz w:val="64"/>
          <w:szCs w:val="64"/>
          <w:highlight w:val="none"/>
        </w:rPr>
      </w:pPr>
    </w:p>
    <w:p w14:paraId="7D101A2C">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2025年泰顺县食品安全抽检服务项目</w:t>
      </w:r>
    </w:p>
    <w:p w14:paraId="6DEAAD6D">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530659D3">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14:paraId="58051C5D">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79D4E3B8">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2746C1D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1971A64">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TSCG202502003</w:t>
            </w:r>
          </w:p>
        </w:tc>
      </w:tr>
      <w:tr w14:paraId="3CA73EC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C08F32D">
            <w:pPr>
              <w:tabs>
                <w:tab w:val="left" w:pos="1069"/>
                <w:tab w:val="left" w:pos="2352"/>
              </w:tabs>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lang w:val="en-US" w:eastAsia="zh-CN"/>
              </w:rPr>
              <w:t>标项：</w:t>
            </w:r>
          </w:p>
        </w:tc>
      </w:tr>
      <w:tr w14:paraId="1C6D55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5E35A58A">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泰顺县市场监督管理局</w:t>
            </w:r>
          </w:p>
        </w:tc>
      </w:tr>
      <w:tr w14:paraId="072E762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7843F6DA">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3EC1D58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31D5813B">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7939A9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6418E347">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0B3B607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2AEFFF65">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4FC0D115">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68EE4C81">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14:paraId="1A70696B">
      <w:pPr>
        <w:tabs>
          <w:tab w:val="left" w:pos="1069"/>
          <w:tab w:val="left" w:pos="2352"/>
        </w:tabs>
        <w:autoSpaceDE w:val="0"/>
        <w:autoSpaceDN w:val="0"/>
        <w:adjustRightInd w:val="0"/>
        <w:spacing w:line="460" w:lineRule="atLeast"/>
        <w:rPr>
          <w:rFonts w:ascii="宋体" w:hAnsi="宋体" w:cs="宋体"/>
          <w:color w:val="auto"/>
          <w:sz w:val="30"/>
          <w:highlight w:val="none"/>
          <w:lang w:val="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三</w:t>
      </w:r>
    </w:p>
    <w:p w14:paraId="5E94AA61">
      <w:pPr>
        <w:autoSpaceDE w:val="0"/>
        <w:autoSpaceDN w:val="0"/>
        <w:adjustRightInd w:val="0"/>
        <w:spacing w:line="460" w:lineRule="atLeast"/>
        <w:jc w:val="center"/>
        <w:rPr>
          <w:rFonts w:ascii="宋体" w:eastAsia="宋体" w:cs="宋体"/>
          <w:b/>
          <w:bCs/>
          <w:color w:val="auto"/>
          <w:sz w:val="30"/>
          <w:highlight w:val="none"/>
          <w:lang w:val="zh-CN"/>
        </w:rPr>
      </w:pPr>
      <w:bookmarkStart w:id="71" w:name="_Toc27119255"/>
      <w:bookmarkStart w:id="72" w:name="_Toc18304"/>
      <w:bookmarkStart w:id="73" w:name="_Toc28957"/>
      <w:bookmarkStart w:id="74" w:name="_Toc14988"/>
      <w:bookmarkStart w:id="75" w:name="_Toc31784"/>
      <w:bookmarkStart w:id="76" w:name="_Toc31544"/>
      <w:bookmarkStart w:id="77" w:name="_Toc10630"/>
      <w:bookmarkStart w:id="78" w:name="_Toc11360"/>
      <w:bookmarkStart w:id="79" w:name="_Toc33194406"/>
      <w:bookmarkStart w:id="80" w:name="_Toc6606"/>
      <w:bookmarkStart w:id="81" w:name="_Toc13669"/>
      <w:bookmarkStart w:id="82" w:name="_Toc14589"/>
      <w:r>
        <w:rPr>
          <w:rFonts w:hint="eastAsia" w:ascii="宋体" w:eastAsia="宋体" w:cs="宋体"/>
          <w:b/>
          <w:bCs/>
          <w:color w:val="auto"/>
          <w:sz w:val="30"/>
          <w:highlight w:val="none"/>
          <w:lang w:val="zh-CN"/>
        </w:rPr>
        <w:t>符合参加政府采购活动应当具备的一般条件的承诺函</w:t>
      </w:r>
    </w:p>
    <w:p w14:paraId="4932AFAE">
      <w:pPr>
        <w:snapToGrid w:val="0"/>
        <w:spacing w:line="360" w:lineRule="auto"/>
        <w:rPr>
          <w:rFonts w:ascii="宋体" w:hAnsi="宋体" w:cs="宋体"/>
          <w:color w:val="auto"/>
          <w:sz w:val="22"/>
          <w:highlight w:val="none"/>
          <w:u w:val="single"/>
        </w:rPr>
      </w:pPr>
    </w:p>
    <w:p w14:paraId="2A69A888">
      <w:pPr>
        <w:snapToGrid w:val="0"/>
        <w:spacing w:line="360" w:lineRule="auto"/>
        <w:rPr>
          <w:rFonts w:ascii="宋体" w:hAnsi="宋体" w:cs="宋体"/>
          <w:bCs/>
          <w:color w:val="auto"/>
          <w:sz w:val="22"/>
          <w:highlight w:val="none"/>
        </w:rPr>
      </w:pPr>
      <w:r>
        <w:rPr>
          <w:rFonts w:hint="eastAsia" w:ascii="宋体" w:hAnsi="宋体" w:cs="宋体"/>
          <w:bCs/>
          <w:color w:val="auto"/>
          <w:sz w:val="22"/>
          <w:highlight w:val="none"/>
          <w:u w:val="single"/>
          <w:lang w:eastAsia="zh-CN"/>
        </w:rPr>
        <w:t>泰顺县市场监督管理局</w:t>
      </w:r>
      <w:r>
        <w:rPr>
          <w:rFonts w:hint="eastAsia" w:ascii="宋体" w:hAnsi="宋体" w:cs="宋体"/>
          <w:bCs/>
          <w:color w:val="auto"/>
          <w:sz w:val="22"/>
          <w:highlight w:val="none"/>
          <w:u w:val="single"/>
        </w:rPr>
        <w:t>、杭州华旗招标代理有限公司</w:t>
      </w:r>
      <w:r>
        <w:rPr>
          <w:rFonts w:hint="eastAsia" w:ascii="宋体" w:hAnsi="宋体" w:cs="宋体"/>
          <w:bCs/>
          <w:color w:val="auto"/>
          <w:sz w:val="22"/>
          <w:highlight w:val="none"/>
        </w:rPr>
        <w:t>：</w:t>
      </w:r>
    </w:p>
    <w:p w14:paraId="3E15571F">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我方参与</w:t>
      </w:r>
      <w:r>
        <w:rPr>
          <w:rFonts w:hint="eastAsia" w:ascii="宋体" w:hAnsi="宋体" w:cs="宋体"/>
          <w:bCs/>
          <w:color w:val="auto"/>
          <w:sz w:val="22"/>
          <w:highlight w:val="none"/>
          <w:u w:val="single"/>
        </w:rPr>
        <w:t xml:space="preserve">  </w:t>
      </w:r>
      <w:r>
        <w:rPr>
          <w:rFonts w:hint="eastAsia" w:ascii="宋体" w:hAnsi="宋体" w:cs="宋体"/>
          <w:bCs/>
          <w:color w:val="auto"/>
          <w:sz w:val="22"/>
          <w:highlight w:val="none"/>
          <w:u w:val="single"/>
          <w:lang w:eastAsia="zh-CN"/>
        </w:rPr>
        <w:t>2025年泰顺县食品安全抽检服务项目</w:t>
      </w:r>
      <w:r>
        <w:rPr>
          <w:rFonts w:hint="eastAsia" w:ascii="宋体" w:cs="宋体"/>
          <w:bCs/>
          <w:color w:val="auto"/>
          <w:sz w:val="22"/>
          <w:highlight w:val="none"/>
          <w:u w:val="single"/>
        </w:rPr>
        <w:t xml:space="preserve"> </w:t>
      </w:r>
      <w:r>
        <w:rPr>
          <w:rFonts w:hint="eastAsia" w:ascii="宋体" w:hAnsi="宋体" w:cs="宋体"/>
          <w:bCs/>
          <w:color w:val="auto"/>
          <w:sz w:val="22"/>
          <w:highlight w:val="none"/>
          <w:u w:val="single"/>
        </w:rPr>
        <w:t>（项目编号：</w:t>
      </w:r>
      <w:r>
        <w:rPr>
          <w:rFonts w:hint="eastAsia" w:ascii="宋体" w:cs="宋体"/>
          <w:bCs/>
          <w:color w:val="auto"/>
          <w:sz w:val="22"/>
          <w:highlight w:val="none"/>
          <w:u w:val="single"/>
          <w:lang w:eastAsia="zh-CN"/>
        </w:rPr>
        <w:t>TSCG202502003</w:t>
      </w:r>
      <w:r>
        <w:rPr>
          <w:rFonts w:hint="eastAsia" w:ascii="宋体" w:hAnsi="宋体" w:cs="宋体"/>
          <w:bCs/>
          <w:color w:val="auto"/>
          <w:sz w:val="22"/>
          <w:highlight w:val="none"/>
          <w:u w:val="single"/>
        </w:rPr>
        <w:t>）</w:t>
      </w:r>
      <w:r>
        <w:rPr>
          <w:rFonts w:hint="eastAsia" w:ascii="宋体" w:hAnsi="宋体" w:cs="宋体"/>
          <w:bCs/>
          <w:color w:val="auto"/>
          <w:sz w:val="22"/>
          <w:highlight w:val="none"/>
        </w:rPr>
        <w:t>政府采购活动，郑重承诺：</w:t>
      </w:r>
    </w:p>
    <w:p w14:paraId="18B154F3">
      <w:pPr>
        <w:snapToGrid w:val="0"/>
        <w:spacing w:line="360" w:lineRule="auto"/>
        <w:ind w:firstLine="334" w:firstLineChars="150"/>
        <w:rPr>
          <w:rFonts w:ascii="宋体" w:hAnsi="宋体" w:cs="宋体"/>
          <w:bCs/>
          <w:color w:val="auto"/>
          <w:sz w:val="22"/>
          <w:highlight w:val="none"/>
        </w:rPr>
      </w:pPr>
      <w:r>
        <w:rPr>
          <w:rFonts w:hint="eastAsia" w:ascii="宋体" w:hAnsi="宋体" w:cs="宋体"/>
          <w:bCs/>
          <w:color w:val="auto"/>
          <w:sz w:val="22"/>
          <w:highlight w:val="none"/>
        </w:rPr>
        <w:t>（一）具备《中华人民共和国政府采购法》第二十二条规定的条件：</w:t>
      </w:r>
    </w:p>
    <w:p w14:paraId="54DB895D">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1、具有独立承担民事责任的能力；</w:t>
      </w:r>
    </w:p>
    <w:p w14:paraId="7410E57A">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 xml:space="preserve">2、具有良好的商业信誉和健全的财务会计制度； </w:t>
      </w:r>
    </w:p>
    <w:p w14:paraId="6EA33A49">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3、具有履行合同所必需的设备和专业技术能力；</w:t>
      </w:r>
    </w:p>
    <w:p w14:paraId="31034D8C">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4、有依法缴纳税收和社会保障资金的良好记录；</w:t>
      </w:r>
    </w:p>
    <w:p w14:paraId="3575B50C">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5、参加政府采购活动前三年内，在经营活动中没有重大违法记录；</w:t>
      </w:r>
    </w:p>
    <w:p w14:paraId="54DD3DE2">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6、具有法律、行政法规规定的其他条件。</w:t>
      </w:r>
    </w:p>
    <w:p w14:paraId="038A05B5">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28315653">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（三）不存在以下情况：</w:t>
      </w:r>
    </w:p>
    <w:p w14:paraId="11452098">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1、单位负责人为同一人或者存在直接控股、管理关系的不同供应商参加同一合同项下的政府采购活动的；</w:t>
      </w:r>
    </w:p>
    <w:p w14:paraId="429C89D0">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2、为采购项目提供整体设计、规范编制或者项目管理、监理、检测等服务后再参加该采购项目的其他采购活动的。</w:t>
      </w:r>
    </w:p>
    <w:p w14:paraId="0033B6EA">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（四）如有虚假，采购人可取消我方任何资格（投标/中标/签订合同），我方对此无任何异议。</w:t>
      </w:r>
    </w:p>
    <w:p w14:paraId="1D0E473F">
      <w:pPr>
        <w:spacing w:line="440" w:lineRule="exact"/>
        <w:ind w:firstLine="4906" w:firstLineChars="2200"/>
        <w:rPr>
          <w:rFonts w:ascii="宋体" w:hAnsi="宋体" w:cs="宋体"/>
          <w:bCs/>
          <w:color w:val="auto"/>
          <w:sz w:val="22"/>
          <w:highlight w:val="none"/>
        </w:rPr>
      </w:pPr>
      <w:r>
        <w:rPr>
          <w:rFonts w:hint="eastAsia" w:ascii="宋体" w:hAnsi="宋体" w:cs="宋体"/>
          <w:bCs/>
          <w:color w:val="auto"/>
          <w:sz w:val="22"/>
          <w:highlight w:val="none"/>
        </w:rPr>
        <w:t>供应商名称（公章）：</w:t>
      </w:r>
    </w:p>
    <w:p w14:paraId="0E064F07">
      <w:pPr>
        <w:spacing w:line="440" w:lineRule="exact"/>
        <w:jc w:val="center"/>
        <w:rPr>
          <w:rFonts w:ascii="宋体" w:hAnsi="宋体" w:cs="宋体"/>
          <w:bCs/>
          <w:color w:val="auto"/>
          <w:sz w:val="22"/>
          <w:highlight w:val="none"/>
        </w:rPr>
      </w:pPr>
      <w:r>
        <w:rPr>
          <w:rFonts w:hint="eastAsia" w:ascii="宋体" w:hAnsi="宋体" w:cs="宋体"/>
          <w:bCs/>
          <w:color w:val="auto"/>
          <w:sz w:val="22"/>
          <w:highlight w:val="none"/>
        </w:rPr>
        <w:t xml:space="preserve">                       日期：  年  月  日</w:t>
      </w:r>
    </w:p>
    <w:p w14:paraId="13740285">
      <w:pPr>
        <w:keepNext w:val="0"/>
        <w:keepLines w:val="0"/>
        <w:pageBreakBefore w:val="0"/>
        <w:widowControl w:val="0"/>
        <w:kinsoku/>
        <w:wordWrap/>
        <w:overflowPunct/>
        <w:topLinePunct w:val="0"/>
        <w:autoSpaceDE/>
        <w:autoSpaceDN/>
        <w:bidi w:val="0"/>
        <w:adjustRightInd/>
        <w:snapToGrid w:val="0"/>
        <w:spacing w:line="300" w:lineRule="exact"/>
        <w:ind w:right="482" w:firstLine="446" w:firstLineChars="200"/>
        <w:jc w:val="left"/>
        <w:textAlignment w:val="auto"/>
        <w:rPr>
          <w:rFonts w:ascii="宋体" w:hAnsi="宋体" w:cs="宋体"/>
          <w:bCs/>
          <w:color w:val="auto"/>
          <w:sz w:val="22"/>
          <w:highlight w:val="none"/>
        </w:rPr>
      </w:pPr>
      <w:r>
        <w:rPr>
          <w:rFonts w:hint="eastAsia" w:ascii="宋体" w:hAnsi="宋体" w:cs="宋体"/>
          <w:bCs/>
          <w:color w:val="auto"/>
          <w:sz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Cs/>
          <w:color w:val="auto"/>
          <w:sz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bookmarkEnd w:id="71"/>
    <w:bookmarkEnd w:id="72"/>
    <w:bookmarkEnd w:id="73"/>
    <w:bookmarkEnd w:id="74"/>
    <w:bookmarkEnd w:id="75"/>
    <w:bookmarkEnd w:id="76"/>
    <w:bookmarkEnd w:id="77"/>
    <w:bookmarkEnd w:id="78"/>
    <w:bookmarkEnd w:id="79"/>
    <w:bookmarkEnd w:id="80"/>
    <w:bookmarkEnd w:id="81"/>
    <w:bookmarkEnd w:id="82"/>
    <w:p w14:paraId="525AA5B6">
      <w:pPr>
        <w:tabs>
          <w:tab w:val="left" w:pos="1069"/>
          <w:tab w:val="left" w:pos="2352"/>
        </w:tabs>
        <w:spacing w:line="360" w:lineRule="exact"/>
        <w:jc w:val="left"/>
        <w:rPr>
          <w:rFonts w:ascii="宋体" w:hAnsi="宋体" w:cs="宋体"/>
          <w:b/>
          <w:bCs/>
          <w:color w:val="auto"/>
          <w:sz w:val="30"/>
          <w:highlight w:val="none"/>
        </w:rPr>
      </w:pPr>
    </w:p>
    <w:p w14:paraId="71A1A780">
      <w:pPr>
        <w:tabs>
          <w:tab w:val="left" w:pos="1069"/>
          <w:tab w:val="left" w:pos="2352"/>
        </w:tabs>
        <w:spacing w:line="360" w:lineRule="exact"/>
        <w:jc w:val="left"/>
        <w:rPr>
          <w:rFonts w:ascii="宋体" w:hAnsi="宋体" w:cs="宋体"/>
          <w:b/>
          <w:bCs/>
          <w:color w:val="auto"/>
          <w:sz w:val="30"/>
          <w:highlight w:val="none"/>
        </w:rPr>
      </w:pPr>
    </w:p>
    <w:p w14:paraId="517C307D">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附件四</w:t>
      </w:r>
    </w:p>
    <w:p w14:paraId="18449B0F">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83" w:name="_Toc32552_WPSOffice_Level3"/>
      <w:r>
        <w:rPr>
          <w:rFonts w:hint="eastAsia" w:ascii="宋体" w:hAnsi="宋体" w:cs="宋体"/>
          <w:b/>
          <w:bCs/>
          <w:color w:val="auto"/>
          <w:sz w:val="32"/>
          <w:highlight w:val="none"/>
          <w:lang w:val="zh-CN"/>
        </w:rPr>
        <w:t>法定代表人授权书</w:t>
      </w:r>
      <w:bookmarkEnd w:id="83"/>
    </w:p>
    <w:p w14:paraId="5C4175EC">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14:paraId="24C84911">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泰顺县市场监督管理局</w:t>
      </w:r>
      <w:r>
        <w:rPr>
          <w:rFonts w:hint="eastAsia" w:ascii="宋体" w:hAnsi="宋体" w:cs="宋体"/>
          <w:color w:val="auto"/>
          <w:sz w:val="22"/>
          <w:highlight w:val="none"/>
          <w:lang w:val="zh-CN"/>
        </w:rPr>
        <w:t>：</w:t>
      </w:r>
    </w:p>
    <w:p w14:paraId="29D5B8DE">
      <w:pPr>
        <w:tabs>
          <w:tab w:val="left" w:pos="1069"/>
          <w:tab w:val="left" w:pos="2352"/>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2025年泰顺县食品安全抽检服务项目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TSCG202502003</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14:paraId="6B500400">
      <w:pPr>
        <w:tabs>
          <w:tab w:val="left" w:pos="1069"/>
          <w:tab w:val="left" w:pos="2352"/>
        </w:tabs>
        <w:spacing w:line="400" w:lineRule="atLeast"/>
        <w:ind w:firstLine="446" w:firstLineChars="200"/>
        <w:rPr>
          <w:rFonts w:ascii="宋体" w:hAnsi="宋体" w:cs="宋体"/>
          <w:color w:val="auto"/>
          <w:sz w:val="22"/>
          <w:highlight w:val="none"/>
        </w:rPr>
      </w:pPr>
    </w:p>
    <w:p w14:paraId="74DC9332">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55CA2072">
      <w:pPr>
        <w:tabs>
          <w:tab w:val="left" w:pos="1069"/>
          <w:tab w:val="left" w:pos="2352"/>
        </w:tabs>
        <w:spacing w:line="400" w:lineRule="atLeast"/>
        <w:rPr>
          <w:rFonts w:ascii="宋体" w:hAnsi="宋体" w:cs="宋体"/>
          <w:color w:val="auto"/>
          <w:sz w:val="22"/>
          <w:highlight w:val="none"/>
        </w:rPr>
      </w:pPr>
    </w:p>
    <w:p w14:paraId="37E2638C">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676DD314">
      <w:pPr>
        <w:tabs>
          <w:tab w:val="left" w:pos="1069"/>
          <w:tab w:val="left" w:pos="2352"/>
        </w:tabs>
        <w:spacing w:line="400" w:lineRule="atLeast"/>
        <w:ind w:firstLine="2992" w:firstLineChars="1342"/>
        <w:rPr>
          <w:rFonts w:ascii="宋体" w:hAnsi="宋体" w:cs="宋体"/>
          <w:color w:val="auto"/>
          <w:sz w:val="22"/>
          <w:highlight w:val="none"/>
          <w:u w:val="single"/>
        </w:rPr>
      </w:pPr>
    </w:p>
    <w:p w14:paraId="5A077CE3">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276376C9">
      <w:pPr>
        <w:tabs>
          <w:tab w:val="left" w:pos="1069"/>
          <w:tab w:val="left" w:pos="2352"/>
        </w:tabs>
        <w:spacing w:line="400" w:lineRule="atLeast"/>
        <w:ind w:firstLine="2992" w:firstLineChars="1342"/>
        <w:rPr>
          <w:rFonts w:ascii="宋体" w:hAnsi="宋体" w:cs="宋体"/>
          <w:color w:val="auto"/>
          <w:sz w:val="22"/>
          <w:highlight w:val="none"/>
          <w:u w:val="single"/>
        </w:rPr>
      </w:pPr>
    </w:p>
    <w:p w14:paraId="4267EB91">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626BBEA0">
      <w:pPr>
        <w:tabs>
          <w:tab w:val="left" w:pos="1069"/>
          <w:tab w:val="left" w:pos="2352"/>
        </w:tabs>
        <w:spacing w:line="400" w:lineRule="atLeast"/>
        <w:ind w:left="1" w:firstLine="427" w:firstLineChars="192"/>
        <w:rPr>
          <w:rFonts w:ascii="宋体" w:hAnsi="宋体" w:cs="宋体"/>
          <w:color w:val="auto"/>
          <w:sz w:val="22"/>
          <w:highlight w:val="none"/>
        </w:rPr>
      </w:pPr>
    </w:p>
    <w:p w14:paraId="7C116E2E">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7D1AEA07">
      <w:pPr>
        <w:tabs>
          <w:tab w:val="left" w:pos="1069"/>
          <w:tab w:val="left" w:pos="2352"/>
        </w:tabs>
        <w:spacing w:line="400" w:lineRule="atLeast"/>
        <w:ind w:left="1" w:firstLine="427" w:firstLineChars="192"/>
        <w:rPr>
          <w:rFonts w:ascii="宋体" w:hAnsi="宋体" w:cs="宋体"/>
          <w:color w:val="auto"/>
          <w:sz w:val="22"/>
          <w:highlight w:val="none"/>
        </w:rPr>
      </w:pPr>
    </w:p>
    <w:p w14:paraId="4DB8FEEB">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24B516E7">
      <w:pPr>
        <w:tabs>
          <w:tab w:val="left" w:pos="1069"/>
          <w:tab w:val="left" w:pos="2352"/>
        </w:tabs>
        <w:spacing w:line="400" w:lineRule="atLeast"/>
        <w:ind w:left="2699"/>
        <w:rPr>
          <w:rFonts w:ascii="宋体" w:hAnsi="宋体" w:cs="宋体"/>
          <w:color w:val="auto"/>
          <w:sz w:val="22"/>
          <w:highlight w:val="none"/>
        </w:rPr>
      </w:pPr>
    </w:p>
    <w:p w14:paraId="540DD0B7">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2D022124">
      <w:pPr>
        <w:tabs>
          <w:tab w:val="left" w:pos="1069"/>
          <w:tab w:val="left" w:pos="2352"/>
        </w:tabs>
        <w:spacing w:line="360" w:lineRule="exact"/>
        <w:ind w:left="2699"/>
        <w:rPr>
          <w:rFonts w:ascii="宋体" w:hAnsi="宋体" w:cs="宋体"/>
          <w:color w:val="auto"/>
          <w:sz w:val="22"/>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46C2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4FFB0323">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77EC31D0">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6EE7DD10">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435AE406">
      <w:pPr>
        <w:pStyle w:val="10"/>
        <w:tabs>
          <w:tab w:val="left" w:pos="1069"/>
          <w:tab w:val="left" w:pos="2352"/>
        </w:tabs>
        <w:adjustRightInd w:val="0"/>
        <w:snapToGrid w:val="0"/>
        <w:spacing w:line="360" w:lineRule="exact"/>
        <w:jc w:val="center"/>
        <w:rPr>
          <w:rFonts w:hAnsi="宋体" w:cs="宋体"/>
          <w:color w:val="auto"/>
          <w:sz w:val="22"/>
          <w:highlight w:val="none"/>
          <w:lang w:val="zh-CN"/>
        </w:rPr>
      </w:pPr>
    </w:p>
    <w:p w14:paraId="1413D7E7">
      <w:pPr>
        <w:pStyle w:val="10"/>
        <w:tabs>
          <w:tab w:val="left" w:pos="1069"/>
          <w:tab w:val="left" w:pos="2352"/>
        </w:tabs>
        <w:adjustRightInd w:val="0"/>
        <w:snapToGrid w:val="0"/>
        <w:spacing w:line="360" w:lineRule="exact"/>
        <w:jc w:val="center"/>
        <w:rPr>
          <w:rFonts w:hAnsi="宋体" w:cs="宋体"/>
          <w:color w:val="auto"/>
          <w:sz w:val="22"/>
          <w:highlight w:val="none"/>
          <w:lang w:val="zh-CN"/>
        </w:rPr>
      </w:pPr>
    </w:p>
    <w:p w14:paraId="2913E43A">
      <w:pPr>
        <w:pStyle w:val="10"/>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FE7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57A6EF05">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69BE09E0">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42A232C0">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7EB6C296">
      <w:pPr>
        <w:tabs>
          <w:tab w:val="left" w:pos="1069"/>
          <w:tab w:val="left" w:pos="2352"/>
        </w:tabs>
        <w:spacing w:line="360" w:lineRule="exact"/>
        <w:jc w:val="left"/>
        <w:rPr>
          <w:rFonts w:ascii="宋体" w:hAnsi="宋体" w:cs="宋体"/>
          <w:b/>
          <w:bCs/>
          <w:color w:val="auto"/>
          <w:sz w:val="30"/>
          <w:highlight w:val="none"/>
        </w:rPr>
      </w:pPr>
    </w:p>
    <w:p w14:paraId="749C5DAB">
      <w:pPr>
        <w:tabs>
          <w:tab w:val="left" w:pos="1069"/>
          <w:tab w:val="left" w:pos="2352"/>
        </w:tabs>
        <w:spacing w:line="360" w:lineRule="exact"/>
        <w:jc w:val="left"/>
        <w:rPr>
          <w:rFonts w:ascii="宋体" w:hAnsi="宋体" w:cs="宋体"/>
          <w:b/>
          <w:bCs/>
          <w:color w:val="auto"/>
          <w:sz w:val="30"/>
          <w:highlight w:val="none"/>
        </w:rPr>
      </w:pPr>
    </w:p>
    <w:p w14:paraId="20668910">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14:paraId="2CA76F84">
      <w:pPr>
        <w:pStyle w:val="7"/>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FBC602B">
      <w:pPr>
        <w:tabs>
          <w:tab w:val="left" w:pos="1069"/>
          <w:tab w:val="left" w:pos="2352"/>
        </w:tabs>
        <w:snapToGrid w:val="0"/>
        <w:spacing w:line="440" w:lineRule="exact"/>
        <w:jc w:val="center"/>
        <w:rPr>
          <w:rFonts w:ascii="宋体" w:hAnsi="宋体" w:cs="宋体"/>
          <w:b/>
          <w:color w:val="auto"/>
          <w:sz w:val="32"/>
          <w:szCs w:val="32"/>
          <w:highlight w:val="none"/>
        </w:rPr>
      </w:pPr>
    </w:p>
    <w:p w14:paraId="32E22FB9">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2025年泰顺县食品安全抽检服务项目</w:t>
      </w:r>
    </w:p>
    <w:p w14:paraId="6DD79F06">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77D88C16">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14:paraId="1931F1DA">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091F26BC">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089952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2C22045">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TSCG202502003</w:t>
            </w:r>
          </w:p>
        </w:tc>
      </w:tr>
      <w:tr w14:paraId="4710E9A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950D377">
            <w:pPr>
              <w:tabs>
                <w:tab w:val="left" w:pos="1069"/>
                <w:tab w:val="left" w:pos="2352"/>
              </w:tabs>
              <w:snapToGrid w:val="0"/>
              <w:spacing w:line="600" w:lineRule="atLeast"/>
              <w:rPr>
                <w:rFonts w:hint="eastAsia" w:ascii="宋体" w:hAnsi="宋体" w:cs="宋体"/>
                <w:b/>
                <w:color w:val="auto"/>
                <w:sz w:val="26"/>
                <w:szCs w:val="26"/>
                <w:highlight w:val="none"/>
              </w:rPr>
            </w:pPr>
            <w:r>
              <w:rPr>
                <w:rFonts w:hint="eastAsia" w:ascii="宋体" w:hAnsi="宋体" w:cs="宋体"/>
                <w:b/>
                <w:color w:val="auto"/>
                <w:sz w:val="26"/>
                <w:szCs w:val="26"/>
                <w:highlight w:val="none"/>
                <w:lang w:val="en-US" w:eastAsia="zh-CN"/>
              </w:rPr>
              <w:t>标项：</w:t>
            </w:r>
          </w:p>
        </w:tc>
      </w:tr>
      <w:tr w14:paraId="7D8511D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4E418DB1">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泰顺县市场监督管理局</w:t>
            </w:r>
          </w:p>
        </w:tc>
      </w:tr>
      <w:tr w14:paraId="0D8E4E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2AC83ACB">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78528D6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6BD9D080">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D24F63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2F5A6B1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7CA532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7C4D6879">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386B5FC5">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14:paraId="7C385F95">
      <w:pPr>
        <w:pStyle w:val="9"/>
        <w:tabs>
          <w:tab w:val="left" w:pos="1069"/>
          <w:tab w:val="left" w:pos="2352"/>
        </w:tabs>
        <w:ind w:left="0"/>
        <w:rPr>
          <w:color w:val="auto"/>
          <w:highlight w:val="none"/>
        </w:rPr>
      </w:pPr>
    </w:p>
    <w:p w14:paraId="693BF94A">
      <w:pPr>
        <w:tabs>
          <w:tab w:val="left" w:pos="1069"/>
          <w:tab w:val="left" w:pos="2352"/>
        </w:tabs>
        <w:spacing w:line="360" w:lineRule="exact"/>
        <w:jc w:val="left"/>
        <w:rPr>
          <w:rFonts w:ascii="宋体" w:hAnsi="宋体" w:cs="宋体"/>
          <w:b/>
          <w:bCs/>
          <w:color w:val="auto"/>
          <w:sz w:val="30"/>
          <w:highlight w:val="none"/>
        </w:rPr>
      </w:pPr>
    </w:p>
    <w:p w14:paraId="3E0FCF2F">
      <w:pPr>
        <w:tabs>
          <w:tab w:val="left" w:pos="1069"/>
          <w:tab w:val="left" w:pos="2352"/>
        </w:tabs>
        <w:spacing w:line="360" w:lineRule="exact"/>
        <w:jc w:val="left"/>
        <w:rPr>
          <w:rFonts w:ascii="宋体" w:hAnsi="宋体" w:cs="宋体"/>
          <w:b/>
          <w:bCs/>
          <w:color w:val="auto"/>
          <w:sz w:val="30"/>
          <w:highlight w:val="none"/>
        </w:rPr>
      </w:pPr>
    </w:p>
    <w:p w14:paraId="01F7CF8E">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附件五</w:t>
      </w:r>
    </w:p>
    <w:p w14:paraId="311A90E8">
      <w:pPr>
        <w:tabs>
          <w:tab w:val="left" w:pos="1069"/>
          <w:tab w:val="left" w:pos="2352"/>
        </w:tabs>
        <w:autoSpaceDE w:val="0"/>
        <w:autoSpaceDN w:val="0"/>
        <w:adjustRightInd w:val="0"/>
        <w:spacing w:line="360" w:lineRule="exact"/>
        <w:jc w:val="center"/>
        <w:rPr>
          <w:rFonts w:ascii="宋体" w:hAnsi="宋体" w:cs="宋体"/>
          <w:b/>
          <w:bCs/>
          <w:color w:val="auto"/>
          <w:sz w:val="30"/>
          <w:szCs w:val="30"/>
          <w:highlight w:val="none"/>
          <w:lang w:val="zh-CN"/>
        </w:rPr>
      </w:pPr>
      <w:bookmarkStart w:id="84" w:name="_Toc30988_WPSOffice_Level3"/>
      <w:r>
        <w:rPr>
          <w:rFonts w:hint="eastAsia" w:ascii="宋体" w:hAnsi="宋体" w:cs="宋体"/>
          <w:b/>
          <w:bCs/>
          <w:color w:val="auto"/>
          <w:sz w:val="30"/>
          <w:szCs w:val="30"/>
          <w:highlight w:val="none"/>
        </w:rPr>
        <w:t>报价</w:t>
      </w:r>
      <w:r>
        <w:rPr>
          <w:rFonts w:hint="eastAsia" w:ascii="宋体" w:hAnsi="宋体" w:cs="宋体"/>
          <w:b/>
          <w:bCs/>
          <w:color w:val="auto"/>
          <w:sz w:val="30"/>
          <w:szCs w:val="30"/>
          <w:highlight w:val="none"/>
          <w:lang w:val="zh-CN"/>
        </w:rPr>
        <w:t>函</w:t>
      </w:r>
      <w:bookmarkEnd w:id="84"/>
    </w:p>
    <w:p w14:paraId="15172123">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14:paraId="1E86740F">
      <w:pPr>
        <w:pStyle w:val="10"/>
        <w:tabs>
          <w:tab w:val="left" w:pos="1069"/>
          <w:tab w:val="left" w:pos="2352"/>
        </w:tabs>
        <w:rPr>
          <w:rFonts w:hAnsi="宋体" w:cs="宋体"/>
          <w:color w:val="auto"/>
          <w:sz w:val="22"/>
          <w:highlight w:val="none"/>
          <w:u w:val="single"/>
        </w:rPr>
      </w:pPr>
      <w:r>
        <w:rPr>
          <w:rFonts w:hint="eastAsia" w:hAnsi="宋体" w:cs="宋体"/>
          <w:color w:val="auto"/>
          <w:sz w:val="22"/>
          <w:highlight w:val="none"/>
          <w:u w:val="single"/>
          <w:lang w:eastAsia="zh-CN"/>
        </w:rPr>
        <w:t>泰顺县市场监督管理局</w:t>
      </w:r>
      <w:r>
        <w:rPr>
          <w:rFonts w:hint="eastAsia" w:hAnsi="宋体" w:cs="宋体"/>
          <w:color w:val="auto"/>
          <w:sz w:val="22"/>
          <w:highlight w:val="none"/>
          <w:u w:val="single"/>
        </w:rPr>
        <w:t>：</w:t>
      </w:r>
    </w:p>
    <w:p w14:paraId="0F8CBE50">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2025年泰顺县食品安全抽检服务项目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TSCG202502003</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2025年泰顺县食品安全抽检服务项目</w:t>
      </w:r>
      <w:r>
        <w:rPr>
          <w:rFonts w:hint="eastAsia" w:ascii="宋体" w:hAnsi="宋体" w:cs="宋体"/>
          <w:color w:val="auto"/>
          <w:sz w:val="22"/>
          <w:highlight w:val="none"/>
          <w:lang w:val="zh-CN"/>
        </w:rPr>
        <w:t>进行投标。为此：</w:t>
      </w:r>
    </w:p>
    <w:p w14:paraId="57CD83A5">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14:paraId="60A406CF">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0918D46F">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14:paraId="31AFDCA5">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14:paraId="70E714CA">
      <w:pPr>
        <w:pStyle w:val="10"/>
        <w:tabs>
          <w:tab w:val="left" w:pos="1069"/>
          <w:tab w:val="left" w:pos="2352"/>
        </w:tabs>
        <w:snapToGrid w:val="0"/>
        <w:spacing w:line="410" w:lineRule="atLeast"/>
        <w:ind w:firstLine="446" w:firstLineChars="200"/>
        <w:rPr>
          <w:rFonts w:hint="eastAsia" w:hAnsi="宋体" w:eastAsia="宋体" w:cs="宋体"/>
          <w:color w:val="auto"/>
          <w:sz w:val="22"/>
          <w:highlight w:val="none"/>
          <w:lang w:eastAsia="zh-CN"/>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w:t>
      </w:r>
      <w:r>
        <w:rPr>
          <w:rFonts w:hint="eastAsia" w:hAnsi="宋体" w:cs="宋体"/>
          <w:color w:val="auto"/>
          <w:sz w:val="22"/>
          <w:highlight w:val="none"/>
          <w:lang w:eastAsia="zh-CN"/>
        </w:rPr>
        <w:t>。</w:t>
      </w:r>
    </w:p>
    <w:p w14:paraId="4020A3C9">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3E33F14E">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7A3467C5">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4964BD3D">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4841A5FC">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6B557614">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03D0B28C">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18B1300C">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6973F5B0">
      <w:pPr>
        <w:pStyle w:val="10"/>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67E31FFB">
      <w:pPr>
        <w:pStyle w:val="10"/>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57907A3E">
      <w:pPr>
        <w:pStyle w:val="10"/>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5F3989A0">
      <w:pPr>
        <w:tabs>
          <w:tab w:val="left" w:pos="1069"/>
          <w:tab w:val="left" w:pos="2352"/>
        </w:tabs>
        <w:spacing w:line="360" w:lineRule="exact"/>
        <w:jc w:val="left"/>
        <w:rPr>
          <w:rFonts w:ascii="宋体" w:hAnsi="宋体" w:cs="宋体"/>
          <w:color w:val="auto"/>
          <w:sz w:val="22"/>
          <w:highlight w:val="none"/>
        </w:rPr>
      </w:pPr>
    </w:p>
    <w:p w14:paraId="6B874626">
      <w:pPr>
        <w:tabs>
          <w:tab w:val="left" w:pos="1069"/>
          <w:tab w:val="left" w:pos="2352"/>
        </w:tabs>
        <w:spacing w:line="360" w:lineRule="exact"/>
        <w:jc w:val="left"/>
        <w:rPr>
          <w:rFonts w:ascii="宋体" w:hAnsi="宋体" w:cs="宋体"/>
          <w:color w:val="auto"/>
          <w:sz w:val="22"/>
          <w:highlight w:val="none"/>
        </w:rPr>
      </w:pPr>
    </w:p>
    <w:p w14:paraId="5DE6B293">
      <w:pPr>
        <w:tabs>
          <w:tab w:val="left" w:pos="1069"/>
          <w:tab w:val="left" w:pos="2352"/>
        </w:tabs>
        <w:spacing w:line="360" w:lineRule="exact"/>
        <w:jc w:val="left"/>
        <w:rPr>
          <w:rFonts w:ascii="宋体" w:hAnsi="宋体" w:cs="宋体"/>
          <w:b/>
          <w:bCs/>
          <w:color w:val="auto"/>
          <w:sz w:val="30"/>
          <w:highlight w:val="none"/>
        </w:rPr>
      </w:pPr>
    </w:p>
    <w:p w14:paraId="1E9CECE0">
      <w:pPr>
        <w:pStyle w:val="5"/>
        <w:tabs>
          <w:tab w:val="left" w:pos="1069"/>
          <w:tab w:val="left" w:pos="2352"/>
        </w:tabs>
        <w:rPr>
          <w:color w:val="auto"/>
          <w:highlight w:val="none"/>
        </w:rPr>
      </w:pPr>
    </w:p>
    <w:p w14:paraId="5DB01723">
      <w:pPr>
        <w:tabs>
          <w:tab w:val="left" w:pos="1069"/>
          <w:tab w:val="left" w:pos="2352"/>
        </w:tabs>
        <w:spacing w:line="360" w:lineRule="exact"/>
        <w:jc w:val="left"/>
        <w:rPr>
          <w:rFonts w:ascii="宋体" w:hAnsi="宋体" w:cs="宋体"/>
          <w:color w:val="auto"/>
          <w:sz w:val="22"/>
          <w:highlight w:val="none"/>
        </w:rPr>
      </w:pPr>
      <w:r>
        <w:rPr>
          <w:rFonts w:hint="eastAsia" w:ascii="宋体" w:hAnsi="宋体" w:cs="宋体"/>
          <w:b/>
          <w:bCs/>
          <w:color w:val="auto"/>
          <w:sz w:val="30"/>
          <w:highlight w:val="none"/>
        </w:rPr>
        <w:t>附件六</w:t>
      </w:r>
    </w:p>
    <w:p w14:paraId="3D9973FB">
      <w:pPr>
        <w:tabs>
          <w:tab w:val="left" w:pos="1069"/>
          <w:tab w:val="left" w:pos="2352"/>
        </w:tabs>
        <w:spacing w:line="360" w:lineRule="exact"/>
        <w:jc w:val="center"/>
        <w:rPr>
          <w:rFonts w:ascii="宋体" w:hAnsi="宋体" w:cs="宋体"/>
          <w:b/>
          <w:bCs/>
          <w:color w:val="auto"/>
          <w:sz w:val="30"/>
          <w:highlight w:val="none"/>
          <w:lang w:val="zh-CN"/>
        </w:rPr>
      </w:pPr>
      <w:bookmarkStart w:id="85" w:name="_Toc15399_WPSOffice_Level3"/>
      <w:r>
        <w:rPr>
          <w:rFonts w:hint="eastAsia" w:ascii="宋体" w:hAnsi="宋体" w:cs="宋体"/>
          <w:b/>
          <w:bCs/>
          <w:color w:val="auto"/>
          <w:sz w:val="30"/>
          <w:highlight w:val="none"/>
          <w:lang w:val="zh-CN"/>
        </w:rPr>
        <w:t>供应商参与政府采购活动投标资格声明函</w:t>
      </w:r>
      <w:bookmarkEnd w:id="85"/>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6EDA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BCBF3F1">
            <w:pPr>
              <w:pStyle w:val="10"/>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37E93252">
            <w:pPr>
              <w:pStyle w:val="10"/>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2025年泰顺县食品安全抽检服务项目</w:t>
            </w:r>
          </w:p>
        </w:tc>
      </w:tr>
      <w:tr w14:paraId="18A9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354127E8">
            <w:pPr>
              <w:pStyle w:val="10"/>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Borders>
              <w:top w:val="single" w:color="auto" w:sz="4" w:space="0"/>
              <w:left w:val="single" w:color="auto" w:sz="4" w:space="0"/>
              <w:right w:val="single" w:color="auto" w:sz="4" w:space="0"/>
            </w:tcBorders>
          </w:tcPr>
          <w:p w14:paraId="2E18EF4D">
            <w:pPr>
              <w:pStyle w:val="10"/>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TSCG202502003</w:t>
            </w:r>
          </w:p>
        </w:tc>
      </w:tr>
      <w:tr w14:paraId="59A6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3657EECE">
            <w:pPr>
              <w:pStyle w:val="10"/>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Borders>
              <w:top w:val="single" w:color="auto" w:sz="4" w:space="0"/>
              <w:left w:val="single" w:color="auto" w:sz="4" w:space="0"/>
              <w:right w:val="single" w:color="auto" w:sz="4" w:space="0"/>
            </w:tcBorders>
          </w:tcPr>
          <w:p w14:paraId="76382694">
            <w:pPr>
              <w:pStyle w:val="10"/>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01B5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tcPr>
          <w:p w14:paraId="17C21F1F">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6AAFC9C1">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521C91A1">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33CFD720">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p>
          <w:p w14:paraId="4314256D">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（若无则说明无）。</w:t>
            </w:r>
          </w:p>
          <w:p w14:paraId="35C8CBBD">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要求，并在《资格文件》中提供了相应的证明材料</w:t>
            </w:r>
            <w:r>
              <w:rPr>
                <w:rFonts w:hint="eastAsia" w:ascii="宋体" w:hAnsi="宋体" w:cs="宋体"/>
                <w:color w:val="auto"/>
                <w:szCs w:val="21"/>
                <w:highlight w:val="none"/>
                <w:u w:val="single"/>
              </w:rPr>
              <w:t>（竞争性磋商文件没有要求特定资格条件的，本条款空格处可以空白）</w:t>
            </w:r>
          </w:p>
          <w:p w14:paraId="3E251D58">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898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vAlign w:val="center"/>
          </w:tcPr>
          <w:p w14:paraId="2F861EE7">
            <w:pPr>
              <w:pStyle w:val="10"/>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5BF6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vAlign w:val="center"/>
          </w:tcPr>
          <w:p w14:paraId="586A2AB5">
            <w:pPr>
              <w:pStyle w:val="10"/>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181D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vAlign w:val="center"/>
          </w:tcPr>
          <w:p w14:paraId="1CBCCAF9">
            <w:pPr>
              <w:pStyle w:val="10"/>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1DEEAD6F">
      <w:pPr>
        <w:tabs>
          <w:tab w:val="left" w:pos="1069"/>
          <w:tab w:val="left" w:pos="2352"/>
        </w:tabs>
        <w:spacing w:line="360" w:lineRule="exact"/>
        <w:jc w:val="left"/>
        <w:rPr>
          <w:rFonts w:ascii="宋体" w:hAnsi="宋体" w:cs="宋体"/>
          <w:bCs/>
          <w:color w:val="auto"/>
          <w:sz w:val="22"/>
          <w:highlight w:val="none"/>
          <w:u w:val="single"/>
        </w:rPr>
      </w:pPr>
    </w:p>
    <w:p w14:paraId="161E4BDF">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14:paraId="1B6614BE">
      <w:pPr>
        <w:tabs>
          <w:tab w:val="left" w:pos="1069"/>
          <w:tab w:val="left" w:pos="2352"/>
        </w:tabs>
        <w:spacing w:line="360" w:lineRule="exact"/>
        <w:jc w:val="left"/>
        <w:rPr>
          <w:rFonts w:ascii="宋体" w:hAnsi="宋体" w:cs="宋体"/>
          <w:b/>
          <w:bCs/>
          <w:color w:val="auto"/>
          <w:sz w:val="32"/>
          <w:szCs w:val="32"/>
          <w:highlight w:val="none"/>
        </w:rPr>
      </w:pPr>
    </w:p>
    <w:p w14:paraId="65C6EFC6">
      <w:pPr>
        <w:tabs>
          <w:tab w:val="left" w:pos="1069"/>
          <w:tab w:val="left" w:pos="2352"/>
        </w:tabs>
        <w:spacing w:line="360" w:lineRule="exact"/>
        <w:jc w:val="left"/>
        <w:rPr>
          <w:rFonts w:ascii="宋体" w:hAnsi="宋体" w:cs="宋体"/>
          <w:b/>
          <w:bCs/>
          <w:color w:val="auto"/>
          <w:sz w:val="32"/>
          <w:szCs w:val="32"/>
          <w:highlight w:val="none"/>
        </w:rPr>
      </w:pPr>
    </w:p>
    <w:p w14:paraId="453F00D0">
      <w:pPr>
        <w:tabs>
          <w:tab w:val="left" w:pos="1069"/>
          <w:tab w:val="left" w:pos="2352"/>
        </w:tabs>
        <w:spacing w:line="360" w:lineRule="exact"/>
        <w:jc w:val="left"/>
        <w:rPr>
          <w:rFonts w:hint="eastAsia" w:ascii="宋体" w:hAnsi="宋体" w:cs="宋体"/>
          <w:b/>
          <w:bCs/>
          <w:color w:val="auto"/>
          <w:sz w:val="32"/>
          <w:szCs w:val="32"/>
          <w:highlight w:val="none"/>
        </w:rPr>
      </w:pPr>
    </w:p>
    <w:p w14:paraId="2C574292">
      <w:pPr>
        <w:tabs>
          <w:tab w:val="left" w:pos="1069"/>
          <w:tab w:val="left" w:pos="2352"/>
        </w:tabs>
        <w:spacing w:line="360" w:lineRule="exact"/>
        <w:jc w:val="left"/>
        <w:rPr>
          <w:rFonts w:hint="eastAsia" w:ascii="宋体" w:hAnsi="宋体" w:cs="宋体"/>
          <w:b/>
          <w:bCs/>
          <w:color w:val="auto"/>
          <w:sz w:val="32"/>
          <w:szCs w:val="32"/>
          <w:highlight w:val="none"/>
        </w:rPr>
      </w:pPr>
    </w:p>
    <w:p w14:paraId="0F589A3E">
      <w:pPr>
        <w:tabs>
          <w:tab w:val="left" w:pos="1069"/>
          <w:tab w:val="left" w:pos="2352"/>
        </w:tabs>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附件七</w:t>
      </w:r>
    </w:p>
    <w:p w14:paraId="028287CE">
      <w:pPr>
        <w:tabs>
          <w:tab w:val="left" w:pos="1069"/>
          <w:tab w:val="left" w:pos="2352"/>
        </w:tabs>
        <w:jc w:val="center"/>
        <w:rPr>
          <w:rFonts w:ascii="宋体" w:hAnsi="宋体" w:cs="宋体"/>
          <w:color w:val="auto"/>
          <w:sz w:val="24"/>
          <w:highlight w:val="none"/>
        </w:rPr>
      </w:pPr>
      <w:bookmarkStart w:id="86" w:name="_Toc7010_WPSOffice_Level3"/>
      <w:r>
        <w:rPr>
          <w:rFonts w:hint="eastAsia" w:ascii="宋体" w:hAnsi="宋体" w:cs="宋体"/>
          <w:b/>
          <w:bCs/>
          <w:color w:val="auto"/>
          <w:sz w:val="32"/>
          <w:szCs w:val="32"/>
          <w:highlight w:val="none"/>
        </w:rPr>
        <w:t>法定代表人诚信投标承诺书</w:t>
      </w:r>
      <w:bookmarkEnd w:id="86"/>
    </w:p>
    <w:p w14:paraId="7AD6C0D2">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4FDA2DA1">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2025年泰顺县食品安全抽检服务项目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TSCG202502003</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03F60F95">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14:paraId="7F2F109F">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14:paraId="56C4A22A">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004F0F7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39DFC5AD">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2E11C602">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7238720E">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38A39A99">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5F1E5D1D">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364BBB39">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7B5473B1">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2DDDB05A">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7F70095A">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5F14F1C9">
      <w:pPr>
        <w:tabs>
          <w:tab w:val="left" w:pos="1069"/>
          <w:tab w:val="left" w:pos="2352"/>
        </w:tabs>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569EDEC2">
      <w:pPr>
        <w:tabs>
          <w:tab w:val="left" w:pos="1069"/>
          <w:tab w:val="left" w:pos="2352"/>
        </w:tabs>
        <w:spacing w:line="360" w:lineRule="exact"/>
        <w:jc w:val="left"/>
        <w:rPr>
          <w:rFonts w:hint="eastAsia" w:ascii="宋体" w:hAnsi="宋体" w:cs="宋体"/>
          <w:bCs/>
          <w:color w:val="auto"/>
          <w:sz w:val="22"/>
          <w:highlight w:val="none"/>
          <w:u w:val="single"/>
        </w:rPr>
      </w:pPr>
    </w:p>
    <w:p w14:paraId="68082CEA">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70AFC573">
      <w:pPr>
        <w:pStyle w:val="10"/>
        <w:tabs>
          <w:tab w:val="left" w:pos="1069"/>
          <w:tab w:val="left" w:pos="2352"/>
        </w:tabs>
        <w:spacing w:line="360" w:lineRule="exact"/>
        <w:jc w:val="center"/>
        <w:rPr>
          <w:rFonts w:hAnsi="宋体" w:cs="宋体"/>
          <w:color w:val="auto"/>
          <w:sz w:val="32"/>
          <w:highlight w:val="none"/>
        </w:rPr>
      </w:pPr>
    </w:p>
    <w:p w14:paraId="27BD3091">
      <w:pPr>
        <w:tabs>
          <w:tab w:val="left" w:pos="1069"/>
          <w:tab w:val="left" w:pos="2352"/>
        </w:tabs>
        <w:spacing w:line="360" w:lineRule="exact"/>
        <w:jc w:val="left"/>
        <w:rPr>
          <w:rFonts w:ascii="宋体" w:hAnsi="宋体" w:cs="宋体"/>
          <w:color w:val="auto"/>
          <w:sz w:val="30"/>
          <w:highlight w:val="none"/>
        </w:rPr>
      </w:pPr>
    </w:p>
    <w:p w14:paraId="283BB4D6">
      <w:pPr>
        <w:pStyle w:val="10"/>
        <w:tabs>
          <w:tab w:val="left" w:pos="1069"/>
          <w:tab w:val="left" w:pos="2352"/>
        </w:tabs>
        <w:spacing w:line="360" w:lineRule="exact"/>
        <w:jc w:val="left"/>
        <w:rPr>
          <w:rFonts w:hAnsi="宋体" w:cs="宋体"/>
          <w:b/>
          <w:bCs/>
          <w:color w:val="auto"/>
          <w:sz w:val="32"/>
          <w:highlight w:val="none"/>
          <w:lang w:val="zh-CN"/>
        </w:rPr>
      </w:pPr>
    </w:p>
    <w:p w14:paraId="430DA177">
      <w:pPr>
        <w:tabs>
          <w:tab w:val="left" w:pos="2352"/>
        </w:tabs>
        <w:rPr>
          <w:color w:val="auto"/>
          <w:highlight w:val="none"/>
          <w:lang w:val="zh-CN"/>
        </w:rPr>
      </w:pPr>
    </w:p>
    <w:p w14:paraId="37C1E590">
      <w:pPr>
        <w:pStyle w:val="10"/>
        <w:tabs>
          <w:tab w:val="left" w:pos="1069"/>
          <w:tab w:val="left" w:pos="2352"/>
        </w:tabs>
        <w:spacing w:line="360" w:lineRule="exact"/>
        <w:jc w:val="left"/>
        <w:rPr>
          <w:rFonts w:hAnsi="宋体" w:cs="宋体"/>
          <w:b/>
          <w:bCs/>
          <w:color w:val="auto"/>
          <w:sz w:val="32"/>
          <w:highlight w:val="none"/>
        </w:rPr>
      </w:pPr>
      <w:r>
        <w:rPr>
          <w:rFonts w:hint="eastAsia" w:hAnsi="宋体" w:cs="宋体"/>
          <w:b/>
          <w:bCs/>
          <w:color w:val="auto"/>
          <w:sz w:val="32"/>
          <w:highlight w:val="none"/>
          <w:lang w:val="zh-CN"/>
        </w:rPr>
        <w:t>附件</w:t>
      </w:r>
      <w:r>
        <w:rPr>
          <w:rFonts w:hint="eastAsia" w:hAnsi="宋体" w:cs="宋体"/>
          <w:b/>
          <w:bCs/>
          <w:color w:val="auto"/>
          <w:sz w:val="32"/>
          <w:highlight w:val="none"/>
        </w:rPr>
        <w:t>八</w:t>
      </w:r>
    </w:p>
    <w:p w14:paraId="43178F6A">
      <w:pPr>
        <w:pStyle w:val="10"/>
        <w:tabs>
          <w:tab w:val="left" w:pos="1069"/>
          <w:tab w:val="left" w:pos="2352"/>
        </w:tabs>
        <w:spacing w:line="360" w:lineRule="exact"/>
        <w:jc w:val="center"/>
        <w:rPr>
          <w:rFonts w:hAnsi="宋体" w:cs="宋体"/>
          <w:b/>
          <w:bCs/>
          <w:color w:val="auto"/>
          <w:sz w:val="32"/>
          <w:highlight w:val="none"/>
          <w:lang w:val="zh-CN"/>
        </w:rPr>
      </w:pPr>
      <w:bookmarkStart w:id="87" w:name="_Toc18541_WPSOffice_Level3"/>
      <w:r>
        <w:rPr>
          <w:rFonts w:hint="eastAsia" w:hAnsi="宋体" w:cs="宋体"/>
          <w:b/>
          <w:bCs/>
          <w:color w:val="auto"/>
          <w:sz w:val="32"/>
          <w:highlight w:val="none"/>
          <w:lang w:val="zh-CN"/>
        </w:rPr>
        <w:t>（一）商务偏离表</w:t>
      </w:r>
      <w:bookmarkEnd w:id="87"/>
    </w:p>
    <w:p w14:paraId="5B2306F1">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2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5BCB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4FBAAA7E">
            <w:pPr>
              <w:tabs>
                <w:tab w:val="left" w:pos="1069"/>
                <w:tab w:val="left" w:pos="2352"/>
              </w:tabs>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146B5BF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2E779977">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2E8F2AD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投标（响应）文件</w:t>
            </w:r>
          </w:p>
          <w:p w14:paraId="2BF6FB2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7E2BA5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4C20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DA3BCA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775F18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BC234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D358AB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A37F9B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6D05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5E9673D">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D379EF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51A41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850B75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4DA640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5E11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54886F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38896D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AB711D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0AF429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3A2D44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2D3B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30A9DC6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9EC868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6C0C9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A5E132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C06FC57">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49C0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C3A133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106033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F73511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D28F5B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83F46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1B44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1256D5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C04376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B0E990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8496E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485F1A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6C90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E0EEF77">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F264B9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1EA6EB7">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5085A1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507E36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307E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330AB5F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1B794D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49E440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B6C8AD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032A39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7750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E31146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70DAF5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9879F2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C9D12B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3CB9C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bl>
    <w:p w14:paraId="5A2E9247">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4C4F010A">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14:paraId="2FB14D5D">
      <w:pPr>
        <w:pStyle w:val="10"/>
        <w:tabs>
          <w:tab w:val="left" w:pos="1069"/>
          <w:tab w:val="left" w:pos="2352"/>
        </w:tabs>
        <w:spacing w:line="360" w:lineRule="exact"/>
        <w:jc w:val="center"/>
        <w:rPr>
          <w:rFonts w:hAnsi="宋体" w:cs="宋体"/>
          <w:b/>
          <w:bCs/>
          <w:color w:val="auto"/>
          <w:sz w:val="32"/>
          <w:highlight w:val="none"/>
          <w:lang w:val="zh-CN"/>
        </w:rPr>
      </w:pPr>
      <w:bookmarkStart w:id="88" w:name="_Toc4031_WPSOffice_Level3"/>
      <w:r>
        <w:rPr>
          <w:rFonts w:hint="eastAsia" w:hAnsi="宋体" w:cs="宋体"/>
          <w:b/>
          <w:bCs/>
          <w:color w:val="auto"/>
          <w:sz w:val="32"/>
          <w:highlight w:val="none"/>
          <w:lang w:val="zh-CN"/>
        </w:rPr>
        <w:t>（二）技术偏离表</w:t>
      </w:r>
      <w:bookmarkEnd w:id="88"/>
    </w:p>
    <w:tbl>
      <w:tblPr>
        <w:tblStyle w:val="2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21E2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53F5D0F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4094AB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2CBDA46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6BC4255">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14:paraId="2AB9FE1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E79400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0583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61D6F5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C5AEE4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A7E72B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0B5A3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28B72C5">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2DA7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9021E4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96B0A8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5E7BDA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800FA3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250DDE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43C2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39902F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DA35C2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D87BFF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565D00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EE6565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1297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2A5416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11BD335">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9B9F2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AFE263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E5E373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1505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5A462F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F6E1A35">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7504CF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540F8D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69D855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2F6D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EDBE4E5">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532E57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944BB0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263201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D9EAFF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3008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6A97F1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13EA1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75EAEB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E72D9C5">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DCA969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7B58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51AB46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BC46405">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1A1A6A">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D7D47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9CC8E2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08C8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465E95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7D29F0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3AC23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ABD36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AAC3C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bl>
    <w:p w14:paraId="1886CC76">
      <w:pPr>
        <w:tabs>
          <w:tab w:val="left" w:pos="1069"/>
          <w:tab w:val="left" w:pos="2352"/>
        </w:tabs>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6E5909BF">
      <w:pPr>
        <w:tabs>
          <w:tab w:val="left" w:pos="1069"/>
          <w:tab w:val="left" w:pos="2352"/>
        </w:tabs>
        <w:rPr>
          <w:rFonts w:hint="eastAsia" w:ascii="宋体" w:hAnsi="宋体" w:cs="宋体"/>
          <w:color w:val="auto"/>
          <w:highlight w:val="none"/>
        </w:rPr>
      </w:pPr>
      <w:bookmarkStart w:id="89" w:name="_Toc30988_WPSOffice_Level2"/>
    </w:p>
    <w:p w14:paraId="28EF6A04">
      <w:pPr>
        <w:tabs>
          <w:tab w:val="left" w:pos="1069"/>
          <w:tab w:val="left" w:pos="2352"/>
        </w:tabs>
        <w:rPr>
          <w:rFonts w:ascii="宋体" w:hAnsi="宋体" w:cs="宋体"/>
          <w:color w:val="auto"/>
          <w:highlight w:val="none"/>
        </w:rPr>
      </w:pPr>
      <w:r>
        <w:rPr>
          <w:rFonts w:hint="eastAsia" w:ascii="宋体" w:hAnsi="宋体" w:cs="宋体"/>
          <w:color w:val="auto"/>
          <w:highlight w:val="none"/>
        </w:rPr>
        <w:t>备注：1</w:t>
      </w:r>
      <w:r>
        <w:rPr>
          <w:rFonts w:ascii="宋体" w:hAnsi="宋体" w:cs="宋体"/>
          <w:color w:val="auto"/>
          <w:highlight w:val="none"/>
        </w:rPr>
        <w:t>.</w:t>
      </w:r>
      <w:r>
        <w:rPr>
          <w:rFonts w:hint="eastAsia" w:ascii="宋体" w:hAnsi="宋体" w:cs="宋体"/>
          <w:color w:val="auto"/>
          <w:highlight w:val="none"/>
        </w:rPr>
        <w:t>表格可以延续</w:t>
      </w:r>
      <w:bookmarkEnd w:id="89"/>
    </w:p>
    <w:p w14:paraId="61BC9018">
      <w:pPr>
        <w:pStyle w:val="25"/>
        <w:rPr>
          <w:rFonts w:cs="Times New Roman"/>
          <w:color w:val="auto"/>
          <w:highlight w:val="none"/>
        </w:rPr>
      </w:pPr>
      <w:r>
        <w:rPr>
          <w:color w:val="auto"/>
          <w:highlight w:val="none"/>
        </w:rPr>
        <w:t>2.</w:t>
      </w:r>
      <w:r>
        <w:rPr>
          <w:rFonts w:hint="eastAsia"/>
          <w:color w:val="auto"/>
          <w:highlight w:val="none"/>
        </w:rPr>
        <w:t>如不填写，则视为完全响应招标文件要求</w:t>
      </w:r>
    </w:p>
    <w:p w14:paraId="72B814A9">
      <w:pPr>
        <w:pStyle w:val="10"/>
        <w:tabs>
          <w:tab w:val="left" w:pos="1069"/>
          <w:tab w:val="left" w:pos="2352"/>
        </w:tabs>
        <w:spacing w:line="360" w:lineRule="exact"/>
        <w:rPr>
          <w:rFonts w:hAnsi="宋体" w:cs="宋体"/>
          <w:color w:val="auto"/>
          <w:sz w:val="22"/>
          <w:highlight w:val="none"/>
        </w:rPr>
      </w:pPr>
    </w:p>
    <w:p w14:paraId="6B507AE0">
      <w:pPr>
        <w:tabs>
          <w:tab w:val="left" w:pos="1069"/>
          <w:tab w:val="left" w:pos="2352"/>
        </w:tabs>
        <w:rPr>
          <w:rFonts w:ascii="宋体" w:hAnsi="宋体" w:cs="宋体"/>
          <w:b/>
          <w:bCs/>
          <w:color w:val="auto"/>
          <w:sz w:val="32"/>
          <w:szCs w:val="32"/>
          <w:highlight w:val="none"/>
        </w:rPr>
      </w:pPr>
      <w:r>
        <w:rPr>
          <w:rFonts w:hint="eastAsia" w:ascii="宋体" w:hAnsi="宋体" w:cs="宋体"/>
          <w:b/>
          <w:bCs/>
          <w:color w:val="auto"/>
          <w:sz w:val="32"/>
          <w:szCs w:val="32"/>
          <w:highlight w:val="none"/>
        </w:rPr>
        <w:t>附件九</w:t>
      </w:r>
    </w:p>
    <w:p w14:paraId="464BD372">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314E395F">
      <w:pPr>
        <w:tabs>
          <w:tab w:val="left" w:pos="1069"/>
          <w:tab w:val="left" w:pos="2352"/>
        </w:tabs>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2025年泰顺县食品安全抽检服务项目</w:t>
      </w:r>
    </w:p>
    <w:p w14:paraId="1E09C24E">
      <w:pPr>
        <w:tabs>
          <w:tab w:val="left" w:pos="1069"/>
          <w:tab w:val="left" w:pos="2352"/>
        </w:tabs>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TSCG202502003</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0AAC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6C587806">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1693BACF">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31B9F457">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5D94699E">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4F58F75D">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16A0BE24">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p w14:paraId="2DA6B66D">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2DEF3654">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职务</w:t>
            </w:r>
          </w:p>
          <w:p w14:paraId="2087F1A4">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7F572AFD">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5E5E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D46D9C0">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3C5F766B">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5FEF130F">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BBAE031">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7AE8894">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6D873B8A">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20965AB6">
            <w:pPr>
              <w:tabs>
                <w:tab w:val="left" w:pos="1069"/>
                <w:tab w:val="left" w:pos="2352"/>
              </w:tabs>
              <w:spacing w:line="360" w:lineRule="auto"/>
              <w:ind w:left="5250"/>
              <w:rPr>
                <w:rFonts w:ascii="宋体" w:hAnsi="宋体" w:cs="宋体"/>
                <w:color w:val="auto"/>
                <w:spacing w:val="12"/>
                <w:sz w:val="22"/>
                <w:highlight w:val="none"/>
              </w:rPr>
            </w:pPr>
          </w:p>
        </w:tc>
        <w:tc>
          <w:tcPr>
            <w:tcW w:w="1560" w:type="dxa"/>
            <w:tcBorders>
              <w:top w:val="single" w:color="auto" w:sz="4" w:space="0"/>
              <w:left w:val="single" w:color="auto" w:sz="4" w:space="0"/>
              <w:right w:val="single" w:color="auto" w:sz="4" w:space="0"/>
            </w:tcBorders>
            <w:vAlign w:val="center"/>
          </w:tcPr>
          <w:p w14:paraId="4D9A1277">
            <w:pPr>
              <w:tabs>
                <w:tab w:val="left" w:pos="1069"/>
                <w:tab w:val="left" w:pos="2352"/>
              </w:tabs>
              <w:spacing w:line="360" w:lineRule="auto"/>
              <w:rPr>
                <w:rFonts w:ascii="宋体" w:hAnsi="宋体" w:cs="宋体"/>
                <w:color w:val="auto"/>
                <w:sz w:val="22"/>
                <w:highlight w:val="none"/>
              </w:rPr>
            </w:pPr>
          </w:p>
        </w:tc>
      </w:tr>
      <w:tr w14:paraId="5488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9FB1187">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05E90765">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5AB493B2">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797F4C5D">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3359ADB">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7D245F6B">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39E70DD0">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7CCDD286">
            <w:pPr>
              <w:tabs>
                <w:tab w:val="left" w:pos="1069"/>
                <w:tab w:val="left" w:pos="2352"/>
              </w:tabs>
              <w:spacing w:line="360" w:lineRule="auto"/>
              <w:ind w:left="5250"/>
              <w:rPr>
                <w:rFonts w:ascii="宋体" w:hAnsi="宋体" w:cs="宋体"/>
                <w:color w:val="auto"/>
                <w:spacing w:val="12"/>
                <w:sz w:val="22"/>
                <w:highlight w:val="none"/>
              </w:rPr>
            </w:pPr>
          </w:p>
        </w:tc>
      </w:tr>
      <w:tr w14:paraId="148B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E43AD97">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7D881E7B">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75FBBB00">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50A30727">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D5F8511">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756A3CCD">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5C167862">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1ABA59D3">
            <w:pPr>
              <w:tabs>
                <w:tab w:val="left" w:pos="1069"/>
                <w:tab w:val="left" w:pos="2352"/>
              </w:tabs>
              <w:spacing w:line="360" w:lineRule="auto"/>
              <w:rPr>
                <w:rFonts w:ascii="宋体" w:hAnsi="宋体" w:cs="宋体"/>
                <w:color w:val="auto"/>
                <w:sz w:val="22"/>
                <w:highlight w:val="none"/>
              </w:rPr>
            </w:pPr>
          </w:p>
        </w:tc>
      </w:tr>
      <w:tr w14:paraId="614B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00FECF8">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15BA4BB1">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10117AA">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7E6D3AFC">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4D2F593">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1DFA706B">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2EF55D11">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294CF511">
            <w:pPr>
              <w:tabs>
                <w:tab w:val="left" w:pos="1069"/>
                <w:tab w:val="left" w:pos="2352"/>
              </w:tabs>
              <w:spacing w:line="360" w:lineRule="auto"/>
              <w:rPr>
                <w:rFonts w:ascii="宋体" w:hAnsi="宋体" w:cs="宋体"/>
                <w:color w:val="auto"/>
                <w:sz w:val="22"/>
                <w:highlight w:val="none"/>
              </w:rPr>
            </w:pPr>
          </w:p>
        </w:tc>
      </w:tr>
      <w:tr w14:paraId="5936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295FC90">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7CFD8ABD">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582AC1E">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FC7EC52">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95365B2">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0D1A91F8">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31C7DFD3">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7C5DE948">
            <w:pPr>
              <w:tabs>
                <w:tab w:val="left" w:pos="1069"/>
                <w:tab w:val="left" w:pos="2352"/>
              </w:tabs>
              <w:spacing w:line="360" w:lineRule="auto"/>
              <w:rPr>
                <w:rFonts w:ascii="宋体" w:hAnsi="宋体" w:cs="宋体"/>
                <w:color w:val="auto"/>
                <w:sz w:val="22"/>
                <w:highlight w:val="none"/>
              </w:rPr>
            </w:pPr>
          </w:p>
        </w:tc>
      </w:tr>
      <w:tr w14:paraId="56E9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BAE0C49">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1265C5D0">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5F17F9B">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60E28E7">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B17B3AB">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41871300">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42D7C741">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13F06F76">
            <w:pPr>
              <w:tabs>
                <w:tab w:val="left" w:pos="1069"/>
                <w:tab w:val="left" w:pos="2352"/>
              </w:tabs>
              <w:spacing w:line="360" w:lineRule="auto"/>
              <w:rPr>
                <w:rFonts w:ascii="宋体" w:hAnsi="宋体" w:cs="宋体"/>
                <w:color w:val="auto"/>
                <w:sz w:val="22"/>
                <w:highlight w:val="none"/>
              </w:rPr>
            </w:pPr>
          </w:p>
        </w:tc>
      </w:tr>
      <w:tr w14:paraId="3216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5B69DF2">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274773C2">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F4B8022">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6F9207F">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5BACCE88">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6E4CAA1B">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2AEE2615">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1685FA4D">
            <w:pPr>
              <w:tabs>
                <w:tab w:val="left" w:pos="1069"/>
                <w:tab w:val="left" w:pos="2352"/>
              </w:tabs>
              <w:spacing w:line="360" w:lineRule="auto"/>
              <w:rPr>
                <w:rFonts w:ascii="宋体" w:hAnsi="宋体" w:cs="宋体"/>
                <w:color w:val="auto"/>
                <w:sz w:val="22"/>
                <w:highlight w:val="none"/>
              </w:rPr>
            </w:pPr>
          </w:p>
        </w:tc>
      </w:tr>
      <w:tr w14:paraId="702B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A4104D4">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0BFDAC4B">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7260729">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2D30800">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735BC62B">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7AAA313E">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66AEE5CA">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38DB39A5">
            <w:pPr>
              <w:tabs>
                <w:tab w:val="left" w:pos="1069"/>
                <w:tab w:val="left" w:pos="2352"/>
              </w:tabs>
              <w:spacing w:line="360" w:lineRule="auto"/>
              <w:rPr>
                <w:rFonts w:ascii="宋体" w:hAnsi="宋体" w:cs="宋体"/>
                <w:color w:val="auto"/>
                <w:sz w:val="22"/>
                <w:highlight w:val="none"/>
              </w:rPr>
            </w:pPr>
          </w:p>
        </w:tc>
      </w:tr>
      <w:tr w14:paraId="481C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92FC802">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503C3037">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AA1B04F">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68F6744D">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750A4948">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0667352F">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7D88F876">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6EE5CDB4">
            <w:pPr>
              <w:tabs>
                <w:tab w:val="left" w:pos="1069"/>
                <w:tab w:val="left" w:pos="2352"/>
              </w:tabs>
              <w:spacing w:line="360" w:lineRule="auto"/>
              <w:rPr>
                <w:rFonts w:ascii="宋体" w:hAnsi="宋体" w:cs="宋体"/>
                <w:color w:val="auto"/>
                <w:sz w:val="22"/>
                <w:highlight w:val="none"/>
              </w:rPr>
            </w:pPr>
          </w:p>
        </w:tc>
      </w:tr>
      <w:tr w14:paraId="11B7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20DB160">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564BF4F4">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6C10D67">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F87C4D5">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6A97628">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2A8FA352">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534D048F">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5454D875">
            <w:pPr>
              <w:tabs>
                <w:tab w:val="left" w:pos="1069"/>
                <w:tab w:val="left" w:pos="2352"/>
              </w:tabs>
              <w:spacing w:line="360" w:lineRule="auto"/>
              <w:rPr>
                <w:rFonts w:ascii="宋体" w:hAnsi="宋体" w:cs="宋体"/>
                <w:color w:val="auto"/>
                <w:sz w:val="22"/>
                <w:highlight w:val="none"/>
              </w:rPr>
            </w:pPr>
          </w:p>
        </w:tc>
      </w:tr>
      <w:tr w14:paraId="3493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32AD51D">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4EC891E2">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3C402FF">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91FA37E">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05DE373">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44DD2026">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1564059B">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1783D338">
            <w:pPr>
              <w:tabs>
                <w:tab w:val="left" w:pos="1069"/>
                <w:tab w:val="left" w:pos="2352"/>
              </w:tabs>
              <w:spacing w:line="360" w:lineRule="auto"/>
              <w:rPr>
                <w:rFonts w:ascii="宋体" w:hAnsi="宋体" w:cs="宋体"/>
                <w:color w:val="auto"/>
                <w:sz w:val="22"/>
                <w:highlight w:val="none"/>
              </w:rPr>
            </w:pPr>
          </w:p>
        </w:tc>
      </w:tr>
      <w:tr w14:paraId="4DB1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E2CB92D">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6CF51B4A">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5894ED37">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1D5D890">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E5B136E">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7E0CF4BA">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435924FF">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3D282429">
            <w:pPr>
              <w:tabs>
                <w:tab w:val="left" w:pos="1069"/>
                <w:tab w:val="left" w:pos="2352"/>
              </w:tabs>
              <w:spacing w:line="360" w:lineRule="auto"/>
              <w:rPr>
                <w:rFonts w:ascii="宋体" w:hAnsi="宋体" w:cs="宋体"/>
                <w:color w:val="auto"/>
                <w:sz w:val="22"/>
                <w:highlight w:val="none"/>
              </w:rPr>
            </w:pPr>
          </w:p>
        </w:tc>
      </w:tr>
      <w:tr w14:paraId="1466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9CB48CB">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1E5E5D2D">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45CC6F3">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01B864DC">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DF7FBD8">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13C304A0">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0645E6BD">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39FF15B8">
            <w:pPr>
              <w:tabs>
                <w:tab w:val="left" w:pos="1069"/>
                <w:tab w:val="left" w:pos="2352"/>
              </w:tabs>
              <w:spacing w:line="360" w:lineRule="auto"/>
              <w:rPr>
                <w:rFonts w:ascii="宋体" w:hAnsi="宋体" w:cs="宋体"/>
                <w:color w:val="auto"/>
                <w:sz w:val="22"/>
                <w:highlight w:val="none"/>
              </w:rPr>
            </w:pPr>
          </w:p>
        </w:tc>
      </w:tr>
      <w:tr w14:paraId="06D8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5A41F7D">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4FF878CB">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8E9F449">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3EE3C37E">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B3005C3">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39DE4A43">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6B606C91">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121255D2">
            <w:pPr>
              <w:tabs>
                <w:tab w:val="left" w:pos="1069"/>
                <w:tab w:val="left" w:pos="2352"/>
              </w:tabs>
              <w:spacing w:line="360" w:lineRule="auto"/>
              <w:rPr>
                <w:rFonts w:ascii="宋体" w:hAnsi="宋体" w:cs="宋体"/>
                <w:color w:val="auto"/>
                <w:sz w:val="22"/>
                <w:highlight w:val="none"/>
              </w:rPr>
            </w:pPr>
          </w:p>
        </w:tc>
      </w:tr>
      <w:tr w14:paraId="2623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52BD993">
            <w:pPr>
              <w:tabs>
                <w:tab w:val="left" w:pos="1069"/>
                <w:tab w:val="left" w:pos="2352"/>
              </w:tabs>
              <w:spacing w:line="360" w:lineRule="auto"/>
              <w:rPr>
                <w:rFonts w:ascii="宋体" w:hAnsi="宋体" w:cs="宋体"/>
                <w:color w:val="auto"/>
                <w:sz w:val="22"/>
                <w:highlight w:val="none"/>
              </w:rPr>
            </w:pPr>
          </w:p>
        </w:tc>
        <w:tc>
          <w:tcPr>
            <w:tcW w:w="2520" w:type="dxa"/>
            <w:tcBorders>
              <w:top w:val="single" w:color="auto" w:sz="4" w:space="0"/>
              <w:left w:val="single" w:color="auto" w:sz="4" w:space="0"/>
              <w:right w:val="single" w:color="auto" w:sz="4" w:space="0"/>
            </w:tcBorders>
            <w:vAlign w:val="center"/>
          </w:tcPr>
          <w:p w14:paraId="26A0FED7">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4517C5C4">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21D33D96">
            <w:pPr>
              <w:tabs>
                <w:tab w:val="left" w:pos="1069"/>
                <w:tab w:val="left" w:pos="2352"/>
              </w:tabs>
              <w:spacing w:line="360" w:lineRule="auto"/>
              <w:rPr>
                <w:rFonts w:ascii="宋体" w:hAnsi="宋体" w:cs="宋体"/>
                <w:color w:val="auto"/>
                <w:sz w:val="22"/>
                <w:highlight w:val="none"/>
              </w:rPr>
            </w:pPr>
          </w:p>
        </w:tc>
        <w:tc>
          <w:tcPr>
            <w:tcW w:w="720" w:type="dxa"/>
            <w:tcBorders>
              <w:top w:val="single" w:color="auto" w:sz="4" w:space="0"/>
              <w:left w:val="single" w:color="auto" w:sz="4" w:space="0"/>
              <w:right w:val="single" w:color="auto" w:sz="4" w:space="0"/>
            </w:tcBorders>
            <w:vAlign w:val="center"/>
          </w:tcPr>
          <w:p w14:paraId="1FD97C72">
            <w:pPr>
              <w:tabs>
                <w:tab w:val="left" w:pos="1069"/>
                <w:tab w:val="left" w:pos="2352"/>
              </w:tabs>
              <w:spacing w:line="360" w:lineRule="auto"/>
              <w:rPr>
                <w:rFonts w:ascii="宋体" w:hAnsi="宋体" w:cs="宋体"/>
                <w:color w:val="auto"/>
                <w:sz w:val="22"/>
                <w:highlight w:val="none"/>
              </w:rPr>
            </w:pPr>
          </w:p>
        </w:tc>
        <w:tc>
          <w:tcPr>
            <w:tcW w:w="1080" w:type="dxa"/>
            <w:tcBorders>
              <w:top w:val="single" w:color="auto" w:sz="4" w:space="0"/>
              <w:left w:val="single" w:color="auto" w:sz="4" w:space="0"/>
              <w:right w:val="single" w:color="auto" w:sz="4" w:space="0"/>
            </w:tcBorders>
            <w:vAlign w:val="center"/>
          </w:tcPr>
          <w:p w14:paraId="2740287A">
            <w:pPr>
              <w:tabs>
                <w:tab w:val="left" w:pos="1069"/>
                <w:tab w:val="left" w:pos="2352"/>
              </w:tabs>
              <w:spacing w:line="360" w:lineRule="auto"/>
              <w:rPr>
                <w:rFonts w:ascii="宋体" w:hAnsi="宋体" w:cs="宋体"/>
                <w:color w:val="auto"/>
                <w:sz w:val="22"/>
                <w:highlight w:val="none"/>
              </w:rPr>
            </w:pPr>
          </w:p>
        </w:tc>
        <w:tc>
          <w:tcPr>
            <w:tcW w:w="1458" w:type="dxa"/>
            <w:tcBorders>
              <w:top w:val="single" w:color="auto" w:sz="4" w:space="0"/>
              <w:left w:val="single" w:color="auto" w:sz="4" w:space="0"/>
              <w:right w:val="single" w:color="auto" w:sz="4" w:space="0"/>
            </w:tcBorders>
            <w:vAlign w:val="center"/>
          </w:tcPr>
          <w:p w14:paraId="56700194">
            <w:pPr>
              <w:tabs>
                <w:tab w:val="left" w:pos="1069"/>
                <w:tab w:val="left" w:pos="2352"/>
              </w:tabs>
              <w:spacing w:line="360" w:lineRule="auto"/>
              <w:rPr>
                <w:rFonts w:ascii="宋体" w:hAnsi="宋体" w:cs="宋体"/>
                <w:color w:val="auto"/>
                <w:sz w:val="22"/>
                <w:highlight w:val="none"/>
              </w:rPr>
            </w:pPr>
          </w:p>
        </w:tc>
        <w:tc>
          <w:tcPr>
            <w:tcW w:w="1560" w:type="dxa"/>
            <w:tcBorders>
              <w:top w:val="single" w:color="auto" w:sz="4" w:space="0"/>
              <w:left w:val="single" w:color="auto" w:sz="4" w:space="0"/>
              <w:right w:val="single" w:color="auto" w:sz="4" w:space="0"/>
            </w:tcBorders>
            <w:vAlign w:val="center"/>
          </w:tcPr>
          <w:p w14:paraId="3C14CDDE">
            <w:pPr>
              <w:tabs>
                <w:tab w:val="left" w:pos="1069"/>
                <w:tab w:val="left" w:pos="2352"/>
              </w:tabs>
              <w:spacing w:line="360" w:lineRule="auto"/>
              <w:rPr>
                <w:rFonts w:ascii="宋体" w:hAnsi="宋体" w:cs="宋体"/>
                <w:color w:val="auto"/>
                <w:sz w:val="22"/>
                <w:highlight w:val="none"/>
              </w:rPr>
            </w:pPr>
          </w:p>
        </w:tc>
      </w:tr>
    </w:tbl>
    <w:p w14:paraId="3AB7D308">
      <w:pPr>
        <w:tabs>
          <w:tab w:val="left" w:pos="1069"/>
          <w:tab w:val="left" w:pos="2352"/>
        </w:tabs>
        <w:spacing w:line="360" w:lineRule="exact"/>
        <w:ind w:left="985" w:hanging="981" w:hangingChars="440"/>
        <w:rPr>
          <w:rFonts w:ascii="宋体" w:hAnsi="宋体" w:cs="宋体"/>
          <w:color w:val="auto"/>
          <w:sz w:val="22"/>
          <w:highlight w:val="none"/>
        </w:rPr>
      </w:pPr>
      <w:r>
        <w:rPr>
          <w:rFonts w:hint="eastAsia" w:ascii="宋体" w:hAnsi="宋体" w:cs="宋体"/>
          <w:color w:val="auto"/>
          <w:sz w:val="22"/>
          <w:highlight w:val="none"/>
        </w:rPr>
        <w:t>注：  1. 项目负责人及其他服务人员均应列入；</w:t>
      </w:r>
    </w:p>
    <w:p w14:paraId="1C392BDF">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2. 列入本表人员如要更换，需经采购人同意，擅自更换或不到位属违约行为；</w:t>
      </w:r>
    </w:p>
    <w:p w14:paraId="08540DA5">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3. 职称证书、执业资格证书、职业水平证书等人员证件复印件附后（如有）。</w:t>
      </w:r>
    </w:p>
    <w:p w14:paraId="1C15E1A7">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4.表格可以延续。</w:t>
      </w:r>
    </w:p>
    <w:p w14:paraId="6B9AB4CA">
      <w:pPr>
        <w:pStyle w:val="10"/>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3B218468">
      <w:pPr>
        <w:pStyle w:val="10"/>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19DB053D">
      <w:pPr>
        <w:pStyle w:val="10"/>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14:paraId="1B4B2E3D">
      <w:pPr>
        <w:tabs>
          <w:tab w:val="left" w:pos="1069"/>
          <w:tab w:val="left" w:pos="2352"/>
        </w:tabs>
        <w:spacing w:line="360" w:lineRule="exact"/>
        <w:jc w:val="left"/>
        <w:rPr>
          <w:rFonts w:ascii="宋体" w:hAnsi="宋体" w:cs="宋体"/>
          <w:color w:val="auto"/>
          <w:sz w:val="30"/>
          <w:highlight w:val="none"/>
        </w:rPr>
      </w:pPr>
    </w:p>
    <w:p w14:paraId="26FB408C">
      <w:pPr>
        <w:tabs>
          <w:tab w:val="left" w:pos="1069"/>
          <w:tab w:val="left" w:pos="2352"/>
        </w:tabs>
        <w:spacing w:line="360" w:lineRule="exact"/>
        <w:jc w:val="left"/>
        <w:rPr>
          <w:rFonts w:ascii="宋体" w:hAnsi="宋体" w:cs="宋体"/>
          <w:b/>
          <w:bCs/>
          <w:color w:val="auto"/>
          <w:sz w:val="30"/>
          <w:highlight w:val="none"/>
        </w:rPr>
      </w:pPr>
    </w:p>
    <w:p w14:paraId="75F4944B">
      <w:pPr>
        <w:tabs>
          <w:tab w:val="left" w:pos="1069"/>
          <w:tab w:val="left" w:pos="2352"/>
        </w:tabs>
        <w:spacing w:line="360" w:lineRule="exact"/>
        <w:jc w:val="left"/>
        <w:rPr>
          <w:rFonts w:ascii="宋体" w:hAnsi="宋体" w:cs="宋体"/>
          <w:b/>
          <w:bCs/>
          <w:color w:val="auto"/>
          <w:szCs w:val="21"/>
          <w:highlight w:val="none"/>
        </w:rPr>
      </w:pPr>
      <w:r>
        <w:rPr>
          <w:rFonts w:hint="eastAsia" w:ascii="宋体" w:hAnsi="宋体" w:cs="宋体"/>
          <w:b/>
          <w:bCs/>
          <w:color w:val="auto"/>
          <w:sz w:val="30"/>
          <w:highlight w:val="none"/>
        </w:rPr>
        <w:t>附件十</w:t>
      </w:r>
    </w:p>
    <w:p w14:paraId="778DD460">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90" w:name="_Toc28287_WPSOffice_Level3"/>
      <w:r>
        <w:rPr>
          <w:rFonts w:hint="eastAsia" w:ascii="宋体" w:hAnsi="宋体" w:cs="宋体"/>
          <w:b/>
          <w:bCs/>
          <w:color w:val="auto"/>
          <w:sz w:val="32"/>
          <w:highlight w:val="none"/>
        </w:rPr>
        <w:t>供应商项目业绩清单</w:t>
      </w:r>
      <w:bookmarkEnd w:id="90"/>
    </w:p>
    <w:p w14:paraId="7C89D85E">
      <w:pPr>
        <w:pStyle w:val="10"/>
        <w:tabs>
          <w:tab w:val="left" w:pos="1069"/>
          <w:tab w:val="left" w:pos="2352"/>
        </w:tabs>
        <w:spacing w:line="360" w:lineRule="exact"/>
        <w:jc w:val="center"/>
        <w:rPr>
          <w:rFonts w:hAnsi="宋体" w:cs="宋体"/>
          <w:color w:val="auto"/>
          <w:sz w:val="22"/>
          <w:highlight w:val="none"/>
        </w:rPr>
      </w:pPr>
    </w:p>
    <w:tbl>
      <w:tblPr>
        <w:tblStyle w:val="26"/>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5D4B98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14:paraId="51EAC5BC">
            <w:pPr>
              <w:tabs>
                <w:tab w:val="left" w:pos="1069"/>
                <w:tab w:val="left" w:pos="2352"/>
                <w:tab w:val="left" w:pos="4140"/>
              </w:tabs>
              <w:adjustRightInd w:val="0"/>
              <w:snapToGrid w:val="0"/>
              <w:spacing w:line="320" w:lineRule="atLeast"/>
              <w:jc w:val="center"/>
              <w:rPr>
                <w:rFonts w:ascii="宋体" w:hAnsi="宋体" w:cs="宋体"/>
                <w:caps/>
                <w:smallCaps w:val="0"/>
                <w:color w:val="auto"/>
                <w:spacing w:val="20"/>
                <w:sz w:val="22"/>
                <w:highlight w:val="none"/>
              </w:rPr>
            </w:pPr>
            <w:r>
              <w:rPr>
                <w:rFonts w:hint="eastAsia" w:ascii="宋体" w:hAnsi="宋体" w:cs="宋体"/>
                <w:caps/>
                <w:smallCaps w:val="0"/>
                <w:color w:val="auto"/>
                <w:spacing w:val="20"/>
                <w:sz w:val="22"/>
                <w:highlight w:val="none"/>
              </w:rPr>
              <w:t>序号</w:t>
            </w:r>
          </w:p>
        </w:tc>
        <w:tc>
          <w:tcPr>
            <w:tcW w:w="1153" w:type="dxa"/>
            <w:tcBorders>
              <w:top w:val="double" w:color="000000" w:sz="6" w:space="0"/>
            </w:tcBorders>
          </w:tcPr>
          <w:p w14:paraId="141610DD">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7DAD01D4">
            <w:pPr>
              <w:tabs>
                <w:tab w:val="left" w:pos="1069"/>
                <w:tab w:val="left" w:pos="2352"/>
                <w:tab w:val="left" w:pos="4140"/>
              </w:tabs>
              <w:adjustRightInd w:val="0"/>
              <w:snapToGrid w:val="0"/>
              <w:spacing w:line="320" w:lineRule="atLeast"/>
              <w:jc w:val="center"/>
              <w:rPr>
                <w:rFonts w:ascii="宋体" w:hAnsi="宋体" w:cs="宋体"/>
                <w:caps/>
                <w:smallCaps w:val="0"/>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348BA0A9">
            <w:pPr>
              <w:tabs>
                <w:tab w:val="left" w:pos="1069"/>
                <w:tab w:val="left" w:pos="2352"/>
                <w:tab w:val="left" w:pos="4140"/>
              </w:tabs>
              <w:adjustRightInd w:val="0"/>
              <w:snapToGrid w:val="0"/>
              <w:spacing w:line="320" w:lineRule="atLeast"/>
              <w:jc w:val="center"/>
              <w:rPr>
                <w:rFonts w:ascii="宋体" w:hAnsi="宋体" w:cs="宋体"/>
                <w:caps/>
                <w:smallCaps w:val="0"/>
                <w:color w:val="auto"/>
                <w:spacing w:val="20"/>
                <w:sz w:val="22"/>
                <w:highlight w:val="none"/>
              </w:rPr>
            </w:pPr>
            <w:r>
              <w:rPr>
                <w:rFonts w:hint="eastAsia" w:ascii="宋体" w:hAnsi="宋体" w:cs="宋体"/>
                <w:caps/>
                <w:smallCaps w:val="0"/>
                <w:color w:val="auto"/>
                <w:spacing w:val="20"/>
                <w:sz w:val="22"/>
                <w:highlight w:val="none"/>
              </w:rPr>
              <w:t>项目</w:t>
            </w:r>
          </w:p>
          <w:p w14:paraId="44045C4D">
            <w:pPr>
              <w:tabs>
                <w:tab w:val="left" w:pos="1069"/>
                <w:tab w:val="left" w:pos="2352"/>
                <w:tab w:val="left" w:pos="4140"/>
              </w:tabs>
              <w:adjustRightInd w:val="0"/>
              <w:snapToGrid w:val="0"/>
              <w:spacing w:line="320" w:lineRule="atLeast"/>
              <w:jc w:val="center"/>
              <w:rPr>
                <w:rFonts w:ascii="宋体" w:hAnsi="宋体" w:cs="宋体"/>
                <w:caps/>
                <w:smallCaps w:val="0"/>
                <w:color w:val="auto"/>
                <w:spacing w:val="20"/>
                <w:sz w:val="22"/>
                <w:highlight w:val="none"/>
              </w:rPr>
            </w:pPr>
            <w:r>
              <w:rPr>
                <w:rFonts w:hint="eastAsia" w:ascii="宋体" w:hAnsi="宋体" w:cs="宋体"/>
                <w:caps/>
                <w:smallCaps w:val="0"/>
                <w:color w:val="auto"/>
                <w:spacing w:val="20"/>
                <w:sz w:val="22"/>
                <w:highlight w:val="none"/>
              </w:rPr>
              <w:t>名称</w:t>
            </w:r>
          </w:p>
        </w:tc>
        <w:tc>
          <w:tcPr>
            <w:tcW w:w="1154" w:type="dxa"/>
            <w:tcBorders>
              <w:top w:val="double" w:color="000000" w:sz="6" w:space="0"/>
            </w:tcBorders>
          </w:tcPr>
          <w:p w14:paraId="1BFA00BC">
            <w:pPr>
              <w:tabs>
                <w:tab w:val="left" w:pos="1069"/>
                <w:tab w:val="left" w:pos="2352"/>
                <w:tab w:val="left" w:pos="4140"/>
              </w:tabs>
              <w:adjustRightInd w:val="0"/>
              <w:snapToGrid w:val="0"/>
              <w:spacing w:line="320" w:lineRule="atLeast"/>
              <w:jc w:val="center"/>
              <w:rPr>
                <w:rFonts w:ascii="宋体" w:hAnsi="宋体" w:cs="宋体"/>
                <w:caps/>
                <w:smallCaps w:val="0"/>
                <w:color w:val="auto"/>
                <w:spacing w:val="20"/>
                <w:sz w:val="22"/>
                <w:highlight w:val="none"/>
              </w:rPr>
            </w:pPr>
            <w:r>
              <w:rPr>
                <w:rFonts w:hint="eastAsia" w:ascii="宋体" w:hAnsi="宋体" w:cs="宋体"/>
                <w:caps/>
                <w:smallCaps w:val="0"/>
                <w:color w:val="auto"/>
                <w:spacing w:val="20"/>
                <w:sz w:val="22"/>
                <w:highlight w:val="none"/>
              </w:rPr>
              <w:t>数量</w:t>
            </w:r>
          </w:p>
        </w:tc>
        <w:tc>
          <w:tcPr>
            <w:tcW w:w="1154" w:type="dxa"/>
            <w:tcBorders>
              <w:top w:val="double" w:color="000000" w:sz="6" w:space="0"/>
            </w:tcBorders>
          </w:tcPr>
          <w:p w14:paraId="2BBF90C4">
            <w:pPr>
              <w:tabs>
                <w:tab w:val="left" w:pos="1069"/>
                <w:tab w:val="left" w:pos="2352"/>
                <w:tab w:val="left" w:pos="4140"/>
              </w:tabs>
              <w:adjustRightInd w:val="0"/>
              <w:snapToGrid w:val="0"/>
              <w:spacing w:line="320" w:lineRule="atLeast"/>
              <w:jc w:val="center"/>
              <w:rPr>
                <w:rFonts w:ascii="宋体" w:hAnsi="宋体" w:cs="宋体"/>
                <w:caps/>
                <w:smallCaps w:val="0"/>
                <w:color w:val="auto"/>
                <w:spacing w:val="20"/>
                <w:sz w:val="22"/>
                <w:highlight w:val="none"/>
              </w:rPr>
            </w:pPr>
            <w:r>
              <w:rPr>
                <w:rFonts w:hint="eastAsia" w:ascii="宋体" w:hAnsi="宋体" w:cs="宋体"/>
                <w:caps/>
                <w:smallCaps w:val="0"/>
                <w:color w:val="auto"/>
                <w:spacing w:val="20"/>
                <w:sz w:val="22"/>
                <w:highlight w:val="none"/>
              </w:rPr>
              <w:t>合同</w:t>
            </w:r>
          </w:p>
          <w:p w14:paraId="1D5BDE7E">
            <w:pPr>
              <w:tabs>
                <w:tab w:val="left" w:pos="1069"/>
                <w:tab w:val="left" w:pos="2352"/>
                <w:tab w:val="left" w:pos="4140"/>
              </w:tabs>
              <w:adjustRightInd w:val="0"/>
              <w:snapToGrid w:val="0"/>
              <w:spacing w:line="320" w:lineRule="atLeast"/>
              <w:jc w:val="center"/>
              <w:rPr>
                <w:rFonts w:ascii="宋体" w:hAnsi="宋体" w:cs="宋体"/>
                <w:caps/>
                <w:smallCaps w:val="0"/>
                <w:color w:val="auto"/>
                <w:spacing w:val="20"/>
                <w:sz w:val="22"/>
                <w:highlight w:val="none"/>
              </w:rPr>
            </w:pPr>
            <w:r>
              <w:rPr>
                <w:rFonts w:hint="eastAsia" w:ascii="宋体" w:hAnsi="宋体" w:cs="宋体"/>
                <w:caps/>
                <w:smallCaps w:val="0"/>
                <w:color w:val="auto"/>
                <w:spacing w:val="20"/>
                <w:sz w:val="22"/>
                <w:highlight w:val="none"/>
              </w:rPr>
              <w:t>金额</w:t>
            </w:r>
          </w:p>
        </w:tc>
        <w:tc>
          <w:tcPr>
            <w:tcW w:w="1154" w:type="dxa"/>
            <w:tcBorders>
              <w:top w:val="double" w:color="000000" w:sz="6" w:space="0"/>
            </w:tcBorders>
          </w:tcPr>
          <w:p w14:paraId="3EE1EA78">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742213D0">
            <w:pPr>
              <w:tabs>
                <w:tab w:val="left" w:pos="1069"/>
                <w:tab w:val="left" w:pos="2352"/>
                <w:tab w:val="left" w:pos="4140"/>
              </w:tabs>
              <w:adjustRightInd w:val="0"/>
              <w:snapToGrid w:val="0"/>
              <w:spacing w:line="320" w:lineRule="atLeast"/>
              <w:jc w:val="center"/>
              <w:rPr>
                <w:rFonts w:ascii="宋体" w:hAnsi="宋体" w:cs="宋体"/>
                <w:caps/>
                <w:smallCaps w:val="0"/>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5343AE6E">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2C55ADA3">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47F4CA20">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676BE6BE">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51CF31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3C91434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1C78EFF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389BF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5D3D27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B3FE7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21C1F16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82978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26964B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7D155D9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64073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4E1949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3D23E1F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28A7B7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F2CF0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2298C95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EA2DBB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C70B6A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8AB3BD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139B12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1C995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2647D1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2BA973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8A283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29D5DF6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2AB010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208429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A538ED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78B60C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49911B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12189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47C41B8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65387A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A2DFD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EF3C1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6C9CB3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1500D2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D15AE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0A66FC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32F0A1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EFD41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66D1108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5CE0C0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F132EE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5E93BB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D40E27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EFFCD5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4F9762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7ACCA1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12319B4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06EED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2338BFF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6A76497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ADC006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02110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2EB9D11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B60D1F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1E9346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0A9419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2A2428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076D5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30E0100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2DCCDB6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760BC7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7825EE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DCEF3D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033DD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26A734C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4B4B9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6FDF41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C308D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2809AA2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2860A6E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141D0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C717A5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34C552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DF8754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ED5BF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F3DAE2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6EC9C38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DF183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6D17DA9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0FDC7F1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87A05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8DFD4C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6B772E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4C384F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0C87F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6502F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2FBF926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D3BA8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1870BF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6B4A6F5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390B3D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89E39D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05F472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C6AEA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1DA2B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81E334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4215D34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703A1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280A118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0458C09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AE6992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DF0E0C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93EA23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73590D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25BE92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D6504B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01DCF9E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F4DD7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563F76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7A2A49E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0FF905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77981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73E79F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4D9FCE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2A4F75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4027B5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7617401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C125B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1FEFE8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43CD20E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1EB8B3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8A9041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1A7FA8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8E40D1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CFCFCA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C70B8E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19387C9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7EBDD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5D52FC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4B75D2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97CCEE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C37C06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6A1E2B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B0D28D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23C1F3B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CDB26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76DDC25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11526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131641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7F52580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BB244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A3E80E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E80702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247437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20BD4D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BC6160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38D8E9C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85C4D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59A671C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12EA6F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9F66F2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F107B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242AF5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8D39D2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966D93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333DD4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0A77C8B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3F630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2A7C391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3EC2F2D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1395F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562A1E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B1C8E2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1832BC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E2AB3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AA2AF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79A5D2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757E8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7C94CEC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6EE170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718E21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2832DE6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7D974FF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137BAF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A2E633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1318BC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1A4EBB7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E77ACA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2F0536F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0DD11A0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159973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D3C78B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D67686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CFFD36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4DEFA4A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5122962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7C82D4C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7B5EC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6D991DF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tcPr>
          <w:p w14:paraId="4B36CA1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8FC61C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63655B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63D5251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F847EC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3E0C4BC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tcPr>
          <w:p w14:paraId="01BC6B0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top w:val="single" w:color="000000" w:sz="6" w:space="0"/>
              <w:left w:val="single" w:color="000000" w:sz="6" w:space="0"/>
              <w:right w:val="double" w:color="000000" w:sz="6" w:space="0"/>
            </w:tcBorders>
          </w:tcPr>
          <w:p w14:paraId="161EF83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34B8C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0D6971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7B923DE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258E75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95873F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6ECF080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6E99ECC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68BE863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7B574E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0D16221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14:paraId="59F76DB9">
      <w:pPr>
        <w:pStyle w:val="10"/>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0C90AB11">
      <w:pPr>
        <w:tabs>
          <w:tab w:val="left" w:pos="1069"/>
          <w:tab w:val="left" w:pos="2352"/>
        </w:tabs>
        <w:rPr>
          <w:rFonts w:ascii="宋体" w:hAnsi="宋体" w:cs="宋体"/>
          <w:color w:val="auto"/>
          <w:spacing w:val="20"/>
          <w:sz w:val="22"/>
          <w:highlight w:val="none"/>
        </w:rPr>
      </w:pPr>
    </w:p>
    <w:p w14:paraId="092841B2">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3FAB2479">
      <w:pPr>
        <w:pStyle w:val="10"/>
        <w:tabs>
          <w:tab w:val="left" w:pos="1069"/>
          <w:tab w:val="left" w:pos="2352"/>
        </w:tabs>
        <w:spacing w:line="360" w:lineRule="exact"/>
        <w:jc w:val="left"/>
        <w:rPr>
          <w:rFonts w:hAnsi="宋体" w:cs="宋体"/>
          <w:color w:val="auto"/>
          <w:sz w:val="22"/>
          <w:szCs w:val="22"/>
          <w:highlight w:val="none"/>
        </w:rPr>
      </w:pPr>
    </w:p>
    <w:p w14:paraId="7C87FD62">
      <w:pPr>
        <w:pStyle w:val="10"/>
        <w:tabs>
          <w:tab w:val="left" w:pos="1069"/>
          <w:tab w:val="left" w:pos="2352"/>
        </w:tabs>
        <w:spacing w:line="360" w:lineRule="exact"/>
        <w:jc w:val="left"/>
        <w:rPr>
          <w:rFonts w:hAnsi="宋体" w:cs="宋体"/>
          <w:color w:val="auto"/>
          <w:sz w:val="22"/>
          <w:szCs w:val="22"/>
          <w:highlight w:val="none"/>
        </w:rPr>
      </w:pPr>
    </w:p>
    <w:p w14:paraId="76D7EED2">
      <w:pPr>
        <w:pStyle w:val="10"/>
        <w:tabs>
          <w:tab w:val="left" w:pos="1069"/>
          <w:tab w:val="left" w:pos="2352"/>
        </w:tabs>
        <w:spacing w:line="360" w:lineRule="exact"/>
        <w:jc w:val="left"/>
        <w:rPr>
          <w:rFonts w:hAnsi="宋体" w:cs="宋体"/>
          <w:color w:val="auto"/>
          <w:sz w:val="22"/>
          <w:szCs w:val="22"/>
          <w:highlight w:val="none"/>
        </w:rPr>
      </w:pPr>
    </w:p>
    <w:p w14:paraId="11AD5339">
      <w:pPr>
        <w:pStyle w:val="10"/>
        <w:tabs>
          <w:tab w:val="left" w:pos="1069"/>
          <w:tab w:val="left" w:pos="2352"/>
        </w:tabs>
        <w:spacing w:line="360" w:lineRule="exact"/>
        <w:jc w:val="left"/>
        <w:rPr>
          <w:rFonts w:hAnsi="宋体" w:cs="宋体"/>
          <w:color w:val="auto"/>
          <w:sz w:val="22"/>
          <w:szCs w:val="22"/>
          <w:highlight w:val="none"/>
        </w:rPr>
      </w:pPr>
    </w:p>
    <w:p w14:paraId="0699C236">
      <w:pPr>
        <w:tabs>
          <w:tab w:val="left" w:pos="1069"/>
          <w:tab w:val="left" w:pos="2352"/>
        </w:tabs>
        <w:spacing w:line="400" w:lineRule="exact"/>
        <w:jc w:val="left"/>
        <w:rPr>
          <w:rFonts w:ascii="宋体" w:hAnsi="宋体" w:cs="宋体"/>
          <w:b/>
          <w:bCs/>
          <w:color w:val="auto"/>
          <w:sz w:val="30"/>
          <w:highlight w:val="none"/>
        </w:rPr>
      </w:pPr>
    </w:p>
    <w:p w14:paraId="4C83DE68">
      <w:pPr>
        <w:tabs>
          <w:tab w:val="left" w:pos="1069"/>
          <w:tab w:val="left" w:pos="2352"/>
        </w:tabs>
        <w:spacing w:line="400" w:lineRule="exact"/>
        <w:jc w:val="left"/>
        <w:rPr>
          <w:rFonts w:ascii="宋体" w:hAnsi="宋体" w:cs="宋体"/>
          <w:b/>
          <w:bCs/>
          <w:color w:val="auto"/>
          <w:sz w:val="30"/>
          <w:highlight w:val="none"/>
        </w:rPr>
      </w:pPr>
      <w:r>
        <w:rPr>
          <w:rFonts w:hint="eastAsia" w:ascii="宋体" w:hAnsi="宋体" w:cs="宋体"/>
          <w:b/>
          <w:bCs/>
          <w:color w:val="auto"/>
          <w:sz w:val="30"/>
          <w:highlight w:val="none"/>
        </w:rPr>
        <w:t>附件十一</w:t>
      </w:r>
    </w:p>
    <w:p w14:paraId="2CBAFA55">
      <w:pPr>
        <w:tabs>
          <w:tab w:val="left" w:pos="1069"/>
          <w:tab w:val="left" w:pos="2352"/>
        </w:tabs>
        <w:spacing w:line="420" w:lineRule="exact"/>
        <w:jc w:val="center"/>
        <w:rPr>
          <w:rFonts w:ascii="宋体" w:hAnsi="宋体" w:cs="宋体"/>
          <w:b/>
          <w:bCs/>
          <w:color w:val="auto"/>
          <w:sz w:val="30"/>
          <w:highlight w:val="none"/>
        </w:rPr>
      </w:pPr>
      <w:bookmarkStart w:id="91" w:name="_Toc31819"/>
      <w:r>
        <w:rPr>
          <w:rFonts w:hint="eastAsia" w:ascii="宋体" w:hAnsi="宋体" w:cs="宋体"/>
          <w:b/>
          <w:bCs/>
          <w:color w:val="auto"/>
          <w:sz w:val="30"/>
          <w:highlight w:val="none"/>
        </w:rPr>
        <w:t>政府采购活动现场确认声明书</w:t>
      </w:r>
      <w:bookmarkEnd w:id="91"/>
    </w:p>
    <w:p w14:paraId="6D834D60">
      <w:pPr>
        <w:pStyle w:val="38"/>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14:paraId="5FB33A5B">
      <w:pPr>
        <w:pStyle w:val="38"/>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14:paraId="71BFF5A2">
      <w:pPr>
        <w:pStyle w:val="38"/>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2025年泰顺县食品安全抽检服务项目</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TSCG202502003</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35FC6804">
      <w:pPr>
        <w:pStyle w:val="37"/>
        <w:widowControl/>
        <w:tabs>
          <w:tab w:val="left" w:pos="1069"/>
          <w:tab w:val="left" w:pos="2352"/>
        </w:tabs>
        <w:adjustRightInd w:val="0"/>
        <w:snapToGrid w:val="0"/>
        <w:spacing w:line="400" w:lineRule="exact"/>
        <w:ind w:firstLine="446" w:firstLineChars="200"/>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2BE4FE19">
      <w:pPr>
        <w:pStyle w:val="37"/>
        <w:widowControl/>
        <w:tabs>
          <w:tab w:val="left" w:pos="1069"/>
          <w:tab w:val="left" w:pos="2352"/>
        </w:tabs>
        <w:adjustRightInd w:val="0"/>
        <w:snapToGrid w:val="0"/>
        <w:spacing w:line="400" w:lineRule="exact"/>
        <w:ind w:firstLine="446" w:firstLineChars="200"/>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2DA64070">
      <w:pPr>
        <w:pStyle w:val="37"/>
        <w:widowControl/>
        <w:tabs>
          <w:tab w:val="left" w:pos="1069"/>
          <w:tab w:val="left" w:pos="2352"/>
        </w:tabs>
        <w:adjustRightInd w:val="0"/>
        <w:snapToGrid w:val="0"/>
        <w:spacing w:line="400" w:lineRule="exact"/>
        <w:ind w:firstLine="446" w:firstLineChars="200"/>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284EEF94">
      <w:pPr>
        <w:pStyle w:val="37"/>
        <w:widowControl/>
        <w:tabs>
          <w:tab w:val="left" w:pos="1069"/>
          <w:tab w:val="left" w:pos="2352"/>
        </w:tabs>
        <w:adjustRightInd w:val="0"/>
        <w:snapToGrid w:val="0"/>
        <w:spacing w:line="400" w:lineRule="exact"/>
        <w:ind w:firstLine="470" w:firstLineChars="200"/>
        <w:textAlignment w:val="baseline"/>
        <w:rPr>
          <w:rFonts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54289E69">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53A4FADF">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4E5AEAB1">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5AE5DE29">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0D6E1AB3">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250BE71B">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37D636C7">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3396980F">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539E52AD">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14:paraId="02FBD6C6">
      <w:pPr>
        <w:pStyle w:val="37"/>
        <w:widowControl/>
        <w:tabs>
          <w:tab w:val="left" w:pos="1069"/>
          <w:tab w:val="left" w:pos="2352"/>
        </w:tabs>
        <w:adjustRightInd w:val="0"/>
        <w:snapToGrid w:val="0"/>
        <w:spacing w:line="400" w:lineRule="exact"/>
        <w:ind w:firstLine="446" w:firstLineChars="200"/>
        <w:textAlignment w:val="baseline"/>
        <w:rPr>
          <w:rFonts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14:paraId="39353F54">
      <w:pPr>
        <w:pStyle w:val="37"/>
        <w:widowControl/>
        <w:tabs>
          <w:tab w:val="left" w:pos="1069"/>
          <w:tab w:val="left" w:pos="2352"/>
        </w:tabs>
        <w:adjustRightInd w:val="0"/>
        <w:snapToGrid w:val="0"/>
        <w:spacing w:line="400" w:lineRule="exact"/>
        <w:ind w:firstLine="446" w:firstLineChars="200"/>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682B5F7D">
      <w:pPr>
        <w:pStyle w:val="38"/>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14:paraId="405DFB78">
      <w:pPr>
        <w:pStyle w:val="38"/>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14:paraId="01E6AEBD">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14:paraId="0BE42E59">
      <w:pPr>
        <w:pStyle w:val="8"/>
        <w:tabs>
          <w:tab w:val="left" w:pos="1069"/>
          <w:tab w:val="left" w:pos="2352"/>
        </w:tabs>
        <w:spacing w:line="400" w:lineRule="exact"/>
        <w:ind w:left="0"/>
        <w:rPr>
          <w:rFonts w:ascii="宋体" w:hAnsi="宋体" w:cs="宋体"/>
          <w:b/>
          <w:bCs/>
          <w:color w:val="auto"/>
          <w:szCs w:val="21"/>
          <w:highlight w:val="none"/>
        </w:rPr>
      </w:pPr>
    </w:p>
    <w:p w14:paraId="46EF82BD">
      <w:pPr>
        <w:pStyle w:val="10"/>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92"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92"/>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14:paraId="0FD5C129">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根据《中华人民共和国政府采购法》等有关政府采购法规，结合本次所要采购项目的实际，按照公平、公正、科学、择优的原则选择中标（成交）单位，特制定本评审办法。</w:t>
      </w:r>
    </w:p>
    <w:p w14:paraId="2658EB2A">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93" w:name="_Toc32552_WPSOffice_Level2"/>
      <w:r>
        <w:rPr>
          <w:rFonts w:hint="eastAsia" w:ascii="宋体" w:hAnsi="宋体" w:cs="宋体"/>
          <w:b/>
          <w:color w:val="auto"/>
          <w:sz w:val="22"/>
          <w:highlight w:val="none"/>
        </w:rPr>
        <w:t>一、总则</w:t>
      </w:r>
      <w:bookmarkEnd w:id="93"/>
    </w:p>
    <w:p w14:paraId="6D37ABC3">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14:paraId="683890E5">
      <w:pPr>
        <w:tabs>
          <w:tab w:val="left" w:pos="1069"/>
          <w:tab w:val="left" w:pos="2352"/>
        </w:tabs>
        <w:snapToGrid w:val="0"/>
        <w:spacing w:line="380" w:lineRule="exact"/>
        <w:ind w:firstLine="3846" w:firstLineChars="1725"/>
        <w:rPr>
          <w:rFonts w:ascii="宋体" w:hAnsi="宋体" w:cs="宋体"/>
          <w:color w:val="auto"/>
          <w:sz w:val="22"/>
          <w:highlight w:val="none"/>
        </w:rPr>
      </w:pPr>
      <w:bookmarkStart w:id="94" w:name="_Toc15399_WPSOffice_Level2"/>
      <w:r>
        <w:rPr>
          <w:rFonts w:hint="eastAsia" w:ascii="宋体" w:hAnsi="宋体" w:cs="宋体"/>
          <w:b/>
          <w:color w:val="auto"/>
          <w:sz w:val="22"/>
          <w:highlight w:val="none"/>
        </w:rPr>
        <w:t>二、评审组织</w:t>
      </w:r>
      <w:bookmarkEnd w:id="94"/>
    </w:p>
    <w:p w14:paraId="2778B925">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14:paraId="2750107E">
      <w:pPr>
        <w:tabs>
          <w:tab w:val="left" w:pos="1069"/>
          <w:tab w:val="left" w:pos="2352"/>
        </w:tabs>
        <w:snapToGrid w:val="0"/>
        <w:spacing w:line="380" w:lineRule="exact"/>
        <w:ind w:firstLine="1774" w:firstLineChars="796"/>
        <w:rPr>
          <w:rFonts w:ascii="宋体" w:hAnsi="宋体" w:cs="宋体"/>
          <w:color w:val="auto"/>
          <w:sz w:val="22"/>
          <w:highlight w:val="none"/>
        </w:rPr>
      </w:pPr>
      <w:bookmarkStart w:id="95" w:name="_Toc7010_WPSOffice_Level2"/>
      <w:r>
        <w:rPr>
          <w:rFonts w:hint="eastAsia" w:ascii="宋体" w:hAnsi="宋体" w:cs="宋体"/>
          <w:b/>
          <w:color w:val="auto"/>
          <w:sz w:val="22"/>
          <w:highlight w:val="none"/>
        </w:rPr>
        <w:t>三、投标（响应）文件递交截止、磋商程序、磋商原则和方式</w:t>
      </w:r>
      <w:bookmarkEnd w:id="95"/>
    </w:p>
    <w:p w14:paraId="03B481F3">
      <w:pPr>
        <w:pStyle w:val="10"/>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14:paraId="3A6353ED">
      <w:pPr>
        <w:pStyle w:val="10"/>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投标供应商须按竞争性磋商文件规定的时间在线递交投标（响应）文件。</w:t>
      </w:r>
    </w:p>
    <w:p w14:paraId="1B9E967C">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14:paraId="3830FE62">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14:paraId="3AB67AB2">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14:paraId="1FD27BAF">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14:paraId="7450670F">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14:paraId="737E0BC6">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14:paraId="414C6DF0">
      <w:pPr>
        <w:pStyle w:val="10"/>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14:paraId="1BCBAF5E">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14:paraId="24BAD988">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14:paraId="107B273B">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评审小组将综合分析合格供应商的各项指标，而不是以单项指标的优劣评选出成交的供应商。</w:t>
      </w:r>
    </w:p>
    <w:p w14:paraId="4CE8AC0F">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14:paraId="52016CF1">
      <w:pPr>
        <w:tabs>
          <w:tab w:val="left" w:pos="1069"/>
          <w:tab w:val="left" w:pos="2352"/>
        </w:tabs>
        <w:adjustRightInd w:val="0"/>
        <w:spacing w:line="400" w:lineRule="atLeast"/>
        <w:ind w:firstLine="436" w:firstLineChars="196"/>
        <w:rPr>
          <w:rFonts w:hint="eastAsia" w:ascii="宋体" w:hAnsi="宋体" w:cs="宋体"/>
          <w:b/>
          <w:bCs/>
          <w:color w:val="auto"/>
          <w:sz w:val="22"/>
          <w:highlight w:val="none"/>
          <w:u w:val="single"/>
        </w:rPr>
      </w:pPr>
      <w:r>
        <w:rPr>
          <w:rFonts w:hint="eastAsia" w:ascii="宋体" w:hAnsi="宋体" w:cs="宋体"/>
          <w:b/>
          <w:bCs/>
          <w:color w:val="auto"/>
          <w:sz w:val="22"/>
          <w:highlight w:val="none"/>
          <w:u w:val="single"/>
          <w:lang w:val="en-US" w:eastAsia="zh-CN"/>
        </w:rPr>
        <w:t>本项目分为2个标项，</w:t>
      </w:r>
      <w:r>
        <w:rPr>
          <w:rFonts w:hint="eastAsia" w:ascii="宋体" w:hAnsi="宋体" w:cs="宋体"/>
          <w:b/>
          <w:bCs/>
          <w:color w:val="auto"/>
          <w:sz w:val="22"/>
          <w:highlight w:val="none"/>
          <w:u w:val="single"/>
        </w:rPr>
        <w:t>供应商</w:t>
      </w:r>
      <w:r>
        <w:rPr>
          <w:rFonts w:hint="eastAsia" w:ascii="宋体" w:hAnsi="宋体" w:cs="宋体"/>
          <w:b/>
          <w:bCs/>
          <w:color w:val="auto"/>
          <w:sz w:val="22"/>
          <w:highlight w:val="none"/>
          <w:u w:val="single"/>
          <w:lang w:val="en-US" w:eastAsia="zh-CN"/>
        </w:rPr>
        <w:t>可以选择标项投标，但</w:t>
      </w:r>
      <w:r>
        <w:rPr>
          <w:rFonts w:hint="eastAsia" w:ascii="宋体" w:hAnsi="宋体" w:cs="宋体"/>
          <w:b/>
          <w:bCs/>
          <w:color w:val="auto"/>
          <w:sz w:val="22"/>
          <w:highlight w:val="none"/>
          <w:u w:val="single"/>
        </w:rPr>
        <w:t>必须对所投标项全部内容进行报价，只对部分内容进行报价的供应商将按无效投标处理。</w:t>
      </w:r>
      <w:r>
        <w:rPr>
          <w:rFonts w:hint="eastAsia" w:ascii="宋体"/>
          <w:color w:val="auto"/>
          <w:sz w:val="22"/>
          <w:highlight w:val="none"/>
        </w:rPr>
        <w:t>▲</w:t>
      </w:r>
      <w:r>
        <w:rPr>
          <w:rFonts w:hint="eastAsia" w:ascii="宋体"/>
          <w:b/>
          <w:bCs/>
          <w:color w:val="auto"/>
          <w:sz w:val="22"/>
          <w:highlight w:val="none"/>
          <w:u w:val="single"/>
        </w:rPr>
        <w:t>投标供应商同时投两个标项的，若投标供应商为第一标项的中标单位，则视为自动放弃第二标项</w:t>
      </w:r>
      <w:r>
        <w:rPr>
          <w:rFonts w:hint="eastAsia" w:ascii="宋体" w:hAnsi="宋体" w:cs="宋体"/>
          <w:b/>
          <w:bCs/>
          <w:color w:val="auto"/>
          <w:sz w:val="22"/>
          <w:highlight w:val="none"/>
          <w:u w:val="single"/>
        </w:rPr>
        <w:t>的中标资格。</w:t>
      </w:r>
      <w:r>
        <w:rPr>
          <w:rFonts w:hint="eastAsia" w:ascii="宋体" w:hAnsi="宋体" w:cs="宋体"/>
          <w:b/>
          <w:bCs/>
          <w:color w:val="auto"/>
          <w:sz w:val="22"/>
          <w:highlight w:val="none"/>
          <w:u w:val="single"/>
          <w:lang w:val="en-US" w:eastAsia="zh-CN"/>
        </w:rPr>
        <w:t>评审顺序为先标项一后标项二。</w:t>
      </w:r>
    </w:p>
    <w:p w14:paraId="21AB182F">
      <w:pPr>
        <w:tabs>
          <w:tab w:val="left" w:pos="1069"/>
          <w:tab w:val="left" w:pos="2352"/>
        </w:tabs>
        <w:adjustRightInd w:val="0"/>
        <w:spacing w:line="400" w:lineRule="atLeast"/>
        <w:ind w:firstLine="436" w:firstLineChars="196"/>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14:paraId="3FC9A20B">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14:paraId="1E663A88">
      <w:pPr>
        <w:pStyle w:val="10"/>
        <w:tabs>
          <w:tab w:val="left" w:pos="1069"/>
          <w:tab w:val="left" w:pos="2352"/>
        </w:tabs>
        <w:adjustRightInd w:val="0"/>
        <w:snapToGrid w:val="0"/>
        <w:spacing w:line="380" w:lineRule="exact"/>
        <w:ind w:firstLine="223" w:firstLineChars="100"/>
        <w:rPr>
          <w:rFonts w:hAnsi="宋体" w:cs="宋体"/>
          <w:b/>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14:paraId="6C8A5573">
      <w:pPr>
        <w:pStyle w:val="10"/>
        <w:tabs>
          <w:tab w:val="left" w:pos="1069"/>
          <w:tab w:val="left" w:pos="2352"/>
        </w:tabs>
        <w:adjustRightInd w:val="0"/>
        <w:snapToGrid w:val="0"/>
        <w:spacing w:line="380" w:lineRule="exact"/>
        <w:ind w:firstLine="446" w:firstLineChars="200"/>
        <w:jc w:val="center"/>
        <w:rPr>
          <w:rFonts w:hAnsi="宋体" w:cs="宋体"/>
          <w:color w:val="auto"/>
          <w:sz w:val="22"/>
          <w:highlight w:val="none"/>
        </w:rPr>
      </w:pPr>
      <w:bookmarkStart w:id="96" w:name="_Toc28287_WPSOffice_Level2"/>
    </w:p>
    <w:p w14:paraId="29455E81">
      <w:pPr>
        <w:tabs>
          <w:tab w:val="left" w:pos="1069"/>
          <w:tab w:val="left" w:pos="2352"/>
        </w:tabs>
        <w:rPr>
          <w:color w:val="auto"/>
          <w:highlight w:val="none"/>
        </w:rPr>
      </w:pPr>
    </w:p>
    <w:p w14:paraId="6E0E8FF8">
      <w:pPr>
        <w:pStyle w:val="10"/>
        <w:numPr>
          <w:ilvl w:val="0"/>
          <w:numId w:val="8"/>
        </w:numPr>
        <w:tabs>
          <w:tab w:val="left" w:pos="1069"/>
          <w:tab w:val="left" w:pos="2352"/>
        </w:tabs>
        <w:adjustRightInd w:val="0"/>
        <w:snapToGrid w:val="0"/>
        <w:spacing w:line="380" w:lineRule="exact"/>
        <w:ind w:left="0"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End w:id="96"/>
      <w:bookmarkStart w:id="97" w:name="_Toc20707_WPSOffice_Level3"/>
      <w:r>
        <w:rPr>
          <w:rFonts w:hint="eastAsia" w:hAnsi="宋体" w:cs="宋体"/>
          <w:b/>
          <w:bCs/>
          <w:color w:val="auto"/>
          <w:sz w:val="22"/>
          <w:highlight w:val="none"/>
          <w:lang w:eastAsia="zh-CN"/>
        </w:rPr>
        <w:t>（</w:t>
      </w:r>
      <w:r>
        <w:rPr>
          <w:rFonts w:hint="eastAsia" w:hAnsi="宋体" w:cs="宋体"/>
          <w:b/>
          <w:bCs/>
          <w:color w:val="auto"/>
          <w:sz w:val="22"/>
          <w:highlight w:val="none"/>
          <w:lang w:val="en-US" w:eastAsia="zh-CN"/>
        </w:rPr>
        <w:t>适用标项一、标项二</w:t>
      </w:r>
      <w:r>
        <w:rPr>
          <w:rFonts w:hint="eastAsia" w:hAnsi="宋体" w:cs="宋体"/>
          <w:b/>
          <w:bCs/>
          <w:color w:val="auto"/>
          <w:sz w:val="22"/>
          <w:highlight w:val="none"/>
          <w:lang w:eastAsia="zh-CN"/>
        </w:rPr>
        <w:t>）</w:t>
      </w:r>
    </w:p>
    <w:bookmarkEnd w:id="97"/>
    <w:p w14:paraId="34D54B5B">
      <w:pPr>
        <w:pStyle w:val="32"/>
        <w:tabs>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（一）报价评分</w:t>
      </w:r>
      <w:r>
        <w:rPr>
          <w:rFonts w:hint="eastAsia" w:ascii="Calibri" w:hAnsi="Calibri"/>
          <w:b/>
          <w:bCs/>
          <w:color w:val="auto"/>
          <w:sz w:val="22"/>
          <w:szCs w:val="22"/>
          <w:highlight w:val="none"/>
        </w:rPr>
        <w:t>（满分</w:t>
      </w:r>
      <w:r>
        <w:rPr>
          <w:rFonts w:hint="eastAsia" w:ascii="Calibri" w:hAnsi="Calibri"/>
          <w:b/>
          <w:bCs/>
          <w:color w:val="auto"/>
          <w:sz w:val="22"/>
          <w:szCs w:val="22"/>
          <w:highlight w:val="none"/>
          <w:lang w:val="en-US" w:eastAsia="zh-CN"/>
        </w:rPr>
        <w:t>2</w:t>
      </w:r>
      <w:r>
        <w:rPr>
          <w:rFonts w:hint="eastAsia" w:ascii="Calibri" w:hAnsi="Calibri"/>
          <w:b/>
          <w:bCs/>
          <w:color w:val="auto"/>
          <w:sz w:val="22"/>
          <w:szCs w:val="22"/>
          <w:highlight w:val="none"/>
        </w:rPr>
        <w:t>0分）</w:t>
      </w:r>
    </w:p>
    <w:p w14:paraId="3256FB6E">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1、以满足竞争性磋商文件要求且最终报价最低的有效供应商的价格为磋商基准价，其价格分为满分。其他供应商的价格分统一按照下列公式计算：</w:t>
      </w:r>
    </w:p>
    <w:p w14:paraId="0A80D564">
      <w:pPr>
        <w:pStyle w:val="10"/>
        <w:tabs>
          <w:tab w:val="left" w:pos="1069"/>
          <w:tab w:val="left" w:pos="2352"/>
        </w:tabs>
        <w:adjustRightInd w:val="0"/>
        <w:snapToGrid w:val="0"/>
        <w:spacing w:line="380" w:lineRule="exact"/>
        <w:ind w:left="443" w:leftChars="208" w:firstLine="28" w:firstLineChars="13"/>
        <w:rPr>
          <w:rFonts w:hAnsi="宋体" w:cs="宋体"/>
          <w:b/>
          <w:bCs/>
          <w:color w:val="auto"/>
          <w:sz w:val="22"/>
          <w:highlight w:val="none"/>
        </w:rPr>
      </w:pPr>
      <w:r>
        <w:rPr>
          <w:rFonts w:hint="eastAsia" w:hAnsi="宋体" w:cs="宋体"/>
          <w:b/>
          <w:bCs/>
          <w:color w:val="auto"/>
          <w:sz w:val="22"/>
          <w:highlight w:val="none"/>
        </w:rPr>
        <w:t>磋商报价得分=（磋商基准价/最终报价）×</w:t>
      </w:r>
      <w:r>
        <w:rPr>
          <w:rFonts w:hint="eastAsia" w:hAnsi="宋体" w:cs="宋体"/>
          <w:b/>
          <w:bCs/>
          <w:color w:val="auto"/>
          <w:sz w:val="22"/>
          <w:highlight w:val="none"/>
          <w:lang w:val="en-US" w:eastAsia="zh-CN"/>
        </w:rPr>
        <w:t>2</w:t>
      </w:r>
      <w:r>
        <w:rPr>
          <w:rFonts w:hint="eastAsia" w:hAnsi="宋体" w:cs="宋体"/>
          <w:b/>
          <w:bCs/>
          <w:color w:val="auto"/>
          <w:sz w:val="22"/>
          <w:highlight w:val="none"/>
        </w:rPr>
        <w:t>0%×100</w:t>
      </w:r>
    </w:p>
    <w:p w14:paraId="22B42180">
      <w:pPr>
        <w:pStyle w:val="10"/>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w:t>
      </w:r>
      <w:r>
        <w:rPr>
          <w:rFonts w:hint="eastAsia" w:ascii="宋体" w:hAnsi="宋体" w:eastAsia="宋体" w:cs="Arial"/>
          <w:color w:val="auto"/>
          <w:sz w:val="22"/>
          <w:szCs w:val="22"/>
          <w:highlight w:val="none"/>
        </w:rPr>
        <w:t>本项目参照《政府采购促进中小企业发展管理办法》（财库﹝2020﹞46 号）；财政部、司法部《关于政府采购支持监狱企业发展有关问题的通知》（财库〔2014〕68号）；《关于进一步加大政府采购支持中小</w:t>
      </w:r>
      <w:r>
        <w:rPr>
          <w:rFonts w:hint="eastAsia" w:hAnsi="宋体" w:cs="Arial"/>
          <w:color w:val="auto"/>
          <w:sz w:val="22"/>
          <w:szCs w:val="22"/>
          <w:highlight w:val="none"/>
        </w:rPr>
        <w:t>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w:t>
      </w:r>
      <w:r>
        <w:rPr>
          <w:rFonts w:hint="eastAsia" w:hAnsi="宋体" w:cs="Arial"/>
          <w:color w:val="auto"/>
          <w:sz w:val="22"/>
          <w:szCs w:val="22"/>
          <w:highlight w:val="none"/>
          <w:lang w:eastAsia="zh-CN"/>
        </w:rPr>
        <w:t>。</w:t>
      </w:r>
      <w:r>
        <w:rPr>
          <w:rFonts w:hint="eastAsia" w:hAnsi="宋体" w:cs="Arial"/>
          <w:color w:val="auto"/>
          <w:sz w:val="22"/>
          <w:szCs w:val="22"/>
          <w:highlight w:val="none"/>
          <w:lang w:val="en-US" w:eastAsia="zh-CN"/>
        </w:rPr>
        <w:t>其中：</w:t>
      </w:r>
      <w:r>
        <w:rPr>
          <w:rFonts w:hint="eastAsia" w:hAnsi="宋体" w:cs="Arial"/>
          <w:color w:val="auto"/>
          <w:sz w:val="22"/>
          <w:szCs w:val="22"/>
          <w:highlight w:val="none"/>
          <w:lang w:eastAsia="zh-CN"/>
        </w:rPr>
        <w:br w:type="textWrapping"/>
      </w:r>
      <w:r>
        <w:rPr>
          <w:rFonts w:hint="eastAsia" w:hAnsi="宋体" w:cs="Arial"/>
          <w:color w:val="auto"/>
          <w:sz w:val="22"/>
          <w:szCs w:val="22"/>
          <w:highlight w:val="none"/>
          <w:lang w:val="en-US" w:eastAsia="zh-CN"/>
        </w:rPr>
        <w:t xml:space="preserve">   </w:t>
      </w:r>
      <w:r>
        <w:rPr>
          <w:rFonts w:hint="eastAsia" w:ascii="宋体"/>
          <w:b/>
          <w:bCs/>
          <w:color w:val="auto"/>
          <w:sz w:val="22"/>
          <w:highlight w:val="none"/>
          <w:u w:val="single"/>
          <w:lang w:eastAsia="zh-CN"/>
        </w:rPr>
        <w:t>标项一</w:t>
      </w:r>
      <w:r>
        <w:rPr>
          <w:rFonts w:hint="eastAsia" w:ascii="宋体"/>
          <w:b/>
          <w:bCs/>
          <w:color w:val="auto"/>
          <w:sz w:val="22"/>
          <w:highlight w:val="none"/>
          <w:u w:val="single"/>
          <w:lang w:val="en-US" w:eastAsia="zh-CN"/>
        </w:rPr>
        <w:t>：</w:t>
      </w:r>
      <w:r>
        <w:rPr>
          <w:rFonts w:hint="eastAsia" w:hAnsi="宋体" w:cs="Arial"/>
          <w:color w:val="auto"/>
          <w:sz w:val="22"/>
          <w:szCs w:val="22"/>
          <w:highlight w:val="none"/>
        </w:rPr>
        <w:t>对小微企业（含监狱企业、残疾人福利性单位）投标产品给予10%的评标价格扣除。（说明：标价格折扣计算以元人民币为单位，保留两位小数，第三位四舍五入进位。）</w:t>
      </w:r>
      <w:r>
        <w:rPr>
          <w:rFonts w:hint="eastAsia" w:hAnsi="宋体" w:cs="宋体"/>
          <w:color w:val="auto"/>
          <w:sz w:val="22"/>
          <w:highlight w:val="none"/>
        </w:rPr>
        <w:t>。</w:t>
      </w:r>
    </w:p>
    <w:p w14:paraId="3CC231B6">
      <w:pPr>
        <w:numPr>
          <w:ilvl w:val="0"/>
          <w:numId w:val="0"/>
        </w:numPr>
        <w:tabs>
          <w:tab w:val="left" w:pos="2352"/>
        </w:tabs>
        <w:spacing w:line="440" w:lineRule="atLeast"/>
        <w:ind w:leftChars="0" w:firstLine="446" w:firstLineChars="200"/>
        <w:jc w:val="left"/>
        <w:rPr>
          <w:rFonts w:hint="default" w:ascii="宋体" w:hAnsi="宋体" w:cs="宋体"/>
          <w:b/>
          <w:bCs/>
          <w:color w:val="auto"/>
          <w:sz w:val="22"/>
          <w:highlight w:val="none"/>
          <w:u w:val="single"/>
          <w:lang w:val="en-US" w:eastAsia="zh-CN"/>
        </w:rPr>
      </w:pPr>
      <w:r>
        <w:rPr>
          <w:rFonts w:hint="eastAsia" w:ascii="宋体" w:hAnsi="宋体" w:cs="宋体"/>
          <w:b/>
          <w:bCs/>
          <w:color w:val="auto"/>
          <w:sz w:val="22"/>
          <w:highlight w:val="none"/>
          <w:u w:val="single"/>
          <w:lang w:val="en-US" w:eastAsia="zh-CN"/>
        </w:rPr>
        <w:t>标项二：</w:t>
      </w:r>
      <w:r>
        <w:rPr>
          <w:rFonts w:hint="eastAsia" w:ascii="宋体" w:hAnsi="宋体" w:cs="宋体"/>
          <w:b/>
          <w:bCs/>
          <w:color w:val="auto"/>
          <w:sz w:val="22"/>
          <w:highlight w:val="none"/>
          <w:u w:val="single"/>
        </w:rPr>
        <w:t>本</w:t>
      </w:r>
      <w:r>
        <w:rPr>
          <w:rFonts w:hint="eastAsia" w:ascii="宋体" w:hAnsi="宋体" w:cs="宋体"/>
          <w:b/>
          <w:bCs/>
          <w:color w:val="auto"/>
          <w:sz w:val="22"/>
          <w:highlight w:val="none"/>
          <w:u w:val="single"/>
          <w:lang w:val="en-US" w:eastAsia="zh-CN"/>
        </w:rPr>
        <w:t>标项专门面向中小企业采购，不再执行价格评审优惠的扶持政策。</w:t>
      </w:r>
    </w:p>
    <w:p w14:paraId="51C07AA9">
      <w:pPr>
        <w:pStyle w:val="10"/>
        <w:tabs>
          <w:tab w:val="left" w:pos="1069"/>
          <w:tab w:val="left" w:pos="2352"/>
        </w:tabs>
        <w:adjustRightInd w:val="0"/>
        <w:snapToGrid w:val="0"/>
        <w:spacing w:line="420" w:lineRule="exact"/>
        <w:ind w:left="335"/>
        <w:rPr>
          <w:rFonts w:hint="eastAsia" w:hAnsi="宋体" w:cs="宋体"/>
          <w:bCs/>
          <w:color w:val="auto"/>
          <w:sz w:val="22"/>
          <w:highlight w:val="none"/>
        </w:rPr>
      </w:pPr>
      <w:r>
        <w:rPr>
          <w:rFonts w:hint="eastAsia" w:hAnsi="宋体" w:cs="宋体"/>
          <w:color w:val="auto"/>
          <w:sz w:val="22"/>
          <w:highlight w:val="none"/>
        </w:rPr>
        <w:t>（二）商务技术评分</w:t>
      </w:r>
      <w:r>
        <w:rPr>
          <w:rFonts w:hint="eastAsia" w:hAnsi="宋体" w:cs="宋体"/>
          <w:bCs/>
          <w:color w:val="auto"/>
          <w:sz w:val="22"/>
          <w:highlight w:val="none"/>
        </w:rPr>
        <w:t>（</w:t>
      </w:r>
      <w:r>
        <w:rPr>
          <w:rFonts w:hint="eastAsia" w:hAnsi="宋体" w:cs="宋体"/>
          <w:b/>
          <w:color w:val="auto"/>
          <w:sz w:val="22"/>
          <w:highlight w:val="none"/>
        </w:rPr>
        <w:t>满分</w:t>
      </w:r>
      <w:r>
        <w:rPr>
          <w:rFonts w:hint="eastAsia" w:hAnsi="宋体" w:cs="宋体"/>
          <w:b/>
          <w:color w:val="auto"/>
          <w:sz w:val="22"/>
          <w:highlight w:val="none"/>
          <w:lang w:val="en-US" w:eastAsia="zh-CN"/>
        </w:rPr>
        <w:t>8</w:t>
      </w:r>
      <w:r>
        <w:rPr>
          <w:rFonts w:hint="eastAsia" w:hAnsi="宋体" w:cs="宋体"/>
          <w:b/>
          <w:color w:val="auto"/>
          <w:sz w:val="22"/>
          <w:highlight w:val="none"/>
        </w:rPr>
        <w:t>0分</w:t>
      </w:r>
      <w:r>
        <w:rPr>
          <w:rFonts w:hint="eastAsia" w:hAnsi="宋体" w:cs="宋体"/>
          <w:bCs/>
          <w:color w:val="auto"/>
          <w:sz w:val="22"/>
          <w:highlight w:val="none"/>
        </w:rPr>
        <w:t>）</w:t>
      </w:r>
    </w:p>
    <w:p w14:paraId="153C3FA7">
      <w:pPr>
        <w:pStyle w:val="10"/>
        <w:tabs>
          <w:tab w:val="left" w:pos="1069"/>
          <w:tab w:val="left" w:pos="2352"/>
        </w:tabs>
        <w:adjustRightInd w:val="0"/>
        <w:snapToGrid w:val="0"/>
        <w:spacing w:line="420" w:lineRule="exact"/>
        <w:ind w:left="335"/>
        <w:rPr>
          <w:rFonts w:hint="eastAsia" w:hAnsi="宋体" w:eastAsia="宋体" w:cs="宋体"/>
          <w:bCs/>
          <w:color w:val="auto"/>
          <w:sz w:val="22"/>
          <w:highlight w:val="none"/>
          <w:lang w:val="en-US" w:eastAsia="zh-CN"/>
        </w:rPr>
      </w:pPr>
      <w:r>
        <w:rPr>
          <w:rFonts w:hint="eastAsia" w:hAnsi="宋体" w:cs="宋体"/>
          <w:bCs/>
          <w:color w:val="auto"/>
          <w:sz w:val="22"/>
          <w:highlight w:val="none"/>
          <w:lang w:val="en-US" w:eastAsia="zh-CN"/>
        </w:rPr>
        <w:t>标项一</w:t>
      </w:r>
    </w:p>
    <w:tbl>
      <w:tblPr>
        <w:tblStyle w:val="26"/>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586"/>
        <w:gridCol w:w="923"/>
        <w:gridCol w:w="6652"/>
      </w:tblGrid>
      <w:tr w14:paraId="260D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47" w:type="dxa"/>
            <w:noWrap/>
            <w:vAlign w:val="center"/>
          </w:tcPr>
          <w:p w14:paraId="3D576CE3">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bCs w:val="0"/>
                <w:color w:val="auto"/>
                <w:kern w:val="28"/>
                <w:sz w:val="22"/>
                <w:szCs w:val="22"/>
                <w:highlight w:val="none"/>
              </w:rPr>
            </w:pPr>
            <w:r>
              <w:rPr>
                <w:rFonts w:hint="eastAsia" w:ascii="宋体" w:hAnsi="宋体" w:eastAsia="宋体" w:cs="宋体"/>
                <w:b/>
                <w:bCs w:val="0"/>
                <w:color w:val="auto"/>
                <w:kern w:val="28"/>
                <w:sz w:val="22"/>
                <w:szCs w:val="22"/>
                <w:highlight w:val="none"/>
              </w:rPr>
              <w:t>序号</w:t>
            </w:r>
          </w:p>
        </w:tc>
        <w:tc>
          <w:tcPr>
            <w:tcW w:w="1586" w:type="dxa"/>
            <w:noWrap/>
            <w:vAlign w:val="center"/>
          </w:tcPr>
          <w:p w14:paraId="3A5B0C5D">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bCs w:val="0"/>
                <w:color w:val="auto"/>
                <w:kern w:val="28"/>
                <w:sz w:val="22"/>
                <w:szCs w:val="22"/>
                <w:highlight w:val="none"/>
              </w:rPr>
            </w:pPr>
            <w:r>
              <w:rPr>
                <w:rFonts w:hint="eastAsia" w:ascii="宋体" w:hAnsi="宋体" w:eastAsia="宋体" w:cs="宋体"/>
                <w:b/>
                <w:bCs w:val="0"/>
                <w:color w:val="auto"/>
                <w:kern w:val="28"/>
                <w:sz w:val="22"/>
                <w:szCs w:val="22"/>
                <w:highlight w:val="none"/>
              </w:rPr>
              <w:t>评分内容</w:t>
            </w:r>
          </w:p>
        </w:tc>
        <w:tc>
          <w:tcPr>
            <w:tcW w:w="923" w:type="dxa"/>
            <w:noWrap/>
            <w:vAlign w:val="center"/>
          </w:tcPr>
          <w:p w14:paraId="4A055A2B">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bCs w:val="0"/>
                <w:color w:val="auto"/>
                <w:kern w:val="28"/>
                <w:sz w:val="22"/>
                <w:szCs w:val="22"/>
                <w:highlight w:val="none"/>
              </w:rPr>
            </w:pPr>
            <w:r>
              <w:rPr>
                <w:rFonts w:hint="eastAsia" w:ascii="宋体" w:hAnsi="宋体" w:eastAsia="宋体" w:cs="宋体"/>
                <w:b/>
                <w:bCs w:val="0"/>
                <w:color w:val="auto"/>
                <w:kern w:val="28"/>
                <w:sz w:val="22"/>
                <w:szCs w:val="22"/>
                <w:highlight w:val="none"/>
              </w:rPr>
              <w:t>分值</w:t>
            </w:r>
          </w:p>
        </w:tc>
        <w:tc>
          <w:tcPr>
            <w:tcW w:w="6652" w:type="dxa"/>
            <w:noWrap/>
            <w:vAlign w:val="center"/>
          </w:tcPr>
          <w:p w14:paraId="28C12373">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bCs w:val="0"/>
                <w:color w:val="auto"/>
                <w:kern w:val="28"/>
                <w:sz w:val="22"/>
                <w:szCs w:val="22"/>
                <w:highlight w:val="none"/>
                <w:lang w:val="en-US" w:eastAsia="zh-CN"/>
              </w:rPr>
            </w:pPr>
            <w:r>
              <w:rPr>
                <w:rFonts w:hint="eastAsia" w:ascii="宋体" w:hAnsi="宋体" w:eastAsia="宋体" w:cs="宋体"/>
                <w:b/>
                <w:bCs w:val="0"/>
                <w:color w:val="auto"/>
                <w:kern w:val="28"/>
                <w:sz w:val="22"/>
                <w:szCs w:val="22"/>
                <w:highlight w:val="none"/>
                <w:lang w:val="en-US" w:eastAsia="zh-CN"/>
              </w:rPr>
              <w:t>评分要点及说明</w:t>
            </w:r>
          </w:p>
        </w:tc>
      </w:tr>
      <w:tr w14:paraId="002F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47" w:type="dxa"/>
            <w:vMerge w:val="restart"/>
            <w:tcBorders>
              <w:top w:val="single" w:color="auto" w:sz="4" w:space="0"/>
              <w:left w:val="single" w:color="auto" w:sz="4" w:space="0"/>
              <w:right w:val="single" w:color="auto" w:sz="4" w:space="0"/>
            </w:tcBorders>
            <w:noWrap/>
            <w:vAlign w:val="center"/>
          </w:tcPr>
          <w:p w14:paraId="7F16C31D">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cs="宋体"/>
                <w:b w:val="0"/>
                <w:bCs/>
                <w:color w:val="auto"/>
                <w:kern w:val="28"/>
                <w:sz w:val="22"/>
                <w:szCs w:val="22"/>
                <w:highlight w:val="none"/>
                <w:lang w:val="en-US" w:eastAsia="zh-CN"/>
              </w:rPr>
              <w:t>1</w:t>
            </w:r>
          </w:p>
        </w:tc>
        <w:tc>
          <w:tcPr>
            <w:tcW w:w="1586" w:type="dxa"/>
            <w:vMerge w:val="restart"/>
            <w:tcBorders>
              <w:top w:val="single" w:color="auto" w:sz="4" w:space="0"/>
              <w:left w:val="single" w:color="auto" w:sz="4" w:space="0"/>
              <w:right w:val="single" w:color="auto" w:sz="4" w:space="0"/>
            </w:tcBorders>
            <w:noWrap/>
            <w:vAlign w:val="center"/>
          </w:tcPr>
          <w:p w14:paraId="11F06B3B">
            <w:pPr>
              <w:keepNext w:val="0"/>
              <w:keepLines w:val="0"/>
              <w:pageBreakBefore w:val="0"/>
              <w:widowControl w:val="0"/>
              <w:kinsoku/>
              <w:wordWrap/>
              <w:overflowPunct/>
              <w:topLinePunct w:val="0"/>
              <w:bidi w:val="0"/>
              <w:spacing w:line="300" w:lineRule="exact"/>
              <w:jc w:val="center"/>
              <w:textAlignment w:val="auto"/>
              <w:rPr>
                <w:rFonts w:ascii="宋体" w:hAnsi="宋体" w:eastAsia="宋体" w:cs="宋体"/>
                <w:b w:val="0"/>
                <w:bCs/>
                <w:color w:val="auto"/>
                <w:kern w:val="28"/>
                <w:sz w:val="22"/>
                <w:szCs w:val="22"/>
                <w:highlight w:val="none"/>
                <w:lang w:val="en-US" w:eastAsia="zh-CN"/>
              </w:rPr>
            </w:pPr>
            <w:r>
              <w:rPr>
                <w:rFonts w:hint="eastAsia" w:ascii="宋体" w:hAnsi="宋体"/>
                <w:b w:val="0"/>
                <w:bCs/>
                <w:color w:val="auto"/>
                <w:sz w:val="22"/>
                <w:szCs w:val="22"/>
                <w:highlight w:val="none"/>
                <w:lang w:val="en-US" w:eastAsia="zh-CN"/>
              </w:rPr>
              <w:t>供应商情况</w:t>
            </w:r>
          </w:p>
        </w:tc>
        <w:tc>
          <w:tcPr>
            <w:tcW w:w="923" w:type="dxa"/>
            <w:tcBorders>
              <w:top w:val="single" w:color="auto" w:sz="4" w:space="0"/>
              <w:left w:val="single" w:color="auto" w:sz="4" w:space="0"/>
              <w:right w:val="single" w:color="auto" w:sz="4" w:space="0"/>
            </w:tcBorders>
            <w:noWrap/>
            <w:vAlign w:val="center"/>
          </w:tcPr>
          <w:p w14:paraId="615A5C99">
            <w:pPr>
              <w:jc w:val="center"/>
              <w:rPr>
                <w:rFonts w:hint="eastAsia" w:ascii="宋体" w:hAnsi="宋体" w:eastAsia="宋体" w:cs="宋体"/>
                <w:b w:val="0"/>
                <w:bCs/>
                <w:color w:val="auto"/>
                <w:kern w:val="28"/>
                <w:sz w:val="22"/>
                <w:szCs w:val="22"/>
                <w:highlight w:val="none"/>
              </w:rPr>
            </w:pPr>
            <w:r>
              <w:rPr>
                <w:rFonts w:ascii="宋体" w:hAnsi="宋体"/>
                <w:b w:val="0"/>
                <w:bCs/>
                <w:color w:val="auto"/>
                <w:sz w:val="22"/>
                <w:szCs w:val="22"/>
                <w:highlight w:val="none"/>
              </w:rPr>
              <w:t>0-</w:t>
            </w:r>
            <w:r>
              <w:rPr>
                <w:rFonts w:hint="eastAsia" w:ascii="宋体" w:hAnsi="宋体"/>
                <w:b w:val="0"/>
                <w:bCs/>
                <w:color w:val="auto"/>
                <w:sz w:val="22"/>
                <w:szCs w:val="22"/>
                <w:highlight w:val="none"/>
                <w:lang w:val="en-US" w:eastAsia="zh-CN"/>
              </w:rPr>
              <w:t>3</w:t>
            </w:r>
            <w:r>
              <w:rPr>
                <w:rFonts w:hint="eastAsia" w:ascii="宋体" w:hAnsi="宋体" w:cs="宋体"/>
                <w:b w:val="0"/>
                <w:bCs/>
                <w:color w:val="auto"/>
                <w:kern w:val="28"/>
                <w:sz w:val="22"/>
                <w:szCs w:val="22"/>
                <w:highlight w:val="none"/>
                <w:lang w:val="en-US" w:eastAsia="zh-CN"/>
              </w:rPr>
              <w:t>分</w:t>
            </w:r>
          </w:p>
        </w:tc>
        <w:tc>
          <w:tcPr>
            <w:tcW w:w="6652" w:type="dxa"/>
            <w:tcBorders>
              <w:top w:val="single" w:color="auto" w:sz="4" w:space="0"/>
              <w:left w:val="single" w:color="auto" w:sz="4" w:space="0"/>
              <w:right w:val="single" w:color="auto" w:sz="4" w:space="0"/>
            </w:tcBorders>
            <w:noWrap/>
            <w:vAlign w:val="center"/>
          </w:tcPr>
          <w:p w14:paraId="58B9FA41">
            <w:pPr>
              <w:spacing w:line="30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供应商</w:t>
            </w:r>
            <w:r>
              <w:rPr>
                <w:rFonts w:hint="eastAsia" w:ascii="新宋体" w:hAnsi="新宋体" w:eastAsia="新宋体" w:cs="新宋体"/>
                <w:color w:val="auto"/>
                <w:sz w:val="22"/>
                <w:szCs w:val="22"/>
                <w:highlight w:val="none"/>
                <w:lang w:val="zh-CN"/>
              </w:rPr>
              <w:t>具备国家级博士后科研工作站或国家级食品重点实验室或国家级食品风险评估实验室的得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val="zh-CN"/>
              </w:rPr>
              <w:t>分，具备省级博士后科研工作站或省级食品重点实验室或省级食品风险评估实验室的得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val="zh-CN"/>
              </w:rPr>
              <w:t>分，具备地市级食品重点实验室或地市级食品风险评估实验室的得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val="zh-CN"/>
              </w:rPr>
              <w:t>分；</w:t>
            </w:r>
            <w:r>
              <w:rPr>
                <w:rFonts w:hint="eastAsia" w:ascii="新宋体" w:hAnsi="新宋体" w:eastAsia="新宋体" w:cs="新宋体"/>
                <w:color w:val="auto"/>
                <w:sz w:val="22"/>
                <w:szCs w:val="22"/>
                <w:highlight w:val="none"/>
              </w:rPr>
              <w:t>本项最高</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r>
              <w:rPr>
                <w:rFonts w:hint="eastAsia" w:ascii="新宋体" w:hAnsi="新宋体" w:eastAsia="新宋体" w:cs="新宋体"/>
                <w:bCs/>
                <w:color w:val="auto"/>
                <w:sz w:val="22"/>
                <w:szCs w:val="22"/>
                <w:highlight w:val="none"/>
              </w:rPr>
              <w:t>。</w:t>
            </w:r>
          </w:p>
          <w:p w14:paraId="2097B27D">
            <w:pPr>
              <w:rPr>
                <w:rFonts w:hint="eastAsia" w:ascii="宋体" w:hAnsi="宋体" w:cs="宋体"/>
                <w:b/>
                <w:bCs/>
                <w:color w:val="auto"/>
                <w:sz w:val="22"/>
                <w:highlight w:val="none"/>
                <w:lang w:eastAsia="zh-CN"/>
              </w:rPr>
            </w:pPr>
            <w:r>
              <w:rPr>
                <w:rFonts w:hint="eastAsia" w:ascii="新宋体" w:hAnsi="新宋体" w:eastAsia="新宋体" w:cs="新宋体"/>
                <w:bCs/>
                <w:color w:val="auto"/>
                <w:sz w:val="22"/>
                <w:szCs w:val="22"/>
                <w:highlight w:val="none"/>
              </w:rPr>
              <w:t>（提供相关证明文件扫描件，未提供或不符合要求的不得分。）</w:t>
            </w:r>
          </w:p>
        </w:tc>
      </w:tr>
      <w:tr w14:paraId="011F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47" w:type="dxa"/>
            <w:vMerge w:val="continue"/>
            <w:tcBorders>
              <w:top w:val="single" w:color="auto" w:sz="4" w:space="0"/>
              <w:left w:val="single" w:color="auto" w:sz="4" w:space="0"/>
              <w:right w:val="single" w:color="auto" w:sz="4" w:space="0"/>
            </w:tcBorders>
            <w:noWrap/>
            <w:vAlign w:val="center"/>
          </w:tcPr>
          <w:p w14:paraId="717FDBC8">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2B473C99">
            <w:pPr>
              <w:rPr>
                <w:color w:val="auto"/>
                <w:highlight w:val="none"/>
              </w:rPr>
            </w:pPr>
          </w:p>
        </w:tc>
        <w:tc>
          <w:tcPr>
            <w:tcW w:w="923" w:type="dxa"/>
            <w:tcBorders>
              <w:top w:val="single" w:color="auto" w:sz="4" w:space="0"/>
              <w:left w:val="single" w:color="auto" w:sz="4" w:space="0"/>
              <w:right w:val="single" w:color="auto" w:sz="4" w:space="0"/>
            </w:tcBorders>
            <w:noWrap/>
            <w:vAlign w:val="center"/>
          </w:tcPr>
          <w:p w14:paraId="75C97EF6">
            <w:pPr>
              <w:jc w:val="center"/>
              <w:rPr>
                <w:rFonts w:hint="default" w:ascii="宋体" w:hAnsi="宋体" w:eastAsia="宋体"/>
                <w:b w:val="0"/>
                <w:bCs/>
                <w:color w:val="auto"/>
                <w:sz w:val="22"/>
                <w:szCs w:val="22"/>
                <w:highlight w:val="none"/>
                <w:lang w:val="en-US" w:eastAsia="zh-CN"/>
              </w:rPr>
            </w:pPr>
            <w:r>
              <w:rPr>
                <w:rFonts w:hint="eastAsia" w:ascii="宋体" w:hAnsi="宋体"/>
                <w:b w:val="0"/>
                <w:bCs/>
                <w:color w:val="auto"/>
                <w:sz w:val="22"/>
                <w:szCs w:val="22"/>
                <w:highlight w:val="none"/>
                <w:lang w:val="en-US" w:eastAsia="zh-CN"/>
              </w:rPr>
              <w:t>0-3分</w:t>
            </w:r>
          </w:p>
        </w:tc>
        <w:tc>
          <w:tcPr>
            <w:tcW w:w="6652" w:type="dxa"/>
            <w:tcBorders>
              <w:top w:val="single" w:color="auto" w:sz="4" w:space="0"/>
              <w:left w:val="single" w:color="auto" w:sz="4" w:space="0"/>
              <w:right w:val="single" w:color="auto" w:sz="4" w:space="0"/>
            </w:tcBorders>
            <w:noWrap/>
            <w:vAlign w:val="center"/>
          </w:tcPr>
          <w:p w14:paraId="0E203325">
            <w:pPr>
              <w:widowControl/>
              <w:spacing w:line="30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供应商入选省级</w:t>
            </w:r>
            <w:r>
              <w:rPr>
                <w:rFonts w:hint="eastAsia" w:ascii="新宋体" w:hAnsi="新宋体" w:eastAsia="新宋体" w:cs="新宋体"/>
                <w:color w:val="auto"/>
                <w:sz w:val="22"/>
                <w:szCs w:val="22"/>
                <w:highlight w:val="none"/>
                <w:lang w:val="en-US" w:eastAsia="zh-CN"/>
              </w:rPr>
              <w:t>或省级以上</w:t>
            </w:r>
            <w:r>
              <w:rPr>
                <w:rFonts w:hint="eastAsia" w:ascii="新宋体" w:hAnsi="新宋体" w:eastAsia="新宋体" w:cs="新宋体"/>
                <w:color w:val="auto"/>
                <w:sz w:val="22"/>
                <w:szCs w:val="22"/>
                <w:highlight w:val="none"/>
              </w:rPr>
              <w:t>市场监督管理部门（或原省级食品药品监督管理部门）公布的省、市食品药品应急检验检测实验室名单的得3分，入选县级市场监督管理部门（或原县级食品药品监督管理部门）公布的县（区、市）食品药品应急检验检测实验室名单的得2分，没有不得分。</w:t>
            </w:r>
          </w:p>
        </w:tc>
      </w:tr>
      <w:tr w14:paraId="15E6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47" w:type="dxa"/>
            <w:vMerge w:val="continue"/>
            <w:tcBorders>
              <w:top w:val="single" w:color="auto" w:sz="4" w:space="0"/>
              <w:left w:val="single" w:color="auto" w:sz="4" w:space="0"/>
              <w:right w:val="single" w:color="auto" w:sz="4" w:space="0"/>
            </w:tcBorders>
            <w:noWrap/>
            <w:vAlign w:val="center"/>
          </w:tcPr>
          <w:p w14:paraId="5F834F6B">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1EB789DE">
            <w:pPr>
              <w:rPr>
                <w:color w:val="auto"/>
                <w:highlight w:val="none"/>
              </w:rPr>
            </w:pPr>
          </w:p>
        </w:tc>
        <w:tc>
          <w:tcPr>
            <w:tcW w:w="923" w:type="dxa"/>
            <w:tcBorders>
              <w:top w:val="single" w:color="auto" w:sz="4" w:space="0"/>
              <w:left w:val="single" w:color="auto" w:sz="4" w:space="0"/>
              <w:right w:val="single" w:color="auto" w:sz="4" w:space="0"/>
            </w:tcBorders>
            <w:noWrap/>
            <w:vAlign w:val="center"/>
          </w:tcPr>
          <w:p w14:paraId="00A3C8EA">
            <w:pPr>
              <w:jc w:val="center"/>
              <w:rPr>
                <w:rFonts w:ascii="宋体" w:hAnsi="宋体"/>
                <w:b w:val="0"/>
                <w:bCs/>
                <w:color w:val="auto"/>
                <w:sz w:val="22"/>
                <w:szCs w:val="22"/>
                <w:highlight w:val="none"/>
              </w:rPr>
            </w:pPr>
            <w:r>
              <w:rPr>
                <w:rFonts w:ascii="宋体" w:hAnsi="宋体"/>
                <w:bCs/>
                <w:color w:val="auto"/>
                <w:sz w:val="22"/>
                <w:szCs w:val="22"/>
                <w:highlight w:val="none"/>
              </w:rPr>
              <w:t>0-3</w:t>
            </w:r>
            <w:r>
              <w:rPr>
                <w:rFonts w:hint="eastAsia" w:ascii="宋体" w:hAnsi="宋体" w:cs="宋体"/>
                <w:bCs/>
                <w:color w:val="auto"/>
                <w:kern w:val="28"/>
                <w:sz w:val="22"/>
                <w:szCs w:val="22"/>
                <w:highlight w:val="none"/>
              </w:rPr>
              <w:t>分</w:t>
            </w:r>
          </w:p>
        </w:tc>
        <w:tc>
          <w:tcPr>
            <w:tcW w:w="6652" w:type="dxa"/>
            <w:tcBorders>
              <w:top w:val="single" w:color="auto" w:sz="4" w:space="0"/>
              <w:left w:val="single" w:color="auto" w:sz="4" w:space="0"/>
              <w:right w:val="single" w:color="auto" w:sz="4" w:space="0"/>
            </w:tcBorders>
            <w:noWrap/>
            <w:vAlign w:val="center"/>
          </w:tcPr>
          <w:p w14:paraId="023CDB0F">
            <w:pPr>
              <w:rPr>
                <w:rFonts w:hint="eastAsia" w:ascii="宋体" w:hAnsi="宋体"/>
                <w:color w:val="auto"/>
                <w:kern w:val="0"/>
                <w:sz w:val="22"/>
                <w:highlight w:val="none"/>
              </w:rPr>
            </w:pPr>
            <w:r>
              <w:rPr>
                <w:rFonts w:hint="eastAsia" w:ascii="宋体" w:hAnsi="宋体"/>
                <w:color w:val="auto"/>
                <w:kern w:val="0"/>
                <w:sz w:val="22"/>
                <w:highlight w:val="none"/>
              </w:rPr>
              <w:t>技能赛事获奖情况：参加</w:t>
            </w:r>
            <w:r>
              <w:rPr>
                <w:rFonts w:hint="eastAsia" w:ascii="宋体" w:hAnsi="宋体"/>
                <w:color w:val="auto"/>
                <w:kern w:val="0"/>
                <w:sz w:val="22"/>
                <w:highlight w:val="none"/>
                <w:lang w:val="en-US" w:eastAsia="zh-CN"/>
              </w:rPr>
              <w:t>政府部门</w:t>
            </w:r>
            <w:r>
              <w:rPr>
                <w:rFonts w:hint="eastAsia" w:ascii="宋体" w:hAnsi="宋体"/>
                <w:color w:val="auto"/>
                <w:kern w:val="0"/>
                <w:sz w:val="22"/>
                <w:highlight w:val="none"/>
              </w:rPr>
              <w:t>市场监管系统抽样比武评比，一等奖得</w:t>
            </w:r>
            <w:r>
              <w:rPr>
                <w:rFonts w:hint="eastAsia" w:ascii="宋体" w:hAnsi="宋体"/>
                <w:color w:val="auto"/>
                <w:kern w:val="0"/>
                <w:sz w:val="22"/>
                <w:highlight w:val="none"/>
                <w:lang w:val="en-US" w:eastAsia="zh-CN"/>
              </w:rPr>
              <w:t>3</w:t>
            </w:r>
            <w:r>
              <w:rPr>
                <w:rFonts w:hint="eastAsia" w:ascii="宋体" w:hAnsi="宋体"/>
                <w:color w:val="auto"/>
                <w:kern w:val="0"/>
                <w:sz w:val="22"/>
                <w:highlight w:val="none"/>
              </w:rPr>
              <w:t>分</w:t>
            </w:r>
            <w:r>
              <w:rPr>
                <w:rFonts w:hint="eastAsia" w:ascii="宋体" w:hAnsi="宋体"/>
                <w:color w:val="auto"/>
                <w:kern w:val="0"/>
                <w:sz w:val="22"/>
                <w:highlight w:val="none"/>
                <w:lang w:eastAsia="zh-CN"/>
              </w:rPr>
              <w:t>，</w:t>
            </w:r>
            <w:r>
              <w:rPr>
                <w:rFonts w:hint="eastAsia" w:ascii="宋体" w:hAnsi="宋体"/>
                <w:color w:val="auto"/>
                <w:kern w:val="0"/>
                <w:sz w:val="22"/>
                <w:highlight w:val="none"/>
              </w:rPr>
              <w:t>二等奖以上得</w:t>
            </w:r>
            <w:r>
              <w:rPr>
                <w:rFonts w:hint="eastAsia" w:ascii="宋体" w:hAnsi="宋体"/>
                <w:color w:val="auto"/>
                <w:kern w:val="0"/>
                <w:sz w:val="22"/>
                <w:highlight w:val="none"/>
                <w:lang w:val="en-US" w:eastAsia="zh-CN"/>
              </w:rPr>
              <w:t>2</w:t>
            </w:r>
            <w:r>
              <w:rPr>
                <w:rFonts w:hint="eastAsia" w:ascii="宋体" w:hAnsi="宋体"/>
                <w:color w:val="auto"/>
                <w:kern w:val="0"/>
                <w:sz w:val="22"/>
                <w:highlight w:val="none"/>
              </w:rPr>
              <w:t>分，三等奖以上得1分。</w:t>
            </w:r>
          </w:p>
          <w:p w14:paraId="2D13CF54">
            <w:pPr>
              <w:rPr>
                <w:rFonts w:hint="eastAsia" w:ascii="宋体" w:hAnsi="宋体"/>
                <w:b w:val="0"/>
                <w:bCs/>
                <w:color w:val="auto"/>
                <w:sz w:val="22"/>
                <w:szCs w:val="22"/>
                <w:highlight w:val="none"/>
              </w:rPr>
            </w:pPr>
            <w:r>
              <w:rPr>
                <w:rFonts w:hint="eastAsia" w:ascii="宋体" w:hAnsi="宋体"/>
                <w:b/>
                <w:bCs/>
                <w:color w:val="auto"/>
                <w:kern w:val="0"/>
                <w:sz w:val="22"/>
                <w:highlight w:val="none"/>
              </w:rPr>
              <w:t>注：需提供相关文件或证书。</w:t>
            </w:r>
          </w:p>
        </w:tc>
      </w:tr>
      <w:tr w14:paraId="3BDC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vMerge w:val="restart"/>
            <w:tcBorders>
              <w:top w:val="single" w:color="auto" w:sz="4" w:space="0"/>
              <w:left w:val="single" w:color="auto" w:sz="4" w:space="0"/>
              <w:right w:val="single" w:color="auto" w:sz="4" w:space="0"/>
            </w:tcBorders>
            <w:noWrap/>
            <w:vAlign w:val="center"/>
          </w:tcPr>
          <w:p w14:paraId="2DD86F0D">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eastAsia="zh-CN"/>
              </w:rPr>
            </w:pPr>
            <w:r>
              <w:rPr>
                <w:rFonts w:hint="eastAsia" w:ascii="宋体" w:hAnsi="宋体" w:cs="宋体"/>
                <w:b w:val="0"/>
                <w:bCs/>
                <w:color w:val="auto"/>
                <w:kern w:val="28"/>
                <w:sz w:val="22"/>
                <w:szCs w:val="22"/>
                <w:highlight w:val="none"/>
                <w:lang w:val="en-US" w:eastAsia="zh-CN"/>
              </w:rPr>
              <w:t>2</w:t>
            </w:r>
          </w:p>
        </w:tc>
        <w:tc>
          <w:tcPr>
            <w:tcW w:w="1586" w:type="dxa"/>
            <w:vMerge w:val="restart"/>
            <w:tcBorders>
              <w:top w:val="single" w:color="auto" w:sz="4" w:space="0"/>
              <w:left w:val="single" w:color="auto" w:sz="4" w:space="0"/>
              <w:right w:val="single" w:color="auto" w:sz="4" w:space="0"/>
            </w:tcBorders>
            <w:noWrap/>
            <w:vAlign w:val="center"/>
          </w:tcPr>
          <w:p w14:paraId="3251AC8C">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lang w:eastAsia="zh-CN"/>
              </w:rPr>
              <w:t>检测能</w:t>
            </w:r>
            <w:r>
              <w:rPr>
                <w:rFonts w:hint="eastAsia" w:ascii="宋体" w:hAnsi="宋体" w:cs="宋体"/>
                <w:b w:val="0"/>
                <w:bCs/>
                <w:color w:val="auto"/>
                <w:kern w:val="28"/>
                <w:sz w:val="22"/>
                <w:szCs w:val="22"/>
                <w:highlight w:val="none"/>
                <w:lang w:eastAsia="zh-CN"/>
              </w:rPr>
              <w:t>力</w:t>
            </w:r>
            <w:r>
              <w:rPr>
                <w:rFonts w:hint="eastAsia" w:ascii="宋体" w:hAnsi="宋体" w:eastAsia="宋体" w:cs="宋体"/>
                <w:b w:val="0"/>
                <w:bCs/>
                <w:color w:val="auto"/>
                <w:kern w:val="28"/>
                <w:sz w:val="22"/>
                <w:szCs w:val="22"/>
                <w:highlight w:val="none"/>
                <w:lang w:eastAsia="zh-CN"/>
              </w:rPr>
              <w:t>情况</w:t>
            </w:r>
          </w:p>
        </w:tc>
        <w:tc>
          <w:tcPr>
            <w:tcW w:w="923" w:type="dxa"/>
            <w:tcBorders>
              <w:top w:val="single" w:color="auto" w:sz="4" w:space="0"/>
              <w:left w:val="single" w:color="auto" w:sz="4" w:space="0"/>
              <w:right w:val="single" w:color="auto" w:sz="4" w:space="0"/>
            </w:tcBorders>
            <w:noWrap/>
            <w:vAlign w:val="center"/>
          </w:tcPr>
          <w:p w14:paraId="031A3996">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3分</w:t>
            </w:r>
          </w:p>
        </w:tc>
        <w:tc>
          <w:tcPr>
            <w:tcW w:w="6652" w:type="dxa"/>
            <w:tcBorders>
              <w:top w:val="single" w:color="auto" w:sz="4" w:space="0"/>
              <w:left w:val="single" w:color="auto" w:sz="4" w:space="0"/>
              <w:right w:val="single" w:color="auto" w:sz="4" w:space="0"/>
            </w:tcBorders>
            <w:noWrap/>
            <w:vAlign w:val="center"/>
          </w:tcPr>
          <w:p w14:paraId="7E5B318C">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b/>
                <w:bCs w:val="0"/>
                <w:color w:val="auto"/>
                <w:kern w:val="28"/>
                <w:sz w:val="22"/>
                <w:szCs w:val="22"/>
                <w:highlight w:val="none"/>
                <w:lang w:val="en-US" w:eastAsia="zh-CN"/>
              </w:rPr>
            </w:pPr>
            <w:r>
              <w:rPr>
                <w:rFonts w:hint="eastAsia" w:ascii="宋体" w:hAnsi="宋体" w:cs="宋体"/>
                <w:bCs/>
                <w:color w:val="auto"/>
                <w:kern w:val="28"/>
                <w:sz w:val="22"/>
                <w:szCs w:val="22"/>
                <w:highlight w:val="none"/>
                <w:lang w:val="en-US" w:eastAsia="zh-CN"/>
              </w:rPr>
              <w:t>供应商具有</w:t>
            </w:r>
            <w:r>
              <w:rPr>
                <w:rFonts w:hint="eastAsia" w:ascii="宋体" w:hAnsi="宋体" w:eastAsia="宋体" w:cs="宋体"/>
                <w:bCs/>
                <w:color w:val="auto"/>
                <w:kern w:val="28"/>
                <w:sz w:val="22"/>
                <w:szCs w:val="22"/>
                <w:highlight w:val="none"/>
              </w:rPr>
              <w:t>承担食品检验的独立固定实验室（获得CMAF或CMA资质认证）得</w:t>
            </w:r>
            <w:r>
              <w:rPr>
                <w:rFonts w:hint="eastAsia" w:ascii="宋体" w:hAnsi="宋体" w:cs="宋体"/>
                <w:bCs/>
                <w:color w:val="auto"/>
                <w:kern w:val="28"/>
                <w:sz w:val="22"/>
                <w:szCs w:val="22"/>
                <w:highlight w:val="none"/>
                <w:lang w:val="en-US" w:eastAsia="zh-CN"/>
              </w:rPr>
              <w:t>3</w:t>
            </w:r>
            <w:r>
              <w:rPr>
                <w:rFonts w:hint="eastAsia" w:ascii="宋体" w:hAnsi="宋体" w:eastAsia="宋体" w:cs="宋体"/>
                <w:bCs/>
                <w:color w:val="auto"/>
                <w:kern w:val="28"/>
                <w:sz w:val="22"/>
                <w:szCs w:val="22"/>
                <w:highlight w:val="none"/>
              </w:rPr>
              <w:t>分</w:t>
            </w:r>
            <w:r>
              <w:rPr>
                <w:rFonts w:hint="eastAsia" w:ascii="宋体" w:hAnsi="宋体" w:cs="宋体"/>
                <w:bCs/>
                <w:color w:val="auto"/>
                <w:kern w:val="28"/>
                <w:sz w:val="22"/>
                <w:szCs w:val="22"/>
                <w:highlight w:val="none"/>
                <w:lang w:eastAsia="zh-CN"/>
              </w:rPr>
              <w:t>；</w:t>
            </w:r>
          </w:p>
          <w:p w14:paraId="58329EF7">
            <w:pPr>
              <w:pStyle w:val="7"/>
              <w:keepNext w:val="0"/>
              <w:keepLines w:val="0"/>
              <w:pageBreakBefore w:val="0"/>
              <w:widowControl w:val="0"/>
              <w:kinsoku/>
              <w:wordWrap/>
              <w:overflowPunct/>
              <w:topLinePunct w:val="0"/>
              <w:bidi w:val="0"/>
              <w:spacing w:after="0" w:line="300" w:lineRule="exact"/>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bCs w:val="0"/>
                <w:color w:val="auto"/>
                <w:kern w:val="28"/>
                <w:sz w:val="22"/>
                <w:szCs w:val="22"/>
                <w:highlight w:val="none"/>
                <w:lang w:val="en-US" w:eastAsia="zh-CN"/>
              </w:rPr>
              <w:t>注：需提供相关证明材料，</w:t>
            </w:r>
            <w:r>
              <w:rPr>
                <w:rFonts w:hint="eastAsia" w:ascii="宋体" w:hAnsi="宋体"/>
                <w:b/>
                <w:bCs/>
                <w:color w:val="auto"/>
                <w:sz w:val="22"/>
                <w:szCs w:val="22"/>
                <w:highlight w:val="none"/>
              </w:rPr>
              <w:t>未提供或不符合要求或材料不能辨识</w:t>
            </w:r>
            <w:r>
              <w:rPr>
                <w:rFonts w:hint="eastAsia" w:ascii="宋体" w:hAnsi="宋体"/>
                <w:b/>
                <w:bCs/>
                <w:color w:val="auto"/>
                <w:sz w:val="22"/>
                <w:szCs w:val="22"/>
                <w:highlight w:val="none"/>
                <w:lang w:eastAsia="zh-CN"/>
              </w:rPr>
              <w:t>的</w:t>
            </w:r>
            <w:r>
              <w:rPr>
                <w:rFonts w:hint="eastAsia" w:ascii="宋体" w:hAnsi="宋体"/>
                <w:b/>
                <w:bCs/>
                <w:color w:val="auto"/>
                <w:sz w:val="22"/>
                <w:szCs w:val="22"/>
                <w:highlight w:val="none"/>
              </w:rPr>
              <w:t>不得分</w:t>
            </w:r>
            <w:r>
              <w:rPr>
                <w:rFonts w:hint="eastAsia" w:ascii="宋体" w:hAnsi="宋体"/>
                <w:b w:val="0"/>
                <w:bCs/>
                <w:color w:val="auto"/>
                <w:sz w:val="22"/>
                <w:szCs w:val="22"/>
                <w:highlight w:val="none"/>
              </w:rPr>
              <w:t>。</w:t>
            </w:r>
          </w:p>
        </w:tc>
      </w:tr>
      <w:tr w14:paraId="034C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vMerge w:val="continue"/>
            <w:tcBorders>
              <w:top w:val="single" w:color="auto" w:sz="4" w:space="0"/>
              <w:left w:val="single" w:color="auto" w:sz="4" w:space="0"/>
              <w:right w:val="single" w:color="auto" w:sz="4" w:space="0"/>
            </w:tcBorders>
            <w:noWrap/>
            <w:vAlign w:val="center"/>
          </w:tcPr>
          <w:p w14:paraId="7F2F8E69">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41085E74">
            <w:pPr>
              <w:rPr>
                <w:color w:val="auto"/>
                <w:highlight w:val="none"/>
              </w:rPr>
            </w:pPr>
          </w:p>
        </w:tc>
        <w:tc>
          <w:tcPr>
            <w:tcW w:w="923" w:type="dxa"/>
            <w:tcBorders>
              <w:top w:val="single" w:color="auto" w:sz="4" w:space="0"/>
              <w:left w:val="single" w:color="auto" w:sz="4" w:space="0"/>
              <w:right w:val="single" w:color="auto" w:sz="4" w:space="0"/>
            </w:tcBorders>
            <w:noWrap/>
            <w:vAlign w:val="center"/>
          </w:tcPr>
          <w:p w14:paraId="1E648983">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3分</w:t>
            </w:r>
          </w:p>
        </w:tc>
        <w:tc>
          <w:tcPr>
            <w:tcW w:w="6652" w:type="dxa"/>
            <w:tcBorders>
              <w:top w:val="single" w:color="auto" w:sz="4" w:space="0"/>
              <w:left w:val="single" w:color="auto" w:sz="4" w:space="0"/>
              <w:right w:val="single" w:color="auto" w:sz="4" w:space="0"/>
            </w:tcBorders>
            <w:noWrap/>
            <w:vAlign w:val="center"/>
          </w:tcPr>
          <w:p w14:paraId="2E1D7A50">
            <w:pPr>
              <w:pStyle w:val="7"/>
              <w:keepNext w:val="0"/>
              <w:keepLines w:val="0"/>
              <w:pageBreakBefore w:val="0"/>
              <w:widowControl w:val="0"/>
              <w:kinsoku/>
              <w:wordWrap/>
              <w:overflowPunct/>
              <w:topLinePunct w:val="0"/>
              <w:bidi w:val="0"/>
              <w:spacing w:after="0" w:line="300" w:lineRule="exact"/>
              <w:textAlignment w:val="auto"/>
              <w:rPr>
                <w:rFonts w:hint="eastAsia" w:ascii="宋体" w:hAnsi="宋体" w:cs="宋体"/>
                <w:b/>
                <w:color w:val="auto"/>
                <w:kern w:val="28"/>
                <w:sz w:val="22"/>
                <w:szCs w:val="22"/>
                <w:highlight w:val="none"/>
              </w:rPr>
            </w:pPr>
            <w:r>
              <w:rPr>
                <w:rFonts w:hint="eastAsia" w:ascii="新宋体" w:hAnsi="新宋体" w:eastAsia="新宋体" w:cs="新宋体"/>
                <w:color w:val="auto"/>
                <w:sz w:val="22"/>
                <w:highlight w:val="none"/>
              </w:rPr>
              <w:t>供应商取得B级实验室证明的得</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分；取得C级实验室证明的得</w:t>
            </w:r>
            <w:r>
              <w:rPr>
                <w:rFonts w:hint="eastAsia" w:ascii="新宋体" w:hAnsi="新宋体" w:eastAsia="新宋体" w:cs="新宋体"/>
                <w:color w:val="auto"/>
                <w:sz w:val="22"/>
                <w:highlight w:val="none"/>
                <w:lang w:val="en-US" w:eastAsia="zh-CN"/>
              </w:rPr>
              <w:t>1</w:t>
            </w:r>
            <w:r>
              <w:rPr>
                <w:rFonts w:hint="eastAsia" w:ascii="新宋体" w:hAnsi="新宋体" w:eastAsia="新宋体" w:cs="新宋体"/>
                <w:color w:val="auto"/>
                <w:sz w:val="22"/>
                <w:highlight w:val="none"/>
              </w:rPr>
              <w:t>分；未建成数字化实验室的不得分；本项最高得</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分。</w:t>
            </w:r>
            <w:r>
              <w:rPr>
                <w:rFonts w:hint="eastAsia" w:ascii="新宋体" w:hAnsi="新宋体" w:eastAsia="新宋体" w:cs="新宋体"/>
                <w:b/>
                <w:bCs/>
                <w:color w:val="auto"/>
                <w:sz w:val="22"/>
                <w:highlight w:val="none"/>
              </w:rPr>
              <w:t>（须提供</w:t>
            </w:r>
            <w:r>
              <w:rPr>
                <w:rFonts w:hint="eastAsia" w:ascii="新宋体" w:hAnsi="新宋体" w:eastAsia="新宋体" w:cs="新宋体"/>
                <w:b/>
                <w:bCs/>
                <w:color w:val="auto"/>
                <w:sz w:val="22"/>
                <w:highlight w:val="none"/>
                <w:lang w:val="en-US" w:eastAsia="zh-CN"/>
              </w:rPr>
              <w:t>省级及以上市监</w:t>
            </w:r>
            <w:r>
              <w:rPr>
                <w:rFonts w:hint="eastAsia" w:ascii="新宋体" w:hAnsi="新宋体" w:eastAsia="新宋体" w:cs="新宋体"/>
                <w:b/>
                <w:bCs/>
                <w:color w:val="auto"/>
                <w:sz w:val="22"/>
                <w:highlight w:val="none"/>
              </w:rPr>
              <w:t>局抽检秘书处出具的相关证明材料原件扫描件，</w:t>
            </w:r>
            <w:r>
              <w:rPr>
                <w:rFonts w:hint="eastAsia" w:ascii="新宋体" w:hAnsi="新宋体" w:eastAsia="新宋体" w:cs="新宋体"/>
                <w:b/>
                <w:bCs/>
                <w:color w:val="auto"/>
                <w:kern w:val="0"/>
                <w:sz w:val="22"/>
                <w:szCs w:val="22"/>
                <w:highlight w:val="none"/>
              </w:rPr>
              <w:t>未提供或不符合要求的不得分。</w:t>
            </w:r>
            <w:r>
              <w:rPr>
                <w:rFonts w:hint="eastAsia" w:ascii="新宋体" w:hAnsi="新宋体" w:eastAsia="新宋体" w:cs="新宋体"/>
                <w:b/>
                <w:bCs/>
                <w:color w:val="auto"/>
                <w:sz w:val="22"/>
                <w:highlight w:val="none"/>
              </w:rPr>
              <w:t>）</w:t>
            </w:r>
          </w:p>
        </w:tc>
      </w:tr>
      <w:tr w14:paraId="6184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547" w:type="dxa"/>
            <w:vMerge w:val="continue"/>
            <w:tcBorders>
              <w:top w:val="single" w:color="auto" w:sz="4" w:space="0"/>
              <w:left w:val="single" w:color="auto" w:sz="4" w:space="0"/>
              <w:right w:val="single" w:color="auto" w:sz="4" w:space="0"/>
            </w:tcBorders>
            <w:noWrap/>
            <w:vAlign w:val="center"/>
          </w:tcPr>
          <w:p w14:paraId="51CFACA3">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3F4E2CD2">
            <w:pPr>
              <w:rPr>
                <w:color w:val="auto"/>
                <w:highlight w:val="none"/>
              </w:rPr>
            </w:pPr>
          </w:p>
        </w:tc>
        <w:tc>
          <w:tcPr>
            <w:tcW w:w="923" w:type="dxa"/>
            <w:tcBorders>
              <w:top w:val="single" w:color="auto" w:sz="4" w:space="0"/>
              <w:left w:val="single" w:color="auto" w:sz="4" w:space="0"/>
              <w:right w:val="single" w:color="auto" w:sz="4" w:space="0"/>
            </w:tcBorders>
            <w:noWrap/>
            <w:vAlign w:val="center"/>
          </w:tcPr>
          <w:p w14:paraId="5B16A694">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10分</w:t>
            </w:r>
          </w:p>
        </w:tc>
        <w:tc>
          <w:tcPr>
            <w:tcW w:w="6652" w:type="dxa"/>
            <w:tcBorders>
              <w:top w:val="single" w:color="auto" w:sz="4" w:space="0"/>
              <w:left w:val="single" w:color="auto" w:sz="4" w:space="0"/>
              <w:right w:val="single" w:color="auto" w:sz="4" w:space="0"/>
            </w:tcBorders>
            <w:noWrap/>
            <w:vAlign w:val="center"/>
          </w:tcPr>
          <w:p w14:paraId="26A7438E">
            <w:pPr>
              <w:keepNext w:val="0"/>
              <w:keepLines w:val="0"/>
              <w:pageBreakBefore w:val="0"/>
              <w:widowControl w:val="0"/>
              <w:kinsoku/>
              <w:wordWrap/>
              <w:overflowPunct/>
              <w:topLinePunct w:val="0"/>
              <w:bidi w:val="0"/>
              <w:spacing w:line="300" w:lineRule="exact"/>
              <w:ind w:left="0" w:firstLine="0"/>
              <w:jc w:val="left"/>
              <w:textAlignment w:val="auto"/>
              <w:rPr>
                <w:rFonts w:hint="eastAsia" w:ascii="宋体" w:hAnsi="宋体"/>
                <w:color w:val="auto"/>
                <w:kern w:val="0"/>
                <w:sz w:val="22"/>
                <w:highlight w:val="none"/>
              </w:rPr>
            </w:pPr>
            <w:r>
              <w:rPr>
                <w:rFonts w:hint="eastAsia" w:ascii="宋体" w:hAnsi="宋体" w:cs="宋体"/>
                <w:b w:val="0"/>
                <w:bCs/>
                <w:color w:val="auto"/>
                <w:kern w:val="28"/>
                <w:sz w:val="22"/>
                <w:szCs w:val="22"/>
                <w:highlight w:val="none"/>
                <w:lang w:eastAsia="zh-CN"/>
              </w:rPr>
              <w:t>供应商</w:t>
            </w:r>
            <w:r>
              <w:rPr>
                <w:rFonts w:hint="eastAsia" w:ascii="新宋体" w:hAnsi="新宋体" w:eastAsia="新宋体" w:cs="新宋体"/>
                <w:color w:val="auto"/>
                <w:sz w:val="22"/>
                <w:highlight w:val="none"/>
              </w:rPr>
              <w:t>CMA检测资质附表品种检测项目范围对</w:t>
            </w:r>
            <w:r>
              <w:rPr>
                <w:rFonts w:hint="eastAsia" w:ascii="宋体" w:hAnsi="宋体"/>
                <w:color w:val="auto"/>
                <w:kern w:val="0"/>
                <w:sz w:val="22"/>
                <w:highlight w:val="none"/>
              </w:rPr>
              <w:t>《</w:t>
            </w:r>
            <w:r>
              <w:rPr>
                <w:rFonts w:hint="eastAsia" w:ascii="新宋体" w:hAnsi="新宋体" w:eastAsia="新宋体" w:cs="新宋体"/>
                <w:color w:val="auto"/>
                <w:sz w:val="22"/>
                <w:szCs w:val="22"/>
                <w:highlight w:val="none"/>
              </w:rPr>
              <w:t>国家食品安全监督抽检实施细则</w:t>
            </w:r>
            <w:r>
              <w:rPr>
                <w:rFonts w:hint="eastAsia" w:ascii="宋体" w:hAnsi="宋体"/>
                <w:color w:val="auto"/>
                <w:kern w:val="0"/>
                <w:sz w:val="22"/>
                <w:highlight w:val="none"/>
              </w:rPr>
              <w:t>（202</w:t>
            </w:r>
            <w:r>
              <w:rPr>
                <w:rFonts w:hint="eastAsia" w:ascii="宋体" w:hAnsi="宋体"/>
                <w:color w:val="auto"/>
                <w:kern w:val="0"/>
                <w:sz w:val="22"/>
                <w:highlight w:val="none"/>
                <w:lang w:val="en-US" w:eastAsia="zh-CN"/>
              </w:rPr>
              <w:t>4</w:t>
            </w:r>
            <w:r>
              <w:rPr>
                <w:rFonts w:hint="eastAsia" w:ascii="宋体" w:hAnsi="宋体"/>
                <w:color w:val="auto"/>
                <w:kern w:val="0"/>
                <w:sz w:val="22"/>
                <w:highlight w:val="none"/>
              </w:rPr>
              <w:t>年版）》的覆盖情况：针对项目的资质覆盖率98%以上得</w:t>
            </w:r>
            <w:r>
              <w:rPr>
                <w:rFonts w:hint="eastAsia" w:ascii="宋体" w:hAnsi="宋体"/>
                <w:color w:val="auto"/>
                <w:kern w:val="0"/>
                <w:sz w:val="22"/>
                <w:highlight w:val="none"/>
                <w:lang w:val="en-US" w:eastAsia="zh-CN"/>
              </w:rPr>
              <w:t>10</w:t>
            </w:r>
            <w:r>
              <w:rPr>
                <w:rFonts w:hint="eastAsia" w:ascii="宋体" w:hAnsi="宋体"/>
                <w:color w:val="auto"/>
                <w:kern w:val="0"/>
                <w:sz w:val="22"/>
                <w:highlight w:val="none"/>
              </w:rPr>
              <w:t>分，覆盖率95%以上得</w:t>
            </w:r>
            <w:r>
              <w:rPr>
                <w:rFonts w:hint="eastAsia" w:ascii="宋体" w:hAnsi="宋体"/>
                <w:color w:val="auto"/>
                <w:kern w:val="0"/>
                <w:sz w:val="22"/>
                <w:highlight w:val="none"/>
                <w:lang w:val="en-US" w:eastAsia="zh-CN"/>
              </w:rPr>
              <w:t>6</w:t>
            </w:r>
            <w:r>
              <w:rPr>
                <w:rFonts w:hint="eastAsia" w:ascii="宋体" w:hAnsi="宋体"/>
                <w:color w:val="auto"/>
                <w:kern w:val="0"/>
                <w:sz w:val="22"/>
                <w:highlight w:val="none"/>
              </w:rPr>
              <w:t>分，93%以上得</w:t>
            </w:r>
            <w:r>
              <w:rPr>
                <w:rFonts w:hint="eastAsia" w:ascii="宋体" w:hAnsi="宋体"/>
                <w:color w:val="auto"/>
                <w:kern w:val="0"/>
                <w:sz w:val="22"/>
                <w:highlight w:val="none"/>
                <w:lang w:val="en-US" w:eastAsia="zh-CN"/>
              </w:rPr>
              <w:t>2</w:t>
            </w:r>
            <w:r>
              <w:rPr>
                <w:rFonts w:hint="eastAsia" w:ascii="宋体" w:hAnsi="宋体"/>
                <w:color w:val="auto"/>
                <w:kern w:val="0"/>
                <w:sz w:val="22"/>
                <w:highlight w:val="none"/>
              </w:rPr>
              <w:t>分，90%以上的</w:t>
            </w:r>
            <w:r>
              <w:rPr>
                <w:rFonts w:hint="eastAsia" w:ascii="宋体" w:hAnsi="宋体"/>
                <w:color w:val="auto"/>
                <w:kern w:val="0"/>
                <w:sz w:val="22"/>
                <w:highlight w:val="none"/>
                <w:lang w:val="en-US" w:eastAsia="zh-CN"/>
              </w:rPr>
              <w:t>1</w:t>
            </w:r>
            <w:r>
              <w:rPr>
                <w:rFonts w:hint="eastAsia" w:ascii="宋体" w:hAnsi="宋体"/>
                <w:color w:val="auto"/>
                <w:kern w:val="0"/>
                <w:sz w:val="22"/>
                <w:highlight w:val="none"/>
              </w:rPr>
              <w:t>分，90%以下不得分。</w:t>
            </w:r>
          </w:p>
          <w:p w14:paraId="4B37C307">
            <w:pPr>
              <w:keepNext w:val="0"/>
              <w:keepLines w:val="0"/>
              <w:pageBreakBefore w:val="0"/>
              <w:widowControl w:val="0"/>
              <w:kinsoku/>
              <w:wordWrap/>
              <w:overflowPunct/>
              <w:topLinePunct w:val="0"/>
              <w:bidi w:val="0"/>
              <w:spacing w:line="300" w:lineRule="exact"/>
              <w:ind w:left="0" w:firstLine="0"/>
              <w:jc w:val="left"/>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b/>
                <w:bCs/>
                <w:color w:val="auto"/>
                <w:kern w:val="0"/>
                <w:sz w:val="22"/>
                <w:highlight w:val="none"/>
                <w:lang w:val="en-US" w:eastAsia="zh-CN"/>
              </w:rPr>
              <w:t>注：</w:t>
            </w:r>
            <w:r>
              <w:rPr>
                <w:rFonts w:hint="eastAsia" w:ascii="宋体" w:hAnsi="宋体"/>
                <w:b/>
                <w:bCs/>
                <w:color w:val="auto"/>
                <w:kern w:val="0"/>
                <w:sz w:val="22"/>
                <w:highlight w:val="none"/>
              </w:rPr>
              <w:t>须</w:t>
            </w:r>
            <w:r>
              <w:rPr>
                <w:rFonts w:hint="eastAsia" w:ascii="新宋体" w:hAnsi="新宋体" w:eastAsia="新宋体" w:cs="新宋体"/>
                <w:b/>
                <w:bCs/>
                <w:color w:val="auto"/>
                <w:sz w:val="22"/>
                <w:szCs w:val="22"/>
                <w:highlight w:val="none"/>
              </w:rPr>
              <w:t>提供CMA检测资质附表扫描件并标出相关检测项、页数及覆盖率供评委核查，未提供CMA资质附表的本项不得分，</w:t>
            </w:r>
            <w:r>
              <w:rPr>
                <w:rFonts w:hint="eastAsia" w:ascii="宋体" w:hAnsi="宋体"/>
                <w:b/>
                <w:bCs/>
                <w:color w:val="auto"/>
                <w:kern w:val="0"/>
                <w:sz w:val="22"/>
                <w:highlight w:val="none"/>
              </w:rPr>
              <w:t>供应商对其真实性负责。）</w:t>
            </w:r>
          </w:p>
        </w:tc>
      </w:tr>
      <w:tr w14:paraId="1574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547" w:type="dxa"/>
            <w:vMerge w:val="restart"/>
            <w:tcBorders>
              <w:top w:val="single" w:color="auto" w:sz="4" w:space="0"/>
              <w:left w:val="single" w:color="auto" w:sz="4" w:space="0"/>
              <w:right w:val="single" w:color="auto" w:sz="4" w:space="0"/>
            </w:tcBorders>
            <w:noWrap/>
            <w:vAlign w:val="center"/>
          </w:tcPr>
          <w:p w14:paraId="7B63DB79">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lang w:eastAsia="zh-CN"/>
              </w:rPr>
            </w:pPr>
            <w:r>
              <w:rPr>
                <w:rFonts w:hint="eastAsia" w:ascii="宋体" w:hAnsi="宋体" w:cs="宋体"/>
                <w:b w:val="0"/>
                <w:bCs/>
                <w:color w:val="auto"/>
                <w:kern w:val="28"/>
                <w:sz w:val="22"/>
                <w:szCs w:val="22"/>
                <w:highlight w:val="none"/>
                <w:lang w:val="en-US" w:eastAsia="zh-CN"/>
              </w:rPr>
              <w:t>3</w:t>
            </w:r>
          </w:p>
        </w:tc>
        <w:tc>
          <w:tcPr>
            <w:tcW w:w="1586" w:type="dxa"/>
            <w:vMerge w:val="restart"/>
            <w:tcBorders>
              <w:top w:val="single" w:color="auto" w:sz="4" w:space="0"/>
              <w:left w:val="single" w:color="auto" w:sz="4" w:space="0"/>
              <w:right w:val="single" w:color="auto" w:sz="4" w:space="0"/>
            </w:tcBorders>
            <w:noWrap/>
            <w:vAlign w:val="center"/>
          </w:tcPr>
          <w:p w14:paraId="5A050054">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场地情况</w:t>
            </w:r>
          </w:p>
        </w:tc>
        <w:tc>
          <w:tcPr>
            <w:tcW w:w="923" w:type="dxa"/>
            <w:tcBorders>
              <w:top w:val="single" w:color="auto" w:sz="4" w:space="0"/>
              <w:left w:val="single" w:color="auto" w:sz="4" w:space="0"/>
              <w:right w:val="single" w:color="auto" w:sz="4" w:space="0"/>
            </w:tcBorders>
            <w:noWrap/>
            <w:vAlign w:val="center"/>
          </w:tcPr>
          <w:p w14:paraId="575A3CF3">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-5分</w:t>
            </w:r>
          </w:p>
        </w:tc>
        <w:tc>
          <w:tcPr>
            <w:tcW w:w="6652" w:type="dxa"/>
            <w:tcBorders>
              <w:top w:val="single" w:color="auto" w:sz="4" w:space="0"/>
              <w:left w:val="single" w:color="auto" w:sz="4" w:space="0"/>
              <w:right w:val="single" w:color="auto" w:sz="4" w:space="0"/>
            </w:tcBorders>
            <w:noWrap/>
            <w:vAlign w:val="center"/>
          </w:tcPr>
          <w:p w14:paraId="60046AD4">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cs="宋体"/>
                <w:b w:val="0"/>
                <w:bCs/>
                <w:color w:val="auto"/>
                <w:kern w:val="28"/>
                <w:sz w:val="22"/>
                <w:szCs w:val="22"/>
                <w:highlight w:val="none"/>
                <w:lang w:eastAsia="zh-CN"/>
              </w:rPr>
              <w:t>供应商</w:t>
            </w:r>
            <w:r>
              <w:rPr>
                <w:rFonts w:hint="eastAsia" w:ascii="宋体" w:hAnsi="宋体" w:eastAsia="宋体" w:cs="宋体"/>
                <w:b w:val="0"/>
                <w:bCs/>
                <w:color w:val="auto"/>
                <w:kern w:val="28"/>
                <w:sz w:val="22"/>
                <w:szCs w:val="22"/>
                <w:highlight w:val="none"/>
              </w:rPr>
              <w:t>具有独立的、固定的检测场地，实验室面积：</w:t>
            </w:r>
          </w:p>
          <w:p w14:paraId="59103186">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w:t>
            </w:r>
            <w:r>
              <w:rPr>
                <w:rFonts w:hint="eastAsia" w:ascii="宋体" w:hAnsi="宋体" w:cs="宋体"/>
                <w:b w:val="0"/>
                <w:bCs/>
                <w:color w:val="auto"/>
                <w:kern w:val="28"/>
                <w:sz w:val="22"/>
                <w:szCs w:val="22"/>
                <w:highlight w:val="none"/>
                <w:lang w:val="en-US" w:eastAsia="zh-CN"/>
              </w:rPr>
              <w:t>3</w:t>
            </w:r>
            <w:r>
              <w:rPr>
                <w:rFonts w:hint="eastAsia" w:ascii="宋体" w:hAnsi="宋体" w:eastAsia="宋体" w:cs="宋体"/>
                <w:b w:val="0"/>
                <w:bCs/>
                <w:color w:val="auto"/>
                <w:kern w:val="28"/>
                <w:sz w:val="22"/>
                <w:szCs w:val="22"/>
                <w:highlight w:val="none"/>
              </w:rPr>
              <w:t>000㎡以上得</w:t>
            </w:r>
            <w:r>
              <w:rPr>
                <w:rFonts w:hint="eastAsia" w:ascii="宋体" w:hAnsi="宋体" w:cs="宋体"/>
                <w:b w:val="0"/>
                <w:bCs/>
                <w:color w:val="auto"/>
                <w:kern w:val="28"/>
                <w:sz w:val="22"/>
                <w:szCs w:val="22"/>
                <w:highlight w:val="none"/>
                <w:lang w:val="en-US" w:eastAsia="zh-CN"/>
              </w:rPr>
              <w:t>5</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000㎡以上得</w:t>
            </w:r>
            <w:r>
              <w:rPr>
                <w:rFonts w:hint="eastAsia" w:ascii="宋体" w:hAnsi="宋体" w:cs="宋体"/>
                <w:b w:val="0"/>
                <w:bCs/>
                <w:color w:val="auto"/>
                <w:kern w:val="28"/>
                <w:sz w:val="22"/>
                <w:szCs w:val="22"/>
                <w:highlight w:val="none"/>
                <w:lang w:val="en-US" w:eastAsia="zh-CN"/>
              </w:rPr>
              <w:t>3</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000㎡以</w:t>
            </w:r>
            <w:r>
              <w:rPr>
                <w:rFonts w:hint="eastAsia" w:ascii="宋体" w:hAnsi="宋体" w:cs="宋体"/>
                <w:b w:val="0"/>
                <w:bCs/>
                <w:color w:val="auto"/>
                <w:kern w:val="28"/>
                <w:sz w:val="22"/>
                <w:szCs w:val="22"/>
                <w:highlight w:val="none"/>
                <w:lang w:eastAsia="zh-CN"/>
              </w:rPr>
              <w:t>下</w:t>
            </w:r>
            <w:r>
              <w:rPr>
                <w:rFonts w:hint="eastAsia" w:ascii="宋体" w:hAnsi="宋体" w:eastAsia="宋体" w:cs="宋体"/>
                <w:b w:val="0"/>
                <w:bCs/>
                <w:color w:val="auto"/>
                <w:kern w:val="28"/>
                <w:sz w:val="22"/>
                <w:szCs w:val="22"/>
                <w:highlight w:val="none"/>
              </w:rPr>
              <w:t>得</w:t>
            </w:r>
            <w:r>
              <w:rPr>
                <w:rFonts w:hint="eastAsia" w:ascii="宋体" w:hAnsi="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eastAsia="zh-CN"/>
              </w:rPr>
              <w:t>。最高得</w:t>
            </w:r>
            <w:r>
              <w:rPr>
                <w:rFonts w:hint="eastAsia" w:ascii="宋体" w:hAnsi="宋体" w:cs="宋体"/>
                <w:b w:val="0"/>
                <w:bCs/>
                <w:color w:val="auto"/>
                <w:kern w:val="28"/>
                <w:sz w:val="22"/>
                <w:szCs w:val="22"/>
                <w:highlight w:val="none"/>
                <w:lang w:val="en-US" w:eastAsia="zh-CN"/>
              </w:rPr>
              <w:t>5分。</w:t>
            </w:r>
          </w:p>
          <w:p w14:paraId="473C9A22">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bCs w:val="0"/>
                <w:color w:val="auto"/>
                <w:kern w:val="28"/>
                <w:sz w:val="22"/>
                <w:szCs w:val="22"/>
                <w:highlight w:val="none"/>
                <w:lang w:val="en-US" w:eastAsia="zh-CN"/>
              </w:rPr>
              <w:t>注：需提供相关证明材料，</w:t>
            </w:r>
            <w:r>
              <w:rPr>
                <w:rFonts w:hint="eastAsia" w:ascii="宋体" w:hAnsi="宋体"/>
                <w:b/>
                <w:bCs w:val="0"/>
                <w:color w:val="auto"/>
                <w:sz w:val="22"/>
                <w:szCs w:val="22"/>
                <w:highlight w:val="none"/>
              </w:rPr>
              <w:t>未提供或不符合要求或材料不能辨识</w:t>
            </w:r>
            <w:r>
              <w:rPr>
                <w:rFonts w:hint="eastAsia" w:ascii="宋体" w:hAnsi="宋体"/>
                <w:b/>
                <w:bCs w:val="0"/>
                <w:color w:val="auto"/>
                <w:sz w:val="22"/>
                <w:szCs w:val="22"/>
                <w:highlight w:val="none"/>
                <w:lang w:eastAsia="zh-CN"/>
              </w:rPr>
              <w:t>的</w:t>
            </w:r>
            <w:r>
              <w:rPr>
                <w:rFonts w:hint="eastAsia" w:ascii="宋体" w:hAnsi="宋体"/>
                <w:b/>
                <w:bCs w:val="0"/>
                <w:color w:val="auto"/>
                <w:sz w:val="22"/>
                <w:szCs w:val="22"/>
                <w:highlight w:val="none"/>
              </w:rPr>
              <w:t>不得分。</w:t>
            </w:r>
          </w:p>
        </w:tc>
      </w:tr>
      <w:tr w14:paraId="2B3B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47" w:type="dxa"/>
            <w:vMerge w:val="continue"/>
            <w:tcBorders>
              <w:top w:val="single" w:color="auto" w:sz="4" w:space="0"/>
              <w:left w:val="single" w:color="auto" w:sz="4" w:space="0"/>
              <w:right w:val="single" w:color="auto" w:sz="4" w:space="0"/>
            </w:tcBorders>
            <w:noWrap/>
            <w:vAlign w:val="center"/>
          </w:tcPr>
          <w:p w14:paraId="232D1137">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73B0D3D9">
            <w:pPr>
              <w:rPr>
                <w:color w:val="auto"/>
                <w:highlight w:val="none"/>
              </w:rPr>
            </w:pPr>
          </w:p>
        </w:tc>
        <w:tc>
          <w:tcPr>
            <w:tcW w:w="923" w:type="dxa"/>
            <w:tcBorders>
              <w:top w:val="single" w:color="auto" w:sz="4" w:space="0"/>
              <w:left w:val="single" w:color="auto" w:sz="4" w:space="0"/>
              <w:right w:val="single" w:color="auto" w:sz="4" w:space="0"/>
            </w:tcBorders>
            <w:noWrap/>
            <w:vAlign w:val="center"/>
          </w:tcPr>
          <w:p w14:paraId="43E0B179">
            <w:pPr>
              <w:keepNext w:val="0"/>
              <w:keepLines w:val="0"/>
              <w:pageBreakBefore w:val="0"/>
              <w:widowControl w:val="0"/>
              <w:kinsoku/>
              <w:wordWrap/>
              <w:overflowPunct/>
              <w:topLinePunct w:val="0"/>
              <w:bidi w:val="0"/>
              <w:spacing w:line="300" w:lineRule="exact"/>
              <w:ind w:right="3"/>
              <w:jc w:val="center"/>
              <w:textAlignment w:val="auto"/>
              <w:rPr>
                <w:rFonts w:hint="eastAsia" w:ascii="宋体" w:hAnsi="宋体" w:eastAsia="宋体" w:cs="宋体"/>
                <w:b w:val="0"/>
                <w:bCs/>
                <w:color w:val="auto"/>
                <w:kern w:val="28"/>
                <w:sz w:val="22"/>
                <w:szCs w:val="22"/>
                <w:highlight w:val="none"/>
                <w:lang w:eastAsia="zh-CN"/>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3分</w:t>
            </w:r>
          </w:p>
        </w:tc>
        <w:tc>
          <w:tcPr>
            <w:tcW w:w="6652" w:type="dxa"/>
            <w:tcBorders>
              <w:top w:val="single" w:color="auto" w:sz="4" w:space="0"/>
              <w:left w:val="single" w:color="auto" w:sz="4" w:space="0"/>
              <w:right w:val="single" w:color="auto" w:sz="4" w:space="0"/>
            </w:tcBorders>
            <w:noWrap/>
            <w:vAlign w:val="center"/>
          </w:tcPr>
          <w:p w14:paraId="1F52B84C">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cs="宋体"/>
                <w:b w:val="0"/>
                <w:bCs/>
                <w:color w:val="auto"/>
                <w:kern w:val="28"/>
                <w:sz w:val="22"/>
                <w:szCs w:val="22"/>
                <w:highlight w:val="none"/>
                <w:lang w:eastAsia="zh-CN"/>
              </w:rPr>
              <w:t>供应商自建</w:t>
            </w:r>
            <w:r>
              <w:rPr>
                <w:rFonts w:hint="eastAsia" w:ascii="宋体" w:hAnsi="宋体" w:eastAsia="宋体" w:cs="宋体"/>
                <w:b w:val="0"/>
                <w:bCs/>
                <w:color w:val="auto"/>
                <w:kern w:val="28"/>
                <w:sz w:val="22"/>
                <w:szCs w:val="22"/>
                <w:highlight w:val="none"/>
              </w:rPr>
              <w:t>样品贮存冷库</w:t>
            </w:r>
            <w:r>
              <w:rPr>
                <w:rFonts w:hint="eastAsia" w:ascii="宋体" w:hAnsi="宋体" w:cs="宋体"/>
                <w:b w:val="0"/>
                <w:bCs/>
                <w:color w:val="auto"/>
                <w:kern w:val="28"/>
                <w:sz w:val="22"/>
                <w:szCs w:val="22"/>
                <w:highlight w:val="none"/>
                <w:lang w:val="en-US" w:eastAsia="zh-CN"/>
              </w:rPr>
              <w:t>且</w:t>
            </w:r>
            <w:r>
              <w:rPr>
                <w:rFonts w:ascii="Times New Roman" w:hAnsi="Times New Roman" w:eastAsia="宋体" w:cs="Times New Roman"/>
                <w:color w:val="auto"/>
                <w:sz w:val="21"/>
                <w:szCs w:val="21"/>
                <w:highlight w:val="none"/>
                <w:lang w:val="en-US" w:eastAsia="zh-CN"/>
              </w:rPr>
              <w:t>容积</w:t>
            </w:r>
            <w:r>
              <w:rPr>
                <w:rFonts w:hint="eastAsia" w:ascii="Times New Roman" w:hAnsi="Times New Roman" w:eastAsia="宋体" w:cs="Times New Roman"/>
                <w:color w:val="auto"/>
                <w:sz w:val="21"/>
                <w:szCs w:val="21"/>
                <w:highlight w:val="none"/>
                <w:lang w:val="en-US" w:eastAsia="zh-CN"/>
              </w:rPr>
              <w:t>在</w:t>
            </w:r>
            <w:r>
              <w:rPr>
                <w:rFonts w:hint="eastAsia" w:eastAsia="宋体" w:cs="Times New Roman"/>
                <w:color w:val="auto"/>
                <w:sz w:val="21"/>
                <w:szCs w:val="21"/>
                <w:highlight w:val="none"/>
                <w:lang w:val="en-US" w:eastAsia="zh-CN"/>
              </w:rPr>
              <w:t>10</w:t>
            </w:r>
            <w:r>
              <w:rPr>
                <w:rFonts w:ascii="Times New Roman" w:hAnsi="Times New Roman" w:eastAsia="宋体" w:cs="Times New Roman"/>
                <w:color w:val="auto"/>
                <w:sz w:val="21"/>
                <w:szCs w:val="21"/>
                <w:highlight w:val="none"/>
                <w:lang w:val="en-US" w:eastAsia="zh-CN"/>
              </w:rPr>
              <w:t>0立方米</w:t>
            </w:r>
            <w:r>
              <w:rPr>
                <w:rFonts w:hint="eastAsia" w:ascii="Times New Roman" w:hAnsi="Times New Roman" w:eastAsia="宋体" w:cs="Times New Roman"/>
                <w:color w:val="auto"/>
                <w:sz w:val="21"/>
                <w:szCs w:val="21"/>
                <w:highlight w:val="none"/>
                <w:lang w:val="en-US" w:eastAsia="zh-CN"/>
              </w:rPr>
              <w:t>及</w:t>
            </w:r>
            <w:r>
              <w:rPr>
                <w:rFonts w:ascii="Times New Roman" w:hAnsi="Times New Roman" w:eastAsia="宋体" w:cs="Times New Roman"/>
                <w:color w:val="auto"/>
                <w:sz w:val="21"/>
                <w:szCs w:val="21"/>
                <w:highlight w:val="none"/>
                <w:lang w:val="en-US" w:eastAsia="zh-CN"/>
              </w:rPr>
              <w:t>以上</w:t>
            </w:r>
            <w:r>
              <w:rPr>
                <w:rFonts w:hint="eastAsia" w:ascii="Times New Roman" w:hAnsi="Times New Roman" w:eastAsia="宋体" w:cs="Times New Roman"/>
                <w:color w:val="auto"/>
                <w:sz w:val="21"/>
                <w:szCs w:val="21"/>
                <w:highlight w:val="none"/>
                <w:lang w:val="en-US" w:eastAsia="zh-CN"/>
              </w:rPr>
              <w:t>的</w:t>
            </w:r>
            <w:r>
              <w:rPr>
                <w:rFonts w:hint="eastAsia" w:ascii="宋体" w:hAnsi="宋体" w:cs="宋体"/>
                <w:b w:val="0"/>
                <w:bCs/>
                <w:color w:val="auto"/>
                <w:kern w:val="28"/>
                <w:sz w:val="22"/>
                <w:szCs w:val="22"/>
                <w:highlight w:val="none"/>
                <w:lang w:eastAsia="zh-CN"/>
              </w:rPr>
              <w:t>得</w:t>
            </w:r>
            <w:r>
              <w:rPr>
                <w:rFonts w:hint="eastAsia" w:ascii="宋体" w:hAnsi="宋体" w:cs="宋体"/>
                <w:b w:val="0"/>
                <w:bCs/>
                <w:color w:val="auto"/>
                <w:kern w:val="28"/>
                <w:sz w:val="22"/>
                <w:szCs w:val="22"/>
                <w:highlight w:val="none"/>
                <w:lang w:val="en-US" w:eastAsia="zh-CN"/>
              </w:rPr>
              <w:t>3分，</w:t>
            </w:r>
            <w:r>
              <w:rPr>
                <w:rFonts w:hint="eastAsia" w:ascii="宋体" w:hAnsi="宋体" w:cs="宋体"/>
                <w:b w:val="0"/>
                <w:bCs/>
                <w:color w:val="auto"/>
                <w:kern w:val="28"/>
                <w:sz w:val="22"/>
                <w:szCs w:val="22"/>
                <w:highlight w:val="none"/>
                <w:lang w:eastAsia="zh-CN"/>
              </w:rPr>
              <w:t>租赁</w:t>
            </w:r>
            <w:r>
              <w:rPr>
                <w:rFonts w:hint="eastAsia" w:ascii="宋体" w:hAnsi="宋体" w:cs="宋体"/>
                <w:b w:val="0"/>
                <w:bCs/>
                <w:color w:val="auto"/>
                <w:kern w:val="28"/>
                <w:sz w:val="22"/>
                <w:szCs w:val="22"/>
                <w:highlight w:val="none"/>
                <w:lang w:val="en-US" w:eastAsia="zh-CN"/>
              </w:rPr>
              <w:t>冷库且</w:t>
            </w:r>
            <w:r>
              <w:rPr>
                <w:rFonts w:ascii="Times New Roman" w:hAnsi="Times New Roman" w:eastAsia="宋体" w:cs="Times New Roman"/>
                <w:color w:val="auto"/>
                <w:sz w:val="21"/>
                <w:szCs w:val="21"/>
                <w:highlight w:val="none"/>
                <w:lang w:val="en-US" w:eastAsia="zh-CN"/>
              </w:rPr>
              <w:t>容积</w:t>
            </w:r>
            <w:r>
              <w:rPr>
                <w:rFonts w:hint="eastAsia" w:ascii="Times New Roman" w:hAnsi="Times New Roman" w:eastAsia="宋体" w:cs="Times New Roman"/>
                <w:color w:val="auto"/>
                <w:sz w:val="21"/>
                <w:szCs w:val="21"/>
                <w:highlight w:val="none"/>
                <w:lang w:val="en-US" w:eastAsia="zh-CN"/>
              </w:rPr>
              <w:t>在</w:t>
            </w:r>
            <w:r>
              <w:rPr>
                <w:rFonts w:hint="eastAsia" w:eastAsia="宋体" w:cs="Times New Roman"/>
                <w:color w:val="auto"/>
                <w:sz w:val="21"/>
                <w:szCs w:val="21"/>
                <w:highlight w:val="none"/>
                <w:lang w:val="en-US" w:eastAsia="zh-CN"/>
              </w:rPr>
              <w:t>10</w:t>
            </w:r>
            <w:r>
              <w:rPr>
                <w:rFonts w:ascii="Times New Roman" w:hAnsi="Times New Roman" w:eastAsia="宋体" w:cs="Times New Roman"/>
                <w:color w:val="auto"/>
                <w:sz w:val="21"/>
                <w:szCs w:val="21"/>
                <w:highlight w:val="none"/>
                <w:lang w:val="en-US" w:eastAsia="zh-CN"/>
              </w:rPr>
              <w:t>0立方米</w:t>
            </w:r>
            <w:r>
              <w:rPr>
                <w:rFonts w:hint="eastAsia" w:ascii="Times New Roman" w:hAnsi="Times New Roman" w:eastAsia="宋体" w:cs="Times New Roman"/>
                <w:color w:val="auto"/>
                <w:sz w:val="21"/>
                <w:szCs w:val="21"/>
                <w:highlight w:val="none"/>
                <w:lang w:val="en-US" w:eastAsia="zh-CN"/>
              </w:rPr>
              <w:t>及</w:t>
            </w:r>
            <w:r>
              <w:rPr>
                <w:rFonts w:ascii="Times New Roman" w:hAnsi="Times New Roman" w:eastAsia="宋体" w:cs="Times New Roman"/>
                <w:color w:val="auto"/>
                <w:sz w:val="21"/>
                <w:szCs w:val="21"/>
                <w:highlight w:val="none"/>
                <w:lang w:val="en-US" w:eastAsia="zh-CN"/>
              </w:rPr>
              <w:t>以上</w:t>
            </w:r>
            <w:r>
              <w:rPr>
                <w:rFonts w:hint="eastAsia" w:ascii="Times New Roman" w:hAnsi="Times New Roman" w:eastAsia="宋体" w:cs="Times New Roman"/>
                <w:color w:val="auto"/>
                <w:sz w:val="21"/>
                <w:szCs w:val="21"/>
                <w:highlight w:val="none"/>
                <w:lang w:val="en-US" w:eastAsia="zh-CN"/>
              </w:rPr>
              <w:t>的</w:t>
            </w:r>
            <w:r>
              <w:rPr>
                <w:rFonts w:hint="eastAsia" w:ascii="宋体" w:hAnsi="宋体" w:cs="宋体"/>
                <w:b w:val="0"/>
                <w:bCs/>
                <w:color w:val="auto"/>
                <w:kern w:val="28"/>
                <w:sz w:val="22"/>
                <w:szCs w:val="22"/>
                <w:highlight w:val="none"/>
                <w:lang w:val="en-US" w:eastAsia="zh-CN"/>
              </w:rPr>
              <w:t>得1分，其它不得分。</w:t>
            </w:r>
          </w:p>
          <w:p w14:paraId="21D0EA9C">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bCs w:val="0"/>
                <w:color w:val="auto"/>
                <w:kern w:val="28"/>
                <w:sz w:val="22"/>
                <w:szCs w:val="22"/>
                <w:highlight w:val="none"/>
              </w:rPr>
              <w:t>注：</w:t>
            </w:r>
            <w:r>
              <w:rPr>
                <w:rFonts w:hint="eastAsia" w:ascii="宋体" w:hAnsi="宋体" w:cs="宋体"/>
                <w:b/>
                <w:bCs w:val="0"/>
                <w:color w:val="auto"/>
                <w:kern w:val="28"/>
                <w:sz w:val="22"/>
                <w:szCs w:val="22"/>
                <w:highlight w:val="none"/>
                <w:lang w:eastAsia="zh-CN"/>
              </w:rPr>
              <w:t>需提供冷库照片、</w:t>
            </w:r>
            <w:r>
              <w:rPr>
                <w:rFonts w:hint="eastAsia" w:ascii="宋体" w:hAnsi="宋体" w:cs="宋体"/>
                <w:b/>
                <w:bCs w:val="0"/>
                <w:color w:val="auto"/>
                <w:kern w:val="28"/>
                <w:sz w:val="22"/>
                <w:szCs w:val="22"/>
                <w:highlight w:val="none"/>
                <w:lang w:val="en-US" w:eastAsia="zh-CN"/>
              </w:rPr>
              <w:t>产权证明（</w:t>
            </w:r>
            <w:r>
              <w:rPr>
                <w:rFonts w:hint="eastAsia" w:ascii="宋体" w:hAnsi="宋体" w:cs="宋体"/>
                <w:b/>
                <w:bCs w:val="0"/>
                <w:color w:val="auto"/>
                <w:kern w:val="28"/>
                <w:sz w:val="22"/>
                <w:szCs w:val="22"/>
                <w:highlight w:val="none"/>
                <w:lang w:eastAsia="zh-CN"/>
              </w:rPr>
              <w:t>或租赁合同</w:t>
            </w:r>
            <w:r>
              <w:rPr>
                <w:rFonts w:hint="eastAsia" w:ascii="宋体" w:hAnsi="宋体" w:cs="宋体"/>
                <w:b/>
                <w:bCs w:val="0"/>
                <w:color w:val="auto"/>
                <w:kern w:val="28"/>
                <w:sz w:val="22"/>
                <w:szCs w:val="22"/>
                <w:highlight w:val="none"/>
                <w:lang w:val="en-US" w:eastAsia="zh-CN"/>
              </w:rPr>
              <w:t>及</w:t>
            </w:r>
            <w:r>
              <w:rPr>
                <w:rFonts w:hint="eastAsia" w:ascii="宋体" w:hAnsi="宋体" w:cs="宋体"/>
                <w:b/>
                <w:bCs w:val="0"/>
                <w:color w:val="auto"/>
                <w:kern w:val="28"/>
                <w:sz w:val="22"/>
                <w:szCs w:val="22"/>
                <w:highlight w:val="none"/>
                <w:lang w:eastAsia="zh-CN"/>
              </w:rPr>
              <w:t>租赁发票</w:t>
            </w:r>
            <w:r>
              <w:rPr>
                <w:rFonts w:hint="eastAsia" w:ascii="宋体" w:hAnsi="宋体" w:cs="宋体"/>
                <w:b/>
                <w:bCs w:val="0"/>
                <w:color w:val="auto"/>
                <w:kern w:val="28"/>
                <w:sz w:val="22"/>
                <w:szCs w:val="22"/>
                <w:highlight w:val="none"/>
                <w:lang w:val="en-US" w:eastAsia="zh-CN"/>
              </w:rPr>
              <w:t>）</w:t>
            </w:r>
            <w:r>
              <w:rPr>
                <w:rFonts w:hint="eastAsia" w:ascii="宋体" w:hAnsi="宋体" w:cs="宋体"/>
                <w:b/>
                <w:bCs w:val="0"/>
                <w:color w:val="auto"/>
                <w:kern w:val="28"/>
                <w:sz w:val="22"/>
                <w:szCs w:val="22"/>
                <w:highlight w:val="none"/>
                <w:lang w:eastAsia="zh-CN"/>
              </w:rPr>
              <w:t>等证明材料</w:t>
            </w:r>
          </w:p>
        </w:tc>
      </w:tr>
      <w:tr w14:paraId="269E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47" w:type="dxa"/>
            <w:tcBorders>
              <w:top w:val="single" w:color="auto" w:sz="4" w:space="0"/>
              <w:left w:val="single" w:color="auto" w:sz="4" w:space="0"/>
              <w:right w:val="single" w:color="auto" w:sz="4" w:space="0"/>
            </w:tcBorders>
            <w:noWrap/>
            <w:vAlign w:val="center"/>
          </w:tcPr>
          <w:p w14:paraId="4533068B">
            <w:pPr>
              <w:keepNext w:val="0"/>
              <w:keepLines w:val="0"/>
              <w:pageBreakBefore w:val="0"/>
              <w:widowControl w:val="0"/>
              <w:kinsoku/>
              <w:wordWrap/>
              <w:overflowPunct/>
              <w:topLinePunct w:val="0"/>
              <w:bidi w:val="0"/>
              <w:spacing w:line="300" w:lineRule="exact"/>
              <w:ind w:right="3"/>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4</w:t>
            </w:r>
          </w:p>
        </w:tc>
        <w:tc>
          <w:tcPr>
            <w:tcW w:w="1586" w:type="dxa"/>
            <w:tcBorders>
              <w:top w:val="single" w:color="auto" w:sz="4" w:space="0"/>
              <w:left w:val="single" w:color="auto" w:sz="4" w:space="0"/>
              <w:right w:val="single" w:color="auto" w:sz="4" w:space="0"/>
            </w:tcBorders>
            <w:noWrap/>
            <w:vAlign w:val="center"/>
          </w:tcPr>
          <w:p w14:paraId="481104C8">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cs="宋体"/>
                <w:b w:val="0"/>
                <w:bCs/>
                <w:color w:val="auto"/>
                <w:kern w:val="28"/>
                <w:sz w:val="22"/>
                <w:szCs w:val="22"/>
                <w:highlight w:val="none"/>
                <w:lang w:val="en-US" w:eastAsia="zh-CN"/>
              </w:rPr>
              <w:t>项目</w:t>
            </w:r>
            <w:r>
              <w:rPr>
                <w:rFonts w:hint="eastAsia" w:ascii="宋体" w:hAnsi="宋体" w:eastAsia="宋体" w:cs="宋体"/>
                <w:b w:val="0"/>
                <w:bCs/>
                <w:color w:val="auto"/>
                <w:kern w:val="28"/>
                <w:sz w:val="22"/>
                <w:szCs w:val="22"/>
                <w:highlight w:val="none"/>
              </w:rPr>
              <w:t>业绩</w:t>
            </w:r>
          </w:p>
        </w:tc>
        <w:tc>
          <w:tcPr>
            <w:tcW w:w="923" w:type="dxa"/>
            <w:tcBorders>
              <w:top w:val="single" w:color="auto" w:sz="4" w:space="0"/>
              <w:left w:val="single" w:color="auto" w:sz="4" w:space="0"/>
              <w:right w:val="single" w:color="auto" w:sz="4" w:space="0"/>
            </w:tcBorders>
            <w:noWrap/>
            <w:vAlign w:val="center"/>
          </w:tcPr>
          <w:p w14:paraId="55D34290">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2分</w:t>
            </w:r>
          </w:p>
        </w:tc>
        <w:tc>
          <w:tcPr>
            <w:tcW w:w="6652" w:type="dxa"/>
            <w:tcBorders>
              <w:top w:val="single" w:color="auto" w:sz="4" w:space="0"/>
              <w:left w:val="single" w:color="auto" w:sz="4" w:space="0"/>
              <w:right w:val="single" w:color="auto" w:sz="4" w:space="0"/>
            </w:tcBorders>
            <w:noWrap/>
            <w:vAlign w:val="center"/>
          </w:tcPr>
          <w:p w14:paraId="7B248248">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bCs w:val="0"/>
                <w:strike/>
                <w:dstrike w:val="0"/>
                <w:color w:val="auto"/>
                <w:kern w:val="28"/>
                <w:sz w:val="22"/>
                <w:szCs w:val="22"/>
                <w:highlight w:val="none"/>
              </w:rPr>
            </w:pPr>
            <w:r>
              <w:rPr>
                <w:rFonts w:hint="eastAsia" w:ascii="宋体" w:hAnsi="宋体" w:cs="宋体"/>
                <w:b w:val="0"/>
                <w:bCs/>
                <w:color w:val="auto"/>
                <w:kern w:val="28"/>
                <w:sz w:val="22"/>
                <w:szCs w:val="22"/>
                <w:highlight w:val="none"/>
                <w:lang w:eastAsia="zh-CN"/>
              </w:rPr>
              <w:t>供应商</w:t>
            </w:r>
            <w:r>
              <w:rPr>
                <w:rFonts w:hint="eastAsia" w:ascii="宋体" w:hAnsi="宋体" w:eastAsia="宋体" w:cs="宋体"/>
                <w:b w:val="0"/>
                <w:bCs/>
                <w:color w:val="auto"/>
                <w:kern w:val="28"/>
                <w:sz w:val="22"/>
                <w:szCs w:val="22"/>
                <w:highlight w:val="none"/>
              </w:rPr>
              <w:t>承担过食品检测</w:t>
            </w:r>
            <w:r>
              <w:rPr>
                <w:rFonts w:hint="eastAsia" w:ascii="宋体" w:hAnsi="宋体" w:cs="宋体"/>
                <w:b w:val="0"/>
                <w:bCs/>
                <w:color w:val="auto"/>
                <w:kern w:val="28"/>
                <w:sz w:val="22"/>
                <w:szCs w:val="22"/>
                <w:highlight w:val="none"/>
                <w:lang w:val="en-US" w:eastAsia="zh-CN"/>
              </w:rPr>
              <w:t>项目</w:t>
            </w:r>
            <w:r>
              <w:rPr>
                <w:rFonts w:hint="eastAsia" w:ascii="宋体" w:hAnsi="宋体" w:eastAsia="宋体" w:cs="宋体"/>
                <w:b w:val="0"/>
                <w:bCs/>
                <w:color w:val="auto"/>
                <w:kern w:val="28"/>
                <w:sz w:val="22"/>
                <w:szCs w:val="22"/>
                <w:highlight w:val="none"/>
              </w:rPr>
              <w:t>业绩</w:t>
            </w:r>
            <w:r>
              <w:rPr>
                <w:rFonts w:hint="eastAsia" w:ascii="宋体" w:hAnsi="宋体" w:cs="宋体"/>
                <w:b w:val="0"/>
                <w:bCs/>
                <w:color w:val="auto"/>
                <w:kern w:val="28"/>
                <w:sz w:val="22"/>
                <w:szCs w:val="22"/>
                <w:highlight w:val="none"/>
                <w:lang w:val="en-US" w:eastAsia="zh-CN"/>
              </w:rPr>
              <w:t>且业主</w:t>
            </w:r>
            <w:r>
              <w:rPr>
                <w:rFonts w:hint="eastAsia" w:ascii="宋体" w:hAnsi="宋体" w:eastAsia="宋体" w:cs="宋体"/>
                <w:b w:val="0"/>
                <w:bCs/>
                <w:color w:val="auto"/>
                <w:kern w:val="28"/>
                <w:sz w:val="22"/>
                <w:szCs w:val="22"/>
                <w:highlight w:val="none"/>
              </w:rPr>
              <w:t>评价结果为满意或符合要求</w:t>
            </w:r>
            <w:r>
              <w:rPr>
                <w:rFonts w:hint="eastAsia" w:ascii="宋体" w:hAnsi="宋体" w:cs="宋体"/>
                <w:b w:val="0"/>
                <w:bCs/>
                <w:color w:val="auto"/>
                <w:kern w:val="28"/>
                <w:sz w:val="22"/>
                <w:szCs w:val="22"/>
                <w:highlight w:val="none"/>
                <w:lang w:val="en-US" w:eastAsia="zh-CN"/>
              </w:rPr>
              <w:t>的</w:t>
            </w:r>
            <w:r>
              <w:rPr>
                <w:rFonts w:hint="eastAsia" w:ascii="宋体" w:hAnsi="宋体" w:eastAsia="宋体" w:cs="宋体"/>
                <w:b w:val="0"/>
                <w:bCs/>
                <w:color w:val="auto"/>
                <w:kern w:val="28"/>
                <w:sz w:val="22"/>
                <w:szCs w:val="22"/>
                <w:highlight w:val="none"/>
              </w:rPr>
              <w:t>，每提供1个得</w:t>
            </w:r>
            <w:r>
              <w:rPr>
                <w:rFonts w:hint="eastAsia" w:ascii="宋体" w:hAnsi="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eastAsia="zh-CN"/>
              </w:rPr>
              <w:t>，最高得</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eastAsia="zh-CN"/>
              </w:rPr>
              <w:t>。</w:t>
            </w:r>
          </w:p>
          <w:p w14:paraId="3B1F99E3">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ascii="宋体" w:hAnsi="宋体" w:eastAsia="宋体" w:cs="宋体"/>
                <w:b/>
                <w:bCs w:val="0"/>
                <w:strike/>
                <w:dstrike w:val="0"/>
                <w:color w:val="auto"/>
                <w:kern w:val="28"/>
                <w:sz w:val="22"/>
                <w:szCs w:val="22"/>
                <w:highlight w:val="none"/>
                <w:lang w:val="en-US" w:eastAsia="zh-CN"/>
              </w:rPr>
            </w:pPr>
            <w:r>
              <w:rPr>
                <w:rFonts w:hint="eastAsia" w:ascii="宋体" w:hAnsi="宋体" w:cs="宋体"/>
                <w:b/>
                <w:bCs w:val="0"/>
                <w:strike w:val="0"/>
                <w:dstrike w:val="0"/>
                <w:color w:val="auto"/>
                <w:kern w:val="28"/>
                <w:sz w:val="22"/>
                <w:szCs w:val="22"/>
                <w:highlight w:val="none"/>
                <w:lang w:val="en-US" w:eastAsia="zh-CN"/>
              </w:rPr>
              <w:t>提供合同复印件及业主评价表。</w:t>
            </w:r>
          </w:p>
        </w:tc>
      </w:tr>
      <w:tr w14:paraId="08C9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tcBorders>
              <w:top w:val="single" w:color="auto" w:sz="4" w:space="0"/>
              <w:left w:val="single" w:color="auto" w:sz="4" w:space="0"/>
              <w:right w:val="single" w:color="auto" w:sz="4" w:space="0"/>
            </w:tcBorders>
            <w:noWrap/>
            <w:vAlign w:val="center"/>
          </w:tcPr>
          <w:p w14:paraId="4D6A83C3">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lang w:eastAsia="zh-CN"/>
              </w:rPr>
            </w:pPr>
            <w:r>
              <w:rPr>
                <w:rFonts w:hint="eastAsia" w:ascii="宋体" w:hAnsi="宋体" w:eastAsia="宋体" w:cs="宋体"/>
                <w:b w:val="0"/>
                <w:bCs/>
                <w:color w:val="auto"/>
                <w:kern w:val="28"/>
                <w:sz w:val="22"/>
                <w:szCs w:val="22"/>
                <w:highlight w:val="none"/>
                <w:lang w:val="en-US" w:eastAsia="zh-CN"/>
              </w:rPr>
              <w:t>5</w:t>
            </w:r>
          </w:p>
        </w:tc>
        <w:tc>
          <w:tcPr>
            <w:tcW w:w="1586" w:type="dxa"/>
            <w:tcBorders>
              <w:top w:val="single" w:color="auto" w:sz="4" w:space="0"/>
              <w:left w:val="single" w:color="auto" w:sz="4" w:space="0"/>
              <w:right w:val="single" w:color="auto" w:sz="4" w:space="0"/>
            </w:tcBorders>
            <w:noWrap/>
            <w:vAlign w:val="center"/>
          </w:tcPr>
          <w:p w14:paraId="5C960FDD">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服务</w:t>
            </w:r>
            <w:r>
              <w:rPr>
                <w:rFonts w:hint="eastAsia" w:ascii="宋体" w:hAnsi="宋体" w:cs="宋体"/>
                <w:b w:val="0"/>
                <w:bCs/>
                <w:color w:val="auto"/>
                <w:kern w:val="28"/>
                <w:sz w:val="22"/>
                <w:szCs w:val="22"/>
                <w:highlight w:val="none"/>
                <w:lang w:val="en-US" w:eastAsia="zh-CN"/>
              </w:rPr>
              <w:t>能力及</w:t>
            </w:r>
            <w:r>
              <w:rPr>
                <w:rFonts w:hint="eastAsia" w:ascii="宋体" w:hAnsi="宋体" w:eastAsia="宋体" w:cs="宋体"/>
                <w:b w:val="0"/>
                <w:bCs/>
                <w:color w:val="auto"/>
                <w:kern w:val="28"/>
                <w:sz w:val="22"/>
                <w:szCs w:val="22"/>
                <w:highlight w:val="none"/>
              </w:rPr>
              <w:t>方案</w:t>
            </w:r>
          </w:p>
        </w:tc>
        <w:tc>
          <w:tcPr>
            <w:tcW w:w="923" w:type="dxa"/>
            <w:tcBorders>
              <w:top w:val="single" w:color="auto" w:sz="4" w:space="0"/>
              <w:left w:val="single" w:color="auto" w:sz="4" w:space="0"/>
              <w:right w:val="single" w:color="auto" w:sz="4" w:space="0"/>
            </w:tcBorders>
            <w:noWrap/>
            <w:vAlign w:val="center"/>
          </w:tcPr>
          <w:p w14:paraId="3438081B">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15分</w:t>
            </w:r>
          </w:p>
          <w:p w14:paraId="6B47B81A">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rPr>
            </w:pPr>
          </w:p>
        </w:tc>
        <w:tc>
          <w:tcPr>
            <w:tcW w:w="6652" w:type="dxa"/>
            <w:tcBorders>
              <w:top w:val="single" w:color="auto" w:sz="4" w:space="0"/>
              <w:left w:val="single" w:color="auto" w:sz="4" w:space="0"/>
              <w:right w:val="single" w:color="auto" w:sz="4" w:space="0"/>
            </w:tcBorders>
            <w:noWrap/>
            <w:vAlign w:val="center"/>
          </w:tcPr>
          <w:p w14:paraId="04057B2A">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根据</w:t>
            </w:r>
            <w:r>
              <w:rPr>
                <w:rFonts w:hint="eastAsia" w:ascii="宋体" w:hAnsi="宋体" w:cs="宋体"/>
                <w:b w:val="0"/>
                <w:bCs/>
                <w:color w:val="auto"/>
                <w:kern w:val="28"/>
                <w:sz w:val="22"/>
                <w:szCs w:val="22"/>
                <w:highlight w:val="none"/>
                <w:lang w:eastAsia="zh-CN"/>
              </w:rPr>
              <w:t>供应商</w:t>
            </w:r>
            <w:r>
              <w:rPr>
                <w:rFonts w:hint="eastAsia" w:ascii="宋体" w:hAnsi="宋体" w:eastAsia="宋体" w:cs="宋体"/>
                <w:b w:val="0"/>
                <w:bCs/>
                <w:color w:val="auto"/>
                <w:kern w:val="28"/>
                <w:sz w:val="22"/>
                <w:szCs w:val="22"/>
                <w:highlight w:val="none"/>
              </w:rPr>
              <w:t>的项目实施方案合理性、科学性、全面性等情况：</w:t>
            </w:r>
          </w:p>
          <w:p w14:paraId="7FC3EA63">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1.工作机制、工作计划（抽检计划安排、时间安排、抽检人员及设备安排、年度总体工作进度安排等）</w:t>
            </w:r>
            <w:r>
              <w:rPr>
                <w:rFonts w:hint="eastAsia" w:ascii="宋体" w:hAnsi="宋体" w:cs="宋体"/>
                <w:b w:val="0"/>
                <w:bCs/>
                <w:color w:val="auto"/>
                <w:kern w:val="28"/>
                <w:sz w:val="22"/>
                <w:szCs w:val="22"/>
                <w:highlight w:val="none"/>
                <w:lang w:eastAsia="zh-CN"/>
              </w:rPr>
              <w:t>，</w:t>
            </w:r>
            <w:r>
              <w:rPr>
                <w:rFonts w:hint="eastAsia" w:ascii="宋体" w:hAnsi="宋体"/>
                <w:b w:val="0"/>
                <w:bCs/>
                <w:color w:val="auto"/>
                <w:sz w:val="22"/>
                <w:szCs w:val="22"/>
                <w:highlight w:val="none"/>
              </w:rPr>
              <w:t>由评委综合打分</w:t>
            </w:r>
            <w:r>
              <w:rPr>
                <w:rFonts w:hint="eastAsia" w:ascii="宋体" w:hAnsi="宋体" w:cs="宋体"/>
                <w:color w:val="auto"/>
                <w:sz w:val="22"/>
                <w:szCs w:val="22"/>
                <w:highlight w:val="none"/>
              </w:rPr>
              <w:t>，</w:t>
            </w:r>
            <w:r>
              <w:rPr>
                <w:rFonts w:hint="eastAsia" w:ascii="宋体" w:hAnsi="宋体"/>
                <w:color w:val="auto"/>
                <w:sz w:val="22"/>
                <w:szCs w:val="22"/>
                <w:highlight w:val="none"/>
                <w:lang w:val="en-US" w:eastAsia="zh-CN"/>
              </w:rPr>
              <w:t>评分范围3，2，1，0</w:t>
            </w:r>
            <w:r>
              <w:rPr>
                <w:rFonts w:hint="eastAsia" w:ascii="宋体" w:hAnsi="宋体"/>
                <w:b w:val="0"/>
                <w:bCs/>
                <w:color w:val="auto"/>
                <w:sz w:val="22"/>
                <w:szCs w:val="22"/>
                <w:highlight w:val="none"/>
                <w:lang w:eastAsia="zh-CN"/>
              </w:rPr>
              <w:t>。</w:t>
            </w:r>
          </w:p>
          <w:p w14:paraId="479D8353">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2.具体流程、各工作环节重点</w:t>
            </w:r>
            <w:r>
              <w:rPr>
                <w:rFonts w:hint="eastAsia" w:ascii="宋体" w:hAnsi="宋体" w:cs="宋体"/>
                <w:b w:val="0"/>
                <w:bCs/>
                <w:color w:val="auto"/>
                <w:kern w:val="28"/>
                <w:sz w:val="22"/>
                <w:szCs w:val="22"/>
                <w:highlight w:val="none"/>
                <w:lang w:eastAsia="zh-CN"/>
              </w:rPr>
              <w:t>，</w:t>
            </w:r>
            <w:r>
              <w:rPr>
                <w:rFonts w:hint="eastAsia" w:ascii="宋体" w:hAnsi="宋体"/>
                <w:b w:val="0"/>
                <w:bCs/>
                <w:color w:val="auto"/>
                <w:sz w:val="22"/>
                <w:szCs w:val="22"/>
                <w:highlight w:val="none"/>
              </w:rPr>
              <w:t>由评委综合打分</w:t>
            </w:r>
            <w:r>
              <w:rPr>
                <w:rFonts w:hint="eastAsia" w:ascii="宋体" w:hAnsi="宋体" w:cs="宋体"/>
                <w:color w:val="auto"/>
                <w:sz w:val="22"/>
                <w:szCs w:val="22"/>
                <w:highlight w:val="none"/>
              </w:rPr>
              <w:t>，</w:t>
            </w:r>
            <w:r>
              <w:rPr>
                <w:rFonts w:hint="eastAsia" w:ascii="宋体" w:hAnsi="宋体"/>
                <w:color w:val="auto"/>
                <w:sz w:val="22"/>
                <w:szCs w:val="22"/>
                <w:highlight w:val="none"/>
                <w:lang w:val="en-US" w:eastAsia="zh-CN"/>
              </w:rPr>
              <w:t>评分范围3，2，1，0</w:t>
            </w:r>
            <w:r>
              <w:rPr>
                <w:rFonts w:hint="eastAsia" w:ascii="宋体" w:hAnsi="宋体"/>
                <w:b w:val="0"/>
                <w:bCs/>
                <w:color w:val="auto"/>
                <w:sz w:val="22"/>
                <w:szCs w:val="22"/>
                <w:highlight w:val="none"/>
                <w:lang w:eastAsia="zh-CN"/>
              </w:rPr>
              <w:t>。</w:t>
            </w:r>
          </w:p>
          <w:p w14:paraId="2B0B6405">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3.抽检分离（配合辅助执法人员抽样）方案</w:t>
            </w:r>
            <w:r>
              <w:rPr>
                <w:rFonts w:hint="eastAsia" w:ascii="宋体" w:hAnsi="宋体" w:cs="宋体"/>
                <w:b w:val="0"/>
                <w:bCs/>
                <w:color w:val="auto"/>
                <w:kern w:val="28"/>
                <w:sz w:val="22"/>
                <w:szCs w:val="22"/>
                <w:highlight w:val="none"/>
                <w:lang w:eastAsia="zh-CN"/>
              </w:rPr>
              <w:t>，</w:t>
            </w:r>
            <w:r>
              <w:rPr>
                <w:rFonts w:hint="eastAsia" w:ascii="宋体" w:hAnsi="宋体"/>
                <w:b w:val="0"/>
                <w:bCs/>
                <w:color w:val="auto"/>
                <w:sz w:val="22"/>
                <w:szCs w:val="22"/>
                <w:highlight w:val="none"/>
              </w:rPr>
              <w:t>由评委综合打分</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评分范围3，2，1，0</w:t>
            </w:r>
            <w:r>
              <w:rPr>
                <w:rFonts w:hint="eastAsia" w:ascii="宋体" w:hAnsi="宋体"/>
                <w:b w:val="0"/>
                <w:bCs/>
                <w:color w:val="auto"/>
                <w:sz w:val="22"/>
                <w:szCs w:val="22"/>
                <w:highlight w:val="none"/>
                <w:lang w:eastAsia="zh-CN"/>
              </w:rPr>
              <w:t>。</w:t>
            </w:r>
          </w:p>
          <w:p w14:paraId="7683B5B4">
            <w:pPr>
              <w:keepNext w:val="0"/>
              <w:keepLines w:val="0"/>
              <w:pageBreakBefore w:val="0"/>
              <w:widowControl w:val="0"/>
              <w:kinsoku/>
              <w:wordWrap/>
              <w:overflowPunct/>
              <w:topLinePunct w:val="0"/>
              <w:bidi w:val="0"/>
              <w:spacing w:line="300" w:lineRule="exact"/>
              <w:jc w:val="left"/>
              <w:textAlignment w:val="auto"/>
              <w:rPr>
                <w:rFonts w:hint="eastAsia" w:ascii="宋体" w:hAnsi="宋体"/>
                <w:b w:val="0"/>
                <w:bCs/>
                <w:color w:val="auto"/>
                <w:sz w:val="22"/>
                <w:szCs w:val="22"/>
                <w:highlight w:val="none"/>
                <w:lang w:eastAsia="zh-CN"/>
              </w:rPr>
            </w:pPr>
            <w:r>
              <w:rPr>
                <w:rFonts w:hint="eastAsia" w:ascii="宋体" w:hAnsi="宋体" w:eastAsia="宋体" w:cs="宋体"/>
                <w:b w:val="0"/>
                <w:bCs/>
                <w:color w:val="auto"/>
                <w:kern w:val="28"/>
                <w:sz w:val="22"/>
                <w:szCs w:val="22"/>
                <w:highlight w:val="none"/>
              </w:rPr>
              <w:t>4.数据信息报送、技术支撑响应等</w:t>
            </w:r>
            <w:r>
              <w:rPr>
                <w:rFonts w:hint="eastAsia" w:ascii="宋体" w:hAnsi="宋体" w:cs="宋体"/>
                <w:b w:val="0"/>
                <w:bCs/>
                <w:color w:val="auto"/>
                <w:kern w:val="28"/>
                <w:sz w:val="22"/>
                <w:szCs w:val="22"/>
                <w:highlight w:val="none"/>
                <w:lang w:eastAsia="zh-CN"/>
              </w:rPr>
              <w:t>，</w:t>
            </w:r>
            <w:r>
              <w:rPr>
                <w:rFonts w:hint="eastAsia" w:ascii="宋体" w:hAnsi="宋体"/>
                <w:b w:val="0"/>
                <w:bCs/>
                <w:color w:val="auto"/>
                <w:sz w:val="22"/>
                <w:szCs w:val="22"/>
                <w:highlight w:val="none"/>
              </w:rPr>
              <w:t>由评委综合打分</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评分范围3，2，1，0</w:t>
            </w:r>
            <w:r>
              <w:rPr>
                <w:rFonts w:hint="eastAsia" w:ascii="宋体" w:hAnsi="宋体"/>
                <w:b w:val="0"/>
                <w:bCs/>
                <w:color w:val="auto"/>
                <w:sz w:val="22"/>
                <w:szCs w:val="22"/>
                <w:highlight w:val="none"/>
                <w:lang w:eastAsia="zh-CN"/>
              </w:rPr>
              <w:t>。</w:t>
            </w:r>
          </w:p>
          <w:p w14:paraId="4F41CCFF">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新宋体" w:hAnsi="新宋体" w:eastAsia="新宋体" w:cs="新宋体"/>
                <w:b w:val="0"/>
                <w:bCs/>
                <w:color w:val="auto"/>
                <w:sz w:val="22"/>
                <w:szCs w:val="22"/>
                <w:highlight w:val="none"/>
                <w:lang w:val="en-US" w:eastAsia="zh-CN"/>
              </w:rPr>
              <w:t>5.供应商对于</w:t>
            </w:r>
            <w:r>
              <w:rPr>
                <w:rFonts w:hint="eastAsia" w:ascii="新宋体" w:hAnsi="新宋体" w:eastAsia="新宋体" w:cs="新宋体"/>
                <w:b w:val="0"/>
                <w:bCs/>
                <w:color w:val="auto"/>
                <w:sz w:val="22"/>
                <w:szCs w:val="22"/>
                <w:highlight w:val="none"/>
                <w:lang w:eastAsia="zh-CN"/>
              </w:rPr>
              <w:t>流通环节食品市场的熟悉情况及食品安全现状了解程度，结合其相关服务经验及自身服务优势等情况，由评委综合打分，</w:t>
            </w:r>
            <w:r>
              <w:rPr>
                <w:rFonts w:hint="eastAsia" w:ascii="宋体" w:hAnsi="宋体"/>
                <w:color w:val="auto"/>
                <w:sz w:val="22"/>
                <w:szCs w:val="22"/>
                <w:highlight w:val="none"/>
                <w:lang w:val="en-US" w:eastAsia="zh-CN"/>
              </w:rPr>
              <w:t>评分范围3，2，1，0</w:t>
            </w:r>
            <w:r>
              <w:rPr>
                <w:rFonts w:hint="eastAsia" w:ascii="宋体" w:hAnsi="宋体"/>
                <w:b w:val="0"/>
                <w:bCs/>
                <w:color w:val="auto"/>
                <w:sz w:val="22"/>
                <w:szCs w:val="22"/>
                <w:highlight w:val="none"/>
                <w:lang w:eastAsia="zh-CN"/>
              </w:rPr>
              <w:t>。</w:t>
            </w:r>
          </w:p>
        </w:tc>
      </w:tr>
      <w:tr w14:paraId="2D64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47" w:type="dxa"/>
            <w:tcBorders>
              <w:top w:val="single" w:color="auto" w:sz="4" w:space="0"/>
              <w:left w:val="single" w:color="auto" w:sz="4" w:space="0"/>
              <w:right w:val="single" w:color="auto" w:sz="4" w:space="0"/>
            </w:tcBorders>
            <w:noWrap/>
            <w:vAlign w:val="center"/>
          </w:tcPr>
          <w:p w14:paraId="375E1A5F">
            <w:pPr>
              <w:keepNext w:val="0"/>
              <w:keepLines w:val="0"/>
              <w:pageBreakBefore w:val="0"/>
              <w:widowControl w:val="0"/>
              <w:kinsoku/>
              <w:wordWrap/>
              <w:overflowPunct/>
              <w:topLinePunct w:val="0"/>
              <w:bidi w:val="0"/>
              <w:spacing w:line="300" w:lineRule="exact"/>
              <w:ind w:right="3"/>
              <w:jc w:val="center"/>
              <w:textAlignment w:val="auto"/>
              <w:rPr>
                <w:rFonts w:hint="eastAsia" w:ascii="宋体" w:hAnsi="宋体" w:eastAsia="宋体" w:cs="宋体"/>
                <w:b w:val="0"/>
                <w:bCs/>
                <w:color w:val="auto"/>
                <w:kern w:val="28"/>
                <w:sz w:val="22"/>
                <w:szCs w:val="22"/>
                <w:highlight w:val="none"/>
                <w:lang w:eastAsia="zh-CN"/>
              </w:rPr>
            </w:pPr>
            <w:r>
              <w:rPr>
                <w:rFonts w:hint="eastAsia" w:ascii="宋体" w:hAnsi="宋体" w:eastAsia="宋体" w:cs="宋体"/>
                <w:b w:val="0"/>
                <w:bCs/>
                <w:color w:val="auto"/>
                <w:kern w:val="28"/>
                <w:sz w:val="22"/>
                <w:szCs w:val="22"/>
                <w:highlight w:val="none"/>
                <w:lang w:val="en-US" w:eastAsia="zh-CN"/>
              </w:rPr>
              <w:t>6</w:t>
            </w:r>
          </w:p>
        </w:tc>
        <w:tc>
          <w:tcPr>
            <w:tcW w:w="1586" w:type="dxa"/>
            <w:tcBorders>
              <w:top w:val="single" w:color="auto" w:sz="4" w:space="0"/>
              <w:left w:val="single" w:color="auto" w:sz="4" w:space="0"/>
              <w:right w:val="single" w:color="auto" w:sz="4" w:space="0"/>
            </w:tcBorders>
            <w:noWrap/>
            <w:vAlign w:val="center"/>
          </w:tcPr>
          <w:p w14:paraId="7ECFC9DF">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人员情况</w:t>
            </w:r>
          </w:p>
        </w:tc>
        <w:tc>
          <w:tcPr>
            <w:tcW w:w="923" w:type="dxa"/>
            <w:tcBorders>
              <w:top w:val="single" w:color="auto" w:sz="4" w:space="0"/>
              <w:left w:val="single" w:color="auto" w:sz="4" w:space="0"/>
              <w:right w:val="single" w:color="auto" w:sz="4" w:space="0"/>
            </w:tcBorders>
            <w:noWrap/>
            <w:vAlign w:val="center"/>
          </w:tcPr>
          <w:p w14:paraId="1615233D">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14分</w:t>
            </w:r>
          </w:p>
        </w:tc>
        <w:tc>
          <w:tcPr>
            <w:tcW w:w="6652" w:type="dxa"/>
            <w:tcBorders>
              <w:top w:val="single" w:color="auto" w:sz="4" w:space="0"/>
              <w:left w:val="single" w:color="auto" w:sz="4" w:space="0"/>
              <w:right w:val="single" w:color="auto" w:sz="4" w:space="0"/>
            </w:tcBorders>
            <w:noWrap/>
            <w:vAlign w:val="center"/>
          </w:tcPr>
          <w:p w14:paraId="3214481B">
            <w:pPr>
              <w:keepNext w:val="0"/>
              <w:keepLines w:val="0"/>
              <w:pageBreakBefore w:val="0"/>
              <w:widowControl w:val="0"/>
              <w:kinsoku/>
              <w:wordWrap/>
              <w:overflowPunct/>
              <w:topLinePunct w:val="0"/>
              <w:bidi w:val="0"/>
              <w:spacing w:line="300" w:lineRule="exact"/>
              <w:ind w:left="-50"/>
              <w:textAlignment w:val="auto"/>
              <w:rPr>
                <w:rFonts w:hint="eastAsia" w:ascii="宋体" w:hAnsi="宋体" w:eastAsia="新宋体" w:cs="宋体"/>
                <w:b w:val="0"/>
                <w:bCs/>
                <w:color w:val="auto"/>
                <w:kern w:val="28"/>
                <w:sz w:val="22"/>
                <w:szCs w:val="22"/>
                <w:highlight w:val="none"/>
                <w:lang w:eastAsia="zh-CN"/>
              </w:rPr>
            </w:pPr>
            <w:r>
              <w:rPr>
                <w:rFonts w:hint="eastAsia" w:ascii="宋体" w:hAnsi="宋体" w:eastAsia="宋体" w:cs="宋体"/>
                <w:b w:val="0"/>
                <w:bCs/>
                <w:color w:val="auto"/>
                <w:kern w:val="28"/>
                <w:sz w:val="22"/>
                <w:szCs w:val="22"/>
                <w:highlight w:val="none"/>
              </w:rPr>
              <w:t>1.项目负责人</w:t>
            </w:r>
            <w:r>
              <w:rPr>
                <w:rFonts w:hint="eastAsia" w:ascii="新宋体" w:hAnsi="新宋体" w:eastAsia="新宋体" w:cs="新宋体"/>
                <w:b w:val="0"/>
                <w:bCs/>
                <w:color w:val="auto"/>
                <w:sz w:val="22"/>
                <w:szCs w:val="22"/>
                <w:highlight w:val="none"/>
              </w:rPr>
              <w:t>具有高级</w:t>
            </w:r>
            <w:r>
              <w:rPr>
                <w:rFonts w:hint="eastAsia" w:ascii="新宋体" w:hAnsi="新宋体" w:eastAsia="新宋体" w:cs="新宋体"/>
                <w:b w:val="0"/>
                <w:bCs/>
                <w:color w:val="auto"/>
                <w:sz w:val="22"/>
                <w:szCs w:val="22"/>
                <w:highlight w:val="none"/>
                <w:lang w:val="en-US" w:eastAsia="zh-CN"/>
              </w:rPr>
              <w:t>及以上</w:t>
            </w:r>
            <w:r>
              <w:rPr>
                <w:rFonts w:hint="eastAsia" w:ascii="新宋体" w:hAnsi="新宋体" w:eastAsia="新宋体" w:cs="新宋体"/>
                <w:b w:val="0"/>
                <w:bCs/>
                <w:color w:val="auto"/>
                <w:sz w:val="22"/>
                <w:szCs w:val="22"/>
                <w:highlight w:val="none"/>
              </w:rPr>
              <w:t>职称得</w:t>
            </w:r>
            <w:r>
              <w:rPr>
                <w:rFonts w:ascii="新宋体" w:hAnsi="新宋体" w:eastAsia="新宋体" w:cs="新宋体"/>
                <w:b w:val="0"/>
                <w:bCs/>
                <w:color w:val="auto"/>
                <w:sz w:val="22"/>
                <w:szCs w:val="22"/>
                <w:highlight w:val="none"/>
              </w:rPr>
              <w:t>2</w:t>
            </w:r>
            <w:r>
              <w:rPr>
                <w:rFonts w:hint="eastAsia" w:ascii="新宋体" w:hAnsi="新宋体" w:eastAsia="新宋体" w:cs="新宋体"/>
                <w:b w:val="0"/>
                <w:bCs/>
                <w:color w:val="auto"/>
                <w:sz w:val="22"/>
                <w:szCs w:val="22"/>
                <w:highlight w:val="none"/>
              </w:rPr>
              <w:t>分</w:t>
            </w:r>
            <w:r>
              <w:rPr>
                <w:rFonts w:hint="eastAsia" w:ascii="新宋体" w:hAnsi="新宋体" w:eastAsia="新宋体" w:cs="新宋体"/>
                <w:bCs/>
                <w:color w:val="auto"/>
                <w:sz w:val="22"/>
                <w:szCs w:val="22"/>
                <w:highlight w:val="none"/>
                <w:lang w:eastAsia="zh-CN"/>
              </w:rPr>
              <w:t>。</w:t>
            </w:r>
          </w:p>
          <w:p w14:paraId="44AFFD64">
            <w:pPr>
              <w:keepNext w:val="0"/>
              <w:keepLines w:val="0"/>
              <w:pageBreakBefore w:val="0"/>
              <w:widowControl w:val="0"/>
              <w:kinsoku/>
              <w:wordWrap/>
              <w:overflowPunct/>
              <w:topLinePunct w:val="0"/>
              <w:bidi w:val="0"/>
              <w:spacing w:line="300" w:lineRule="exact"/>
              <w:ind w:left="-50"/>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2.检测人员</w:t>
            </w:r>
            <w:r>
              <w:rPr>
                <w:rFonts w:hint="eastAsia" w:ascii="新宋体" w:hAnsi="新宋体" w:eastAsia="新宋体" w:cs="新宋体"/>
                <w:b w:val="0"/>
                <w:bCs/>
                <w:color w:val="auto"/>
                <w:sz w:val="22"/>
                <w:szCs w:val="22"/>
                <w:highlight w:val="none"/>
              </w:rPr>
              <w:t>具有</w:t>
            </w:r>
            <w:r>
              <w:rPr>
                <w:rFonts w:hint="eastAsia" w:ascii="宋体" w:hAnsi="宋体" w:eastAsia="宋体" w:cs="宋体"/>
                <w:b w:val="0"/>
                <w:bCs/>
                <w:color w:val="auto"/>
                <w:kern w:val="28"/>
                <w:sz w:val="22"/>
                <w:szCs w:val="22"/>
                <w:highlight w:val="none"/>
              </w:rPr>
              <w:t>高级职称人员数量</w:t>
            </w:r>
            <w:r>
              <w:rPr>
                <w:rFonts w:hint="eastAsia" w:ascii="宋体" w:hAnsi="宋体" w:cs="宋体"/>
                <w:b w:val="0"/>
                <w:bCs/>
                <w:color w:val="auto"/>
                <w:kern w:val="28"/>
                <w:sz w:val="22"/>
                <w:szCs w:val="22"/>
                <w:highlight w:val="none"/>
                <w:lang w:val="en-US" w:eastAsia="zh-CN"/>
              </w:rPr>
              <w:t>5人</w:t>
            </w:r>
            <w:r>
              <w:rPr>
                <w:rFonts w:hint="eastAsia" w:ascii="宋体" w:hAnsi="宋体" w:eastAsia="宋体" w:cs="宋体"/>
                <w:b w:val="0"/>
                <w:bCs/>
                <w:color w:val="auto"/>
                <w:kern w:val="28"/>
                <w:sz w:val="22"/>
                <w:szCs w:val="22"/>
                <w:highlight w:val="none"/>
              </w:rPr>
              <w:t>及以上得</w:t>
            </w:r>
            <w:r>
              <w:rPr>
                <w:rFonts w:hint="eastAsia" w:ascii="宋体" w:hAnsi="宋体" w:cs="宋体"/>
                <w:b w:val="0"/>
                <w:bCs/>
                <w:color w:val="auto"/>
                <w:kern w:val="28"/>
                <w:sz w:val="22"/>
                <w:szCs w:val="22"/>
                <w:highlight w:val="none"/>
                <w:lang w:val="en-US" w:eastAsia="zh-CN"/>
              </w:rPr>
              <w:t>4</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val="en-US" w:eastAsia="zh-CN"/>
              </w:rPr>
              <w:t>1-4人</w:t>
            </w:r>
            <w:r>
              <w:rPr>
                <w:rFonts w:hint="eastAsia" w:ascii="宋体" w:hAnsi="宋体" w:eastAsia="宋体" w:cs="宋体"/>
                <w:b w:val="0"/>
                <w:bCs/>
                <w:color w:val="auto"/>
                <w:kern w:val="28"/>
                <w:sz w:val="22"/>
                <w:szCs w:val="22"/>
                <w:highlight w:val="none"/>
              </w:rPr>
              <w:t>得</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分，最高得4分。</w:t>
            </w:r>
          </w:p>
          <w:p w14:paraId="33BE72E8">
            <w:pPr>
              <w:keepNext w:val="0"/>
              <w:keepLines w:val="0"/>
              <w:pageBreakBefore w:val="0"/>
              <w:widowControl w:val="0"/>
              <w:kinsoku/>
              <w:wordWrap/>
              <w:overflowPunct/>
              <w:topLinePunct w:val="0"/>
              <w:bidi w:val="0"/>
              <w:spacing w:line="300" w:lineRule="exact"/>
              <w:ind w:left="-50"/>
              <w:textAlignment w:val="auto"/>
              <w:rPr>
                <w:rFonts w:hint="eastAsia" w:ascii="宋体" w:hAnsi="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3.检测人员</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人及</w:t>
            </w:r>
            <w:r>
              <w:rPr>
                <w:rFonts w:hint="eastAsia" w:ascii="宋体" w:hAnsi="宋体" w:eastAsia="宋体" w:cs="宋体"/>
                <w:b w:val="0"/>
                <w:bCs/>
                <w:color w:val="auto"/>
                <w:kern w:val="28"/>
                <w:sz w:val="22"/>
                <w:szCs w:val="22"/>
                <w:highlight w:val="none"/>
              </w:rPr>
              <w:t>以上得</w:t>
            </w:r>
            <w:r>
              <w:rPr>
                <w:rFonts w:hint="eastAsia" w:ascii="宋体" w:hAnsi="宋体" w:cs="宋体"/>
                <w:b w:val="0"/>
                <w:bCs/>
                <w:color w:val="auto"/>
                <w:kern w:val="28"/>
                <w:sz w:val="22"/>
                <w:szCs w:val="22"/>
                <w:highlight w:val="none"/>
                <w:lang w:val="en-US" w:eastAsia="zh-CN"/>
              </w:rPr>
              <w:t>3</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20</w:t>
            </w:r>
            <w:r>
              <w:rPr>
                <w:rFonts w:hint="eastAsia" w:ascii="宋体" w:hAnsi="宋体" w:eastAsia="宋体" w:cs="宋体"/>
                <w:b w:val="0"/>
                <w:bCs/>
                <w:color w:val="auto"/>
                <w:kern w:val="28"/>
                <w:sz w:val="22"/>
                <w:szCs w:val="22"/>
                <w:highlight w:val="none"/>
              </w:rPr>
              <w:t>名得</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rPr>
              <w:t>0名以下得</w:t>
            </w:r>
            <w:r>
              <w:rPr>
                <w:rFonts w:hint="eastAsia" w:ascii="宋体" w:hAnsi="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eastAsia="zh-CN"/>
              </w:rPr>
              <w:t>，最高得</w:t>
            </w:r>
            <w:r>
              <w:rPr>
                <w:rFonts w:hint="eastAsia" w:ascii="宋体" w:hAnsi="宋体" w:cs="宋体"/>
                <w:b w:val="0"/>
                <w:bCs/>
                <w:color w:val="auto"/>
                <w:kern w:val="28"/>
                <w:sz w:val="22"/>
                <w:szCs w:val="22"/>
                <w:highlight w:val="none"/>
                <w:lang w:val="en-US" w:eastAsia="zh-CN"/>
              </w:rPr>
              <w:t>3分。</w:t>
            </w:r>
          </w:p>
          <w:p w14:paraId="0789CAED">
            <w:pPr>
              <w:keepNext w:val="0"/>
              <w:keepLines w:val="0"/>
              <w:pageBreakBefore w:val="0"/>
              <w:widowControl w:val="0"/>
              <w:kinsoku/>
              <w:wordWrap/>
              <w:overflowPunct/>
              <w:topLinePunct w:val="0"/>
              <w:bidi w:val="0"/>
              <w:spacing w:line="300" w:lineRule="exact"/>
              <w:ind w:left="-50"/>
              <w:textAlignment w:val="auto"/>
              <w:rPr>
                <w:color w:val="auto"/>
                <w:highlight w:val="none"/>
                <w:lang w:val="en-US" w:eastAsia="zh-CN"/>
              </w:rPr>
            </w:pPr>
            <w:r>
              <w:rPr>
                <w:rFonts w:hint="eastAsia" w:ascii="宋体" w:hAnsi="宋体" w:cs="宋体"/>
                <w:b w:val="0"/>
                <w:bCs/>
                <w:color w:val="auto"/>
                <w:kern w:val="28"/>
                <w:sz w:val="22"/>
                <w:szCs w:val="22"/>
                <w:highlight w:val="none"/>
                <w:lang w:val="en-US" w:eastAsia="zh-CN"/>
              </w:rPr>
              <w:t>4、抽样人员：</w:t>
            </w:r>
            <w:r>
              <w:rPr>
                <w:rFonts w:hint="eastAsia" w:ascii="宋体" w:hAnsi="宋体"/>
                <w:color w:val="auto"/>
                <w:kern w:val="0"/>
                <w:sz w:val="22"/>
                <w:highlight w:val="none"/>
              </w:rPr>
              <w:t>为解决抽样过程中与老百姓方言交流困难问题，每提供一名</w:t>
            </w:r>
            <w:r>
              <w:rPr>
                <w:rFonts w:hint="eastAsia" w:ascii="宋体" w:hAnsi="宋体"/>
                <w:color w:val="auto"/>
                <w:kern w:val="0"/>
                <w:sz w:val="22"/>
                <w:highlight w:val="none"/>
                <w:lang w:val="en-US" w:eastAsia="zh-CN"/>
              </w:rPr>
              <w:t>采购人</w:t>
            </w:r>
            <w:r>
              <w:rPr>
                <w:rFonts w:hint="eastAsia" w:ascii="宋体" w:hAnsi="宋体"/>
                <w:color w:val="auto"/>
                <w:kern w:val="0"/>
                <w:sz w:val="22"/>
                <w:highlight w:val="none"/>
              </w:rPr>
              <w:t>所在地市户籍抽样人员得0.5分，最高得</w:t>
            </w:r>
            <w:r>
              <w:rPr>
                <w:rFonts w:hint="eastAsia" w:ascii="宋体" w:hAnsi="宋体"/>
                <w:color w:val="auto"/>
                <w:kern w:val="0"/>
                <w:sz w:val="22"/>
                <w:highlight w:val="none"/>
                <w:lang w:val="en-US" w:eastAsia="zh-CN"/>
              </w:rPr>
              <w:t>3</w:t>
            </w:r>
            <w:r>
              <w:rPr>
                <w:rFonts w:hint="eastAsia" w:ascii="宋体" w:hAnsi="宋体"/>
                <w:color w:val="auto"/>
                <w:kern w:val="0"/>
                <w:sz w:val="22"/>
                <w:highlight w:val="none"/>
              </w:rPr>
              <w:t>分。</w:t>
            </w:r>
          </w:p>
          <w:p w14:paraId="27548946">
            <w:pPr>
              <w:spacing w:line="300" w:lineRule="exact"/>
              <w:rPr>
                <w:color w:val="auto"/>
                <w:highlight w:val="none"/>
                <w:lang w:val="en-US" w:eastAsia="zh-CN"/>
              </w:rPr>
            </w:pPr>
            <w:r>
              <w:rPr>
                <w:rFonts w:hint="eastAsia" w:ascii="宋体" w:hAnsi="宋体" w:eastAsia="宋体"/>
                <w:color w:val="auto"/>
                <w:kern w:val="0"/>
                <w:sz w:val="22"/>
                <w:highlight w:val="none"/>
                <w:lang w:val="en-US" w:eastAsia="zh-CN"/>
              </w:rPr>
              <w:t>5.具有国家标准化管理委员会委员或专家（限食品领域）得2分，无不得分</w:t>
            </w:r>
            <w:r>
              <w:rPr>
                <w:rFonts w:hint="eastAsia" w:ascii="宋体" w:hAnsi="宋体"/>
                <w:color w:val="auto"/>
                <w:kern w:val="0"/>
                <w:sz w:val="22"/>
                <w:highlight w:val="none"/>
                <w:lang w:eastAsia="zh-CN"/>
              </w:rPr>
              <w:t>；</w:t>
            </w:r>
          </w:p>
          <w:p w14:paraId="29C72ABB">
            <w:pPr>
              <w:keepNext w:val="0"/>
              <w:keepLines w:val="0"/>
              <w:pageBreakBefore w:val="0"/>
              <w:widowControl w:val="0"/>
              <w:kinsoku/>
              <w:wordWrap/>
              <w:overflowPunct/>
              <w:topLinePunct w:val="0"/>
              <w:bidi w:val="0"/>
              <w:spacing w:line="300" w:lineRule="exact"/>
              <w:ind w:left="-50"/>
              <w:textAlignment w:val="auto"/>
              <w:rPr>
                <w:rFonts w:hint="eastAsia" w:ascii="宋体" w:hAnsi="宋体" w:eastAsia="宋体" w:cs="宋体"/>
                <w:b w:val="0"/>
                <w:bCs/>
                <w:color w:val="auto"/>
                <w:kern w:val="28"/>
                <w:sz w:val="22"/>
                <w:szCs w:val="22"/>
                <w:highlight w:val="none"/>
              </w:rPr>
            </w:pPr>
            <w:r>
              <w:rPr>
                <w:rFonts w:hint="eastAsia" w:ascii="宋体" w:hAnsi="宋体" w:cs="宋体"/>
                <w:b/>
                <w:bCs w:val="0"/>
                <w:color w:val="auto"/>
                <w:kern w:val="28"/>
                <w:sz w:val="22"/>
                <w:szCs w:val="22"/>
                <w:highlight w:val="none"/>
                <w:lang w:eastAsia="zh-CN"/>
              </w:rPr>
              <w:t>注：需</w:t>
            </w:r>
            <w:r>
              <w:rPr>
                <w:rFonts w:hint="eastAsia" w:ascii="宋体" w:hAnsi="宋体" w:eastAsia="宋体" w:cs="宋体"/>
                <w:b/>
                <w:bCs w:val="0"/>
                <w:color w:val="auto"/>
                <w:kern w:val="28"/>
                <w:sz w:val="22"/>
                <w:szCs w:val="22"/>
                <w:highlight w:val="none"/>
              </w:rPr>
              <w:t>提供社保</w:t>
            </w:r>
            <w:r>
              <w:rPr>
                <w:rFonts w:hint="eastAsia" w:ascii="宋体" w:hAnsi="宋体" w:cs="宋体"/>
                <w:b/>
                <w:bCs w:val="0"/>
                <w:strike w:val="0"/>
                <w:dstrike w:val="0"/>
                <w:color w:val="auto"/>
                <w:kern w:val="28"/>
                <w:sz w:val="22"/>
                <w:szCs w:val="22"/>
                <w:highlight w:val="none"/>
                <w:lang w:eastAsia="zh-CN"/>
              </w:rPr>
              <w:t>、</w:t>
            </w:r>
            <w:r>
              <w:rPr>
                <w:rFonts w:hint="eastAsia" w:ascii="宋体" w:hAnsi="宋体" w:eastAsia="宋体" w:cs="宋体"/>
                <w:b/>
                <w:bCs w:val="0"/>
                <w:strike w:val="0"/>
                <w:dstrike w:val="0"/>
                <w:color w:val="auto"/>
                <w:kern w:val="28"/>
                <w:sz w:val="22"/>
                <w:szCs w:val="22"/>
                <w:highlight w:val="none"/>
              </w:rPr>
              <w:t>人</w:t>
            </w:r>
            <w:r>
              <w:rPr>
                <w:rFonts w:hint="eastAsia" w:ascii="宋体" w:hAnsi="宋体" w:eastAsia="宋体" w:cs="宋体"/>
                <w:b/>
                <w:bCs w:val="0"/>
                <w:color w:val="auto"/>
                <w:kern w:val="28"/>
                <w:sz w:val="22"/>
                <w:szCs w:val="22"/>
                <w:highlight w:val="none"/>
              </w:rPr>
              <w:t>员资质证明材料</w:t>
            </w:r>
            <w:r>
              <w:rPr>
                <w:rFonts w:hint="eastAsia" w:ascii="宋体" w:hAnsi="宋体" w:cs="宋体"/>
                <w:b/>
                <w:bCs w:val="0"/>
                <w:color w:val="auto"/>
                <w:kern w:val="28"/>
                <w:sz w:val="22"/>
                <w:szCs w:val="22"/>
                <w:highlight w:val="none"/>
                <w:lang w:val="en-US" w:eastAsia="zh-CN"/>
              </w:rPr>
              <w:t>，</w:t>
            </w:r>
            <w:r>
              <w:rPr>
                <w:rFonts w:hint="eastAsia" w:ascii="宋体" w:hAnsi="宋体" w:cs="宋体"/>
                <w:b/>
                <w:bCs w:val="0"/>
                <w:color w:val="auto"/>
                <w:kern w:val="28"/>
                <w:sz w:val="22"/>
                <w:szCs w:val="22"/>
                <w:highlight w:val="none"/>
                <w:lang w:eastAsia="zh-CN"/>
              </w:rPr>
              <w:t>否则不得分</w:t>
            </w:r>
            <w:r>
              <w:rPr>
                <w:rFonts w:hint="eastAsia" w:ascii="宋体" w:hAnsi="宋体" w:eastAsia="宋体" w:cs="宋体"/>
                <w:b/>
                <w:bCs w:val="0"/>
                <w:color w:val="auto"/>
                <w:kern w:val="28"/>
                <w:sz w:val="22"/>
                <w:szCs w:val="22"/>
                <w:highlight w:val="none"/>
              </w:rPr>
              <w:t>。</w:t>
            </w:r>
          </w:p>
        </w:tc>
      </w:tr>
      <w:tr w14:paraId="20EA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47" w:type="dxa"/>
            <w:vMerge w:val="restart"/>
            <w:tcBorders>
              <w:top w:val="single" w:color="auto" w:sz="4" w:space="0"/>
              <w:left w:val="single" w:color="auto" w:sz="4" w:space="0"/>
              <w:right w:val="single" w:color="auto" w:sz="4" w:space="0"/>
            </w:tcBorders>
            <w:noWrap/>
            <w:vAlign w:val="center"/>
          </w:tcPr>
          <w:p w14:paraId="2CACD7B9">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cs="宋体"/>
                <w:b w:val="0"/>
                <w:bCs/>
                <w:color w:val="auto"/>
                <w:kern w:val="28"/>
                <w:sz w:val="22"/>
                <w:szCs w:val="22"/>
                <w:highlight w:val="none"/>
                <w:lang w:val="en-US" w:eastAsia="zh-CN"/>
              </w:rPr>
              <w:t>7</w:t>
            </w:r>
          </w:p>
        </w:tc>
        <w:tc>
          <w:tcPr>
            <w:tcW w:w="1586" w:type="dxa"/>
            <w:vMerge w:val="restart"/>
            <w:tcBorders>
              <w:top w:val="single" w:color="auto" w:sz="4" w:space="0"/>
              <w:left w:val="single" w:color="auto" w:sz="4" w:space="0"/>
              <w:right w:val="single" w:color="auto" w:sz="4" w:space="0"/>
            </w:tcBorders>
            <w:noWrap/>
            <w:vAlign w:val="center"/>
          </w:tcPr>
          <w:p w14:paraId="7F5C0E1E">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设备</w:t>
            </w:r>
            <w:r>
              <w:rPr>
                <w:rFonts w:hint="eastAsia" w:ascii="宋体" w:hAnsi="宋体" w:cs="宋体"/>
                <w:b w:val="0"/>
                <w:bCs/>
                <w:color w:val="auto"/>
                <w:kern w:val="28"/>
                <w:sz w:val="22"/>
                <w:szCs w:val="22"/>
                <w:highlight w:val="none"/>
                <w:lang w:val="en-US" w:eastAsia="zh-CN"/>
              </w:rPr>
              <w:t>情况</w:t>
            </w:r>
          </w:p>
        </w:tc>
        <w:tc>
          <w:tcPr>
            <w:tcW w:w="923" w:type="dxa"/>
            <w:tcBorders>
              <w:top w:val="single" w:color="auto" w:sz="4" w:space="0"/>
              <w:left w:val="single" w:color="auto" w:sz="4" w:space="0"/>
              <w:right w:val="single" w:color="auto" w:sz="4" w:space="0"/>
            </w:tcBorders>
            <w:noWrap/>
            <w:vAlign w:val="center"/>
          </w:tcPr>
          <w:p w14:paraId="3CA93D00">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6分</w:t>
            </w:r>
          </w:p>
        </w:tc>
        <w:tc>
          <w:tcPr>
            <w:tcW w:w="6652" w:type="dxa"/>
            <w:tcBorders>
              <w:top w:val="single" w:color="auto" w:sz="4" w:space="0"/>
              <w:left w:val="single" w:color="auto" w:sz="4" w:space="0"/>
              <w:right w:val="single" w:color="auto" w:sz="4" w:space="0"/>
            </w:tcBorders>
            <w:noWrap/>
            <w:vAlign w:val="center"/>
          </w:tcPr>
          <w:p w14:paraId="491B7BAA">
            <w:pPr>
              <w:keepNext w:val="0"/>
              <w:keepLines w:val="0"/>
              <w:pageBreakBefore w:val="0"/>
              <w:widowControl w:val="0"/>
              <w:kinsoku/>
              <w:wordWrap/>
              <w:overflowPunct/>
              <w:topLinePunct w:val="0"/>
              <w:bidi w:val="0"/>
              <w:spacing w:line="300" w:lineRule="exact"/>
              <w:jc w:val="lef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供应商</w:t>
            </w:r>
            <w:r>
              <w:rPr>
                <w:rFonts w:hint="eastAsia" w:ascii="新宋体" w:hAnsi="新宋体" w:eastAsia="新宋体" w:cs="新宋体"/>
                <w:color w:val="auto"/>
                <w:sz w:val="22"/>
                <w:highlight w:val="none"/>
              </w:rPr>
              <w:t>投入本项目的检测分析仪器设备（气质联用仪、电感耦合等离子体质谱仪、高效液相色谱仪、质谱仪、原子吸收、原子荧光等检测仪器），性能先进优越的，种类数量能充分满足检测需求，保障项目实施质量的得</w:t>
            </w:r>
            <w:r>
              <w:rPr>
                <w:rFonts w:hint="eastAsia" w:ascii="新宋体" w:hAnsi="新宋体" w:eastAsia="新宋体" w:cs="新宋体"/>
                <w:color w:val="auto"/>
                <w:sz w:val="22"/>
                <w:highlight w:val="none"/>
                <w:lang w:val="en-US" w:eastAsia="zh-CN"/>
              </w:rPr>
              <w:t>6</w:t>
            </w:r>
            <w:r>
              <w:rPr>
                <w:rFonts w:hint="eastAsia" w:ascii="新宋体" w:hAnsi="新宋体" w:eastAsia="新宋体" w:cs="新宋体"/>
                <w:color w:val="auto"/>
                <w:sz w:val="22"/>
                <w:highlight w:val="none"/>
              </w:rPr>
              <w:t>分；投入的检测分析仪器设备性能及种类数量符合基本检测需求的得</w:t>
            </w: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分；明显欠缺或不足的得</w:t>
            </w:r>
            <w:r>
              <w:rPr>
                <w:rFonts w:hint="eastAsia" w:ascii="新宋体" w:hAnsi="新宋体" w:eastAsia="新宋体" w:cs="新宋体"/>
                <w:color w:val="auto"/>
                <w:sz w:val="22"/>
                <w:highlight w:val="none"/>
                <w:lang w:val="en-US" w:eastAsia="zh-CN"/>
              </w:rPr>
              <w:t>2</w:t>
            </w:r>
            <w:r>
              <w:rPr>
                <w:rFonts w:hint="eastAsia" w:ascii="新宋体" w:hAnsi="新宋体" w:eastAsia="新宋体" w:cs="新宋体"/>
                <w:color w:val="auto"/>
                <w:sz w:val="22"/>
                <w:highlight w:val="none"/>
              </w:rPr>
              <w:t>分。</w:t>
            </w:r>
          </w:p>
          <w:p w14:paraId="34DD546A">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新宋体" w:hAnsi="新宋体" w:eastAsia="新宋体" w:cs="新宋体"/>
                <w:b/>
                <w:bCs/>
                <w:color w:val="auto"/>
                <w:sz w:val="22"/>
                <w:highlight w:val="none"/>
                <w:lang w:val="en-US" w:eastAsia="zh-CN"/>
              </w:rPr>
              <w:t>注：</w:t>
            </w:r>
            <w:r>
              <w:rPr>
                <w:rFonts w:hint="eastAsia" w:ascii="新宋体" w:hAnsi="新宋体" w:eastAsia="新宋体" w:cs="新宋体"/>
                <w:b/>
                <w:bCs/>
                <w:color w:val="auto"/>
                <w:sz w:val="22"/>
                <w:highlight w:val="none"/>
              </w:rPr>
              <w:t>须提供设备清单、图片、</w:t>
            </w:r>
            <w:r>
              <w:rPr>
                <w:rFonts w:hint="eastAsia" w:ascii="新宋体" w:hAnsi="新宋体" w:eastAsia="新宋体" w:cs="新宋体"/>
                <w:b/>
                <w:bCs/>
                <w:color w:val="auto"/>
                <w:sz w:val="22"/>
                <w:highlight w:val="none"/>
                <w:lang w:val="zh-CN"/>
              </w:rPr>
              <w:t>购置发票</w:t>
            </w:r>
            <w:r>
              <w:rPr>
                <w:rFonts w:hint="eastAsia" w:ascii="新宋体" w:hAnsi="新宋体" w:eastAsia="新宋体" w:cs="新宋体"/>
                <w:b/>
                <w:bCs/>
                <w:color w:val="auto"/>
                <w:sz w:val="22"/>
                <w:highlight w:val="none"/>
                <w:lang w:val="en-US" w:eastAsia="zh-CN"/>
              </w:rPr>
              <w:t>或合同</w:t>
            </w:r>
            <w:r>
              <w:rPr>
                <w:rFonts w:hint="eastAsia" w:ascii="新宋体" w:hAnsi="新宋体" w:eastAsia="新宋体" w:cs="新宋体"/>
                <w:b/>
                <w:bCs/>
                <w:color w:val="auto"/>
                <w:sz w:val="22"/>
                <w:highlight w:val="none"/>
              </w:rPr>
              <w:t>等相关证明文件</w:t>
            </w:r>
            <w:r>
              <w:rPr>
                <w:rFonts w:hint="eastAsia" w:ascii="新宋体" w:hAnsi="新宋体" w:eastAsia="新宋体" w:cs="新宋体"/>
                <w:b/>
                <w:bCs/>
                <w:color w:val="auto"/>
                <w:sz w:val="22"/>
                <w:highlight w:val="none"/>
                <w:lang w:eastAsia="zh-CN"/>
              </w:rPr>
              <w:t>。</w:t>
            </w:r>
          </w:p>
        </w:tc>
      </w:tr>
      <w:tr w14:paraId="02B5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vMerge w:val="continue"/>
            <w:tcBorders>
              <w:top w:val="single" w:color="auto" w:sz="4" w:space="0"/>
              <w:left w:val="single" w:color="auto" w:sz="4" w:space="0"/>
              <w:right w:val="single" w:color="auto" w:sz="4" w:space="0"/>
            </w:tcBorders>
            <w:noWrap/>
            <w:vAlign w:val="center"/>
          </w:tcPr>
          <w:p w14:paraId="0D28081D">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3A1D92FB">
            <w:pPr>
              <w:rPr>
                <w:color w:val="auto"/>
                <w:highlight w:val="none"/>
              </w:rPr>
            </w:pPr>
          </w:p>
        </w:tc>
        <w:tc>
          <w:tcPr>
            <w:tcW w:w="923" w:type="dxa"/>
            <w:tcBorders>
              <w:top w:val="single" w:color="auto" w:sz="4" w:space="0"/>
              <w:left w:val="single" w:color="auto" w:sz="4" w:space="0"/>
              <w:right w:val="single" w:color="auto" w:sz="4" w:space="0"/>
            </w:tcBorders>
            <w:noWrap/>
            <w:vAlign w:val="center"/>
          </w:tcPr>
          <w:p w14:paraId="768DDF22">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5分</w:t>
            </w:r>
          </w:p>
        </w:tc>
        <w:tc>
          <w:tcPr>
            <w:tcW w:w="6652" w:type="dxa"/>
            <w:tcBorders>
              <w:top w:val="single" w:color="auto" w:sz="4" w:space="0"/>
              <w:left w:val="single" w:color="auto" w:sz="4" w:space="0"/>
              <w:right w:val="single" w:color="auto" w:sz="4" w:space="0"/>
            </w:tcBorders>
            <w:noWrap/>
            <w:vAlign w:val="center"/>
          </w:tcPr>
          <w:p w14:paraId="07655280">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olor w:val="auto"/>
                <w:kern w:val="0"/>
                <w:sz w:val="22"/>
                <w:highlight w:val="none"/>
                <w:lang w:eastAsia="zh-CN"/>
              </w:rPr>
            </w:pPr>
            <w:r>
              <w:rPr>
                <w:rFonts w:hint="eastAsia" w:ascii="宋体" w:hAnsi="宋体"/>
                <w:color w:val="auto"/>
                <w:kern w:val="0"/>
                <w:sz w:val="22"/>
                <w:highlight w:val="none"/>
                <w:lang w:val="en-US" w:eastAsia="zh-CN"/>
              </w:rPr>
              <w:t>供应商</w:t>
            </w:r>
            <w:r>
              <w:rPr>
                <w:rFonts w:hint="eastAsia" w:ascii="宋体" w:hAnsi="宋体"/>
                <w:color w:val="auto"/>
                <w:kern w:val="0"/>
                <w:sz w:val="22"/>
                <w:highlight w:val="none"/>
              </w:rPr>
              <w:t>配备与抽检任务相适应的采样车辆、抽样现场执法仪、蓝牙温度记录仪、车载冰箱（或其他冷藏冷冻手段）等设（装）备，以何种方式投入和使用，以及实际可操作性、时效性、合理性、满足性等进行综合打分</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评分范围5，4，3，2，1，0</w:t>
            </w:r>
            <w:r>
              <w:rPr>
                <w:rFonts w:hint="eastAsia" w:ascii="宋体" w:hAnsi="宋体"/>
                <w:b w:val="0"/>
                <w:bCs/>
                <w:color w:val="auto"/>
                <w:sz w:val="22"/>
                <w:szCs w:val="22"/>
                <w:highlight w:val="none"/>
                <w:lang w:eastAsia="zh-CN"/>
              </w:rPr>
              <w:t>。</w:t>
            </w:r>
          </w:p>
          <w:p w14:paraId="1FE46412">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lang w:eastAsia="zh-CN"/>
              </w:rPr>
            </w:pPr>
            <w:r>
              <w:rPr>
                <w:rFonts w:hint="eastAsia" w:ascii="宋体" w:hAnsi="宋体" w:eastAsia="宋体" w:cs="宋体"/>
                <w:b/>
                <w:bCs w:val="0"/>
                <w:color w:val="auto"/>
                <w:kern w:val="28"/>
                <w:sz w:val="22"/>
                <w:szCs w:val="22"/>
                <w:highlight w:val="none"/>
                <w:lang w:eastAsia="zh-CN"/>
              </w:rPr>
              <w:t>注：需提供</w:t>
            </w:r>
            <w:r>
              <w:rPr>
                <w:rFonts w:hint="eastAsia" w:ascii="宋体" w:hAnsi="宋体" w:cs="宋体"/>
                <w:b/>
                <w:bCs w:val="0"/>
                <w:color w:val="auto"/>
                <w:kern w:val="28"/>
                <w:sz w:val="22"/>
                <w:szCs w:val="22"/>
                <w:highlight w:val="none"/>
                <w:lang w:val="en-US" w:eastAsia="zh-CN"/>
              </w:rPr>
              <w:t>设备</w:t>
            </w:r>
            <w:r>
              <w:rPr>
                <w:rFonts w:hint="eastAsia" w:ascii="宋体" w:hAnsi="宋体" w:eastAsia="宋体" w:cs="宋体"/>
                <w:b/>
                <w:bCs w:val="0"/>
                <w:color w:val="auto"/>
                <w:kern w:val="28"/>
                <w:sz w:val="22"/>
                <w:szCs w:val="22"/>
                <w:highlight w:val="none"/>
                <w:lang w:eastAsia="zh-CN"/>
              </w:rPr>
              <w:t>清单、图片、</w:t>
            </w:r>
            <w:r>
              <w:rPr>
                <w:rFonts w:hint="eastAsia" w:ascii="新宋体" w:hAnsi="新宋体" w:eastAsia="新宋体" w:cs="新宋体"/>
                <w:b/>
                <w:bCs w:val="0"/>
                <w:color w:val="auto"/>
                <w:sz w:val="22"/>
                <w:highlight w:val="none"/>
                <w:lang w:val="zh-CN"/>
              </w:rPr>
              <w:t>购置发票</w:t>
            </w:r>
            <w:r>
              <w:rPr>
                <w:rFonts w:hint="eastAsia" w:ascii="宋体" w:hAnsi="宋体" w:eastAsia="宋体" w:cs="宋体"/>
                <w:b/>
                <w:bCs w:val="0"/>
                <w:color w:val="auto"/>
                <w:kern w:val="28"/>
                <w:sz w:val="22"/>
                <w:szCs w:val="22"/>
                <w:highlight w:val="none"/>
                <w:lang w:eastAsia="zh-CN"/>
              </w:rPr>
              <w:t>等证明文件，</w:t>
            </w:r>
            <w:r>
              <w:rPr>
                <w:rFonts w:hint="eastAsia" w:ascii="宋体" w:hAnsi="宋体"/>
                <w:b/>
                <w:bCs w:val="0"/>
                <w:color w:val="auto"/>
                <w:sz w:val="22"/>
                <w:szCs w:val="22"/>
                <w:highlight w:val="none"/>
              </w:rPr>
              <w:t>未提供或不符合要求或材料不能辨识</w:t>
            </w:r>
            <w:r>
              <w:rPr>
                <w:rFonts w:hint="eastAsia" w:ascii="宋体" w:hAnsi="宋体"/>
                <w:b/>
                <w:bCs w:val="0"/>
                <w:color w:val="auto"/>
                <w:sz w:val="22"/>
                <w:szCs w:val="22"/>
                <w:highlight w:val="none"/>
                <w:lang w:eastAsia="zh-CN"/>
              </w:rPr>
              <w:t>的</w:t>
            </w:r>
            <w:r>
              <w:rPr>
                <w:rFonts w:hint="eastAsia" w:ascii="宋体" w:hAnsi="宋体"/>
                <w:b/>
                <w:bCs w:val="0"/>
                <w:color w:val="auto"/>
                <w:sz w:val="22"/>
                <w:szCs w:val="22"/>
                <w:highlight w:val="none"/>
              </w:rPr>
              <w:t>不得分。</w:t>
            </w:r>
          </w:p>
        </w:tc>
      </w:tr>
      <w:tr w14:paraId="63C0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47" w:type="dxa"/>
            <w:tcBorders>
              <w:top w:val="single" w:color="auto" w:sz="4" w:space="0"/>
              <w:left w:val="single" w:color="auto" w:sz="4" w:space="0"/>
              <w:right w:val="single" w:color="auto" w:sz="4" w:space="0"/>
            </w:tcBorders>
            <w:noWrap/>
            <w:vAlign w:val="center"/>
          </w:tcPr>
          <w:p w14:paraId="7BA693E9">
            <w:pPr>
              <w:keepNext w:val="0"/>
              <w:keepLines w:val="0"/>
              <w:pageBreakBefore w:val="0"/>
              <w:widowControl w:val="0"/>
              <w:kinsoku/>
              <w:wordWrap/>
              <w:overflowPunct/>
              <w:topLinePunct w:val="0"/>
              <w:bidi w:val="0"/>
              <w:spacing w:line="300" w:lineRule="exact"/>
              <w:jc w:val="center"/>
              <w:textAlignment w:val="auto"/>
              <w:rPr>
                <w:rFonts w:ascii="宋体" w:hAnsi="宋体" w:eastAsia="宋体" w:cs="宋体"/>
                <w:b w:val="0"/>
                <w:bCs/>
                <w:color w:val="auto"/>
                <w:kern w:val="28"/>
                <w:sz w:val="22"/>
                <w:szCs w:val="22"/>
                <w:highlight w:val="none"/>
                <w:lang w:val="en-US" w:eastAsia="zh-CN"/>
              </w:rPr>
            </w:pPr>
            <w:r>
              <w:rPr>
                <w:rFonts w:hint="eastAsia" w:ascii="宋体" w:hAnsi="宋体" w:cs="宋体"/>
                <w:b w:val="0"/>
                <w:bCs/>
                <w:color w:val="auto"/>
                <w:kern w:val="28"/>
                <w:sz w:val="22"/>
                <w:szCs w:val="22"/>
                <w:highlight w:val="none"/>
                <w:lang w:val="en-US" w:eastAsia="zh-CN"/>
              </w:rPr>
              <w:t>8</w:t>
            </w:r>
          </w:p>
        </w:tc>
        <w:tc>
          <w:tcPr>
            <w:tcW w:w="1586" w:type="dxa"/>
            <w:tcBorders>
              <w:top w:val="single" w:color="auto" w:sz="4" w:space="0"/>
              <w:left w:val="single" w:color="auto" w:sz="4" w:space="0"/>
              <w:right w:val="single" w:color="auto" w:sz="4" w:space="0"/>
            </w:tcBorders>
            <w:noWrap/>
            <w:vAlign w:val="center"/>
          </w:tcPr>
          <w:p w14:paraId="1FF356DF">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应急预案</w:t>
            </w:r>
          </w:p>
        </w:tc>
        <w:tc>
          <w:tcPr>
            <w:tcW w:w="923" w:type="dxa"/>
            <w:tcBorders>
              <w:top w:val="single" w:color="auto" w:sz="4" w:space="0"/>
              <w:left w:val="single" w:color="auto" w:sz="4" w:space="0"/>
              <w:right w:val="single" w:color="auto" w:sz="4" w:space="0"/>
            </w:tcBorders>
            <w:noWrap/>
            <w:vAlign w:val="center"/>
          </w:tcPr>
          <w:p w14:paraId="2CBB74F0">
            <w:pPr>
              <w:keepNext w:val="0"/>
              <w:keepLines w:val="0"/>
              <w:pageBreakBefore w:val="0"/>
              <w:widowControl w:val="0"/>
              <w:kinsoku/>
              <w:wordWrap/>
              <w:overflowPunct/>
              <w:topLinePunct w:val="0"/>
              <w:bidi w:val="0"/>
              <w:spacing w:line="300" w:lineRule="exact"/>
              <w:ind w:right="3"/>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5分</w:t>
            </w:r>
          </w:p>
        </w:tc>
        <w:tc>
          <w:tcPr>
            <w:tcW w:w="6652" w:type="dxa"/>
            <w:tcBorders>
              <w:top w:val="single" w:color="auto" w:sz="4" w:space="0"/>
              <w:left w:val="single" w:color="auto" w:sz="4" w:space="0"/>
              <w:right w:val="single" w:color="auto" w:sz="4" w:space="0"/>
            </w:tcBorders>
            <w:noWrap/>
            <w:vAlign w:val="center"/>
          </w:tcPr>
          <w:p w14:paraId="1F987DB6">
            <w:pPr>
              <w:keepNext w:val="0"/>
              <w:keepLines w:val="0"/>
              <w:pageBreakBefore w:val="0"/>
              <w:widowControl w:val="0"/>
              <w:kinsoku/>
              <w:wordWrap/>
              <w:overflowPunct/>
              <w:topLinePunct w:val="0"/>
              <w:bidi w:val="0"/>
              <w:spacing w:line="300" w:lineRule="exact"/>
              <w:jc w:val="left"/>
              <w:textAlignment w:val="auto"/>
              <w:rPr>
                <w:rFonts w:hint="eastAsia" w:ascii="宋体" w:hAnsi="宋体"/>
                <w:b w:val="0"/>
                <w:bCs/>
                <w:color w:val="auto"/>
                <w:sz w:val="22"/>
                <w:szCs w:val="22"/>
                <w:highlight w:val="none"/>
                <w:lang w:eastAsia="zh-CN"/>
              </w:rPr>
            </w:pPr>
            <w:r>
              <w:rPr>
                <w:rFonts w:hint="eastAsia" w:ascii="宋体" w:hAnsi="宋体"/>
                <w:b w:val="0"/>
                <w:bCs/>
                <w:color w:val="auto"/>
                <w:sz w:val="22"/>
                <w:szCs w:val="22"/>
                <w:highlight w:val="none"/>
                <w:lang w:val="en-US" w:eastAsia="zh-CN"/>
              </w:rPr>
              <w:t>1.</w:t>
            </w:r>
            <w:r>
              <w:rPr>
                <w:rFonts w:hint="eastAsia"/>
                <w:color w:val="auto"/>
                <w:highlight w:val="none"/>
              </w:rPr>
              <w:t>根据突发事件应急措施、</w:t>
            </w:r>
            <w:r>
              <w:rPr>
                <w:rFonts w:hint="eastAsia" w:ascii="宋体" w:hAnsi="宋体" w:eastAsia="宋体" w:cs="宋体"/>
                <w:b w:val="0"/>
                <w:bCs/>
                <w:color w:val="auto"/>
                <w:kern w:val="28"/>
                <w:sz w:val="22"/>
                <w:szCs w:val="22"/>
                <w:highlight w:val="none"/>
              </w:rPr>
              <w:t>应急</w:t>
            </w:r>
            <w:r>
              <w:rPr>
                <w:rFonts w:hint="eastAsia" w:ascii="宋体" w:hAnsi="宋体" w:cs="宋体"/>
                <w:b w:val="0"/>
                <w:bCs/>
                <w:color w:val="auto"/>
                <w:kern w:val="28"/>
                <w:sz w:val="22"/>
                <w:szCs w:val="22"/>
                <w:highlight w:val="none"/>
                <w:lang w:val="en-US" w:eastAsia="zh-CN"/>
              </w:rPr>
              <w:t>实验室、</w:t>
            </w:r>
            <w:r>
              <w:rPr>
                <w:rFonts w:hint="eastAsia"/>
                <w:color w:val="auto"/>
                <w:highlight w:val="none"/>
              </w:rPr>
              <w:t>稽查办案等需求的临时性抽检，参与且在规定时间内到达配合工作开展</w:t>
            </w:r>
            <w:r>
              <w:rPr>
                <w:rFonts w:hint="eastAsia"/>
                <w:color w:val="auto"/>
                <w:highlight w:val="none"/>
                <w:lang w:eastAsia="zh-CN"/>
              </w:rPr>
              <w:t>、</w:t>
            </w:r>
            <w:r>
              <w:rPr>
                <w:rFonts w:hint="eastAsia"/>
                <w:color w:val="auto"/>
                <w:highlight w:val="none"/>
              </w:rPr>
              <w:t>其它活动配合措施的高效、合理、完善等情况</w:t>
            </w:r>
            <w:r>
              <w:rPr>
                <w:rFonts w:hint="eastAsia"/>
                <w:color w:val="auto"/>
                <w:highlight w:val="none"/>
                <w:lang w:eastAsia="zh-CN"/>
              </w:rPr>
              <w:t>，</w:t>
            </w:r>
            <w:r>
              <w:rPr>
                <w:rFonts w:hint="eastAsia"/>
                <w:color w:val="auto"/>
                <w:highlight w:val="none"/>
              </w:rPr>
              <w:t>由评委综合打分</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评分范围3，2，1，0</w:t>
            </w:r>
            <w:r>
              <w:rPr>
                <w:rFonts w:hint="eastAsia" w:ascii="宋体" w:hAnsi="宋体"/>
                <w:b w:val="0"/>
                <w:bCs/>
                <w:color w:val="auto"/>
                <w:sz w:val="22"/>
                <w:szCs w:val="22"/>
                <w:highlight w:val="none"/>
                <w:lang w:eastAsia="zh-CN"/>
              </w:rPr>
              <w:t>。</w:t>
            </w:r>
          </w:p>
          <w:p w14:paraId="00D3FC76">
            <w:pPr>
              <w:keepNext w:val="0"/>
              <w:keepLines w:val="0"/>
              <w:pageBreakBefore w:val="0"/>
              <w:widowControl w:val="0"/>
              <w:kinsoku/>
              <w:wordWrap/>
              <w:overflowPunct/>
              <w:topLinePunct w:val="0"/>
              <w:bidi w:val="0"/>
              <w:spacing w:line="300" w:lineRule="exact"/>
              <w:jc w:val="left"/>
              <w:textAlignment w:val="auto"/>
              <w:rPr>
                <w:rFonts w:hint="eastAsia"/>
                <w:color w:val="auto"/>
                <w:highlight w:val="none"/>
              </w:rPr>
            </w:pPr>
            <w:r>
              <w:rPr>
                <w:rFonts w:hint="eastAsia" w:ascii="宋体" w:hAnsi="宋体"/>
                <w:b w:val="0"/>
                <w:bCs/>
                <w:color w:val="auto"/>
                <w:sz w:val="22"/>
                <w:szCs w:val="22"/>
                <w:highlight w:val="none"/>
                <w:lang w:val="en-US" w:eastAsia="zh-CN"/>
              </w:rPr>
              <w:t>2.应急响应时间：对泰顺县突发事件、快检不合格转定量等应急抽检的应急响应时间≤120分钟的，得2分；120分钟＜应急响应时间≤180分钟的，得1分；其他不得分。（应急响应时间以样品由泰顺县人民政府送达供应商实验室时间为准，提供手机百度导航相关证明材料）</w:t>
            </w:r>
          </w:p>
        </w:tc>
      </w:tr>
    </w:tbl>
    <w:p w14:paraId="42F74D51">
      <w:pPr>
        <w:tabs>
          <w:tab w:val="left" w:pos="2352"/>
        </w:tabs>
        <w:rPr>
          <w:rFonts w:hint="eastAsia" w:hAnsi="宋体" w:cs="宋体"/>
          <w:bCs/>
          <w:color w:val="auto"/>
          <w:sz w:val="22"/>
          <w:highlight w:val="none"/>
          <w:lang w:val="en-US" w:eastAsia="zh-CN"/>
        </w:rPr>
      </w:pPr>
    </w:p>
    <w:p w14:paraId="4835FF4F">
      <w:pPr>
        <w:tabs>
          <w:tab w:val="left" w:pos="2352"/>
        </w:tabs>
        <w:rPr>
          <w:rFonts w:hint="eastAsia" w:hAnsi="宋体" w:cs="宋体"/>
          <w:bCs/>
          <w:color w:val="auto"/>
          <w:sz w:val="22"/>
          <w:highlight w:val="none"/>
          <w:lang w:val="en-US" w:eastAsia="zh-CN"/>
        </w:rPr>
      </w:pPr>
      <w:r>
        <w:rPr>
          <w:rFonts w:hint="eastAsia" w:hAnsi="宋体" w:cs="宋体"/>
          <w:bCs/>
          <w:color w:val="auto"/>
          <w:sz w:val="22"/>
          <w:highlight w:val="none"/>
          <w:lang w:val="en-US" w:eastAsia="zh-CN"/>
        </w:rPr>
        <w:t>标项二</w:t>
      </w:r>
    </w:p>
    <w:tbl>
      <w:tblPr>
        <w:tblStyle w:val="26"/>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586"/>
        <w:gridCol w:w="899"/>
        <w:gridCol w:w="6676"/>
      </w:tblGrid>
      <w:tr w14:paraId="7E29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47" w:type="dxa"/>
            <w:noWrap/>
            <w:vAlign w:val="center"/>
          </w:tcPr>
          <w:p w14:paraId="3757D2AF">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bCs w:val="0"/>
                <w:color w:val="auto"/>
                <w:kern w:val="28"/>
                <w:sz w:val="22"/>
                <w:szCs w:val="22"/>
                <w:highlight w:val="none"/>
              </w:rPr>
            </w:pPr>
            <w:r>
              <w:rPr>
                <w:rFonts w:hint="eastAsia" w:ascii="宋体" w:hAnsi="宋体" w:eastAsia="宋体" w:cs="宋体"/>
                <w:b/>
                <w:bCs w:val="0"/>
                <w:color w:val="auto"/>
                <w:kern w:val="28"/>
                <w:sz w:val="22"/>
                <w:szCs w:val="22"/>
                <w:highlight w:val="none"/>
              </w:rPr>
              <w:t>序号</w:t>
            </w:r>
          </w:p>
        </w:tc>
        <w:tc>
          <w:tcPr>
            <w:tcW w:w="1586" w:type="dxa"/>
            <w:noWrap/>
            <w:vAlign w:val="center"/>
          </w:tcPr>
          <w:p w14:paraId="21FF2358">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bCs w:val="0"/>
                <w:color w:val="auto"/>
                <w:kern w:val="28"/>
                <w:sz w:val="22"/>
                <w:szCs w:val="22"/>
                <w:highlight w:val="none"/>
              </w:rPr>
            </w:pPr>
            <w:r>
              <w:rPr>
                <w:rFonts w:hint="eastAsia" w:ascii="宋体" w:hAnsi="宋体" w:eastAsia="宋体" w:cs="宋体"/>
                <w:b/>
                <w:bCs w:val="0"/>
                <w:color w:val="auto"/>
                <w:kern w:val="28"/>
                <w:sz w:val="22"/>
                <w:szCs w:val="22"/>
                <w:highlight w:val="none"/>
              </w:rPr>
              <w:t>评分内容</w:t>
            </w:r>
          </w:p>
        </w:tc>
        <w:tc>
          <w:tcPr>
            <w:tcW w:w="899" w:type="dxa"/>
            <w:noWrap/>
            <w:vAlign w:val="center"/>
          </w:tcPr>
          <w:p w14:paraId="4635B59D">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bCs w:val="0"/>
                <w:color w:val="auto"/>
                <w:kern w:val="28"/>
                <w:sz w:val="22"/>
                <w:szCs w:val="22"/>
                <w:highlight w:val="none"/>
              </w:rPr>
            </w:pPr>
            <w:r>
              <w:rPr>
                <w:rFonts w:hint="eastAsia" w:ascii="宋体" w:hAnsi="宋体" w:eastAsia="宋体" w:cs="宋体"/>
                <w:b/>
                <w:bCs w:val="0"/>
                <w:color w:val="auto"/>
                <w:kern w:val="28"/>
                <w:sz w:val="22"/>
                <w:szCs w:val="22"/>
                <w:highlight w:val="none"/>
              </w:rPr>
              <w:t>分值</w:t>
            </w:r>
          </w:p>
        </w:tc>
        <w:tc>
          <w:tcPr>
            <w:tcW w:w="6676" w:type="dxa"/>
            <w:noWrap/>
            <w:vAlign w:val="center"/>
          </w:tcPr>
          <w:p w14:paraId="1AD512E4">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bCs w:val="0"/>
                <w:color w:val="auto"/>
                <w:kern w:val="28"/>
                <w:sz w:val="22"/>
                <w:szCs w:val="22"/>
                <w:highlight w:val="none"/>
                <w:lang w:val="en-US" w:eastAsia="zh-CN"/>
              </w:rPr>
            </w:pPr>
            <w:r>
              <w:rPr>
                <w:rFonts w:hint="eastAsia" w:ascii="宋体" w:hAnsi="宋体" w:eastAsia="宋体" w:cs="宋体"/>
                <w:b/>
                <w:bCs w:val="0"/>
                <w:color w:val="auto"/>
                <w:kern w:val="28"/>
                <w:sz w:val="22"/>
                <w:szCs w:val="22"/>
                <w:highlight w:val="none"/>
                <w:lang w:val="en-US" w:eastAsia="zh-CN"/>
              </w:rPr>
              <w:t>评分要点及说明</w:t>
            </w:r>
          </w:p>
        </w:tc>
      </w:tr>
      <w:tr w14:paraId="7AA9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47" w:type="dxa"/>
            <w:vMerge w:val="restart"/>
            <w:tcBorders>
              <w:top w:val="single" w:color="auto" w:sz="4" w:space="0"/>
              <w:left w:val="single" w:color="auto" w:sz="4" w:space="0"/>
              <w:right w:val="single" w:color="auto" w:sz="4" w:space="0"/>
            </w:tcBorders>
            <w:noWrap/>
            <w:vAlign w:val="center"/>
          </w:tcPr>
          <w:p w14:paraId="2682BD86">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cs="宋体"/>
                <w:b w:val="0"/>
                <w:bCs/>
                <w:color w:val="auto"/>
                <w:kern w:val="28"/>
                <w:sz w:val="22"/>
                <w:szCs w:val="22"/>
                <w:highlight w:val="none"/>
                <w:lang w:val="en-US" w:eastAsia="zh-CN"/>
              </w:rPr>
              <w:t>1</w:t>
            </w:r>
          </w:p>
        </w:tc>
        <w:tc>
          <w:tcPr>
            <w:tcW w:w="1586" w:type="dxa"/>
            <w:vMerge w:val="restart"/>
            <w:tcBorders>
              <w:top w:val="single" w:color="auto" w:sz="4" w:space="0"/>
              <w:left w:val="single" w:color="auto" w:sz="4" w:space="0"/>
              <w:right w:val="single" w:color="auto" w:sz="4" w:space="0"/>
            </w:tcBorders>
            <w:noWrap/>
            <w:vAlign w:val="center"/>
          </w:tcPr>
          <w:p w14:paraId="036256B5">
            <w:pPr>
              <w:keepNext w:val="0"/>
              <w:keepLines w:val="0"/>
              <w:pageBreakBefore w:val="0"/>
              <w:widowControl w:val="0"/>
              <w:kinsoku/>
              <w:wordWrap/>
              <w:overflowPunct/>
              <w:topLinePunct w:val="0"/>
              <w:bidi w:val="0"/>
              <w:spacing w:line="300" w:lineRule="exact"/>
              <w:jc w:val="center"/>
              <w:textAlignment w:val="auto"/>
              <w:rPr>
                <w:rFonts w:ascii="宋体" w:hAnsi="宋体" w:eastAsia="宋体" w:cs="宋体"/>
                <w:b w:val="0"/>
                <w:bCs/>
                <w:color w:val="auto"/>
                <w:kern w:val="28"/>
                <w:sz w:val="22"/>
                <w:szCs w:val="22"/>
                <w:highlight w:val="none"/>
                <w:lang w:val="en-US" w:eastAsia="zh-CN"/>
              </w:rPr>
            </w:pPr>
            <w:r>
              <w:rPr>
                <w:rFonts w:hint="eastAsia" w:ascii="宋体" w:hAnsi="宋体"/>
                <w:b w:val="0"/>
                <w:bCs/>
                <w:color w:val="auto"/>
                <w:sz w:val="22"/>
                <w:szCs w:val="22"/>
                <w:highlight w:val="none"/>
                <w:lang w:val="en-US" w:eastAsia="zh-CN"/>
              </w:rPr>
              <w:t>供应商情况</w:t>
            </w:r>
          </w:p>
        </w:tc>
        <w:tc>
          <w:tcPr>
            <w:tcW w:w="899" w:type="dxa"/>
            <w:tcBorders>
              <w:top w:val="single" w:color="auto" w:sz="4" w:space="0"/>
              <w:left w:val="single" w:color="auto" w:sz="4" w:space="0"/>
              <w:right w:val="single" w:color="auto" w:sz="4" w:space="0"/>
            </w:tcBorders>
            <w:noWrap/>
            <w:vAlign w:val="center"/>
          </w:tcPr>
          <w:p w14:paraId="1EA7A5A9">
            <w:pPr>
              <w:jc w:val="center"/>
              <w:rPr>
                <w:rFonts w:hint="eastAsia" w:ascii="宋体" w:hAnsi="宋体" w:eastAsia="宋体" w:cs="宋体"/>
                <w:b w:val="0"/>
                <w:bCs/>
                <w:color w:val="auto"/>
                <w:kern w:val="28"/>
                <w:sz w:val="22"/>
                <w:szCs w:val="22"/>
                <w:highlight w:val="none"/>
              </w:rPr>
            </w:pPr>
            <w:r>
              <w:rPr>
                <w:rFonts w:ascii="宋体" w:hAnsi="宋体"/>
                <w:b w:val="0"/>
                <w:bCs/>
                <w:color w:val="auto"/>
                <w:sz w:val="22"/>
                <w:szCs w:val="22"/>
                <w:highlight w:val="none"/>
              </w:rPr>
              <w:t>0-</w:t>
            </w:r>
            <w:r>
              <w:rPr>
                <w:rFonts w:hint="eastAsia" w:ascii="宋体" w:hAnsi="宋体"/>
                <w:b w:val="0"/>
                <w:bCs/>
                <w:color w:val="auto"/>
                <w:sz w:val="22"/>
                <w:szCs w:val="22"/>
                <w:highlight w:val="none"/>
                <w:lang w:val="en-US" w:eastAsia="zh-CN"/>
              </w:rPr>
              <w:t>3</w:t>
            </w:r>
            <w:r>
              <w:rPr>
                <w:rFonts w:hint="eastAsia" w:ascii="宋体" w:hAnsi="宋体" w:cs="宋体"/>
                <w:b w:val="0"/>
                <w:bCs/>
                <w:color w:val="auto"/>
                <w:kern w:val="28"/>
                <w:sz w:val="22"/>
                <w:szCs w:val="22"/>
                <w:highlight w:val="none"/>
                <w:lang w:val="en-US" w:eastAsia="zh-CN"/>
              </w:rPr>
              <w:t>分</w:t>
            </w:r>
          </w:p>
        </w:tc>
        <w:tc>
          <w:tcPr>
            <w:tcW w:w="6676" w:type="dxa"/>
            <w:tcBorders>
              <w:top w:val="single" w:color="auto" w:sz="4" w:space="0"/>
              <w:left w:val="single" w:color="auto" w:sz="4" w:space="0"/>
              <w:right w:val="single" w:color="auto" w:sz="4" w:space="0"/>
            </w:tcBorders>
            <w:noWrap/>
            <w:vAlign w:val="center"/>
          </w:tcPr>
          <w:p w14:paraId="22F18553">
            <w:pPr>
              <w:rPr>
                <w:rFonts w:ascii="宋体" w:hAnsi="宋体" w:cs="宋体"/>
                <w:color w:val="auto"/>
                <w:sz w:val="22"/>
                <w:highlight w:val="none"/>
              </w:rPr>
            </w:pPr>
            <w:r>
              <w:rPr>
                <w:rFonts w:hint="eastAsia" w:ascii="宋体" w:hAnsi="宋体" w:cs="宋体"/>
                <w:color w:val="auto"/>
                <w:sz w:val="22"/>
                <w:highlight w:val="none"/>
              </w:rPr>
              <w:t>投标供应商具有有效期内的质量管理体系认证证书，环境管理体系认证证书，职业健康体系认证证书</w:t>
            </w:r>
            <w:r>
              <w:rPr>
                <w:rFonts w:hint="eastAsia" w:ascii="宋体" w:hAnsi="宋体" w:cs="宋体"/>
                <w:color w:val="auto"/>
                <w:sz w:val="22"/>
                <w:highlight w:val="none"/>
                <w:lang w:eastAsia="zh-CN"/>
              </w:rPr>
              <w:t>，</w:t>
            </w:r>
            <w:r>
              <w:rPr>
                <w:rFonts w:hint="eastAsia" w:ascii="宋体" w:hAnsi="宋体" w:cs="宋体"/>
                <w:color w:val="auto"/>
                <w:sz w:val="22"/>
                <w:highlight w:val="none"/>
              </w:rPr>
              <w:t>每个得1分，最高得3分。</w:t>
            </w:r>
          </w:p>
          <w:p w14:paraId="252EAD0B">
            <w:pPr>
              <w:rPr>
                <w:rFonts w:hint="eastAsia" w:ascii="宋体" w:hAnsi="宋体" w:eastAsia="宋体" w:cs="宋体"/>
                <w:b w:val="0"/>
                <w:bCs/>
                <w:color w:val="auto"/>
                <w:kern w:val="28"/>
                <w:sz w:val="22"/>
                <w:szCs w:val="22"/>
                <w:highlight w:val="none"/>
                <w:lang w:eastAsia="zh-CN"/>
              </w:rPr>
            </w:pPr>
            <w:r>
              <w:rPr>
                <w:rFonts w:hint="eastAsia" w:ascii="宋体" w:hAnsi="宋体" w:cs="宋体"/>
                <w:b/>
                <w:bCs/>
                <w:color w:val="auto"/>
                <w:sz w:val="22"/>
                <w:highlight w:val="none"/>
              </w:rPr>
              <w:t>注：以上证书需扫描件加盖投标供应商公章。</w:t>
            </w:r>
          </w:p>
        </w:tc>
      </w:tr>
      <w:tr w14:paraId="69B6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47" w:type="dxa"/>
            <w:vMerge w:val="continue"/>
            <w:tcBorders>
              <w:top w:val="single" w:color="auto" w:sz="4" w:space="0"/>
              <w:left w:val="single" w:color="auto" w:sz="4" w:space="0"/>
              <w:right w:val="single" w:color="auto" w:sz="4" w:space="0"/>
            </w:tcBorders>
            <w:noWrap/>
            <w:vAlign w:val="center"/>
          </w:tcPr>
          <w:p w14:paraId="215EC0E3">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68F29635">
            <w:pPr>
              <w:rPr>
                <w:color w:val="auto"/>
                <w:highlight w:val="none"/>
              </w:rPr>
            </w:pPr>
          </w:p>
        </w:tc>
        <w:tc>
          <w:tcPr>
            <w:tcW w:w="899" w:type="dxa"/>
            <w:tcBorders>
              <w:top w:val="single" w:color="auto" w:sz="4" w:space="0"/>
              <w:left w:val="single" w:color="auto" w:sz="4" w:space="0"/>
              <w:right w:val="single" w:color="auto" w:sz="4" w:space="0"/>
            </w:tcBorders>
            <w:noWrap/>
            <w:vAlign w:val="center"/>
          </w:tcPr>
          <w:p w14:paraId="4E0874EF">
            <w:pPr>
              <w:jc w:val="center"/>
              <w:rPr>
                <w:rFonts w:ascii="宋体" w:hAnsi="宋体"/>
                <w:b w:val="0"/>
                <w:bCs/>
                <w:color w:val="auto"/>
                <w:sz w:val="22"/>
                <w:szCs w:val="22"/>
                <w:highlight w:val="none"/>
              </w:rPr>
            </w:pPr>
            <w:r>
              <w:rPr>
                <w:rFonts w:ascii="宋体" w:hAnsi="宋体"/>
                <w:bCs/>
                <w:color w:val="auto"/>
                <w:sz w:val="22"/>
                <w:szCs w:val="22"/>
                <w:highlight w:val="none"/>
              </w:rPr>
              <w:t>0-3</w:t>
            </w:r>
            <w:r>
              <w:rPr>
                <w:rFonts w:hint="eastAsia" w:ascii="宋体" w:hAnsi="宋体" w:cs="宋体"/>
                <w:bCs/>
                <w:color w:val="auto"/>
                <w:kern w:val="28"/>
                <w:sz w:val="22"/>
                <w:szCs w:val="22"/>
                <w:highlight w:val="none"/>
              </w:rPr>
              <w:t>分</w:t>
            </w:r>
          </w:p>
        </w:tc>
        <w:tc>
          <w:tcPr>
            <w:tcW w:w="6676" w:type="dxa"/>
            <w:tcBorders>
              <w:top w:val="single" w:color="auto" w:sz="4" w:space="0"/>
              <w:left w:val="single" w:color="auto" w:sz="4" w:space="0"/>
              <w:right w:val="single" w:color="auto" w:sz="4" w:space="0"/>
            </w:tcBorders>
            <w:noWrap/>
            <w:vAlign w:val="center"/>
          </w:tcPr>
          <w:p w14:paraId="574944D8">
            <w:pPr>
              <w:rPr>
                <w:rFonts w:hint="eastAsia" w:ascii="宋体" w:hAnsi="宋体"/>
                <w:b w:val="0"/>
                <w:bCs/>
                <w:color w:val="auto"/>
                <w:sz w:val="22"/>
                <w:szCs w:val="22"/>
                <w:highlight w:val="none"/>
              </w:rPr>
            </w:pPr>
            <w:r>
              <w:rPr>
                <w:rFonts w:hint="eastAsia" w:ascii="宋体" w:hAnsi="宋体" w:eastAsia="宋体" w:cs="宋体"/>
                <w:b w:val="0"/>
                <w:bCs/>
                <w:color w:val="auto"/>
                <w:kern w:val="28"/>
                <w:sz w:val="22"/>
                <w:szCs w:val="22"/>
                <w:highlight w:val="none"/>
              </w:rPr>
              <w:t>参加政府部门市场监管系统抽样比武评比，并且最终团体总分在90分以上或一等奖得3分，85分以上或二等奖以上得2分，80分以上或三等奖以上得1分。注：需提供相关文件或证书</w:t>
            </w:r>
            <w:r>
              <w:rPr>
                <w:rFonts w:hint="eastAsia" w:ascii="宋体" w:hAnsi="宋体"/>
                <w:b/>
                <w:bCs/>
                <w:color w:val="auto"/>
                <w:kern w:val="0"/>
                <w:sz w:val="22"/>
                <w:highlight w:val="none"/>
              </w:rPr>
              <w:t>。</w:t>
            </w:r>
          </w:p>
        </w:tc>
      </w:tr>
      <w:tr w14:paraId="2D94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vMerge w:val="restart"/>
            <w:tcBorders>
              <w:top w:val="single" w:color="auto" w:sz="4" w:space="0"/>
              <w:left w:val="single" w:color="auto" w:sz="4" w:space="0"/>
              <w:right w:val="single" w:color="auto" w:sz="4" w:space="0"/>
            </w:tcBorders>
            <w:noWrap/>
            <w:vAlign w:val="center"/>
          </w:tcPr>
          <w:p w14:paraId="3BEDB711">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eastAsia="zh-CN"/>
              </w:rPr>
            </w:pPr>
            <w:r>
              <w:rPr>
                <w:rFonts w:hint="eastAsia" w:ascii="宋体" w:hAnsi="宋体" w:cs="宋体"/>
                <w:b w:val="0"/>
                <w:bCs/>
                <w:color w:val="auto"/>
                <w:kern w:val="28"/>
                <w:sz w:val="22"/>
                <w:szCs w:val="22"/>
                <w:highlight w:val="none"/>
                <w:lang w:val="en-US" w:eastAsia="zh-CN"/>
              </w:rPr>
              <w:t>2</w:t>
            </w:r>
          </w:p>
        </w:tc>
        <w:tc>
          <w:tcPr>
            <w:tcW w:w="1586" w:type="dxa"/>
            <w:vMerge w:val="restart"/>
            <w:tcBorders>
              <w:top w:val="single" w:color="auto" w:sz="4" w:space="0"/>
              <w:left w:val="single" w:color="auto" w:sz="4" w:space="0"/>
              <w:right w:val="single" w:color="auto" w:sz="4" w:space="0"/>
            </w:tcBorders>
            <w:noWrap/>
            <w:vAlign w:val="center"/>
          </w:tcPr>
          <w:p w14:paraId="395141CC">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lang w:eastAsia="zh-CN"/>
              </w:rPr>
              <w:t>检测能</w:t>
            </w:r>
            <w:r>
              <w:rPr>
                <w:rFonts w:hint="eastAsia" w:ascii="宋体" w:hAnsi="宋体" w:cs="宋体"/>
                <w:b w:val="0"/>
                <w:bCs/>
                <w:color w:val="auto"/>
                <w:kern w:val="28"/>
                <w:sz w:val="22"/>
                <w:szCs w:val="22"/>
                <w:highlight w:val="none"/>
                <w:lang w:eastAsia="zh-CN"/>
              </w:rPr>
              <w:t>力</w:t>
            </w:r>
            <w:r>
              <w:rPr>
                <w:rFonts w:hint="eastAsia" w:ascii="宋体" w:hAnsi="宋体" w:eastAsia="宋体" w:cs="宋体"/>
                <w:b w:val="0"/>
                <w:bCs/>
                <w:color w:val="auto"/>
                <w:kern w:val="28"/>
                <w:sz w:val="22"/>
                <w:szCs w:val="22"/>
                <w:highlight w:val="none"/>
                <w:lang w:eastAsia="zh-CN"/>
              </w:rPr>
              <w:t>情况</w:t>
            </w:r>
          </w:p>
        </w:tc>
        <w:tc>
          <w:tcPr>
            <w:tcW w:w="899" w:type="dxa"/>
            <w:tcBorders>
              <w:top w:val="single" w:color="auto" w:sz="4" w:space="0"/>
              <w:left w:val="single" w:color="auto" w:sz="4" w:space="0"/>
              <w:right w:val="single" w:color="auto" w:sz="4" w:space="0"/>
            </w:tcBorders>
            <w:noWrap/>
            <w:vAlign w:val="center"/>
          </w:tcPr>
          <w:p w14:paraId="7038C633">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3分</w:t>
            </w:r>
          </w:p>
        </w:tc>
        <w:tc>
          <w:tcPr>
            <w:tcW w:w="6676" w:type="dxa"/>
            <w:tcBorders>
              <w:top w:val="single" w:color="auto" w:sz="4" w:space="0"/>
              <w:left w:val="single" w:color="auto" w:sz="4" w:space="0"/>
              <w:right w:val="single" w:color="auto" w:sz="4" w:space="0"/>
            </w:tcBorders>
            <w:noWrap/>
            <w:vAlign w:val="center"/>
          </w:tcPr>
          <w:p w14:paraId="2E7A3963">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b/>
                <w:bCs w:val="0"/>
                <w:color w:val="auto"/>
                <w:kern w:val="28"/>
                <w:sz w:val="22"/>
                <w:szCs w:val="22"/>
                <w:highlight w:val="none"/>
                <w:lang w:val="en-US" w:eastAsia="zh-CN"/>
              </w:rPr>
            </w:pPr>
            <w:r>
              <w:rPr>
                <w:rFonts w:hint="eastAsia" w:ascii="宋体" w:hAnsi="宋体" w:cs="宋体"/>
                <w:bCs/>
                <w:color w:val="auto"/>
                <w:kern w:val="28"/>
                <w:sz w:val="22"/>
                <w:szCs w:val="22"/>
                <w:highlight w:val="none"/>
                <w:lang w:val="en-US" w:eastAsia="zh-CN"/>
              </w:rPr>
              <w:t>供应商具有</w:t>
            </w:r>
            <w:r>
              <w:rPr>
                <w:rFonts w:hint="eastAsia" w:ascii="宋体" w:hAnsi="宋体" w:eastAsia="宋体" w:cs="宋体"/>
                <w:bCs/>
                <w:color w:val="auto"/>
                <w:kern w:val="28"/>
                <w:sz w:val="22"/>
                <w:szCs w:val="22"/>
                <w:highlight w:val="none"/>
              </w:rPr>
              <w:t>承担食品检验的独立固定实验室（获得CMAF或CMA资质认证）得</w:t>
            </w:r>
            <w:r>
              <w:rPr>
                <w:rFonts w:hint="eastAsia" w:ascii="宋体" w:hAnsi="宋体" w:cs="宋体"/>
                <w:bCs/>
                <w:color w:val="auto"/>
                <w:kern w:val="28"/>
                <w:sz w:val="22"/>
                <w:szCs w:val="22"/>
                <w:highlight w:val="none"/>
                <w:lang w:val="en-US" w:eastAsia="zh-CN"/>
              </w:rPr>
              <w:t>3</w:t>
            </w:r>
            <w:r>
              <w:rPr>
                <w:rFonts w:hint="eastAsia" w:ascii="宋体" w:hAnsi="宋体" w:eastAsia="宋体" w:cs="宋体"/>
                <w:bCs/>
                <w:color w:val="auto"/>
                <w:kern w:val="28"/>
                <w:sz w:val="22"/>
                <w:szCs w:val="22"/>
                <w:highlight w:val="none"/>
              </w:rPr>
              <w:t>分</w:t>
            </w:r>
            <w:r>
              <w:rPr>
                <w:rFonts w:hint="eastAsia" w:ascii="宋体" w:hAnsi="宋体" w:cs="宋体"/>
                <w:bCs/>
                <w:color w:val="auto"/>
                <w:kern w:val="28"/>
                <w:sz w:val="22"/>
                <w:szCs w:val="22"/>
                <w:highlight w:val="none"/>
                <w:lang w:eastAsia="zh-CN"/>
              </w:rPr>
              <w:t>；</w:t>
            </w:r>
          </w:p>
          <w:p w14:paraId="3B3F7439">
            <w:pPr>
              <w:pStyle w:val="7"/>
              <w:keepNext w:val="0"/>
              <w:keepLines w:val="0"/>
              <w:pageBreakBefore w:val="0"/>
              <w:widowControl w:val="0"/>
              <w:kinsoku/>
              <w:wordWrap/>
              <w:overflowPunct/>
              <w:topLinePunct w:val="0"/>
              <w:bidi w:val="0"/>
              <w:spacing w:after="0" w:line="300" w:lineRule="exact"/>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bCs w:val="0"/>
                <w:color w:val="auto"/>
                <w:kern w:val="28"/>
                <w:sz w:val="22"/>
                <w:szCs w:val="22"/>
                <w:highlight w:val="none"/>
                <w:lang w:val="en-US" w:eastAsia="zh-CN"/>
              </w:rPr>
              <w:t>注：需提供相关证明材料，</w:t>
            </w:r>
            <w:r>
              <w:rPr>
                <w:rFonts w:hint="eastAsia" w:ascii="宋体" w:hAnsi="宋体"/>
                <w:b/>
                <w:bCs/>
                <w:color w:val="auto"/>
                <w:sz w:val="22"/>
                <w:szCs w:val="22"/>
                <w:highlight w:val="none"/>
              </w:rPr>
              <w:t>未提供或不符合要求或材料不能辨识</w:t>
            </w:r>
            <w:r>
              <w:rPr>
                <w:rFonts w:hint="eastAsia" w:ascii="宋体" w:hAnsi="宋体"/>
                <w:b/>
                <w:bCs/>
                <w:color w:val="auto"/>
                <w:sz w:val="22"/>
                <w:szCs w:val="22"/>
                <w:highlight w:val="none"/>
                <w:lang w:eastAsia="zh-CN"/>
              </w:rPr>
              <w:t>的</w:t>
            </w:r>
            <w:r>
              <w:rPr>
                <w:rFonts w:hint="eastAsia" w:ascii="宋体" w:hAnsi="宋体"/>
                <w:b/>
                <w:bCs/>
                <w:color w:val="auto"/>
                <w:sz w:val="22"/>
                <w:szCs w:val="22"/>
                <w:highlight w:val="none"/>
              </w:rPr>
              <w:t>不得分</w:t>
            </w:r>
            <w:r>
              <w:rPr>
                <w:rFonts w:hint="eastAsia" w:ascii="宋体" w:hAnsi="宋体"/>
                <w:b w:val="0"/>
                <w:bCs/>
                <w:color w:val="auto"/>
                <w:sz w:val="22"/>
                <w:szCs w:val="22"/>
                <w:highlight w:val="none"/>
              </w:rPr>
              <w:t>。</w:t>
            </w:r>
          </w:p>
        </w:tc>
      </w:tr>
      <w:tr w14:paraId="4ED7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vMerge w:val="continue"/>
            <w:tcBorders>
              <w:top w:val="single" w:color="auto" w:sz="4" w:space="0"/>
              <w:left w:val="single" w:color="auto" w:sz="4" w:space="0"/>
              <w:right w:val="single" w:color="auto" w:sz="4" w:space="0"/>
            </w:tcBorders>
            <w:noWrap/>
            <w:vAlign w:val="center"/>
          </w:tcPr>
          <w:p w14:paraId="52D2FC87">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5566BB07">
            <w:pPr>
              <w:rPr>
                <w:color w:val="auto"/>
                <w:highlight w:val="none"/>
              </w:rPr>
            </w:pPr>
          </w:p>
        </w:tc>
        <w:tc>
          <w:tcPr>
            <w:tcW w:w="899" w:type="dxa"/>
            <w:tcBorders>
              <w:top w:val="single" w:color="auto" w:sz="4" w:space="0"/>
              <w:left w:val="single" w:color="auto" w:sz="4" w:space="0"/>
              <w:right w:val="single" w:color="auto" w:sz="4" w:space="0"/>
            </w:tcBorders>
            <w:noWrap/>
            <w:vAlign w:val="center"/>
          </w:tcPr>
          <w:p w14:paraId="38292A19">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3分</w:t>
            </w:r>
          </w:p>
        </w:tc>
        <w:tc>
          <w:tcPr>
            <w:tcW w:w="6676" w:type="dxa"/>
            <w:tcBorders>
              <w:top w:val="single" w:color="auto" w:sz="4" w:space="0"/>
              <w:left w:val="single" w:color="auto" w:sz="4" w:space="0"/>
              <w:right w:val="single" w:color="auto" w:sz="4" w:space="0"/>
            </w:tcBorders>
            <w:noWrap/>
            <w:vAlign w:val="center"/>
          </w:tcPr>
          <w:p w14:paraId="21424EDD">
            <w:pPr>
              <w:pStyle w:val="7"/>
              <w:keepNext w:val="0"/>
              <w:keepLines w:val="0"/>
              <w:pageBreakBefore w:val="0"/>
              <w:widowControl w:val="0"/>
              <w:kinsoku/>
              <w:wordWrap/>
              <w:overflowPunct/>
              <w:topLinePunct w:val="0"/>
              <w:bidi w:val="0"/>
              <w:spacing w:after="0" w:line="300" w:lineRule="exact"/>
              <w:textAlignment w:val="auto"/>
              <w:rPr>
                <w:rFonts w:hint="eastAsia" w:ascii="宋体" w:hAnsi="宋体" w:cs="宋体"/>
                <w:b/>
                <w:color w:val="auto"/>
                <w:kern w:val="28"/>
                <w:sz w:val="22"/>
                <w:szCs w:val="22"/>
                <w:highlight w:val="none"/>
              </w:rPr>
            </w:pPr>
            <w:r>
              <w:rPr>
                <w:rFonts w:hint="eastAsia" w:ascii="新宋体" w:hAnsi="新宋体" w:eastAsia="新宋体" w:cs="新宋体"/>
                <w:color w:val="auto"/>
                <w:sz w:val="22"/>
                <w:highlight w:val="none"/>
              </w:rPr>
              <w:t>供应商取得B级实验室证明的得</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分；取得C级实验室证明的得</w:t>
            </w:r>
            <w:r>
              <w:rPr>
                <w:rFonts w:hint="eastAsia" w:ascii="新宋体" w:hAnsi="新宋体" w:eastAsia="新宋体" w:cs="新宋体"/>
                <w:color w:val="auto"/>
                <w:sz w:val="22"/>
                <w:highlight w:val="none"/>
                <w:lang w:val="en-US" w:eastAsia="zh-CN"/>
              </w:rPr>
              <w:t>1</w:t>
            </w:r>
            <w:r>
              <w:rPr>
                <w:rFonts w:hint="eastAsia" w:ascii="新宋体" w:hAnsi="新宋体" w:eastAsia="新宋体" w:cs="新宋体"/>
                <w:color w:val="auto"/>
                <w:sz w:val="22"/>
                <w:highlight w:val="none"/>
              </w:rPr>
              <w:t>分；未建成数字化实验室的不得分；本项最高得</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分。</w:t>
            </w:r>
            <w:r>
              <w:rPr>
                <w:rFonts w:hint="eastAsia" w:ascii="新宋体" w:hAnsi="新宋体" w:eastAsia="新宋体" w:cs="新宋体"/>
                <w:b/>
                <w:bCs/>
                <w:color w:val="auto"/>
                <w:sz w:val="22"/>
                <w:highlight w:val="none"/>
              </w:rPr>
              <w:t>（须提供</w:t>
            </w:r>
            <w:r>
              <w:rPr>
                <w:rFonts w:hint="eastAsia" w:ascii="新宋体" w:hAnsi="新宋体" w:eastAsia="新宋体" w:cs="新宋体"/>
                <w:b/>
                <w:bCs/>
                <w:color w:val="auto"/>
                <w:sz w:val="22"/>
                <w:highlight w:val="none"/>
                <w:lang w:val="en-US" w:eastAsia="zh-CN"/>
              </w:rPr>
              <w:t>省级及以上市监</w:t>
            </w:r>
            <w:r>
              <w:rPr>
                <w:rFonts w:hint="eastAsia" w:ascii="新宋体" w:hAnsi="新宋体" w:eastAsia="新宋体" w:cs="新宋体"/>
                <w:b/>
                <w:bCs/>
                <w:color w:val="auto"/>
                <w:sz w:val="22"/>
                <w:highlight w:val="none"/>
              </w:rPr>
              <w:t>局抽检秘书处出具的相关证明材料原件扫描件，</w:t>
            </w:r>
            <w:r>
              <w:rPr>
                <w:rFonts w:hint="eastAsia" w:ascii="新宋体" w:hAnsi="新宋体" w:eastAsia="新宋体" w:cs="新宋体"/>
                <w:b/>
                <w:bCs/>
                <w:color w:val="auto"/>
                <w:kern w:val="0"/>
                <w:sz w:val="22"/>
                <w:szCs w:val="22"/>
                <w:highlight w:val="none"/>
              </w:rPr>
              <w:t>未提供或不符合要求的不得分。</w:t>
            </w:r>
            <w:r>
              <w:rPr>
                <w:rFonts w:hint="eastAsia" w:ascii="新宋体" w:hAnsi="新宋体" w:eastAsia="新宋体" w:cs="新宋体"/>
                <w:b/>
                <w:bCs/>
                <w:color w:val="auto"/>
                <w:sz w:val="22"/>
                <w:highlight w:val="none"/>
              </w:rPr>
              <w:t>）</w:t>
            </w:r>
          </w:p>
        </w:tc>
      </w:tr>
      <w:tr w14:paraId="1EE6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547" w:type="dxa"/>
            <w:vMerge w:val="continue"/>
            <w:tcBorders>
              <w:top w:val="single" w:color="auto" w:sz="4" w:space="0"/>
              <w:left w:val="single" w:color="auto" w:sz="4" w:space="0"/>
              <w:right w:val="single" w:color="auto" w:sz="4" w:space="0"/>
            </w:tcBorders>
            <w:noWrap/>
            <w:vAlign w:val="center"/>
          </w:tcPr>
          <w:p w14:paraId="04C007C0">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1C6B7357">
            <w:pPr>
              <w:rPr>
                <w:color w:val="auto"/>
                <w:highlight w:val="none"/>
              </w:rPr>
            </w:pPr>
          </w:p>
        </w:tc>
        <w:tc>
          <w:tcPr>
            <w:tcW w:w="899" w:type="dxa"/>
            <w:tcBorders>
              <w:top w:val="single" w:color="auto" w:sz="4" w:space="0"/>
              <w:left w:val="single" w:color="auto" w:sz="4" w:space="0"/>
              <w:right w:val="single" w:color="auto" w:sz="4" w:space="0"/>
            </w:tcBorders>
            <w:noWrap/>
            <w:vAlign w:val="center"/>
          </w:tcPr>
          <w:p w14:paraId="529122DB">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8分</w:t>
            </w:r>
          </w:p>
        </w:tc>
        <w:tc>
          <w:tcPr>
            <w:tcW w:w="6676" w:type="dxa"/>
            <w:tcBorders>
              <w:top w:val="single" w:color="auto" w:sz="4" w:space="0"/>
              <w:left w:val="single" w:color="auto" w:sz="4" w:space="0"/>
              <w:right w:val="single" w:color="auto" w:sz="4" w:space="0"/>
            </w:tcBorders>
            <w:noWrap/>
            <w:vAlign w:val="center"/>
          </w:tcPr>
          <w:p w14:paraId="52122B08">
            <w:pPr>
              <w:keepNext w:val="0"/>
              <w:keepLines w:val="0"/>
              <w:pageBreakBefore w:val="0"/>
              <w:widowControl w:val="0"/>
              <w:kinsoku/>
              <w:wordWrap/>
              <w:overflowPunct/>
              <w:topLinePunct w:val="0"/>
              <w:bidi w:val="0"/>
              <w:spacing w:line="300" w:lineRule="exact"/>
              <w:ind w:left="0" w:firstLine="0"/>
              <w:jc w:val="left"/>
              <w:textAlignment w:val="auto"/>
              <w:rPr>
                <w:rFonts w:hint="eastAsia" w:ascii="宋体" w:hAnsi="宋体"/>
                <w:color w:val="auto"/>
                <w:kern w:val="0"/>
                <w:sz w:val="22"/>
                <w:highlight w:val="none"/>
              </w:rPr>
            </w:pPr>
            <w:r>
              <w:rPr>
                <w:rFonts w:hint="eastAsia" w:ascii="宋体" w:hAnsi="宋体" w:cs="宋体"/>
                <w:b w:val="0"/>
                <w:bCs/>
                <w:color w:val="auto"/>
                <w:kern w:val="28"/>
                <w:sz w:val="22"/>
                <w:szCs w:val="22"/>
                <w:highlight w:val="none"/>
                <w:lang w:eastAsia="zh-CN"/>
              </w:rPr>
              <w:t>供应商</w:t>
            </w:r>
            <w:r>
              <w:rPr>
                <w:rFonts w:hint="eastAsia" w:ascii="新宋体" w:hAnsi="新宋体" w:eastAsia="新宋体" w:cs="新宋体"/>
                <w:color w:val="auto"/>
                <w:sz w:val="22"/>
                <w:highlight w:val="none"/>
              </w:rPr>
              <w:t>CMA检测资质附表品种检测项目范围对</w:t>
            </w:r>
            <w:r>
              <w:rPr>
                <w:rFonts w:hint="eastAsia" w:ascii="宋体" w:hAnsi="宋体"/>
                <w:color w:val="auto"/>
                <w:kern w:val="0"/>
                <w:sz w:val="22"/>
                <w:highlight w:val="none"/>
              </w:rPr>
              <w:t>《食品安全监督抽检和风险监测实施细则（202</w:t>
            </w:r>
            <w:r>
              <w:rPr>
                <w:rFonts w:hint="eastAsia" w:ascii="宋体" w:hAnsi="宋体"/>
                <w:color w:val="auto"/>
                <w:kern w:val="0"/>
                <w:sz w:val="22"/>
                <w:highlight w:val="none"/>
                <w:lang w:val="en-US" w:eastAsia="zh-CN"/>
              </w:rPr>
              <w:t>4</w:t>
            </w:r>
            <w:r>
              <w:rPr>
                <w:rFonts w:hint="eastAsia" w:ascii="宋体" w:hAnsi="宋体"/>
                <w:color w:val="auto"/>
                <w:kern w:val="0"/>
                <w:sz w:val="22"/>
                <w:highlight w:val="none"/>
              </w:rPr>
              <w:t>年版）》的覆盖情况：针对项目的资质覆盖率9</w:t>
            </w:r>
            <w:r>
              <w:rPr>
                <w:rFonts w:hint="eastAsia" w:ascii="宋体" w:hAnsi="宋体"/>
                <w:color w:val="auto"/>
                <w:kern w:val="0"/>
                <w:sz w:val="22"/>
                <w:highlight w:val="none"/>
                <w:lang w:val="en-US" w:eastAsia="zh-CN"/>
              </w:rPr>
              <w:t>9</w:t>
            </w:r>
            <w:r>
              <w:rPr>
                <w:rFonts w:hint="eastAsia" w:ascii="宋体" w:hAnsi="宋体"/>
                <w:color w:val="auto"/>
                <w:kern w:val="0"/>
                <w:sz w:val="22"/>
                <w:highlight w:val="none"/>
              </w:rPr>
              <w:t>%以上得</w:t>
            </w:r>
            <w:r>
              <w:rPr>
                <w:rFonts w:hint="eastAsia" w:ascii="宋体" w:hAnsi="宋体"/>
                <w:color w:val="auto"/>
                <w:kern w:val="0"/>
                <w:sz w:val="22"/>
                <w:highlight w:val="none"/>
                <w:lang w:val="en-US" w:eastAsia="zh-CN"/>
              </w:rPr>
              <w:t>8</w:t>
            </w:r>
            <w:r>
              <w:rPr>
                <w:rFonts w:hint="eastAsia" w:ascii="宋体" w:hAnsi="宋体"/>
                <w:color w:val="auto"/>
                <w:kern w:val="0"/>
                <w:sz w:val="22"/>
                <w:highlight w:val="none"/>
              </w:rPr>
              <w:t>分，覆盖率95%以上得</w:t>
            </w:r>
            <w:r>
              <w:rPr>
                <w:rFonts w:hint="eastAsia" w:ascii="宋体" w:hAnsi="宋体"/>
                <w:color w:val="auto"/>
                <w:kern w:val="0"/>
                <w:sz w:val="22"/>
                <w:highlight w:val="none"/>
                <w:lang w:val="en-US" w:eastAsia="zh-CN"/>
              </w:rPr>
              <w:t>6</w:t>
            </w:r>
            <w:r>
              <w:rPr>
                <w:rFonts w:hint="eastAsia" w:ascii="宋体" w:hAnsi="宋体"/>
                <w:color w:val="auto"/>
                <w:kern w:val="0"/>
                <w:sz w:val="22"/>
                <w:highlight w:val="none"/>
              </w:rPr>
              <w:t>分，93%以上得</w:t>
            </w:r>
            <w:r>
              <w:rPr>
                <w:rFonts w:hint="eastAsia" w:ascii="宋体" w:hAnsi="宋体"/>
                <w:color w:val="auto"/>
                <w:kern w:val="0"/>
                <w:sz w:val="22"/>
                <w:highlight w:val="none"/>
                <w:lang w:val="en-US" w:eastAsia="zh-CN"/>
              </w:rPr>
              <w:t>4</w:t>
            </w:r>
            <w:r>
              <w:rPr>
                <w:rFonts w:hint="eastAsia" w:ascii="宋体" w:hAnsi="宋体"/>
                <w:color w:val="auto"/>
                <w:kern w:val="0"/>
                <w:sz w:val="22"/>
                <w:highlight w:val="none"/>
              </w:rPr>
              <w:t>分，90%以上的</w:t>
            </w:r>
            <w:r>
              <w:rPr>
                <w:rFonts w:hint="eastAsia" w:ascii="宋体" w:hAnsi="宋体"/>
                <w:color w:val="auto"/>
                <w:kern w:val="0"/>
                <w:sz w:val="22"/>
                <w:highlight w:val="none"/>
                <w:lang w:val="en-US" w:eastAsia="zh-CN"/>
              </w:rPr>
              <w:t>2</w:t>
            </w:r>
            <w:r>
              <w:rPr>
                <w:rFonts w:hint="eastAsia" w:ascii="宋体" w:hAnsi="宋体"/>
                <w:color w:val="auto"/>
                <w:kern w:val="0"/>
                <w:sz w:val="22"/>
                <w:highlight w:val="none"/>
              </w:rPr>
              <w:t>分，90%以下不得分。</w:t>
            </w:r>
          </w:p>
          <w:p w14:paraId="4FB71095">
            <w:pPr>
              <w:keepNext w:val="0"/>
              <w:keepLines w:val="0"/>
              <w:pageBreakBefore w:val="0"/>
              <w:widowControl w:val="0"/>
              <w:kinsoku/>
              <w:wordWrap/>
              <w:overflowPunct/>
              <w:topLinePunct w:val="0"/>
              <w:bidi w:val="0"/>
              <w:spacing w:line="300" w:lineRule="exact"/>
              <w:ind w:left="0" w:firstLine="0"/>
              <w:jc w:val="left"/>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b/>
                <w:bCs/>
                <w:color w:val="auto"/>
                <w:kern w:val="0"/>
                <w:sz w:val="22"/>
                <w:highlight w:val="none"/>
                <w:lang w:val="en-US" w:eastAsia="zh-CN"/>
              </w:rPr>
              <w:t>注：</w:t>
            </w:r>
            <w:r>
              <w:rPr>
                <w:rFonts w:hint="eastAsia" w:ascii="宋体" w:hAnsi="宋体"/>
                <w:b/>
                <w:bCs/>
                <w:color w:val="auto"/>
                <w:kern w:val="0"/>
                <w:sz w:val="22"/>
                <w:highlight w:val="none"/>
              </w:rPr>
              <w:t>须</w:t>
            </w:r>
            <w:r>
              <w:rPr>
                <w:rFonts w:hint="eastAsia" w:ascii="新宋体" w:hAnsi="新宋体" w:eastAsia="新宋体" w:cs="新宋体"/>
                <w:b/>
                <w:bCs/>
                <w:color w:val="auto"/>
                <w:sz w:val="22"/>
                <w:szCs w:val="22"/>
                <w:highlight w:val="none"/>
              </w:rPr>
              <w:t>提供CMA检测资质附表扫描件并标出相关检测项、页数及覆盖率供评委核查，未提供CMA资质附表的本项不得分，</w:t>
            </w:r>
            <w:r>
              <w:rPr>
                <w:rFonts w:hint="eastAsia" w:ascii="宋体" w:hAnsi="宋体"/>
                <w:b/>
                <w:bCs/>
                <w:color w:val="auto"/>
                <w:kern w:val="0"/>
                <w:sz w:val="22"/>
                <w:highlight w:val="none"/>
              </w:rPr>
              <w:t>供应商对其真实性负责。）</w:t>
            </w:r>
          </w:p>
        </w:tc>
      </w:tr>
      <w:tr w14:paraId="5C6B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547" w:type="dxa"/>
            <w:vMerge w:val="restart"/>
            <w:tcBorders>
              <w:top w:val="single" w:color="auto" w:sz="4" w:space="0"/>
              <w:left w:val="single" w:color="auto" w:sz="4" w:space="0"/>
              <w:right w:val="single" w:color="auto" w:sz="4" w:space="0"/>
            </w:tcBorders>
            <w:noWrap/>
            <w:vAlign w:val="center"/>
          </w:tcPr>
          <w:p w14:paraId="675194DA">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lang w:eastAsia="zh-CN"/>
              </w:rPr>
            </w:pPr>
            <w:r>
              <w:rPr>
                <w:rFonts w:hint="eastAsia" w:ascii="宋体" w:hAnsi="宋体" w:cs="宋体"/>
                <w:b w:val="0"/>
                <w:bCs/>
                <w:color w:val="auto"/>
                <w:kern w:val="28"/>
                <w:sz w:val="22"/>
                <w:szCs w:val="22"/>
                <w:highlight w:val="none"/>
                <w:lang w:val="en-US" w:eastAsia="zh-CN"/>
              </w:rPr>
              <w:t>3</w:t>
            </w:r>
          </w:p>
        </w:tc>
        <w:tc>
          <w:tcPr>
            <w:tcW w:w="1586" w:type="dxa"/>
            <w:vMerge w:val="restart"/>
            <w:tcBorders>
              <w:top w:val="single" w:color="auto" w:sz="4" w:space="0"/>
              <w:left w:val="single" w:color="auto" w:sz="4" w:space="0"/>
              <w:right w:val="single" w:color="auto" w:sz="4" w:space="0"/>
            </w:tcBorders>
            <w:noWrap/>
            <w:vAlign w:val="center"/>
          </w:tcPr>
          <w:p w14:paraId="69B2A538">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场地情况</w:t>
            </w:r>
          </w:p>
        </w:tc>
        <w:tc>
          <w:tcPr>
            <w:tcW w:w="899" w:type="dxa"/>
            <w:tcBorders>
              <w:top w:val="single" w:color="auto" w:sz="4" w:space="0"/>
              <w:left w:val="single" w:color="auto" w:sz="4" w:space="0"/>
              <w:right w:val="single" w:color="auto" w:sz="4" w:space="0"/>
            </w:tcBorders>
            <w:noWrap/>
            <w:vAlign w:val="center"/>
          </w:tcPr>
          <w:p w14:paraId="30CA663E">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-5分</w:t>
            </w:r>
          </w:p>
        </w:tc>
        <w:tc>
          <w:tcPr>
            <w:tcW w:w="6676" w:type="dxa"/>
            <w:tcBorders>
              <w:top w:val="single" w:color="auto" w:sz="4" w:space="0"/>
              <w:left w:val="single" w:color="auto" w:sz="4" w:space="0"/>
              <w:right w:val="single" w:color="auto" w:sz="4" w:space="0"/>
            </w:tcBorders>
            <w:noWrap/>
            <w:vAlign w:val="center"/>
          </w:tcPr>
          <w:p w14:paraId="6F2A5041">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cs="宋体"/>
                <w:b w:val="0"/>
                <w:bCs/>
                <w:color w:val="auto"/>
                <w:kern w:val="28"/>
                <w:sz w:val="22"/>
                <w:szCs w:val="22"/>
                <w:highlight w:val="none"/>
                <w:lang w:eastAsia="zh-CN"/>
              </w:rPr>
              <w:t>供应商</w:t>
            </w:r>
            <w:r>
              <w:rPr>
                <w:rFonts w:hint="eastAsia" w:ascii="宋体" w:hAnsi="宋体" w:eastAsia="宋体" w:cs="宋体"/>
                <w:b w:val="0"/>
                <w:bCs/>
                <w:color w:val="auto"/>
                <w:kern w:val="28"/>
                <w:sz w:val="22"/>
                <w:szCs w:val="22"/>
                <w:highlight w:val="none"/>
              </w:rPr>
              <w:t>具有独立的、固定的检测场地，实验室面积：</w:t>
            </w:r>
          </w:p>
          <w:p w14:paraId="63FB9870">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w:t>
            </w:r>
            <w:r>
              <w:rPr>
                <w:rFonts w:hint="eastAsia" w:ascii="宋体" w:hAnsi="宋体" w:cs="宋体"/>
                <w:b w:val="0"/>
                <w:bCs/>
                <w:color w:val="auto"/>
                <w:kern w:val="28"/>
                <w:sz w:val="22"/>
                <w:szCs w:val="22"/>
                <w:highlight w:val="none"/>
                <w:lang w:val="en-US" w:eastAsia="zh-CN"/>
              </w:rPr>
              <w:t>3</w:t>
            </w:r>
            <w:r>
              <w:rPr>
                <w:rFonts w:hint="eastAsia" w:ascii="宋体" w:hAnsi="宋体" w:eastAsia="宋体" w:cs="宋体"/>
                <w:b w:val="0"/>
                <w:bCs/>
                <w:color w:val="auto"/>
                <w:kern w:val="28"/>
                <w:sz w:val="22"/>
                <w:szCs w:val="22"/>
                <w:highlight w:val="none"/>
              </w:rPr>
              <w:t>000㎡以上得</w:t>
            </w:r>
            <w:r>
              <w:rPr>
                <w:rFonts w:hint="eastAsia" w:ascii="宋体" w:hAnsi="宋体" w:cs="宋体"/>
                <w:b w:val="0"/>
                <w:bCs/>
                <w:color w:val="auto"/>
                <w:kern w:val="28"/>
                <w:sz w:val="22"/>
                <w:szCs w:val="22"/>
                <w:highlight w:val="none"/>
                <w:lang w:val="en-US" w:eastAsia="zh-CN"/>
              </w:rPr>
              <w:t>5</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000㎡以上得</w:t>
            </w:r>
            <w:r>
              <w:rPr>
                <w:rFonts w:hint="eastAsia" w:ascii="宋体" w:hAnsi="宋体" w:cs="宋体"/>
                <w:b w:val="0"/>
                <w:bCs/>
                <w:color w:val="auto"/>
                <w:kern w:val="28"/>
                <w:sz w:val="22"/>
                <w:szCs w:val="22"/>
                <w:highlight w:val="none"/>
                <w:lang w:val="en-US" w:eastAsia="zh-CN"/>
              </w:rPr>
              <w:t>3</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000㎡以</w:t>
            </w:r>
            <w:r>
              <w:rPr>
                <w:rFonts w:hint="eastAsia" w:ascii="宋体" w:hAnsi="宋体" w:cs="宋体"/>
                <w:b w:val="0"/>
                <w:bCs/>
                <w:color w:val="auto"/>
                <w:kern w:val="28"/>
                <w:sz w:val="22"/>
                <w:szCs w:val="22"/>
                <w:highlight w:val="none"/>
                <w:lang w:eastAsia="zh-CN"/>
              </w:rPr>
              <w:t>下</w:t>
            </w:r>
            <w:r>
              <w:rPr>
                <w:rFonts w:hint="eastAsia" w:ascii="宋体" w:hAnsi="宋体" w:eastAsia="宋体" w:cs="宋体"/>
                <w:b w:val="0"/>
                <w:bCs/>
                <w:color w:val="auto"/>
                <w:kern w:val="28"/>
                <w:sz w:val="22"/>
                <w:szCs w:val="22"/>
                <w:highlight w:val="none"/>
              </w:rPr>
              <w:t>得</w:t>
            </w:r>
            <w:r>
              <w:rPr>
                <w:rFonts w:hint="eastAsia" w:ascii="宋体" w:hAnsi="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eastAsia="zh-CN"/>
              </w:rPr>
              <w:t>。最高得</w:t>
            </w:r>
            <w:r>
              <w:rPr>
                <w:rFonts w:hint="eastAsia" w:ascii="宋体" w:hAnsi="宋体" w:cs="宋体"/>
                <w:b w:val="0"/>
                <w:bCs/>
                <w:color w:val="auto"/>
                <w:kern w:val="28"/>
                <w:sz w:val="22"/>
                <w:szCs w:val="22"/>
                <w:highlight w:val="none"/>
                <w:lang w:val="en-US" w:eastAsia="zh-CN"/>
              </w:rPr>
              <w:t>5分。</w:t>
            </w:r>
          </w:p>
          <w:p w14:paraId="5B397D93">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bCs w:val="0"/>
                <w:color w:val="auto"/>
                <w:kern w:val="28"/>
                <w:sz w:val="22"/>
                <w:szCs w:val="22"/>
                <w:highlight w:val="none"/>
                <w:lang w:val="en-US" w:eastAsia="zh-CN"/>
              </w:rPr>
              <w:t>注：需提供相关证明材料，</w:t>
            </w:r>
            <w:r>
              <w:rPr>
                <w:rFonts w:hint="eastAsia" w:ascii="宋体" w:hAnsi="宋体"/>
                <w:b/>
                <w:bCs w:val="0"/>
                <w:color w:val="auto"/>
                <w:sz w:val="22"/>
                <w:szCs w:val="22"/>
                <w:highlight w:val="none"/>
              </w:rPr>
              <w:t>未提供或不符合要求或材料不能辨识</w:t>
            </w:r>
            <w:r>
              <w:rPr>
                <w:rFonts w:hint="eastAsia" w:ascii="宋体" w:hAnsi="宋体"/>
                <w:b/>
                <w:bCs w:val="0"/>
                <w:color w:val="auto"/>
                <w:sz w:val="22"/>
                <w:szCs w:val="22"/>
                <w:highlight w:val="none"/>
                <w:lang w:eastAsia="zh-CN"/>
              </w:rPr>
              <w:t>的</w:t>
            </w:r>
            <w:r>
              <w:rPr>
                <w:rFonts w:hint="eastAsia" w:ascii="宋体" w:hAnsi="宋体"/>
                <w:b/>
                <w:bCs w:val="0"/>
                <w:color w:val="auto"/>
                <w:sz w:val="22"/>
                <w:szCs w:val="22"/>
                <w:highlight w:val="none"/>
              </w:rPr>
              <w:t>不得分。</w:t>
            </w:r>
          </w:p>
        </w:tc>
      </w:tr>
      <w:tr w14:paraId="61CB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47" w:type="dxa"/>
            <w:vMerge w:val="continue"/>
            <w:tcBorders>
              <w:top w:val="single" w:color="auto" w:sz="4" w:space="0"/>
              <w:left w:val="single" w:color="auto" w:sz="4" w:space="0"/>
              <w:right w:val="single" w:color="auto" w:sz="4" w:space="0"/>
            </w:tcBorders>
            <w:noWrap/>
            <w:vAlign w:val="center"/>
          </w:tcPr>
          <w:p w14:paraId="0D1930EA">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659FE141">
            <w:pPr>
              <w:rPr>
                <w:color w:val="auto"/>
                <w:highlight w:val="none"/>
              </w:rPr>
            </w:pPr>
          </w:p>
        </w:tc>
        <w:tc>
          <w:tcPr>
            <w:tcW w:w="899" w:type="dxa"/>
            <w:tcBorders>
              <w:top w:val="single" w:color="auto" w:sz="4" w:space="0"/>
              <w:left w:val="single" w:color="auto" w:sz="4" w:space="0"/>
              <w:right w:val="single" w:color="auto" w:sz="4" w:space="0"/>
            </w:tcBorders>
            <w:noWrap/>
            <w:vAlign w:val="center"/>
          </w:tcPr>
          <w:p w14:paraId="53FAE0EA">
            <w:pPr>
              <w:keepNext w:val="0"/>
              <w:keepLines w:val="0"/>
              <w:pageBreakBefore w:val="0"/>
              <w:widowControl w:val="0"/>
              <w:kinsoku/>
              <w:wordWrap/>
              <w:overflowPunct/>
              <w:topLinePunct w:val="0"/>
              <w:bidi w:val="0"/>
              <w:spacing w:line="300" w:lineRule="exact"/>
              <w:ind w:right="3"/>
              <w:jc w:val="center"/>
              <w:textAlignment w:val="auto"/>
              <w:rPr>
                <w:rFonts w:hint="eastAsia" w:ascii="宋体" w:hAnsi="宋体" w:eastAsia="宋体" w:cs="宋体"/>
                <w:b w:val="0"/>
                <w:bCs/>
                <w:color w:val="auto"/>
                <w:kern w:val="28"/>
                <w:sz w:val="22"/>
                <w:szCs w:val="22"/>
                <w:highlight w:val="none"/>
                <w:lang w:eastAsia="zh-CN"/>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3分</w:t>
            </w:r>
          </w:p>
        </w:tc>
        <w:tc>
          <w:tcPr>
            <w:tcW w:w="6676" w:type="dxa"/>
            <w:tcBorders>
              <w:top w:val="single" w:color="auto" w:sz="4" w:space="0"/>
              <w:left w:val="single" w:color="auto" w:sz="4" w:space="0"/>
              <w:right w:val="single" w:color="auto" w:sz="4" w:space="0"/>
            </w:tcBorders>
            <w:noWrap/>
            <w:vAlign w:val="center"/>
          </w:tcPr>
          <w:p w14:paraId="1B45A656">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cs="宋体"/>
                <w:b w:val="0"/>
                <w:bCs/>
                <w:color w:val="auto"/>
                <w:kern w:val="28"/>
                <w:sz w:val="22"/>
                <w:szCs w:val="22"/>
                <w:highlight w:val="none"/>
                <w:lang w:eastAsia="zh-CN"/>
              </w:rPr>
              <w:t>供应商自建</w:t>
            </w:r>
            <w:r>
              <w:rPr>
                <w:rFonts w:hint="eastAsia" w:ascii="宋体" w:hAnsi="宋体" w:eastAsia="宋体" w:cs="宋体"/>
                <w:b w:val="0"/>
                <w:bCs/>
                <w:color w:val="auto"/>
                <w:kern w:val="28"/>
                <w:sz w:val="22"/>
                <w:szCs w:val="22"/>
                <w:highlight w:val="none"/>
              </w:rPr>
              <w:t>样品贮存冷库</w:t>
            </w:r>
            <w:r>
              <w:rPr>
                <w:rFonts w:hint="eastAsia" w:ascii="宋体" w:hAnsi="宋体" w:cs="宋体"/>
                <w:b w:val="0"/>
                <w:bCs/>
                <w:color w:val="auto"/>
                <w:kern w:val="28"/>
                <w:sz w:val="22"/>
                <w:szCs w:val="22"/>
                <w:highlight w:val="none"/>
                <w:lang w:val="en-US" w:eastAsia="zh-CN"/>
              </w:rPr>
              <w:t>且</w:t>
            </w:r>
            <w:r>
              <w:rPr>
                <w:rFonts w:ascii="Times New Roman" w:hAnsi="Times New Roman" w:eastAsia="宋体" w:cs="Times New Roman"/>
                <w:color w:val="auto"/>
                <w:sz w:val="22"/>
                <w:szCs w:val="22"/>
                <w:highlight w:val="none"/>
                <w:lang w:val="en-US" w:eastAsia="zh-CN"/>
              </w:rPr>
              <w:t>容积</w:t>
            </w:r>
            <w:r>
              <w:rPr>
                <w:rFonts w:hint="eastAsia" w:ascii="Times New Roman" w:hAnsi="Times New Roman" w:eastAsia="宋体" w:cs="Times New Roman"/>
                <w:color w:val="auto"/>
                <w:sz w:val="22"/>
                <w:szCs w:val="22"/>
                <w:highlight w:val="none"/>
                <w:lang w:val="en-US" w:eastAsia="zh-CN"/>
              </w:rPr>
              <w:t>在</w:t>
            </w:r>
            <w:r>
              <w:rPr>
                <w:rFonts w:ascii="Times New Roman" w:hAnsi="Times New Roman" w:eastAsia="宋体" w:cs="Times New Roman"/>
                <w:color w:val="auto"/>
                <w:sz w:val="22"/>
                <w:szCs w:val="22"/>
                <w:highlight w:val="none"/>
                <w:lang w:val="en-US" w:eastAsia="zh-CN"/>
              </w:rPr>
              <w:t>350立方米</w:t>
            </w:r>
            <w:r>
              <w:rPr>
                <w:rFonts w:hint="eastAsia" w:ascii="Times New Roman" w:hAnsi="Times New Roman" w:eastAsia="宋体" w:cs="Times New Roman"/>
                <w:color w:val="auto"/>
                <w:sz w:val="22"/>
                <w:szCs w:val="22"/>
                <w:highlight w:val="none"/>
                <w:lang w:val="en-US" w:eastAsia="zh-CN"/>
              </w:rPr>
              <w:t>及</w:t>
            </w:r>
            <w:r>
              <w:rPr>
                <w:rFonts w:ascii="Times New Roman" w:hAnsi="Times New Roman" w:eastAsia="宋体" w:cs="Times New Roman"/>
                <w:color w:val="auto"/>
                <w:sz w:val="22"/>
                <w:szCs w:val="22"/>
                <w:highlight w:val="none"/>
                <w:lang w:val="en-US" w:eastAsia="zh-CN"/>
              </w:rPr>
              <w:t>以上</w:t>
            </w:r>
            <w:r>
              <w:rPr>
                <w:rFonts w:hint="eastAsia" w:ascii="Times New Roman" w:hAnsi="Times New Roman" w:eastAsia="宋体" w:cs="Times New Roman"/>
                <w:color w:val="auto"/>
                <w:sz w:val="22"/>
                <w:szCs w:val="22"/>
                <w:highlight w:val="none"/>
                <w:lang w:val="en-US" w:eastAsia="zh-CN"/>
              </w:rPr>
              <w:t>的</w:t>
            </w:r>
            <w:r>
              <w:rPr>
                <w:rFonts w:hint="eastAsia" w:ascii="宋体" w:hAnsi="宋体" w:cs="宋体"/>
                <w:b w:val="0"/>
                <w:bCs/>
                <w:color w:val="auto"/>
                <w:kern w:val="28"/>
                <w:sz w:val="22"/>
                <w:szCs w:val="22"/>
                <w:highlight w:val="none"/>
                <w:lang w:eastAsia="zh-CN"/>
              </w:rPr>
              <w:t>得</w:t>
            </w:r>
            <w:r>
              <w:rPr>
                <w:rFonts w:hint="eastAsia" w:ascii="宋体" w:hAnsi="宋体" w:cs="宋体"/>
                <w:b w:val="0"/>
                <w:bCs/>
                <w:color w:val="auto"/>
                <w:kern w:val="28"/>
                <w:sz w:val="22"/>
                <w:szCs w:val="22"/>
                <w:highlight w:val="none"/>
                <w:lang w:val="en-US" w:eastAsia="zh-CN"/>
              </w:rPr>
              <w:t>3分，</w:t>
            </w:r>
            <w:r>
              <w:rPr>
                <w:rFonts w:hint="eastAsia" w:ascii="宋体" w:hAnsi="宋体" w:cs="宋体"/>
                <w:b w:val="0"/>
                <w:bCs/>
                <w:color w:val="auto"/>
                <w:kern w:val="28"/>
                <w:sz w:val="22"/>
                <w:szCs w:val="22"/>
                <w:highlight w:val="none"/>
                <w:lang w:eastAsia="zh-CN"/>
              </w:rPr>
              <w:t>租赁</w:t>
            </w:r>
            <w:r>
              <w:rPr>
                <w:rFonts w:hint="eastAsia" w:ascii="宋体" w:hAnsi="宋体" w:cs="宋体"/>
                <w:b w:val="0"/>
                <w:bCs/>
                <w:color w:val="auto"/>
                <w:kern w:val="28"/>
                <w:sz w:val="22"/>
                <w:szCs w:val="22"/>
                <w:highlight w:val="none"/>
                <w:lang w:val="en-US" w:eastAsia="zh-CN"/>
              </w:rPr>
              <w:t>冷库且</w:t>
            </w:r>
            <w:r>
              <w:rPr>
                <w:rFonts w:ascii="Times New Roman" w:hAnsi="Times New Roman" w:eastAsia="宋体" w:cs="Times New Roman"/>
                <w:color w:val="auto"/>
                <w:sz w:val="22"/>
                <w:szCs w:val="22"/>
                <w:highlight w:val="none"/>
                <w:lang w:val="en-US" w:eastAsia="zh-CN"/>
              </w:rPr>
              <w:t>容积</w:t>
            </w:r>
            <w:r>
              <w:rPr>
                <w:rFonts w:hint="eastAsia" w:ascii="Times New Roman" w:hAnsi="Times New Roman" w:eastAsia="宋体" w:cs="Times New Roman"/>
                <w:color w:val="auto"/>
                <w:sz w:val="22"/>
                <w:szCs w:val="22"/>
                <w:highlight w:val="none"/>
                <w:lang w:val="en-US" w:eastAsia="zh-CN"/>
              </w:rPr>
              <w:t>在</w:t>
            </w:r>
            <w:r>
              <w:rPr>
                <w:rFonts w:ascii="Times New Roman" w:hAnsi="Times New Roman" w:eastAsia="宋体" w:cs="Times New Roman"/>
                <w:color w:val="auto"/>
                <w:sz w:val="22"/>
                <w:szCs w:val="22"/>
                <w:highlight w:val="none"/>
                <w:lang w:val="en-US" w:eastAsia="zh-CN"/>
              </w:rPr>
              <w:t>350立方米</w:t>
            </w:r>
            <w:r>
              <w:rPr>
                <w:rFonts w:hint="eastAsia" w:ascii="Times New Roman" w:hAnsi="Times New Roman" w:eastAsia="宋体" w:cs="Times New Roman"/>
                <w:color w:val="auto"/>
                <w:sz w:val="22"/>
                <w:szCs w:val="22"/>
                <w:highlight w:val="none"/>
                <w:lang w:val="en-US" w:eastAsia="zh-CN"/>
              </w:rPr>
              <w:t>及</w:t>
            </w:r>
            <w:r>
              <w:rPr>
                <w:rFonts w:ascii="Times New Roman" w:hAnsi="Times New Roman" w:eastAsia="宋体" w:cs="Times New Roman"/>
                <w:color w:val="auto"/>
                <w:sz w:val="22"/>
                <w:szCs w:val="22"/>
                <w:highlight w:val="none"/>
                <w:lang w:val="en-US" w:eastAsia="zh-CN"/>
              </w:rPr>
              <w:t>以上</w:t>
            </w:r>
            <w:r>
              <w:rPr>
                <w:rFonts w:hint="eastAsia" w:ascii="Times New Roman" w:hAnsi="Times New Roman" w:eastAsia="宋体" w:cs="Times New Roman"/>
                <w:color w:val="auto"/>
                <w:sz w:val="22"/>
                <w:szCs w:val="22"/>
                <w:highlight w:val="none"/>
                <w:lang w:val="en-US" w:eastAsia="zh-CN"/>
              </w:rPr>
              <w:t>的</w:t>
            </w:r>
            <w:r>
              <w:rPr>
                <w:rFonts w:hint="eastAsia" w:ascii="宋体" w:hAnsi="宋体" w:cs="宋体"/>
                <w:b w:val="0"/>
                <w:bCs/>
                <w:color w:val="auto"/>
                <w:kern w:val="28"/>
                <w:sz w:val="22"/>
                <w:szCs w:val="22"/>
                <w:highlight w:val="none"/>
                <w:lang w:val="en-US" w:eastAsia="zh-CN"/>
              </w:rPr>
              <w:t>得1分，其它不得分。</w:t>
            </w:r>
          </w:p>
          <w:p w14:paraId="422C7F90">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bCs w:val="0"/>
                <w:color w:val="auto"/>
                <w:kern w:val="28"/>
                <w:sz w:val="22"/>
                <w:szCs w:val="22"/>
                <w:highlight w:val="none"/>
              </w:rPr>
              <w:t>注：</w:t>
            </w:r>
            <w:r>
              <w:rPr>
                <w:rFonts w:hint="eastAsia" w:ascii="宋体" w:hAnsi="宋体" w:cs="宋体"/>
                <w:b/>
                <w:bCs w:val="0"/>
                <w:color w:val="auto"/>
                <w:kern w:val="28"/>
                <w:sz w:val="22"/>
                <w:szCs w:val="22"/>
                <w:highlight w:val="none"/>
                <w:lang w:eastAsia="zh-CN"/>
              </w:rPr>
              <w:t>需提供冷库照片、</w:t>
            </w:r>
            <w:r>
              <w:rPr>
                <w:rFonts w:hint="eastAsia" w:ascii="宋体" w:hAnsi="宋体" w:cs="宋体"/>
                <w:b/>
                <w:bCs w:val="0"/>
                <w:color w:val="auto"/>
                <w:kern w:val="28"/>
                <w:sz w:val="22"/>
                <w:szCs w:val="22"/>
                <w:highlight w:val="none"/>
                <w:lang w:val="en-US" w:eastAsia="zh-CN"/>
              </w:rPr>
              <w:t>产权证明（</w:t>
            </w:r>
            <w:r>
              <w:rPr>
                <w:rFonts w:hint="eastAsia" w:ascii="宋体" w:hAnsi="宋体" w:cs="宋体"/>
                <w:b/>
                <w:bCs w:val="0"/>
                <w:color w:val="auto"/>
                <w:kern w:val="28"/>
                <w:sz w:val="22"/>
                <w:szCs w:val="22"/>
                <w:highlight w:val="none"/>
                <w:lang w:eastAsia="zh-CN"/>
              </w:rPr>
              <w:t>或租赁合同</w:t>
            </w:r>
            <w:r>
              <w:rPr>
                <w:rFonts w:hint="eastAsia" w:ascii="宋体" w:hAnsi="宋体" w:cs="宋体"/>
                <w:b/>
                <w:bCs w:val="0"/>
                <w:color w:val="auto"/>
                <w:kern w:val="28"/>
                <w:sz w:val="22"/>
                <w:szCs w:val="22"/>
                <w:highlight w:val="none"/>
                <w:lang w:val="en-US" w:eastAsia="zh-CN"/>
              </w:rPr>
              <w:t>及</w:t>
            </w:r>
            <w:r>
              <w:rPr>
                <w:rFonts w:hint="eastAsia" w:ascii="宋体" w:hAnsi="宋体" w:cs="宋体"/>
                <w:b/>
                <w:bCs w:val="0"/>
                <w:color w:val="auto"/>
                <w:kern w:val="28"/>
                <w:sz w:val="22"/>
                <w:szCs w:val="22"/>
                <w:highlight w:val="none"/>
                <w:lang w:eastAsia="zh-CN"/>
              </w:rPr>
              <w:t>租赁发票</w:t>
            </w:r>
            <w:r>
              <w:rPr>
                <w:rFonts w:hint="eastAsia" w:ascii="宋体" w:hAnsi="宋体" w:cs="宋体"/>
                <w:b/>
                <w:bCs w:val="0"/>
                <w:color w:val="auto"/>
                <w:kern w:val="28"/>
                <w:sz w:val="22"/>
                <w:szCs w:val="22"/>
                <w:highlight w:val="none"/>
                <w:lang w:val="en-US" w:eastAsia="zh-CN"/>
              </w:rPr>
              <w:t>）</w:t>
            </w:r>
            <w:r>
              <w:rPr>
                <w:rFonts w:hint="eastAsia" w:ascii="宋体" w:hAnsi="宋体" w:cs="宋体"/>
                <w:b/>
                <w:bCs w:val="0"/>
                <w:color w:val="auto"/>
                <w:kern w:val="28"/>
                <w:sz w:val="22"/>
                <w:szCs w:val="22"/>
                <w:highlight w:val="none"/>
                <w:lang w:eastAsia="zh-CN"/>
              </w:rPr>
              <w:t>等证明材料</w:t>
            </w:r>
          </w:p>
        </w:tc>
      </w:tr>
      <w:tr w14:paraId="3D0D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47" w:type="dxa"/>
            <w:tcBorders>
              <w:top w:val="single" w:color="auto" w:sz="4" w:space="0"/>
              <w:left w:val="single" w:color="auto" w:sz="4" w:space="0"/>
              <w:right w:val="single" w:color="auto" w:sz="4" w:space="0"/>
            </w:tcBorders>
            <w:noWrap/>
            <w:vAlign w:val="center"/>
          </w:tcPr>
          <w:p w14:paraId="66267E42">
            <w:pPr>
              <w:keepNext w:val="0"/>
              <w:keepLines w:val="0"/>
              <w:pageBreakBefore w:val="0"/>
              <w:widowControl w:val="0"/>
              <w:kinsoku/>
              <w:wordWrap/>
              <w:overflowPunct/>
              <w:topLinePunct w:val="0"/>
              <w:bidi w:val="0"/>
              <w:spacing w:line="300" w:lineRule="exact"/>
              <w:ind w:right="3"/>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4</w:t>
            </w:r>
          </w:p>
        </w:tc>
        <w:tc>
          <w:tcPr>
            <w:tcW w:w="1586" w:type="dxa"/>
            <w:tcBorders>
              <w:top w:val="single" w:color="auto" w:sz="4" w:space="0"/>
              <w:left w:val="single" w:color="auto" w:sz="4" w:space="0"/>
              <w:right w:val="single" w:color="auto" w:sz="4" w:space="0"/>
            </w:tcBorders>
            <w:noWrap/>
            <w:vAlign w:val="center"/>
          </w:tcPr>
          <w:p w14:paraId="40845486">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cs="宋体"/>
                <w:b w:val="0"/>
                <w:bCs/>
                <w:color w:val="auto"/>
                <w:kern w:val="28"/>
                <w:sz w:val="22"/>
                <w:szCs w:val="22"/>
                <w:highlight w:val="none"/>
                <w:lang w:val="en-US" w:eastAsia="zh-CN"/>
              </w:rPr>
              <w:t>项目</w:t>
            </w:r>
            <w:r>
              <w:rPr>
                <w:rFonts w:hint="eastAsia" w:ascii="宋体" w:hAnsi="宋体" w:eastAsia="宋体" w:cs="宋体"/>
                <w:b w:val="0"/>
                <w:bCs/>
                <w:color w:val="auto"/>
                <w:kern w:val="28"/>
                <w:sz w:val="22"/>
                <w:szCs w:val="22"/>
                <w:highlight w:val="none"/>
              </w:rPr>
              <w:t>业绩</w:t>
            </w:r>
          </w:p>
        </w:tc>
        <w:tc>
          <w:tcPr>
            <w:tcW w:w="899" w:type="dxa"/>
            <w:tcBorders>
              <w:top w:val="single" w:color="auto" w:sz="4" w:space="0"/>
              <w:left w:val="single" w:color="auto" w:sz="4" w:space="0"/>
              <w:right w:val="single" w:color="auto" w:sz="4" w:space="0"/>
            </w:tcBorders>
            <w:noWrap/>
            <w:vAlign w:val="center"/>
          </w:tcPr>
          <w:p w14:paraId="1753B5E3">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2分</w:t>
            </w:r>
          </w:p>
        </w:tc>
        <w:tc>
          <w:tcPr>
            <w:tcW w:w="6676" w:type="dxa"/>
            <w:tcBorders>
              <w:top w:val="single" w:color="auto" w:sz="4" w:space="0"/>
              <w:left w:val="single" w:color="auto" w:sz="4" w:space="0"/>
              <w:right w:val="single" w:color="auto" w:sz="4" w:space="0"/>
            </w:tcBorders>
            <w:noWrap/>
            <w:vAlign w:val="center"/>
          </w:tcPr>
          <w:p w14:paraId="309AD661">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lang w:eastAsia="zh-CN"/>
              </w:rPr>
            </w:pPr>
            <w:r>
              <w:rPr>
                <w:rFonts w:hint="eastAsia" w:ascii="宋体" w:hAnsi="宋体" w:cs="宋体"/>
                <w:b w:val="0"/>
                <w:bCs/>
                <w:color w:val="auto"/>
                <w:kern w:val="28"/>
                <w:sz w:val="22"/>
                <w:szCs w:val="22"/>
                <w:highlight w:val="none"/>
                <w:lang w:eastAsia="zh-CN"/>
              </w:rPr>
              <w:t>供应商</w:t>
            </w:r>
            <w:r>
              <w:rPr>
                <w:rFonts w:hint="eastAsia" w:ascii="宋体" w:hAnsi="宋体" w:eastAsia="宋体" w:cs="宋体"/>
                <w:b w:val="0"/>
                <w:bCs/>
                <w:color w:val="auto"/>
                <w:kern w:val="28"/>
                <w:sz w:val="22"/>
                <w:szCs w:val="22"/>
                <w:highlight w:val="none"/>
              </w:rPr>
              <w:t>承担过食品检测</w:t>
            </w:r>
            <w:r>
              <w:rPr>
                <w:rFonts w:hint="eastAsia" w:ascii="宋体" w:hAnsi="宋体" w:cs="宋体"/>
                <w:b w:val="0"/>
                <w:bCs/>
                <w:color w:val="auto"/>
                <w:kern w:val="28"/>
                <w:sz w:val="22"/>
                <w:szCs w:val="22"/>
                <w:highlight w:val="none"/>
                <w:lang w:val="en-US" w:eastAsia="zh-CN"/>
              </w:rPr>
              <w:t>项目</w:t>
            </w:r>
            <w:r>
              <w:rPr>
                <w:rFonts w:hint="eastAsia" w:ascii="宋体" w:hAnsi="宋体" w:eastAsia="宋体" w:cs="宋体"/>
                <w:b w:val="0"/>
                <w:bCs/>
                <w:color w:val="auto"/>
                <w:kern w:val="28"/>
                <w:sz w:val="22"/>
                <w:szCs w:val="22"/>
                <w:highlight w:val="none"/>
              </w:rPr>
              <w:t>业绩</w:t>
            </w:r>
            <w:r>
              <w:rPr>
                <w:rFonts w:hint="eastAsia" w:ascii="宋体" w:hAnsi="宋体" w:cs="宋体"/>
                <w:b w:val="0"/>
                <w:bCs/>
                <w:color w:val="auto"/>
                <w:kern w:val="28"/>
                <w:sz w:val="22"/>
                <w:szCs w:val="22"/>
                <w:highlight w:val="none"/>
                <w:lang w:val="en-US" w:eastAsia="zh-CN"/>
              </w:rPr>
              <w:t>且业主</w:t>
            </w:r>
            <w:r>
              <w:rPr>
                <w:rFonts w:hint="eastAsia" w:ascii="宋体" w:hAnsi="宋体" w:eastAsia="宋体" w:cs="宋体"/>
                <w:b w:val="0"/>
                <w:bCs/>
                <w:color w:val="auto"/>
                <w:kern w:val="28"/>
                <w:sz w:val="22"/>
                <w:szCs w:val="22"/>
                <w:highlight w:val="none"/>
              </w:rPr>
              <w:t>评价结果为满意或符合要求</w:t>
            </w:r>
            <w:r>
              <w:rPr>
                <w:rFonts w:hint="eastAsia" w:ascii="宋体" w:hAnsi="宋体" w:cs="宋体"/>
                <w:b w:val="0"/>
                <w:bCs/>
                <w:color w:val="auto"/>
                <w:kern w:val="28"/>
                <w:sz w:val="22"/>
                <w:szCs w:val="22"/>
                <w:highlight w:val="none"/>
                <w:lang w:val="en-US" w:eastAsia="zh-CN"/>
              </w:rPr>
              <w:t>的</w:t>
            </w:r>
            <w:r>
              <w:rPr>
                <w:rFonts w:hint="eastAsia" w:ascii="宋体" w:hAnsi="宋体" w:eastAsia="宋体" w:cs="宋体"/>
                <w:b w:val="0"/>
                <w:bCs/>
                <w:color w:val="auto"/>
                <w:kern w:val="28"/>
                <w:sz w:val="22"/>
                <w:szCs w:val="22"/>
                <w:highlight w:val="none"/>
              </w:rPr>
              <w:t>，每提供1个得</w:t>
            </w:r>
            <w:r>
              <w:rPr>
                <w:rFonts w:hint="eastAsia" w:ascii="宋体" w:hAnsi="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eastAsia="zh-CN"/>
              </w:rPr>
              <w:t>，最高得</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eastAsia="zh-CN"/>
              </w:rPr>
              <w:t>。</w:t>
            </w:r>
          </w:p>
          <w:p w14:paraId="3FB049B0">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cs="宋体"/>
                <w:b/>
                <w:bCs w:val="0"/>
                <w:strike w:val="0"/>
                <w:dstrike w:val="0"/>
                <w:color w:val="auto"/>
                <w:kern w:val="28"/>
                <w:sz w:val="22"/>
                <w:szCs w:val="22"/>
                <w:highlight w:val="none"/>
                <w:lang w:val="en-US" w:eastAsia="zh-CN"/>
              </w:rPr>
              <w:t>提供合同复印件及业主评价表。</w:t>
            </w:r>
          </w:p>
        </w:tc>
      </w:tr>
      <w:tr w14:paraId="0EEE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tcBorders>
              <w:top w:val="single" w:color="auto" w:sz="4" w:space="0"/>
              <w:left w:val="single" w:color="auto" w:sz="4" w:space="0"/>
              <w:right w:val="single" w:color="auto" w:sz="4" w:space="0"/>
            </w:tcBorders>
            <w:noWrap/>
            <w:vAlign w:val="center"/>
          </w:tcPr>
          <w:p w14:paraId="2D4737BC">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lang w:eastAsia="zh-CN"/>
              </w:rPr>
            </w:pPr>
            <w:r>
              <w:rPr>
                <w:rFonts w:hint="eastAsia" w:ascii="宋体" w:hAnsi="宋体" w:eastAsia="宋体" w:cs="宋体"/>
                <w:b w:val="0"/>
                <w:bCs/>
                <w:color w:val="auto"/>
                <w:kern w:val="28"/>
                <w:sz w:val="22"/>
                <w:szCs w:val="22"/>
                <w:highlight w:val="none"/>
                <w:lang w:val="en-US" w:eastAsia="zh-CN"/>
              </w:rPr>
              <w:t>5</w:t>
            </w:r>
          </w:p>
        </w:tc>
        <w:tc>
          <w:tcPr>
            <w:tcW w:w="1586" w:type="dxa"/>
            <w:tcBorders>
              <w:top w:val="single" w:color="auto" w:sz="4" w:space="0"/>
              <w:left w:val="single" w:color="auto" w:sz="4" w:space="0"/>
              <w:right w:val="single" w:color="auto" w:sz="4" w:space="0"/>
            </w:tcBorders>
            <w:noWrap/>
            <w:vAlign w:val="center"/>
          </w:tcPr>
          <w:p w14:paraId="75A6B53A">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服务</w:t>
            </w:r>
            <w:r>
              <w:rPr>
                <w:rFonts w:hint="eastAsia" w:ascii="宋体" w:hAnsi="宋体" w:cs="宋体"/>
                <w:b w:val="0"/>
                <w:bCs/>
                <w:color w:val="auto"/>
                <w:kern w:val="28"/>
                <w:sz w:val="22"/>
                <w:szCs w:val="22"/>
                <w:highlight w:val="none"/>
                <w:lang w:val="en-US" w:eastAsia="zh-CN"/>
              </w:rPr>
              <w:t>能力及</w:t>
            </w:r>
            <w:r>
              <w:rPr>
                <w:rFonts w:hint="eastAsia" w:ascii="宋体" w:hAnsi="宋体" w:eastAsia="宋体" w:cs="宋体"/>
                <w:b w:val="0"/>
                <w:bCs/>
                <w:color w:val="auto"/>
                <w:kern w:val="28"/>
                <w:sz w:val="22"/>
                <w:szCs w:val="22"/>
                <w:highlight w:val="none"/>
              </w:rPr>
              <w:t>方案</w:t>
            </w:r>
          </w:p>
        </w:tc>
        <w:tc>
          <w:tcPr>
            <w:tcW w:w="899" w:type="dxa"/>
            <w:tcBorders>
              <w:top w:val="single" w:color="auto" w:sz="4" w:space="0"/>
              <w:left w:val="single" w:color="auto" w:sz="4" w:space="0"/>
              <w:right w:val="single" w:color="auto" w:sz="4" w:space="0"/>
            </w:tcBorders>
            <w:noWrap/>
            <w:vAlign w:val="center"/>
          </w:tcPr>
          <w:p w14:paraId="05D72285">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18分</w:t>
            </w:r>
          </w:p>
          <w:p w14:paraId="33AFC3BF">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rPr>
            </w:pPr>
          </w:p>
        </w:tc>
        <w:tc>
          <w:tcPr>
            <w:tcW w:w="6676" w:type="dxa"/>
            <w:tcBorders>
              <w:top w:val="single" w:color="auto" w:sz="4" w:space="0"/>
              <w:left w:val="single" w:color="auto" w:sz="4" w:space="0"/>
              <w:right w:val="single" w:color="auto" w:sz="4" w:space="0"/>
            </w:tcBorders>
            <w:noWrap/>
            <w:vAlign w:val="center"/>
          </w:tcPr>
          <w:p w14:paraId="5509BF64">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根据</w:t>
            </w:r>
            <w:r>
              <w:rPr>
                <w:rFonts w:hint="eastAsia" w:ascii="宋体" w:hAnsi="宋体" w:cs="宋体"/>
                <w:b w:val="0"/>
                <w:bCs/>
                <w:color w:val="auto"/>
                <w:kern w:val="28"/>
                <w:sz w:val="22"/>
                <w:szCs w:val="22"/>
                <w:highlight w:val="none"/>
                <w:lang w:eastAsia="zh-CN"/>
              </w:rPr>
              <w:t>供应商</w:t>
            </w:r>
            <w:r>
              <w:rPr>
                <w:rFonts w:hint="eastAsia" w:ascii="宋体" w:hAnsi="宋体" w:eastAsia="宋体" w:cs="宋体"/>
                <w:b w:val="0"/>
                <w:bCs/>
                <w:color w:val="auto"/>
                <w:kern w:val="28"/>
                <w:sz w:val="22"/>
                <w:szCs w:val="22"/>
                <w:highlight w:val="none"/>
              </w:rPr>
              <w:t>的项目实施方案合理性、科学性、全面性等情况：</w:t>
            </w:r>
          </w:p>
          <w:p w14:paraId="7154DC62">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1.工作机制、工作计划（抽检计划安排、时间安排、抽检人员及设备安排、年度总体工作进度安排等）</w:t>
            </w:r>
            <w:r>
              <w:rPr>
                <w:rFonts w:hint="eastAsia" w:ascii="宋体" w:hAnsi="宋体" w:cs="宋体"/>
                <w:b w:val="0"/>
                <w:bCs/>
                <w:color w:val="auto"/>
                <w:kern w:val="28"/>
                <w:sz w:val="22"/>
                <w:szCs w:val="22"/>
                <w:highlight w:val="none"/>
                <w:lang w:eastAsia="zh-CN"/>
              </w:rPr>
              <w:t>，</w:t>
            </w:r>
            <w:r>
              <w:rPr>
                <w:rFonts w:hint="eastAsia" w:ascii="宋体" w:hAnsi="宋体"/>
                <w:b w:val="0"/>
                <w:bCs/>
                <w:color w:val="auto"/>
                <w:sz w:val="22"/>
                <w:szCs w:val="22"/>
                <w:highlight w:val="none"/>
              </w:rPr>
              <w:t>由评委综合打分</w:t>
            </w:r>
            <w:r>
              <w:rPr>
                <w:rFonts w:hint="eastAsia" w:ascii="宋体" w:hAnsi="宋体" w:cs="宋体"/>
                <w:color w:val="auto"/>
                <w:sz w:val="22"/>
                <w:szCs w:val="22"/>
                <w:highlight w:val="none"/>
              </w:rPr>
              <w:t>，</w:t>
            </w:r>
            <w:r>
              <w:rPr>
                <w:rFonts w:hint="eastAsia" w:ascii="宋体" w:hAnsi="宋体"/>
                <w:color w:val="auto"/>
                <w:sz w:val="22"/>
                <w:szCs w:val="22"/>
                <w:highlight w:val="none"/>
                <w:lang w:val="en-US" w:eastAsia="zh-CN"/>
              </w:rPr>
              <w:t>评分范围5,4，3，2，1，0</w:t>
            </w:r>
            <w:r>
              <w:rPr>
                <w:rFonts w:hint="eastAsia" w:ascii="宋体" w:hAnsi="宋体"/>
                <w:b w:val="0"/>
                <w:bCs/>
                <w:color w:val="auto"/>
                <w:sz w:val="22"/>
                <w:szCs w:val="22"/>
                <w:highlight w:val="none"/>
                <w:lang w:eastAsia="zh-CN"/>
              </w:rPr>
              <w:t>。</w:t>
            </w:r>
          </w:p>
          <w:p w14:paraId="11E0E33A">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2.具体流程、各工作环节重点</w:t>
            </w:r>
            <w:r>
              <w:rPr>
                <w:rFonts w:hint="eastAsia" w:ascii="宋体" w:hAnsi="宋体" w:cs="宋体"/>
                <w:b w:val="0"/>
                <w:bCs/>
                <w:color w:val="auto"/>
                <w:kern w:val="28"/>
                <w:sz w:val="22"/>
                <w:szCs w:val="22"/>
                <w:highlight w:val="none"/>
                <w:lang w:eastAsia="zh-CN"/>
              </w:rPr>
              <w:t>，</w:t>
            </w:r>
            <w:r>
              <w:rPr>
                <w:rFonts w:hint="eastAsia" w:ascii="宋体" w:hAnsi="宋体"/>
                <w:b w:val="0"/>
                <w:bCs/>
                <w:color w:val="auto"/>
                <w:sz w:val="22"/>
                <w:szCs w:val="22"/>
                <w:highlight w:val="none"/>
              </w:rPr>
              <w:t>由评委综合打分</w:t>
            </w:r>
            <w:r>
              <w:rPr>
                <w:rFonts w:hint="eastAsia" w:ascii="宋体" w:hAnsi="宋体" w:cs="宋体"/>
                <w:color w:val="auto"/>
                <w:sz w:val="22"/>
                <w:szCs w:val="22"/>
                <w:highlight w:val="none"/>
              </w:rPr>
              <w:t>，</w:t>
            </w:r>
            <w:r>
              <w:rPr>
                <w:rFonts w:hint="eastAsia" w:ascii="宋体" w:hAnsi="宋体"/>
                <w:color w:val="auto"/>
                <w:sz w:val="22"/>
                <w:szCs w:val="22"/>
                <w:highlight w:val="none"/>
                <w:lang w:val="en-US" w:eastAsia="zh-CN"/>
              </w:rPr>
              <w:t>评分范围,4，3，2，1，0</w:t>
            </w:r>
            <w:r>
              <w:rPr>
                <w:rFonts w:hint="eastAsia" w:ascii="宋体" w:hAnsi="宋体"/>
                <w:b w:val="0"/>
                <w:bCs/>
                <w:color w:val="auto"/>
                <w:sz w:val="22"/>
                <w:szCs w:val="22"/>
                <w:highlight w:val="none"/>
                <w:lang w:eastAsia="zh-CN"/>
              </w:rPr>
              <w:t>。</w:t>
            </w:r>
          </w:p>
          <w:p w14:paraId="437905E4">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3.抽检分离（配合辅助执法人员抽样）方案</w:t>
            </w:r>
            <w:r>
              <w:rPr>
                <w:rFonts w:hint="eastAsia" w:ascii="宋体" w:hAnsi="宋体" w:cs="宋体"/>
                <w:b w:val="0"/>
                <w:bCs/>
                <w:color w:val="auto"/>
                <w:kern w:val="28"/>
                <w:sz w:val="22"/>
                <w:szCs w:val="22"/>
                <w:highlight w:val="none"/>
                <w:lang w:eastAsia="zh-CN"/>
              </w:rPr>
              <w:t>，</w:t>
            </w:r>
            <w:r>
              <w:rPr>
                <w:rFonts w:hint="eastAsia" w:ascii="宋体" w:hAnsi="宋体"/>
                <w:b w:val="0"/>
                <w:bCs/>
                <w:color w:val="auto"/>
                <w:sz w:val="22"/>
                <w:szCs w:val="22"/>
                <w:highlight w:val="none"/>
              </w:rPr>
              <w:t>由评委综合打分</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评分范围3，2，1，0</w:t>
            </w:r>
            <w:r>
              <w:rPr>
                <w:rFonts w:hint="eastAsia" w:ascii="宋体" w:hAnsi="宋体"/>
                <w:b w:val="0"/>
                <w:bCs/>
                <w:color w:val="auto"/>
                <w:sz w:val="22"/>
                <w:szCs w:val="22"/>
                <w:highlight w:val="none"/>
                <w:lang w:eastAsia="zh-CN"/>
              </w:rPr>
              <w:t>。</w:t>
            </w:r>
          </w:p>
          <w:p w14:paraId="0CACB29A">
            <w:pPr>
              <w:keepNext w:val="0"/>
              <w:keepLines w:val="0"/>
              <w:pageBreakBefore w:val="0"/>
              <w:widowControl w:val="0"/>
              <w:kinsoku/>
              <w:wordWrap/>
              <w:overflowPunct/>
              <w:topLinePunct w:val="0"/>
              <w:bidi w:val="0"/>
              <w:spacing w:line="300" w:lineRule="exact"/>
              <w:jc w:val="left"/>
              <w:textAlignment w:val="auto"/>
              <w:rPr>
                <w:rFonts w:hint="eastAsia" w:ascii="宋体" w:hAnsi="宋体"/>
                <w:b w:val="0"/>
                <w:bCs/>
                <w:color w:val="auto"/>
                <w:sz w:val="22"/>
                <w:szCs w:val="22"/>
                <w:highlight w:val="none"/>
                <w:lang w:eastAsia="zh-CN"/>
              </w:rPr>
            </w:pPr>
            <w:r>
              <w:rPr>
                <w:rFonts w:hint="eastAsia" w:ascii="宋体" w:hAnsi="宋体" w:eastAsia="宋体" w:cs="宋体"/>
                <w:b w:val="0"/>
                <w:bCs/>
                <w:color w:val="auto"/>
                <w:kern w:val="28"/>
                <w:sz w:val="22"/>
                <w:szCs w:val="22"/>
                <w:highlight w:val="none"/>
              </w:rPr>
              <w:t>4.数据信息报送、技术支撑响应等</w:t>
            </w:r>
            <w:r>
              <w:rPr>
                <w:rFonts w:hint="eastAsia" w:ascii="宋体" w:hAnsi="宋体" w:cs="宋体"/>
                <w:b w:val="0"/>
                <w:bCs/>
                <w:color w:val="auto"/>
                <w:kern w:val="28"/>
                <w:sz w:val="22"/>
                <w:szCs w:val="22"/>
                <w:highlight w:val="none"/>
                <w:lang w:eastAsia="zh-CN"/>
              </w:rPr>
              <w:t>，</w:t>
            </w:r>
            <w:r>
              <w:rPr>
                <w:rFonts w:hint="eastAsia" w:ascii="宋体" w:hAnsi="宋体"/>
                <w:b w:val="0"/>
                <w:bCs/>
                <w:color w:val="auto"/>
                <w:sz w:val="22"/>
                <w:szCs w:val="22"/>
                <w:highlight w:val="none"/>
              </w:rPr>
              <w:t>由评委综合打分</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评分范围,3，2，1，0</w:t>
            </w:r>
            <w:r>
              <w:rPr>
                <w:rFonts w:hint="eastAsia" w:ascii="宋体" w:hAnsi="宋体"/>
                <w:b w:val="0"/>
                <w:bCs/>
                <w:color w:val="auto"/>
                <w:sz w:val="22"/>
                <w:szCs w:val="22"/>
                <w:highlight w:val="none"/>
                <w:lang w:eastAsia="zh-CN"/>
              </w:rPr>
              <w:t>。</w:t>
            </w:r>
          </w:p>
          <w:p w14:paraId="1F734B40">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新宋体" w:hAnsi="新宋体" w:eastAsia="新宋体" w:cs="新宋体"/>
                <w:b w:val="0"/>
                <w:bCs/>
                <w:color w:val="auto"/>
                <w:sz w:val="22"/>
                <w:szCs w:val="22"/>
                <w:highlight w:val="none"/>
                <w:lang w:val="en-US" w:eastAsia="zh-CN"/>
              </w:rPr>
              <w:t>5.供应商对于</w:t>
            </w:r>
            <w:r>
              <w:rPr>
                <w:rFonts w:hint="eastAsia" w:ascii="新宋体" w:hAnsi="新宋体" w:eastAsia="新宋体" w:cs="新宋体"/>
                <w:b w:val="0"/>
                <w:bCs/>
                <w:color w:val="auto"/>
                <w:sz w:val="22"/>
                <w:szCs w:val="22"/>
                <w:highlight w:val="none"/>
                <w:lang w:eastAsia="zh-CN"/>
              </w:rPr>
              <w:t>流通环节食品市场的熟悉情况及食品安全现状了解程度，结合其相关服务经验及自身服务优势等情况，由评委综合打分，</w:t>
            </w:r>
            <w:r>
              <w:rPr>
                <w:rFonts w:hint="eastAsia" w:ascii="宋体" w:hAnsi="宋体"/>
                <w:color w:val="auto"/>
                <w:sz w:val="22"/>
                <w:szCs w:val="22"/>
                <w:highlight w:val="none"/>
                <w:lang w:val="en-US" w:eastAsia="zh-CN"/>
              </w:rPr>
              <w:t>评分范围，3，2，1，0</w:t>
            </w:r>
            <w:r>
              <w:rPr>
                <w:rFonts w:hint="eastAsia" w:ascii="宋体" w:hAnsi="宋体"/>
                <w:b w:val="0"/>
                <w:bCs/>
                <w:color w:val="auto"/>
                <w:sz w:val="22"/>
                <w:szCs w:val="22"/>
                <w:highlight w:val="none"/>
                <w:lang w:eastAsia="zh-CN"/>
              </w:rPr>
              <w:t>。</w:t>
            </w:r>
          </w:p>
        </w:tc>
      </w:tr>
      <w:tr w14:paraId="64F8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47" w:type="dxa"/>
            <w:tcBorders>
              <w:top w:val="single" w:color="auto" w:sz="4" w:space="0"/>
              <w:left w:val="single" w:color="auto" w:sz="4" w:space="0"/>
              <w:right w:val="single" w:color="auto" w:sz="4" w:space="0"/>
            </w:tcBorders>
            <w:noWrap/>
            <w:vAlign w:val="center"/>
          </w:tcPr>
          <w:p w14:paraId="5D34B8E4">
            <w:pPr>
              <w:keepNext w:val="0"/>
              <w:keepLines w:val="0"/>
              <w:pageBreakBefore w:val="0"/>
              <w:widowControl w:val="0"/>
              <w:kinsoku/>
              <w:wordWrap/>
              <w:overflowPunct/>
              <w:topLinePunct w:val="0"/>
              <w:bidi w:val="0"/>
              <w:spacing w:line="300" w:lineRule="exact"/>
              <w:ind w:right="3"/>
              <w:jc w:val="center"/>
              <w:textAlignment w:val="auto"/>
              <w:rPr>
                <w:rFonts w:hint="eastAsia" w:ascii="宋体" w:hAnsi="宋体" w:eastAsia="宋体" w:cs="宋体"/>
                <w:b w:val="0"/>
                <w:bCs/>
                <w:color w:val="auto"/>
                <w:kern w:val="28"/>
                <w:sz w:val="22"/>
                <w:szCs w:val="22"/>
                <w:highlight w:val="none"/>
                <w:lang w:eastAsia="zh-CN"/>
              </w:rPr>
            </w:pPr>
            <w:r>
              <w:rPr>
                <w:rFonts w:hint="eastAsia" w:ascii="宋体" w:hAnsi="宋体" w:eastAsia="宋体" w:cs="宋体"/>
                <w:b w:val="0"/>
                <w:bCs/>
                <w:color w:val="auto"/>
                <w:kern w:val="28"/>
                <w:sz w:val="22"/>
                <w:szCs w:val="22"/>
                <w:highlight w:val="none"/>
                <w:lang w:val="en-US" w:eastAsia="zh-CN"/>
              </w:rPr>
              <w:t>6</w:t>
            </w:r>
          </w:p>
        </w:tc>
        <w:tc>
          <w:tcPr>
            <w:tcW w:w="1586" w:type="dxa"/>
            <w:tcBorders>
              <w:top w:val="single" w:color="auto" w:sz="4" w:space="0"/>
              <w:left w:val="single" w:color="auto" w:sz="4" w:space="0"/>
              <w:right w:val="single" w:color="auto" w:sz="4" w:space="0"/>
            </w:tcBorders>
            <w:noWrap/>
            <w:vAlign w:val="center"/>
          </w:tcPr>
          <w:p w14:paraId="2212187E">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人员情况</w:t>
            </w:r>
          </w:p>
        </w:tc>
        <w:tc>
          <w:tcPr>
            <w:tcW w:w="899" w:type="dxa"/>
            <w:tcBorders>
              <w:top w:val="single" w:color="auto" w:sz="4" w:space="0"/>
              <w:left w:val="single" w:color="auto" w:sz="4" w:space="0"/>
              <w:right w:val="single" w:color="auto" w:sz="4" w:space="0"/>
            </w:tcBorders>
            <w:noWrap/>
            <w:vAlign w:val="center"/>
          </w:tcPr>
          <w:p w14:paraId="328DBFD9">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17分</w:t>
            </w:r>
          </w:p>
        </w:tc>
        <w:tc>
          <w:tcPr>
            <w:tcW w:w="6676" w:type="dxa"/>
            <w:tcBorders>
              <w:top w:val="single" w:color="auto" w:sz="4" w:space="0"/>
              <w:left w:val="single" w:color="auto" w:sz="4" w:space="0"/>
              <w:right w:val="single" w:color="auto" w:sz="4" w:space="0"/>
            </w:tcBorders>
            <w:noWrap/>
            <w:vAlign w:val="center"/>
          </w:tcPr>
          <w:p w14:paraId="0254C169">
            <w:pPr>
              <w:keepNext w:val="0"/>
              <w:keepLines w:val="0"/>
              <w:pageBreakBefore w:val="0"/>
              <w:widowControl w:val="0"/>
              <w:kinsoku/>
              <w:wordWrap/>
              <w:overflowPunct/>
              <w:topLinePunct w:val="0"/>
              <w:bidi w:val="0"/>
              <w:spacing w:line="300" w:lineRule="exact"/>
              <w:ind w:left="-50"/>
              <w:textAlignment w:val="auto"/>
              <w:rPr>
                <w:rFonts w:hint="eastAsia" w:ascii="宋体" w:hAnsi="宋体" w:eastAsia="新宋体" w:cs="宋体"/>
                <w:b w:val="0"/>
                <w:bCs/>
                <w:color w:val="auto"/>
                <w:kern w:val="28"/>
                <w:sz w:val="22"/>
                <w:szCs w:val="22"/>
                <w:highlight w:val="none"/>
                <w:lang w:eastAsia="zh-CN"/>
              </w:rPr>
            </w:pPr>
            <w:r>
              <w:rPr>
                <w:rFonts w:hint="eastAsia" w:ascii="宋体" w:hAnsi="宋体" w:eastAsia="宋体" w:cs="宋体"/>
                <w:b w:val="0"/>
                <w:bCs/>
                <w:color w:val="auto"/>
                <w:kern w:val="28"/>
                <w:sz w:val="22"/>
                <w:szCs w:val="22"/>
                <w:highlight w:val="none"/>
              </w:rPr>
              <w:t>1.项目负责人</w:t>
            </w:r>
            <w:r>
              <w:rPr>
                <w:rFonts w:hint="eastAsia" w:ascii="新宋体" w:hAnsi="新宋体" w:eastAsia="新宋体" w:cs="新宋体"/>
                <w:b w:val="0"/>
                <w:bCs/>
                <w:color w:val="auto"/>
                <w:sz w:val="22"/>
                <w:szCs w:val="22"/>
                <w:highlight w:val="none"/>
              </w:rPr>
              <w:t>具有高级</w:t>
            </w:r>
            <w:r>
              <w:rPr>
                <w:rFonts w:hint="eastAsia" w:ascii="新宋体" w:hAnsi="新宋体" w:eastAsia="新宋体" w:cs="新宋体"/>
                <w:b w:val="0"/>
                <w:bCs/>
                <w:color w:val="auto"/>
                <w:sz w:val="22"/>
                <w:szCs w:val="22"/>
                <w:highlight w:val="none"/>
                <w:lang w:val="en-US" w:eastAsia="zh-CN"/>
              </w:rPr>
              <w:t>及以上</w:t>
            </w:r>
            <w:r>
              <w:rPr>
                <w:rFonts w:hint="eastAsia" w:ascii="新宋体" w:hAnsi="新宋体" w:eastAsia="新宋体" w:cs="新宋体"/>
                <w:b w:val="0"/>
                <w:bCs/>
                <w:color w:val="auto"/>
                <w:sz w:val="22"/>
                <w:szCs w:val="22"/>
                <w:highlight w:val="none"/>
              </w:rPr>
              <w:t>职称得</w:t>
            </w:r>
            <w:r>
              <w:rPr>
                <w:rFonts w:ascii="新宋体" w:hAnsi="新宋体" w:eastAsia="新宋体" w:cs="新宋体"/>
                <w:b w:val="0"/>
                <w:bCs/>
                <w:color w:val="auto"/>
                <w:sz w:val="22"/>
                <w:szCs w:val="22"/>
                <w:highlight w:val="none"/>
              </w:rPr>
              <w:t>2</w:t>
            </w:r>
            <w:r>
              <w:rPr>
                <w:rFonts w:hint="eastAsia" w:ascii="新宋体" w:hAnsi="新宋体" w:eastAsia="新宋体" w:cs="新宋体"/>
                <w:b w:val="0"/>
                <w:bCs/>
                <w:color w:val="auto"/>
                <w:sz w:val="22"/>
                <w:szCs w:val="22"/>
                <w:highlight w:val="none"/>
              </w:rPr>
              <w:t>分</w:t>
            </w:r>
            <w:r>
              <w:rPr>
                <w:rFonts w:hint="eastAsia" w:ascii="新宋体" w:hAnsi="新宋体" w:eastAsia="新宋体" w:cs="新宋体"/>
                <w:bCs/>
                <w:color w:val="auto"/>
                <w:sz w:val="22"/>
                <w:szCs w:val="22"/>
                <w:highlight w:val="none"/>
                <w:lang w:eastAsia="zh-CN"/>
              </w:rPr>
              <w:t>。</w:t>
            </w:r>
          </w:p>
          <w:p w14:paraId="039A1276">
            <w:pPr>
              <w:keepNext w:val="0"/>
              <w:keepLines w:val="0"/>
              <w:pageBreakBefore w:val="0"/>
              <w:widowControl w:val="0"/>
              <w:kinsoku/>
              <w:wordWrap/>
              <w:overflowPunct/>
              <w:topLinePunct w:val="0"/>
              <w:bidi w:val="0"/>
              <w:spacing w:line="300" w:lineRule="exact"/>
              <w:ind w:left="-50"/>
              <w:textAlignment w:val="auto"/>
              <w:rPr>
                <w:rFonts w:hint="eastAsia" w:ascii="宋体" w:hAnsi="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2.检测人员</w:t>
            </w:r>
            <w:r>
              <w:rPr>
                <w:rFonts w:hint="eastAsia" w:ascii="新宋体" w:hAnsi="新宋体" w:eastAsia="新宋体" w:cs="新宋体"/>
                <w:b w:val="0"/>
                <w:bCs/>
                <w:color w:val="auto"/>
                <w:sz w:val="22"/>
                <w:szCs w:val="22"/>
                <w:highlight w:val="none"/>
              </w:rPr>
              <w:t>具有</w:t>
            </w:r>
            <w:r>
              <w:rPr>
                <w:rFonts w:hint="eastAsia" w:ascii="宋体" w:hAnsi="宋体" w:eastAsia="宋体" w:cs="宋体"/>
                <w:b w:val="0"/>
                <w:bCs/>
                <w:color w:val="auto"/>
                <w:kern w:val="28"/>
                <w:sz w:val="22"/>
                <w:szCs w:val="22"/>
                <w:highlight w:val="none"/>
              </w:rPr>
              <w:t>高级职称人员数量</w:t>
            </w:r>
            <w:r>
              <w:rPr>
                <w:rFonts w:hint="eastAsia" w:ascii="宋体" w:hAnsi="宋体" w:cs="宋体"/>
                <w:b w:val="0"/>
                <w:bCs/>
                <w:color w:val="auto"/>
                <w:kern w:val="28"/>
                <w:sz w:val="22"/>
                <w:szCs w:val="22"/>
                <w:highlight w:val="none"/>
                <w:lang w:val="en-US" w:eastAsia="zh-CN"/>
              </w:rPr>
              <w:t>5人</w:t>
            </w:r>
            <w:r>
              <w:rPr>
                <w:rFonts w:hint="eastAsia" w:ascii="宋体" w:hAnsi="宋体" w:eastAsia="宋体" w:cs="宋体"/>
                <w:b w:val="0"/>
                <w:bCs/>
                <w:color w:val="auto"/>
                <w:kern w:val="28"/>
                <w:sz w:val="22"/>
                <w:szCs w:val="22"/>
                <w:highlight w:val="none"/>
              </w:rPr>
              <w:t>及以上得</w:t>
            </w:r>
            <w:r>
              <w:rPr>
                <w:rFonts w:hint="eastAsia" w:ascii="宋体" w:hAnsi="宋体" w:cs="宋体"/>
                <w:b w:val="0"/>
                <w:bCs/>
                <w:color w:val="auto"/>
                <w:kern w:val="28"/>
                <w:sz w:val="22"/>
                <w:szCs w:val="22"/>
                <w:highlight w:val="none"/>
                <w:lang w:val="en-US" w:eastAsia="zh-CN"/>
              </w:rPr>
              <w:t>4</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val="en-US" w:eastAsia="zh-CN"/>
              </w:rPr>
              <w:t>1-4人</w:t>
            </w:r>
            <w:r>
              <w:rPr>
                <w:rFonts w:hint="eastAsia" w:ascii="宋体" w:hAnsi="宋体" w:eastAsia="宋体" w:cs="宋体"/>
                <w:b w:val="0"/>
                <w:bCs/>
                <w:color w:val="auto"/>
                <w:kern w:val="28"/>
                <w:sz w:val="22"/>
                <w:szCs w:val="22"/>
                <w:highlight w:val="none"/>
              </w:rPr>
              <w:t>得</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eastAsia="zh-CN"/>
              </w:rPr>
              <w:t>，最高得</w:t>
            </w:r>
            <w:r>
              <w:rPr>
                <w:rFonts w:hint="eastAsia" w:ascii="宋体" w:hAnsi="宋体" w:cs="宋体"/>
                <w:b w:val="0"/>
                <w:bCs/>
                <w:color w:val="auto"/>
                <w:kern w:val="28"/>
                <w:sz w:val="22"/>
                <w:szCs w:val="22"/>
                <w:highlight w:val="none"/>
                <w:lang w:val="en-US" w:eastAsia="zh-CN"/>
              </w:rPr>
              <w:t>4分。</w:t>
            </w:r>
          </w:p>
          <w:p w14:paraId="5C682C80">
            <w:pPr>
              <w:keepNext w:val="0"/>
              <w:keepLines w:val="0"/>
              <w:pageBreakBefore w:val="0"/>
              <w:widowControl w:val="0"/>
              <w:kinsoku/>
              <w:wordWrap/>
              <w:overflowPunct/>
              <w:topLinePunct w:val="0"/>
              <w:bidi w:val="0"/>
              <w:spacing w:line="300" w:lineRule="exact"/>
              <w:ind w:left="-50"/>
              <w:textAlignment w:val="auto"/>
              <w:rPr>
                <w:rFonts w:hint="eastAsia" w:ascii="宋体" w:hAnsi="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3.检测人员</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人及</w:t>
            </w:r>
            <w:r>
              <w:rPr>
                <w:rFonts w:hint="eastAsia" w:ascii="宋体" w:hAnsi="宋体" w:eastAsia="宋体" w:cs="宋体"/>
                <w:b w:val="0"/>
                <w:bCs/>
                <w:color w:val="auto"/>
                <w:kern w:val="28"/>
                <w:sz w:val="22"/>
                <w:szCs w:val="22"/>
                <w:highlight w:val="none"/>
              </w:rPr>
              <w:t>以上得</w:t>
            </w:r>
            <w:r>
              <w:rPr>
                <w:rFonts w:hint="eastAsia" w:ascii="宋体" w:hAnsi="宋体" w:cs="宋体"/>
                <w:b w:val="0"/>
                <w:bCs/>
                <w:color w:val="auto"/>
                <w:kern w:val="28"/>
                <w:sz w:val="22"/>
                <w:szCs w:val="22"/>
                <w:highlight w:val="none"/>
                <w:lang w:val="en-US" w:eastAsia="zh-CN"/>
              </w:rPr>
              <w:t>3</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20</w:t>
            </w:r>
            <w:r>
              <w:rPr>
                <w:rFonts w:hint="eastAsia" w:ascii="宋体" w:hAnsi="宋体" w:eastAsia="宋体" w:cs="宋体"/>
                <w:b w:val="0"/>
                <w:bCs/>
                <w:color w:val="auto"/>
                <w:kern w:val="28"/>
                <w:sz w:val="22"/>
                <w:szCs w:val="22"/>
                <w:highlight w:val="none"/>
              </w:rPr>
              <w:t>名得</w:t>
            </w:r>
            <w:r>
              <w:rPr>
                <w:rFonts w:hint="eastAsia" w:ascii="宋体" w:hAnsi="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rPr>
              <w:t>0名以下得</w:t>
            </w:r>
            <w:r>
              <w:rPr>
                <w:rFonts w:hint="eastAsia" w:ascii="宋体" w:hAnsi="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rPr>
              <w:t>分</w:t>
            </w:r>
            <w:r>
              <w:rPr>
                <w:rFonts w:hint="eastAsia" w:ascii="宋体" w:hAnsi="宋体" w:cs="宋体"/>
                <w:b w:val="0"/>
                <w:bCs/>
                <w:color w:val="auto"/>
                <w:kern w:val="28"/>
                <w:sz w:val="22"/>
                <w:szCs w:val="22"/>
                <w:highlight w:val="none"/>
                <w:lang w:eastAsia="zh-CN"/>
              </w:rPr>
              <w:t>，最高得</w:t>
            </w:r>
            <w:r>
              <w:rPr>
                <w:rFonts w:hint="eastAsia" w:ascii="宋体" w:hAnsi="宋体" w:cs="宋体"/>
                <w:b w:val="0"/>
                <w:bCs/>
                <w:color w:val="auto"/>
                <w:kern w:val="28"/>
                <w:sz w:val="22"/>
                <w:szCs w:val="22"/>
                <w:highlight w:val="none"/>
                <w:lang w:val="en-US" w:eastAsia="zh-CN"/>
              </w:rPr>
              <w:t>3分。</w:t>
            </w:r>
          </w:p>
          <w:p w14:paraId="7066495B">
            <w:pPr>
              <w:keepNext w:val="0"/>
              <w:keepLines w:val="0"/>
              <w:pageBreakBefore w:val="0"/>
              <w:widowControl w:val="0"/>
              <w:kinsoku/>
              <w:wordWrap/>
              <w:overflowPunct/>
              <w:topLinePunct w:val="0"/>
              <w:bidi w:val="0"/>
              <w:spacing w:line="300" w:lineRule="exact"/>
              <w:ind w:left="-50"/>
              <w:textAlignment w:val="auto"/>
              <w:rPr>
                <w:color w:val="auto"/>
                <w:highlight w:val="none"/>
                <w:lang w:val="en-US" w:eastAsia="zh-CN"/>
              </w:rPr>
            </w:pPr>
            <w:r>
              <w:rPr>
                <w:rFonts w:hint="eastAsia" w:ascii="宋体" w:hAnsi="宋体" w:cs="宋体"/>
                <w:b w:val="0"/>
                <w:bCs/>
                <w:color w:val="auto"/>
                <w:kern w:val="28"/>
                <w:sz w:val="22"/>
                <w:szCs w:val="22"/>
                <w:highlight w:val="none"/>
                <w:lang w:val="en-US" w:eastAsia="zh-CN"/>
              </w:rPr>
              <w:t>4、抽样人员：</w:t>
            </w:r>
            <w:r>
              <w:rPr>
                <w:rFonts w:hint="eastAsia" w:ascii="宋体" w:hAnsi="宋体"/>
                <w:color w:val="auto"/>
                <w:kern w:val="0"/>
                <w:sz w:val="22"/>
                <w:highlight w:val="none"/>
              </w:rPr>
              <w:t>为解决抽样过程中与老百姓方言交流困难问题，每提供一名</w:t>
            </w:r>
            <w:r>
              <w:rPr>
                <w:rFonts w:hint="eastAsia" w:ascii="宋体" w:hAnsi="宋体"/>
                <w:color w:val="auto"/>
                <w:kern w:val="0"/>
                <w:sz w:val="22"/>
                <w:highlight w:val="none"/>
                <w:lang w:val="en-US" w:eastAsia="zh-CN"/>
              </w:rPr>
              <w:t>采购人</w:t>
            </w:r>
            <w:r>
              <w:rPr>
                <w:rFonts w:hint="eastAsia" w:ascii="宋体" w:hAnsi="宋体"/>
                <w:color w:val="auto"/>
                <w:kern w:val="0"/>
                <w:sz w:val="22"/>
                <w:highlight w:val="none"/>
              </w:rPr>
              <w:t>所在地市户籍抽样人员得0.5分，最高得</w:t>
            </w:r>
            <w:r>
              <w:rPr>
                <w:rFonts w:hint="eastAsia" w:ascii="宋体" w:hAnsi="宋体"/>
                <w:color w:val="auto"/>
                <w:kern w:val="0"/>
                <w:sz w:val="22"/>
                <w:highlight w:val="none"/>
                <w:lang w:val="en-US" w:eastAsia="zh-CN"/>
              </w:rPr>
              <w:t>5</w:t>
            </w:r>
            <w:r>
              <w:rPr>
                <w:rFonts w:hint="eastAsia" w:ascii="宋体" w:hAnsi="宋体"/>
                <w:color w:val="auto"/>
                <w:kern w:val="0"/>
                <w:sz w:val="22"/>
                <w:highlight w:val="none"/>
              </w:rPr>
              <w:t>分。</w:t>
            </w:r>
          </w:p>
          <w:p w14:paraId="20D94C2C">
            <w:pPr>
              <w:keepNext w:val="0"/>
              <w:keepLines w:val="0"/>
              <w:pageBreakBefore w:val="0"/>
              <w:widowControl w:val="0"/>
              <w:kinsoku/>
              <w:wordWrap/>
              <w:overflowPunct/>
              <w:topLinePunct w:val="0"/>
              <w:bidi w:val="0"/>
              <w:spacing w:line="300" w:lineRule="exact"/>
              <w:ind w:left="-50"/>
              <w:textAlignment w:val="auto"/>
              <w:rPr>
                <w:rFonts w:hint="eastAsia" w:ascii="宋体" w:hAnsi="宋体" w:eastAsia="宋体" w:cs="宋体"/>
                <w:b w:val="0"/>
                <w:bCs/>
                <w:color w:val="auto"/>
                <w:kern w:val="28"/>
                <w:sz w:val="22"/>
                <w:szCs w:val="22"/>
                <w:highlight w:val="none"/>
                <w:lang w:eastAsia="zh-CN"/>
              </w:rPr>
            </w:pPr>
            <w:r>
              <w:rPr>
                <w:rFonts w:hint="eastAsia" w:ascii="宋体" w:hAnsi="宋体" w:cs="宋体"/>
                <w:b w:val="0"/>
                <w:bCs/>
                <w:color w:val="auto"/>
                <w:kern w:val="28"/>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投标人具有国家级检验检测机构资质认定评审员的，得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分；具有省级检验检测机构资质认定评审员的，得1分。本项最高得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不累计得分。</w:t>
            </w:r>
          </w:p>
          <w:p w14:paraId="139A96F8">
            <w:pPr>
              <w:keepNext w:val="0"/>
              <w:keepLines w:val="0"/>
              <w:pageBreakBefore w:val="0"/>
              <w:widowControl w:val="0"/>
              <w:kinsoku/>
              <w:wordWrap/>
              <w:overflowPunct/>
              <w:topLinePunct w:val="0"/>
              <w:bidi w:val="0"/>
              <w:spacing w:line="300" w:lineRule="exact"/>
              <w:ind w:left="-50"/>
              <w:textAlignment w:val="auto"/>
              <w:rPr>
                <w:rFonts w:hint="eastAsia" w:ascii="宋体" w:hAnsi="宋体" w:eastAsia="宋体" w:cs="宋体"/>
                <w:b w:val="0"/>
                <w:bCs/>
                <w:color w:val="auto"/>
                <w:kern w:val="28"/>
                <w:sz w:val="22"/>
                <w:szCs w:val="22"/>
                <w:highlight w:val="none"/>
              </w:rPr>
            </w:pPr>
            <w:r>
              <w:rPr>
                <w:rFonts w:hint="eastAsia" w:ascii="宋体" w:hAnsi="宋体" w:cs="宋体"/>
                <w:b/>
                <w:bCs w:val="0"/>
                <w:color w:val="auto"/>
                <w:kern w:val="28"/>
                <w:sz w:val="22"/>
                <w:szCs w:val="22"/>
                <w:highlight w:val="none"/>
                <w:lang w:eastAsia="zh-CN"/>
              </w:rPr>
              <w:t>注：需</w:t>
            </w:r>
            <w:r>
              <w:rPr>
                <w:rFonts w:hint="eastAsia" w:ascii="宋体" w:hAnsi="宋体" w:eastAsia="宋体" w:cs="宋体"/>
                <w:b/>
                <w:bCs w:val="0"/>
                <w:color w:val="auto"/>
                <w:kern w:val="28"/>
                <w:sz w:val="22"/>
                <w:szCs w:val="22"/>
                <w:highlight w:val="none"/>
              </w:rPr>
              <w:t>提供社保</w:t>
            </w:r>
            <w:r>
              <w:rPr>
                <w:rFonts w:hint="eastAsia" w:ascii="宋体" w:hAnsi="宋体" w:cs="宋体"/>
                <w:b/>
                <w:bCs w:val="0"/>
                <w:color w:val="auto"/>
                <w:kern w:val="28"/>
                <w:sz w:val="22"/>
                <w:szCs w:val="22"/>
                <w:highlight w:val="none"/>
                <w:lang w:eastAsia="zh-CN"/>
              </w:rPr>
              <w:t>、</w:t>
            </w:r>
            <w:r>
              <w:rPr>
                <w:rFonts w:hint="eastAsia" w:ascii="宋体" w:hAnsi="宋体" w:eastAsia="宋体" w:cs="宋体"/>
                <w:b/>
                <w:bCs w:val="0"/>
                <w:color w:val="auto"/>
                <w:kern w:val="28"/>
                <w:sz w:val="22"/>
                <w:szCs w:val="22"/>
                <w:highlight w:val="none"/>
              </w:rPr>
              <w:t>人员资质证明材料</w:t>
            </w:r>
            <w:r>
              <w:rPr>
                <w:rFonts w:hint="eastAsia" w:ascii="宋体" w:hAnsi="宋体" w:cs="宋体"/>
                <w:b/>
                <w:bCs w:val="0"/>
                <w:color w:val="auto"/>
                <w:kern w:val="28"/>
                <w:sz w:val="22"/>
                <w:szCs w:val="22"/>
                <w:highlight w:val="none"/>
                <w:lang w:val="en-US" w:eastAsia="zh-CN"/>
              </w:rPr>
              <w:t>，</w:t>
            </w:r>
            <w:r>
              <w:rPr>
                <w:rFonts w:hint="eastAsia" w:ascii="宋体" w:hAnsi="宋体" w:cs="宋体"/>
                <w:b/>
                <w:bCs w:val="0"/>
                <w:color w:val="auto"/>
                <w:kern w:val="28"/>
                <w:sz w:val="22"/>
                <w:szCs w:val="22"/>
                <w:highlight w:val="none"/>
                <w:lang w:eastAsia="zh-CN"/>
              </w:rPr>
              <w:t>否则不得分</w:t>
            </w:r>
            <w:r>
              <w:rPr>
                <w:rFonts w:hint="eastAsia" w:ascii="宋体" w:hAnsi="宋体" w:eastAsia="宋体" w:cs="宋体"/>
                <w:b/>
                <w:bCs w:val="0"/>
                <w:color w:val="auto"/>
                <w:kern w:val="28"/>
                <w:sz w:val="22"/>
                <w:szCs w:val="22"/>
                <w:highlight w:val="none"/>
              </w:rPr>
              <w:t>。</w:t>
            </w:r>
          </w:p>
        </w:tc>
      </w:tr>
      <w:tr w14:paraId="4505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47" w:type="dxa"/>
            <w:vMerge w:val="restart"/>
            <w:tcBorders>
              <w:top w:val="single" w:color="auto" w:sz="4" w:space="0"/>
              <w:left w:val="single" w:color="auto" w:sz="4" w:space="0"/>
              <w:right w:val="single" w:color="auto" w:sz="4" w:space="0"/>
            </w:tcBorders>
            <w:noWrap/>
            <w:vAlign w:val="center"/>
          </w:tcPr>
          <w:p w14:paraId="5949B897">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cs="宋体"/>
                <w:b w:val="0"/>
                <w:bCs/>
                <w:color w:val="auto"/>
                <w:kern w:val="28"/>
                <w:sz w:val="22"/>
                <w:szCs w:val="22"/>
                <w:highlight w:val="none"/>
                <w:lang w:val="en-US" w:eastAsia="zh-CN"/>
              </w:rPr>
              <w:t>7</w:t>
            </w:r>
          </w:p>
        </w:tc>
        <w:tc>
          <w:tcPr>
            <w:tcW w:w="1586" w:type="dxa"/>
            <w:vMerge w:val="restart"/>
            <w:tcBorders>
              <w:top w:val="single" w:color="auto" w:sz="4" w:space="0"/>
              <w:left w:val="single" w:color="auto" w:sz="4" w:space="0"/>
              <w:right w:val="single" w:color="auto" w:sz="4" w:space="0"/>
            </w:tcBorders>
            <w:noWrap/>
            <w:vAlign w:val="center"/>
          </w:tcPr>
          <w:p w14:paraId="75E654E4">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lang w:val="en-US" w:eastAsia="zh-CN"/>
              </w:rPr>
            </w:pPr>
            <w:r>
              <w:rPr>
                <w:rFonts w:hint="eastAsia" w:ascii="宋体" w:hAnsi="宋体" w:eastAsia="宋体" w:cs="宋体"/>
                <w:b w:val="0"/>
                <w:bCs/>
                <w:color w:val="auto"/>
                <w:kern w:val="28"/>
                <w:sz w:val="22"/>
                <w:szCs w:val="22"/>
                <w:highlight w:val="none"/>
              </w:rPr>
              <w:t>设备</w:t>
            </w:r>
            <w:r>
              <w:rPr>
                <w:rFonts w:hint="eastAsia" w:ascii="宋体" w:hAnsi="宋体" w:cs="宋体"/>
                <w:b w:val="0"/>
                <w:bCs/>
                <w:color w:val="auto"/>
                <w:kern w:val="28"/>
                <w:sz w:val="22"/>
                <w:szCs w:val="22"/>
                <w:highlight w:val="none"/>
                <w:lang w:val="en-US" w:eastAsia="zh-CN"/>
              </w:rPr>
              <w:t>情况</w:t>
            </w:r>
          </w:p>
        </w:tc>
        <w:tc>
          <w:tcPr>
            <w:tcW w:w="899" w:type="dxa"/>
            <w:tcBorders>
              <w:top w:val="single" w:color="auto" w:sz="4" w:space="0"/>
              <w:left w:val="single" w:color="auto" w:sz="4" w:space="0"/>
              <w:right w:val="single" w:color="auto" w:sz="4" w:space="0"/>
            </w:tcBorders>
            <w:noWrap/>
            <w:vAlign w:val="center"/>
          </w:tcPr>
          <w:p w14:paraId="144CFE2E">
            <w:pPr>
              <w:keepNext w:val="0"/>
              <w:keepLines w:val="0"/>
              <w:pageBreakBefore w:val="0"/>
              <w:widowControl w:val="0"/>
              <w:kinsoku/>
              <w:wordWrap/>
              <w:overflowPunct/>
              <w:topLinePunct w:val="0"/>
              <w:bidi w:val="0"/>
              <w:spacing w:line="300" w:lineRule="exact"/>
              <w:ind w:left="-50"/>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5分</w:t>
            </w:r>
          </w:p>
        </w:tc>
        <w:tc>
          <w:tcPr>
            <w:tcW w:w="6676" w:type="dxa"/>
            <w:tcBorders>
              <w:top w:val="single" w:color="auto" w:sz="4" w:space="0"/>
              <w:left w:val="single" w:color="auto" w:sz="4" w:space="0"/>
              <w:right w:val="single" w:color="auto" w:sz="4" w:space="0"/>
            </w:tcBorders>
            <w:noWrap/>
            <w:vAlign w:val="center"/>
          </w:tcPr>
          <w:p w14:paraId="0C7B7E26">
            <w:pPr>
              <w:keepNext w:val="0"/>
              <w:keepLines w:val="0"/>
              <w:pageBreakBefore w:val="0"/>
              <w:widowControl w:val="0"/>
              <w:kinsoku/>
              <w:wordWrap/>
              <w:overflowPunct/>
              <w:topLinePunct w:val="0"/>
              <w:bidi w:val="0"/>
              <w:spacing w:line="300" w:lineRule="exact"/>
              <w:jc w:val="lef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供应商</w:t>
            </w:r>
            <w:r>
              <w:rPr>
                <w:rFonts w:hint="eastAsia" w:ascii="新宋体" w:hAnsi="新宋体" w:eastAsia="新宋体" w:cs="新宋体"/>
                <w:color w:val="auto"/>
                <w:sz w:val="22"/>
                <w:highlight w:val="none"/>
              </w:rPr>
              <w:t>投入本项目的检测分析仪器设备（气质联用仪、电感耦合等离子体质谱仪、高效液相色谱仪、质谱仪、原子吸收、原子荧光等检测仪器），性能先进优越的，种类数量能充分满足检测需求，保障项目实施质量的得</w:t>
            </w:r>
            <w:r>
              <w:rPr>
                <w:rFonts w:hint="eastAsia" w:ascii="新宋体" w:hAnsi="新宋体" w:eastAsia="新宋体" w:cs="新宋体"/>
                <w:color w:val="auto"/>
                <w:sz w:val="22"/>
                <w:highlight w:val="none"/>
                <w:lang w:val="en-US" w:eastAsia="zh-CN"/>
              </w:rPr>
              <w:t>5</w:t>
            </w:r>
            <w:r>
              <w:rPr>
                <w:rFonts w:hint="eastAsia" w:ascii="新宋体" w:hAnsi="新宋体" w:eastAsia="新宋体" w:cs="新宋体"/>
                <w:color w:val="auto"/>
                <w:sz w:val="22"/>
                <w:highlight w:val="none"/>
              </w:rPr>
              <w:t>分；投入的检测分析仪器设备性能及种类数量符合基本检测需求的得</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分；明显欠缺或不足的得</w:t>
            </w:r>
            <w:r>
              <w:rPr>
                <w:rFonts w:hint="eastAsia" w:ascii="新宋体" w:hAnsi="新宋体" w:eastAsia="新宋体" w:cs="新宋体"/>
                <w:color w:val="auto"/>
                <w:sz w:val="22"/>
                <w:highlight w:val="none"/>
                <w:lang w:val="en-US" w:eastAsia="zh-CN"/>
              </w:rPr>
              <w:t>1</w:t>
            </w:r>
            <w:r>
              <w:rPr>
                <w:rFonts w:hint="eastAsia" w:ascii="新宋体" w:hAnsi="新宋体" w:eastAsia="新宋体" w:cs="新宋体"/>
                <w:color w:val="auto"/>
                <w:sz w:val="22"/>
                <w:highlight w:val="none"/>
              </w:rPr>
              <w:t>分。</w:t>
            </w:r>
          </w:p>
          <w:p w14:paraId="224FA453">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rPr>
            </w:pPr>
            <w:r>
              <w:rPr>
                <w:rFonts w:hint="eastAsia" w:ascii="新宋体" w:hAnsi="新宋体" w:eastAsia="新宋体" w:cs="新宋体"/>
                <w:b/>
                <w:bCs/>
                <w:color w:val="auto"/>
                <w:sz w:val="22"/>
                <w:highlight w:val="none"/>
                <w:lang w:val="en-US" w:eastAsia="zh-CN"/>
              </w:rPr>
              <w:t>注：</w:t>
            </w:r>
            <w:r>
              <w:rPr>
                <w:rFonts w:hint="eastAsia" w:ascii="新宋体" w:hAnsi="新宋体" w:eastAsia="新宋体" w:cs="新宋体"/>
                <w:b/>
                <w:bCs/>
                <w:color w:val="auto"/>
                <w:sz w:val="22"/>
                <w:highlight w:val="none"/>
              </w:rPr>
              <w:t>须提供设备清单、图片、</w:t>
            </w:r>
            <w:r>
              <w:rPr>
                <w:rFonts w:hint="eastAsia" w:ascii="新宋体" w:hAnsi="新宋体" w:eastAsia="新宋体" w:cs="新宋体"/>
                <w:b/>
                <w:bCs/>
                <w:color w:val="auto"/>
                <w:sz w:val="22"/>
                <w:highlight w:val="none"/>
                <w:lang w:val="zh-CN"/>
              </w:rPr>
              <w:t>购置发票</w:t>
            </w:r>
            <w:r>
              <w:rPr>
                <w:rFonts w:hint="eastAsia" w:ascii="新宋体" w:hAnsi="新宋体" w:eastAsia="新宋体" w:cs="新宋体"/>
                <w:b/>
                <w:bCs/>
                <w:color w:val="auto"/>
                <w:sz w:val="22"/>
                <w:highlight w:val="none"/>
                <w:lang w:val="en-US" w:eastAsia="zh-CN"/>
              </w:rPr>
              <w:t>或合同</w:t>
            </w:r>
            <w:r>
              <w:rPr>
                <w:rFonts w:hint="eastAsia" w:ascii="新宋体" w:hAnsi="新宋体" w:eastAsia="新宋体" w:cs="新宋体"/>
                <w:b/>
                <w:bCs/>
                <w:color w:val="auto"/>
                <w:sz w:val="22"/>
                <w:highlight w:val="none"/>
              </w:rPr>
              <w:t>等相关证明文件</w:t>
            </w:r>
            <w:r>
              <w:rPr>
                <w:rFonts w:hint="eastAsia" w:ascii="新宋体" w:hAnsi="新宋体" w:eastAsia="新宋体" w:cs="新宋体"/>
                <w:b/>
                <w:bCs/>
                <w:color w:val="auto"/>
                <w:sz w:val="22"/>
                <w:highlight w:val="none"/>
                <w:lang w:eastAsia="zh-CN"/>
              </w:rPr>
              <w:t>。</w:t>
            </w:r>
          </w:p>
        </w:tc>
      </w:tr>
      <w:tr w14:paraId="0396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vMerge w:val="continue"/>
            <w:tcBorders>
              <w:top w:val="single" w:color="auto" w:sz="4" w:space="0"/>
              <w:left w:val="single" w:color="auto" w:sz="4" w:space="0"/>
              <w:right w:val="single" w:color="auto" w:sz="4" w:space="0"/>
            </w:tcBorders>
            <w:noWrap/>
            <w:vAlign w:val="center"/>
          </w:tcPr>
          <w:p w14:paraId="20A98287">
            <w:pPr>
              <w:rPr>
                <w:color w:val="auto"/>
                <w:highlight w:val="none"/>
              </w:rPr>
            </w:pPr>
          </w:p>
        </w:tc>
        <w:tc>
          <w:tcPr>
            <w:tcW w:w="1586" w:type="dxa"/>
            <w:vMerge w:val="continue"/>
            <w:tcBorders>
              <w:top w:val="single" w:color="auto" w:sz="4" w:space="0"/>
              <w:left w:val="single" w:color="auto" w:sz="4" w:space="0"/>
              <w:right w:val="single" w:color="auto" w:sz="4" w:space="0"/>
            </w:tcBorders>
            <w:noWrap/>
            <w:vAlign w:val="center"/>
          </w:tcPr>
          <w:p w14:paraId="4BEFF61B">
            <w:pPr>
              <w:rPr>
                <w:color w:val="auto"/>
                <w:highlight w:val="none"/>
              </w:rPr>
            </w:pPr>
          </w:p>
        </w:tc>
        <w:tc>
          <w:tcPr>
            <w:tcW w:w="899" w:type="dxa"/>
            <w:tcBorders>
              <w:top w:val="single" w:color="auto" w:sz="4" w:space="0"/>
              <w:left w:val="single" w:color="auto" w:sz="4" w:space="0"/>
              <w:right w:val="single" w:color="auto" w:sz="4" w:space="0"/>
            </w:tcBorders>
            <w:noWrap/>
            <w:vAlign w:val="center"/>
          </w:tcPr>
          <w:p w14:paraId="00CF7429">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5分</w:t>
            </w:r>
          </w:p>
        </w:tc>
        <w:tc>
          <w:tcPr>
            <w:tcW w:w="6676" w:type="dxa"/>
            <w:tcBorders>
              <w:top w:val="single" w:color="auto" w:sz="4" w:space="0"/>
              <w:left w:val="single" w:color="auto" w:sz="4" w:space="0"/>
              <w:right w:val="single" w:color="auto" w:sz="4" w:space="0"/>
            </w:tcBorders>
            <w:noWrap/>
            <w:vAlign w:val="center"/>
          </w:tcPr>
          <w:p w14:paraId="61F163C0">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olor w:val="auto"/>
                <w:kern w:val="0"/>
                <w:sz w:val="22"/>
                <w:highlight w:val="none"/>
                <w:lang w:eastAsia="zh-CN"/>
              </w:rPr>
            </w:pPr>
            <w:r>
              <w:rPr>
                <w:rFonts w:hint="eastAsia" w:ascii="宋体" w:hAnsi="宋体"/>
                <w:color w:val="auto"/>
                <w:kern w:val="0"/>
                <w:sz w:val="22"/>
                <w:highlight w:val="none"/>
                <w:lang w:val="en-US" w:eastAsia="zh-CN"/>
              </w:rPr>
              <w:t>供应商</w:t>
            </w:r>
            <w:r>
              <w:rPr>
                <w:rFonts w:hint="eastAsia" w:ascii="宋体" w:hAnsi="宋体"/>
                <w:color w:val="auto"/>
                <w:kern w:val="0"/>
                <w:sz w:val="22"/>
                <w:highlight w:val="none"/>
              </w:rPr>
              <w:t>配备与抽检任务相适应的采样车辆、抽样现场执法仪、蓝牙温度记录仪、车载冰箱（或其他冷藏冷冻手段）等设（装）备，以何种方式投入和使用，以及实际可操作性、时效性、合理性、满足性等进行综合打分</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评分范围5，4，3，2，1，0</w:t>
            </w:r>
            <w:r>
              <w:rPr>
                <w:rFonts w:hint="eastAsia" w:ascii="宋体" w:hAnsi="宋体"/>
                <w:b w:val="0"/>
                <w:bCs/>
                <w:color w:val="auto"/>
                <w:sz w:val="22"/>
                <w:szCs w:val="22"/>
                <w:highlight w:val="none"/>
                <w:lang w:eastAsia="zh-CN"/>
              </w:rPr>
              <w:t>。</w:t>
            </w:r>
          </w:p>
          <w:p w14:paraId="789CEBED">
            <w:pPr>
              <w:keepNext w:val="0"/>
              <w:keepLines w:val="0"/>
              <w:pageBreakBefore w:val="0"/>
              <w:widowControl w:val="0"/>
              <w:kinsoku/>
              <w:wordWrap/>
              <w:overflowPunct/>
              <w:topLinePunct w:val="0"/>
              <w:bidi w:val="0"/>
              <w:spacing w:line="300" w:lineRule="exact"/>
              <w:jc w:val="left"/>
              <w:textAlignment w:val="auto"/>
              <w:rPr>
                <w:rFonts w:hint="eastAsia" w:ascii="宋体" w:hAnsi="宋体" w:eastAsia="宋体" w:cs="宋体"/>
                <w:b w:val="0"/>
                <w:bCs/>
                <w:color w:val="auto"/>
                <w:kern w:val="28"/>
                <w:sz w:val="22"/>
                <w:szCs w:val="22"/>
                <w:highlight w:val="none"/>
                <w:lang w:eastAsia="zh-CN"/>
              </w:rPr>
            </w:pPr>
            <w:r>
              <w:rPr>
                <w:rFonts w:hint="eastAsia" w:ascii="宋体" w:hAnsi="宋体" w:eastAsia="宋体" w:cs="宋体"/>
                <w:b/>
                <w:bCs w:val="0"/>
                <w:color w:val="auto"/>
                <w:kern w:val="28"/>
                <w:sz w:val="22"/>
                <w:szCs w:val="22"/>
                <w:highlight w:val="none"/>
                <w:lang w:eastAsia="zh-CN"/>
              </w:rPr>
              <w:t>注：需提供</w:t>
            </w:r>
            <w:r>
              <w:rPr>
                <w:rFonts w:hint="eastAsia" w:ascii="宋体" w:hAnsi="宋体" w:cs="宋体"/>
                <w:b/>
                <w:bCs w:val="0"/>
                <w:color w:val="auto"/>
                <w:kern w:val="28"/>
                <w:sz w:val="22"/>
                <w:szCs w:val="22"/>
                <w:highlight w:val="none"/>
                <w:lang w:val="en-US" w:eastAsia="zh-CN"/>
              </w:rPr>
              <w:t>设备</w:t>
            </w:r>
            <w:r>
              <w:rPr>
                <w:rFonts w:hint="eastAsia" w:ascii="宋体" w:hAnsi="宋体" w:eastAsia="宋体" w:cs="宋体"/>
                <w:b/>
                <w:bCs w:val="0"/>
                <w:color w:val="auto"/>
                <w:kern w:val="28"/>
                <w:sz w:val="22"/>
                <w:szCs w:val="22"/>
                <w:highlight w:val="none"/>
                <w:lang w:eastAsia="zh-CN"/>
              </w:rPr>
              <w:t>清单、图片、</w:t>
            </w:r>
            <w:r>
              <w:rPr>
                <w:rFonts w:hint="eastAsia" w:ascii="新宋体" w:hAnsi="新宋体" w:eastAsia="新宋体" w:cs="新宋体"/>
                <w:b/>
                <w:bCs w:val="0"/>
                <w:color w:val="auto"/>
                <w:sz w:val="22"/>
                <w:highlight w:val="none"/>
                <w:lang w:val="zh-CN"/>
              </w:rPr>
              <w:t>购置发票</w:t>
            </w:r>
            <w:r>
              <w:rPr>
                <w:rFonts w:hint="eastAsia" w:ascii="宋体" w:hAnsi="宋体" w:eastAsia="宋体" w:cs="宋体"/>
                <w:b/>
                <w:bCs w:val="0"/>
                <w:color w:val="auto"/>
                <w:kern w:val="28"/>
                <w:sz w:val="22"/>
                <w:szCs w:val="22"/>
                <w:highlight w:val="none"/>
                <w:lang w:eastAsia="zh-CN"/>
              </w:rPr>
              <w:t>等证明文件，</w:t>
            </w:r>
            <w:r>
              <w:rPr>
                <w:rFonts w:hint="eastAsia" w:ascii="宋体" w:hAnsi="宋体"/>
                <w:b/>
                <w:bCs w:val="0"/>
                <w:color w:val="auto"/>
                <w:sz w:val="22"/>
                <w:szCs w:val="22"/>
                <w:highlight w:val="none"/>
              </w:rPr>
              <w:t>未提供或不符合要求或材料不能辨识</w:t>
            </w:r>
            <w:r>
              <w:rPr>
                <w:rFonts w:hint="eastAsia" w:ascii="宋体" w:hAnsi="宋体"/>
                <w:b/>
                <w:bCs w:val="0"/>
                <w:color w:val="auto"/>
                <w:sz w:val="22"/>
                <w:szCs w:val="22"/>
                <w:highlight w:val="none"/>
                <w:lang w:eastAsia="zh-CN"/>
              </w:rPr>
              <w:t>的</w:t>
            </w:r>
            <w:r>
              <w:rPr>
                <w:rFonts w:hint="eastAsia" w:ascii="宋体" w:hAnsi="宋体"/>
                <w:b/>
                <w:bCs w:val="0"/>
                <w:color w:val="auto"/>
                <w:sz w:val="22"/>
                <w:szCs w:val="22"/>
                <w:highlight w:val="none"/>
              </w:rPr>
              <w:t>不得分。</w:t>
            </w:r>
          </w:p>
        </w:tc>
      </w:tr>
      <w:tr w14:paraId="62FB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47" w:type="dxa"/>
            <w:tcBorders>
              <w:top w:val="single" w:color="auto" w:sz="4" w:space="0"/>
              <w:left w:val="single" w:color="auto" w:sz="4" w:space="0"/>
              <w:right w:val="single" w:color="auto" w:sz="4" w:space="0"/>
            </w:tcBorders>
            <w:noWrap/>
            <w:vAlign w:val="center"/>
          </w:tcPr>
          <w:p w14:paraId="720BAFA2">
            <w:pPr>
              <w:keepNext w:val="0"/>
              <w:keepLines w:val="0"/>
              <w:pageBreakBefore w:val="0"/>
              <w:widowControl w:val="0"/>
              <w:kinsoku/>
              <w:wordWrap/>
              <w:overflowPunct/>
              <w:topLinePunct w:val="0"/>
              <w:bidi w:val="0"/>
              <w:spacing w:line="300" w:lineRule="exact"/>
              <w:jc w:val="center"/>
              <w:textAlignment w:val="auto"/>
              <w:rPr>
                <w:rFonts w:ascii="宋体" w:hAnsi="宋体" w:eastAsia="宋体" w:cs="宋体"/>
                <w:b w:val="0"/>
                <w:bCs/>
                <w:color w:val="auto"/>
                <w:kern w:val="28"/>
                <w:sz w:val="22"/>
                <w:szCs w:val="22"/>
                <w:highlight w:val="none"/>
                <w:lang w:val="en-US" w:eastAsia="zh-CN"/>
              </w:rPr>
            </w:pPr>
            <w:r>
              <w:rPr>
                <w:rFonts w:hint="eastAsia" w:ascii="宋体" w:hAnsi="宋体" w:cs="宋体"/>
                <w:b w:val="0"/>
                <w:bCs/>
                <w:color w:val="auto"/>
                <w:kern w:val="28"/>
                <w:sz w:val="22"/>
                <w:szCs w:val="22"/>
                <w:highlight w:val="none"/>
                <w:lang w:val="en-US" w:eastAsia="zh-CN"/>
              </w:rPr>
              <w:t>8</w:t>
            </w:r>
          </w:p>
        </w:tc>
        <w:tc>
          <w:tcPr>
            <w:tcW w:w="1586" w:type="dxa"/>
            <w:tcBorders>
              <w:top w:val="single" w:color="auto" w:sz="4" w:space="0"/>
              <w:left w:val="single" w:color="auto" w:sz="4" w:space="0"/>
              <w:right w:val="single" w:color="auto" w:sz="4" w:space="0"/>
            </w:tcBorders>
            <w:noWrap/>
            <w:vAlign w:val="center"/>
          </w:tcPr>
          <w:p w14:paraId="3733278E">
            <w:pPr>
              <w:keepNext w:val="0"/>
              <w:keepLines w:val="0"/>
              <w:pageBreakBefore w:val="0"/>
              <w:widowControl w:val="0"/>
              <w:kinsoku/>
              <w:wordWrap/>
              <w:overflowPunct/>
              <w:topLinePunct w:val="0"/>
              <w:bidi w:val="0"/>
              <w:spacing w:line="300" w:lineRule="exact"/>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应急预案</w:t>
            </w:r>
          </w:p>
        </w:tc>
        <w:tc>
          <w:tcPr>
            <w:tcW w:w="899" w:type="dxa"/>
            <w:tcBorders>
              <w:top w:val="single" w:color="auto" w:sz="4" w:space="0"/>
              <w:left w:val="single" w:color="auto" w:sz="4" w:space="0"/>
              <w:right w:val="single" w:color="auto" w:sz="4" w:space="0"/>
            </w:tcBorders>
            <w:noWrap/>
            <w:vAlign w:val="center"/>
          </w:tcPr>
          <w:p w14:paraId="323B2990">
            <w:pPr>
              <w:keepNext w:val="0"/>
              <w:keepLines w:val="0"/>
              <w:pageBreakBefore w:val="0"/>
              <w:widowControl w:val="0"/>
              <w:kinsoku/>
              <w:wordWrap/>
              <w:overflowPunct/>
              <w:topLinePunct w:val="0"/>
              <w:bidi w:val="0"/>
              <w:spacing w:line="300" w:lineRule="exact"/>
              <w:ind w:right="3"/>
              <w:jc w:val="center"/>
              <w:textAlignment w:val="auto"/>
              <w:rPr>
                <w:rFonts w:hint="eastAsia" w:ascii="宋体" w:hAnsi="宋体" w:eastAsia="宋体" w:cs="宋体"/>
                <w:b w:val="0"/>
                <w:bCs/>
                <w:color w:val="auto"/>
                <w:kern w:val="28"/>
                <w:sz w:val="22"/>
                <w:szCs w:val="22"/>
                <w:highlight w:val="none"/>
              </w:rPr>
            </w:pPr>
            <w:r>
              <w:rPr>
                <w:rFonts w:hint="eastAsia" w:ascii="宋体" w:hAnsi="宋体" w:eastAsia="宋体" w:cs="宋体"/>
                <w:b w:val="0"/>
                <w:bCs/>
                <w:color w:val="auto"/>
                <w:kern w:val="28"/>
                <w:sz w:val="22"/>
                <w:szCs w:val="22"/>
                <w:highlight w:val="none"/>
              </w:rPr>
              <w:t>0-</w:t>
            </w:r>
            <w:r>
              <w:rPr>
                <w:rFonts w:hint="eastAsia" w:ascii="宋体" w:hAnsi="宋体" w:cs="宋体"/>
                <w:b w:val="0"/>
                <w:bCs/>
                <w:color w:val="auto"/>
                <w:kern w:val="28"/>
                <w:sz w:val="22"/>
                <w:szCs w:val="22"/>
                <w:highlight w:val="none"/>
                <w:lang w:val="en-US" w:eastAsia="zh-CN"/>
              </w:rPr>
              <w:t>5分</w:t>
            </w:r>
          </w:p>
        </w:tc>
        <w:tc>
          <w:tcPr>
            <w:tcW w:w="6676" w:type="dxa"/>
            <w:tcBorders>
              <w:top w:val="single" w:color="auto" w:sz="4" w:space="0"/>
              <w:left w:val="single" w:color="auto" w:sz="4" w:space="0"/>
              <w:right w:val="single" w:color="auto" w:sz="4" w:space="0"/>
            </w:tcBorders>
            <w:noWrap/>
            <w:vAlign w:val="center"/>
          </w:tcPr>
          <w:p w14:paraId="2864BA0A">
            <w:pPr>
              <w:keepNext w:val="0"/>
              <w:keepLines w:val="0"/>
              <w:pageBreakBefore w:val="0"/>
              <w:widowControl w:val="0"/>
              <w:kinsoku/>
              <w:wordWrap/>
              <w:overflowPunct/>
              <w:topLinePunct w:val="0"/>
              <w:bidi w:val="0"/>
              <w:spacing w:line="300" w:lineRule="exact"/>
              <w:jc w:val="left"/>
              <w:textAlignment w:val="auto"/>
              <w:rPr>
                <w:rFonts w:hint="eastAsia"/>
                <w:color w:val="auto"/>
                <w:highlight w:val="none"/>
              </w:rPr>
            </w:pPr>
            <w:r>
              <w:rPr>
                <w:rFonts w:hint="eastAsia"/>
                <w:color w:val="auto"/>
                <w:highlight w:val="none"/>
              </w:rPr>
              <w:t>根据突发事件应急措施、</w:t>
            </w:r>
            <w:r>
              <w:rPr>
                <w:rFonts w:hint="eastAsia" w:ascii="宋体" w:hAnsi="宋体" w:eastAsia="宋体" w:cs="宋体"/>
                <w:b w:val="0"/>
                <w:bCs/>
                <w:color w:val="auto"/>
                <w:kern w:val="28"/>
                <w:sz w:val="22"/>
                <w:szCs w:val="22"/>
                <w:highlight w:val="none"/>
              </w:rPr>
              <w:t>应急</w:t>
            </w:r>
            <w:r>
              <w:rPr>
                <w:rFonts w:hint="eastAsia" w:ascii="宋体" w:hAnsi="宋体" w:cs="宋体"/>
                <w:b w:val="0"/>
                <w:bCs/>
                <w:color w:val="auto"/>
                <w:kern w:val="28"/>
                <w:sz w:val="22"/>
                <w:szCs w:val="22"/>
                <w:highlight w:val="none"/>
                <w:lang w:val="en-US" w:eastAsia="zh-CN"/>
              </w:rPr>
              <w:t>实验室、</w:t>
            </w:r>
            <w:r>
              <w:rPr>
                <w:rFonts w:hint="eastAsia"/>
                <w:color w:val="auto"/>
                <w:highlight w:val="none"/>
              </w:rPr>
              <w:t>稽查办案等需求的临时性抽检，参与且在规定时间内到达配合工作开展</w:t>
            </w:r>
            <w:r>
              <w:rPr>
                <w:rFonts w:hint="eastAsia"/>
                <w:color w:val="auto"/>
                <w:highlight w:val="none"/>
                <w:lang w:eastAsia="zh-CN"/>
              </w:rPr>
              <w:t>、</w:t>
            </w:r>
            <w:r>
              <w:rPr>
                <w:rFonts w:hint="eastAsia"/>
                <w:color w:val="auto"/>
                <w:highlight w:val="none"/>
              </w:rPr>
              <w:t>其它活动配合措施的高效、合理、完善等情况</w:t>
            </w:r>
            <w:r>
              <w:rPr>
                <w:rFonts w:hint="eastAsia"/>
                <w:color w:val="auto"/>
                <w:highlight w:val="none"/>
                <w:lang w:eastAsia="zh-CN"/>
              </w:rPr>
              <w:t>，</w:t>
            </w:r>
            <w:r>
              <w:rPr>
                <w:rFonts w:hint="eastAsia"/>
                <w:color w:val="auto"/>
                <w:highlight w:val="none"/>
              </w:rPr>
              <w:t>由评委综合打分</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评分范围5，4，3，2，1，0</w:t>
            </w:r>
            <w:r>
              <w:rPr>
                <w:rFonts w:hint="eastAsia" w:ascii="宋体" w:hAnsi="宋体"/>
                <w:b w:val="0"/>
                <w:bCs/>
                <w:color w:val="auto"/>
                <w:sz w:val="22"/>
                <w:szCs w:val="22"/>
                <w:highlight w:val="none"/>
                <w:lang w:eastAsia="zh-CN"/>
              </w:rPr>
              <w:t>。</w:t>
            </w:r>
          </w:p>
        </w:tc>
      </w:tr>
    </w:tbl>
    <w:p w14:paraId="76BA0F25">
      <w:pPr>
        <w:pStyle w:val="7"/>
        <w:rPr>
          <w:color w:val="auto"/>
          <w:highlight w:val="none"/>
          <w:lang w:val="en-US" w:eastAsia="zh-CN"/>
        </w:rPr>
      </w:pPr>
    </w:p>
    <w:p w14:paraId="1F7A7CA3">
      <w:pPr>
        <w:pStyle w:val="10"/>
        <w:tabs>
          <w:tab w:val="left" w:pos="1069"/>
          <w:tab w:val="left" w:pos="2352"/>
        </w:tabs>
        <w:adjustRightInd w:val="0"/>
        <w:snapToGrid w:val="0"/>
        <w:spacing w:line="420" w:lineRule="exact"/>
        <w:jc w:val="center"/>
        <w:rPr>
          <w:rFonts w:hAnsi="宋体" w:cs="宋体"/>
          <w:b/>
          <w:bCs/>
          <w:color w:val="auto"/>
          <w:sz w:val="22"/>
          <w:szCs w:val="22"/>
          <w:highlight w:val="none"/>
        </w:rPr>
      </w:pPr>
      <w:bookmarkStart w:id="98" w:name="_Toc18541_WPSOffice_Level2"/>
      <w:r>
        <w:rPr>
          <w:rFonts w:hint="eastAsia" w:hAnsi="宋体" w:cs="宋体"/>
          <w:b/>
          <w:bCs/>
          <w:color w:val="auto"/>
          <w:sz w:val="22"/>
          <w:szCs w:val="22"/>
          <w:highlight w:val="none"/>
        </w:rPr>
        <w:t>五、说明</w:t>
      </w:r>
      <w:bookmarkEnd w:id="98"/>
    </w:p>
    <w:p w14:paraId="76925F9F">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1</w:t>
      </w:r>
      <w:r>
        <w:rPr>
          <w:rFonts w:hint="eastAsia" w:hAnsi="宋体" w:cs="宋体"/>
          <w:color w:val="auto"/>
          <w:sz w:val="22"/>
          <w:highlight w:val="none"/>
          <w:lang w:eastAsia="zh-CN"/>
        </w:rPr>
        <w:t>.</w:t>
      </w:r>
      <w:r>
        <w:rPr>
          <w:rFonts w:hint="eastAsia" w:hAnsi="宋体" w:cs="宋体"/>
          <w:color w:val="auto"/>
          <w:sz w:val="22"/>
          <w:highlight w:val="none"/>
        </w:rPr>
        <w:t>每个供应商最终得分=商务技术分值（所有评审小组成员打分的算术平均值）＋报价分值。</w:t>
      </w:r>
    </w:p>
    <w:p w14:paraId="590074A7">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2</w:t>
      </w:r>
      <w:r>
        <w:rPr>
          <w:rFonts w:hint="eastAsia" w:hAnsi="宋体" w:cs="宋体"/>
          <w:color w:val="auto"/>
          <w:sz w:val="22"/>
          <w:highlight w:val="none"/>
          <w:lang w:eastAsia="zh-CN"/>
        </w:rPr>
        <w:t>.</w:t>
      </w:r>
      <w:r>
        <w:rPr>
          <w:rFonts w:hint="eastAsia" w:hAnsi="宋体" w:cs="宋体"/>
          <w:color w:val="auto"/>
          <w:sz w:val="22"/>
          <w:highlight w:val="none"/>
        </w:rPr>
        <w:t>评审小组推荐综合得分第一名的供应商为中标（成交）供应商，如果得分相同的，按投标报价由低到高顺序排列，得分且报价均相同的，按商务技术得分由高到低排列。</w:t>
      </w:r>
    </w:p>
    <w:p w14:paraId="71C9328B">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3</w:t>
      </w:r>
      <w:r>
        <w:rPr>
          <w:rFonts w:hint="eastAsia" w:hAnsi="宋体" w:cs="宋体"/>
          <w:color w:val="auto"/>
          <w:sz w:val="22"/>
          <w:highlight w:val="none"/>
          <w:lang w:eastAsia="zh-CN"/>
        </w:rPr>
        <w:t>.</w:t>
      </w:r>
      <w:r>
        <w:rPr>
          <w:rFonts w:hint="eastAsia" w:hAnsi="宋体" w:cs="宋体"/>
          <w:color w:val="auto"/>
          <w:sz w:val="22"/>
          <w:highlight w:val="none"/>
        </w:rPr>
        <w:t>所有分值计算保留小数点后二位，小数点后三位四舍五入。</w:t>
      </w:r>
    </w:p>
    <w:p w14:paraId="471373EF">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参见本竞争性磋商文件第三部分：“供应商须知”中的相关内容，未尽事宜按有关法律规定处理。</w:t>
      </w:r>
    </w:p>
    <w:p w14:paraId="1C3D05D5">
      <w:pPr>
        <w:tabs>
          <w:tab w:val="left" w:pos="2352"/>
        </w:tabs>
        <w:rPr>
          <w:color w:val="auto"/>
          <w:highlight w:val="none"/>
        </w:rPr>
      </w:pPr>
    </w:p>
    <w:sectPr>
      <w:headerReference r:id="rId7" w:type="first"/>
      <w:footerReference r:id="rId9" w:type="first"/>
      <w:headerReference r:id="rId6" w:type="default"/>
      <w:footerReference r:id="rId8" w:type="default"/>
      <w:pgSz w:w="11906" w:h="16838"/>
      <w:pgMar w:top="1440" w:right="1247" w:bottom="1440" w:left="1247" w:header="851" w:footer="992" w:gutter="0"/>
      <w:cols w:space="720" w:num="1"/>
      <w:titlePg/>
      <w:docGrid w:type="linesAndChars" w:linePitch="317" w:charSpace="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000000000000000"/>
    <w:charset w:val="00"/>
    <w:family w:val="auto"/>
    <w:pitch w:val="default"/>
    <w:sig w:usb0="00000000" w:usb1="00000000" w:usb2="00000000" w:usb3="00000000" w:csb0="00000000" w:csb1="00000000"/>
  </w:font>
  <w:font w:name="Helvetica">
    <w:altName w:val="Arial"/>
    <w:panose1 w:val="020B0504020202030204"/>
    <w:charset w:val="00"/>
    <w:family w:val="swiss"/>
    <w:pitch w:val="default"/>
    <w:sig w:usb0="00000000" w:usb1="00000000" w:usb2="00000000" w:usb3="00000000" w:csb0="00000093" w:csb1="00000000"/>
  </w:font>
  <w:font w:name="Arial (W1)">
    <w:altName w:val="Arial"/>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83B6">
    <w:pPr>
      <w:pStyle w:val="12"/>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6" name="文本框 4"/>
              <wp:cNvGraphicFramePr/>
              <a:graphic xmlns:a="http://schemas.openxmlformats.org/drawingml/2006/main">
                <a:graphicData uri="http://schemas.microsoft.com/office/word/2010/wordprocessingShape">
                  <wps:wsp>
                    <wps:cNvSpPr/>
                    <wps:spPr>
                      <a:xfrm>
                        <a:off x="0" y="0"/>
                        <a:ext cx="114299" cy="131559"/>
                      </a:xfrm>
                      <a:prstGeom prst="rect">
                        <a:avLst/>
                      </a:prstGeom>
                      <a:noFill/>
                      <a:ln w="9525" cap="flat" cmpd="sng">
                        <a:noFill/>
                        <a:prstDash val="solid"/>
                        <a:round/>
                      </a:ln>
                    </wps:spPr>
                    <wps:txbx>
                      <w:txbxContent>
                        <w:p w14:paraId="0243F8E6">
                          <w:pPr>
                            <w:pStyle w:val="12"/>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WkXqzQAAAAAwEAAA8AAAAAAAAAAQAgAAAAIgAAAGRycy9kb3ducmV2&#10;LnhtbFBLAQIUABQAAAAIAIdO4kAen8+DBAIAAPQDAAAOAAAAAAAAAAEAIAAAAB8BAABkcnMvZTJv&#10;RG9jLnhtbFBLBQYAAAAABgAGAFkBAACVBQAAAAA=&#10;">
              <v:fill on="f" focussize="0,0"/>
              <v:stroke on="f" joinstyle="round"/>
              <v:imagedata o:title=""/>
              <o:lock v:ext="edit" aspectratio="f"/>
              <v:textbox inset="0mm,0mm,0mm,0mm" style="mso-fit-shape-to-text:t;">
                <w:txbxContent>
                  <w:p w14:paraId="0243F8E6">
                    <w:pPr>
                      <w:pStyle w:val="12"/>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A0697">
    <w:pPr>
      <w:pStyle w:val="12"/>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3" name="文本框 2062"/>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5DDBD906">
                          <w:pPr>
                            <w:pStyle w:val="12"/>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0">
                      <a:spAutoFit/>
                    </wps:bodyPr>
                  </wps:wsp>
                </a:graphicData>
              </a:graphic>
            </wp:anchor>
          </w:drawing>
        </mc:Choice>
        <mc:Fallback>
          <w:pict>
            <v:rect id="文本框 2062"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pF6s0AAAAAMBAAAPAAAAAAAAAAEAIAAAACIAAABkcnMvZG93bnJl&#10;di54bWxQSwECFAAUAAAACACHTuJA+oSZggUCAAD4AwAADgAAAAAAAAABACAAAAAfAQAAZHJzL2Uy&#10;b0RvYy54bWxQSwUGAAAAAAYABgBZAQAAlgUAAAAA&#10;">
              <v:fill on="f" focussize="0,0"/>
              <v:stroke on="f" joinstyle="round"/>
              <v:imagedata o:title=""/>
              <o:lock v:ext="edit" aspectratio="f"/>
              <v:textbox inset="0mm,0mm,0mm,0mm" style="mso-fit-shape-to-text:t;">
                <w:txbxContent>
                  <w:p w14:paraId="5DDBD906">
                    <w:pPr>
                      <w:pStyle w:val="12"/>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E3D85">
    <w:pPr>
      <w:pStyle w:val="12"/>
      <w:tabs>
        <w:tab w:val="left" w:pos="4620"/>
        <w:tab w:val="clear" w:pos="4153"/>
      </w:tabs>
      <w:jc w:val="center"/>
      <w:rPr>
        <w:rFonts w:ascii="宋体"/>
      </w:rP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文本框 2063"/>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42E15CF0">
                          <w:pPr>
                            <w:pStyle w:val="12"/>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rect id="文本框 2063"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pF6s0AAAAAMBAAAPAAAAAAAAAAEAIAAAACIAAABkcnMvZG93bnJl&#10;di54bWxQSwECFAAUAAAACACHTuJAzpZaOQUCAAD4AwAADgAAAAAAAAABACAAAAAfAQAAZHJzL2Uy&#10;b0RvYy54bWxQSwUGAAAAAAYABgBZAQAAlgUAAAAA&#10;">
              <v:fill on="f" focussize="0,0"/>
              <v:stroke on="f" joinstyle="round"/>
              <v:imagedata o:title=""/>
              <o:lock v:ext="edit" aspectratio="f"/>
              <v:textbox inset="0mm,0mm,0mm,0mm" style="mso-fit-shape-to-text:t;">
                <w:txbxContent>
                  <w:p w14:paraId="42E15CF0">
                    <w:pPr>
                      <w:pStyle w:val="12"/>
                    </w:pPr>
                    <w:r>
                      <w:fldChar w:fldCharType="begin"/>
                    </w:r>
                    <w:r>
                      <w:instrText xml:space="preserve"> PAGE  \* MERGEFORMAT </w:instrText>
                    </w:r>
                    <w:r>
                      <w:fldChar w:fldCharType="separate"/>
                    </w:r>
                    <w:r>
                      <w:t>12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13187">
    <w:pPr>
      <w:pStyle w:val="14"/>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5" b="30"/>
          <wp:docPr id="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
                  <pic:cNvPicPr>
                    <a:picLocks noChangeAspect="1"/>
                  </pic:cNvPicPr>
                </pic:nvPicPr>
                <pic:blipFill>
                  <a:blip r:embed="rId1"/>
                  <a:stretch>
                    <a:fillRect/>
                  </a:stretch>
                </pic:blipFill>
                <pic:spPr>
                  <a:xfrm>
                    <a:off x="0" y="0"/>
                    <a:ext cx="325755" cy="273050"/>
                  </a:xfrm>
                  <a:prstGeom prst="rect">
                    <a:avLst/>
                  </a:prstGeom>
                  <a:noFill/>
                  <a:ln w="9525" cap="flat" cmpd="sng">
                    <a:noFill/>
                    <a:prstDash val="solid"/>
                    <a:round/>
                  </a:ln>
                </pic:spPr>
              </pic:pic>
            </a:graphicData>
          </a:graphic>
        </wp:inline>
      </w:drawing>
    </w:r>
    <w:r>
      <w:rPr>
        <w:rFonts w:hint="eastAsia"/>
        <w:b/>
        <w:sz w:val="16"/>
        <w:szCs w:val="16"/>
        <w:u w:val="single"/>
      </w:rPr>
      <w:t>杭州华旗招标代理有限公司</w:t>
    </w:r>
    <w:r>
      <w:rPr>
        <w:rFonts w:hint="eastAsia"/>
        <w:sz w:val="16"/>
        <w:szCs w:val="16"/>
        <w:u w:val="single"/>
      </w:rPr>
      <w:t xml:space="preserve"> </w:t>
    </w:r>
    <w:r>
      <w:rPr>
        <w:rFonts w:hint="eastAsia"/>
        <w:sz w:val="18"/>
        <w:szCs w:val="18"/>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2969">
    <w:pPr>
      <w:pStyle w:val="14"/>
    </w:pPr>
    <w:r>
      <w:rPr>
        <w:u w:val="single"/>
      </w:rPr>
      <w:drawing>
        <wp:inline distT="0" distB="0" distL="114300" distR="114300">
          <wp:extent cx="325755" cy="273050"/>
          <wp:effectExtent l="0" t="0" r="6" b="30"/>
          <wp:docPr id="4"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公司标志"/>
                  <pic:cNvPicPr>
                    <a:picLocks noChangeAspect="1"/>
                  </pic:cNvPicPr>
                </pic:nvPicPr>
                <pic:blipFill>
                  <a:blip r:embed="rId1"/>
                  <a:stretch>
                    <a:fillRect/>
                  </a:stretch>
                </pic:blipFill>
                <pic:spPr>
                  <a:xfrm>
                    <a:off x="0" y="0"/>
                    <a:ext cx="325755" cy="273050"/>
                  </a:xfrm>
                  <a:prstGeom prst="rect">
                    <a:avLst/>
                  </a:prstGeom>
                  <a:noFill/>
                  <a:ln w="9525" cap="flat" cmpd="sng">
                    <a:noFill/>
                    <a:prstDash val="solid"/>
                    <a:round/>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7E7C2">
    <w:pPr>
      <w:pStyle w:val="14"/>
      <w:rPr>
        <w:u w:val="single"/>
      </w:rPr>
    </w:pPr>
    <w:r>
      <w:rPr>
        <w:sz w:val="18"/>
        <w:szCs w:val="18"/>
        <w:u w:val="single"/>
      </w:rPr>
      <w:drawing>
        <wp:inline distT="0" distB="0" distL="114300" distR="114300">
          <wp:extent cx="325755" cy="273050"/>
          <wp:effectExtent l="0" t="0" r="6" b="30"/>
          <wp:docPr id="9"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公司标志"/>
                  <pic:cNvPicPr>
                    <a:picLocks noChangeAspect="1"/>
                  </pic:cNvPicPr>
                </pic:nvPicPr>
                <pic:blipFill>
                  <a:blip r:embed="rId1"/>
                  <a:stretch>
                    <a:fillRect/>
                  </a:stretch>
                </pic:blipFill>
                <pic:spPr>
                  <a:xfrm>
                    <a:off x="0" y="0"/>
                    <a:ext cx="325755" cy="273050"/>
                  </a:xfrm>
                  <a:prstGeom prst="rect">
                    <a:avLst/>
                  </a:prstGeom>
                  <a:noFill/>
                  <a:ln w="9525" cap="flat" cmpd="sng">
                    <a:noFill/>
                    <a:prstDash val="solid"/>
                    <a:round/>
                  </a:ln>
                </pic:spPr>
              </pic:pic>
            </a:graphicData>
          </a:graphic>
        </wp:inline>
      </w:drawing>
    </w:r>
    <w:r>
      <w:rPr>
        <w:rFonts w:hint="eastAsia"/>
        <w:b/>
        <w:sz w:val="18"/>
        <w:szCs w:val="18"/>
        <w:u w:val="single"/>
      </w:rPr>
      <w:t>杭州华旗招标代理有限公司</w:t>
    </w:r>
    <w:r>
      <w:rPr>
        <w:rFonts w:hint="eastAsia"/>
        <w:sz w:val="18"/>
        <w:szCs w:val="18"/>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7B88E">
    <w:pPr>
      <w:pStyle w:val="14"/>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45440" cy="288925"/>
          <wp:effectExtent l="0" t="0" r="31" b="20"/>
          <wp:docPr id="1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公司标志"/>
                  <pic:cNvPicPr>
                    <a:picLocks noChangeAspect="1"/>
                  </pic:cNvPicPr>
                </pic:nvPicPr>
                <pic:blipFill>
                  <a:blip r:embed="rId1"/>
                  <a:stretch>
                    <a:fillRect/>
                  </a:stretch>
                </pic:blipFill>
                <pic:spPr>
                  <a:xfrm>
                    <a:off x="0" y="0"/>
                    <a:ext cx="345440" cy="288925"/>
                  </a:xfrm>
                  <a:prstGeom prst="rect">
                    <a:avLst/>
                  </a:prstGeom>
                  <a:noFill/>
                  <a:ln w="9525" cap="flat" cmpd="sng">
                    <a:noFill/>
                    <a:prstDash val="solid"/>
                    <a:round/>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374CF"/>
    <w:multiLevelType w:val="singleLevel"/>
    <w:tmpl w:val="DDC374CF"/>
    <w:lvl w:ilvl="0" w:tentative="0">
      <w:start w:val="1"/>
      <w:numFmt w:val="decimal"/>
      <w:lvlText w:val="%1."/>
      <w:lvlJc w:val="left"/>
      <w:pPr>
        <w:ind w:left="425" w:hanging="425"/>
      </w:pPr>
      <w:rPr>
        <w:rFonts w:hint="default"/>
      </w:rPr>
    </w:lvl>
  </w:abstractNum>
  <w:abstractNum w:abstractNumId="1">
    <w:nsid w:val="FBB0A722"/>
    <w:multiLevelType w:val="singleLevel"/>
    <w:tmpl w:val="FBB0A722"/>
    <w:lvl w:ilvl="0" w:tentative="0">
      <w:start w:val="4"/>
      <w:numFmt w:val="chineseCounting"/>
      <w:suff w:val="nothing"/>
      <w:lvlText w:val="%1、"/>
      <w:lvlJc w:val="left"/>
      <w:pPr>
        <w:ind w:left="0" w:firstLine="0"/>
      </w:pPr>
      <w:rPr>
        <w:rFonts w:hint="eastAsia"/>
      </w:rPr>
    </w:lvl>
  </w:abstractNum>
  <w:abstractNum w:abstractNumId="2">
    <w:nsid w:val="00000002"/>
    <w:multiLevelType w:val="singleLevel"/>
    <w:tmpl w:val="00000002"/>
    <w:lvl w:ilvl="0" w:tentative="0">
      <w:start w:val="1"/>
      <w:numFmt w:val="decimal"/>
      <w:suff w:val="space"/>
      <w:lvlText w:val="%1."/>
      <w:lvlJc w:val="left"/>
      <w:pPr>
        <w:ind w:left="0" w:firstLine="0"/>
      </w:pPr>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1D6C6E16"/>
    <w:multiLevelType w:val="multilevel"/>
    <w:tmpl w:val="1D6C6E16"/>
    <w:lvl w:ilvl="0" w:tentative="0">
      <w:start w:val="1"/>
      <w:numFmt w:val="decimal"/>
      <w:lvlText w:val="(%1)"/>
      <w:lvlJc w:val="left"/>
      <w:pPr>
        <w:tabs>
          <w:tab w:val="left" w:pos="420"/>
        </w:tabs>
        <w:ind w:left="420" w:hanging="420"/>
      </w:pPr>
      <w:rPr>
        <w:rFonts w:hint="eastAsia"/>
        <w:b w:val="0"/>
        <w:bCs/>
        <w:i w:val="0"/>
        <w:iCs w:val="0"/>
        <w:caps w:val="0"/>
        <w:smallCaps w:val="0"/>
        <w:strike w:val="0"/>
        <w:dstrike w:val="0"/>
        <w:vanish w:val="0"/>
        <w:color w:val="auto"/>
        <w:spacing w:val="0"/>
        <w:w w:val="100"/>
        <w:kern w:val="44"/>
        <w:position w:val="0"/>
        <w:sz w:val="22"/>
        <w:szCs w:val="22"/>
        <w:u w:val="none"/>
        <w:vertAlign w:val="baseline"/>
      </w:rPr>
    </w:lvl>
    <w:lvl w:ilvl="1" w:tentative="0">
      <w:start w:val="1"/>
      <w:numFmt w:val="decimal"/>
      <w:isLgl/>
      <w:lvlText w:val="%1.%2"/>
      <w:lvlJc w:val="left"/>
      <w:pPr>
        <w:tabs>
          <w:tab w:val="left" w:pos="747"/>
        </w:tabs>
        <w:ind w:left="747" w:hanging="747"/>
      </w:pPr>
      <w:rPr>
        <w:rFonts w:hint="eastAsia"/>
      </w:rPr>
    </w:lvl>
    <w:lvl w:ilvl="2" w:tentative="0">
      <w:start w:val="1"/>
      <w:numFmt w:val="decimal"/>
      <w:isLgl/>
      <w:lvlText w:val="%1.%2.%3"/>
      <w:lvlJc w:val="left"/>
      <w:pPr>
        <w:tabs>
          <w:tab w:val="left" w:pos="1080"/>
        </w:tabs>
        <w:ind w:left="709" w:hanging="709"/>
      </w:pPr>
      <w:rPr>
        <w:rFonts w:hint="eastAsia"/>
      </w:rPr>
    </w:lvl>
    <w:lvl w:ilvl="3" w:tentative="0">
      <w:start w:val="1"/>
      <w:numFmt w:val="decimal"/>
      <w:isLgl/>
      <w:lvlText w:val="%1.%2.%3.%4"/>
      <w:lvlJc w:val="left"/>
      <w:pPr>
        <w:tabs>
          <w:tab w:val="left" w:pos="1440"/>
        </w:tabs>
        <w:ind w:left="851" w:hanging="851"/>
      </w:pPr>
      <w:rPr>
        <w:rFonts w:hint="eastAsia"/>
      </w:rPr>
    </w:lvl>
    <w:lvl w:ilvl="4" w:tentative="0">
      <w:start w:val="1"/>
      <w:numFmt w:val="decimal"/>
      <w:isLgl/>
      <w:lvlText w:val="%1.%2.%3.%4.%5"/>
      <w:lvlJc w:val="left"/>
      <w:pPr>
        <w:tabs>
          <w:tab w:val="left" w:pos="1800"/>
        </w:tabs>
        <w:ind w:left="992" w:hanging="992"/>
      </w:pPr>
      <w:rPr>
        <w:rFonts w:hint="eastAsia"/>
      </w:rPr>
    </w:lvl>
    <w:lvl w:ilvl="5" w:tentative="0">
      <w:start w:val="1"/>
      <w:numFmt w:val="decimal"/>
      <w:lvlText w:val="%1.%2.%3.%4.%5.%6"/>
      <w:lvlJc w:val="left"/>
      <w:pPr>
        <w:tabs>
          <w:tab w:val="left" w:pos="216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3392FED1"/>
    <w:multiLevelType w:val="singleLevel"/>
    <w:tmpl w:val="3392FED1"/>
    <w:lvl w:ilvl="0" w:tentative="0">
      <w:start w:val="3"/>
      <w:numFmt w:val="decimal"/>
      <w:lvlText w:val="%1."/>
      <w:lvlJc w:val="left"/>
      <w:pPr>
        <w:tabs>
          <w:tab w:val="left" w:pos="312"/>
        </w:tabs>
        <w:ind w:left="0" w:firstLine="0"/>
      </w:pPr>
    </w:lvl>
  </w:abstractNum>
  <w:abstractNum w:abstractNumId="6">
    <w:nsid w:val="599289D4"/>
    <w:multiLevelType w:val="singleLevel"/>
    <w:tmpl w:val="599289D4"/>
    <w:lvl w:ilvl="0" w:tentative="0">
      <w:start w:val="1"/>
      <w:numFmt w:val="decimal"/>
      <w:lvlText w:val="%1."/>
      <w:lvlJc w:val="left"/>
      <w:pPr>
        <w:ind w:left="425" w:hanging="425"/>
      </w:pPr>
      <w:rPr>
        <w:rFonts w:hint="default"/>
      </w:rPr>
    </w:lvl>
  </w:abstractNum>
  <w:abstractNum w:abstractNumId="7">
    <w:nsid w:val="599289EC"/>
    <w:multiLevelType w:val="singleLevel"/>
    <w:tmpl w:val="599289EC"/>
    <w:lvl w:ilvl="0" w:tentative="0">
      <w:start w:val="1"/>
      <w:numFmt w:val="decimal"/>
      <w:lvlText w:val="%1."/>
      <w:lvlJc w:val="left"/>
      <w:pPr>
        <w:ind w:left="425" w:hanging="425"/>
      </w:pPr>
      <w:rPr>
        <w:rFonts w:hint="default" w:cs="Times New Roman"/>
      </w:rPr>
    </w:lvl>
  </w:abstractNum>
  <w:num w:numId="1">
    <w:abstractNumId w:val="3"/>
  </w:num>
  <w:num w:numId="2">
    <w:abstractNumId w:val="4"/>
  </w:num>
  <w:num w:numId="3">
    <w:abstractNumId w:val="5"/>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0"/>
  <w:defaultTabStop w:val="420"/>
  <w:drawingGridHorizontalSpacing w:val="106"/>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GZlNjk0ZGYzYzk1OTZiYzA2NTYwZTg1ODY0OGMwOGEifQ=="/>
    <w:docVar w:name="KSO_WPS_MARK_KEY" w:val="07e88ac6-8db8-4a65-8d94-f4c00e658b2e"/>
  </w:docVars>
  <w:rsids>
    <w:rsidRoot w:val="00000000"/>
    <w:rsid w:val="18840F36"/>
    <w:rsid w:val="19DA5977"/>
    <w:rsid w:val="1A083D99"/>
    <w:rsid w:val="1C4F709D"/>
    <w:rsid w:val="1E141872"/>
    <w:rsid w:val="1E58639D"/>
    <w:rsid w:val="2E960B5C"/>
    <w:rsid w:val="30384BE2"/>
    <w:rsid w:val="34726DDA"/>
    <w:rsid w:val="36521755"/>
    <w:rsid w:val="42C7316C"/>
    <w:rsid w:val="499C3FF5"/>
    <w:rsid w:val="54FF5755"/>
    <w:rsid w:val="5777281B"/>
    <w:rsid w:val="591E1E9E"/>
    <w:rsid w:val="5BF65D7F"/>
    <w:rsid w:val="62733E7A"/>
    <w:rsid w:val="64272358"/>
    <w:rsid w:val="6A942E01"/>
    <w:rsid w:val="6D640685"/>
    <w:rsid w:val="77B679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50" w:beforeLines="50" w:after="50" w:afterLines="50" w:line="360" w:lineRule="auto"/>
      <w:outlineLvl w:val="0"/>
    </w:pPr>
    <w:rPr>
      <w:rFonts w:ascii="仿宋_GB2312" w:eastAsia="仿宋_GB2312"/>
      <w:b/>
      <w:bCs/>
      <w:sz w:val="32"/>
      <w:szCs w:val="32"/>
    </w:rPr>
  </w:style>
  <w:style w:type="paragraph" w:styleId="3">
    <w:name w:val="heading 2"/>
    <w:basedOn w:val="4"/>
    <w:next w:val="1"/>
    <w:qFormat/>
    <w:uiPriority w:val="0"/>
    <w:pPr>
      <w:keepNext/>
      <w:keepLines/>
      <w:widowControl/>
      <w:spacing w:before="100" w:beforeAutospacing="1" w:after="100" w:afterAutospacing="1"/>
      <w:jc w:val="left"/>
      <w:outlineLvl w:val="1"/>
    </w:pPr>
    <w:rPr>
      <w:rFonts w:eastAsia="等线"/>
      <w:kern w:val="0"/>
      <w:sz w:val="36"/>
      <w:szCs w:val="36"/>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27">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rPr>
      <w:kern w:val="0"/>
      <w:sz w:val="20"/>
      <w:szCs w:val="20"/>
    </w:rPr>
  </w:style>
  <w:style w:type="paragraph" w:styleId="8">
    <w:name w:val="Body Text Indent"/>
    <w:basedOn w:val="1"/>
    <w:next w:val="5"/>
    <w:qFormat/>
    <w:uiPriority w:val="0"/>
    <w:pPr>
      <w:ind w:left="200" w:hanging="200" w:hangingChars="200"/>
    </w:pPr>
    <w:rPr>
      <w:sz w:val="24"/>
    </w:rPr>
  </w:style>
  <w:style w:type="paragraph" w:styleId="9">
    <w:name w:val="Block Text"/>
    <w:basedOn w:val="1"/>
    <w:qFormat/>
    <w:uiPriority w:val="0"/>
    <w:pPr>
      <w:adjustRightInd w:val="0"/>
      <w:spacing w:line="300" w:lineRule="auto"/>
      <w:ind w:left="958" w:right="-120" w:rightChars="-120"/>
      <w:jc w:val="left"/>
    </w:pPr>
    <w:rPr>
      <w:rFonts w:ascii="宋体" w:hAnsi="宋体"/>
      <w:sz w:val="28"/>
    </w:rPr>
  </w:style>
  <w:style w:type="paragraph" w:styleId="10">
    <w:name w:val="Plain Text"/>
    <w:basedOn w:val="1"/>
    <w:qFormat/>
    <w:uiPriority w:val="0"/>
    <w:rPr>
      <w:rFonts w:ascii="宋体" w:hAnsi="Courier New"/>
      <w:kern w:val="0"/>
      <w:szCs w:val="21"/>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kern w:val="0"/>
      <w:sz w:val="18"/>
      <w:szCs w:val="18"/>
    </w:rPr>
  </w:style>
  <w:style w:type="paragraph" w:styleId="15">
    <w:name w:val="toc 1"/>
    <w:basedOn w:val="1"/>
    <w:next w:val="1"/>
    <w:qFormat/>
    <w:uiPriority w:val="0"/>
  </w:style>
  <w:style w:type="paragraph" w:styleId="16">
    <w:name w:val="Subtitle"/>
    <w:basedOn w:val="1"/>
    <w:next w:val="1"/>
    <w:qFormat/>
    <w:uiPriority w:val="0"/>
    <w:pPr>
      <w:widowControl/>
      <w:adjustRightInd w:val="0"/>
      <w:snapToGrid w:val="0"/>
      <w:spacing w:before="240" w:after="60" w:line="312" w:lineRule="auto"/>
      <w:jc w:val="center"/>
      <w:outlineLvl w:val="1"/>
    </w:pPr>
    <w:rPr>
      <w:rFonts w:ascii="Cambria" w:hAnsi="Cambria"/>
      <w:bCs/>
      <w:kern w:val="28"/>
      <w:sz w:val="32"/>
      <w:szCs w:val="32"/>
    </w:rPr>
  </w:style>
  <w:style w:type="paragraph" w:styleId="17">
    <w:name w:val="toc 6"/>
    <w:basedOn w:val="1"/>
    <w:next w:val="1"/>
    <w:qFormat/>
    <w:uiPriority w:val="0"/>
    <w:pPr>
      <w:ind w:left="1050"/>
      <w:jc w:val="left"/>
    </w:pPr>
    <w:rPr>
      <w:rFonts w:ascii="Century Gothic" w:hAnsi="Century Gothic"/>
      <w:sz w:val="18"/>
      <w:szCs w:val="18"/>
    </w:rPr>
  </w:style>
  <w:style w:type="paragraph" w:styleId="18">
    <w:name w:val="table of figures"/>
    <w:basedOn w:val="1"/>
    <w:next w:val="1"/>
    <w:qFormat/>
    <w:uiPriority w:val="0"/>
    <w:pPr>
      <w:ind w:left="400" w:leftChars="200" w:hanging="200" w:hangingChars="200"/>
    </w:pPr>
  </w:style>
  <w:style w:type="paragraph" w:styleId="19">
    <w:name w:val="toc 2"/>
    <w:basedOn w:val="1"/>
    <w:next w:val="1"/>
    <w:qFormat/>
    <w:uiPriority w:val="0"/>
    <w:pPr>
      <w:ind w:left="200" w:leftChars="200"/>
    </w:pPr>
    <w:rPr>
      <w:szCs w:val="24"/>
    </w:rPr>
  </w:style>
  <w:style w:type="paragraph" w:styleId="20">
    <w:name w:val="Body Text 2"/>
    <w:basedOn w:val="1"/>
    <w:qFormat/>
    <w:uiPriority w:val="0"/>
    <w:pPr>
      <w:ind w:right="-244" w:rightChars="-244"/>
    </w:pPr>
    <w:rPr>
      <w:rFonts w:ascii="宋体"/>
      <w:sz w:val="24"/>
    </w:rPr>
  </w:style>
  <w:style w:type="paragraph" w:styleId="21">
    <w:name w:val="Normal (Web)"/>
    <w:basedOn w:val="1"/>
    <w:qFormat/>
    <w:uiPriority w:val="0"/>
    <w:pPr>
      <w:widowControl/>
      <w:spacing w:after="50" w:afterLines="50"/>
      <w:jc w:val="left"/>
    </w:pPr>
    <w:rPr>
      <w:rFonts w:ascii="长城仿宋" w:hAnsi="长城仿宋" w:eastAsia="Arial Unicode MS"/>
      <w:sz w:val="24"/>
    </w:rPr>
  </w:style>
  <w:style w:type="paragraph" w:styleId="22">
    <w:name w:val="Title"/>
    <w:basedOn w:val="1"/>
    <w:next w:val="1"/>
    <w:qFormat/>
    <w:uiPriority w:val="0"/>
    <w:pPr>
      <w:spacing w:before="240" w:after="60"/>
      <w:jc w:val="center"/>
      <w:outlineLvl w:val="0"/>
    </w:pPr>
    <w:rPr>
      <w:rFonts w:ascii="Arial" w:hAnsi="Arial"/>
      <w:sz w:val="32"/>
      <w:szCs w:val="32"/>
    </w:rPr>
  </w:style>
  <w:style w:type="paragraph" w:styleId="23">
    <w:name w:val="annotation subject"/>
    <w:basedOn w:val="6"/>
    <w:next w:val="6"/>
    <w:qFormat/>
    <w:uiPriority w:val="0"/>
    <w:rPr>
      <w:b/>
      <w:bCs/>
    </w:rPr>
  </w:style>
  <w:style w:type="paragraph" w:styleId="24">
    <w:name w:val="Body Text First Indent"/>
    <w:basedOn w:val="7"/>
    <w:next w:val="1"/>
    <w:qFormat/>
    <w:uiPriority w:val="0"/>
    <w:pPr>
      <w:spacing w:line="312" w:lineRule="auto"/>
      <w:ind w:firstLine="420"/>
    </w:pPr>
    <w:rPr>
      <w:szCs w:val="24"/>
    </w:rPr>
  </w:style>
  <w:style w:type="paragraph" w:styleId="25">
    <w:name w:val="Body Text First Indent 2"/>
    <w:basedOn w:val="8"/>
    <w:next w:val="1"/>
    <w:qFormat/>
    <w:uiPriority w:val="0"/>
    <w:pPr>
      <w:spacing w:after="120"/>
      <w:ind w:left="200" w:leftChars="200"/>
    </w:pPr>
    <w:rPr>
      <w:rFonts w:cs="宋体"/>
      <w:sz w:val="21"/>
      <w:szCs w:val="21"/>
    </w:rPr>
  </w:style>
  <w:style w:type="character" w:styleId="28">
    <w:name w:val="Strong"/>
    <w:qFormat/>
    <w:uiPriority w:val="0"/>
    <w:rPr>
      <w:b/>
      <w:bCs/>
    </w:rPr>
  </w:style>
  <w:style w:type="character" w:styleId="29">
    <w:name w:val="annotation reference"/>
    <w:basedOn w:val="27"/>
    <w:qFormat/>
    <w:uiPriority w:val="0"/>
    <w:rPr>
      <w:sz w:val="21"/>
      <w:szCs w:val="21"/>
    </w:rPr>
  </w:style>
  <w:style w:type="paragraph" w:customStyle="1" w:styleId="30">
    <w:name w:val="表格文字"/>
    <w:basedOn w:val="10"/>
    <w:next w:val="7"/>
    <w:qFormat/>
    <w:uiPriority w:val="0"/>
    <w:pPr>
      <w:adjustRightInd w:val="0"/>
      <w:spacing w:line="420" w:lineRule="atLeast"/>
      <w:jc w:val="left"/>
      <w:textAlignment w:val="baseline"/>
    </w:pPr>
    <w:rPr>
      <w:rFonts w:ascii="Times New Roman" w:hAnsi="Times New Roman"/>
      <w:szCs w:val="24"/>
    </w:rPr>
  </w:style>
  <w:style w:type="paragraph" w:customStyle="1" w:styleId="31">
    <w:name w:val="Normal Indent1"/>
    <w:basedOn w:val="1"/>
    <w:qFormat/>
    <w:uiPriority w:val="0"/>
    <w:pPr>
      <w:ind w:firstLine="200" w:firstLineChars="200"/>
    </w:pPr>
  </w:style>
  <w:style w:type="paragraph" w:customStyle="1" w:styleId="32">
    <w:name w:val="Plain Text1"/>
    <w:basedOn w:val="1"/>
    <w:qFormat/>
    <w:uiPriority w:val="0"/>
    <w:rPr>
      <w:rFonts w:ascii="宋体" w:hAnsi="Courier New"/>
      <w:szCs w:val="20"/>
    </w:rPr>
  </w:style>
  <w:style w:type="paragraph" w:customStyle="1" w:styleId="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34">
    <w:name w:val="正文2"/>
    <w:basedOn w:val="1"/>
    <w:next w:val="15"/>
    <w:qFormat/>
    <w:uiPriority w:val="0"/>
    <w:pPr>
      <w:spacing w:before="156" w:line="360" w:lineRule="auto"/>
      <w:ind w:firstLine="200" w:firstLineChars="200"/>
    </w:pPr>
    <w:rPr>
      <w:sz w:val="24"/>
      <w:szCs w:val="20"/>
    </w:rPr>
  </w:style>
  <w:style w:type="paragraph" w:customStyle="1" w:styleId="35">
    <w:name w:val="列出段落1"/>
    <w:basedOn w:val="1"/>
    <w:qFormat/>
    <w:uiPriority w:val="0"/>
    <w:pPr>
      <w:ind w:firstLine="200" w:firstLineChars="200"/>
    </w:pPr>
  </w:style>
  <w:style w:type="paragraph" w:customStyle="1" w:styleId="3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7">
    <w:name w:val="正文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8">
    <w:name w:val="纯文本1"/>
    <w:basedOn w:val="37"/>
    <w:qFormat/>
    <w:uiPriority w:val="0"/>
    <w:pPr>
      <w:widowControl/>
      <w:jc w:val="left"/>
    </w:pPr>
    <w:rPr>
      <w:rFonts w:ascii="宋体" w:hAnsi="Courier New"/>
    </w:rPr>
  </w:style>
  <w:style w:type="paragraph" w:customStyle="1" w:styleId="39">
    <w:name w:val="章正文"/>
    <w:basedOn w:val="1"/>
    <w:qFormat/>
    <w:uiPriority w:val="0"/>
    <w:pPr>
      <w:spacing w:before="50" w:beforeLines="50" w:after="120" w:line="300" w:lineRule="auto"/>
      <w:ind w:firstLine="480"/>
    </w:pPr>
    <w:rPr>
      <w:rFonts w:ascii="Helvetica" w:hAnsi="Helvetica"/>
      <w:kern w:val="0"/>
    </w:rPr>
  </w:style>
  <w:style w:type="character" w:customStyle="1" w:styleId="40">
    <w:name w:val="font21"/>
    <w:basedOn w:val="27"/>
    <w:qFormat/>
    <w:uiPriority w:val="0"/>
    <w:rPr>
      <w:rFonts w:ascii="宋体" w:hAnsi="宋体" w:eastAsia="宋体" w:cs="宋体"/>
      <w:color w:val="000000"/>
      <w:sz w:val="21"/>
      <w:szCs w:val="21"/>
      <w:u w:val="none"/>
    </w:rPr>
  </w:style>
  <w:style w:type="character" w:customStyle="1" w:styleId="41">
    <w:name w:val="font31"/>
    <w:basedOn w:val="27"/>
    <w:qFormat/>
    <w:uiPriority w:val="0"/>
    <w:rPr>
      <w:rFonts w:ascii="宋体" w:hAnsi="宋体" w:eastAsia="宋体" w:cs="宋体"/>
      <w:color w:val="000000"/>
      <w:sz w:val="24"/>
      <w:szCs w:val="24"/>
      <w:u w:val="none"/>
    </w:rPr>
  </w:style>
  <w:style w:type="paragraph" w:styleId="42">
    <w:name w:val="List Paragraph"/>
    <w:basedOn w:val="1"/>
    <w:qFormat/>
    <w:uiPriority w:val="0"/>
    <w:pPr>
      <w:ind w:firstLine="200" w:firstLineChars="200"/>
    </w:pPr>
  </w:style>
  <w:style w:type="paragraph" w:customStyle="1" w:styleId="43">
    <w:name w:val="正文C"/>
    <w:basedOn w:val="1"/>
    <w:qFormat/>
    <w:uiPriority w:val="0"/>
    <w:pPr>
      <w:spacing w:line="360" w:lineRule="auto"/>
      <w:ind w:firstLine="200" w:firstLineChars="200"/>
    </w:pPr>
    <w:rPr>
      <w:sz w:val="24"/>
      <w:szCs w:val="24"/>
    </w:rPr>
  </w:style>
  <w:style w:type="paragraph" w:customStyle="1" w:styleId="44">
    <w:name w:val="修订1"/>
    <w:qFormat/>
    <w:uiPriority w:val="0"/>
    <w:rPr>
      <w:rFonts w:ascii="Times New Roman" w:hAnsi="Times New Roman" w:eastAsia="宋体" w:cs="Times New Roman"/>
      <w:kern w:val="2"/>
      <w:sz w:val="21"/>
      <w:szCs w:val="22"/>
      <w:lang w:val="en-US" w:eastAsia="zh-CN" w:bidi="ar-SA"/>
    </w:rPr>
  </w:style>
  <w:style w:type="paragraph" w:customStyle="1" w:styleId="45">
    <w:name w:val="标题2"/>
    <w:basedOn w:val="1"/>
    <w:qFormat/>
    <w:uiPriority w:val="0"/>
    <w:pPr>
      <w:spacing w:before="50" w:beforeLines="50" w:after="50" w:afterLines="50" w:line="360" w:lineRule="auto"/>
      <w:outlineLvl w:val="1"/>
    </w:pPr>
    <w:rPr>
      <w:rFonts w:ascii="宋体" w:hAnsi="宋体"/>
      <w:b/>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34619-63EC-4F63-B5DD-80EB74EFA9BB}">
  <ds:schemaRefs/>
</ds:datastoreItem>
</file>

<file path=docProps/app.xml><?xml version="1.0" encoding="utf-8"?>
<Properties xmlns="http://schemas.openxmlformats.org/officeDocument/2006/extended-properties" xmlns:vt="http://schemas.openxmlformats.org/officeDocument/2006/docPropsVTypes">
  <Template>Normal.eit</Template>
  <Pages>54</Pages>
  <Words>12674</Words>
  <Characters>13876</Characters>
  <Lines>0</Lines>
  <Paragraphs>823</Paragraphs>
  <TotalTime>1</TotalTime>
  <ScaleCrop>false</ScaleCrop>
  <LinksUpToDate>false</LinksUpToDate>
  <CharactersWithSpaces>14327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2022-06-10T03:54:00Z</dcterms:created>
  <dc:creator>huawei</dc:creator>
  <cp:lastModifiedBy>huawei</cp:lastModifiedBy>
  <dcterms:modified xsi:type="dcterms:W3CDTF">2025-02-24T02:01:55Z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94C86BA413C8474E97ACDFF179EC2911</vt:lpwstr>
  </property>
  <property fmtid="{D5CDD505-2E9C-101B-9397-08002B2CF9AE}" pid="4" name="KSOTemplateDocerSaveRecord">
    <vt:lpwstr>eyJoZGlkIjoiZGZlNjk0ZGYzYzk1OTZiYzA2NTYwZTg1ODY0OGMwOGEifQ==</vt:lpwstr>
  </property>
</Properties>
</file>