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49844B">
      <w:pPr>
        <w:tabs>
          <w:tab w:val="left" w:pos="1069"/>
          <w:tab w:val="left" w:pos="2352"/>
        </w:tabs>
        <w:jc w:val="center"/>
        <w:rPr>
          <w:rFonts w:ascii="宋体" w:hAnsi="宋体" w:cs="宋体"/>
          <w:b/>
          <w:bCs/>
          <w:color w:val="auto"/>
          <w:spacing w:val="100"/>
          <w:sz w:val="72"/>
          <w:szCs w:val="72"/>
          <w:highlight w:val="none"/>
        </w:rPr>
      </w:pPr>
      <w:bookmarkStart w:id="267" w:name="_GoBack"/>
      <w:bookmarkEnd w:id="267"/>
    </w:p>
    <w:p w14:paraId="3078C3F9">
      <w:pPr>
        <w:tabs>
          <w:tab w:val="left" w:pos="1069"/>
          <w:tab w:val="left" w:pos="2352"/>
        </w:tabs>
        <w:jc w:val="center"/>
        <w:rPr>
          <w:rFonts w:ascii="宋体" w:hAnsi="宋体" w:cs="宋体"/>
          <w:b/>
          <w:bCs/>
          <w:color w:val="auto"/>
          <w:spacing w:val="100"/>
          <w:sz w:val="72"/>
          <w:szCs w:val="72"/>
          <w:highlight w:val="none"/>
        </w:rPr>
      </w:pPr>
      <w:r>
        <w:rPr>
          <w:rFonts w:hint="eastAsia" w:ascii="宋体" w:hAnsi="宋体" w:cs="宋体"/>
          <w:b/>
          <w:bCs/>
          <w:color w:val="auto"/>
          <w:spacing w:val="100"/>
          <w:sz w:val="72"/>
          <w:szCs w:val="72"/>
          <w:highlight w:val="none"/>
        </w:rPr>
        <w:t>泰顺县政府采购</w:t>
      </w:r>
    </w:p>
    <w:p w14:paraId="482922A2">
      <w:pPr>
        <w:tabs>
          <w:tab w:val="left" w:pos="1069"/>
          <w:tab w:val="left" w:pos="2352"/>
        </w:tabs>
        <w:jc w:val="center"/>
        <w:rPr>
          <w:rFonts w:ascii="宋体" w:hAnsi="宋体" w:cs="宋体"/>
          <w:b/>
          <w:bCs/>
          <w:color w:val="auto"/>
          <w:kern w:val="0"/>
          <w:szCs w:val="24"/>
          <w:highlight w:val="none"/>
        </w:rPr>
      </w:pPr>
    </w:p>
    <w:p w14:paraId="0A068EAF">
      <w:pPr>
        <w:pStyle w:val="39"/>
        <w:tabs>
          <w:tab w:val="left" w:pos="1069"/>
          <w:tab w:val="left" w:pos="2352"/>
        </w:tabs>
        <w:rPr>
          <w:rFonts w:hint="eastAsia" w:ascii="宋体" w:hAnsi="宋体" w:eastAsia="宋体" w:cs="宋体"/>
          <w:color w:val="auto"/>
          <w:highlight w:val="none"/>
          <w:lang w:eastAsia="zh-CN"/>
        </w:rPr>
      </w:pPr>
    </w:p>
    <w:p w14:paraId="575CD58A">
      <w:pPr>
        <w:pStyle w:val="9"/>
        <w:rPr>
          <w:rFonts w:hint="eastAsia" w:ascii="宋体" w:hAnsi="宋体" w:eastAsia="宋体" w:cs="宋体"/>
          <w:color w:val="auto"/>
          <w:highlight w:val="none"/>
          <w:lang w:eastAsia="zh-CN"/>
        </w:rPr>
      </w:pPr>
    </w:p>
    <w:p w14:paraId="5656FA77">
      <w:pPr>
        <w:pStyle w:val="10"/>
        <w:rPr>
          <w:rFonts w:hint="eastAsia"/>
          <w:color w:val="auto"/>
          <w:highlight w:val="none"/>
          <w:lang w:eastAsia="zh-CN"/>
        </w:rPr>
      </w:pPr>
    </w:p>
    <w:p w14:paraId="386116DE">
      <w:pPr>
        <w:pStyle w:val="9"/>
        <w:tabs>
          <w:tab w:val="left" w:pos="1069"/>
          <w:tab w:val="left" w:pos="2352"/>
        </w:tabs>
        <w:rPr>
          <w:rFonts w:ascii="宋体" w:hAnsi="宋体" w:cs="宋体"/>
          <w:b/>
          <w:color w:val="auto"/>
          <w:szCs w:val="24"/>
          <w:highlight w:val="none"/>
        </w:rPr>
      </w:pPr>
    </w:p>
    <w:p w14:paraId="2D41A109">
      <w:pPr>
        <w:rPr>
          <w:color w:val="auto"/>
          <w:highlight w:val="none"/>
        </w:rPr>
      </w:pPr>
    </w:p>
    <w:p w14:paraId="70456528">
      <w:pPr>
        <w:rPr>
          <w:rFonts w:ascii="宋体" w:hAnsi="宋体" w:cs="宋体"/>
          <w:b/>
          <w:color w:val="auto"/>
          <w:szCs w:val="24"/>
          <w:highlight w:val="none"/>
        </w:rPr>
      </w:pPr>
    </w:p>
    <w:p w14:paraId="45D70045">
      <w:pPr>
        <w:pStyle w:val="9"/>
        <w:tabs>
          <w:tab w:val="left" w:pos="1069"/>
          <w:tab w:val="left" w:pos="2352"/>
        </w:tabs>
        <w:rPr>
          <w:rFonts w:ascii="宋体" w:hAnsi="宋体" w:cs="宋体"/>
          <w:b/>
          <w:color w:val="auto"/>
          <w:szCs w:val="24"/>
          <w:highlight w:val="none"/>
        </w:rPr>
      </w:pPr>
    </w:p>
    <w:p w14:paraId="76C59AE9">
      <w:pPr>
        <w:pStyle w:val="9"/>
        <w:tabs>
          <w:tab w:val="left" w:pos="1069"/>
          <w:tab w:val="left" w:pos="2352"/>
        </w:tabs>
        <w:rPr>
          <w:rFonts w:ascii="宋体" w:hAnsi="宋体" w:cs="宋体"/>
          <w:b/>
          <w:color w:val="auto"/>
          <w:szCs w:val="24"/>
          <w:highlight w:val="none"/>
        </w:rPr>
      </w:pPr>
    </w:p>
    <w:p w14:paraId="7CA3DF51">
      <w:pPr>
        <w:tabs>
          <w:tab w:val="left" w:pos="1069"/>
          <w:tab w:val="left" w:pos="2352"/>
        </w:tabs>
        <w:spacing w:line="900" w:lineRule="exact"/>
        <w:jc w:val="center"/>
        <w:rPr>
          <w:rFonts w:ascii="宋体" w:hAnsi="宋体" w:cs="宋体"/>
          <w:b/>
          <w:bCs/>
          <w:color w:val="auto"/>
          <w:spacing w:val="140"/>
          <w:sz w:val="72"/>
          <w:szCs w:val="72"/>
          <w:highlight w:val="none"/>
        </w:rPr>
      </w:pPr>
      <w:r>
        <w:rPr>
          <w:rFonts w:hint="eastAsia" w:ascii="宋体" w:hAnsi="宋体" w:cs="宋体"/>
          <w:b/>
          <w:bCs/>
          <w:color w:val="auto"/>
          <w:spacing w:val="140"/>
          <w:sz w:val="72"/>
          <w:szCs w:val="72"/>
          <w:highlight w:val="none"/>
        </w:rPr>
        <w:t>竞争性磋商文件</w:t>
      </w:r>
    </w:p>
    <w:p w14:paraId="35BD9C86">
      <w:pPr>
        <w:tabs>
          <w:tab w:val="left" w:pos="1069"/>
          <w:tab w:val="left" w:pos="2352"/>
        </w:tabs>
        <w:jc w:val="center"/>
        <w:rPr>
          <w:rFonts w:ascii="宋体" w:hAnsi="宋体" w:cs="宋体"/>
          <w:b/>
          <w:color w:val="auto"/>
          <w:sz w:val="36"/>
          <w:szCs w:val="36"/>
          <w:highlight w:val="none"/>
        </w:rPr>
      </w:pPr>
    </w:p>
    <w:p w14:paraId="03972095">
      <w:pPr>
        <w:tabs>
          <w:tab w:val="left" w:pos="1069"/>
          <w:tab w:val="left" w:pos="2352"/>
        </w:tabs>
        <w:jc w:val="center"/>
        <w:rPr>
          <w:rFonts w:ascii="宋体" w:hAnsi="宋体" w:cs="宋体"/>
          <w:b/>
          <w:color w:val="auto"/>
          <w:sz w:val="32"/>
          <w:szCs w:val="32"/>
          <w:highlight w:val="none"/>
        </w:rPr>
      </w:pPr>
      <w:r>
        <w:rPr>
          <w:rFonts w:hint="eastAsia" w:ascii="宋体" w:hAnsi="宋体" w:cs="宋体"/>
          <w:b/>
          <w:color w:val="auto"/>
          <w:sz w:val="32"/>
          <w:szCs w:val="32"/>
          <w:highlight w:val="none"/>
        </w:rPr>
        <w:t>（线上电子招投标）</w:t>
      </w:r>
    </w:p>
    <w:p w14:paraId="0898B0F1">
      <w:pPr>
        <w:pStyle w:val="24"/>
        <w:tabs>
          <w:tab w:val="left" w:pos="2352"/>
        </w:tabs>
        <w:ind w:left="856" w:hanging="428"/>
        <w:rPr>
          <w:color w:val="auto"/>
          <w:highlight w:val="none"/>
        </w:rPr>
      </w:pPr>
    </w:p>
    <w:tbl>
      <w:tblPr>
        <w:tblStyle w:val="31"/>
        <w:tblpPr w:leftFromText="180" w:rightFromText="180" w:vertAnchor="text" w:tblpXSpec="right" w:tblpY="1"/>
        <w:tblOverlap w:val="never"/>
        <w:tblW w:w="0" w:type="auto"/>
        <w:tblInd w:w="0" w:type="dxa"/>
        <w:tblBorders>
          <w:top w:val="dashSmallGap" w:color="auto" w:sz="4" w:space="0"/>
          <w:left w:val="dashSmallGap" w:color="auto" w:sz="4" w:space="0"/>
          <w:bottom w:val="dashSmallGap" w:color="auto" w:sz="4" w:space="0"/>
          <w:right w:val="dashSmallGap" w:color="auto" w:sz="4" w:space="0"/>
          <w:insideH w:val="dashSmallGap" w:color="auto" w:sz="4" w:space="0"/>
          <w:insideV w:val="dashSmallGap" w:color="auto" w:sz="4" w:space="0"/>
        </w:tblBorders>
        <w:tblLayout w:type="fixed"/>
        <w:tblCellMar>
          <w:top w:w="0" w:type="dxa"/>
          <w:left w:w="108" w:type="dxa"/>
          <w:bottom w:w="0" w:type="dxa"/>
          <w:right w:w="108" w:type="dxa"/>
        </w:tblCellMar>
      </w:tblPr>
      <w:tblGrid>
        <w:gridCol w:w="2414"/>
        <w:gridCol w:w="6750"/>
      </w:tblGrid>
      <w:tr w14:paraId="40F7F002">
        <w:tblPrEx>
          <w:tblBorders>
            <w:top w:val="dashSmallGap" w:color="auto" w:sz="4" w:space="0"/>
            <w:left w:val="dashSmallGap" w:color="auto" w:sz="4" w:space="0"/>
            <w:bottom w:val="dashSmallGap" w:color="auto" w:sz="4" w:space="0"/>
            <w:right w:val="dashSmallGap" w:color="auto" w:sz="4" w:space="0"/>
            <w:insideH w:val="dashSmallGap" w:color="auto" w:sz="4" w:space="0"/>
            <w:insideV w:val="dashSmallGap" w:color="auto" w:sz="4" w:space="0"/>
          </w:tblBorders>
          <w:tblCellMar>
            <w:top w:w="0" w:type="dxa"/>
            <w:left w:w="108" w:type="dxa"/>
            <w:bottom w:w="0" w:type="dxa"/>
            <w:right w:w="108" w:type="dxa"/>
          </w:tblCellMar>
        </w:tblPrEx>
        <w:trPr>
          <w:trHeight w:val="680" w:hRule="atLeast"/>
        </w:trPr>
        <w:tc>
          <w:tcPr>
            <w:tcW w:w="2414" w:type="dxa"/>
            <w:vAlign w:val="center"/>
          </w:tcPr>
          <w:p w14:paraId="22293DDC">
            <w:pPr>
              <w:tabs>
                <w:tab w:val="left" w:pos="1069"/>
                <w:tab w:val="left" w:pos="2352"/>
              </w:tabs>
              <w:rPr>
                <w:rFonts w:ascii="宋体" w:hAnsi="宋体" w:cs="宋体"/>
                <w:b/>
                <w:color w:val="auto"/>
                <w:sz w:val="30"/>
                <w:szCs w:val="30"/>
                <w:highlight w:val="none"/>
              </w:rPr>
            </w:pPr>
            <w:r>
              <w:rPr>
                <w:rFonts w:hint="eastAsia" w:ascii="宋体" w:hAnsi="宋体" w:cs="宋体"/>
                <w:b/>
                <w:color w:val="auto"/>
                <w:sz w:val="30"/>
                <w:szCs w:val="30"/>
                <w:highlight w:val="none"/>
              </w:rPr>
              <w:t>采购编号</w:t>
            </w:r>
          </w:p>
        </w:tc>
        <w:tc>
          <w:tcPr>
            <w:tcW w:w="6750" w:type="dxa"/>
            <w:vAlign w:val="center"/>
          </w:tcPr>
          <w:p w14:paraId="423F71DE">
            <w:pPr>
              <w:tabs>
                <w:tab w:val="left" w:pos="1069"/>
                <w:tab w:val="left" w:pos="2352"/>
              </w:tabs>
              <w:rPr>
                <w:rFonts w:hint="eastAsia" w:ascii="宋体" w:hAnsi="宋体" w:eastAsia="宋体" w:cs="宋体"/>
                <w:b/>
                <w:color w:val="auto"/>
                <w:sz w:val="30"/>
                <w:szCs w:val="30"/>
                <w:highlight w:val="none"/>
                <w:lang w:eastAsia="zh-CN"/>
              </w:rPr>
            </w:pPr>
            <w:r>
              <w:rPr>
                <w:rFonts w:hint="eastAsia" w:ascii="宋体" w:hAnsi="宋体" w:cs="宋体"/>
                <w:b/>
                <w:color w:val="auto"/>
                <w:sz w:val="30"/>
                <w:szCs w:val="30"/>
                <w:highlight w:val="none"/>
                <w:lang w:eastAsia="zh-CN"/>
              </w:rPr>
              <w:t>TSCG202502006</w:t>
            </w:r>
          </w:p>
        </w:tc>
      </w:tr>
      <w:tr w14:paraId="47E16FE9">
        <w:tblPrEx>
          <w:tblBorders>
            <w:top w:val="dashSmallGap" w:color="auto" w:sz="4" w:space="0"/>
            <w:left w:val="dashSmallGap" w:color="auto" w:sz="4" w:space="0"/>
            <w:bottom w:val="dashSmallGap" w:color="auto" w:sz="4" w:space="0"/>
            <w:right w:val="dashSmallGap" w:color="auto" w:sz="4" w:space="0"/>
            <w:insideH w:val="dashSmallGap" w:color="auto" w:sz="4" w:space="0"/>
            <w:insideV w:val="dashSmallGap" w:color="auto" w:sz="4" w:space="0"/>
          </w:tblBorders>
          <w:tblCellMar>
            <w:top w:w="0" w:type="dxa"/>
            <w:left w:w="108" w:type="dxa"/>
            <w:bottom w:w="0" w:type="dxa"/>
            <w:right w:w="108" w:type="dxa"/>
          </w:tblCellMar>
        </w:tblPrEx>
        <w:trPr>
          <w:trHeight w:val="880" w:hRule="atLeast"/>
        </w:trPr>
        <w:tc>
          <w:tcPr>
            <w:tcW w:w="2414" w:type="dxa"/>
            <w:vAlign w:val="center"/>
          </w:tcPr>
          <w:p w14:paraId="764C9921">
            <w:pPr>
              <w:tabs>
                <w:tab w:val="left" w:pos="1069"/>
                <w:tab w:val="left" w:pos="2352"/>
              </w:tabs>
              <w:rPr>
                <w:rFonts w:ascii="宋体" w:hAnsi="宋体" w:cs="宋体"/>
                <w:b/>
                <w:color w:val="auto"/>
                <w:sz w:val="30"/>
                <w:szCs w:val="30"/>
                <w:highlight w:val="none"/>
              </w:rPr>
            </w:pPr>
            <w:r>
              <w:rPr>
                <w:rFonts w:hint="eastAsia" w:ascii="宋体" w:hAnsi="宋体" w:cs="宋体"/>
                <w:b/>
                <w:color w:val="auto"/>
                <w:sz w:val="30"/>
                <w:szCs w:val="30"/>
                <w:highlight w:val="none"/>
              </w:rPr>
              <w:t>项目名称</w:t>
            </w:r>
          </w:p>
        </w:tc>
        <w:tc>
          <w:tcPr>
            <w:tcW w:w="6750" w:type="dxa"/>
            <w:vAlign w:val="center"/>
          </w:tcPr>
          <w:p w14:paraId="08B42BF4">
            <w:pPr>
              <w:keepNext w:val="0"/>
              <w:keepLines w:val="0"/>
              <w:pageBreakBefore w:val="0"/>
              <w:widowControl w:val="0"/>
              <w:tabs>
                <w:tab w:val="left" w:pos="1069"/>
                <w:tab w:val="left" w:pos="1080"/>
                <w:tab w:val="left" w:pos="2352"/>
              </w:tabs>
              <w:kinsoku/>
              <w:wordWrap/>
              <w:overflowPunct/>
              <w:topLinePunct w:val="0"/>
              <w:autoSpaceDE w:val="0"/>
              <w:autoSpaceDN w:val="0"/>
              <w:bidi w:val="0"/>
              <w:adjustRightInd w:val="0"/>
              <w:snapToGrid/>
              <w:spacing w:line="360" w:lineRule="exact"/>
              <w:textAlignment w:val="baseline"/>
              <w:rPr>
                <w:rFonts w:hint="eastAsia" w:ascii="宋体" w:hAnsi="宋体" w:cs="宋体"/>
                <w:b/>
                <w:bCs/>
                <w:color w:val="auto"/>
                <w:sz w:val="30"/>
                <w:szCs w:val="30"/>
                <w:highlight w:val="none"/>
                <w:u w:val="none"/>
                <w:lang w:eastAsia="zh-CN"/>
              </w:rPr>
            </w:pPr>
            <w:r>
              <w:rPr>
                <w:rFonts w:hint="eastAsia" w:ascii="宋体" w:hAnsi="宋体" w:cs="宋体"/>
                <w:b/>
                <w:bCs/>
                <w:color w:val="auto"/>
                <w:sz w:val="30"/>
                <w:szCs w:val="30"/>
                <w:highlight w:val="none"/>
                <w:u w:val="none"/>
                <w:lang w:eastAsia="zh-CN"/>
              </w:rPr>
              <w:t>2024年泰顺县罗阳镇上洪村堆谷洋农田宜机化改造项目</w:t>
            </w:r>
          </w:p>
        </w:tc>
      </w:tr>
      <w:tr w14:paraId="46B45ED9">
        <w:tblPrEx>
          <w:tblBorders>
            <w:top w:val="dashSmallGap" w:color="auto" w:sz="4" w:space="0"/>
            <w:left w:val="dashSmallGap" w:color="auto" w:sz="4" w:space="0"/>
            <w:bottom w:val="dashSmallGap" w:color="auto" w:sz="4" w:space="0"/>
            <w:right w:val="dashSmallGap" w:color="auto" w:sz="4" w:space="0"/>
            <w:insideH w:val="dashSmallGap" w:color="auto" w:sz="4" w:space="0"/>
            <w:insideV w:val="dashSmallGap" w:color="auto" w:sz="4" w:space="0"/>
          </w:tblBorders>
          <w:tblCellMar>
            <w:top w:w="0" w:type="dxa"/>
            <w:left w:w="108" w:type="dxa"/>
            <w:bottom w:w="0" w:type="dxa"/>
            <w:right w:w="108" w:type="dxa"/>
          </w:tblCellMar>
        </w:tblPrEx>
        <w:trPr>
          <w:trHeight w:val="90" w:hRule="atLeast"/>
        </w:trPr>
        <w:tc>
          <w:tcPr>
            <w:tcW w:w="2414" w:type="dxa"/>
            <w:vAlign w:val="center"/>
          </w:tcPr>
          <w:p w14:paraId="1053D024">
            <w:pPr>
              <w:tabs>
                <w:tab w:val="left" w:pos="1069"/>
                <w:tab w:val="left" w:pos="2352"/>
              </w:tabs>
              <w:rPr>
                <w:rFonts w:ascii="宋体" w:hAnsi="宋体" w:cs="宋体"/>
                <w:b/>
                <w:color w:val="auto"/>
                <w:sz w:val="30"/>
                <w:szCs w:val="30"/>
                <w:highlight w:val="none"/>
              </w:rPr>
            </w:pPr>
            <w:r>
              <w:rPr>
                <w:rFonts w:hint="eastAsia" w:ascii="宋体" w:hAnsi="宋体" w:cs="宋体"/>
                <w:b/>
                <w:color w:val="auto"/>
                <w:sz w:val="30"/>
                <w:szCs w:val="30"/>
                <w:highlight w:val="none"/>
              </w:rPr>
              <w:t>采购方式</w:t>
            </w:r>
          </w:p>
        </w:tc>
        <w:tc>
          <w:tcPr>
            <w:tcW w:w="6750" w:type="dxa"/>
            <w:vAlign w:val="center"/>
          </w:tcPr>
          <w:p w14:paraId="1C8BB19A">
            <w:pPr>
              <w:keepNext w:val="0"/>
              <w:keepLines w:val="0"/>
              <w:pageBreakBefore w:val="0"/>
              <w:widowControl w:val="0"/>
              <w:tabs>
                <w:tab w:val="left" w:pos="1069"/>
                <w:tab w:val="left" w:pos="1080"/>
                <w:tab w:val="left" w:pos="2352"/>
              </w:tabs>
              <w:kinsoku/>
              <w:wordWrap/>
              <w:overflowPunct/>
              <w:topLinePunct w:val="0"/>
              <w:autoSpaceDE w:val="0"/>
              <w:autoSpaceDN w:val="0"/>
              <w:bidi w:val="0"/>
              <w:adjustRightInd w:val="0"/>
              <w:snapToGrid/>
              <w:spacing w:line="360" w:lineRule="exact"/>
              <w:textAlignment w:val="baseline"/>
              <w:rPr>
                <w:rFonts w:hint="eastAsia" w:ascii="宋体" w:hAnsi="宋体" w:cs="宋体"/>
                <w:b/>
                <w:bCs/>
                <w:color w:val="auto"/>
                <w:sz w:val="30"/>
                <w:szCs w:val="30"/>
                <w:highlight w:val="none"/>
                <w:u w:val="none"/>
              </w:rPr>
            </w:pPr>
            <w:r>
              <w:rPr>
                <w:rFonts w:hint="eastAsia" w:ascii="宋体" w:hAnsi="宋体" w:cs="宋体"/>
                <w:b/>
                <w:bCs/>
                <w:color w:val="auto"/>
                <w:sz w:val="30"/>
                <w:szCs w:val="30"/>
                <w:highlight w:val="none"/>
                <w:u w:val="none"/>
              </w:rPr>
              <w:t>竞争性磋商</w:t>
            </w:r>
          </w:p>
        </w:tc>
      </w:tr>
      <w:tr w14:paraId="2B1C9511">
        <w:tblPrEx>
          <w:tblBorders>
            <w:top w:val="dashSmallGap" w:color="auto" w:sz="4" w:space="0"/>
            <w:left w:val="dashSmallGap" w:color="auto" w:sz="4" w:space="0"/>
            <w:bottom w:val="dashSmallGap" w:color="auto" w:sz="4" w:space="0"/>
            <w:right w:val="dashSmallGap" w:color="auto" w:sz="4" w:space="0"/>
            <w:insideH w:val="dashSmallGap" w:color="auto" w:sz="4" w:space="0"/>
            <w:insideV w:val="dashSmallGap" w:color="auto" w:sz="4" w:space="0"/>
          </w:tblBorders>
          <w:tblCellMar>
            <w:top w:w="0" w:type="dxa"/>
            <w:left w:w="108" w:type="dxa"/>
            <w:bottom w:w="0" w:type="dxa"/>
            <w:right w:w="108" w:type="dxa"/>
          </w:tblCellMar>
        </w:tblPrEx>
        <w:trPr>
          <w:trHeight w:val="680" w:hRule="atLeast"/>
        </w:trPr>
        <w:tc>
          <w:tcPr>
            <w:tcW w:w="2414" w:type="dxa"/>
            <w:vAlign w:val="center"/>
          </w:tcPr>
          <w:p w14:paraId="38DED602">
            <w:pPr>
              <w:tabs>
                <w:tab w:val="left" w:pos="1069"/>
                <w:tab w:val="left" w:pos="2352"/>
              </w:tabs>
              <w:rPr>
                <w:rFonts w:ascii="宋体" w:hAnsi="宋体" w:cs="宋体"/>
                <w:b/>
                <w:color w:val="auto"/>
                <w:sz w:val="30"/>
                <w:szCs w:val="30"/>
                <w:highlight w:val="none"/>
              </w:rPr>
            </w:pPr>
            <w:r>
              <w:rPr>
                <w:rFonts w:hint="eastAsia" w:ascii="宋体" w:hAnsi="宋体" w:cs="宋体"/>
                <w:b/>
                <w:color w:val="auto"/>
                <w:sz w:val="30"/>
                <w:szCs w:val="30"/>
                <w:highlight w:val="none"/>
              </w:rPr>
              <w:t>采购单位</w:t>
            </w:r>
          </w:p>
        </w:tc>
        <w:tc>
          <w:tcPr>
            <w:tcW w:w="6750" w:type="dxa"/>
            <w:vAlign w:val="center"/>
          </w:tcPr>
          <w:p w14:paraId="78478658">
            <w:pPr>
              <w:tabs>
                <w:tab w:val="left" w:pos="1069"/>
                <w:tab w:val="left" w:pos="2352"/>
              </w:tabs>
              <w:snapToGrid w:val="0"/>
              <w:spacing w:line="500" w:lineRule="atLeast"/>
              <w:rPr>
                <w:rFonts w:hint="eastAsia" w:ascii="宋体" w:hAnsi="宋体" w:eastAsia="宋体" w:cs="宋体"/>
                <w:b/>
                <w:color w:val="auto"/>
                <w:sz w:val="30"/>
                <w:szCs w:val="30"/>
                <w:highlight w:val="none"/>
                <w:lang w:eastAsia="zh-CN"/>
              </w:rPr>
            </w:pPr>
            <w:r>
              <w:rPr>
                <w:rFonts w:hint="eastAsia" w:ascii="宋体" w:hAnsi="宋体" w:cs="宋体"/>
                <w:b/>
                <w:color w:val="auto"/>
                <w:sz w:val="30"/>
                <w:szCs w:val="30"/>
                <w:highlight w:val="none"/>
                <w:lang w:eastAsia="zh-CN"/>
              </w:rPr>
              <w:t>泰顺县罗阳镇人民政府</w:t>
            </w:r>
          </w:p>
        </w:tc>
      </w:tr>
      <w:tr w14:paraId="3CDE73C8">
        <w:tblPrEx>
          <w:tblBorders>
            <w:top w:val="dashSmallGap" w:color="auto" w:sz="4" w:space="0"/>
            <w:left w:val="dashSmallGap" w:color="auto" w:sz="4" w:space="0"/>
            <w:bottom w:val="dashSmallGap" w:color="auto" w:sz="4" w:space="0"/>
            <w:right w:val="dashSmallGap" w:color="auto" w:sz="4" w:space="0"/>
            <w:insideH w:val="dashSmallGap" w:color="auto" w:sz="4" w:space="0"/>
            <w:insideV w:val="dashSmallGap" w:color="auto" w:sz="4" w:space="0"/>
          </w:tblBorders>
          <w:tblCellMar>
            <w:top w:w="0" w:type="dxa"/>
            <w:left w:w="108" w:type="dxa"/>
            <w:bottom w:w="0" w:type="dxa"/>
            <w:right w:w="108" w:type="dxa"/>
          </w:tblCellMar>
        </w:tblPrEx>
        <w:trPr>
          <w:trHeight w:val="680" w:hRule="atLeast"/>
        </w:trPr>
        <w:tc>
          <w:tcPr>
            <w:tcW w:w="2414" w:type="dxa"/>
            <w:vAlign w:val="center"/>
          </w:tcPr>
          <w:p w14:paraId="00D969E8">
            <w:pPr>
              <w:tabs>
                <w:tab w:val="left" w:pos="1069"/>
                <w:tab w:val="left" w:pos="2352"/>
              </w:tabs>
              <w:rPr>
                <w:rFonts w:ascii="宋体" w:hAnsi="宋体" w:cs="宋体"/>
                <w:b/>
                <w:color w:val="auto"/>
                <w:sz w:val="30"/>
                <w:szCs w:val="30"/>
                <w:highlight w:val="none"/>
              </w:rPr>
            </w:pPr>
            <w:r>
              <w:rPr>
                <w:rFonts w:hint="eastAsia" w:ascii="宋体" w:hAnsi="宋体" w:cs="宋体"/>
                <w:b/>
                <w:color w:val="auto"/>
                <w:sz w:val="30"/>
                <w:szCs w:val="30"/>
                <w:highlight w:val="none"/>
              </w:rPr>
              <w:t>招标代理机构</w:t>
            </w:r>
          </w:p>
        </w:tc>
        <w:tc>
          <w:tcPr>
            <w:tcW w:w="6750" w:type="dxa"/>
            <w:vAlign w:val="center"/>
          </w:tcPr>
          <w:p w14:paraId="2612A075">
            <w:pPr>
              <w:tabs>
                <w:tab w:val="left" w:pos="1069"/>
                <w:tab w:val="left" w:pos="2352"/>
              </w:tabs>
              <w:rPr>
                <w:rFonts w:ascii="宋体" w:hAnsi="宋体" w:cs="宋体"/>
                <w:b/>
                <w:color w:val="auto"/>
                <w:sz w:val="30"/>
                <w:szCs w:val="30"/>
                <w:highlight w:val="none"/>
              </w:rPr>
            </w:pPr>
            <w:r>
              <w:rPr>
                <w:rFonts w:hint="eastAsia" w:ascii="宋体" w:hAnsi="宋体" w:cs="宋体"/>
                <w:b/>
                <w:color w:val="auto"/>
                <w:sz w:val="30"/>
                <w:szCs w:val="30"/>
                <w:highlight w:val="none"/>
              </w:rPr>
              <w:t>杭州华旗招标代理有限公司</w:t>
            </w:r>
          </w:p>
        </w:tc>
      </w:tr>
      <w:tr w14:paraId="65711F8B">
        <w:tblPrEx>
          <w:tblBorders>
            <w:top w:val="dashSmallGap" w:color="auto" w:sz="4" w:space="0"/>
            <w:left w:val="dashSmallGap" w:color="auto" w:sz="4" w:space="0"/>
            <w:bottom w:val="dashSmallGap" w:color="auto" w:sz="4" w:space="0"/>
            <w:right w:val="dashSmallGap" w:color="auto" w:sz="4" w:space="0"/>
            <w:insideH w:val="dashSmallGap" w:color="auto" w:sz="4" w:space="0"/>
            <w:insideV w:val="dashSmallGap" w:color="auto" w:sz="4" w:space="0"/>
          </w:tblBorders>
          <w:tblCellMar>
            <w:top w:w="0" w:type="dxa"/>
            <w:left w:w="108" w:type="dxa"/>
            <w:bottom w:w="0" w:type="dxa"/>
            <w:right w:w="108" w:type="dxa"/>
          </w:tblCellMar>
        </w:tblPrEx>
        <w:trPr>
          <w:trHeight w:val="680" w:hRule="atLeast"/>
        </w:trPr>
        <w:tc>
          <w:tcPr>
            <w:tcW w:w="2414" w:type="dxa"/>
            <w:vAlign w:val="center"/>
          </w:tcPr>
          <w:p w14:paraId="2625FF86">
            <w:pPr>
              <w:tabs>
                <w:tab w:val="left" w:pos="1069"/>
                <w:tab w:val="left" w:pos="2352"/>
              </w:tabs>
              <w:rPr>
                <w:rFonts w:ascii="宋体" w:hAnsi="宋体" w:cs="宋体"/>
                <w:b/>
                <w:bCs/>
                <w:color w:val="auto"/>
                <w:sz w:val="28"/>
                <w:szCs w:val="28"/>
                <w:highlight w:val="none"/>
              </w:rPr>
            </w:pPr>
            <w:r>
              <w:rPr>
                <w:rFonts w:hint="eastAsia" w:ascii="宋体" w:hAnsi="宋体" w:cs="宋体"/>
                <w:b/>
                <w:color w:val="auto"/>
                <w:sz w:val="30"/>
                <w:szCs w:val="30"/>
                <w:highlight w:val="none"/>
              </w:rPr>
              <w:t>监督及备案机构</w:t>
            </w:r>
          </w:p>
        </w:tc>
        <w:tc>
          <w:tcPr>
            <w:tcW w:w="6750" w:type="dxa"/>
            <w:vAlign w:val="center"/>
          </w:tcPr>
          <w:p w14:paraId="4D7EBC5D">
            <w:pPr>
              <w:tabs>
                <w:tab w:val="left" w:pos="1069"/>
                <w:tab w:val="left" w:pos="2352"/>
              </w:tabs>
              <w:rPr>
                <w:rFonts w:ascii="宋体" w:hAnsi="宋体" w:cs="宋体"/>
                <w:b/>
                <w:bCs/>
                <w:color w:val="auto"/>
                <w:sz w:val="28"/>
                <w:szCs w:val="28"/>
                <w:highlight w:val="none"/>
              </w:rPr>
            </w:pPr>
            <w:bookmarkStart w:id="0" w:name="B20_同级政府采购监督管理部门"/>
            <w:r>
              <w:rPr>
                <w:rFonts w:hint="eastAsia" w:ascii="宋体" w:hAnsi="宋体" w:cs="宋体"/>
                <w:b/>
                <w:color w:val="auto"/>
                <w:sz w:val="30"/>
                <w:szCs w:val="30"/>
                <w:highlight w:val="none"/>
              </w:rPr>
              <w:t>泰顺县</w:t>
            </w:r>
            <w:bookmarkEnd w:id="0"/>
            <w:r>
              <w:rPr>
                <w:rFonts w:hint="eastAsia" w:ascii="宋体" w:hAnsi="宋体" w:cs="宋体"/>
                <w:b/>
                <w:color w:val="auto"/>
                <w:sz w:val="30"/>
                <w:szCs w:val="30"/>
                <w:highlight w:val="none"/>
              </w:rPr>
              <w:t>财政局</w:t>
            </w:r>
          </w:p>
        </w:tc>
      </w:tr>
    </w:tbl>
    <w:p w14:paraId="1D9E8D07">
      <w:pPr>
        <w:tabs>
          <w:tab w:val="left" w:pos="1069"/>
          <w:tab w:val="left" w:pos="2352"/>
        </w:tabs>
        <w:autoSpaceDE w:val="0"/>
        <w:autoSpaceDN w:val="0"/>
        <w:adjustRightInd w:val="0"/>
        <w:spacing w:line="440" w:lineRule="atLeast"/>
        <w:jc w:val="center"/>
        <w:rPr>
          <w:rFonts w:ascii="宋体" w:hAnsi="宋体" w:cs="宋体"/>
          <w:b/>
          <w:color w:val="auto"/>
          <w:sz w:val="30"/>
          <w:szCs w:val="30"/>
          <w:highlight w:val="none"/>
        </w:rPr>
      </w:pPr>
    </w:p>
    <w:p w14:paraId="7D4C8F21">
      <w:pPr>
        <w:tabs>
          <w:tab w:val="left" w:pos="1069"/>
          <w:tab w:val="left" w:pos="2352"/>
        </w:tabs>
        <w:autoSpaceDE w:val="0"/>
        <w:autoSpaceDN w:val="0"/>
        <w:adjustRightInd w:val="0"/>
        <w:spacing w:line="440" w:lineRule="atLeast"/>
        <w:jc w:val="center"/>
        <w:rPr>
          <w:rFonts w:ascii="宋体" w:hAnsi="宋体" w:cs="宋体"/>
          <w:color w:val="auto"/>
          <w:highlight w:val="none"/>
        </w:rPr>
        <w:sectPr>
          <w:headerReference r:id="rId5" w:type="first"/>
          <w:headerReference r:id="rId3" w:type="default"/>
          <w:headerReference r:id="rId4" w:type="even"/>
          <w:footerReference r:id="rId6" w:type="even"/>
          <w:pgSz w:w="11906" w:h="16838"/>
          <w:pgMar w:top="1440" w:right="1247" w:bottom="1440" w:left="1247" w:header="851" w:footer="992" w:gutter="0"/>
          <w:pgNumType w:fmt="numberInDash"/>
          <w:cols w:space="720" w:num="1"/>
          <w:titlePg/>
          <w:docGrid w:type="linesAndChars" w:linePitch="317" w:charSpace="800"/>
        </w:sectPr>
      </w:pPr>
      <w:r>
        <w:rPr>
          <w:rFonts w:hint="eastAsia" w:ascii="宋体" w:hAnsi="宋体" w:cs="宋体"/>
          <w:b/>
          <w:color w:val="auto"/>
          <w:sz w:val="30"/>
          <w:szCs w:val="30"/>
          <w:highlight w:val="none"/>
        </w:rPr>
        <w:t>二○二</w:t>
      </w:r>
      <w:r>
        <w:rPr>
          <w:rFonts w:hint="eastAsia" w:ascii="宋体" w:hAnsi="宋体" w:cs="宋体"/>
          <w:b/>
          <w:color w:val="auto"/>
          <w:sz w:val="30"/>
          <w:szCs w:val="30"/>
          <w:highlight w:val="none"/>
          <w:lang w:val="en-US" w:eastAsia="zh-CN"/>
        </w:rPr>
        <w:t>五</w:t>
      </w:r>
      <w:r>
        <w:rPr>
          <w:rFonts w:hint="eastAsia" w:ascii="宋体" w:hAnsi="宋体" w:cs="宋体"/>
          <w:b/>
          <w:color w:val="auto"/>
          <w:sz w:val="30"/>
          <w:szCs w:val="30"/>
          <w:highlight w:val="none"/>
        </w:rPr>
        <w:t>年</w:t>
      </w:r>
      <w:r>
        <w:rPr>
          <w:rFonts w:hint="eastAsia" w:ascii="宋体" w:hAnsi="宋体" w:cs="宋体"/>
          <w:b/>
          <w:color w:val="auto"/>
          <w:sz w:val="30"/>
          <w:szCs w:val="30"/>
          <w:highlight w:val="none"/>
          <w:lang w:val="en-US" w:eastAsia="zh-CN"/>
        </w:rPr>
        <w:t>一</w:t>
      </w:r>
      <w:r>
        <w:rPr>
          <w:rFonts w:hint="eastAsia" w:ascii="宋体" w:hAnsi="宋体" w:cs="宋体"/>
          <w:b/>
          <w:color w:val="auto"/>
          <w:sz w:val="30"/>
          <w:szCs w:val="30"/>
          <w:highlight w:val="none"/>
        </w:rPr>
        <w:t>月</w:t>
      </w:r>
    </w:p>
    <w:p w14:paraId="48D3BEFB">
      <w:pPr>
        <w:tabs>
          <w:tab w:val="left" w:pos="1069"/>
          <w:tab w:val="left" w:pos="1080"/>
          <w:tab w:val="left" w:pos="2352"/>
        </w:tabs>
        <w:autoSpaceDE w:val="0"/>
        <w:autoSpaceDN w:val="0"/>
        <w:adjustRightInd w:val="0"/>
        <w:spacing w:line="500" w:lineRule="atLeast"/>
        <w:textAlignment w:val="baseline"/>
        <w:rPr>
          <w:rFonts w:ascii="宋体" w:hAnsi="宋体" w:cs="宋体"/>
          <w:b/>
          <w:bCs/>
          <w:color w:val="auto"/>
          <w:sz w:val="32"/>
          <w:szCs w:val="32"/>
          <w:highlight w:val="none"/>
          <w:lang w:val="zh-CN"/>
        </w:rPr>
      </w:pPr>
      <w:bookmarkStart w:id="1" w:name="_Toc6035_WPSOffice_Level1"/>
    </w:p>
    <w:p w14:paraId="251E3DC0">
      <w:pPr>
        <w:tabs>
          <w:tab w:val="left" w:pos="1069"/>
          <w:tab w:val="left" w:pos="1080"/>
          <w:tab w:val="left" w:pos="2352"/>
        </w:tabs>
        <w:autoSpaceDE w:val="0"/>
        <w:autoSpaceDN w:val="0"/>
        <w:adjustRightInd w:val="0"/>
        <w:spacing w:line="500" w:lineRule="atLeast"/>
        <w:jc w:val="center"/>
        <w:textAlignment w:val="baseline"/>
        <w:rPr>
          <w:rFonts w:ascii="宋体" w:hAnsi="宋体" w:cs="宋体"/>
          <w:b/>
          <w:bCs/>
          <w:color w:val="auto"/>
          <w:sz w:val="32"/>
          <w:szCs w:val="32"/>
          <w:highlight w:val="none"/>
        </w:rPr>
      </w:pPr>
    </w:p>
    <w:p w14:paraId="1003DF04">
      <w:pPr>
        <w:tabs>
          <w:tab w:val="left" w:pos="1069"/>
          <w:tab w:val="left" w:pos="1080"/>
          <w:tab w:val="left" w:pos="2352"/>
        </w:tabs>
        <w:autoSpaceDE w:val="0"/>
        <w:autoSpaceDN w:val="0"/>
        <w:adjustRightInd w:val="0"/>
        <w:spacing w:line="500" w:lineRule="atLeast"/>
        <w:jc w:val="center"/>
        <w:textAlignment w:val="baseline"/>
        <w:rPr>
          <w:rFonts w:hint="eastAsia" w:ascii="宋体" w:hAnsi="宋体" w:cs="宋体"/>
          <w:b/>
          <w:bCs/>
          <w:color w:val="auto"/>
          <w:sz w:val="32"/>
          <w:szCs w:val="32"/>
          <w:highlight w:val="none"/>
        </w:rPr>
      </w:pPr>
    </w:p>
    <w:p w14:paraId="0F8308C1">
      <w:pPr>
        <w:tabs>
          <w:tab w:val="left" w:pos="1069"/>
          <w:tab w:val="left" w:pos="1080"/>
          <w:tab w:val="left" w:pos="2352"/>
        </w:tabs>
        <w:autoSpaceDE w:val="0"/>
        <w:autoSpaceDN w:val="0"/>
        <w:adjustRightInd w:val="0"/>
        <w:spacing w:line="500" w:lineRule="atLeast"/>
        <w:jc w:val="center"/>
        <w:textAlignment w:val="baseline"/>
        <w:rPr>
          <w:rFonts w:hint="eastAsia" w:ascii="宋体" w:hAnsi="宋体" w:cs="宋体"/>
          <w:b/>
          <w:bCs/>
          <w:color w:val="auto"/>
          <w:sz w:val="32"/>
          <w:szCs w:val="32"/>
          <w:highlight w:val="none"/>
        </w:rPr>
      </w:pPr>
    </w:p>
    <w:p w14:paraId="7A21BC1A">
      <w:pPr>
        <w:tabs>
          <w:tab w:val="left" w:pos="1069"/>
          <w:tab w:val="left" w:pos="1080"/>
          <w:tab w:val="left" w:pos="2352"/>
        </w:tabs>
        <w:autoSpaceDE w:val="0"/>
        <w:autoSpaceDN w:val="0"/>
        <w:adjustRightInd w:val="0"/>
        <w:spacing w:line="500" w:lineRule="atLeast"/>
        <w:jc w:val="center"/>
        <w:textAlignment w:val="baseline"/>
        <w:rPr>
          <w:rFonts w:ascii="宋体" w:hAnsi="宋体" w:cs="宋体"/>
          <w:b/>
          <w:bCs/>
          <w:color w:val="auto"/>
          <w:sz w:val="32"/>
          <w:szCs w:val="32"/>
          <w:highlight w:val="none"/>
        </w:rPr>
      </w:pPr>
      <w:r>
        <w:rPr>
          <w:rFonts w:hint="eastAsia" w:ascii="宋体" w:hAnsi="宋体" w:cs="宋体"/>
          <w:b/>
          <w:bCs/>
          <w:color w:val="auto"/>
          <w:sz w:val="32"/>
          <w:szCs w:val="32"/>
          <w:highlight w:val="none"/>
        </w:rPr>
        <w:t>竞争性磋商文件目录</w:t>
      </w:r>
    </w:p>
    <w:p w14:paraId="15AFD330">
      <w:pPr>
        <w:tabs>
          <w:tab w:val="left" w:pos="1069"/>
          <w:tab w:val="left" w:pos="1080"/>
          <w:tab w:val="left" w:pos="2352"/>
        </w:tabs>
        <w:autoSpaceDE w:val="0"/>
        <w:autoSpaceDN w:val="0"/>
        <w:adjustRightInd w:val="0"/>
        <w:spacing w:line="500" w:lineRule="atLeast"/>
        <w:textAlignment w:val="baseline"/>
        <w:rPr>
          <w:rFonts w:ascii="宋体" w:hAnsi="宋体" w:cs="宋体"/>
          <w:color w:val="auto"/>
          <w:sz w:val="28"/>
          <w:szCs w:val="28"/>
          <w:highlight w:val="none"/>
        </w:rPr>
      </w:pPr>
    </w:p>
    <w:p w14:paraId="5BAE2F69">
      <w:pPr>
        <w:tabs>
          <w:tab w:val="left" w:pos="1069"/>
          <w:tab w:val="left" w:pos="1080"/>
          <w:tab w:val="left" w:pos="2352"/>
        </w:tabs>
        <w:autoSpaceDE w:val="0"/>
        <w:autoSpaceDN w:val="0"/>
        <w:adjustRightInd w:val="0"/>
        <w:spacing w:line="500" w:lineRule="atLeast"/>
        <w:ind w:firstLine="280" w:firstLineChars="100"/>
        <w:textAlignment w:val="baseline"/>
        <w:rPr>
          <w:rFonts w:ascii="宋体" w:hAnsi="宋体" w:cs="宋体"/>
          <w:color w:val="auto"/>
          <w:sz w:val="28"/>
          <w:szCs w:val="28"/>
          <w:highlight w:val="none"/>
        </w:rPr>
      </w:pPr>
      <w:r>
        <w:rPr>
          <w:rFonts w:hint="eastAsia" w:ascii="宋体" w:hAnsi="宋体" w:cs="宋体"/>
          <w:color w:val="auto"/>
          <w:sz w:val="28"/>
          <w:szCs w:val="28"/>
          <w:highlight w:val="none"/>
        </w:rPr>
        <w:t>采购公告....................................................2</w:t>
      </w:r>
    </w:p>
    <w:p w14:paraId="1ADE47F5">
      <w:pPr>
        <w:tabs>
          <w:tab w:val="left" w:pos="1069"/>
          <w:tab w:val="left" w:pos="1080"/>
          <w:tab w:val="left" w:pos="2352"/>
        </w:tabs>
        <w:autoSpaceDE w:val="0"/>
        <w:autoSpaceDN w:val="0"/>
        <w:adjustRightInd w:val="0"/>
        <w:spacing w:line="800" w:lineRule="exact"/>
        <w:ind w:firstLine="280" w:firstLineChars="100"/>
        <w:textAlignment w:val="baseline"/>
        <w:rPr>
          <w:rFonts w:ascii="宋体" w:hAnsi="宋体" w:cs="宋体"/>
          <w:b/>
          <w:bCs/>
          <w:color w:val="auto"/>
          <w:sz w:val="32"/>
          <w:szCs w:val="32"/>
          <w:highlight w:val="none"/>
        </w:rPr>
      </w:pPr>
      <w:r>
        <w:rPr>
          <w:rFonts w:hint="eastAsia" w:ascii="宋体" w:hAnsi="宋体" w:cs="宋体"/>
          <w:color w:val="auto"/>
          <w:sz w:val="28"/>
          <w:szCs w:val="28"/>
          <w:highlight w:val="none"/>
        </w:rPr>
        <w:t>第一部分、投标邀请函（投标须知前附表）......................5</w:t>
      </w:r>
    </w:p>
    <w:p w14:paraId="72AF48D4">
      <w:pPr>
        <w:tabs>
          <w:tab w:val="left" w:pos="1069"/>
          <w:tab w:val="left" w:pos="1080"/>
          <w:tab w:val="left" w:pos="2352"/>
        </w:tabs>
        <w:autoSpaceDE w:val="0"/>
        <w:autoSpaceDN w:val="0"/>
        <w:adjustRightInd w:val="0"/>
        <w:spacing w:line="800" w:lineRule="exact"/>
        <w:ind w:firstLine="280" w:firstLineChars="100"/>
        <w:textAlignment w:val="baseline"/>
        <w:rPr>
          <w:rFonts w:ascii="宋体" w:hAnsi="宋体" w:cs="宋体"/>
          <w:color w:val="auto"/>
          <w:sz w:val="28"/>
          <w:szCs w:val="28"/>
          <w:highlight w:val="none"/>
        </w:rPr>
      </w:pPr>
      <w:r>
        <w:rPr>
          <w:rFonts w:hint="eastAsia" w:ascii="宋体" w:hAnsi="宋体" w:cs="宋体"/>
          <w:color w:val="auto"/>
          <w:sz w:val="28"/>
          <w:szCs w:val="28"/>
          <w:highlight w:val="none"/>
        </w:rPr>
        <w:t>第二部分、采购内容及要求....................................8</w:t>
      </w:r>
    </w:p>
    <w:p w14:paraId="18004F35">
      <w:pPr>
        <w:tabs>
          <w:tab w:val="left" w:pos="1069"/>
          <w:tab w:val="left" w:pos="1080"/>
          <w:tab w:val="left" w:pos="2352"/>
        </w:tabs>
        <w:autoSpaceDE w:val="0"/>
        <w:autoSpaceDN w:val="0"/>
        <w:adjustRightInd w:val="0"/>
        <w:spacing w:line="800" w:lineRule="exact"/>
        <w:ind w:firstLine="280" w:firstLineChars="100"/>
        <w:textAlignment w:val="baseline"/>
        <w:rPr>
          <w:rFonts w:hint="eastAsia" w:ascii="宋体" w:hAnsi="宋体" w:eastAsia="宋体" w:cs="宋体"/>
          <w:color w:val="auto"/>
          <w:sz w:val="28"/>
          <w:szCs w:val="28"/>
          <w:highlight w:val="none"/>
          <w:lang w:eastAsia="zh-CN"/>
        </w:rPr>
      </w:pPr>
      <w:r>
        <w:rPr>
          <w:rFonts w:hint="eastAsia" w:ascii="宋体" w:hAnsi="宋体" w:cs="宋体"/>
          <w:color w:val="auto"/>
          <w:sz w:val="28"/>
          <w:szCs w:val="28"/>
          <w:highlight w:val="none"/>
        </w:rPr>
        <w:t>第三部分、供应商须知.......................................1</w:t>
      </w:r>
      <w:r>
        <w:rPr>
          <w:rFonts w:hint="eastAsia" w:ascii="宋体" w:hAnsi="宋体" w:cs="宋体"/>
          <w:color w:val="auto"/>
          <w:sz w:val="28"/>
          <w:szCs w:val="28"/>
          <w:highlight w:val="none"/>
          <w:lang w:val="en-US" w:eastAsia="zh-CN"/>
        </w:rPr>
        <w:t>2</w:t>
      </w:r>
    </w:p>
    <w:p w14:paraId="53B29C28">
      <w:pPr>
        <w:tabs>
          <w:tab w:val="left" w:pos="1069"/>
          <w:tab w:val="left" w:pos="1080"/>
          <w:tab w:val="left" w:pos="2352"/>
        </w:tabs>
        <w:autoSpaceDE w:val="0"/>
        <w:autoSpaceDN w:val="0"/>
        <w:adjustRightInd w:val="0"/>
        <w:spacing w:line="800" w:lineRule="exact"/>
        <w:ind w:firstLine="280" w:firstLineChars="100"/>
        <w:textAlignment w:val="baseline"/>
        <w:rPr>
          <w:rFonts w:hint="eastAsia" w:ascii="宋体" w:hAnsi="宋体" w:eastAsia="宋体" w:cs="宋体"/>
          <w:color w:val="auto"/>
          <w:sz w:val="28"/>
          <w:szCs w:val="28"/>
          <w:highlight w:val="none"/>
          <w:lang w:eastAsia="zh-CN"/>
        </w:rPr>
      </w:pPr>
      <w:r>
        <w:rPr>
          <w:rFonts w:hint="eastAsia" w:ascii="宋体" w:hAnsi="宋体" w:cs="宋体"/>
          <w:color w:val="auto"/>
          <w:sz w:val="28"/>
          <w:szCs w:val="28"/>
          <w:highlight w:val="none"/>
        </w:rPr>
        <w:t>第四部分、政府采购政策功能相关说明.........................2</w:t>
      </w:r>
      <w:r>
        <w:rPr>
          <w:rFonts w:hint="eastAsia" w:ascii="宋体" w:hAnsi="宋体" w:cs="宋体"/>
          <w:color w:val="auto"/>
          <w:sz w:val="28"/>
          <w:szCs w:val="28"/>
          <w:highlight w:val="none"/>
          <w:lang w:val="en-US" w:eastAsia="zh-CN"/>
        </w:rPr>
        <w:t>2</w:t>
      </w:r>
    </w:p>
    <w:p w14:paraId="115ECEA0">
      <w:pPr>
        <w:tabs>
          <w:tab w:val="left" w:pos="1069"/>
          <w:tab w:val="left" w:pos="1080"/>
          <w:tab w:val="left" w:pos="2352"/>
        </w:tabs>
        <w:autoSpaceDE w:val="0"/>
        <w:autoSpaceDN w:val="0"/>
        <w:adjustRightInd w:val="0"/>
        <w:spacing w:line="800" w:lineRule="exact"/>
        <w:ind w:firstLine="280" w:firstLineChars="100"/>
        <w:textAlignment w:val="baseline"/>
        <w:rPr>
          <w:rFonts w:hint="eastAsia" w:ascii="宋体" w:hAnsi="宋体" w:eastAsia="宋体" w:cs="宋体"/>
          <w:color w:val="auto"/>
          <w:sz w:val="28"/>
          <w:szCs w:val="28"/>
          <w:highlight w:val="none"/>
          <w:lang w:eastAsia="zh-CN"/>
        </w:rPr>
      </w:pPr>
      <w:r>
        <w:rPr>
          <w:rFonts w:hint="eastAsia" w:ascii="宋体" w:hAnsi="宋体" w:cs="宋体"/>
          <w:color w:val="auto"/>
          <w:sz w:val="28"/>
          <w:szCs w:val="28"/>
          <w:highlight w:val="none"/>
        </w:rPr>
        <w:t>第五部分、合同格式.........................................2</w:t>
      </w:r>
      <w:r>
        <w:rPr>
          <w:rFonts w:hint="eastAsia" w:ascii="宋体" w:hAnsi="宋体" w:cs="宋体"/>
          <w:color w:val="auto"/>
          <w:sz w:val="28"/>
          <w:szCs w:val="28"/>
          <w:highlight w:val="none"/>
          <w:lang w:val="en-US" w:eastAsia="zh-CN"/>
        </w:rPr>
        <w:t>7</w:t>
      </w:r>
    </w:p>
    <w:p w14:paraId="2666E5D7">
      <w:pPr>
        <w:tabs>
          <w:tab w:val="left" w:pos="1069"/>
          <w:tab w:val="left" w:pos="1080"/>
          <w:tab w:val="left" w:pos="2352"/>
        </w:tabs>
        <w:autoSpaceDE w:val="0"/>
        <w:autoSpaceDN w:val="0"/>
        <w:adjustRightInd w:val="0"/>
        <w:spacing w:line="800" w:lineRule="exact"/>
        <w:ind w:firstLine="280" w:firstLineChars="100"/>
        <w:textAlignment w:val="baseline"/>
        <w:rPr>
          <w:rFonts w:hint="default" w:ascii="宋体" w:hAnsi="宋体" w:eastAsia="宋体" w:cs="宋体"/>
          <w:color w:val="auto"/>
          <w:sz w:val="28"/>
          <w:szCs w:val="28"/>
          <w:highlight w:val="none"/>
          <w:lang w:val="en-US" w:eastAsia="zh-CN"/>
        </w:rPr>
      </w:pPr>
      <w:r>
        <w:rPr>
          <w:rFonts w:hint="eastAsia" w:ascii="宋体" w:hAnsi="宋体" w:cs="宋体"/>
          <w:color w:val="auto"/>
          <w:sz w:val="28"/>
          <w:szCs w:val="28"/>
          <w:highlight w:val="none"/>
        </w:rPr>
        <w:t>第六部分、投标（响应）文件格式.............................</w:t>
      </w:r>
      <w:r>
        <w:rPr>
          <w:rFonts w:hint="eastAsia" w:ascii="宋体" w:hAnsi="宋体" w:cs="宋体"/>
          <w:color w:val="auto"/>
          <w:sz w:val="28"/>
          <w:szCs w:val="28"/>
          <w:highlight w:val="none"/>
          <w:lang w:val="en-US" w:eastAsia="zh-CN"/>
        </w:rPr>
        <w:t>47</w:t>
      </w:r>
    </w:p>
    <w:p w14:paraId="68FA9460">
      <w:pPr>
        <w:tabs>
          <w:tab w:val="left" w:pos="1069"/>
          <w:tab w:val="left" w:pos="1080"/>
          <w:tab w:val="left" w:pos="2352"/>
        </w:tabs>
        <w:autoSpaceDE w:val="0"/>
        <w:autoSpaceDN w:val="0"/>
        <w:adjustRightInd w:val="0"/>
        <w:spacing w:line="800" w:lineRule="exact"/>
        <w:ind w:firstLine="280" w:firstLineChars="100"/>
        <w:textAlignment w:val="baseline"/>
        <w:rPr>
          <w:rFonts w:hint="default" w:ascii="宋体" w:hAnsi="宋体" w:eastAsia="宋体" w:cs="宋体"/>
          <w:color w:val="auto"/>
          <w:sz w:val="28"/>
          <w:szCs w:val="28"/>
          <w:highlight w:val="none"/>
          <w:lang w:val="en-US" w:eastAsia="zh-CN"/>
        </w:rPr>
      </w:pPr>
      <w:r>
        <w:rPr>
          <w:rFonts w:hint="eastAsia" w:ascii="宋体" w:hAnsi="宋体" w:cs="宋体"/>
          <w:color w:val="auto"/>
          <w:sz w:val="28"/>
          <w:szCs w:val="28"/>
          <w:highlight w:val="none"/>
        </w:rPr>
        <w:t>第七部分、评标办法.........................................</w:t>
      </w:r>
      <w:r>
        <w:rPr>
          <w:rFonts w:hint="eastAsia" w:ascii="宋体" w:hAnsi="宋体" w:cs="宋体"/>
          <w:color w:val="auto"/>
          <w:sz w:val="28"/>
          <w:szCs w:val="28"/>
          <w:highlight w:val="none"/>
          <w:lang w:val="en-US" w:eastAsia="zh-CN"/>
        </w:rPr>
        <w:t>61</w:t>
      </w:r>
    </w:p>
    <w:p w14:paraId="50F3F25D">
      <w:pPr>
        <w:pStyle w:val="21"/>
        <w:tabs>
          <w:tab w:val="left" w:pos="2352"/>
        </w:tabs>
        <w:rPr>
          <w:color w:val="auto"/>
          <w:highlight w:val="none"/>
        </w:rPr>
      </w:pPr>
    </w:p>
    <w:p w14:paraId="2E147E0E">
      <w:pPr>
        <w:tabs>
          <w:tab w:val="left" w:pos="1069"/>
          <w:tab w:val="left" w:pos="1080"/>
          <w:tab w:val="left" w:pos="2352"/>
        </w:tabs>
        <w:autoSpaceDE w:val="0"/>
        <w:autoSpaceDN w:val="0"/>
        <w:adjustRightInd w:val="0"/>
        <w:spacing w:line="360" w:lineRule="auto"/>
        <w:textAlignment w:val="baseline"/>
        <w:rPr>
          <w:rFonts w:ascii="宋体" w:hAnsi="宋体" w:cs="宋体"/>
          <w:color w:val="auto"/>
          <w:sz w:val="28"/>
          <w:szCs w:val="28"/>
          <w:highlight w:val="none"/>
        </w:rPr>
      </w:pPr>
    </w:p>
    <w:p w14:paraId="01E01CDE">
      <w:pPr>
        <w:keepNext w:val="0"/>
        <w:keepLines w:val="0"/>
        <w:pageBreakBefore w:val="0"/>
        <w:widowControl w:val="0"/>
        <w:tabs>
          <w:tab w:val="left" w:pos="1069"/>
          <w:tab w:val="left" w:pos="1080"/>
          <w:tab w:val="left" w:pos="2352"/>
        </w:tabs>
        <w:kinsoku/>
        <w:wordWrap/>
        <w:overflowPunct/>
        <w:topLinePunct w:val="0"/>
        <w:autoSpaceDE w:val="0"/>
        <w:autoSpaceDN w:val="0"/>
        <w:bidi w:val="0"/>
        <w:adjustRightInd w:val="0"/>
        <w:snapToGrid/>
        <w:spacing w:line="360" w:lineRule="exact"/>
        <w:textAlignment w:val="baseline"/>
        <w:rPr>
          <w:rFonts w:ascii="宋体" w:hAnsi="宋体" w:cs="宋体"/>
          <w:b/>
          <w:bCs/>
          <w:color w:val="auto"/>
          <w:sz w:val="24"/>
          <w:szCs w:val="24"/>
          <w:highlight w:val="none"/>
          <w:u w:val="single"/>
        </w:rPr>
      </w:pPr>
      <w:r>
        <w:rPr>
          <w:rFonts w:hint="eastAsia" w:ascii="宋体" w:hAnsi="宋体" w:cs="宋体"/>
          <w:color w:val="auto"/>
          <w:sz w:val="28"/>
          <w:szCs w:val="28"/>
          <w:highlight w:val="none"/>
        </w:rPr>
        <w:t xml:space="preserve">    </w:t>
      </w:r>
      <w:r>
        <w:rPr>
          <w:rFonts w:hint="eastAsia" w:ascii="宋体" w:hAnsi="宋体" w:cs="宋体"/>
          <w:b/>
          <w:bCs/>
          <w:color w:val="auto"/>
          <w:sz w:val="24"/>
          <w:szCs w:val="24"/>
          <w:highlight w:val="none"/>
          <w:u w:val="single"/>
        </w:rPr>
        <w:t>注：竞争性磋商文件中标“▲”号的为招标的实质性要求和条件，着重提醒各供应商必须响应。各供应商必须认真阅读和理解竞争性磋商文件中的每一个条款及要求，因误读竞争性磋商文件而造成的后果，采购人概不负责。</w:t>
      </w:r>
    </w:p>
    <w:p w14:paraId="6EC5AD57">
      <w:pPr>
        <w:tabs>
          <w:tab w:val="left" w:pos="1069"/>
          <w:tab w:val="left" w:pos="1080"/>
          <w:tab w:val="left" w:pos="2352"/>
        </w:tabs>
        <w:autoSpaceDE w:val="0"/>
        <w:autoSpaceDN w:val="0"/>
        <w:adjustRightInd w:val="0"/>
        <w:spacing w:line="360" w:lineRule="auto"/>
        <w:textAlignment w:val="baseline"/>
        <w:rPr>
          <w:rFonts w:ascii="宋体" w:hAnsi="宋体" w:cs="宋体"/>
          <w:color w:val="auto"/>
          <w:sz w:val="28"/>
          <w:szCs w:val="28"/>
          <w:highlight w:val="none"/>
        </w:rPr>
      </w:pPr>
    </w:p>
    <w:p w14:paraId="21CD82A0">
      <w:pPr>
        <w:pStyle w:val="21"/>
        <w:tabs>
          <w:tab w:val="left" w:pos="2352"/>
        </w:tabs>
        <w:rPr>
          <w:color w:val="auto"/>
          <w:highlight w:val="none"/>
        </w:rPr>
      </w:pPr>
    </w:p>
    <w:p w14:paraId="0A50FEFB">
      <w:pPr>
        <w:rPr>
          <w:color w:val="auto"/>
          <w:highlight w:val="none"/>
        </w:rPr>
      </w:pPr>
    </w:p>
    <w:p w14:paraId="41FAFF80">
      <w:pPr>
        <w:pStyle w:val="2"/>
        <w:widowControl/>
        <w:spacing w:before="156" w:after="156" w:line="440" w:lineRule="exact"/>
        <w:jc w:val="center"/>
        <w:rPr>
          <w:rFonts w:hint="eastAsia" w:ascii="宋体" w:hAnsi="宋体" w:eastAsia="宋体" w:cs="宋体"/>
          <w:color w:val="auto"/>
          <w:highlight w:val="none"/>
        </w:rPr>
      </w:pPr>
    </w:p>
    <w:p w14:paraId="274A202F">
      <w:pPr>
        <w:pStyle w:val="2"/>
        <w:widowControl/>
        <w:spacing w:before="156" w:after="156" w:line="440" w:lineRule="exact"/>
        <w:jc w:val="center"/>
        <w:rPr>
          <w:rFonts w:hint="eastAsia" w:ascii="宋体" w:hAnsi="宋体" w:eastAsia="宋体" w:cs="宋体"/>
          <w:color w:val="auto"/>
          <w:highlight w:val="none"/>
        </w:rPr>
      </w:pPr>
    </w:p>
    <w:p w14:paraId="0BEC8CFB">
      <w:pPr>
        <w:pStyle w:val="2"/>
        <w:widowControl/>
        <w:spacing w:before="156" w:after="156" w:line="440" w:lineRule="exact"/>
        <w:jc w:val="center"/>
        <w:rPr>
          <w:rFonts w:ascii="宋体" w:hAnsi="宋体" w:eastAsia="宋体" w:cs="宋体"/>
          <w:color w:val="auto"/>
          <w:highlight w:val="none"/>
        </w:rPr>
      </w:pPr>
      <w:r>
        <w:rPr>
          <w:rFonts w:hint="eastAsia" w:ascii="宋体" w:hAnsi="宋体" w:eastAsia="宋体" w:cs="宋体"/>
          <w:color w:val="auto"/>
          <w:highlight w:val="none"/>
        </w:rPr>
        <w:t>关于</w:t>
      </w:r>
      <w:r>
        <w:rPr>
          <w:rFonts w:hint="eastAsia" w:ascii="宋体" w:hAnsi="宋体" w:eastAsia="宋体" w:cs="宋体"/>
          <w:color w:val="auto"/>
          <w:highlight w:val="none"/>
          <w:lang w:eastAsia="zh-CN"/>
        </w:rPr>
        <w:t>2024年泰顺县罗阳镇上洪村堆谷洋农田宜机化改造项目</w:t>
      </w:r>
      <w:r>
        <w:rPr>
          <w:rFonts w:hint="eastAsia" w:ascii="宋体" w:hAnsi="宋体" w:eastAsia="宋体" w:cs="宋体"/>
          <w:color w:val="auto"/>
          <w:highlight w:val="none"/>
        </w:rPr>
        <w:t>的竞争性磋商公告</w:t>
      </w:r>
    </w:p>
    <w:tbl>
      <w:tblPr>
        <w:tblStyle w:val="32"/>
        <w:tblpPr w:leftFromText="180" w:rightFromText="180" w:vertAnchor="text" w:tblpX="-132" w:tblpY="158"/>
        <w:tblOverlap w:val="never"/>
        <w:tblW w:w="5175"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29"/>
      </w:tblGrid>
      <w:tr w14:paraId="54ED80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5000" w:type="pct"/>
          </w:tcPr>
          <w:p w14:paraId="0338C9D2">
            <w:pPr>
              <w:pStyle w:val="27"/>
              <w:spacing w:after="156"/>
              <w:rPr>
                <w:rFonts w:ascii="仿宋" w:hAnsi="仿宋" w:eastAsia="仿宋" w:cs="仿宋"/>
                <w:color w:val="auto"/>
                <w:sz w:val="22"/>
                <w:highlight w:val="none"/>
                <w:shd w:val="clear" w:color="auto" w:fill="FFFFFF"/>
              </w:rPr>
            </w:pPr>
            <w:r>
              <w:rPr>
                <w:rFonts w:hint="eastAsia" w:ascii="仿宋" w:hAnsi="仿宋" w:eastAsia="仿宋" w:cs="仿宋"/>
                <w:color w:val="auto"/>
                <w:sz w:val="22"/>
                <w:highlight w:val="none"/>
                <w:shd w:val="clear" w:color="auto" w:fill="FFFFFF"/>
              </w:rPr>
              <w:t>项目概况</w:t>
            </w:r>
          </w:p>
          <w:p w14:paraId="2CFB5F77">
            <w:pPr>
              <w:pStyle w:val="27"/>
              <w:spacing w:after="156"/>
              <w:ind w:firstLine="440" w:firstLineChars="200"/>
              <w:rPr>
                <w:rFonts w:ascii="仿宋" w:hAnsi="仿宋" w:eastAsia="仿宋" w:cs="仿宋"/>
                <w:color w:val="auto"/>
                <w:sz w:val="22"/>
                <w:highlight w:val="none"/>
                <w:shd w:val="clear" w:color="auto" w:fill="FFFFFF"/>
              </w:rPr>
            </w:pPr>
            <w:r>
              <w:rPr>
                <w:rFonts w:hint="eastAsia" w:ascii="仿宋" w:hAnsi="仿宋" w:eastAsia="仿宋" w:cs="仿宋"/>
                <w:color w:val="auto"/>
                <w:sz w:val="22"/>
                <w:highlight w:val="none"/>
                <w:shd w:val="clear" w:color="auto" w:fill="FFFFFF"/>
                <w:lang w:eastAsia="zh-CN"/>
              </w:rPr>
              <w:t>2024年泰顺县罗阳镇上洪村堆谷洋农田宜机化改造项目</w:t>
            </w:r>
            <w:r>
              <w:rPr>
                <w:rFonts w:hint="eastAsia" w:ascii="仿宋" w:hAnsi="仿宋" w:eastAsia="仿宋" w:cs="仿宋"/>
                <w:color w:val="auto"/>
                <w:sz w:val="22"/>
                <w:highlight w:val="none"/>
                <w:shd w:val="clear" w:color="auto" w:fill="FFFFFF"/>
              </w:rPr>
              <w:t>采购项目的潜在供应商应在政采云平台</w:t>
            </w:r>
            <w:r>
              <w:rPr>
                <w:rFonts w:hint="eastAsia" w:ascii="仿宋" w:hAnsi="仿宋" w:eastAsia="仿宋" w:cs="仿宋"/>
                <w:color w:val="auto"/>
                <w:sz w:val="22"/>
                <w:highlight w:val="none"/>
                <w:shd w:val="clear" w:color="auto" w:fill="FFFFFF"/>
                <w:lang w:eastAsia="zh-CN"/>
              </w:rPr>
              <w:t>（</w:t>
            </w:r>
            <w:r>
              <w:rPr>
                <w:rFonts w:hint="eastAsia" w:ascii="仿宋" w:hAnsi="仿宋" w:eastAsia="仿宋" w:cs="仿宋"/>
                <w:color w:val="auto"/>
                <w:sz w:val="22"/>
                <w:highlight w:val="none"/>
                <w:shd w:val="clear" w:color="auto" w:fill="FFFFFF"/>
              </w:rPr>
              <w:t>http://zfcg.czt.zj.gov.cn/</w:t>
            </w:r>
            <w:r>
              <w:rPr>
                <w:rFonts w:hint="eastAsia" w:ascii="仿宋" w:hAnsi="仿宋" w:eastAsia="仿宋" w:cs="仿宋"/>
                <w:color w:val="auto"/>
                <w:sz w:val="22"/>
                <w:highlight w:val="none"/>
                <w:shd w:val="clear" w:color="auto" w:fill="FFFFFF"/>
                <w:lang w:eastAsia="zh-CN"/>
              </w:rPr>
              <w:t>）</w:t>
            </w:r>
            <w:r>
              <w:rPr>
                <w:rFonts w:hint="eastAsia" w:ascii="仿宋" w:hAnsi="仿宋" w:eastAsia="仿宋" w:cs="仿宋"/>
                <w:color w:val="auto"/>
                <w:sz w:val="22"/>
                <w:highlight w:val="none"/>
                <w:shd w:val="clear" w:color="auto" w:fill="FFFFFF"/>
              </w:rPr>
              <w:t>获取（下载）采购文件，并于</w:t>
            </w:r>
            <w:r>
              <w:rPr>
                <w:rFonts w:hint="eastAsia" w:ascii="仿宋" w:hAnsi="仿宋" w:eastAsia="仿宋" w:cs="仿宋"/>
                <w:color w:val="auto"/>
                <w:sz w:val="22"/>
                <w:highlight w:val="none"/>
                <w:shd w:val="clear" w:color="auto" w:fill="FFFFFF"/>
                <w:lang w:eastAsia="zh-CN"/>
              </w:rPr>
              <w:t>2025年03月11 日 09:00</w:t>
            </w:r>
            <w:r>
              <w:rPr>
                <w:rFonts w:hint="eastAsia" w:ascii="仿宋" w:hAnsi="仿宋" w:eastAsia="仿宋" w:cs="仿宋"/>
                <w:color w:val="auto"/>
                <w:sz w:val="22"/>
                <w:highlight w:val="none"/>
                <w:shd w:val="clear" w:color="auto" w:fill="FFFFFF"/>
              </w:rPr>
              <w:t>（北京时间）前提交（上传）响应文件。</w:t>
            </w:r>
          </w:p>
        </w:tc>
      </w:tr>
    </w:tbl>
    <w:p w14:paraId="341EDC0D">
      <w:pPr>
        <w:pStyle w:val="27"/>
        <w:spacing w:after="156"/>
        <w:ind w:firstLine="440" w:firstLineChars="200"/>
        <w:rPr>
          <w:rFonts w:ascii="仿宋" w:hAnsi="仿宋" w:eastAsia="仿宋" w:cs="仿宋"/>
          <w:color w:val="auto"/>
          <w:sz w:val="22"/>
          <w:highlight w:val="none"/>
        </w:rPr>
      </w:pPr>
      <w:r>
        <w:rPr>
          <w:rFonts w:hint="eastAsia" w:ascii="仿宋" w:hAnsi="仿宋" w:eastAsia="仿宋" w:cs="仿宋"/>
          <w:color w:val="auto"/>
          <w:sz w:val="22"/>
          <w:highlight w:val="none"/>
          <w:shd w:val="clear" w:color="auto" w:fill="FFFFFF"/>
        </w:rPr>
        <w:t>                            </w:t>
      </w:r>
    </w:p>
    <w:p w14:paraId="2D9BE3CC">
      <w:pPr>
        <w:pStyle w:val="27"/>
        <w:shd w:val="clear" w:color="auto" w:fill="FFFFFF"/>
        <w:spacing w:before="128" w:after="156" w:line="225" w:lineRule="atLeast"/>
        <w:jc w:val="both"/>
        <w:rPr>
          <w:rFonts w:ascii="仿宋" w:hAnsi="仿宋" w:eastAsia="仿宋" w:cs="仿宋"/>
          <w:color w:val="auto"/>
          <w:sz w:val="22"/>
          <w:highlight w:val="none"/>
        </w:rPr>
      </w:pPr>
      <w:r>
        <w:rPr>
          <w:rStyle w:val="34"/>
          <w:rFonts w:hint="eastAsia" w:ascii="仿宋" w:hAnsi="仿宋" w:eastAsia="仿宋" w:cs="仿宋"/>
          <w:color w:val="auto"/>
          <w:sz w:val="22"/>
          <w:highlight w:val="none"/>
          <w:shd w:val="clear" w:color="auto" w:fill="FFFFFF"/>
        </w:rPr>
        <w:t>一、项目基本情况</w:t>
      </w:r>
    </w:p>
    <w:p w14:paraId="52750E3B">
      <w:pPr>
        <w:pStyle w:val="27"/>
        <w:spacing w:after="156" w:line="150" w:lineRule="atLeast"/>
        <w:rPr>
          <w:rFonts w:ascii="仿宋" w:hAnsi="仿宋" w:eastAsia="仿宋" w:cs="仿宋"/>
          <w:color w:val="auto"/>
          <w:sz w:val="22"/>
          <w:highlight w:val="none"/>
        </w:rPr>
      </w:pPr>
      <w:r>
        <w:rPr>
          <w:rFonts w:hint="eastAsia" w:ascii="仿宋" w:hAnsi="仿宋" w:eastAsia="仿宋" w:cs="仿宋"/>
          <w:color w:val="auto"/>
          <w:sz w:val="22"/>
          <w:highlight w:val="none"/>
          <w:shd w:val="clear" w:color="auto" w:fill="FFFFFF"/>
        </w:rPr>
        <w:t>    项目编号：</w:t>
      </w:r>
      <w:r>
        <w:rPr>
          <w:rFonts w:hint="eastAsia" w:ascii="仿宋" w:hAnsi="仿宋" w:eastAsia="仿宋" w:cs="仿宋"/>
          <w:color w:val="auto"/>
          <w:sz w:val="22"/>
          <w:highlight w:val="none"/>
          <w:shd w:val="clear" w:color="auto" w:fill="FFFFFF"/>
          <w:lang w:eastAsia="zh-CN"/>
        </w:rPr>
        <w:t>TSCG202502006</w:t>
      </w:r>
      <w:r>
        <w:rPr>
          <w:rFonts w:hint="eastAsia" w:ascii="仿宋" w:hAnsi="仿宋" w:eastAsia="仿宋" w:cs="仿宋"/>
          <w:color w:val="auto"/>
          <w:sz w:val="22"/>
          <w:highlight w:val="none"/>
          <w:shd w:val="clear" w:color="auto" w:fill="FFFFFF"/>
        </w:rPr>
        <w:t> </w:t>
      </w:r>
    </w:p>
    <w:p w14:paraId="176D3604">
      <w:pPr>
        <w:pStyle w:val="27"/>
        <w:spacing w:after="156" w:line="150" w:lineRule="atLeast"/>
        <w:rPr>
          <w:rFonts w:ascii="仿宋" w:hAnsi="仿宋" w:eastAsia="仿宋" w:cs="仿宋"/>
          <w:color w:val="auto"/>
          <w:sz w:val="22"/>
          <w:highlight w:val="none"/>
        </w:rPr>
      </w:pPr>
      <w:r>
        <w:rPr>
          <w:rFonts w:hint="eastAsia" w:ascii="仿宋" w:hAnsi="仿宋" w:eastAsia="仿宋" w:cs="仿宋"/>
          <w:color w:val="auto"/>
          <w:sz w:val="22"/>
          <w:highlight w:val="none"/>
          <w:shd w:val="clear" w:color="auto" w:fill="FFFFFF"/>
        </w:rPr>
        <w:t>    项目名称：</w:t>
      </w:r>
      <w:r>
        <w:rPr>
          <w:rFonts w:hint="eastAsia" w:ascii="仿宋" w:hAnsi="仿宋" w:eastAsia="仿宋" w:cs="仿宋"/>
          <w:color w:val="auto"/>
          <w:sz w:val="22"/>
          <w:highlight w:val="none"/>
          <w:shd w:val="clear" w:color="auto" w:fill="FFFFFF"/>
          <w:lang w:eastAsia="zh-CN"/>
        </w:rPr>
        <w:t>2024年泰顺县罗阳镇上洪村堆谷洋农田宜机化改造项目</w:t>
      </w:r>
      <w:r>
        <w:rPr>
          <w:rFonts w:hint="eastAsia" w:ascii="仿宋" w:hAnsi="仿宋" w:eastAsia="仿宋" w:cs="仿宋"/>
          <w:color w:val="auto"/>
          <w:sz w:val="22"/>
          <w:highlight w:val="none"/>
          <w:shd w:val="clear" w:color="auto" w:fill="FFFFFF"/>
        </w:rPr>
        <w:t> </w:t>
      </w:r>
    </w:p>
    <w:p w14:paraId="327EC9AC">
      <w:pPr>
        <w:pStyle w:val="27"/>
        <w:spacing w:after="156" w:line="150" w:lineRule="atLeast"/>
        <w:rPr>
          <w:rFonts w:ascii="仿宋" w:hAnsi="仿宋" w:eastAsia="仿宋" w:cs="仿宋"/>
          <w:color w:val="auto"/>
          <w:sz w:val="22"/>
          <w:highlight w:val="none"/>
        </w:rPr>
      </w:pPr>
      <w:r>
        <w:rPr>
          <w:rFonts w:hint="eastAsia" w:ascii="仿宋" w:hAnsi="仿宋" w:eastAsia="仿宋" w:cs="仿宋"/>
          <w:color w:val="auto"/>
          <w:sz w:val="22"/>
          <w:highlight w:val="none"/>
          <w:shd w:val="clear" w:color="auto" w:fill="FFFFFF"/>
        </w:rPr>
        <w:t>    采购方式：竞争性磋商 </w:t>
      </w:r>
    </w:p>
    <w:p w14:paraId="72C3A03F">
      <w:pPr>
        <w:pStyle w:val="27"/>
        <w:spacing w:after="156" w:line="150" w:lineRule="atLeast"/>
        <w:rPr>
          <w:rFonts w:ascii="仿宋" w:hAnsi="仿宋" w:eastAsia="仿宋" w:cs="仿宋"/>
          <w:color w:val="auto"/>
          <w:sz w:val="22"/>
          <w:highlight w:val="none"/>
        </w:rPr>
      </w:pPr>
      <w:r>
        <w:rPr>
          <w:rFonts w:hint="eastAsia" w:ascii="仿宋" w:hAnsi="仿宋" w:eastAsia="仿宋" w:cs="仿宋"/>
          <w:color w:val="auto"/>
          <w:sz w:val="22"/>
          <w:highlight w:val="none"/>
          <w:shd w:val="clear" w:color="auto" w:fill="FFFFFF"/>
        </w:rPr>
        <w:t>    预算金额（元）：2047770  </w:t>
      </w:r>
    </w:p>
    <w:p w14:paraId="096EC952">
      <w:pPr>
        <w:pStyle w:val="27"/>
        <w:spacing w:after="156" w:line="150" w:lineRule="atLeast"/>
        <w:rPr>
          <w:rFonts w:ascii="仿宋" w:hAnsi="仿宋" w:eastAsia="仿宋" w:cs="仿宋"/>
          <w:color w:val="auto"/>
          <w:sz w:val="22"/>
          <w:highlight w:val="none"/>
        </w:rPr>
      </w:pPr>
      <w:r>
        <w:rPr>
          <w:rFonts w:hint="eastAsia" w:ascii="仿宋" w:hAnsi="仿宋" w:eastAsia="仿宋" w:cs="仿宋"/>
          <w:color w:val="auto"/>
          <w:sz w:val="22"/>
          <w:highlight w:val="none"/>
          <w:shd w:val="clear" w:color="auto" w:fill="FFFFFF"/>
        </w:rPr>
        <w:t>    最高限价（元）：2047770  </w:t>
      </w:r>
    </w:p>
    <w:p w14:paraId="14381B1F">
      <w:pPr>
        <w:pStyle w:val="27"/>
        <w:spacing w:after="156" w:line="150" w:lineRule="atLeast"/>
        <w:rPr>
          <w:rFonts w:ascii="仿宋" w:hAnsi="仿宋" w:eastAsia="仿宋" w:cs="仿宋"/>
          <w:color w:val="auto"/>
          <w:sz w:val="22"/>
          <w:highlight w:val="none"/>
        </w:rPr>
      </w:pPr>
      <w:r>
        <w:rPr>
          <w:rFonts w:hint="eastAsia" w:ascii="仿宋" w:hAnsi="仿宋" w:eastAsia="仿宋" w:cs="仿宋"/>
          <w:color w:val="auto"/>
          <w:sz w:val="22"/>
          <w:highlight w:val="none"/>
          <w:shd w:val="clear" w:color="auto" w:fill="FFFFFF"/>
        </w:rPr>
        <w:t>    采购需求：</w:t>
      </w:r>
    </w:p>
    <w:p w14:paraId="7F299FFA">
      <w:pPr>
        <w:widowControl/>
        <w:shd w:val="clear" w:color="auto" w:fill="FFFFFF"/>
        <w:spacing w:line="150" w:lineRule="atLeast"/>
        <w:jc w:val="left"/>
        <w:rPr>
          <w:rFonts w:ascii="仿宋" w:hAnsi="仿宋" w:eastAsia="仿宋" w:cs="仿宋"/>
          <w:color w:val="auto"/>
          <w:kern w:val="0"/>
          <w:sz w:val="22"/>
          <w:highlight w:val="none"/>
          <w:shd w:val="clear" w:color="auto" w:fill="FFFFFF"/>
        </w:rPr>
      </w:pPr>
      <w:r>
        <w:rPr>
          <w:rFonts w:hint="eastAsia" w:ascii="仿宋" w:hAnsi="仿宋" w:eastAsia="仿宋" w:cs="仿宋"/>
          <w:color w:val="auto"/>
          <w:kern w:val="0"/>
          <w:sz w:val="22"/>
          <w:highlight w:val="none"/>
          <w:shd w:val="clear" w:color="auto" w:fill="FFFFFF"/>
        </w:rPr>
        <w:t>         </w:t>
      </w:r>
    </w:p>
    <w:p w14:paraId="1D3CB83B">
      <w:pPr>
        <w:widowControl/>
        <w:shd w:val="clear" w:color="auto" w:fill="FFFFFF"/>
        <w:spacing w:line="150" w:lineRule="atLeast"/>
        <w:jc w:val="left"/>
        <w:rPr>
          <w:rFonts w:ascii="仿宋" w:hAnsi="仿宋" w:eastAsia="仿宋" w:cs="仿宋"/>
          <w:color w:val="auto"/>
          <w:sz w:val="22"/>
          <w:highlight w:val="none"/>
        </w:rPr>
      </w:pPr>
      <w:r>
        <w:rPr>
          <w:rFonts w:hint="eastAsia" w:ascii="仿宋" w:hAnsi="仿宋" w:eastAsia="仿宋" w:cs="仿宋"/>
          <w:color w:val="auto"/>
          <w:kern w:val="0"/>
          <w:sz w:val="22"/>
          <w:highlight w:val="none"/>
          <w:shd w:val="clear" w:color="auto" w:fill="FFFFFF"/>
        </w:rPr>
        <w:t>   数量：不限       </w:t>
      </w:r>
    </w:p>
    <w:p w14:paraId="6E10DF5B">
      <w:pPr>
        <w:pStyle w:val="27"/>
        <w:spacing w:after="156" w:line="150" w:lineRule="atLeast"/>
        <w:rPr>
          <w:rFonts w:hint="eastAsia" w:ascii="仿宋" w:hAnsi="仿宋" w:eastAsia="仿宋" w:cs="仿宋"/>
          <w:color w:val="auto"/>
          <w:sz w:val="22"/>
          <w:highlight w:val="none"/>
          <w:lang w:eastAsia="zh-CN"/>
        </w:rPr>
      </w:pPr>
      <w:r>
        <w:rPr>
          <w:rFonts w:hint="eastAsia" w:ascii="仿宋" w:hAnsi="仿宋" w:eastAsia="仿宋" w:cs="仿宋"/>
          <w:color w:val="auto"/>
          <w:sz w:val="22"/>
          <w:highlight w:val="none"/>
          <w:shd w:val="clear" w:color="auto" w:fill="FFFFFF"/>
        </w:rPr>
        <w:t>   预算金额（元）：2047770</w:t>
      </w:r>
    </w:p>
    <w:p w14:paraId="47AC2131">
      <w:pPr>
        <w:pStyle w:val="27"/>
        <w:spacing w:after="156" w:line="150" w:lineRule="atLeast"/>
        <w:rPr>
          <w:rFonts w:ascii="仿宋" w:hAnsi="仿宋" w:eastAsia="仿宋" w:cs="仿宋"/>
          <w:color w:val="auto"/>
          <w:sz w:val="22"/>
          <w:highlight w:val="none"/>
        </w:rPr>
      </w:pPr>
      <w:r>
        <w:rPr>
          <w:rFonts w:hint="eastAsia" w:ascii="仿宋" w:hAnsi="仿宋" w:eastAsia="仿宋" w:cs="仿宋"/>
          <w:color w:val="auto"/>
          <w:sz w:val="22"/>
          <w:highlight w:val="none"/>
          <w:shd w:val="clear" w:color="auto" w:fill="FFFFFF"/>
        </w:rPr>
        <w:t>   单位：项 </w:t>
      </w:r>
    </w:p>
    <w:p w14:paraId="6B324725">
      <w:pPr>
        <w:pStyle w:val="27"/>
        <w:spacing w:after="156" w:line="150" w:lineRule="atLeast"/>
        <w:rPr>
          <w:rFonts w:hint="eastAsia" w:ascii="仿宋" w:hAnsi="仿宋" w:eastAsia="仿宋" w:cs="仿宋"/>
          <w:color w:val="auto"/>
          <w:sz w:val="22"/>
          <w:highlight w:val="none"/>
          <w:lang w:eastAsia="zh-CN"/>
        </w:rPr>
      </w:pPr>
      <w:r>
        <w:rPr>
          <w:rFonts w:hint="eastAsia" w:ascii="仿宋" w:hAnsi="仿宋" w:eastAsia="仿宋" w:cs="仿宋"/>
          <w:color w:val="auto"/>
          <w:sz w:val="22"/>
          <w:highlight w:val="none"/>
          <w:shd w:val="clear" w:color="auto" w:fill="FFFFFF"/>
        </w:rPr>
        <w:t>   简要规格描述：</w:t>
      </w:r>
      <w:r>
        <w:rPr>
          <w:rFonts w:hint="eastAsia" w:ascii="仿宋" w:hAnsi="仿宋" w:eastAsia="仿宋" w:cs="仿宋"/>
          <w:color w:val="auto"/>
          <w:sz w:val="22"/>
          <w:highlight w:val="none"/>
          <w:shd w:val="clear" w:color="auto" w:fill="FFFFFF"/>
          <w:lang w:eastAsia="zh-CN"/>
        </w:rPr>
        <w:t>2024年泰顺县罗阳镇上洪村堆谷洋农田宜机化改造项目，以农村土地宜机化改造及项目运营方式实施。</w:t>
      </w:r>
    </w:p>
    <w:p w14:paraId="4AF74378">
      <w:pPr>
        <w:pStyle w:val="27"/>
        <w:spacing w:after="156" w:line="150" w:lineRule="atLeast"/>
        <w:rPr>
          <w:rFonts w:ascii="仿宋" w:hAnsi="仿宋" w:eastAsia="仿宋" w:cs="仿宋"/>
          <w:color w:val="auto"/>
          <w:sz w:val="22"/>
          <w:highlight w:val="none"/>
        </w:rPr>
      </w:pPr>
      <w:r>
        <w:rPr>
          <w:rFonts w:hint="eastAsia" w:ascii="仿宋" w:hAnsi="仿宋" w:eastAsia="仿宋" w:cs="仿宋"/>
          <w:color w:val="auto"/>
          <w:sz w:val="22"/>
          <w:highlight w:val="none"/>
          <w:shd w:val="clear" w:color="auto" w:fill="FFFFFF"/>
        </w:rPr>
        <w:t>   备注： </w:t>
      </w:r>
    </w:p>
    <w:p w14:paraId="088847A7">
      <w:pPr>
        <w:pStyle w:val="27"/>
        <w:spacing w:after="156" w:line="150" w:lineRule="atLeast"/>
        <w:rPr>
          <w:rFonts w:ascii="仿宋" w:hAnsi="仿宋" w:eastAsia="仿宋" w:cs="仿宋"/>
          <w:color w:val="auto"/>
          <w:sz w:val="22"/>
          <w:highlight w:val="none"/>
        </w:rPr>
      </w:pPr>
      <w:r>
        <w:rPr>
          <w:rFonts w:hint="eastAsia" w:ascii="仿宋" w:hAnsi="仿宋" w:eastAsia="仿宋" w:cs="仿宋"/>
          <w:color w:val="auto"/>
          <w:sz w:val="22"/>
          <w:highlight w:val="none"/>
          <w:shd w:val="clear" w:color="auto" w:fill="FFFFFF"/>
        </w:rPr>
        <w:t>    合同履约期限：标项 1，按采购文件规定。  </w:t>
      </w:r>
    </w:p>
    <w:p w14:paraId="28F8C4E4">
      <w:pPr>
        <w:pStyle w:val="27"/>
        <w:widowControl/>
        <w:spacing w:before="38" w:beforeAutospacing="0" w:after="38" w:afterAutospacing="0" w:line="150" w:lineRule="atLeast"/>
        <w:rPr>
          <w:rFonts w:hint="eastAsia" w:ascii="仿宋" w:hAnsi="仿宋" w:eastAsia="仿宋" w:cs="仿宋"/>
          <w:color w:val="auto"/>
          <w:sz w:val="22"/>
          <w:highlight w:val="none"/>
          <w:lang w:eastAsia="zh-CN"/>
        </w:rPr>
      </w:pPr>
      <w:r>
        <w:rPr>
          <w:rFonts w:hint="eastAsia" w:ascii="仿宋" w:hAnsi="仿宋" w:eastAsia="仿宋" w:cs="仿宋"/>
          <w:color w:val="auto"/>
          <w:sz w:val="22"/>
          <w:highlight w:val="none"/>
          <w:shd w:val="clear" w:color="auto" w:fill="FFFFFF"/>
        </w:rPr>
        <w:t>    本项目接受联合体投标</w:t>
      </w:r>
      <w:r>
        <w:rPr>
          <w:rFonts w:hint="eastAsia" w:ascii="仿宋" w:hAnsi="仿宋" w:eastAsia="仿宋" w:cs="仿宋"/>
          <w:color w:val="auto"/>
          <w:sz w:val="22"/>
          <w:highlight w:val="none"/>
          <w:shd w:val="clear" w:color="auto" w:fill="FFFFFF"/>
          <w:lang w:eastAsia="zh-CN"/>
        </w:rPr>
        <w:t>。</w:t>
      </w:r>
    </w:p>
    <w:p w14:paraId="3712E126">
      <w:pPr>
        <w:pStyle w:val="27"/>
        <w:shd w:val="clear" w:color="auto" w:fill="FFFFFF"/>
        <w:spacing w:before="128" w:after="156" w:line="225" w:lineRule="atLeast"/>
        <w:jc w:val="both"/>
        <w:rPr>
          <w:rFonts w:ascii="仿宋" w:hAnsi="仿宋" w:eastAsia="仿宋" w:cs="仿宋"/>
          <w:color w:val="auto"/>
          <w:sz w:val="22"/>
          <w:highlight w:val="none"/>
        </w:rPr>
      </w:pPr>
      <w:r>
        <w:rPr>
          <w:rStyle w:val="34"/>
          <w:rFonts w:hint="eastAsia" w:ascii="仿宋" w:hAnsi="仿宋" w:eastAsia="仿宋" w:cs="仿宋"/>
          <w:color w:val="auto"/>
          <w:sz w:val="22"/>
          <w:highlight w:val="none"/>
          <w:shd w:val="clear" w:color="auto" w:fill="FFFFFF"/>
        </w:rPr>
        <w:t>二、申请人的资格要求：</w:t>
      </w:r>
    </w:p>
    <w:p w14:paraId="770716D8">
      <w:pPr>
        <w:pStyle w:val="27"/>
        <w:spacing w:after="156" w:line="150" w:lineRule="atLeast"/>
        <w:rPr>
          <w:rFonts w:ascii="仿宋" w:hAnsi="仿宋" w:eastAsia="仿宋" w:cs="仿宋"/>
          <w:color w:val="auto"/>
          <w:sz w:val="22"/>
          <w:highlight w:val="none"/>
        </w:rPr>
      </w:pPr>
      <w:r>
        <w:rPr>
          <w:rFonts w:hint="eastAsia" w:ascii="仿宋" w:hAnsi="仿宋" w:eastAsia="仿宋" w:cs="仿宋"/>
          <w:color w:val="auto"/>
          <w:sz w:val="22"/>
          <w:highlight w:val="none"/>
          <w:shd w:val="clear" w:color="auto" w:fill="FFFFFF"/>
        </w:rPr>
        <w:t>    1.满足《中华人民共和国政府采购法》第二十二条规定；未被“信用中国”（www.creditchina.gov.cn)、中国政府采购网（www.ccgp.gov.cn）列入失信被执行人、重大税收违法案件当事人名单、政府采购严重违法失信行为记录名单。</w:t>
      </w:r>
    </w:p>
    <w:p w14:paraId="0DA1BBAE">
      <w:pPr>
        <w:pStyle w:val="27"/>
        <w:spacing w:after="156" w:line="150" w:lineRule="atLeast"/>
        <w:rPr>
          <w:rFonts w:ascii="仿宋" w:hAnsi="仿宋" w:eastAsia="仿宋" w:cs="仿宋"/>
          <w:color w:val="auto"/>
          <w:sz w:val="22"/>
          <w:highlight w:val="none"/>
          <w:shd w:val="clear" w:color="auto" w:fill="FFFFFF"/>
        </w:rPr>
      </w:pPr>
      <w:r>
        <w:rPr>
          <w:rFonts w:hint="eastAsia" w:ascii="仿宋" w:hAnsi="仿宋" w:eastAsia="仿宋" w:cs="仿宋"/>
          <w:color w:val="auto"/>
          <w:sz w:val="22"/>
          <w:highlight w:val="none"/>
          <w:shd w:val="clear" w:color="auto" w:fill="FFFFFF"/>
        </w:rPr>
        <w:t>    2.落实政府采购政策需满足的资格要求：标项1：</w:t>
      </w:r>
      <w:r>
        <w:rPr>
          <w:rFonts w:hint="eastAsia" w:ascii="仿宋" w:hAnsi="仿宋" w:eastAsia="仿宋" w:cs="仿宋"/>
          <w:color w:val="auto"/>
          <w:sz w:val="22"/>
          <w:highlight w:val="none"/>
          <w:shd w:val="clear" w:color="auto" w:fill="FFFFFF"/>
          <w:lang w:val="en-US" w:eastAsia="zh-CN"/>
        </w:rPr>
        <w:t>投标供应商须为中小企业</w:t>
      </w:r>
      <w:r>
        <w:rPr>
          <w:rFonts w:hint="eastAsia" w:ascii="仿宋" w:hAnsi="仿宋" w:eastAsia="仿宋" w:cs="仿宋"/>
          <w:color w:val="auto"/>
          <w:sz w:val="22"/>
          <w:highlight w:val="none"/>
          <w:shd w:val="clear" w:color="auto" w:fill="FFFFFF"/>
        </w:rPr>
        <w:t>。 </w:t>
      </w:r>
    </w:p>
    <w:p w14:paraId="70459994">
      <w:pPr>
        <w:pStyle w:val="27"/>
        <w:widowControl/>
        <w:spacing w:before="38" w:beforeAutospacing="0" w:after="38" w:afterAutospacing="0" w:line="150" w:lineRule="atLeast"/>
        <w:ind w:firstLine="342"/>
        <w:rPr>
          <w:rFonts w:hint="eastAsia" w:ascii="仿宋" w:hAnsi="仿宋" w:eastAsia="仿宋" w:cs="仿宋"/>
          <w:color w:val="auto"/>
          <w:sz w:val="22"/>
          <w:highlight w:val="none"/>
          <w:shd w:val="clear" w:color="auto" w:fill="FFFFFF"/>
          <w:lang w:val="en-US" w:eastAsia="zh-CN"/>
        </w:rPr>
      </w:pPr>
      <w:r>
        <w:rPr>
          <w:rFonts w:hint="eastAsia" w:ascii="仿宋" w:hAnsi="仿宋" w:eastAsia="仿宋" w:cs="仿宋"/>
          <w:color w:val="auto"/>
          <w:sz w:val="22"/>
          <w:highlight w:val="none"/>
          <w:shd w:val="clear" w:color="auto" w:fill="FFFFFF"/>
        </w:rPr>
        <w:t>3.本项目的特定资格要求：</w:t>
      </w:r>
      <w:r>
        <w:rPr>
          <w:rFonts w:hint="eastAsia" w:ascii="仿宋" w:hAnsi="仿宋" w:eastAsia="仿宋" w:cs="仿宋"/>
          <w:color w:val="auto"/>
          <w:sz w:val="22"/>
          <w:highlight w:val="none"/>
          <w:shd w:val="clear" w:color="auto" w:fill="FFFFFF"/>
          <w:lang w:eastAsia="zh-CN"/>
        </w:rPr>
        <w:t>（</w:t>
      </w:r>
      <w:r>
        <w:rPr>
          <w:rFonts w:hint="eastAsia" w:ascii="仿宋" w:hAnsi="仿宋" w:eastAsia="仿宋" w:cs="仿宋"/>
          <w:color w:val="auto"/>
          <w:sz w:val="22"/>
          <w:highlight w:val="none"/>
          <w:shd w:val="clear" w:color="auto" w:fill="FFFFFF"/>
          <w:lang w:val="en-US" w:eastAsia="zh-CN"/>
        </w:rPr>
        <w:t>1</w:t>
      </w:r>
      <w:r>
        <w:rPr>
          <w:rFonts w:hint="eastAsia" w:ascii="仿宋" w:hAnsi="仿宋" w:eastAsia="仿宋" w:cs="仿宋"/>
          <w:color w:val="auto"/>
          <w:sz w:val="22"/>
          <w:highlight w:val="none"/>
          <w:shd w:val="clear" w:color="auto" w:fill="FFFFFF"/>
          <w:lang w:eastAsia="zh-CN"/>
        </w:rPr>
        <w:t>）</w:t>
      </w:r>
      <w:r>
        <w:rPr>
          <w:rFonts w:hint="eastAsia" w:ascii="仿宋" w:hAnsi="仿宋" w:eastAsia="仿宋" w:cs="仿宋"/>
          <w:color w:val="auto"/>
          <w:sz w:val="22"/>
          <w:highlight w:val="none"/>
          <w:shd w:val="clear" w:color="auto" w:fill="FFFFFF"/>
          <w:lang w:val="en-US" w:eastAsia="zh-CN"/>
        </w:rPr>
        <w:t>投标供应商须</w:t>
      </w:r>
      <w:r>
        <w:rPr>
          <w:rFonts w:hint="eastAsia" w:ascii="仿宋" w:hAnsi="仿宋" w:eastAsia="仿宋" w:cs="仿宋"/>
          <w:color w:val="auto"/>
          <w:sz w:val="22"/>
          <w:highlight w:val="none"/>
          <w:shd w:val="clear" w:color="auto" w:fill="FFFFFF"/>
        </w:rPr>
        <w:t>具有项目运营或投资能力</w:t>
      </w:r>
      <w:r>
        <w:rPr>
          <w:rFonts w:hint="eastAsia" w:ascii="仿宋" w:hAnsi="仿宋" w:eastAsia="仿宋" w:cs="仿宋"/>
          <w:color w:val="auto"/>
          <w:sz w:val="22"/>
          <w:highlight w:val="none"/>
          <w:shd w:val="clear" w:color="auto" w:fill="FFFFFF"/>
          <w:lang w:eastAsia="zh-CN"/>
        </w:rPr>
        <w:t>；</w:t>
      </w:r>
      <w:r>
        <w:rPr>
          <w:rFonts w:hint="eastAsia" w:ascii="仿宋" w:hAnsi="仿宋" w:eastAsia="仿宋" w:cs="仿宋"/>
          <w:color w:val="auto"/>
          <w:sz w:val="22"/>
          <w:highlight w:val="none"/>
          <w:shd w:val="clear" w:color="auto" w:fill="FFFFFF"/>
          <w:lang w:val="en-US" w:eastAsia="zh-CN"/>
        </w:rPr>
        <w:t>（2）投标供应商须具有水利水电工程施工总承包三级及以上资质或市政公用工程施工总承包三级及以上资质，具有有效的企业《安全生产许可证》。</w:t>
      </w:r>
    </w:p>
    <w:p w14:paraId="28795B09">
      <w:pPr>
        <w:pStyle w:val="27"/>
        <w:widowControl/>
        <w:spacing w:before="38" w:beforeAutospacing="0" w:after="38" w:afterAutospacing="0" w:line="150" w:lineRule="atLeast"/>
        <w:ind w:firstLine="342"/>
        <w:rPr>
          <w:rFonts w:hint="eastAsia" w:ascii="仿宋" w:hAnsi="仿宋" w:eastAsia="仿宋" w:cs="仿宋"/>
          <w:color w:val="auto"/>
          <w:sz w:val="22"/>
          <w:highlight w:val="none"/>
          <w:shd w:val="clear" w:color="auto" w:fill="FFFFFF"/>
          <w:lang w:val="en-US" w:eastAsia="zh-CN"/>
        </w:rPr>
      </w:pPr>
      <w:r>
        <w:rPr>
          <w:rFonts w:hint="eastAsia" w:ascii="仿宋" w:hAnsi="仿宋" w:eastAsia="仿宋" w:cs="仿宋"/>
          <w:color w:val="auto"/>
          <w:sz w:val="22"/>
          <w:highlight w:val="none"/>
          <w:shd w:val="clear" w:color="auto" w:fill="FFFFFF"/>
        </w:rPr>
        <w:t>本项目接受联合体投标</w:t>
      </w:r>
      <w:r>
        <w:rPr>
          <w:rFonts w:hint="eastAsia" w:ascii="仿宋" w:hAnsi="仿宋" w:eastAsia="仿宋" w:cs="仿宋"/>
          <w:color w:val="auto"/>
          <w:sz w:val="22"/>
          <w:highlight w:val="none"/>
          <w:shd w:val="clear" w:color="auto" w:fill="FFFFFF"/>
          <w:lang w:eastAsia="zh-CN"/>
        </w:rPr>
        <w:t>，</w:t>
      </w:r>
      <w:r>
        <w:rPr>
          <w:rFonts w:hint="eastAsia" w:ascii="仿宋" w:hAnsi="仿宋" w:eastAsia="仿宋" w:cs="仿宋"/>
          <w:color w:val="auto"/>
          <w:sz w:val="22"/>
          <w:highlight w:val="none"/>
          <w:lang w:val="en-US" w:eastAsia="zh-CN"/>
        </w:rPr>
        <w:t>（1）组成联合体的成员不得超过2家；（2）出具联合投标协议书（其中运营服务单位须作为牵头人）；（3）联合体各方不得再单独参加或者与其他供应商另外组成联合体参加同一合同项下的采购活动</w:t>
      </w:r>
      <w:r>
        <w:rPr>
          <w:rFonts w:hint="eastAsia" w:ascii="仿宋" w:hAnsi="仿宋" w:eastAsia="仿宋" w:cs="仿宋"/>
          <w:color w:val="auto"/>
          <w:sz w:val="22"/>
          <w:highlight w:val="none"/>
        </w:rPr>
        <w:t>。</w:t>
      </w:r>
      <w:r>
        <w:rPr>
          <w:rFonts w:hint="eastAsia" w:ascii="仿宋" w:hAnsi="仿宋" w:eastAsia="仿宋" w:cs="仿宋"/>
          <w:color w:val="auto"/>
          <w:sz w:val="22"/>
          <w:highlight w:val="none"/>
          <w:shd w:val="clear" w:color="auto" w:fill="FFFFFF"/>
        </w:rPr>
        <w:t> </w:t>
      </w:r>
    </w:p>
    <w:p w14:paraId="10A8CD32">
      <w:pPr>
        <w:pStyle w:val="27"/>
        <w:shd w:val="clear" w:color="auto" w:fill="FFFFFF"/>
        <w:spacing w:before="128" w:after="156" w:line="225" w:lineRule="atLeast"/>
        <w:jc w:val="both"/>
        <w:rPr>
          <w:rFonts w:ascii="仿宋" w:hAnsi="仿宋" w:eastAsia="仿宋" w:cs="仿宋"/>
          <w:color w:val="auto"/>
          <w:sz w:val="22"/>
          <w:highlight w:val="none"/>
        </w:rPr>
      </w:pPr>
      <w:r>
        <w:rPr>
          <w:rStyle w:val="34"/>
          <w:rFonts w:hint="eastAsia" w:ascii="仿宋" w:hAnsi="仿宋" w:eastAsia="仿宋" w:cs="仿宋"/>
          <w:color w:val="auto"/>
          <w:sz w:val="22"/>
          <w:highlight w:val="none"/>
          <w:shd w:val="clear" w:color="auto" w:fill="FFFFFF"/>
        </w:rPr>
        <w:t>三、获取（下载）采购文件</w:t>
      </w:r>
    </w:p>
    <w:p w14:paraId="0D85FBF2">
      <w:pPr>
        <w:pStyle w:val="27"/>
        <w:spacing w:after="156" w:line="150" w:lineRule="atLeast"/>
        <w:rPr>
          <w:rFonts w:ascii="仿宋" w:hAnsi="仿宋" w:eastAsia="仿宋" w:cs="仿宋"/>
          <w:color w:val="auto"/>
          <w:sz w:val="22"/>
          <w:highlight w:val="none"/>
        </w:rPr>
      </w:pPr>
      <w:r>
        <w:rPr>
          <w:rFonts w:hint="eastAsia" w:ascii="仿宋" w:hAnsi="仿宋" w:eastAsia="仿宋" w:cs="仿宋"/>
          <w:color w:val="auto"/>
          <w:sz w:val="22"/>
          <w:highlight w:val="none"/>
          <w:shd w:val="clear" w:color="auto" w:fill="FFFFFF"/>
        </w:rPr>
        <w:t>    时间：/至</w:t>
      </w:r>
      <w:r>
        <w:rPr>
          <w:rFonts w:hint="eastAsia" w:ascii="仿宋" w:hAnsi="仿宋" w:eastAsia="仿宋" w:cs="仿宋"/>
          <w:color w:val="auto"/>
          <w:sz w:val="22"/>
          <w:highlight w:val="none"/>
          <w:shd w:val="clear" w:color="auto" w:fill="FFFFFF"/>
          <w:lang w:eastAsia="zh-CN"/>
        </w:rPr>
        <w:t>2025年0</w:t>
      </w:r>
      <w:r>
        <w:rPr>
          <w:rFonts w:hint="eastAsia" w:ascii="仿宋" w:hAnsi="仿宋" w:eastAsia="仿宋" w:cs="仿宋"/>
          <w:color w:val="auto"/>
          <w:sz w:val="22"/>
          <w:highlight w:val="none"/>
          <w:shd w:val="clear" w:color="auto" w:fill="FFFFFF"/>
          <w:lang w:val="en-US" w:eastAsia="zh-CN"/>
        </w:rPr>
        <w:t>3</w:t>
      </w:r>
      <w:r>
        <w:rPr>
          <w:rFonts w:hint="eastAsia" w:ascii="仿宋" w:hAnsi="仿宋" w:eastAsia="仿宋" w:cs="仿宋"/>
          <w:color w:val="auto"/>
          <w:sz w:val="22"/>
          <w:highlight w:val="none"/>
          <w:shd w:val="clear" w:color="auto" w:fill="FFFFFF"/>
          <w:lang w:eastAsia="zh-CN"/>
        </w:rPr>
        <w:t>月</w:t>
      </w:r>
      <w:r>
        <w:rPr>
          <w:rFonts w:hint="eastAsia" w:ascii="仿宋" w:hAnsi="仿宋" w:eastAsia="仿宋" w:cs="仿宋"/>
          <w:color w:val="auto"/>
          <w:sz w:val="22"/>
          <w:highlight w:val="none"/>
          <w:shd w:val="clear" w:color="auto" w:fill="FFFFFF"/>
          <w:lang w:val="en-US" w:eastAsia="zh-CN"/>
        </w:rPr>
        <w:t>11</w:t>
      </w:r>
      <w:r>
        <w:rPr>
          <w:rFonts w:hint="eastAsia" w:ascii="仿宋" w:hAnsi="仿宋" w:eastAsia="仿宋" w:cs="仿宋"/>
          <w:color w:val="auto"/>
          <w:sz w:val="22"/>
          <w:highlight w:val="none"/>
          <w:shd w:val="clear" w:color="auto" w:fill="FFFFFF"/>
          <w:lang w:eastAsia="zh-CN"/>
        </w:rPr>
        <w:t>日</w:t>
      </w:r>
      <w:r>
        <w:rPr>
          <w:rFonts w:hint="eastAsia" w:ascii="仿宋" w:hAnsi="仿宋" w:eastAsia="仿宋" w:cs="仿宋"/>
          <w:color w:val="auto"/>
          <w:sz w:val="22"/>
          <w:highlight w:val="none"/>
          <w:shd w:val="clear" w:color="auto" w:fill="FFFFFF"/>
        </w:rPr>
        <w:t>，每天上午00:00至12:00，下午12:00至23:59（北京时间，线上获取法定节假日均可，线下获取文件法定节假日除外）</w:t>
      </w:r>
    </w:p>
    <w:p w14:paraId="15096CDC">
      <w:pPr>
        <w:pStyle w:val="27"/>
        <w:spacing w:after="156" w:line="150" w:lineRule="atLeast"/>
        <w:rPr>
          <w:rFonts w:ascii="仿宋" w:hAnsi="仿宋" w:eastAsia="仿宋" w:cs="仿宋"/>
          <w:color w:val="auto"/>
          <w:sz w:val="22"/>
          <w:highlight w:val="none"/>
        </w:rPr>
      </w:pPr>
      <w:r>
        <w:rPr>
          <w:rFonts w:hint="eastAsia" w:ascii="仿宋" w:hAnsi="仿宋" w:eastAsia="仿宋" w:cs="仿宋"/>
          <w:color w:val="auto"/>
          <w:sz w:val="22"/>
          <w:highlight w:val="none"/>
          <w:shd w:val="clear" w:color="auto" w:fill="FFFFFF"/>
        </w:rPr>
        <w:t>    地点（网址）：政采云平台</w:t>
      </w:r>
      <w:r>
        <w:rPr>
          <w:rFonts w:hint="eastAsia" w:ascii="仿宋" w:hAnsi="仿宋" w:eastAsia="仿宋" w:cs="仿宋"/>
          <w:color w:val="auto"/>
          <w:sz w:val="22"/>
          <w:highlight w:val="none"/>
          <w:shd w:val="clear" w:color="auto" w:fill="FFFFFF"/>
          <w:lang w:eastAsia="zh-CN"/>
        </w:rPr>
        <w:t>（</w:t>
      </w:r>
      <w:r>
        <w:rPr>
          <w:rFonts w:hint="eastAsia" w:ascii="仿宋" w:hAnsi="仿宋" w:eastAsia="仿宋" w:cs="仿宋"/>
          <w:color w:val="auto"/>
          <w:sz w:val="22"/>
          <w:highlight w:val="none"/>
          <w:shd w:val="clear" w:color="auto" w:fill="FFFFFF"/>
        </w:rPr>
        <w:t>http://zfcg.czt.zj.gov.cn/</w:t>
      </w:r>
      <w:r>
        <w:rPr>
          <w:rFonts w:hint="eastAsia" w:ascii="仿宋" w:hAnsi="仿宋" w:eastAsia="仿宋" w:cs="仿宋"/>
          <w:color w:val="auto"/>
          <w:sz w:val="22"/>
          <w:highlight w:val="none"/>
          <w:shd w:val="clear" w:color="auto" w:fill="FFFFFF"/>
          <w:lang w:eastAsia="zh-CN"/>
        </w:rPr>
        <w:t>）</w:t>
      </w:r>
      <w:r>
        <w:rPr>
          <w:rFonts w:hint="eastAsia" w:ascii="仿宋" w:hAnsi="仿宋" w:eastAsia="仿宋" w:cs="仿宋"/>
          <w:color w:val="auto"/>
          <w:sz w:val="22"/>
          <w:highlight w:val="none"/>
          <w:shd w:val="clear" w:color="auto" w:fill="FFFFFF"/>
        </w:rPr>
        <w:t> </w:t>
      </w:r>
    </w:p>
    <w:p w14:paraId="61D08A41">
      <w:pPr>
        <w:pStyle w:val="27"/>
        <w:spacing w:after="156" w:line="150" w:lineRule="atLeast"/>
        <w:rPr>
          <w:rFonts w:ascii="仿宋" w:hAnsi="仿宋" w:eastAsia="仿宋" w:cs="仿宋"/>
          <w:color w:val="auto"/>
          <w:sz w:val="22"/>
          <w:highlight w:val="none"/>
        </w:rPr>
      </w:pPr>
      <w:r>
        <w:rPr>
          <w:rFonts w:hint="eastAsia" w:ascii="仿宋" w:hAnsi="仿宋" w:eastAsia="仿宋" w:cs="仿宋"/>
          <w:color w:val="auto"/>
          <w:sz w:val="22"/>
          <w:highlight w:val="none"/>
          <w:shd w:val="clear" w:color="auto" w:fill="FFFFFF"/>
        </w:rPr>
        <w:t>    方式：供应商登录政采云平台</w:t>
      </w:r>
      <w:r>
        <w:rPr>
          <w:rFonts w:hint="eastAsia" w:ascii="仿宋" w:hAnsi="仿宋" w:eastAsia="仿宋" w:cs="仿宋"/>
          <w:color w:val="auto"/>
          <w:sz w:val="22"/>
          <w:highlight w:val="none"/>
          <w:shd w:val="clear" w:color="auto" w:fill="FFFFFF"/>
          <w:lang w:eastAsia="zh-CN"/>
        </w:rPr>
        <w:t>（</w:t>
      </w:r>
      <w:r>
        <w:rPr>
          <w:rFonts w:hint="eastAsia" w:ascii="仿宋" w:hAnsi="仿宋" w:eastAsia="仿宋" w:cs="仿宋"/>
          <w:color w:val="auto"/>
          <w:sz w:val="22"/>
          <w:highlight w:val="none"/>
          <w:shd w:val="clear" w:color="auto" w:fill="FFFFFF"/>
        </w:rPr>
        <w:t>http://zfcg.czt.zj.gov.cn/</w:t>
      </w:r>
      <w:r>
        <w:rPr>
          <w:rFonts w:hint="eastAsia" w:ascii="仿宋" w:hAnsi="仿宋" w:eastAsia="仿宋" w:cs="仿宋"/>
          <w:color w:val="auto"/>
          <w:sz w:val="22"/>
          <w:highlight w:val="none"/>
          <w:shd w:val="clear" w:color="auto" w:fill="FFFFFF"/>
          <w:lang w:eastAsia="zh-CN"/>
        </w:rPr>
        <w:t>）</w:t>
      </w:r>
      <w:r>
        <w:rPr>
          <w:rFonts w:hint="eastAsia" w:ascii="仿宋" w:hAnsi="仿宋" w:eastAsia="仿宋" w:cs="仿宋"/>
          <w:color w:val="auto"/>
          <w:sz w:val="22"/>
          <w:highlight w:val="none"/>
          <w:shd w:val="clear" w:color="auto" w:fill="FFFFFF"/>
        </w:rPr>
        <w:t>在线申请获取采购文件（进入“项目采购”应用，在获取采购文件菜单中选择项目，申请获取采购文件） </w:t>
      </w:r>
    </w:p>
    <w:p w14:paraId="10C2BF0C">
      <w:pPr>
        <w:pStyle w:val="27"/>
        <w:spacing w:after="156" w:line="150" w:lineRule="atLeast"/>
        <w:rPr>
          <w:rFonts w:ascii="仿宋" w:hAnsi="仿宋" w:eastAsia="仿宋" w:cs="仿宋"/>
          <w:color w:val="auto"/>
          <w:sz w:val="22"/>
          <w:highlight w:val="none"/>
        </w:rPr>
      </w:pPr>
      <w:r>
        <w:rPr>
          <w:rFonts w:hint="eastAsia" w:ascii="仿宋" w:hAnsi="仿宋" w:eastAsia="仿宋" w:cs="仿宋"/>
          <w:color w:val="auto"/>
          <w:sz w:val="22"/>
          <w:highlight w:val="none"/>
          <w:shd w:val="clear" w:color="auto" w:fill="FFFFFF"/>
        </w:rPr>
        <w:t>    售价（元）：0 </w:t>
      </w:r>
    </w:p>
    <w:p w14:paraId="6A5EBAE4">
      <w:pPr>
        <w:pStyle w:val="27"/>
        <w:shd w:val="clear" w:color="auto" w:fill="FFFFFF"/>
        <w:spacing w:before="128" w:after="156" w:line="225" w:lineRule="atLeast"/>
        <w:jc w:val="both"/>
        <w:rPr>
          <w:rFonts w:ascii="仿宋" w:hAnsi="仿宋" w:eastAsia="仿宋" w:cs="仿宋"/>
          <w:color w:val="auto"/>
          <w:sz w:val="22"/>
          <w:highlight w:val="none"/>
        </w:rPr>
      </w:pPr>
      <w:r>
        <w:rPr>
          <w:rStyle w:val="34"/>
          <w:rFonts w:hint="eastAsia" w:ascii="仿宋" w:hAnsi="仿宋" w:eastAsia="仿宋" w:cs="仿宋"/>
          <w:color w:val="auto"/>
          <w:sz w:val="22"/>
          <w:highlight w:val="none"/>
          <w:shd w:val="clear" w:color="auto" w:fill="FFFFFF"/>
        </w:rPr>
        <w:t>四、响应文件提交（上传）</w:t>
      </w:r>
      <w:r>
        <w:rPr>
          <w:rFonts w:hint="eastAsia" w:ascii="仿宋" w:hAnsi="仿宋" w:eastAsia="仿宋" w:cs="仿宋"/>
          <w:color w:val="auto"/>
          <w:sz w:val="22"/>
          <w:highlight w:val="none"/>
          <w:shd w:val="clear" w:color="auto" w:fill="FFFFFF"/>
        </w:rPr>
        <w:t> </w:t>
      </w:r>
    </w:p>
    <w:p w14:paraId="33AA766F">
      <w:pPr>
        <w:pStyle w:val="27"/>
        <w:spacing w:after="156" w:line="150" w:lineRule="atLeast"/>
        <w:rPr>
          <w:rFonts w:ascii="仿宋" w:hAnsi="仿宋" w:eastAsia="仿宋" w:cs="仿宋"/>
          <w:color w:val="auto"/>
          <w:sz w:val="22"/>
          <w:highlight w:val="none"/>
        </w:rPr>
      </w:pPr>
      <w:r>
        <w:rPr>
          <w:rFonts w:hint="eastAsia" w:ascii="仿宋" w:hAnsi="仿宋" w:eastAsia="仿宋" w:cs="仿宋"/>
          <w:color w:val="auto"/>
          <w:sz w:val="22"/>
          <w:highlight w:val="none"/>
          <w:shd w:val="clear" w:color="auto" w:fill="FFFFFF"/>
        </w:rPr>
        <w:t>    截止时间：</w:t>
      </w:r>
      <w:r>
        <w:rPr>
          <w:rFonts w:hint="eastAsia" w:ascii="仿宋" w:hAnsi="仿宋" w:eastAsia="仿宋" w:cs="仿宋"/>
          <w:color w:val="auto"/>
          <w:sz w:val="22"/>
          <w:highlight w:val="none"/>
          <w:shd w:val="clear" w:color="auto" w:fill="FFFFFF"/>
          <w:lang w:eastAsia="zh-CN"/>
        </w:rPr>
        <w:t>2025年03月11 日 09:00</w:t>
      </w:r>
      <w:r>
        <w:rPr>
          <w:rFonts w:hint="eastAsia" w:ascii="仿宋" w:hAnsi="仿宋" w:eastAsia="仿宋" w:cs="仿宋"/>
          <w:color w:val="auto"/>
          <w:sz w:val="22"/>
          <w:highlight w:val="none"/>
          <w:shd w:val="clear" w:color="auto" w:fill="FFFFFF"/>
        </w:rPr>
        <w:t>（北京时间）</w:t>
      </w:r>
    </w:p>
    <w:p w14:paraId="7E82A7C2">
      <w:pPr>
        <w:pStyle w:val="27"/>
        <w:spacing w:after="156" w:line="150" w:lineRule="atLeast"/>
        <w:rPr>
          <w:rFonts w:ascii="仿宋" w:hAnsi="仿宋" w:eastAsia="仿宋" w:cs="仿宋"/>
          <w:color w:val="auto"/>
          <w:sz w:val="22"/>
          <w:highlight w:val="none"/>
        </w:rPr>
      </w:pPr>
      <w:r>
        <w:rPr>
          <w:rFonts w:hint="eastAsia" w:ascii="仿宋" w:hAnsi="仿宋" w:eastAsia="仿宋" w:cs="仿宋"/>
          <w:color w:val="auto"/>
          <w:sz w:val="22"/>
          <w:highlight w:val="none"/>
          <w:shd w:val="clear" w:color="auto" w:fill="FFFFFF"/>
        </w:rPr>
        <w:t>    地点（网址）：“政府采购云平台（http://zfcg.czt.zj.gov.cn/）”在线递交 </w:t>
      </w:r>
    </w:p>
    <w:p w14:paraId="6CD44919">
      <w:pPr>
        <w:pStyle w:val="27"/>
        <w:shd w:val="clear" w:color="auto" w:fill="FFFFFF"/>
        <w:spacing w:before="128" w:after="156" w:line="225" w:lineRule="atLeast"/>
        <w:jc w:val="both"/>
        <w:rPr>
          <w:rFonts w:ascii="仿宋" w:hAnsi="仿宋" w:eastAsia="仿宋" w:cs="仿宋"/>
          <w:color w:val="auto"/>
          <w:sz w:val="22"/>
          <w:highlight w:val="none"/>
        </w:rPr>
      </w:pPr>
      <w:r>
        <w:rPr>
          <w:rStyle w:val="34"/>
          <w:rFonts w:hint="eastAsia" w:ascii="仿宋" w:hAnsi="仿宋" w:eastAsia="仿宋" w:cs="仿宋"/>
          <w:color w:val="auto"/>
          <w:sz w:val="22"/>
          <w:highlight w:val="none"/>
          <w:shd w:val="clear" w:color="auto" w:fill="FFFFFF"/>
        </w:rPr>
        <w:t>五、响应文件开启</w:t>
      </w:r>
      <w:r>
        <w:rPr>
          <w:rFonts w:hint="eastAsia" w:ascii="仿宋" w:hAnsi="仿宋" w:eastAsia="仿宋" w:cs="仿宋"/>
          <w:color w:val="auto"/>
          <w:sz w:val="22"/>
          <w:highlight w:val="none"/>
          <w:shd w:val="clear" w:color="auto" w:fill="FFFFFF"/>
        </w:rPr>
        <w:t> </w:t>
      </w:r>
    </w:p>
    <w:p w14:paraId="72F185B7">
      <w:pPr>
        <w:pStyle w:val="27"/>
        <w:spacing w:after="156" w:line="150" w:lineRule="atLeast"/>
        <w:rPr>
          <w:rFonts w:ascii="仿宋" w:hAnsi="仿宋" w:eastAsia="仿宋" w:cs="仿宋"/>
          <w:color w:val="auto"/>
          <w:sz w:val="22"/>
          <w:highlight w:val="none"/>
        </w:rPr>
      </w:pPr>
      <w:r>
        <w:rPr>
          <w:rFonts w:hint="eastAsia" w:ascii="仿宋" w:hAnsi="仿宋" w:eastAsia="仿宋" w:cs="仿宋"/>
          <w:color w:val="auto"/>
          <w:sz w:val="22"/>
          <w:highlight w:val="none"/>
          <w:shd w:val="clear" w:color="auto" w:fill="FFFFFF"/>
        </w:rPr>
        <w:t>    开启时间：</w:t>
      </w:r>
      <w:r>
        <w:rPr>
          <w:rFonts w:hint="eastAsia" w:ascii="仿宋" w:hAnsi="仿宋" w:eastAsia="仿宋" w:cs="仿宋"/>
          <w:color w:val="auto"/>
          <w:sz w:val="22"/>
          <w:highlight w:val="none"/>
          <w:shd w:val="clear" w:color="auto" w:fill="FFFFFF"/>
          <w:lang w:eastAsia="zh-CN"/>
        </w:rPr>
        <w:t>2025年03月11 日 09:00</w:t>
      </w:r>
      <w:r>
        <w:rPr>
          <w:rFonts w:hint="eastAsia" w:ascii="仿宋" w:hAnsi="仿宋" w:eastAsia="仿宋" w:cs="仿宋"/>
          <w:color w:val="auto"/>
          <w:sz w:val="22"/>
          <w:highlight w:val="none"/>
          <w:shd w:val="clear" w:color="auto" w:fill="FFFFFF"/>
        </w:rPr>
        <w:t> （北京时间）</w:t>
      </w:r>
    </w:p>
    <w:p w14:paraId="483564BB">
      <w:pPr>
        <w:pStyle w:val="27"/>
        <w:spacing w:after="156" w:line="150" w:lineRule="atLeast"/>
        <w:rPr>
          <w:rFonts w:ascii="仿宋" w:hAnsi="仿宋" w:eastAsia="仿宋" w:cs="仿宋"/>
          <w:color w:val="auto"/>
          <w:sz w:val="22"/>
          <w:highlight w:val="none"/>
        </w:rPr>
      </w:pPr>
      <w:r>
        <w:rPr>
          <w:rFonts w:hint="eastAsia" w:ascii="仿宋" w:hAnsi="仿宋" w:eastAsia="仿宋" w:cs="仿宋"/>
          <w:color w:val="auto"/>
          <w:sz w:val="22"/>
          <w:highlight w:val="none"/>
          <w:shd w:val="clear" w:color="auto" w:fill="FFFFFF"/>
        </w:rPr>
        <w:t>    地点（网址）：“政府采购云平台（http://zfcg.czt.zj.gov.cn/）”在线开标 </w:t>
      </w:r>
    </w:p>
    <w:p w14:paraId="04B5D04C">
      <w:pPr>
        <w:pStyle w:val="27"/>
        <w:shd w:val="clear" w:color="auto" w:fill="FFFFFF"/>
        <w:spacing w:before="128" w:after="156" w:line="225" w:lineRule="atLeast"/>
        <w:jc w:val="both"/>
        <w:rPr>
          <w:rFonts w:ascii="仿宋" w:hAnsi="仿宋" w:eastAsia="仿宋" w:cs="仿宋"/>
          <w:color w:val="auto"/>
          <w:sz w:val="22"/>
          <w:highlight w:val="none"/>
        </w:rPr>
      </w:pPr>
      <w:r>
        <w:rPr>
          <w:rStyle w:val="34"/>
          <w:rFonts w:hint="eastAsia" w:ascii="仿宋" w:hAnsi="仿宋" w:eastAsia="仿宋" w:cs="仿宋"/>
          <w:color w:val="auto"/>
          <w:sz w:val="22"/>
          <w:highlight w:val="none"/>
          <w:shd w:val="clear" w:color="auto" w:fill="FFFFFF"/>
        </w:rPr>
        <w:t>六、公告期限</w:t>
      </w:r>
    </w:p>
    <w:p w14:paraId="07E896F5">
      <w:pPr>
        <w:pStyle w:val="27"/>
        <w:shd w:val="clear" w:color="auto" w:fill="FFFFFF"/>
        <w:spacing w:after="156"/>
        <w:rPr>
          <w:rFonts w:ascii="仿宋" w:hAnsi="仿宋" w:eastAsia="仿宋" w:cs="仿宋"/>
          <w:color w:val="auto"/>
          <w:sz w:val="22"/>
          <w:highlight w:val="none"/>
        </w:rPr>
      </w:pPr>
      <w:r>
        <w:rPr>
          <w:rFonts w:hint="eastAsia" w:ascii="仿宋" w:hAnsi="仿宋" w:eastAsia="仿宋" w:cs="仿宋"/>
          <w:color w:val="auto"/>
          <w:sz w:val="22"/>
          <w:highlight w:val="none"/>
          <w:shd w:val="clear" w:color="auto" w:fill="FFFFFF"/>
        </w:rPr>
        <w:t>    自本公告发布之日起3个工作日。</w:t>
      </w:r>
    </w:p>
    <w:p w14:paraId="501E3243">
      <w:pPr>
        <w:pStyle w:val="27"/>
        <w:shd w:val="clear" w:color="auto" w:fill="FFFFFF"/>
        <w:spacing w:before="128" w:after="156" w:line="225" w:lineRule="atLeast"/>
        <w:jc w:val="both"/>
        <w:rPr>
          <w:rFonts w:ascii="仿宋" w:hAnsi="仿宋" w:eastAsia="仿宋" w:cs="仿宋"/>
          <w:color w:val="auto"/>
          <w:sz w:val="22"/>
          <w:highlight w:val="none"/>
        </w:rPr>
      </w:pPr>
      <w:r>
        <w:rPr>
          <w:rStyle w:val="34"/>
          <w:rFonts w:hint="eastAsia" w:ascii="仿宋" w:hAnsi="仿宋" w:eastAsia="仿宋" w:cs="仿宋"/>
          <w:color w:val="auto"/>
          <w:sz w:val="22"/>
          <w:highlight w:val="none"/>
          <w:shd w:val="clear" w:color="auto" w:fill="FFFFFF"/>
        </w:rPr>
        <w:t>七、其他补充事宜</w:t>
      </w:r>
      <w:r>
        <w:rPr>
          <w:rFonts w:hint="eastAsia" w:ascii="仿宋" w:hAnsi="仿宋" w:eastAsia="仿宋" w:cs="仿宋"/>
          <w:color w:val="auto"/>
          <w:sz w:val="22"/>
          <w:highlight w:val="none"/>
          <w:shd w:val="clear" w:color="auto" w:fill="FFFFFF"/>
        </w:rPr>
        <w:t> </w:t>
      </w:r>
    </w:p>
    <w:p w14:paraId="67C139CD">
      <w:pPr>
        <w:pStyle w:val="27"/>
        <w:shd w:val="clear" w:color="auto" w:fill="FFFFFF"/>
        <w:spacing w:before="128" w:after="156" w:line="150" w:lineRule="atLeast"/>
        <w:ind w:firstLine="420"/>
        <w:jc w:val="both"/>
        <w:rPr>
          <w:rFonts w:ascii="仿宋" w:hAnsi="仿宋" w:eastAsia="仿宋" w:cs="仿宋"/>
          <w:color w:val="auto"/>
          <w:sz w:val="22"/>
          <w:highlight w:val="none"/>
        </w:rPr>
      </w:pPr>
      <w:r>
        <w:rPr>
          <w:rFonts w:hint="eastAsia" w:ascii="仿宋" w:hAnsi="仿宋" w:eastAsia="仿宋" w:cs="仿宋"/>
          <w:color w:val="auto"/>
          <w:sz w:val="22"/>
          <w:highlight w:val="none"/>
          <w:shd w:val="clear" w:color="auto" w:fill="FFFFFF"/>
        </w:rPr>
        <w:t>1.《浙江省财政厅关于进一步发挥政府采购政策功能全力推动经济稳进提质的通知》 （浙财采监（2022）3号）、《浙江省财政厅关于进一步促进政府采购公平竞争打造最优营商环境的通知》（浙财采监（2021）22号）已分别于2022年1月29日和2022年2月1日开始实施，此前有关规定与上述文件内容不一致的，按上述文件要求执行。</w:t>
      </w:r>
    </w:p>
    <w:p w14:paraId="354B8E2C">
      <w:pPr>
        <w:pStyle w:val="27"/>
        <w:shd w:val="clear" w:color="auto" w:fill="FFFFFF"/>
        <w:spacing w:before="128" w:after="156" w:line="150" w:lineRule="atLeast"/>
        <w:ind w:firstLine="420"/>
        <w:jc w:val="both"/>
        <w:rPr>
          <w:rFonts w:ascii="仿宋" w:hAnsi="仿宋" w:eastAsia="仿宋" w:cs="仿宋"/>
          <w:color w:val="auto"/>
          <w:sz w:val="22"/>
          <w:highlight w:val="none"/>
        </w:rPr>
      </w:pPr>
      <w:r>
        <w:rPr>
          <w:rFonts w:hint="eastAsia" w:ascii="仿宋" w:hAnsi="仿宋" w:eastAsia="仿宋" w:cs="仿宋"/>
          <w:color w:val="auto"/>
          <w:sz w:val="22"/>
          <w:highlight w:val="none"/>
          <w:shd w:val="clear" w:color="auto" w:fill="FFFFFF"/>
        </w:rPr>
        <w:t>2.根据《浙江省财政厅关于进一步促进政府采购公平竞争打造最优营商环境的通知》（浙财采监（2021）22号）文件关于“健全行政裁决机制”要求，鼓励供应商在线提起询问，路径为：政采云-项目采购-询问质疑投诉-询问列表:鼓励供应商在线提起质疑，路径为：政采云-项目采购-询问质疑投诉-质疑列表。质疑供应商对在线质疑答复不满意的，可在线提起投诉，路径为：浙江政府服务网-政府采购投诉处理-在线办理。注意：需在线质疑后才可在线投诉，并电话告知相关采购人、代理机构、财政部门。</w:t>
      </w:r>
    </w:p>
    <w:p w14:paraId="1C27CD4D">
      <w:pPr>
        <w:pStyle w:val="27"/>
        <w:shd w:val="clear" w:color="auto" w:fill="FFFFFF"/>
        <w:spacing w:after="156" w:line="315" w:lineRule="atLeast"/>
        <w:ind w:firstLine="420"/>
        <w:rPr>
          <w:rFonts w:ascii="仿宋" w:hAnsi="仿宋" w:eastAsia="仿宋" w:cs="仿宋"/>
          <w:color w:val="auto"/>
          <w:sz w:val="22"/>
          <w:highlight w:val="none"/>
        </w:rPr>
      </w:pPr>
      <w:r>
        <w:rPr>
          <w:rFonts w:hint="eastAsia" w:ascii="仿宋" w:hAnsi="仿宋" w:eastAsia="仿宋" w:cs="仿宋"/>
          <w:color w:val="auto"/>
          <w:sz w:val="22"/>
          <w:highlight w:val="none"/>
          <w:shd w:val="clear" w:color="auto" w:fill="FFFFFF"/>
        </w:rPr>
        <w:t>3.其他事项：/</w:t>
      </w:r>
    </w:p>
    <w:p w14:paraId="17A3BF5D">
      <w:pPr>
        <w:pStyle w:val="27"/>
        <w:shd w:val="clear" w:color="auto" w:fill="FFFFFF"/>
        <w:spacing w:before="128" w:after="156" w:line="240" w:lineRule="atLeast"/>
        <w:jc w:val="both"/>
        <w:rPr>
          <w:rFonts w:ascii="仿宋" w:hAnsi="仿宋" w:eastAsia="仿宋" w:cs="仿宋"/>
          <w:color w:val="auto"/>
          <w:sz w:val="22"/>
          <w:highlight w:val="none"/>
        </w:rPr>
      </w:pPr>
      <w:r>
        <w:rPr>
          <w:rStyle w:val="34"/>
          <w:rFonts w:hint="eastAsia" w:ascii="仿宋" w:hAnsi="仿宋" w:eastAsia="仿宋" w:cs="仿宋"/>
          <w:color w:val="auto"/>
          <w:sz w:val="22"/>
          <w:highlight w:val="none"/>
          <w:shd w:val="clear" w:color="auto" w:fill="FFFFFF"/>
        </w:rPr>
        <w:t>八、凡对本次招标提出询问、质疑、投诉，请按以下方式联系</w:t>
      </w:r>
    </w:p>
    <w:p w14:paraId="154A5CC7">
      <w:pPr>
        <w:pStyle w:val="27"/>
        <w:spacing w:after="156"/>
        <w:rPr>
          <w:rFonts w:ascii="仿宋" w:hAnsi="仿宋" w:eastAsia="仿宋" w:cs="仿宋"/>
          <w:color w:val="auto"/>
          <w:sz w:val="22"/>
          <w:highlight w:val="none"/>
        </w:rPr>
      </w:pPr>
      <w:r>
        <w:rPr>
          <w:rFonts w:hint="eastAsia" w:ascii="仿宋" w:hAnsi="仿宋" w:eastAsia="仿宋" w:cs="仿宋"/>
          <w:color w:val="auto"/>
          <w:sz w:val="22"/>
          <w:highlight w:val="none"/>
          <w:shd w:val="clear" w:color="auto" w:fill="FFFFFF"/>
        </w:rPr>
        <w:t>    1.采购人信息</w:t>
      </w:r>
    </w:p>
    <w:p w14:paraId="0FE34B69">
      <w:pPr>
        <w:pStyle w:val="27"/>
        <w:spacing w:after="156"/>
        <w:rPr>
          <w:rFonts w:ascii="仿宋" w:hAnsi="仿宋" w:eastAsia="仿宋" w:cs="仿宋"/>
          <w:color w:val="auto"/>
          <w:sz w:val="22"/>
          <w:highlight w:val="none"/>
          <w:shd w:val="clear" w:color="auto" w:fill="FFFFFF"/>
        </w:rPr>
      </w:pPr>
      <w:r>
        <w:rPr>
          <w:rFonts w:hint="eastAsia" w:ascii="仿宋" w:hAnsi="仿宋" w:eastAsia="仿宋" w:cs="仿宋"/>
          <w:color w:val="auto"/>
          <w:sz w:val="22"/>
          <w:highlight w:val="none"/>
          <w:shd w:val="clear" w:color="auto" w:fill="FFFFFF"/>
        </w:rPr>
        <w:t>    名    称：</w:t>
      </w:r>
      <w:r>
        <w:rPr>
          <w:rFonts w:hint="eastAsia" w:ascii="仿宋" w:hAnsi="仿宋" w:eastAsia="仿宋" w:cs="仿宋"/>
          <w:color w:val="auto"/>
          <w:sz w:val="22"/>
          <w:highlight w:val="none"/>
          <w:shd w:val="clear" w:color="auto" w:fill="FFFFFF"/>
          <w:lang w:eastAsia="zh-CN"/>
        </w:rPr>
        <w:t>泰顺县罗阳镇人民政府</w:t>
      </w:r>
      <w:r>
        <w:rPr>
          <w:rFonts w:hint="eastAsia" w:ascii="仿宋" w:hAnsi="仿宋" w:eastAsia="仿宋" w:cs="仿宋"/>
          <w:color w:val="auto"/>
          <w:sz w:val="22"/>
          <w:highlight w:val="none"/>
          <w:shd w:val="clear" w:color="auto" w:fill="FFFFFF"/>
        </w:rPr>
        <w:t> </w:t>
      </w:r>
    </w:p>
    <w:p w14:paraId="2B1E6A14">
      <w:pPr>
        <w:pStyle w:val="27"/>
        <w:spacing w:after="156" w:afterLines="0"/>
        <w:ind w:firstLine="342"/>
        <w:rPr>
          <w:rFonts w:hint="eastAsia" w:ascii="仿宋" w:hAnsi="仿宋" w:eastAsia="仿宋" w:cs="仿宋"/>
          <w:color w:val="auto"/>
          <w:sz w:val="22"/>
          <w:highlight w:val="none"/>
          <w:shd w:val="clear" w:color="auto" w:fill="FFFFFF"/>
          <w:lang w:eastAsia="zh-CN"/>
        </w:rPr>
      </w:pPr>
      <w:r>
        <w:rPr>
          <w:rFonts w:hint="eastAsia" w:ascii="仿宋" w:hAnsi="仿宋" w:eastAsia="仿宋" w:cs="仿宋"/>
          <w:color w:val="auto"/>
          <w:sz w:val="22"/>
          <w:highlight w:val="none"/>
          <w:shd w:val="clear" w:color="auto" w:fill="FFFFFF"/>
        </w:rPr>
        <w:t>地    址：温州</w:t>
      </w:r>
      <w:r>
        <w:rPr>
          <w:rFonts w:hint="eastAsia" w:ascii="仿宋" w:hAnsi="仿宋" w:eastAsia="仿宋" w:cs="仿宋"/>
          <w:color w:val="auto"/>
          <w:sz w:val="22"/>
          <w:highlight w:val="none"/>
          <w:shd w:val="clear" w:color="auto" w:fill="FFFFFF"/>
          <w:lang w:val="en-US" w:eastAsia="zh-CN"/>
        </w:rPr>
        <w:t>市泰顺县罗阳镇西大街55号</w:t>
      </w:r>
    </w:p>
    <w:p w14:paraId="1C43E23F">
      <w:pPr>
        <w:pStyle w:val="27"/>
        <w:spacing w:after="156" w:afterLines="0"/>
        <w:ind w:firstLine="342"/>
        <w:rPr>
          <w:rFonts w:ascii="仿宋" w:hAnsi="仿宋" w:eastAsia="仿宋" w:cs="仿宋"/>
          <w:color w:val="auto"/>
          <w:sz w:val="22"/>
          <w:highlight w:val="none"/>
          <w:shd w:val="clear" w:color="auto" w:fill="FFFFFF"/>
        </w:rPr>
      </w:pPr>
      <w:r>
        <w:rPr>
          <w:rFonts w:hint="eastAsia" w:ascii="仿宋" w:hAnsi="仿宋" w:eastAsia="仿宋" w:cs="仿宋"/>
          <w:color w:val="auto"/>
          <w:sz w:val="22"/>
          <w:highlight w:val="none"/>
          <w:shd w:val="clear" w:color="auto" w:fill="FFFFFF"/>
        </w:rPr>
        <w:t>传 真：</w:t>
      </w:r>
    </w:p>
    <w:p w14:paraId="1F673F33">
      <w:pPr>
        <w:pStyle w:val="27"/>
        <w:spacing w:after="156" w:afterLines="0"/>
        <w:ind w:firstLine="342"/>
        <w:rPr>
          <w:rFonts w:ascii="仿宋" w:hAnsi="仿宋" w:eastAsia="仿宋" w:cs="仿宋"/>
          <w:color w:val="auto"/>
          <w:sz w:val="22"/>
          <w:highlight w:val="none"/>
          <w:shd w:val="clear" w:color="auto" w:fill="FFFFFF"/>
        </w:rPr>
      </w:pPr>
      <w:r>
        <w:rPr>
          <w:rFonts w:hint="eastAsia" w:ascii="仿宋" w:hAnsi="仿宋" w:eastAsia="仿宋" w:cs="仿宋"/>
          <w:color w:val="auto"/>
          <w:sz w:val="22"/>
          <w:highlight w:val="none"/>
          <w:shd w:val="clear" w:color="auto" w:fill="FFFFFF"/>
        </w:rPr>
        <w:t>项目联系人（询问）：</w:t>
      </w:r>
      <w:r>
        <w:rPr>
          <w:rFonts w:hint="eastAsia" w:ascii="仿宋" w:hAnsi="仿宋" w:eastAsia="仿宋" w:cs="仿宋"/>
          <w:color w:val="auto"/>
          <w:sz w:val="22"/>
          <w:highlight w:val="none"/>
          <w:shd w:val="clear" w:color="auto" w:fill="FFFFFF"/>
          <w:lang w:val="en-US" w:eastAsia="zh-CN"/>
        </w:rPr>
        <w:t>张</w:t>
      </w:r>
      <w:r>
        <w:rPr>
          <w:rFonts w:hint="eastAsia" w:ascii="仿宋" w:hAnsi="仿宋" w:eastAsia="仿宋" w:cs="仿宋"/>
          <w:color w:val="auto"/>
          <w:sz w:val="22"/>
          <w:highlight w:val="none"/>
          <w:shd w:val="clear" w:color="auto" w:fill="FFFFFF"/>
        </w:rPr>
        <w:t>先生</w:t>
      </w:r>
    </w:p>
    <w:p w14:paraId="7B6011B1">
      <w:pPr>
        <w:pStyle w:val="27"/>
        <w:spacing w:after="156" w:afterLines="0"/>
        <w:ind w:firstLine="342"/>
        <w:rPr>
          <w:rFonts w:ascii="仿宋" w:hAnsi="仿宋" w:eastAsia="仿宋" w:cs="仿宋"/>
          <w:color w:val="auto"/>
          <w:sz w:val="22"/>
          <w:highlight w:val="none"/>
          <w:shd w:val="clear" w:color="auto" w:fill="FFFFFF"/>
          <w:lang w:val="en-US" w:eastAsia="zh-CN"/>
        </w:rPr>
      </w:pPr>
      <w:r>
        <w:rPr>
          <w:rFonts w:hint="eastAsia" w:ascii="仿宋" w:hAnsi="仿宋" w:eastAsia="仿宋" w:cs="仿宋"/>
          <w:color w:val="auto"/>
          <w:sz w:val="22"/>
          <w:highlight w:val="none"/>
          <w:shd w:val="clear" w:color="auto" w:fill="FFFFFF"/>
        </w:rPr>
        <w:t>项目联系方式（询问）：0577-59282673</w:t>
      </w:r>
    </w:p>
    <w:p w14:paraId="527C2509">
      <w:pPr>
        <w:pStyle w:val="27"/>
        <w:spacing w:after="156" w:afterLines="0"/>
        <w:ind w:firstLine="342"/>
        <w:rPr>
          <w:rFonts w:hint="eastAsia" w:ascii="仿宋" w:hAnsi="仿宋" w:eastAsia="仿宋" w:cs="仿宋"/>
          <w:color w:val="auto"/>
          <w:sz w:val="22"/>
          <w:highlight w:val="none"/>
          <w:shd w:val="clear" w:color="auto" w:fill="FFFFFF"/>
          <w:lang w:val="en-US" w:eastAsia="zh-CN"/>
        </w:rPr>
      </w:pPr>
      <w:r>
        <w:rPr>
          <w:rFonts w:hint="eastAsia" w:ascii="仿宋" w:hAnsi="仿宋" w:eastAsia="仿宋" w:cs="仿宋"/>
          <w:color w:val="auto"/>
          <w:sz w:val="22"/>
          <w:highlight w:val="none"/>
          <w:shd w:val="clear" w:color="auto" w:fill="FFFFFF"/>
        </w:rPr>
        <w:t>质疑联系人：</w:t>
      </w:r>
      <w:r>
        <w:rPr>
          <w:rFonts w:hint="eastAsia" w:ascii="仿宋" w:hAnsi="仿宋" w:eastAsia="仿宋" w:cs="仿宋"/>
          <w:color w:val="auto"/>
          <w:sz w:val="22"/>
          <w:highlight w:val="none"/>
          <w:shd w:val="clear" w:color="auto" w:fill="FFFFFF"/>
          <w:lang w:val="en-US" w:eastAsia="zh-CN"/>
        </w:rPr>
        <w:t>翁先生</w:t>
      </w:r>
    </w:p>
    <w:p w14:paraId="76D7BD6F">
      <w:pPr>
        <w:pStyle w:val="27"/>
        <w:spacing w:after="156"/>
        <w:ind w:firstLine="342"/>
        <w:rPr>
          <w:rFonts w:ascii="仿宋" w:hAnsi="仿宋" w:eastAsia="仿宋" w:cs="仿宋"/>
          <w:color w:val="auto"/>
          <w:sz w:val="22"/>
          <w:highlight w:val="none"/>
          <w:shd w:val="clear" w:color="auto" w:fill="FFFFFF"/>
        </w:rPr>
      </w:pPr>
      <w:r>
        <w:rPr>
          <w:rFonts w:hint="eastAsia" w:ascii="仿宋" w:hAnsi="仿宋" w:eastAsia="仿宋" w:cs="仿宋"/>
          <w:color w:val="auto"/>
          <w:sz w:val="22"/>
          <w:highlight w:val="none"/>
          <w:shd w:val="clear" w:color="auto" w:fill="FFFFFF"/>
        </w:rPr>
        <w:t>质疑联系方式：0577-59282673</w:t>
      </w:r>
    </w:p>
    <w:p w14:paraId="47E6D5D2">
      <w:pPr>
        <w:pStyle w:val="27"/>
        <w:spacing w:after="156"/>
        <w:rPr>
          <w:rFonts w:ascii="仿宋" w:hAnsi="仿宋" w:eastAsia="仿宋" w:cs="仿宋"/>
          <w:color w:val="auto"/>
          <w:sz w:val="22"/>
          <w:highlight w:val="none"/>
          <w:shd w:val="clear" w:color="auto" w:fill="FFFFFF"/>
        </w:rPr>
      </w:pPr>
      <w:r>
        <w:rPr>
          <w:rFonts w:hint="eastAsia" w:ascii="仿宋" w:hAnsi="仿宋" w:eastAsia="仿宋" w:cs="仿宋"/>
          <w:color w:val="auto"/>
          <w:sz w:val="22"/>
          <w:highlight w:val="none"/>
          <w:shd w:val="clear" w:color="auto" w:fill="FFFFFF"/>
        </w:rPr>
        <w:t> </w:t>
      </w:r>
    </w:p>
    <w:p w14:paraId="3D7F3734">
      <w:pPr>
        <w:pStyle w:val="27"/>
        <w:spacing w:after="156"/>
        <w:rPr>
          <w:rFonts w:ascii="仿宋" w:hAnsi="仿宋" w:eastAsia="仿宋" w:cs="仿宋"/>
          <w:color w:val="auto"/>
          <w:sz w:val="22"/>
          <w:highlight w:val="none"/>
        </w:rPr>
      </w:pPr>
      <w:r>
        <w:rPr>
          <w:rFonts w:hint="eastAsia" w:ascii="仿宋" w:hAnsi="仿宋" w:eastAsia="仿宋" w:cs="仿宋"/>
          <w:color w:val="auto"/>
          <w:sz w:val="22"/>
          <w:highlight w:val="none"/>
          <w:shd w:val="clear" w:color="auto" w:fill="FFFFFF"/>
        </w:rPr>
        <w:t>    2.采购代理机构信息</w:t>
      </w:r>
    </w:p>
    <w:p w14:paraId="2C8F9F91">
      <w:pPr>
        <w:pStyle w:val="27"/>
        <w:spacing w:after="156"/>
        <w:rPr>
          <w:rFonts w:ascii="仿宋" w:hAnsi="仿宋" w:eastAsia="仿宋" w:cs="仿宋"/>
          <w:color w:val="auto"/>
          <w:sz w:val="22"/>
          <w:highlight w:val="none"/>
        </w:rPr>
      </w:pPr>
      <w:r>
        <w:rPr>
          <w:rFonts w:hint="eastAsia" w:ascii="仿宋" w:hAnsi="仿宋" w:eastAsia="仿宋" w:cs="仿宋"/>
          <w:color w:val="auto"/>
          <w:sz w:val="22"/>
          <w:highlight w:val="none"/>
          <w:shd w:val="clear" w:color="auto" w:fill="FFFFFF"/>
        </w:rPr>
        <w:t>    名    称：杭州华旗招标代理有限公司 </w:t>
      </w:r>
    </w:p>
    <w:p w14:paraId="3EC3BDD4">
      <w:pPr>
        <w:pStyle w:val="27"/>
        <w:spacing w:after="156"/>
        <w:rPr>
          <w:rFonts w:ascii="仿宋" w:hAnsi="仿宋" w:eastAsia="仿宋" w:cs="仿宋"/>
          <w:color w:val="auto"/>
          <w:sz w:val="22"/>
          <w:highlight w:val="none"/>
        </w:rPr>
      </w:pPr>
      <w:r>
        <w:rPr>
          <w:rFonts w:hint="eastAsia" w:ascii="仿宋" w:hAnsi="仿宋" w:eastAsia="仿宋" w:cs="仿宋"/>
          <w:color w:val="auto"/>
          <w:sz w:val="22"/>
          <w:highlight w:val="none"/>
          <w:shd w:val="clear" w:color="auto" w:fill="FFFFFF"/>
        </w:rPr>
        <w:t>    地    址：温州市泰顺县罗阳镇湖滨花苑B8幢401 </w:t>
      </w:r>
    </w:p>
    <w:p w14:paraId="0BF597AE">
      <w:pPr>
        <w:pStyle w:val="27"/>
        <w:spacing w:after="156"/>
        <w:rPr>
          <w:rFonts w:ascii="仿宋" w:hAnsi="仿宋" w:eastAsia="仿宋" w:cs="仿宋"/>
          <w:color w:val="auto"/>
          <w:sz w:val="22"/>
          <w:highlight w:val="none"/>
        </w:rPr>
      </w:pPr>
      <w:r>
        <w:rPr>
          <w:rFonts w:hint="eastAsia" w:ascii="仿宋" w:hAnsi="仿宋" w:eastAsia="仿宋" w:cs="仿宋"/>
          <w:color w:val="auto"/>
          <w:sz w:val="22"/>
          <w:highlight w:val="none"/>
          <w:shd w:val="clear" w:color="auto" w:fill="FFFFFF"/>
        </w:rPr>
        <w:t>    传    真：  </w:t>
      </w:r>
    </w:p>
    <w:p w14:paraId="4577DE41">
      <w:pPr>
        <w:pStyle w:val="27"/>
        <w:spacing w:after="156"/>
        <w:rPr>
          <w:rFonts w:ascii="仿宋" w:hAnsi="仿宋" w:eastAsia="仿宋" w:cs="仿宋"/>
          <w:color w:val="auto"/>
          <w:sz w:val="22"/>
          <w:highlight w:val="none"/>
        </w:rPr>
      </w:pPr>
      <w:r>
        <w:rPr>
          <w:rFonts w:hint="eastAsia" w:ascii="仿宋" w:hAnsi="仿宋" w:eastAsia="仿宋" w:cs="仿宋"/>
          <w:color w:val="auto"/>
          <w:sz w:val="22"/>
          <w:highlight w:val="none"/>
          <w:shd w:val="clear" w:color="auto" w:fill="FFFFFF"/>
        </w:rPr>
        <w:t>    项目联系人（询问）：翁爱霜</w:t>
      </w:r>
      <w:r>
        <w:rPr>
          <w:rFonts w:hint="eastAsia" w:ascii="仿宋" w:hAnsi="仿宋" w:eastAsia="仿宋" w:cs="仿宋"/>
          <w:color w:val="auto"/>
          <w:sz w:val="22"/>
          <w:highlight w:val="none"/>
          <w:shd w:val="clear" w:color="auto" w:fill="FFFFFF"/>
          <w:lang w:val="en-US" w:eastAsia="zh-CN"/>
        </w:rPr>
        <w:t xml:space="preserve"> </w:t>
      </w:r>
      <w:r>
        <w:rPr>
          <w:rFonts w:hint="eastAsia" w:ascii="仿宋" w:hAnsi="仿宋" w:eastAsia="仿宋" w:cs="仿宋"/>
          <w:color w:val="auto"/>
          <w:sz w:val="22"/>
          <w:highlight w:val="none"/>
          <w:shd w:val="clear" w:color="auto" w:fill="FFFFFF"/>
        </w:rPr>
        <w:t> </w:t>
      </w:r>
    </w:p>
    <w:p w14:paraId="396700E4">
      <w:pPr>
        <w:pStyle w:val="27"/>
        <w:spacing w:after="156"/>
        <w:rPr>
          <w:rFonts w:ascii="仿宋" w:hAnsi="仿宋" w:eastAsia="仿宋" w:cs="仿宋"/>
          <w:color w:val="auto"/>
          <w:sz w:val="22"/>
          <w:highlight w:val="none"/>
        </w:rPr>
      </w:pPr>
      <w:r>
        <w:rPr>
          <w:rFonts w:hint="eastAsia" w:ascii="仿宋" w:hAnsi="仿宋" w:eastAsia="仿宋" w:cs="仿宋"/>
          <w:color w:val="auto"/>
          <w:sz w:val="22"/>
          <w:highlight w:val="none"/>
          <w:shd w:val="clear" w:color="auto" w:fill="FFFFFF"/>
        </w:rPr>
        <w:t>    项目联系方式（询问）：17858065131 </w:t>
      </w:r>
    </w:p>
    <w:p w14:paraId="4D71C422">
      <w:pPr>
        <w:pStyle w:val="27"/>
        <w:spacing w:after="156"/>
        <w:rPr>
          <w:rFonts w:ascii="仿宋" w:hAnsi="仿宋" w:eastAsia="仿宋" w:cs="仿宋"/>
          <w:color w:val="auto"/>
          <w:sz w:val="22"/>
          <w:highlight w:val="none"/>
        </w:rPr>
      </w:pPr>
      <w:r>
        <w:rPr>
          <w:rFonts w:hint="eastAsia" w:ascii="仿宋" w:hAnsi="仿宋" w:eastAsia="仿宋" w:cs="仿宋"/>
          <w:color w:val="auto"/>
          <w:sz w:val="22"/>
          <w:highlight w:val="none"/>
          <w:shd w:val="clear" w:color="auto" w:fill="FFFFFF"/>
        </w:rPr>
        <w:t>    质疑联系人：苏红 </w:t>
      </w:r>
    </w:p>
    <w:p w14:paraId="336650D0">
      <w:pPr>
        <w:pStyle w:val="27"/>
        <w:spacing w:after="156"/>
        <w:rPr>
          <w:rFonts w:ascii="仿宋" w:hAnsi="仿宋" w:eastAsia="仿宋" w:cs="仿宋"/>
          <w:color w:val="auto"/>
          <w:sz w:val="22"/>
          <w:highlight w:val="none"/>
        </w:rPr>
      </w:pPr>
      <w:r>
        <w:rPr>
          <w:rFonts w:hint="eastAsia" w:ascii="仿宋" w:hAnsi="仿宋" w:eastAsia="仿宋" w:cs="仿宋"/>
          <w:color w:val="auto"/>
          <w:sz w:val="22"/>
          <w:highlight w:val="none"/>
          <w:shd w:val="clear" w:color="auto" w:fill="FFFFFF"/>
        </w:rPr>
        <w:t>    质疑联系方式：15888799321 </w:t>
      </w:r>
    </w:p>
    <w:p w14:paraId="248F756E">
      <w:pPr>
        <w:pStyle w:val="27"/>
        <w:spacing w:after="156"/>
        <w:rPr>
          <w:rFonts w:ascii="仿宋" w:hAnsi="仿宋" w:eastAsia="仿宋" w:cs="仿宋"/>
          <w:color w:val="auto"/>
          <w:sz w:val="22"/>
          <w:highlight w:val="none"/>
          <w:shd w:val="clear" w:color="auto" w:fill="FFFFFF"/>
        </w:rPr>
      </w:pPr>
      <w:r>
        <w:rPr>
          <w:rFonts w:hint="eastAsia" w:ascii="仿宋" w:hAnsi="仿宋" w:eastAsia="仿宋" w:cs="仿宋"/>
          <w:color w:val="auto"/>
          <w:sz w:val="22"/>
          <w:highlight w:val="none"/>
          <w:shd w:val="clear" w:color="auto" w:fill="FFFFFF"/>
        </w:rPr>
        <w:t>   </w:t>
      </w:r>
    </w:p>
    <w:p w14:paraId="6415F8EB">
      <w:pPr>
        <w:pStyle w:val="27"/>
        <w:spacing w:after="156"/>
        <w:rPr>
          <w:rFonts w:ascii="仿宋" w:hAnsi="仿宋" w:eastAsia="仿宋" w:cs="仿宋"/>
          <w:color w:val="auto"/>
          <w:sz w:val="22"/>
          <w:highlight w:val="none"/>
        </w:rPr>
      </w:pPr>
      <w:r>
        <w:rPr>
          <w:rFonts w:hint="eastAsia" w:ascii="仿宋" w:hAnsi="仿宋" w:eastAsia="仿宋" w:cs="仿宋"/>
          <w:color w:val="auto"/>
          <w:sz w:val="22"/>
          <w:highlight w:val="none"/>
          <w:shd w:val="clear" w:color="auto" w:fill="FFFFFF"/>
        </w:rPr>
        <w:t>    3.同级政府采购监督管理部门</w:t>
      </w:r>
    </w:p>
    <w:p w14:paraId="7BA5B3B6">
      <w:pPr>
        <w:pStyle w:val="27"/>
        <w:spacing w:after="156"/>
        <w:rPr>
          <w:rFonts w:ascii="仿宋" w:hAnsi="仿宋" w:eastAsia="仿宋" w:cs="仿宋"/>
          <w:color w:val="auto"/>
          <w:sz w:val="22"/>
          <w:highlight w:val="none"/>
        </w:rPr>
      </w:pPr>
      <w:r>
        <w:rPr>
          <w:rFonts w:hint="eastAsia" w:ascii="仿宋" w:hAnsi="仿宋" w:eastAsia="仿宋" w:cs="仿宋"/>
          <w:color w:val="auto"/>
          <w:sz w:val="22"/>
          <w:highlight w:val="none"/>
          <w:shd w:val="clear" w:color="auto" w:fill="FFFFFF"/>
        </w:rPr>
        <w:t>    名    称：泰顺县财政局 </w:t>
      </w:r>
    </w:p>
    <w:p w14:paraId="67C75353">
      <w:pPr>
        <w:pStyle w:val="27"/>
        <w:spacing w:after="156"/>
        <w:rPr>
          <w:rFonts w:ascii="仿宋" w:hAnsi="仿宋" w:eastAsia="仿宋" w:cs="仿宋"/>
          <w:color w:val="auto"/>
          <w:sz w:val="22"/>
          <w:highlight w:val="none"/>
        </w:rPr>
      </w:pPr>
      <w:r>
        <w:rPr>
          <w:rFonts w:hint="eastAsia" w:ascii="仿宋" w:hAnsi="仿宋" w:eastAsia="仿宋" w:cs="仿宋"/>
          <w:color w:val="auto"/>
          <w:sz w:val="22"/>
          <w:highlight w:val="none"/>
          <w:shd w:val="clear" w:color="auto" w:fill="FFFFFF"/>
        </w:rPr>
        <w:t>    地    址：温州市泰顺县罗阳镇公园路48号 </w:t>
      </w:r>
    </w:p>
    <w:p w14:paraId="1C1DDB2D">
      <w:pPr>
        <w:pStyle w:val="27"/>
        <w:spacing w:after="156"/>
        <w:rPr>
          <w:rFonts w:ascii="仿宋" w:hAnsi="仿宋" w:eastAsia="仿宋" w:cs="仿宋"/>
          <w:color w:val="auto"/>
          <w:sz w:val="22"/>
          <w:highlight w:val="none"/>
        </w:rPr>
      </w:pPr>
      <w:r>
        <w:rPr>
          <w:rFonts w:hint="eastAsia" w:ascii="仿宋" w:hAnsi="仿宋" w:eastAsia="仿宋" w:cs="仿宋"/>
          <w:color w:val="auto"/>
          <w:sz w:val="22"/>
          <w:highlight w:val="none"/>
          <w:shd w:val="clear" w:color="auto" w:fill="FFFFFF"/>
        </w:rPr>
        <w:t>    传    真：/ </w:t>
      </w:r>
    </w:p>
    <w:p w14:paraId="6DE72213">
      <w:pPr>
        <w:pStyle w:val="27"/>
        <w:spacing w:after="156"/>
        <w:rPr>
          <w:rFonts w:ascii="仿宋" w:hAnsi="仿宋" w:eastAsia="仿宋" w:cs="仿宋"/>
          <w:color w:val="auto"/>
          <w:sz w:val="22"/>
          <w:highlight w:val="none"/>
        </w:rPr>
      </w:pPr>
      <w:r>
        <w:rPr>
          <w:rFonts w:hint="eastAsia" w:ascii="仿宋" w:hAnsi="仿宋" w:eastAsia="仿宋" w:cs="仿宋"/>
          <w:color w:val="auto"/>
          <w:sz w:val="22"/>
          <w:highlight w:val="none"/>
          <w:shd w:val="clear" w:color="auto" w:fill="FFFFFF"/>
        </w:rPr>
        <w:t>    联  系  人 ：董女士 </w:t>
      </w:r>
    </w:p>
    <w:p w14:paraId="29191E81">
      <w:pPr>
        <w:pStyle w:val="27"/>
        <w:spacing w:after="156"/>
        <w:rPr>
          <w:rFonts w:ascii="仿宋" w:hAnsi="仿宋" w:eastAsia="仿宋" w:cs="仿宋"/>
          <w:color w:val="auto"/>
          <w:sz w:val="22"/>
          <w:highlight w:val="none"/>
        </w:rPr>
      </w:pPr>
      <w:r>
        <w:rPr>
          <w:rFonts w:hint="eastAsia" w:ascii="仿宋" w:hAnsi="仿宋" w:eastAsia="仿宋" w:cs="仿宋"/>
          <w:color w:val="auto"/>
          <w:sz w:val="22"/>
          <w:highlight w:val="none"/>
          <w:shd w:val="clear" w:color="auto" w:fill="FFFFFF"/>
        </w:rPr>
        <w:t>    监督投诉电话：0577-67588502</w:t>
      </w:r>
    </w:p>
    <w:p w14:paraId="1D2F18E2">
      <w:pPr>
        <w:tabs>
          <w:tab w:val="left" w:pos="1069"/>
          <w:tab w:val="left" w:pos="1080"/>
          <w:tab w:val="left" w:pos="2352"/>
        </w:tabs>
        <w:autoSpaceDE w:val="0"/>
        <w:autoSpaceDN w:val="0"/>
        <w:adjustRightInd w:val="0"/>
        <w:spacing w:line="500" w:lineRule="atLeast"/>
        <w:jc w:val="center"/>
        <w:textAlignment w:val="baseline"/>
        <w:rPr>
          <w:rFonts w:ascii="仿宋" w:hAnsi="仿宋" w:eastAsia="仿宋" w:cs="仿宋"/>
          <w:b/>
          <w:bCs/>
          <w:color w:val="auto"/>
          <w:sz w:val="32"/>
          <w:szCs w:val="32"/>
          <w:highlight w:val="none"/>
          <w:lang w:val="zh-CN"/>
        </w:rPr>
      </w:pPr>
    </w:p>
    <w:p w14:paraId="51F514BF">
      <w:pPr>
        <w:tabs>
          <w:tab w:val="left" w:pos="1069"/>
          <w:tab w:val="left" w:pos="1080"/>
          <w:tab w:val="left" w:pos="2352"/>
        </w:tabs>
        <w:autoSpaceDE w:val="0"/>
        <w:autoSpaceDN w:val="0"/>
        <w:adjustRightInd w:val="0"/>
        <w:spacing w:line="500" w:lineRule="atLeast"/>
        <w:jc w:val="center"/>
        <w:textAlignment w:val="baseline"/>
        <w:rPr>
          <w:rFonts w:ascii="仿宋" w:hAnsi="仿宋" w:eastAsia="仿宋" w:cs="仿宋"/>
          <w:b/>
          <w:bCs/>
          <w:color w:val="auto"/>
          <w:sz w:val="32"/>
          <w:szCs w:val="32"/>
          <w:highlight w:val="none"/>
          <w:lang w:val="zh-CN"/>
        </w:rPr>
      </w:pPr>
    </w:p>
    <w:p w14:paraId="3D285C31">
      <w:pPr>
        <w:tabs>
          <w:tab w:val="left" w:pos="1069"/>
          <w:tab w:val="left" w:pos="1080"/>
          <w:tab w:val="left" w:pos="2352"/>
        </w:tabs>
        <w:autoSpaceDE w:val="0"/>
        <w:autoSpaceDN w:val="0"/>
        <w:adjustRightInd w:val="0"/>
        <w:spacing w:line="500" w:lineRule="atLeast"/>
        <w:jc w:val="center"/>
        <w:textAlignment w:val="baseline"/>
        <w:rPr>
          <w:rFonts w:ascii="宋体" w:hAnsi="宋体" w:cs="宋体"/>
          <w:b/>
          <w:bCs/>
          <w:color w:val="auto"/>
          <w:sz w:val="32"/>
          <w:szCs w:val="32"/>
          <w:highlight w:val="none"/>
          <w:lang w:val="zh-CN"/>
        </w:rPr>
      </w:pPr>
    </w:p>
    <w:p w14:paraId="46BA4EAD">
      <w:pPr>
        <w:tabs>
          <w:tab w:val="left" w:pos="1069"/>
          <w:tab w:val="left" w:pos="1080"/>
          <w:tab w:val="left" w:pos="2352"/>
        </w:tabs>
        <w:autoSpaceDE w:val="0"/>
        <w:autoSpaceDN w:val="0"/>
        <w:adjustRightInd w:val="0"/>
        <w:spacing w:line="500" w:lineRule="atLeast"/>
        <w:jc w:val="center"/>
        <w:textAlignment w:val="baseline"/>
        <w:rPr>
          <w:rFonts w:ascii="宋体" w:hAnsi="宋体" w:cs="宋体"/>
          <w:b/>
          <w:bCs/>
          <w:color w:val="auto"/>
          <w:sz w:val="32"/>
          <w:szCs w:val="32"/>
          <w:highlight w:val="none"/>
          <w:lang w:val="zh-CN"/>
        </w:rPr>
      </w:pPr>
    </w:p>
    <w:p w14:paraId="43251B8F">
      <w:pPr>
        <w:tabs>
          <w:tab w:val="left" w:pos="1069"/>
          <w:tab w:val="left" w:pos="1080"/>
          <w:tab w:val="left" w:pos="2352"/>
        </w:tabs>
        <w:autoSpaceDE w:val="0"/>
        <w:autoSpaceDN w:val="0"/>
        <w:adjustRightInd w:val="0"/>
        <w:spacing w:line="500" w:lineRule="atLeast"/>
        <w:jc w:val="center"/>
        <w:textAlignment w:val="baseline"/>
        <w:rPr>
          <w:rFonts w:ascii="宋体" w:hAnsi="宋体" w:cs="宋体"/>
          <w:b/>
          <w:bCs/>
          <w:color w:val="auto"/>
          <w:sz w:val="32"/>
          <w:szCs w:val="32"/>
          <w:highlight w:val="none"/>
          <w:lang w:val="zh-CN"/>
        </w:rPr>
      </w:pPr>
    </w:p>
    <w:p w14:paraId="3324581D">
      <w:pPr>
        <w:tabs>
          <w:tab w:val="left" w:pos="1069"/>
          <w:tab w:val="left" w:pos="1080"/>
          <w:tab w:val="left" w:pos="2352"/>
        </w:tabs>
        <w:autoSpaceDE w:val="0"/>
        <w:autoSpaceDN w:val="0"/>
        <w:adjustRightInd w:val="0"/>
        <w:spacing w:line="500" w:lineRule="atLeast"/>
        <w:jc w:val="center"/>
        <w:textAlignment w:val="baseline"/>
        <w:rPr>
          <w:rFonts w:ascii="宋体" w:hAnsi="宋体" w:cs="宋体"/>
          <w:b/>
          <w:bCs/>
          <w:color w:val="auto"/>
          <w:sz w:val="32"/>
          <w:szCs w:val="32"/>
          <w:highlight w:val="none"/>
          <w:lang w:val="zh-CN"/>
        </w:rPr>
      </w:pPr>
    </w:p>
    <w:p w14:paraId="2922F980">
      <w:pPr>
        <w:tabs>
          <w:tab w:val="left" w:pos="1069"/>
          <w:tab w:val="left" w:pos="1080"/>
          <w:tab w:val="left" w:pos="2352"/>
        </w:tabs>
        <w:autoSpaceDE w:val="0"/>
        <w:autoSpaceDN w:val="0"/>
        <w:adjustRightInd w:val="0"/>
        <w:spacing w:line="500" w:lineRule="atLeast"/>
        <w:jc w:val="center"/>
        <w:textAlignment w:val="baseline"/>
        <w:rPr>
          <w:rFonts w:ascii="宋体" w:hAnsi="宋体" w:cs="宋体"/>
          <w:b/>
          <w:bCs/>
          <w:color w:val="auto"/>
          <w:sz w:val="32"/>
          <w:szCs w:val="32"/>
          <w:highlight w:val="none"/>
          <w:lang w:val="zh-CN"/>
        </w:rPr>
      </w:pPr>
    </w:p>
    <w:p w14:paraId="48F0280F">
      <w:pPr>
        <w:tabs>
          <w:tab w:val="left" w:pos="1069"/>
          <w:tab w:val="left" w:pos="1080"/>
          <w:tab w:val="left" w:pos="2352"/>
        </w:tabs>
        <w:autoSpaceDE w:val="0"/>
        <w:autoSpaceDN w:val="0"/>
        <w:adjustRightInd w:val="0"/>
        <w:spacing w:line="500" w:lineRule="atLeast"/>
        <w:jc w:val="center"/>
        <w:textAlignment w:val="baseline"/>
        <w:rPr>
          <w:rFonts w:ascii="宋体" w:hAnsi="宋体" w:cs="宋体"/>
          <w:b/>
          <w:bCs/>
          <w:color w:val="auto"/>
          <w:sz w:val="32"/>
          <w:szCs w:val="32"/>
          <w:highlight w:val="none"/>
          <w:lang w:val="zh-CN"/>
        </w:rPr>
      </w:pPr>
    </w:p>
    <w:p w14:paraId="52EE6AF3">
      <w:pPr>
        <w:tabs>
          <w:tab w:val="left" w:pos="1069"/>
          <w:tab w:val="left" w:pos="1080"/>
          <w:tab w:val="left" w:pos="2352"/>
        </w:tabs>
        <w:autoSpaceDE w:val="0"/>
        <w:autoSpaceDN w:val="0"/>
        <w:adjustRightInd w:val="0"/>
        <w:spacing w:line="500" w:lineRule="atLeast"/>
        <w:jc w:val="center"/>
        <w:textAlignment w:val="baseline"/>
        <w:rPr>
          <w:rFonts w:hint="eastAsia" w:ascii="宋体" w:hAnsi="宋体" w:cs="宋体"/>
          <w:b/>
          <w:bCs/>
          <w:color w:val="auto"/>
          <w:sz w:val="32"/>
          <w:szCs w:val="32"/>
          <w:highlight w:val="none"/>
          <w:lang w:val="zh-CN"/>
        </w:rPr>
      </w:pPr>
    </w:p>
    <w:p w14:paraId="297EFEB4">
      <w:pPr>
        <w:tabs>
          <w:tab w:val="left" w:pos="1069"/>
          <w:tab w:val="left" w:pos="1080"/>
          <w:tab w:val="left" w:pos="2352"/>
        </w:tabs>
        <w:autoSpaceDE w:val="0"/>
        <w:autoSpaceDN w:val="0"/>
        <w:adjustRightInd w:val="0"/>
        <w:spacing w:line="500" w:lineRule="atLeast"/>
        <w:jc w:val="center"/>
        <w:textAlignment w:val="baseline"/>
        <w:rPr>
          <w:rFonts w:hint="eastAsia" w:ascii="宋体" w:hAnsi="宋体" w:cs="宋体"/>
          <w:b/>
          <w:bCs/>
          <w:color w:val="auto"/>
          <w:sz w:val="32"/>
          <w:szCs w:val="32"/>
          <w:highlight w:val="none"/>
          <w:lang w:val="zh-CN"/>
        </w:rPr>
      </w:pPr>
    </w:p>
    <w:p w14:paraId="32A07C5C">
      <w:pPr>
        <w:tabs>
          <w:tab w:val="left" w:pos="1069"/>
          <w:tab w:val="left" w:pos="1080"/>
          <w:tab w:val="left" w:pos="2352"/>
        </w:tabs>
        <w:autoSpaceDE w:val="0"/>
        <w:autoSpaceDN w:val="0"/>
        <w:adjustRightInd w:val="0"/>
        <w:spacing w:line="500" w:lineRule="atLeast"/>
        <w:jc w:val="center"/>
        <w:textAlignment w:val="baseline"/>
        <w:rPr>
          <w:rFonts w:hint="eastAsia" w:ascii="宋体" w:hAnsi="宋体" w:cs="宋体"/>
          <w:b/>
          <w:bCs/>
          <w:color w:val="auto"/>
          <w:sz w:val="32"/>
          <w:szCs w:val="32"/>
          <w:highlight w:val="none"/>
          <w:lang w:val="zh-CN"/>
        </w:rPr>
      </w:pPr>
    </w:p>
    <w:p w14:paraId="1694C52B">
      <w:pPr>
        <w:tabs>
          <w:tab w:val="left" w:pos="1069"/>
          <w:tab w:val="left" w:pos="1080"/>
          <w:tab w:val="left" w:pos="2352"/>
        </w:tabs>
        <w:autoSpaceDE w:val="0"/>
        <w:autoSpaceDN w:val="0"/>
        <w:adjustRightInd w:val="0"/>
        <w:spacing w:line="500" w:lineRule="atLeast"/>
        <w:jc w:val="center"/>
        <w:textAlignment w:val="baseline"/>
        <w:rPr>
          <w:rFonts w:hint="eastAsia" w:ascii="宋体" w:hAnsi="宋体" w:cs="宋体"/>
          <w:b/>
          <w:bCs/>
          <w:color w:val="auto"/>
          <w:sz w:val="32"/>
          <w:szCs w:val="32"/>
          <w:highlight w:val="none"/>
          <w:lang w:val="zh-CN"/>
        </w:rPr>
      </w:pPr>
    </w:p>
    <w:p w14:paraId="527C8B94">
      <w:pPr>
        <w:tabs>
          <w:tab w:val="left" w:pos="1069"/>
          <w:tab w:val="left" w:pos="1080"/>
          <w:tab w:val="left" w:pos="2352"/>
        </w:tabs>
        <w:autoSpaceDE w:val="0"/>
        <w:autoSpaceDN w:val="0"/>
        <w:adjustRightInd w:val="0"/>
        <w:spacing w:line="500" w:lineRule="atLeast"/>
        <w:jc w:val="center"/>
        <w:textAlignment w:val="baseline"/>
        <w:rPr>
          <w:rFonts w:hint="eastAsia" w:ascii="宋体" w:hAnsi="宋体" w:cs="宋体"/>
          <w:b/>
          <w:bCs/>
          <w:color w:val="auto"/>
          <w:sz w:val="32"/>
          <w:szCs w:val="32"/>
          <w:highlight w:val="none"/>
          <w:lang w:val="zh-CN"/>
        </w:rPr>
      </w:pPr>
    </w:p>
    <w:p w14:paraId="17BFAB3B">
      <w:pPr>
        <w:tabs>
          <w:tab w:val="left" w:pos="1069"/>
          <w:tab w:val="left" w:pos="1080"/>
          <w:tab w:val="left" w:pos="2352"/>
        </w:tabs>
        <w:autoSpaceDE w:val="0"/>
        <w:autoSpaceDN w:val="0"/>
        <w:adjustRightInd w:val="0"/>
        <w:spacing w:line="500" w:lineRule="atLeast"/>
        <w:jc w:val="center"/>
        <w:textAlignment w:val="baseline"/>
        <w:rPr>
          <w:rFonts w:hint="eastAsia" w:ascii="宋体" w:hAnsi="宋体" w:cs="宋体"/>
          <w:b/>
          <w:bCs/>
          <w:color w:val="auto"/>
          <w:sz w:val="32"/>
          <w:szCs w:val="32"/>
          <w:highlight w:val="none"/>
          <w:lang w:val="zh-CN"/>
        </w:rPr>
      </w:pPr>
    </w:p>
    <w:p w14:paraId="499ED74D">
      <w:pPr>
        <w:tabs>
          <w:tab w:val="left" w:pos="1069"/>
          <w:tab w:val="left" w:pos="1080"/>
          <w:tab w:val="left" w:pos="2352"/>
        </w:tabs>
        <w:autoSpaceDE w:val="0"/>
        <w:autoSpaceDN w:val="0"/>
        <w:adjustRightInd w:val="0"/>
        <w:spacing w:line="500" w:lineRule="atLeast"/>
        <w:jc w:val="center"/>
        <w:textAlignment w:val="baseline"/>
        <w:rPr>
          <w:rFonts w:hint="eastAsia" w:ascii="宋体" w:hAnsi="宋体" w:cs="宋体"/>
          <w:b/>
          <w:bCs/>
          <w:color w:val="auto"/>
          <w:sz w:val="32"/>
          <w:szCs w:val="32"/>
          <w:highlight w:val="none"/>
          <w:lang w:val="zh-CN"/>
        </w:rPr>
      </w:pPr>
    </w:p>
    <w:p w14:paraId="0E30A8DC">
      <w:pPr>
        <w:tabs>
          <w:tab w:val="left" w:pos="1069"/>
          <w:tab w:val="left" w:pos="1080"/>
          <w:tab w:val="left" w:pos="2352"/>
        </w:tabs>
        <w:autoSpaceDE w:val="0"/>
        <w:autoSpaceDN w:val="0"/>
        <w:adjustRightInd w:val="0"/>
        <w:spacing w:line="500" w:lineRule="atLeast"/>
        <w:jc w:val="center"/>
        <w:textAlignment w:val="baseline"/>
        <w:rPr>
          <w:rFonts w:hint="eastAsia" w:ascii="宋体" w:hAnsi="宋体" w:cs="宋体"/>
          <w:b/>
          <w:bCs/>
          <w:color w:val="auto"/>
          <w:sz w:val="32"/>
          <w:szCs w:val="32"/>
          <w:highlight w:val="none"/>
          <w:lang w:val="zh-CN"/>
        </w:rPr>
      </w:pPr>
    </w:p>
    <w:p w14:paraId="56C3B985">
      <w:pPr>
        <w:tabs>
          <w:tab w:val="left" w:pos="1069"/>
          <w:tab w:val="left" w:pos="1080"/>
          <w:tab w:val="left" w:pos="2352"/>
        </w:tabs>
        <w:autoSpaceDE w:val="0"/>
        <w:autoSpaceDN w:val="0"/>
        <w:adjustRightInd w:val="0"/>
        <w:spacing w:line="500" w:lineRule="atLeast"/>
        <w:jc w:val="center"/>
        <w:textAlignment w:val="baseline"/>
        <w:rPr>
          <w:rFonts w:ascii="宋体" w:hAnsi="宋体" w:cs="宋体"/>
          <w:b/>
          <w:bCs/>
          <w:color w:val="auto"/>
          <w:sz w:val="32"/>
          <w:szCs w:val="32"/>
          <w:highlight w:val="none"/>
          <w:lang w:val="zh-CN"/>
        </w:rPr>
      </w:pPr>
      <w:r>
        <w:rPr>
          <w:rFonts w:hint="eastAsia" w:ascii="宋体" w:hAnsi="宋体" w:cs="宋体"/>
          <w:b/>
          <w:bCs/>
          <w:color w:val="auto"/>
          <w:sz w:val="32"/>
          <w:szCs w:val="32"/>
          <w:highlight w:val="none"/>
          <w:lang w:val="zh-CN"/>
        </w:rPr>
        <w:t>第一部分、投标邀请函（投标须知前附表）</w:t>
      </w:r>
      <w:bookmarkEnd w:id="1"/>
    </w:p>
    <w:tbl>
      <w:tblPr>
        <w:tblStyle w:val="31"/>
        <w:tblW w:w="10171"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57" w:type="dxa"/>
          <w:left w:w="108" w:type="dxa"/>
          <w:bottom w:w="57" w:type="dxa"/>
          <w:right w:w="108" w:type="dxa"/>
        </w:tblCellMar>
      </w:tblPr>
      <w:tblGrid>
        <w:gridCol w:w="952"/>
        <w:gridCol w:w="1600"/>
        <w:gridCol w:w="7619"/>
      </w:tblGrid>
      <w:tr w14:paraId="1C0F5F6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90" w:hRule="atLeast"/>
          <w:jc w:val="center"/>
        </w:trPr>
        <w:tc>
          <w:tcPr>
            <w:tcW w:w="952" w:type="dxa"/>
            <w:tcBorders>
              <w:top w:val="single" w:color="auto" w:sz="12" w:space="0"/>
            </w:tcBorders>
            <w:vAlign w:val="center"/>
          </w:tcPr>
          <w:p w14:paraId="438C56BF">
            <w:pPr>
              <w:tabs>
                <w:tab w:val="left" w:pos="1069"/>
                <w:tab w:val="left" w:pos="2352"/>
              </w:tabs>
              <w:spacing w:line="400" w:lineRule="atLeast"/>
              <w:jc w:val="right"/>
              <w:rPr>
                <w:rFonts w:ascii="宋体" w:hAnsi="宋体" w:cs="宋体"/>
                <w:color w:val="auto"/>
                <w:sz w:val="22"/>
                <w:highlight w:val="none"/>
              </w:rPr>
            </w:pPr>
            <w:r>
              <w:rPr>
                <w:rFonts w:hint="eastAsia" w:ascii="宋体" w:hAnsi="宋体" w:cs="宋体"/>
                <w:color w:val="auto"/>
                <w:sz w:val="22"/>
                <w:highlight w:val="none"/>
              </w:rPr>
              <w:t>项号</w:t>
            </w:r>
          </w:p>
        </w:tc>
        <w:tc>
          <w:tcPr>
            <w:tcW w:w="1600" w:type="dxa"/>
            <w:tcBorders>
              <w:top w:val="single" w:color="auto" w:sz="12" w:space="0"/>
            </w:tcBorders>
            <w:vAlign w:val="center"/>
          </w:tcPr>
          <w:p w14:paraId="2C70ED24">
            <w:pPr>
              <w:tabs>
                <w:tab w:val="left" w:pos="1069"/>
                <w:tab w:val="left" w:pos="2352"/>
              </w:tabs>
              <w:spacing w:line="400" w:lineRule="atLeast"/>
              <w:jc w:val="center"/>
              <w:rPr>
                <w:rFonts w:ascii="宋体" w:hAnsi="宋体" w:cs="宋体"/>
                <w:color w:val="auto"/>
                <w:sz w:val="22"/>
                <w:highlight w:val="none"/>
              </w:rPr>
            </w:pPr>
            <w:r>
              <w:rPr>
                <w:rFonts w:hint="eastAsia" w:ascii="宋体" w:hAnsi="宋体" w:cs="宋体"/>
                <w:color w:val="auto"/>
                <w:sz w:val="22"/>
                <w:highlight w:val="none"/>
              </w:rPr>
              <w:t>内容</w:t>
            </w:r>
          </w:p>
        </w:tc>
        <w:tc>
          <w:tcPr>
            <w:tcW w:w="7619" w:type="dxa"/>
            <w:tcBorders>
              <w:top w:val="single" w:color="auto" w:sz="12" w:space="0"/>
            </w:tcBorders>
            <w:vAlign w:val="center"/>
          </w:tcPr>
          <w:p w14:paraId="204D6FC7">
            <w:pPr>
              <w:tabs>
                <w:tab w:val="left" w:pos="1069"/>
                <w:tab w:val="left" w:pos="2352"/>
              </w:tabs>
              <w:spacing w:line="400" w:lineRule="atLeast"/>
              <w:jc w:val="center"/>
              <w:rPr>
                <w:rFonts w:ascii="宋体" w:hAnsi="宋体" w:cs="宋体"/>
                <w:color w:val="auto"/>
                <w:sz w:val="22"/>
                <w:highlight w:val="none"/>
              </w:rPr>
            </w:pPr>
            <w:r>
              <w:rPr>
                <w:rFonts w:hint="eastAsia" w:ascii="宋体" w:hAnsi="宋体" w:cs="宋体"/>
                <w:color w:val="auto"/>
                <w:sz w:val="22"/>
                <w:highlight w:val="none"/>
              </w:rPr>
              <w:t>说明与要求</w:t>
            </w:r>
          </w:p>
        </w:tc>
      </w:tr>
      <w:tr w14:paraId="339DEFC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330" w:hRule="atLeast"/>
          <w:jc w:val="center"/>
        </w:trPr>
        <w:tc>
          <w:tcPr>
            <w:tcW w:w="952" w:type="dxa"/>
            <w:vAlign w:val="center"/>
          </w:tcPr>
          <w:p w14:paraId="3ACD26E9">
            <w:pPr>
              <w:widowControl/>
              <w:numPr>
                <w:ilvl w:val="0"/>
                <w:numId w:val="1"/>
              </w:numPr>
              <w:tabs>
                <w:tab w:val="left" w:pos="420"/>
                <w:tab w:val="left" w:pos="1069"/>
                <w:tab w:val="left" w:pos="2352"/>
                <w:tab w:val="clear" w:pos="720"/>
              </w:tabs>
              <w:ind w:left="420" w:hanging="420"/>
              <w:jc w:val="right"/>
              <w:rPr>
                <w:rFonts w:ascii="宋体" w:hAnsi="宋体" w:cs="宋体"/>
                <w:color w:val="auto"/>
                <w:sz w:val="22"/>
                <w:highlight w:val="none"/>
              </w:rPr>
            </w:pPr>
          </w:p>
        </w:tc>
        <w:tc>
          <w:tcPr>
            <w:tcW w:w="1600" w:type="dxa"/>
            <w:vAlign w:val="center"/>
          </w:tcPr>
          <w:p w14:paraId="532B2222">
            <w:pPr>
              <w:tabs>
                <w:tab w:val="left" w:pos="1069"/>
                <w:tab w:val="left" w:pos="2352"/>
              </w:tabs>
              <w:jc w:val="center"/>
              <w:rPr>
                <w:rFonts w:ascii="宋体" w:hAnsi="宋体" w:cs="宋体"/>
                <w:color w:val="auto"/>
                <w:sz w:val="22"/>
                <w:highlight w:val="none"/>
              </w:rPr>
            </w:pPr>
            <w:r>
              <w:rPr>
                <w:rFonts w:hint="eastAsia" w:ascii="宋体" w:hAnsi="宋体" w:cs="宋体"/>
                <w:color w:val="auto"/>
                <w:sz w:val="22"/>
                <w:highlight w:val="none"/>
              </w:rPr>
              <w:t>项目名称</w:t>
            </w:r>
          </w:p>
        </w:tc>
        <w:tc>
          <w:tcPr>
            <w:tcW w:w="7619" w:type="dxa"/>
            <w:vAlign w:val="center"/>
          </w:tcPr>
          <w:p w14:paraId="366A60C3">
            <w:pPr>
              <w:tabs>
                <w:tab w:val="left" w:pos="1069"/>
                <w:tab w:val="left" w:pos="2352"/>
              </w:tabs>
              <w:rPr>
                <w:rFonts w:hint="eastAsia" w:ascii="宋体" w:hAnsi="宋体" w:eastAsia="宋体" w:cs="宋体"/>
                <w:color w:val="auto"/>
                <w:sz w:val="22"/>
                <w:highlight w:val="none"/>
                <w:lang w:eastAsia="zh-CN"/>
              </w:rPr>
            </w:pPr>
            <w:r>
              <w:rPr>
                <w:rFonts w:hint="eastAsia" w:ascii="宋体" w:hAnsi="宋体" w:cs="宋体"/>
                <w:bCs/>
                <w:color w:val="auto"/>
                <w:sz w:val="22"/>
                <w:highlight w:val="none"/>
                <w:lang w:eastAsia="zh-CN"/>
              </w:rPr>
              <w:t>2024年泰顺县罗阳镇上洪村堆谷洋农田宜机化改造项目</w:t>
            </w:r>
          </w:p>
        </w:tc>
      </w:tr>
      <w:tr w14:paraId="49EC28F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90" w:hRule="atLeast"/>
          <w:jc w:val="center"/>
        </w:trPr>
        <w:tc>
          <w:tcPr>
            <w:tcW w:w="952" w:type="dxa"/>
            <w:vAlign w:val="center"/>
          </w:tcPr>
          <w:p w14:paraId="62360316">
            <w:pPr>
              <w:widowControl/>
              <w:numPr>
                <w:ilvl w:val="0"/>
                <w:numId w:val="1"/>
              </w:numPr>
              <w:tabs>
                <w:tab w:val="left" w:pos="420"/>
                <w:tab w:val="left" w:pos="1069"/>
                <w:tab w:val="left" w:pos="2352"/>
                <w:tab w:val="clear" w:pos="720"/>
              </w:tabs>
              <w:ind w:left="420" w:hanging="420"/>
              <w:jc w:val="right"/>
              <w:rPr>
                <w:rFonts w:ascii="宋体" w:hAnsi="宋体" w:cs="宋体"/>
                <w:color w:val="auto"/>
                <w:sz w:val="22"/>
                <w:highlight w:val="none"/>
              </w:rPr>
            </w:pPr>
          </w:p>
        </w:tc>
        <w:tc>
          <w:tcPr>
            <w:tcW w:w="1600" w:type="dxa"/>
            <w:vAlign w:val="center"/>
          </w:tcPr>
          <w:p w14:paraId="4B0F2011">
            <w:pPr>
              <w:tabs>
                <w:tab w:val="left" w:pos="1069"/>
                <w:tab w:val="left" w:pos="2352"/>
              </w:tabs>
              <w:jc w:val="center"/>
              <w:rPr>
                <w:rFonts w:ascii="宋体" w:hAnsi="宋体" w:cs="宋体"/>
                <w:color w:val="auto"/>
                <w:sz w:val="22"/>
                <w:highlight w:val="none"/>
              </w:rPr>
            </w:pPr>
            <w:r>
              <w:rPr>
                <w:rFonts w:hint="eastAsia" w:ascii="宋体" w:hAnsi="宋体" w:cs="宋体"/>
                <w:color w:val="auto"/>
                <w:sz w:val="22"/>
                <w:highlight w:val="none"/>
              </w:rPr>
              <w:t>项目编号</w:t>
            </w:r>
          </w:p>
        </w:tc>
        <w:tc>
          <w:tcPr>
            <w:tcW w:w="7619" w:type="dxa"/>
            <w:vAlign w:val="center"/>
          </w:tcPr>
          <w:p w14:paraId="608326F1">
            <w:pPr>
              <w:tabs>
                <w:tab w:val="left" w:pos="1069"/>
                <w:tab w:val="left" w:pos="2352"/>
              </w:tabs>
              <w:rPr>
                <w:rFonts w:hint="eastAsia" w:ascii="宋体" w:hAnsi="宋体" w:eastAsia="宋体" w:cs="宋体"/>
                <w:color w:val="auto"/>
                <w:sz w:val="22"/>
                <w:highlight w:val="none"/>
                <w:lang w:eastAsia="zh-CN"/>
              </w:rPr>
            </w:pPr>
            <w:r>
              <w:rPr>
                <w:rFonts w:hint="eastAsia" w:ascii="宋体" w:hAnsi="宋体" w:cs="宋体"/>
                <w:color w:val="auto"/>
                <w:sz w:val="22"/>
                <w:highlight w:val="none"/>
                <w:lang w:eastAsia="zh-CN"/>
              </w:rPr>
              <w:t>TSCG202502006</w:t>
            </w:r>
          </w:p>
        </w:tc>
      </w:tr>
      <w:tr w14:paraId="31BD5BC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330" w:hRule="atLeast"/>
          <w:jc w:val="center"/>
        </w:trPr>
        <w:tc>
          <w:tcPr>
            <w:tcW w:w="952" w:type="dxa"/>
            <w:vAlign w:val="center"/>
          </w:tcPr>
          <w:p w14:paraId="51329087">
            <w:pPr>
              <w:widowControl/>
              <w:numPr>
                <w:ilvl w:val="0"/>
                <w:numId w:val="1"/>
              </w:numPr>
              <w:tabs>
                <w:tab w:val="left" w:pos="420"/>
                <w:tab w:val="left" w:pos="1069"/>
                <w:tab w:val="left" w:pos="2352"/>
                <w:tab w:val="clear" w:pos="720"/>
              </w:tabs>
              <w:ind w:left="420" w:hanging="420"/>
              <w:jc w:val="right"/>
              <w:rPr>
                <w:rFonts w:ascii="宋体" w:hAnsi="宋体" w:cs="宋体"/>
                <w:color w:val="auto"/>
                <w:sz w:val="22"/>
                <w:highlight w:val="none"/>
              </w:rPr>
            </w:pPr>
          </w:p>
        </w:tc>
        <w:tc>
          <w:tcPr>
            <w:tcW w:w="1600" w:type="dxa"/>
            <w:vAlign w:val="center"/>
          </w:tcPr>
          <w:p w14:paraId="23A0A93B">
            <w:pPr>
              <w:tabs>
                <w:tab w:val="left" w:pos="1069"/>
                <w:tab w:val="left" w:pos="2352"/>
              </w:tabs>
              <w:jc w:val="center"/>
              <w:rPr>
                <w:rFonts w:ascii="宋体" w:hAnsi="宋体" w:cs="宋体"/>
                <w:color w:val="auto"/>
                <w:sz w:val="22"/>
                <w:highlight w:val="none"/>
              </w:rPr>
            </w:pPr>
            <w:r>
              <w:rPr>
                <w:rFonts w:hint="eastAsia" w:ascii="宋体" w:hAnsi="宋体" w:cs="宋体"/>
                <w:color w:val="auto"/>
                <w:sz w:val="22"/>
                <w:highlight w:val="none"/>
              </w:rPr>
              <w:t>资金来源</w:t>
            </w:r>
          </w:p>
        </w:tc>
        <w:tc>
          <w:tcPr>
            <w:tcW w:w="7619" w:type="dxa"/>
            <w:vAlign w:val="center"/>
          </w:tcPr>
          <w:p w14:paraId="33494EA9">
            <w:pPr>
              <w:tabs>
                <w:tab w:val="left" w:pos="1069"/>
                <w:tab w:val="left" w:pos="2352"/>
              </w:tabs>
              <w:rPr>
                <w:rFonts w:ascii="宋体" w:hAnsi="宋体" w:cs="宋体"/>
                <w:color w:val="auto"/>
                <w:sz w:val="22"/>
                <w:highlight w:val="none"/>
              </w:rPr>
            </w:pPr>
            <w:r>
              <w:rPr>
                <w:rFonts w:hint="eastAsia" w:ascii="宋体" w:hAnsi="宋体" w:cs="宋体"/>
                <w:color w:val="auto"/>
                <w:sz w:val="22"/>
                <w:highlight w:val="none"/>
                <w:lang w:val="en-US" w:eastAsia="zh-CN"/>
              </w:rPr>
              <w:t>专项债</w:t>
            </w:r>
            <w:r>
              <w:rPr>
                <w:rFonts w:hint="eastAsia" w:ascii="宋体" w:hAnsi="宋体" w:cs="宋体"/>
                <w:color w:val="auto"/>
                <w:sz w:val="22"/>
                <w:highlight w:val="none"/>
              </w:rPr>
              <w:t>资金</w:t>
            </w:r>
          </w:p>
        </w:tc>
      </w:tr>
      <w:tr w14:paraId="53F3292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330" w:hRule="atLeast"/>
          <w:jc w:val="center"/>
        </w:trPr>
        <w:tc>
          <w:tcPr>
            <w:tcW w:w="952" w:type="dxa"/>
            <w:vAlign w:val="center"/>
          </w:tcPr>
          <w:p w14:paraId="2387175F">
            <w:pPr>
              <w:widowControl/>
              <w:numPr>
                <w:ilvl w:val="0"/>
                <w:numId w:val="1"/>
              </w:numPr>
              <w:tabs>
                <w:tab w:val="left" w:pos="420"/>
                <w:tab w:val="left" w:pos="1069"/>
                <w:tab w:val="left" w:pos="2352"/>
                <w:tab w:val="clear" w:pos="720"/>
              </w:tabs>
              <w:ind w:left="420" w:hanging="420"/>
              <w:jc w:val="right"/>
              <w:rPr>
                <w:rFonts w:ascii="宋体" w:hAnsi="宋体" w:cs="宋体"/>
                <w:color w:val="auto"/>
                <w:sz w:val="22"/>
                <w:highlight w:val="none"/>
              </w:rPr>
            </w:pPr>
          </w:p>
        </w:tc>
        <w:tc>
          <w:tcPr>
            <w:tcW w:w="1600" w:type="dxa"/>
            <w:vAlign w:val="center"/>
          </w:tcPr>
          <w:p w14:paraId="402FADAE">
            <w:pPr>
              <w:tabs>
                <w:tab w:val="left" w:pos="1069"/>
                <w:tab w:val="left" w:pos="2352"/>
              </w:tabs>
              <w:jc w:val="center"/>
              <w:rPr>
                <w:rFonts w:ascii="宋体" w:hAnsi="宋体" w:cs="宋体"/>
                <w:color w:val="auto"/>
                <w:sz w:val="22"/>
                <w:highlight w:val="none"/>
              </w:rPr>
            </w:pPr>
            <w:r>
              <w:rPr>
                <w:rFonts w:hint="eastAsia" w:ascii="宋体" w:hAnsi="宋体" w:cs="宋体"/>
                <w:color w:val="auto"/>
                <w:sz w:val="22"/>
                <w:highlight w:val="none"/>
              </w:rPr>
              <w:t>采购方式</w:t>
            </w:r>
          </w:p>
        </w:tc>
        <w:tc>
          <w:tcPr>
            <w:tcW w:w="7619" w:type="dxa"/>
            <w:vAlign w:val="center"/>
          </w:tcPr>
          <w:p w14:paraId="34C33DE6">
            <w:pPr>
              <w:tabs>
                <w:tab w:val="left" w:pos="1069"/>
                <w:tab w:val="left" w:pos="2352"/>
              </w:tabs>
              <w:rPr>
                <w:rFonts w:ascii="宋体" w:hAnsi="宋体" w:cs="宋体"/>
                <w:color w:val="auto"/>
                <w:sz w:val="22"/>
                <w:highlight w:val="none"/>
              </w:rPr>
            </w:pPr>
            <w:r>
              <w:rPr>
                <w:rFonts w:hint="eastAsia" w:ascii="宋体" w:hAnsi="宋体" w:cs="宋体"/>
                <w:color w:val="auto"/>
                <w:sz w:val="22"/>
                <w:highlight w:val="none"/>
              </w:rPr>
              <w:t>竞争性磋商</w:t>
            </w:r>
          </w:p>
        </w:tc>
      </w:tr>
      <w:tr w14:paraId="0D02A72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90" w:hRule="atLeast"/>
          <w:jc w:val="center"/>
        </w:trPr>
        <w:tc>
          <w:tcPr>
            <w:tcW w:w="952" w:type="dxa"/>
            <w:vAlign w:val="center"/>
          </w:tcPr>
          <w:p w14:paraId="369CC248">
            <w:pPr>
              <w:widowControl/>
              <w:numPr>
                <w:ilvl w:val="0"/>
                <w:numId w:val="1"/>
              </w:numPr>
              <w:tabs>
                <w:tab w:val="left" w:pos="420"/>
                <w:tab w:val="left" w:pos="1069"/>
                <w:tab w:val="left" w:pos="2352"/>
                <w:tab w:val="clear" w:pos="720"/>
              </w:tabs>
              <w:ind w:left="420" w:hanging="420"/>
              <w:jc w:val="right"/>
              <w:rPr>
                <w:rFonts w:ascii="宋体" w:hAnsi="宋体" w:cs="宋体"/>
                <w:color w:val="auto"/>
                <w:sz w:val="22"/>
                <w:highlight w:val="none"/>
              </w:rPr>
            </w:pPr>
          </w:p>
        </w:tc>
        <w:tc>
          <w:tcPr>
            <w:tcW w:w="1600" w:type="dxa"/>
            <w:vAlign w:val="center"/>
          </w:tcPr>
          <w:p w14:paraId="07168267">
            <w:pPr>
              <w:tabs>
                <w:tab w:val="left" w:pos="1069"/>
                <w:tab w:val="left" w:pos="2352"/>
              </w:tabs>
              <w:jc w:val="center"/>
              <w:rPr>
                <w:rFonts w:ascii="宋体" w:hAnsi="宋体" w:cs="宋体"/>
                <w:color w:val="auto"/>
                <w:sz w:val="22"/>
                <w:highlight w:val="none"/>
              </w:rPr>
            </w:pPr>
            <w:r>
              <w:rPr>
                <w:rFonts w:hint="eastAsia" w:ascii="宋体" w:hAnsi="宋体" w:cs="宋体"/>
                <w:color w:val="auto"/>
                <w:sz w:val="22"/>
                <w:highlight w:val="none"/>
              </w:rPr>
              <w:t>采购预算</w:t>
            </w:r>
          </w:p>
          <w:p w14:paraId="33BFCBF6">
            <w:pPr>
              <w:tabs>
                <w:tab w:val="left" w:pos="1069"/>
                <w:tab w:val="left" w:pos="2352"/>
              </w:tabs>
              <w:jc w:val="center"/>
              <w:rPr>
                <w:rFonts w:ascii="宋体" w:hAnsi="宋体" w:cs="宋体"/>
                <w:color w:val="auto"/>
                <w:sz w:val="22"/>
                <w:highlight w:val="none"/>
              </w:rPr>
            </w:pPr>
            <w:r>
              <w:rPr>
                <w:rFonts w:hint="eastAsia" w:ascii="宋体" w:hAnsi="宋体" w:cs="宋体"/>
                <w:color w:val="auto"/>
                <w:sz w:val="22"/>
                <w:highlight w:val="none"/>
              </w:rPr>
              <w:t>（最高限价）</w:t>
            </w:r>
          </w:p>
        </w:tc>
        <w:tc>
          <w:tcPr>
            <w:tcW w:w="7619" w:type="dxa"/>
            <w:vAlign w:val="center"/>
          </w:tcPr>
          <w:p w14:paraId="7EC09036">
            <w:pPr>
              <w:tabs>
                <w:tab w:val="left" w:pos="1069"/>
                <w:tab w:val="left" w:pos="2352"/>
              </w:tabs>
              <w:rPr>
                <w:rFonts w:ascii="宋体" w:hAnsi="宋体" w:cs="宋体"/>
                <w:color w:val="auto"/>
                <w:sz w:val="22"/>
                <w:highlight w:val="none"/>
              </w:rPr>
            </w:pPr>
            <w:r>
              <w:rPr>
                <w:rFonts w:hint="eastAsia" w:ascii="宋体" w:hAnsi="宋体" w:cs="宋体"/>
                <w:color w:val="auto"/>
                <w:sz w:val="22"/>
                <w:highlight w:val="none"/>
                <w:shd w:val="clear" w:color="auto" w:fill="FFFFFF"/>
              </w:rPr>
              <w:t>2047770元</w:t>
            </w:r>
          </w:p>
        </w:tc>
      </w:tr>
      <w:tr w14:paraId="045613D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330" w:hRule="atLeast"/>
          <w:jc w:val="center"/>
        </w:trPr>
        <w:tc>
          <w:tcPr>
            <w:tcW w:w="952" w:type="dxa"/>
            <w:vAlign w:val="center"/>
          </w:tcPr>
          <w:p w14:paraId="35624AA3">
            <w:pPr>
              <w:widowControl/>
              <w:numPr>
                <w:ilvl w:val="0"/>
                <w:numId w:val="1"/>
              </w:numPr>
              <w:tabs>
                <w:tab w:val="left" w:pos="420"/>
                <w:tab w:val="left" w:pos="1069"/>
                <w:tab w:val="left" w:pos="2352"/>
                <w:tab w:val="clear" w:pos="720"/>
              </w:tabs>
              <w:ind w:left="420" w:hanging="420"/>
              <w:jc w:val="right"/>
              <w:rPr>
                <w:rFonts w:ascii="宋体" w:hAnsi="宋体" w:cs="宋体"/>
                <w:color w:val="auto"/>
                <w:sz w:val="22"/>
                <w:highlight w:val="none"/>
              </w:rPr>
            </w:pPr>
          </w:p>
        </w:tc>
        <w:tc>
          <w:tcPr>
            <w:tcW w:w="1600" w:type="dxa"/>
            <w:vAlign w:val="center"/>
          </w:tcPr>
          <w:p w14:paraId="343D85F4">
            <w:pPr>
              <w:tabs>
                <w:tab w:val="left" w:pos="1069"/>
              </w:tabs>
              <w:adjustRightInd w:val="0"/>
              <w:jc w:val="center"/>
              <w:rPr>
                <w:rFonts w:ascii="宋体" w:hAnsi="宋体" w:cs="宋体"/>
                <w:color w:val="auto"/>
                <w:sz w:val="22"/>
                <w:highlight w:val="none"/>
              </w:rPr>
            </w:pPr>
            <w:r>
              <w:rPr>
                <w:rFonts w:hint="eastAsia" w:ascii="宋体" w:hAnsi="宋体" w:cs="宋体"/>
                <w:color w:val="auto"/>
                <w:sz w:val="22"/>
                <w:highlight w:val="none"/>
              </w:rPr>
              <w:t>采购人</w:t>
            </w:r>
          </w:p>
        </w:tc>
        <w:tc>
          <w:tcPr>
            <w:tcW w:w="7619" w:type="dxa"/>
            <w:vAlign w:val="center"/>
          </w:tcPr>
          <w:p w14:paraId="1D18589F">
            <w:pPr>
              <w:tabs>
                <w:tab w:val="left" w:pos="1069"/>
              </w:tabs>
              <w:adjustRightInd w:val="0"/>
              <w:jc w:val="left"/>
              <w:rPr>
                <w:rFonts w:hint="eastAsia" w:ascii="宋体" w:hAnsi="宋体" w:eastAsia="宋体" w:cs="宋体"/>
                <w:color w:val="auto"/>
                <w:sz w:val="22"/>
                <w:highlight w:val="none"/>
                <w:lang w:eastAsia="zh-CN"/>
              </w:rPr>
            </w:pPr>
            <w:r>
              <w:rPr>
                <w:rFonts w:hint="eastAsia" w:ascii="宋体" w:hAnsi="宋体" w:cs="宋体"/>
                <w:color w:val="auto"/>
                <w:sz w:val="22"/>
                <w:highlight w:val="none"/>
                <w:lang w:eastAsia="zh-CN"/>
              </w:rPr>
              <w:t>泰顺县罗阳镇人民政府</w:t>
            </w:r>
          </w:p>
        </w:tc>
      </w:tr>
      <w:tr w14:paraId="55F4597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330" w:hRule="atLeast"/>
          <w:jc w:val="center"/>
        </w:trPr>
        <w:tc>
          <w:tcPr>
            <w:tcW w:w="952" w:type="dxa"/>
            <w:vAlign w:val="center"/>
          </w:tcPr>
          <w:p w14:paraId="2E75E507">
            <w:pPr>
              <w:widowControl/>
              <w:numPr>
                <w:ilvl w:val="0"/>
                <w:numId w:val="1"/>
              </w:numPr>
              <w:tabs>
                <w:tab w:val="left" w:pos="420"/>
                <w:tab w:val="left" w:pos="1069"/>
                <w:tab w:val="left" w:pos="2352"/>
                <w:tab w:val="clear" w:pos="720"/>
              </w:tabs>
              <w:ind w:left="420" w:right="105" w:hanging="420"/>
              <w:jc w:val="right"/>
              <w:rPr>
                <w:rFonts w:ascii="宋体" w:hAnsi="宋体" w:cs="宋体"/>
                <w:color w:val="auto"/>
                <w:sz w:val="22"/>
                <w:highlight w:val="none"/>
              </w:rPr>
            </w:pPr>
          </w:p>
        </w:tc>
        <w:tc>
          <w:tcPr>
            <w:tcW w:w="1600" w:type="dxa"/>
            <w:vAlign w:val="center"/>
          </w:tcPr>
          <w:p w14:paraId="06D61DC3">
            <w:pPr>
              <w:tabs>
                <w:tab w:val="left" w:pos="1069"/>
                <w:tab w:val="left" w:pos="2352"/>
              </w:tabs>
              <w:jc w:val="center"/>
              <w:rPr>
                <w:rFonts w:ascii="宋体" w:hAnsi="宋体" w:cs="宋体"/>
                <w:color w:val="auto"/>
                <w:sz w:val="22"/>
                <w:highlight w:val="none"/>
              </w:rPr>
            </w:pPr>
            <w:r>
              <w:rPr>
                <w:rFonts w:hint="eastAsia" w:ascii="宋体" w:hAnsi="宋体" w:cs="宋体"/>
                <w:color w:val="auto"/>
                <w:sz w:val="22"/>
                <w:highlight w:val="none"/>
              </w:rPr>
              <w:t>招标代理机构</w:t>
            </w:r>
          </w:p>
        </w:tc>
        <w:tc>
          <w:tcPr>
            <w:tcW w:w="7619" w:type="dxa"/>
            <w:vAlign w:val="center"/>
          </w:tcPr>
          <w:p w14:paraId="2A6FA79B">
            <w:pPr>
              <w:tabs>
                <w:tab w:val="left" w:pos="1069"/>
                <w:tab w:val="left" w:pos="2352"/>
              </w:tabs>
              <w:adjustRightInd w:val="0"/>
              <w:jc w:val="left"/>
              <w:rPr>
                <w:rFonts w:ascii="宋体" w:hAnsi="宋体" w:cs="宋体"/>
                <w:color w:val="auto"/>
                <w:sz w:val="22"/>
                <w:highlight w:val="none"/>
              </w:rPr>
            </w:pPr>
            <w:r>
              <w:rPr>
                <w:rFonts w:hint="eastAsia" w:ascii="宋体" w:hAnsi="宋体" w:cs="宋体"/>
                <w:color w:val="auto"/>
                <w:sz w:val="22"/>
                <w:highlight w:val="none"/>
              </w:rPr>
              <w:t>杭州华旗招标代理有限公司</w:t>
            </w:r>
          </w:p>
        </w:tc>
      </w:tr>
      <w:tr w14:paraId="74D1B2B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330" w:hRule="atLeast"/>
          <w:jc w:val="center"/>
        </w:trPr>
        <w:tc>
          <w:tcPr>
            <w:tcW w:w="952" w:type="dxa"/>
            <w:vAlign w:val="center"/>
          </w:tcPr>
          <w:p w14:paraId="6D6CD766">
            <w:pPr>
              <w:widowControl/>
              <w:numPr>
                <w:ilvl w:val="0"/>
                <w:numId w:val="1"/>
              </w:numPr>
              <w:tabs>
                <w:tab w:val="left" w:pos="420"/>
                <w:tab w:val="left" w:pos="1069"/>
                <w:tab w:val="left" w:pos="2352"/>
                <w:tab w:val="clear" w:pos="720"/>
              </w:tabs>
              <w:ind w:left="420" w:right="105" w:hanging="420"/>
              <w:jc w:val="right"/>
              <w:rPr>
                <w:rFonts w:ascii="宋体" w:hAnsi="宋体" w:cs="宋体"/>
                <w:color w:val="auto"/>
                <w:sz w:val="22"/>
                <w:highlight w:val="none"/>
              </w:rPr>
            </w:pPr>
          </w:p>
        </w:tc>
        <w:tc>
          <w:tcPr>
            <w:tcW w:w="1600" w:type="dxa"/>
            <w:vAlign w:val="center"/>
          </w:tcPr>
          <w:p w14:paraId="5471D223">
            <w:pPr>
              <w:tabs>
                <w:tab w:val="left" w:pos="1069"/>
                <w:tab w:val="left" w:pos="2352"/>
              </w:tabs>
              <w:jc w:val="center"/>
              <w:rPr>
                <w:rFonts w:ascii="宋体" w:hAnsi="宋体" w:cs="宋体"/>
                <w:color w:val="auto"/>
                <w:sz w:val="22"/>
                <w:highlight w:val="none"/>
              </w:rPr>
            </w:pPr>
            <w:r>
              <w:rPr>
                <w:rFonts w:hint="eastAsia" w:ascii="宋体" w:hAnsi="宋体" w:cs="宋体"/>
                <w:color w:val="auto"/>
                <w:sz w:val="22"/>
                <w:highlight w:val="none"/>
              </w:rPr>
              <w:t>评标办法</w:t>
            </w:r>
          </w:p>
        </w:tc>
        <w:tc>
          <w:tcPr>
            <w:tcW w:w="7619" w:type="dxa"/>
            <w:vAlign w:val="center"/>
          </w:tcPr>
          <w:p w14:paraId="7E62BC13">
            <w:pPr>
              <w:tabs>
                <w:tab w:val="left" w:pos="1069"/>
                <w:tab w:val="left" w:pos="2352"/>
              </w:tabs>
              <w:adjustRightInd w:val="0"/>
              <w:rPr>
                <w:rFonts w:ascii="宋体" w:hAnsi="宋体" w:cs="宋体"/>
                <w:color w:val="auto"/>
                <w:sz w:val="22"/>
                <w:highlight w:val="none"/>
              </w:rPr>
            </w:pPr>
            <w:r>
              <w:rPr>
                <w:rFonts w:hint="eastAsia" w:ascii="宋体" w:hAnsi="宋体" w:cs="宋体"/>
                <w:color w:val="auto"/>
                <w:sz w:val="22"/>
                <w:highlight w:val="none"/>
              </w:rPr>
              <w:t>综合评分法</w:t>
            </w:r>
          </w:p>
        </w:tc>
      </w:tr>
      <w:tr w14:paraId="2D1EEEC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330" w:hRule="atLeast"/>
          <w:jc w:val="center"/>
        </w:trPr>
        <w:tc>
          <w:tcPr>
            <w:tcW w:w="952" w:type="dxa"/>
            <w:vAlign w:val="center"/>
          </w:tcPr>
          <w:p w14:paraId="78B161C8">
            <w:pPr>
              <w:widowControl/>
              <w:numPr>
                <w:ilvl w:val="0"/>
                <w:numId w:val="1"/>
              </w:numPr>
              <w:tabs>
                <w:tab w:val="left" w:pos="420"/>
                <w:tab w:val="left" w:pos="1069"/>
                <w:tab w:val="left" w:pos="2352"/>
                <w:tab w:val="clear" w:pos="720"/>
              </w:tabs>
              <w:ind w:left="420" w:hanging="420"/>
              <w:jc w:val="right"/>
              <w:rPr>
                <w:rFonts w:ascii="宋体" w:hAnsi="宋体" w:cs="宋体"/>
                <w:color w:val="auto"/>
                <w:sz w:val="22"/>
                <w:highlight w:val="none"/>
              </w:rPr>
            </w:pPr>
          </w:p>
        </w:tc>
        <w:tc>
          <w:tcPr>
            <w:tcW w:w="1600" w:type="dxa"/>
            <w:vAlign w:val="center"/>
          </w:tcPr>
          <w:p w14:paraId="6E5263B1">
            <w:pPr>
              <w:tabs>
                <w:tab w:val="left" w:pos="1069"/>
                <w:tab w:val="left" w:pos="2352"/>
              </w:tabs>
              <w:jc w:val="center"/>
              <w:rPr>
                <w:rFonts w:ascii="宋体" w:hAnsi="宋体" w:cs="宋体"/>
                <w:color w:val="auto"/>
                <w:sz w:val="22"/>
                <w:highlight w:val="none"/>
              </w:rPr>
            </w:pPr>
            <w:r>
              <w:rPr>
                <w:rFonts w:hint="eastAsia" w:ascii="宋体" w:hAnsi="宋体" w:cs="宋体"/>
                <w:color w:val="auto"/>
                <w:sz w:val="22"/>
                <w:highlight w:val="none"/>
              </w:rPr>
              <w:t>招标内容</w:t>
            </w:r>
          </w:p>
        </w:tc>
        <w:tc>
          <w:tcPr>
            <w:tcW w:w="7619" w:type="dxa"/>
            <w:vAlign w:val="center"/>
          </w:tcPr>
          <w:p w14:paraId="24857580">
            <w:pPr>
              <w:tabs>
                <w:tab w:val="left" w:pos="1069"/>
                <w:tab w:val="left" w:pos="2352"/>
              </w:tabs>
              <w:adjustRightInd w:val="0"/>
              <w:rPr>
                <w:rFonts w:ascii="宋体" w:hAnsi="宋体" w:cs="宋体"/>
                <w:color w:val="auto"/>
                <w:sz w:val="22"/>
                <w:highlight w:val="none"/>
              </w:rPr>
            </w:pPr>
            <w:r>
              <w:rPr>
                <w:rFonts w:hint="eastAsia" w:ascii="宋体" w:hAnsi="宋体" w:cs="宋体"/>
                <w:color w:val="auto"/>
                <w:sz w:val="22"/>
                <w:highlight w:val="none"/>
              </w:rPr>
              <w:t>具体内容见竞争性磋商文件。</w:t>
            </w:r>
          </w:p>
        </w:tc>
      </w:tr>
      <w:tr w14:paraId="0D583A5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521" w:hRule="atLeast"/>
          <w:jc w:val="center"/>
        </w:trPr>
        <w:tc>
          <w:tcPr>
            <w:tcW w:w="952" w:type="dxa"/>
            <w:vAlign w:val="center"/>
          </w:tcPr>
          <w:p w14:paraId="25472993">
            <w:pPr>
              <w:widowControl/>
              <w:numPr>
                <w:ilvl w:val="0"/>
                <w:numId w:val="1"/>
              </w:numPr>
              <w:tabs>
                <w:tab w:val="left" w:pos="420"/>
                <w:tab w:val="left" w:pos="1069"/>
                <w:tab w:val="left" w:pos="2352"/>
                <w:tab w:val="clear" w:pos="720"/>
              </w:tabs>
              <w:ind w:left="420" w:hanging="420"/>
              <w:jc w:val="right"/>
              <w:rPr>
                <w:rFonts w:ascii="宋体" w:hAnsi="宋体" w:cs="宋体"/>
                <w:color w:val="auto"/>
                <w:sz w:val="22"/>
                <w:highlight w:val="none"/>
              </w:rPr>
            </w:pPr>
          </w:p>
        </w:tc>
        <w:tc>
          <w:tcPr>
            <w:tcW w:w="1600" w:type="dxa"/>
            <w:vAlign w:val="center"/>
          </w:tcPr>
          <w:p w14:paraId="0F6348D6">
            <w:pPr>
              <w:tabs>
                <w:tab w:val="left" w:pos="1069"/>
                <w:tab w:val="left" w:pos="2352"/>
              </w:tabs>
              <w:jc w:val="center"/>
              <w:rPr>
                <w:rFonts w:ascii="宋体" w:hAnsi="宋体" w:cs="宋体"/>
                <w:color w:val="auto"/>
                <w:sz w:val="22"/>
                <w:highlight w:val="none"/>
              </w:rPr>
            </w:pPr>
            <w:r>
              <w:rPr>
                <w:rFonts w:hint="eastAsia" w:ascii="宋体" w:hAnsi="宋体" w:cs="宋体"/>
                <w:color w:val="auto"/>
                <w:sz w:val="22"/>
                <w:highlight w:val="none"/>
              </w:rPr>
              <w:t>投标供应商</w:t>
            </w:r>
          </w:p>
          <w:p w14:paraId="3AC18934">
            <w:pPr>
              <w:tabs>
                <w:tab w:val="left" w:pos="1069"/>
                <w:tab w:val="left" w:pos="2352"/>
              </w:tabs>
              <w:jc w:val="center"/>
              <w:rPr>
                <w:rFonts w:ascii="宋体" w:hAnsi="宋体" w:cs="宋体"/>
                <w:color w:val="auto"/>
                <w:sz w:val="22"/>
                <w:highlight w:val="none"/>
              </w:rPr>
            </w:pPr>
            <w:r>
              <w:rPr>
                <w:rFonts w:hint="eastAsia" w:ascii="宋体" w:hAnsi="宋体" w:cs="宋体"/>
                <w:color w:val="auto"/>
                <w:sz w:val="22"/>
                <w:highlight w:val="none"/>
              </w:rPr>
              <w:t>资格要求</w:t>
            </w:r>
          </w:p>
        </w:tc>
        <w:tc>
          <w:tcPr>
            <w:tcW w:w="7619" w:type="dxa"/>
            <w:vAlign w:val="center"/>
          </w:tcPr>
          <w:p w14:paraId="18AA18E0">
            <w:pPr>
              <w:tabs>
                <w:tab w:val="left" w:pos="1069"/>
                <w:tab w:val="left" w:pos="2352"/>
              </w:tabs>
              <w:rPr>
                <w:rFonts w:ascii="宋体" w:hAnsi="宋体" w:cs="宋体"/>
                <w:color w:val="auto"/>
                <w:sz w:val="22"/>
                <w:highlight w:val="none"/>
              </w:rPr>
            </w:pPr>
            <w:r>
              <w:rPr>
                <w:rFonts w:hint="eastAsia" w:ascii="宋体" w:hAnsi="宋体" w:cs="宋体"/>
                <w:color w:val="auto"/>
                <w:sz w:val="22"/>
                <w:highlight w:val="none"/>
              </w:rPr>
              <w:t>详见采购公告</w:t>
            </w:r>
          </w:p>
        </w:tc>
      </w:tr>
      <w:tr w14:paraId="49FD236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521" w:hRule="atLeast"/>
          <w:jc w:val="center"/>
        </w:trPr>
        <w:tc>
          <w:tcPr>
            <w:tcW w:w="952" w:type="dxa"/>
            <w:vAlign w:val="center"/>
          </w:tcPr>
          <w:p w14:paraId="121E0A1A">
            <w:pPr>
              <w:widowControl/>
              <w:numPr>
                <w:ilvl w:val="0"/>
                <w:numId w:val="1"/>
              </w:numPr>
              <w:tabs>
                <w:tab w:val="left" w:pos="420"/>
                <w:tab w:val="left" w:pos="1069"/>
                <w:tab w:val="left" w:pos="2352"/>
                <w:tab w:val="clear" w:pos="720"/>
              </w:tabs>
              <w:ind w:left="420" w:hanging="420"/>
              <w:jc w:val="right"/>
              <w:rPr>
                <w:rFonts w:ascii="宋体" w:hAnsi="宋体" w:cs="宋体"/>
                <w:color w:val="auto"/>
                <w:sz w:val="22"/>
                <w:highlight w:val="none"/>
              </w:rPr>
            </w:pPr>
          </w:p>
        </w:tc>
        <w:tc>
          <w:tcPr>
            <w:tcW w:w="1600" w:type="dxa"/>
            <w:vAlign w:val="center"/>
          </w:tcPr>
          <w:p w14:paraId="3F4A39E6">
            <w:pPr>
              <w:adjustRightInd w:val="0"/>
              <w:jc w:val="center"/>
              <w:rPr>
                <w:rFonts w:ascii="宋体" w:hAnsi="宋体" w:cs="宋体"/>
                <w:color w:val="auto"/>
                <w:sz w:val="22"/>
                <w:highlight w:val="none"/>
              </w:rPr>
            </w:pPr>
            <w:r>
              <w:rPr>
                <w:rFonts w:hint="eastAsia" w:ascii="宋体"/>
                <w:color w:val="auto"/>
                <w:sz w:val="22"/>
                <w:highlight w:val="none"/>
              </w:rPr>
              <w:t>是否接受联合体投标</w:t>
            </w:r>
          </w:p>
        </w:tc>
        <w:tc>
          <w:tcPr>
            <w:tcW w:w="7619" w:type="dxa"/>
            <w:vAlign w:val="center"/>
          </w:tcPr>
          <w:p w14:paraId="6F4FF4D5">
            <w:pPr>
              <w:adjustRightInd w:val="0"/>
              <w:rPr>
                <w:rFonts w:ascii="宋体"/>
                <w:color w:val="auto"/>
                <w:sz w:val="22"/>
                <w:highlight w:val="none"/>
              </w:rPr>
            </w:pPr>
            <w:r>
              <w:rPr>
                <w:rFonts w:ascii="宋体"/>
                <w:b/>
                <w:bCs/>
                <w:color w:val="auto"/>
                <w:sz w:val="22"/>
                <w:highlight w:val="none"/>
              </w:rPr>
              <w:fldChar w:fldCharType="begin"/>
            </w:r>
            <w:r>
              <w:rPr>
                <w:rFonts w:ascii="宋体"/>
                <w:b/>
                <w:bCs/>
                <w:color w:val="auto"/>
                <w:sz w:val="22"/>
                <w:highlight w:val="none"/>
              </w:rPr>
              <w:instrText xml:space="preserve"> eq \o\ac(</w:instrText>
            </w:r>
            <w:r>
              <w:rPr>
                <w:rFonts w:hint="eastAsia" w:ascii="宋体"/>
                <w:b/>
                <w:bCs/>
                <w:color w:val="auto"/>
                <w:sz w:val="22"/>
                <w:highlight w:val="none"/>
              </w:rPr>
              <w:instrText xml:space="preserve">□</w:instrText>
            </w:r>
            <w:r>
              <w:rPr>
                <w:rFonts w:hint="eastAsia" w:ascii="宋体"/>
                <w:b/>
                <w:bCs/>
                <w:color w:val="auto"/>
                <w:sz w:val="22"/>
                <w:highlight w:val="none"/>
                <w:lang w:eastAsia="zh-CN"/>
              </w:rPr>
              <w:instrText xml:space="preserve">,</w:instrText>
            </w:r>
            <w:r>
              <w:rPr>
                <w:rFonts w:hint="eastAsia" w:ascii="宋体"/>
                <w:b/>
                <w:bCs/>
                <w:color w:val="auto"/>
                <w:position w:val="2"/>
                <w:sz w:val="15"/>
                <w:highlight w:val="none"/>
                <w:lang w:eastAsia="zh-CN"/>
              </w:rPr>
              <w:instrText xml:space="preserve">√</w:instrText>
            </w:r>
            <w:r>
              <w:rPr>
                <w:rFonts w:ascii="宋体"/>
                <w:b/>
                <w:bCs/>
                <w:color w:val="auto"/>
                <w:sz w:val="22"/>
                <w:highlight w:val="none"/>
              </w:rPr>
              <w:instrText xml:space="preserve">)</w:instrText>
            </w:r>
            <w:r>
              <w:rPr>
                <w:rFonts w:ascii="宋体"/>
                <w:b/>
                <w:bCs/>
                <w:color w:val="auto"/>
                <w:sz w:val="22"/>
                <w:highlight w:val="none"/>
              </w:rPr>
              <w:fldChar w:fldCharType="end"/>
            </w:r>
            <w:r>
              <w:rPr>
                <w:rFonts w:hint="eastAsia" w:ascii="宋体"/>
                <w:color w:val="auto"/>
                <w:sz w:val="22"/>
                <w:highlight w:val="none"/>
              </w:rPr>
              <w:t>是</w:t>
            </w:r>
          </w:p>
          <w:p w14:paraId="06C8AADB">
            <w:pPr>
              <w:adjustRightInd w:val="0"/>
              <w:rPr>
                <w:rFonts w:ascii="宋体" w:hAnsi="宋体" w:cs="宋体"/>
                <w:color w:val="auto"/>
                <w:sz w:val="22"/>
                <w:highlight w:val="none"/>
              </w:rPr>
            </w:pPr>
            <w:r>
              <w:rPr>
                <w:rFonts w:hint="eastAsia" w:ascii="MS Gothic" w:hAnsi="MS Gothic" w:cs="MS Gothic"/>
                <w:color w:val="auto"/>
                <w:sz w:val="22"/>
                <w:highlight w:val="none"/>
              </w:rPr>
              <w:sym w:font="Wingdings 2" w:char="00A3"/>
            </w:r>
            <w:r>
              <w:rPr>
                <w:rFonts w:hint="eastAsia" w:ascii="MS Gothic" w:hAnsi="MS Gothic" w:cs="MS Gothic"/>
                <w:color w:val="auto"/>
                <w:sz w:val="22"/>
                <w:highlight w:val="none"/>
              </w:rPr>
              <w:t>否</w:t>
            </w:r>
          </w:p>
        </w:tc>
      </w:tr>
      <w:tr w14:paraId="7B2B45A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90" w:hRule="atLeast"/>
          <w:jc w:val="center"/>
        </w:trPr>
        <w:tc>
          <w:tcPr>
            <w:tcW w:w="952" w:type="dxa"/>
            <w:vAlign w:val="center"/>
          </w:tcPr>
          <w:p w14:paraId="1C1E653A">
            <w:pPr>
              <w:widowControl/>
              <w:numPr>
                <w:ilvl w:val="0"/>
                <w:numId w:val="1"/>
              </w:numPr>
              <w:tabs>
                <w:tab w:val="left" w:pos="420"/>
                <w:tab w:val="left" w:pos="1069"/>
                <w:tab w:val="left" w:pos="2352"/>
                <w:tab w:val="clear" w:pos="720"/>
              </w:tabs>
              <w:ind w:left="420" w:hanging="420"/>
              <w:jc w:val="right"/>
              <w:rPr>
                <w:rFonts w:ascii="宋体" w:hAnsi="宋体" w:cs="宋体"/>
                <w:color w:val="auto"/>
                <w:sz w:val="22"/>
                <w:highlight w:val="none"/>
              </w:rPr>
            </w:pPr>
          </w:p>
        </w:tc>
        <w:tc>
          <w:tcPr>
            <w:tcW w:w="1600" w:type="dxa"/>
            <w:vAlign w:val="center"/>
          </w:tcPr>
          <w:p w14:paraId="64A45483">
            <w:pPr>
              <w:tabs>
                <w:tab w:val="left" w:pos="1069"/>
                <w:tab w:val="left" w:pos="2352"/>
              </w:tabs>
              <w:adjustRightInd w:val="0"/>
              <w:jc w:val="center"/>
              <w:rPr>
                <w:rFonts w:ascii="宋体" w:hAnsi="宋体" w:cs="宋体"/>
                <w:color w:val="auto"/>
                <w:sz w:val="22"/>
                <w:highlight w:val="none"/>
              </w:rPr>
            </w:pPr>
            <w:r>
              <w:rPr>
                <w:rFonts w:hint="eastAsia" w:ascii="宋体" w:hAnsi="宋体" w:cs="宋体"/>
                <w:color w:val="auto"/>
                <w:sz w:val="22"/>
                <w:highlight w:val="none"/>
              </w:rPr>
              <w:t>踏勘现场</w:t>
            </w:r>
          </w:p>
        </w:tc>
        <w:tc>
          <w:tcPr>
            <w:tcW w:w="7619" w:type="dxa"/>
            <w:vAlign w:val="center"/>
          </w:tcPr>
          <w:p w14:paraId="4966F48F">
            <w:pPr>
              <w:tabs>
                <w:tab w:val="left" w:pos="1069"/>
                <w:tab w:val="left" w:pos="2352"/>
              </w:tabs>
              <w:rPr>
                <w:rFonts w:ascii="宋体" w:hAnsi="宋体" w:cs="宋体"/>
                <w:color w:val="auto"/>
                <w:sz w:val="22"/>
                <w:highlight w:val="none"/>
              </w:rPr>
            </w:pPr>
            <w:r>
              <w:rPr>
                <w:rFonts w:ascii="宋体"/>
                <w:b/>
                <w:bCs/>
                <w:color w:val="auto"/>
                <w:sz w:val="22"/>
                <w:highlight w:val="none"/>
              </w:rPr>
              <w:fldChar w:fldCharType="begin"/>
            </w:r>
            <w:r>
              <w:rPr>
                <w:rFonts w:ascii="宋体"/>
                <w:b/>
                <w:bCs/>
                <w:color w:val="auto"/>
                <w:sz w:val="22"/>
                <w:highlight w:val="none"/>
              </w:rPr>
              <w:instrText xml:space="preserve"> eq \o\ac(</w:instrText>
            </w:r>
            <w:r>
              <w:rPr>
                <w:rFonts w:hint="eastAsia" w:ascii="宋体"/>
                <w:b/>
                <w:bCs/>
                <w:color w:val="auto"/>
                <w:sz w:val="22"/>
                <w:highlight w:val="none"/>
              </w:rPr>
              <w:instrText xml:space="preserve">□</w:instrText>
            </w:r>
            <w:r>
              <w:rPr>
                <w:rFonts w:hint="eastAsia" w:ascii="宋体"/>
                <w:b/>
                <w:bCs/>
                <w:color w:val="auto"/>
                <w:sz w:val="22"/>
                <w:highlight w:val="none"/>
                <w:lang w:eastAsia="zh-CN"/>
              </w:rPr>
              <w:instrText xml:space="preserve">,</w:instrText>
            </w:r>
            <w:r>
              <w:rPr>
                <w:rFonts w:hint="eastAsia" w:ascii="宋体"/>
                <w:b/>
                <w:bCs/>
                <w:color w:val="auto"/>
                <w:position w:val="2"/>
                <w:sz w:val="15"/>
                <w:highlight w:val="none"/>
                <w:lang w:eastAsia="zh-CN"/>
              </w:rPr>
              <w:instrText xml:space="preserve">√</w:instrText>
            </w:r>
            <w:r>
              <w:rPr>
                <w:rFonts w:ascii="宋体"/>
                <w:b/>
                <w:bCs/>
                <w:color w:val="auto"/>
                <w:sz w:val="22"/>
                <w:highlight w:val="none"/>
              </w:rPr>
              <w:instrText xml:space="preserve">)</w:instrText>
            </w:r>
            <w:r>
              <w:rPr>
                <w:rFonts w:ascii="宋体"/>
                <w:b/>
                <w:bCs/>
                <w:color w:val="auto"/>
                <w:sz w:val="22"/>
                <w:highlight w:val="none"/>
              </w:rPr>
              <w:fldChar w:fldCharType="end"/>
            </w:r>
            <w:r>
              <w:rPr>
                <w:rFonts w:hint="eastAsia" w:ascii="宋体" w:hAnsi="宋体" w:cs="宋体"/>
                <w:color w:val="auto"/>
                <w:sz w:val="22"/>
                <w:highlight w:val="none"/>
              </w:rPr>
              <w:t>不组织</w:t>
            </w:r>
          </w:p>
          <w:p w14:paraId="6063FC25">
            <w:pPr>
              <w:tabs>
                <w:tab w:val="left" w:pos="1069"/>
                <w:tab w:val="left" w:pos="2352"/>
              </w:tabs>
              <w:rPr>
                <w:rFonts w:ascii="宋体" w:hAnsi="宋体" w:cs="宋体"/>
                <w:color w:val="auto"/>
                <w:sz w:val="22"/>
                <w:highlight w:val="none"/>
              </w:rPr>
            </w:pPr>
            <w:r>
              <w:rPr>
                <w:rFonts w:hint="eastAsia" w:ascii="宋体" w:hAnsi="宋体" w:cs="宋体"/>
                <w:color w:val="auto"/>
                <w:sz w:val="22"/>
                <w:highlight w:val="none"/>
              </w:rPr>
              <w:fldChar w:fldCharType="begin"/>
            </w:r>
            <w:r>
              <w:rPr>
                <w:rFonts w:hint="eastAsia" w:ascii="宋体" w:hAnsi="宋体" w:cs="宋体"/>
                <w:color w:val="auto"/>
                <w:sz w:val="22"/>
                <w:highlight w:val="none"/>
              </w:rPr>
              <w:instrText xml:space="preserve"> eq \o\ac(□)</w:instrText>
            </w:r>
            <w:r>
              <w:rPr>
                <w:rFonts w:hint="eastAsia" w:ascii="宋体" w:hAnsi="宋体" w:cs="宋体"/>
                <w:color w:val="auto"/>
                <w:sz w:val="22"/>
                <w:highlight w:val="none"/>
              </w:rPr>
              <w:fldChar w:fldCharType="end"/>
            </w:r>
            <w:r>
              <w:rPr>
                <w:rFonts w:hint="eastAsia" w:ascii="宋体" w:hAnsi="宋体" w:cs="宋体"/>
                <w:color w:val="auto"/>
                <w:sz w:val="22"/>
                <w:highlight w:val="none"/>
              </w:rPr>
              <w:t>组织</w:t>
            </w:r>
          </w:p>
        </w:tc>
      </w:tr>
      <w:tr w14:paraId="75F5739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521" w:hRule="atLeast"/>
          <w:jc w:val="center"/>
        </w:trPr>
        <w:tc>
          <w:tcPr>
            <w:tcW w:w="952" w:type="dxa"/>
            <w:vAlign w:val="center"/>
          </w:tcPr>
          <w:p w14:paraId="5C16B9BA">
            <w:pPr>
              <w:widowControl/>
              <w:numPr>
                <w:ilvl w:val="0"/>
                <w:numId w:val="1"/>
              </w:numPr>
              <w:tabs>
                <w:tab w:val="left" w:pos="420"/>
                <w:tab w:val="left" w:pos="1069"/>
                <w:tab w:val="left" w:pos="2352"/>
                <w:tab w:val="clear" w:pos="720"/>
              </w:tabs>
              <w:ind w:left="420" w:hanging="420"/>
              <w:jc w:val="right"/>
              <w:rPr>
                <w:rFonts w:ascii="宋体" w:hAnsi="宋体" w:cs="宋体"/>
                <w:color w:val="auto"/>
                <w:sz w:val="22"/>
                <w:highlight w:val="none"/>
              </w:rPr>
            </w:pPr>
          </w:p>
        </w:tc>
        <w:tc>
          <w:tcPr>
            <w:tcW w:w="1600" w:type="dxa"/>
            <w:vAlign w:val="center"/>
          </w:tcPr>
          <w:p w14:paraId="55FD5CEA">
            <w:pPr>
              <w:tabs>
                <w:tab w:val="left" w:pos="1069"/>
                <w:tab w:val="left" w:pos="2352"/>
              </w:tabs>
              <w:adjustRightInd w:val="0"/>
              <w:jc w:val="center"/>
              <w:rPr>
                <w:rFonts w:ascii="宋体" w:hAnsi="宋体" w:cs="宋体"/>
                <w:color w:val="auto"/>
                <w:sz w:val="22"/>
                <w:highlight w:val="none"/>
              </w:rPr>
            </w:pPr>
            <w:r>
              <w:rPr>
                <w:rFonts w:hint="eastAsia" w:ascii="宋体" w:hAnsi="宋体" w:cs="宋体"/>
                <w:color w:val="auto"/>
                <w:sz w:val="22"/>
                <w:highlight w:val="none"/>
              </w:rPr>
              <w:t>是否允许递交备选投标方案</w:t>
            </w:r>
          </w:p>
        </w:tc>
        <w:tc>
          <w:tcPr>
            <w:tcW w:w="7619" w:type="dxa"/>
            <w:vAlign w:val="center"/>
          </w:tcPr>
          <w:p w14:paraId="1A6A2ECC">
            <w:pPr>
              <w:tabs>
                <w:tab w:val="left" w:pos="1069"/>
                <w:tab w:val="left" w:pos="2352"/>
              </w:tabs>
              <w:rPr>
                <w:rFonts w:ascii="宋体" w:hAnsi="宋体" w:cs="宋体"/>
                <w:color w:val="auto"/>
                <w:sz w:val="22"/>
                <w:highlight w:val="none"/>
              </w:rPr>
            </w:pPr>
            <w:r>
              <w:rPr>
                <w:rFonts w:ascii="宋体"/>
                <w:b/>
                <w:bCs/>
                <w:color w:val="auto"/>
                <w:sz w:val="22"/>
                <w:highlight w:val="none"/>
              </w:rPr>
              <w:fldChar w:fldCharType="begin"/>
            </w:r>
            <w:r>
              <w:rPr>
                <w:rFonts w:ascii="宋体"/>
                <w:b/>
                <w:bCs/>
                <w:color w:val="auto"/>
                <w:sz w:val="22"/>
                <w:highlight w:val="none"/>
              </w:rPr>
              <w:instrText xml:space="preserve"> eq \o\ac(</w:instrText>
            </w:r>
            <w:r>
              <w:rPr>
                <w:rFonts w:hint="eastAsia" w:ascii="宋体"/>
                <w:b/>
                <w:bCs/>
                <w:color w:val="auto"/>
                <w:sz w:val="22"/>
                <w:highlight w:val="none"/>
              </w:rPr>
              <w:instrText xml:space="preserve">□</w:instrText>
            </w:r>
            <w:r>
              <w:rPr>
                <w:rFonts w:hint="eastAsia" w:ascii="宋体"/>
                <w:b/>
                <w:bCs/>
                <w:color w:val="auto"/>
                <w:sz w:val="22"/>
                <w:highlight w:val="none"/>
                <w:lang w:eastAsia="zh-CN"/>
              </w:rPr>
              <w:instrText xml:space="preserve">,</w:instrText>
            </w:r>
            <w:r>
              <w:rPr>
                <w:rFonts w:hint="eastAsia" w:ascii="宋体"/>
                <w:b/>
                <w:bCs/>
                <w:color w:val="auto"/>
                <w:position w:val="2"/>
                <w:sz w:val="15"/>
                <w:highlight w:val="none"/>
                <w:lang w:eastAsia="zh-CN"/>
              </w:rPr>
              <w:instrText xml:space="preserve">√</w:instrText>
            </w:r>
            <w:r>
              <w:rPr>
                <w:rFonts w:ascii="宋体"/>
                <w:b/>
                <w:bCs/>
                <w:color w:val="auto"/>
                <w:sz w:val="22"/>
                <w:highlight w:val="none"/>
              </w:rPr>
              <w:instrText xml:space="preserve">)</w:instrText>
            </w:r>
            <w:r>
              <w:rPr>
                <w:rFonts w:ascii="宋体"/>
                <w:b/>
                <w:bCs/>
                <w:color w:val="auto"/>
                <w:sz w:val="22"/>
                <w:highlight w:val="none"/>
              </w:rPr>
              <w:fldChar w:fldCharType="end"/>
            </w:r>
            <w:r>
              <w:rPr>
                <w:rFonts w:hint="eastAsia" w:ascii="宋体" w:hAnsi="宋体" w:cs="宋体"/>
                <w:color w:val="auto"/>
                <w:sz w:val="22"/>
                <w:highlight w:val="none"/>
              </w:rPr>
              <w:t>不允许</w:t>
            </w:r>
          </w:p>
          <w:p w14:paraId="75592C5C">
            <w:pPr>
              <w:tabs>
                <w:tab w:val="left" w:pos="1069"/>
                <w:tab w:val="left" w:pos="2352"/>
              </w:tabs>
              <w:rPr>
                <w:rFonts w:ascii="宋体" w:hAnsi="宋体" w:cs="宋体"/>
                <w:color w:val="auto"/>
                <w:sz w:val="22"/>
                <w:highlight w:val="none"/>
              </w:rPr>
            </w:pPr>
            <w:r>
              <w:rPr>
                <w:rFonts w:hint="eastAsia" w:ascii="宋体" w:hAnsi="宋体" w:cs="宋体"/>
                <w:color w:val="auto"/>
                <w:sz w:val="22"/>
                <w:highlight w:val="none"/>
              </w:rPr>
              <w:t>□允许</w:t>
            </w:r>
          </w:p>
        </w:tc>
      </w:tr>
      <w:tr w14:paraId="58523B1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191" w:hRule="atLeast"/>
          <w:jc w:val="center"/>
        </w:trPr>
        <w:tc>
          <w:tcPr>
            <w:tcW w:w="952" w:type="dxa"/>
            <w:vAlign w:val="center"/>
          </w:tcPr>
          <w:p w14:paraId="1750FFF7">
            <w:pPr>
              <w:widowControl/>
              <w:numPr>
                <w:ilvl w:val="0"/>
                <w:numId w:val="1"/>
              </w:numPr>
              <w:tabs>
                <w:tab w:val="left" w:pos="420"/>
                <w:tab w:val="left" w:pos="1069"/>
                <w:tab w:val="left" w:pos="2352"/>
                <w:tab w:val="clear" w:pos="720"/>
              </w:tabs>
              <w:ind w:left="420" w:hanging="420"/>
              <w:jc w:val="right"/>
              <w:rPr>
                <w:rFonts w:ascii="宋体" w:hAnsi="宋体" w:cs="宋体"/>
                <w:color w:val="auto"/>
                <w:sz w:val="22"/>
                <w:highlight w:val="none"/>
              </w:rPr>
            </w:pPr>
          </w:p>
        </w:tc>
        <w:tc>
          <w:tcPr>
            <w:tcW w:w="1600" w:type="dxa"/>
            <w:vAlign w:val="center"/>
          </w:tcPr>
          <w:p w14:paraId="6313D82D">
            <w:pPr>
              <w:tabs>
                <w:tab w:val="left" w:pos="1069"/>
                <w:tab w:val="left" w:pos="2352"/>
              </w:tabs>
              <w:adjustRightInd w:val="0"/>
              <w:jc w:val="center"/>
              <w:rPr>
                <w:rFonts w:ascii="宋体" w:hAnsi="宋体" w:cs="宋体"/>
                <w:color w:val="auto"/>
                <w:sz w:val="22"/>
                <w:highlight w:val="none"/>
              </w:rPr>
            </w:pPr>
            <w:r>
              <w:rPr>
                <w:rFonts w:hint="eastAsia" w:ascii="宋体" w:hAnsi="宋体" w:cs="宋体"/>
                <w:color w:val="auto"/>
                <w:sz w:val="22"/>
                <w:highlight w:val="none"/>
              </w:rPr>
              <w:t>投标货币</w:t>
            </w:r>
          </w:p>
        </w:tc>
        <w:tc>
          <w:tcPr>
            <w:tcW w:w="7619" w:type="dxa"/>
            <w:vAlign w:val="center"/>
          </w:tcPr>
          <w:p w14:paraId="5C8A7F5B">
            <w:pPr>
              <w:tabs>
                <w:tab w:val="left" w:pos="1069"/>
                <w:tab w:val="left" w:pos="2352"/>
              </w:tabs>
              <w:adjustRightInd w:val="0"/>
              <w:rPr>
                <w:rFonts w:ascii="宋体" w:hAnsi="宋体" w:cs="宋体"/>
                <w:color w:val="auto"/>
                <w:sz w:val="22"/>
                <w:highlight w:val="none"/>
              </w:rPr>
            </w:pPr>
            <w:r>
              <w:rPr>
                <w:rFonts w:hint="eastAsia" w:ascii="宋体" w:hAnsi="宋体" w:cs="宋体"/>
                <w:color w:val="auto"/>
                <w:sz w:val="22"/>
                <w:highlight w:val="none"/>
              </w:rPr>
              <w:t>人民币</w:t>
            </w:r>
          </w:p>
        </w:tc>
      </w:tr>
      <w:tr w14:paraId="12ABDB2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42" w:hRule="atLeast"/>
          <w:jc w:val="center"/>
        </w:trPr>
        <w:tc>
          <w:tcPr>
            <w:tcW w:w="952" w:type="dxa"/>
            <w:vAlign w:val="center"/>
          </w:tcPr>
          <w:p w14:paraId="323C38D0">
            <w:pPr>
              <w:widowControl/>
              <w:numPr>
                <w:ilvl w:val="0"/>
                <w:numId w:val="1"/>
              </w:numPr>
              <w:tabs>
                <w:tab w:val="left" w:pos="420"/>
                <w:tab w:val="left" w:pos="1069"/>
                <w:tab w:val="left" w:pos="2352"/>
                <w:tab w:val="clear" w:pos="720"/>
              </w:tabs>
              <w:ind w:left="420" w:hanging="420"/>
              <w:jc w:val="right"/>
              <w:rPr>
                <w:rFonts w:ascii="宋体" w:hAnsi="宋体" w:cs="宋体"/>
                <w:color w:val="auto"/>
                <w:sz w:val="22"/>
                <w:highlight w:val="none"/>
              </w:rPr>
            </w:pPr>
          </w:p>
        </w:tc>
        <w:tc>
          <w:tcPr>
            <w:tcW w:w="1600" w:type="dxa"/>
            <w:vAlign w:val="center"/>
          </w:tcPr>
          <w:p w14:paraId="3C691390">
            <w:pPr>
              <w:tabs>
                <w:tab w:val="left" w:pos="1069"/>
                <w:tab w:val="left" w:pos="2352"/>
              </w:tabs>
              <w:adjustRightInd w:val="0"/>
              <w:jc w:val="center"/>
              <w:rPr>
                <w:rFonts w:ascii="宋体" w:hAnsi="宋体" w:cs="宋体"/>
                <w:color w:val="auto"/>
                <w:sz w:val="22"/>
                <w:highlight w:val="none"/>
              </w:rPr>
            </w:pPr>
            <w:r>
              <w:rPr>
                <w:rFonts w:hint="eastAsia" w:ascii="宋体" w:hAnsi="宋体" w:cs="宋体"/>
                <w:color w:val="auto"/>
                <w:sz w:val="22"/>
                <w:highlight w:val="none"/>
              </w:rPr>
              <w:t>投标语言</w:t>
            </w:r>
          </w:p>
        </w:tc>
        <w:tc>
          <w:tcPr>
            <w:tcW w:w="7619" w:type="dxa"/>
            <w:vAlign w:val="center"/>
          </w:tcPr>
          <w:p w14:paraId="0B928C81">
            <w:pPr>
              <w:tabs>
                <w:tab w:val="left" w:pos="1069"/>
                <w:tab w:val="left" w:pos="2352"/>
              </w:tabs>
              <w:adjustRightInd w:val="0"/>
              <w:rPr>
                <w:rFonts w:ascii="宋体" w:hAnsi="宋体" w:cs="宋体"/>
                <w:color w:val="auto"/>
                <w:sz w:val="22"/>
                <w:highlight w:val="none"/>
              </w:rPr>
            </w:pPr>
            <w:r>
              <w:rPr>
                <w:rFonts w:hint="eastAsia" w:ascii="宋体" w:hAnsi="宋体" w:cs="宋体"/>
                <w:color w:val="auto"/>
                <w:sz w:val="22"/>
                <w:highlight w:val="none"/>
              </w:rPr>
              <w:t>中文</w:t>
            </w:r>
          </w:p>
        </w:tc>
      </w:tr>
      <w:tr w14:paraId="1EDDA32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3632" w:hRule="atLeast"/>
          <w:jc w:val="center"/>
        </w:trPr>
        <w:tc>
          <w:tcPr>
            <w:tcW w:w="952" w:type="dxa"/>
            <w:vAlign w:val="center"/>
          </w:tcPr>
          <w:p w14:paraId="520DC301">
            <w:pPr>
              <w:widowControl/>
              <w:numPr>
                <w:ilvl w:val="0"/>
                <w:numId w:val="1"/>
              </w:numPr>
              <w:tabs>
                <w:tab w:val="left" w:pos="420"/>
                <w:tab w:val="left" w:pos="1069"/>
                <w:tab w:val="left" w:pos="2352"/>
                <w:tab w:val="clear" w:pos="720"/>
              </w:tabs>
              <w:ind w:left="420" w:hanging="420"/>
              <w:jc w:val="right"/>
              <w:rPr>
                <w:rFonts w:ascii="宋体" w:hAnsi="宋体" w:cs="宋体"/>
                <w:color w:val="auto"/>
                <w:sz w:val="22"/>
                <w:highlight w:val="none"/>
              </w:rPr>
            </w:pPr>
          </w:p>
        </w:tc>
        <w:tc>
          <w:tcPr>
            <w:tcW w:w="1600" w:type="dxa"/>
            <w:vAlign w:val="center"/>
          </w:tcPr>
          <w:p w14:paraId="08991D93">
            <w:pPr>
              <w:tabs>
                <w:tab w:val="left" w:pos="1069"/>
                <w:tab w:val="left" w:pos="2352"/>
              </w:tabs>
              <w:jc w:val="center"/>
              <w:rPr>
                <w:rFonts w:ascii="宋体" w:hAnsi="宋体" w:cs="宋体"/>
                <w:color w:val="auto"/>
                <w:sz w:val="22"/>
                <w:highlight w:val="none"/>
              </w:rPr>
            </w:pPr>
            <w:r>
              <w:rPr>
                <w:rFonts w:hint="eastAsia" w:ascii="宋体" w:hAnsi="宋体" w:cs="宋体"/>
                <w:color w:val="auto"/>
                <w:sz w:val="22"/>
                <w:highlight w:val="none"/>
                <w:lang w:val="zh-CN"/>
              </w:rPr>
              <w:t>投标文件</w:t>
            </w:r>
            <w:r>
              <w:rPr>
                <w:rFonts w:hint="eastAsia" w:ascii="宋体" w:hAnsi="宋体" w:cs="宋体"/>
                <w:color w:val="auto"/>
                <w:sz w:val="22"/>
                <w:highlight w:val="none"/>
              </w:rPr>
              <w:t>说明</w:t>
            </w:r>
          </w:p>
        </w:tc>
        <w:tc>
          <w:tcPr>
            <w:tcW w:w="7619" w:type="dxa"/>
            <w:vAlign w:val="center"/>
          </w:tcPr>
          <w:p w14:paraId="59C42818">
            <w:pPr>
              <w:tabs>
                <w:tab w:val="left" w:pos="1069"/>
                <w:tab w:val="left" w:pos="2352"/>
              </w:tabs>
              <w:autoSpaceDE w:val="0"/>
              <w:autoSpaceDN w:val="0"/>
              <w:adjustRightInd w:val="0"/>
              <w:jc w:val="left"/>
              <w:rPr>
                <w:rFonts w:ascii="宋体" w:hAnsi="宋体" w:cs="宋体"/>
                <w:color w:val="auto"/>
                <w:sz w:val="22"/>
                <w:highlight w:val="none"/>
                <w:lang w:val="zh-CN"/>
              </w:rPr>
            </w:pPr>
            <w:r>
              <w:rPr>
                <w:rFonts w:hint="eastAsia" w:ascii="宋体" w:hAnsi="宋体" w:cs="宋体"/>
                <w:color w:val="auto"/>
                <w:sz w:val="22"/>
                <w:highlight w:val="none"/>
                <w:lang w:val="zh-CN"/>
              </w:rPr>
              <w:t>1.</w:t>
            </w:r>
            <w:r>
              <w:rPr>
                <w:rFonts w:hint="eastAsia" w:ascii="宋体" w:hAnsi="宋体" w:cs="宋体"/>
                <w:b/>
                <w:bCs/>
                <w:color w:val="auto"/>
                <w:sz w:val="22"/>
                <w:highlight w:val="none"/>
                <w:lang w:val="zh-CN"/>
              </w:rPr>
              <w:t>投标文件组成：</w:t>
            </w:r>
            <w:r>
              <w:rPr>
                <w:rFonts w:hint="eastAsia" w:ascii="宋体" w:hAnsi="宋体" w:cs="宋体"/>
                <w:color w:val="auto"/>
                <w:sz w:val="22"/>
                <w:highlight w:val="none"/>
                <w:lang w:val="zh-CN"/>
              </w:rPr>
              <w:t>《资格文件》及《商务技术文件》和《报价文件》。</w:t>
            </w:r>
          </w:p>
          <w:p w14:paraId="757C41BE">
            <w:pPr>
              <w:tabs>
                <w:tab w:val="left" w:pos="1069"/>
                <w:tab w:val="left" w:pos="2352"/>
              </w:tabs>
              <w:rPr>
                <w:rFonts w:ascii="宋体" w:hAnsi="宋体" w:cs="宋体"/>
                <w:color w:val="auto"/>
                <w:sz w:val="22"/>
                <w:highlight w:val="none"/>
              </w:rPr>
            </w:pPr>
            <w:r>
              <w:rPr>
                <w:rFonts w:hint="eastAsia" w:ascii="宋体" w:hAnsi="宋体" w:cs="宋体"/>
                <w:color w:val="auto"/>
                <w:sz w:val="22"/>
                <w:highlight w:val="none"/>
              </w:rPr>
              <w:t>2</w:t>
            </w:r>
            <w:r>
              <w:rPr>
                <w:rFonts w:hint="eastAsia" w:ascii="宋体" w:hAnsi="宋体" w:cs="宋体"/>
                <w:color w:val="auto"/>
                <w:sz w:val="22"/>
                <w:highlight w:val="none"/>
                <w:lang w:eastAsia="zh-CN"/>
              </w:rPr>
              <w:t>.</w:t>
            </w:r>
            <w:r>
              <w:rPr>
                <w:rFonts w:hint="eastAsia" w:ascii="宋体" w:hAnsi="宋体" w:cs="宋体"/>
                <w:b/>
                <w:bCs/>
                <w:color w:val="auto"/>
                <w:sz w:val="22"/>
                <w:highlight w:val="none"/>
              </w:rPr>
              <w:t>投标文件编制：</w:t>
            </w:r>
            <w:r>
              <w:rPr>
                <w:rFonts w:hint="eastAsia" w:ascii="宋体" w:hAnsi="宋体" w:cs="宋体"/>
                <w:color w:val="auto"/>
                <w:sz w:val="22"/>
                <w:highlight w:val="none"/>
              </w:rPr>
              <w:t>供应商应先安装“政采云电子交易客户端”，并按照本采购文件和“政府采购云平台”的要求，通过“政采云电子交易客户端”编制并加密投标文件。</w:t>
            </w:r>
          </w:p>
          <w:p w14:paraId="04F07319">
            <w:pPr>
              <w:tabs>
                <w:tab w:val="left" w:pos="1069"/>
                <w:tab w:val="left" w:pos="2352"/>
              </w:tabs>
              <w:rPr>
                <w:rFonts w:ascii="宋体" w:hAnsi="宋体" w:cs="宋体"/>
                <w:b/>
                <w:bCs/>
                <w:color w:val="auto"/>
                <w:sz w:val="22"/>
                <w:highlight w:val="none"/>
              </w:rPr>
            </w:pPr>
            <w:r>
              <w:rPr>
                <w:rFonts w:hint="eastAsia" w:ascii="宋体" w:hAnsi="宋体" w:cs="宋体"/>
                <w:color w:val="auto"/>
                <w:sz w:val="22"/>
                <w:highlight w:val="none"/>
              </w:rPr>
              <w:t>3</w:t>
            </w:r>
            <w:r>
              <w:rPr>
                <w:rFonts w:hint="eastAsia" w:ascii="宋体" w:hAnsi="宋体" w:cs="宋体"/>
                <w:color w:val="auto"/>
                <w:sz w:val="22"/>
                <w:highlight w:val="none"/>
                <w:lang w:eastAsia="zh-CN"/>
              </w:rPr>
              <w:t>.</w:t>
            </w:r>
            <w:r>
              <w:rPr>
                <w:rFonts w:hint="eastAsia" w:ascii="宋体" w:hAnsi="宋体" w:cs="宋体"/>
                <w:b/>
                <w:bCs/>
                <w:color w:val="auto"/>
                <w:sz w:val="22"/>
                <w:highlight w:val="none"/>
              </w:rPr>
              <w:t>投标文件的签章：</w:t>
            </w:r>
            <w:r>
              <w:rPr>
                <w:rFonts w:hint="eastAsia" w:ascii="宋体" w:hAnsi="宋体" w:cs="宋体"/>
                <w:color w:val="auto"/>
                <w:sz w:val="22"/>
                <w:highlight w:val="none"/>
              </w:rPr>
              <w:t>电子签章</w:t>
            </w:r>
            <w:r>
              <w:rPr>
                <w:rFonts w:hint="eastAsia" w:ascii="宋体" w:hAnsi="宋体" w:cs="宋体"/>
                <w:b/>
                <w:bCs/>
                <w:color w:val="auto"/>
                <w:sz w:val="22"/>
                <w:highlight w:val="none"/>
                <w:lang w:eastAsia="zh-CN"/>
              </w:rPr>
              <w:t>（</w:t>
            </w:r>
            <w:r>
              <w:rPr>
                <w:rFonts w:hint="eastAsia" w:ascii="宋体" w:hAnsi="宋体" w:cs="宋体"/>
                <w:b/>
                <w:bCs/>
                <w:color w:val="auto"/>
                <w:sz w:val="22"/>
                <w:highlight w:val="none"/>
                <w:lang w:val="en-US" w:eastAsia="zh-CN"/>
              </w:rPr>
              <w:t>若是联合体投标的，以联合体投标牵头人为准</w:t>
            </w:r>
            <w:r>
              <w:rPr>
                <w:rFonts w:hint="eastAsia" w:ascii="宋体" w:hAnsi="宋体" w:cs="宋体"/>
                <w:b/>
                <w:bCs/>
                <w:color w:val="auto"/>
                <w:sz w:val="22"/>
                <w:highlight w:val="none"/>
                <w:lang w:eastAsia="zh-CN"/>
              </w:rPr>
              <w:t>）</w:t>
            </w:r>
            <w:r>
              <w:rPr>
                <w:rFonts w:hint="eastAsia" w:ascii="宋体" w:hAnsi="宋体" w:cs="宋体"/>
                <w:b/>
                <w:bCs/>
                <w:color w:val="auto"/>
                <w:sz w:val="22"/>
                <w:highlight w:val="none"/>
              </w:rPr>
              <w:t>。</w:t>
            </w:r>
          </w:p>
          <w:p w14:paraId="78846FD4">
            <w:pPr>
              <w:tabs>
                <w:tab w:val="left" w:pos="1069"/>
                <w:tab w:val="left" w:pos="2352"/>
              </w:tabs>
              <w:rPr>
                <w:rFonts w:ascii="宋体" w:hAnsi="宋体" w:cs="宋体"/>
                <w:color w:val="auto"/>
                <w:sz w:val="22"/>
                <w:highlight w:val="none"/>
              </w:rPr>
            </w:pPr>
            <w:r>
              <w:rPr>
                <w:rFonts w:hint="eastAsia" w:ascii="宋体" w:hAnsi="宋体" w:cs="宋体"/>
                <w:color w:val="auto"/>
                <w:sz w:val="22"/>
                <w:highlight w:val="none"/>
              </w:rPr>
              <w:t>4</w:t>
            </w:r>
            <w:r>
              <w:rPr>
                <w:rFonts w:hint="eastAsia" w:ascii="宋体" w:hAnsi="宋体" w:cs="宋体"/>
                <w:color w:val="auto"/>
                <w:sz w:val="22"/>
                <w:highlight w:val="none"/>
                <w:lang w:eastAsia="zh-CN"/>
              </w:rPr>
              <w:t>.</w:t>
            </w:r>
            <w:r>
              <w:rPr>
                <w:rFonts w:hint="eastAsia" w:ascii="宋体" w:hAnsi="宋体" w:cs="宋体"/>
                <w:b/>
                <w:bCs/>
                <w:color w:val="auto"/>
                <w:sz w:val="22"/>
                <w:highlight w:val="none"/>
              </w:rPr>
              <w:t>投标文件的形式：</w:t>
            </w:r>
            <w:r>
              <w:rPr>
                <w:rFonts w:hint="eastAsia" w:ascii="宋体" w:hAnsi="宋体" w:cs="宋体"/>
                <w:color w:val="auto"/>
                <w:sz w:val="22"/>
                <w:highlight w:val="none"/>
              </w:rPr>
              <w:t>☑电子投标文件（“电子加密投标文件”，在投标文件编制完成后生成）；</w:t>
            </w:r>
          </w:p>
          <w:p w14:paraId="021F94EE">
            <w:pPr>
              <w:tabs>
                <w:tab w:val="left" w:pos="1069"/>
                <w:tab w:val="left" w:pos="2352"/>
              </w:tabs>
              <w:rPr>
                <w:rFonts w:ascii="宋体" w:hAnsi="宋体" w:cs="宋体"/>
                <w:color w:val="auto"/>
                <w:sz w:val="22"/>
                <w:highlight w:val="none"/>
              </w:rPr>
            </w:pPr>
            <w:r>
              <w:rPr>
                <w:rFonts w:hint="eastAsia" w:ascii="宋体" w:hAnsi="宋体" w:cs="宋体"/>
                <w:color w:val="auto"/>
                <w:sz w:val="22"/>
                <w:highlight w:val="none"/>
              </w:rPr>
              <w:t>“电子加密投标文件”是指通过“政采云电子交易客户端”完成投标文件编制后生成并加密的数据电文形式的投标文件。</w:t>
            </w:r>
          </w:p>
          <w:p w14:paraId="5FBA260C">
            <w:pPr>
              <w:tabs>
                <w:tab w:val="left" w:pos="1069"/>
                <w:tab w:val="left" w:pos="2352"/>
              </w:tabs>
              <w:autoSpaceDE w:val="0"/>
              <w:autoSpaceDN w:val="0"/>
              <w:adjustRightInd w:val="0"/>
              <w:jc w:val="left"/>
              <w:rPr>
                <w:rFonts w:ascii="宋体" w:hAnsi="宋体" w:cs="宋体"/>
                <w:color w:val="auto"/>
                <w:sz w:val="22"/>
                <w:highlight w:val="none"/>
              </w:rPr>
            </w:pPr>
            <w:r>
              <w:rPr>
                <w:rFonts w:hint="eastAsia" w:ascii="宋体" w:hAnsi="宋体" w:cs="宋体"/>
                <w:b/>
                <w:bCs/>
                <w:color w:val="auto"/>
                <w:sz w:val="22"/>
                <w:highlight w:val="none"/>
              </w:rPr>
              <w:t>5</w:t>
            </w:r>
            <w:r>
              <w:rPr>
                <w:rFonts w:hint="eastAsia" w:ascii="宋体" w:hAnsi="宋体" w:cs="宋体"/>
                <w:b/>
                <w:bCs/>
                <w:color w:val="auto"/>
                <w:sz w:val="22"/>
                <w:highlight w:val="none"/>
                <w:lang w:eastAsia="zh-CN"/>
              </w:rPr>
              <w:t>.</w:t>
            </w:r>
            <w:r>
              <w:rPr>
                <w:rFonts w:hint="eastAsia" w:ascii="宋体" w:hAnsi="宋体" w:cs="宋体"/>
                <w:b/>
                <w:bCs/>
                <w:color w:val="auto"/>
                <w:sz w:val="22"/>
                <w:highlight w:val="none"/>
              </w:rPr>
              <w:t>投标文件份数：</w:t>
            </w:r>
            <w:r>
              <w:rPr>
                <w:rFonts w:hint="eastAsia" w:ascii="宋体" w:hAnsi="宋体" w:cs="宋体"/>
                <w:color w:val="auto"/>
                <w:sz w:val="22"/>
                <w:highlight w:val="none"/>
              </w:rPr>
              <w:t>“电子加密投标文件”：在线上传递交。</w:t>
            </w:r>
          </w:p>
          <w:p w14:paraId="5D65380E">
            <w:pPr>
              <w:tabs>
                <w:tab w:val="left" w:pos="1069"/>
                <w:tab w:val="left" w:pos="2352"/>
              </w:tabs>
              <w:rPr>
                <w:rFonts w:ascii="宋体" w:hAnsi="宋体" w:cs="宋体"/>
                <w:b/>
                <w:bCs/>
                <w:color w:val="auto"/>
                <w:sz w:val="22"/>
                <w:highlight w:val="none"/>
              </w:rPr>
            </w:pPr>
            <w:r>
              <w:rPr>
                <w:rFonts w:hint="eastAsia" w:ascii="宋体" w:hAnsi="宋体" w:cs="宋体"/>
                <w:color w:val="auto"/>
                <w:sz w:val="22"/>
                <w:highlight w:val="none"/>
              </w:rPr>
              <w:t>6</w:t>
            </w:r>
            <w:r>
              <w:rPr>
                <w:rFonts w:hint="eastAsia" w:ascii="宋体" w:hAnsi="宋体" w:cs="宋体"/>
                <w:color w:val="auto"/>
                <w:sz w:val="22"/>
                <w:highlight w:val="none"/>
                <w:lang w:eastAsia="zh-CN"/>
              </w:rPr>
              <w:t>.</w:t>
            </w:r>
            <w:r>
              <w:rPr>
                <w:rFonts w:hint="eastAsia" w:ascii="宋体" w:hAnsi="宋体" w:cs="宋体"/>
                <w:b/>
                <w:bCs/>
                <w:color w:val="auto"/>
                <w:sz w:val="22"/>
                <w:highlight w:val="none"/>
              </w:rPr>
              <w:t>投标文件的上传和递交：</w:t>
            </w:r>
          </w:p>
          <w:p w14:paraId="358EACEC">
            <w:pPr>
              <w:tabs>
                <w:tab w:val="left" w:pos="1069"/>
                <w:tab w:val="left" w:pos="2352"/>
              </w:tabs>
              <w:rPr>
                <w:rFonts w:ascii="宋体" w:hAnsi="宋体" w:cs="宋体"/>
                <w:color w:val="auto"/>
                <w:sz w:val="22"/>
                <w:highlight w:val="none"/>
              </w:rPr>
            </w:pPr>
            <w:r>
              <w:rPr>
                <w:rFonts w:hint="eastAsia" w:ascii="宋体" w:hAnsi="宋体" w:cs="宋体"/>
                <w:color w:val="auto"/>
                <w:sz w:val="22"/>
                <w:highlight w:val="none"/>
              </w:rPr>
              <w:t>“电子加密投标文件”的上传、递交：</w:t>
            </w:r>
          </w:p>
          <w:p w14:paraId="427C56A4">
            <w:pPr>
              <w:tabs>
                <w:tab w:val="left" w:pos="1069"/>
                <w:tab w:val="left" w:pos="2352"/>
              </w:tabs>
              <w:rPr>
                <w:rFonts w:ascii="宋体" w:hAnsi="宋体" w:cs="宋体"/>
                <w:color w:val="auto"/>
                <w:sz w:val="22"/>
                <w:highlight w:val="none"/>
              </w:rPr>
            </w:pPr>
            <w:r>
              <w:rPr>
                <w:rFonts w:hint="eastAsia" w:ascii="宋体" w:hAnsi="宋体" w:cs="宋体"/>
                <w:color w:val="auto"/>
                <w:sz w:val="22"/>
                <w:highlight w:val="none"/>
              </w:rPr>
              <w:t>a.供应商应在投标截止时间前将“电子加密投标文件”成功上传递交至“政府采购云平台”，否则投标无效。</w:t>
            </w:r>
          </w:p>
          <w:p w14:paraId="47D523A2">
            <w:pPr>
              <w:tabs>
                <w:tab w:val="left" w:pos="1069"/>
                <w:tab w:val="left" w:pos="2352"/>
              </w:tabs>
              <w:rPr>
                <w:rFonts w:ascii="宋体" w:hAnsi="宋体" w:cs="宋体"/>
                <w:color w:val="auto"/>
                <w:sz w:val="22"/>
                <w:highlight w:val="none"/>
              </w:rPr>
            </w:pPr>
            <w:r>
              <w:rPr>
                <w:rFonts w:hint="eastAsia" w:ascii="宋体" w:hAnsi="宋体" w:cs="宋体"/>
                <w:color w:val="auto"/>
                <w:sz w:val="22"/>
                <w:highlight w:val="none"/>
              </w:rPr>
              <w:t>b.“电子加密投标文件”成功上传递交后，供应商可自行打印投标文件接收回执。</w:t>
            </w:r>
          </w:p>
          <w:p w14:paraId="0E709366">
            <w:pPr>
              <w:tabs>
                <w:tab w:val="left" w:pos="1069"/>
                <w:tab w:val="left" w:pos="2352"/>
              </w:tabs>
              <w:rPr>
                <w:rFonts w:ascii="宋体" w:hAnsi="宋体" w:cs="宋体"/>
                <w:b/>
                <w:bCs/>
                <w:color w:val="auto"/>
                <w:sz w:val="22"/>
                <w:highlight w:val="none"/>
              </w:rPr>
            </w:pPr>
            <w:r>
              <w:rPr>
                <w:rFonts w:hint="eastAsia" w:ascii="宋体" w:hAnsi="宋体" w:cs="宋体"/>
                <w:b/>
                <w:bCs/>
                <w:color w:val="auto"/>
                <w:sz w:val="22"/>
                <w:highlight w:val="none"/>
              </w:rPr>
              <w:t>7、电子加密投标文件的解密和异常情况处理：</w:t>
            </w:r>
          </w:p>
          <w:p w14:paraId="10FDB228">
            <w:pPr>
              <w:tabs>
                <w:tab w:val="left" w:pos="1069"/>
                <w:tab w:val="left" w:pos="2352"/>
              </w:tabs>
              <w:autoSpaceDE w:val="0"/>
              <w:autoSpaceDN w:val="0"/>
              <w:adjustRightInd w:val="0"/>
              <w:jc w:val="left"/>
              <w:rPr>
                <w:rFonts w:ascii="宋体" w:hAnsi="宋体" w:cs="宋体"/>
                <w:color w:val="auto"/>
                <w:sz w:val="22"/>
                <w:highlight w:val="none"/>
              </w:rPr>
            </w:pPr>
            <w:r>
              <w:rPr>
                <w:rFonts w:hint="eastAsia" w:ascii="宋体" w:hAnsi="宋体" w:cs="宋体"/>
                <w:color w:val="auto"/>
                <w:sz w:val="22"/>
                <w:highlight w:val="none"/>
              </w:rPr>
              <w:t>（1）开标后，采购组织机构将向各供应商发出“电子加密投标文件”的解密通知，各供应商代表应当在接到解密通知后30分钟内自行完成“电子加密投标文件”的在线解密。</w:t>
            </w:r>
          </w:p>
          <w:p w14:paraId="30432283">
            <w:pPr>
              <w:tabs>
                <w:tab w:val="left" w:pos="1069"/>
                <w:tab w:val="left" w:pos="2352"/>
              </w:tabs>
              <w:autoSpaceDE w:val="0"/>
              <w:autoSpaceDN w:val="0"/>
              <w:adjustRightInd w:val="0"/>
              <w:jc w:val="left"/>
              <w:rPr>
                <w:rFonts w:ascii="宋体" w:hAnsi="宋体" w:cs="宋体"/>
                <w:color w:val="auto"/>
                <w:sz w:val="22"/>
                <w:highlight w:val="none"/>
              </w:rPr>
            </w:pPr>
            <w:r>
              <w:rPr>
                <w:rFonts w:hint="eastAsia" w:ascii="宋体" w:hAnsi="宋体" w:cs="宋体"/>
                <w:color w:val="auto"/>
                <w:sz w:val="22"/>
                <w:highlight w:val="none"/>
              </w:rPr>
              <w:t>（2）</w:t>
            </w:r>
            <w:r>
              <w:rPr>
                <w:rStyle w:val="34"/>
                <w:rFonts w:hint="eastAsia" w:ascii="宋体" w:hAnsi="宋体" w:cs="宋体"/>
                <w:b w:val="0"/>
                <w:color w:val="auto"/>
                <w:sz w:val="22"/>
                <w:highlight w:val="none"/>
              </w:rPr>
              <w:t>通过“政府采购云平台”上传递交的“电子加密投标文件”无法按时解密的，其投标无效。</w:t>
            </w:r>
          </w:p>
          <w:p w14:paraId="71FEF7A3">
            <w:pPr>
              <w:tabs>
                <w:tab w:val="left" w:pos="1069"/>
                <w:tab w:val="left" w:pos="2352"/>
              </w:tabs>
              <w:snapToGrid w:val="0"/>
              <w:rPr>
                <w:rFonts w:ascii="宋体" w:hAnsi="宋体" w:cs="宋体"/>
                <w:color w:val="auto"/>
                <w:sz w:val="21"/>
                <w:szCs w:val="21"/>
                <w:highlight w:val="none"/>
              </w:rPr>
            </w:pPr>
            <w:r>
              <w:rPr>
                <w:rFonts w:hint="eastAsia" w:ascii="宋体" w:hAnsi="宋体" w:cs="宋体"/>
                <w:b/>
                <w:bCs/>
                <w:color w:val="auto"/>
                <w:sz w:val="21"/>
                <w:szCs w:val="21"/>
                <w:highlight w:val="none"/>
                <w:lang w:val="en-US" w:eastAsia="zh-CN"/>
              </w:rPr>
              <w:t>8.</w:t>
            </w:r>
            <w:r>
              <w:rPr>
                <w:rFonts w:hint="eastAsia" w:ascii="宋体" w:hAnsi="宋体" w:cs="宋体"/>
                <w:color w:val="auto"/>
                <w:sz w:val="21"/>
                <w:szCs w:val="21"/>
                <w:highlight w:val="none"/>
              </w:rPr>
              <w:t>投标截止后，在投标有效期内，供应商不能撤销投标文件。</w:t>
            </w:r>
          </w:p>
          <w:p w14:paraId="1A9388E8">
            <w:pPr>
              <w:tabs>
                <w:tab w:val="left" w:pos="1069"/>
                <w:tab w:val="left" w:pos="2352"/>
              </w:tabs>
              <w:snapToGrid w:val="0"/>
              <w:rPr>
                <w:rFonts w:ascii="宋体" w:hAnsi="宋体" w:cs="宋体"/>
                <w:color w:val="auto"/>
                <w:sz w:val="22"/>
                <w:highlight w:val="none"/>
              </w:rPr>
            </w:pPr>
            <w:r>
              <w:rPr>
                <w:rFonts w:hint="eastAsia" w:ascii="宋体" w:hAnsi="宋体" w:cs="宋体"/>
                <w:color w:val="auto"/>
                <w:sz w:val="21"/>
                <w:szCs w:val="21"/>
                <w:highlight w:val="none"/>
              </w:rPr>
              <w:t>9</w:t>
            </w:r>
            <w:r>
              <w:rPr>
                <w:rFonts w:hint="eastAsia" w:ascii="宋体" w:hAnsi="宋体" w:cs="宋体"/>
                <w:color w:val="auto"/>
                <w:sz w:val="21"/>
                <w:szCs w:val="21"/>
                <w:highlight w:val="none"/>
                <w:lang w:eastAsia="zh-CN"/>
              </w:rPr>
              <w:t>.</w:t>
            </w:r>
            <w:r>
              <w:rPr>
                <w:rFonts w:hint="eastAsia" w:ascii="宋体" w:hAnsi="宋体" w:cs="宋体"/>
                <w:color w:val="auto"/>
                <w:sz w:val="22"/>
                <w:highlight w:val="none"/>
              </w:rPr>
              <w:t>存在下列行为的，招标代理机构将其失信行为上报政府采购主管部门，由主管部门按有关规定对其违法失信行为记录进行公开：</w:t>
            </w:r>
          </w:p>
          <w:p w14:paraId="6D0D5D05">
            <w:pPr>
              <w:tabs>
                <w:tab w:val="left" w:pos="1069"/>
                <w:tab w:val="left" w:pos="2352"/>
              </w:tabs>
              <w:snapToGrid w:val="0"/>
              <w:rPr>
                <w:rFonts w:ascii="宋体" w:hAnsi="宋体" w:cs="宋体"/>
                <w:color w:val="auto"/>
                <w:sz w:val="22"/>
                <w:highlight w:val="none"/>
              </w:rPr>
            </w:pPr>
            <w:r>
              <w:rPr>
                <w:rFonts w:hint="eastAsia" w:ascii="宋体" w:hAnsi="宋体" w:cs="宋体"/>
                <w:color w:val="auto"/>
                <w:sz w:val="22"/>
                <w:highlight w:val="none"/>
              </w:rPr>
              <w:t>（1）中标或者成交后，拒绝签订政府采购合同的；</w:t>
            </w:r>
          </w:p>
          <w:p w14:paraId="17AABD82">
            <w:pPr>
              <w:tabs>
                <w:tab w:val="left" w:pos="1069"/>
                <w:tab w:val="left" w:pos="2352"/>
              </w:tabs>
              <w:rPr>
                <w:rFonts w:hint="eastAsia" w:ascii="宋体" w:hAnsi="宋体" w:eastAsia="宋体" w:cs="宋体"/>
                <w:color w:val="auto"/>
                <w:sz w:val="22"/>
                <w:highlight w:val="none"/>
                <w:lang w:eastAsia="zh-CN"/>
              </w:rPr>
            </w:pPr>
            <w:r>
              <w:rPr>
                <w:rFonts w:hint="eastAsia" w:ascii="宋体" w:hAnsi="宋体" w:cs="宋体"/>
                <w:color w:val="auto"/>
                <w:sz w:val="22"/>
                <w:highlight w:val="none"/>
              </w:rPr>
              <w:t>（2）投标有效期内撤销投标文件的</w:t>
            </w:r>
            <w:r>
              <w:rPr>
                <w:rFonts w:hint="eastAsia" w:ascii="宋体" w:hAnsi="宋体" w:cs="宋体"/>
                <w:color w:val="auto"/>
                <w:sz w:val="22"/>
                <w:highlight w:val="none"/>
                <w:lang w:eastAsia="zh-CN"/>
              </w:rPr>
              <w:t>。</w:t>
            </w:r>
          </w:p>
          <w:p w14:paraId="78C232B9">
            <w:pPr>
              <w:tabs>
                <w:tab w:val="left" w:pos="1069"/>
                <w:tab w:val="left" w:pos="2352"/>
              </w:tabs>
              <w:rPr>
                <w:rFonts w:ascii="宋体" w:hAnsi="宋体" w:cs="宋体"/>
                <w:color w:val="auto"/>
                <w:sz w:val="22"/>
                <w:highlight w:val="none"/>
              </w:rPr>
            </w:pPr>
            <w:r>
              <w:rPr>
                <w:rFonts w:hint="eastAsia" w:ascii="宋体" w:hAnsi="宋体" w:cs="宋体"/>
                <w:color w:val="auto"/>
                <w:sz w:val="22"/>
                <w:highlight w:val="none"/>
              </w:rPr>
              <w:t>10</w:t>
            </w:r>
            <w:r>
              <w:rPr>
                <w:rFonts w:hint="eastAsia" w:ascii="宋体" w:hAnsi="宋体" w:cs="宋体"/>
                <w:color w:val="auto"/>
                <w:sz w:val="22"/>
                <w:highlight w:val="none"/>
                <w:lang w:eastAsia="zh-CN"/>
              </w:rPr>
              <w:t>.</w:t>
            </w:r>
            <w:r>
              <w:rPr>
                <w:rFonts w:hint="eastAsia" w:ascii="宋体" w:hAnsi="宋体" w:cs="宋体"/>
                <w:b/>
                <w:bCs/>
                <w:color w:val="auto"/>
                <w:sz w:val="22"/>
                <w:highlight w:val="none"/>
                <w:u w:val="single"/>
              </w:rPr>
              <w:t>中标后，中标（成交）供应商须提供4份纸质投标文件至招标代理机构处作为纸质存档（地址：温州市泰顺县罗阳镇湖滨花苑B8幢401，翁女士，17858065131）。</w:t>
            </w:r>
          </w:p>
        </w:tc>
      </w:tr>
      <w:tr w14:paraId="7268964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98" w:hRule="atLeast"/>
          <w:jc w:val="center"/>
        </w:trPr>
        <w:tc>
          <w:tcPr>
            <w:tcW w:w="952" w:type="dxa"/>
            <w:vAlign w:val="center"/>
          </w:tcPr>
          <w:p w14:paraId="46D0D4D9">
            <w:pPr>
              <w:widowControl/>
              <w:numPr>
                <w:ilvl w:val="0"/>
                <w:numId w:val="1"/>
              </w:numPr>
              <w:tabs>
                <w:tab w:val="left" w:pos="420"/>
                <w:tab w:val="left" w:pos="1069"/>
                <w:tab w:val="left" w:pos="2352"/>
                <w:tab w:val="clear" w:pos="720"/>
              </w:tabs>
              <w:ind w:left="420" w:hanging="420"/>
              <w:jc w:val="right"/>
              <w:rPr>
                <w:rFonts w:ascii="宋体" w:hAnsi="宋体" w:cs="宋体"/>
                <w:color w:val="auto"/>
                <w:sz w:val="22"/>
                <w:highlight w:val="none"/>
              </w:rPr>
            </w:pPr>
          </w:p>
        </w:tc>
        <w:tc>
          <w:tcPr>
            <w:tcW w:w="1600" w:type="dxa"/>
            <w:vAlign w:val="center"/>
          </w:tcPr>
          <w:p w14:paraId="4D958E70">
            <w:pPr>
              <w:tabs>
                <w:tab w:val="left" w:pos="1069"/>
                <w:tab w:val="left" w:pos="2352"/>
              </w:tabs>
              <w:adjustRightInd w:val="0"/>
              <w:jc w:val="center"/>
              <w:rPr>
                <w:rFonts w:ascii="宋体" w:hAnsi="宋体" w:cs="宋体"/>
                <w:color w:val="auto"/>
                <w:sz w:val="22"/>
                <w:highlight w:val="none"/>
              </w:rPr>
            </w:pPr>
            <w:r>
              <w:rPr>
                <w:rFonts w:hint="eastAsia" w:ascii="宋体" w:hAnsi="宋体" w:cs="宋体"/>
                <w:color w:val="auto"/>
                <w:sz w:val="22"/>
                <w:highlight w:val="none"/>
              </w:rPr>
              <w:t>投标样品</w:t>
            </w:r>
          </w:p>
        </w:tc>
        <w:tc>
          <w:tcPr>
            <w:tcW w:w="7619" w:type="dxa"/>
            <w:vAlign w:val="center"/>
          </w:tcPr>
          <w:p w14:paraId="1805A2BE">
            <w:pPr>
              <w:tabs>
                <w:tab w:val="left" w:pos="1069"/>
                <w:tab w:val="left" w:pos="2352"/>
              </w:tabs>
              <w:adjustRightInd w:val="0"/>
              <w:snapToGrid w:val="0"/>
              <w:rPr>
                <w:rFonts w:hint="eastAsia" w:ascii="宋体" w:hAnsi="宋体" w:cs="宋体"/>
                <w:color w:val="auto"/>
                <w:kern w:val="0"/>
                <w:sz w:val="22"/>
                <w:highlight w:val="none"/>
              </w:rPr>
            </w:pPr>
            <w:r>
              <w:rPr>
                <w:rFonts w:hint="eastAsia" w:ascii="宋体" w:hAnsi="宋体" w:cs="宋体"/>
                <w:b/>
                <w:bCs/>
                <w:color w:val="auto"/>
                <w:kern w:val="0"/>
                <w:sz w:val="22"/>
                <w:highlight w:val="none"/>
              </w:rPr>
              <w:fldChar w:fldCharType="begin"/>
            </w:r>
            <w:r>
              <w:rPr>
                <w:rFonts w:hint="eastAsia" w:ascii="宋体" w:hAnsi="宋体" w:cs="宋体"/>
                <w:b/>
                <w:bCs/>
                <w:color w:val="auto"/>
                <w:kern w:val="0"/>
                <w:sz w:val="22"/>
                <w:highlight w:val="none"/>
              </w:rPr>
              <w:instrText xml:space="preserve"> eq \o\ac(□,</w:instrText>
            </w:r>
            <w:r>
              <w:rPr>
                <w:rFonts w:hint="eastAsia" w:ascii="宋体" w:hAnsi="宋体" w:cs="宋体"/>
                <w:b/>
                <w:bCs/>
                <w:color w:val="auto"/>
                <w:kern w:val="0"/>
                <w:position w:val="2"/>
                <w:sz w:val="15"/>
                <w:highlight w:val="none"/>
              </w:rPr>
              <w:instrText xml:space="preserve">√</w:instrText>
            </w:r>
            <w:r>
              <w:rPr>
                <w:rFonts w:hint="eastAsia" w:ascii="宋体" w:hAnsi="宋体" w:cs="宋体"/>
                <w:b/>
                <w:bCs/>
                <w:color w:val="auto"/>
                <w:kern w:val="0"/>
                <w:sz w:val="22"/>
                <w:highlight w:val="none"/>
              </w:rPr>
              <w:instrText xml:space="preserve">)</w:instrText>
            </w:r>
            <w:r>
              <w:rPr>
                <w:rFonts w:hint="eastAsia" w:ascii="宋体" w:hAnsi="宋体" w:cs="宋体"/>
                <w:b/>
                <w:bCs/>
                <w:color w:val="auto"/>
                <w:kern w:val="0"/>
                <w:sz w:val="22"/>
                <w:highlight w:val="none"/>
              </w:rPr>
              <w:fldChar w:fldCharType="end"/>
            </w:r>
            <w:r>
              <w:rPr>
                <w:rFonts w:hint="eastAsia" w:ascii="宋体" w:hAnsi="宋体" w:cs="宋体"/>
                <w:color w:val="auto"/>
                <w:kern w:val="0"/>
                <w:sz w:val="22"/>
                <w:highlight w:val="none"/>
              </w:rPr>
              <w:t xml:space="preserve">不需要  </w:t>
            </w:r>
          </w:p>
          <w:p w14:paraId="1F2E4CF3">
            <w:pPr>
              <w:tabs>
                <w:tab w:val="left" w:pos="1069"/>
                <w:tab w:val="left" w:pos="2352"/>
              </w:tabs>
              <w:adjustRightInd w:val="0"/>
              <w:snapToGrid w:val="0"/>
              <w:rPr>
                <w:rFonts w:ascii="宋体" w:hAnsi="宋体" w:cs="宋体"/>
                <w:color w:val="auto"/>
                <w:sz w:val="22"/>
                <w:highlight w:val="none"/>
              </w:rPr>
            </w:pPr>
            <w:r>
              <w:rPr>
                <w:rFonts w:hint="eastAsia" w:ascii="宋体" w:hAnsi="宋体" w:cs="宋体"/>
                <w:color w:val="auto"/>
                <w:kern w:val="0"/>
                <w:sz w:val="22"/>
                <w:highlight w:val="none"/>
              </w:rPr>
              <w:sym w:font="Wingdings 2" w:char="00A3"/>
            </w:r>
            <w:r>
              <w:rPr>
                <w:rFonts w:hint="eastAsia" w:ascii="宋体" w:hAnsi="宋体" w:cs="宋体"/>
                <w:color w:val="auto"/>
                <w:kern w:val="0"/>
                <w:sz w:val="22"/>
                <w:highlight w:val="none"/>
              </w:rPr>
              <w:t>需要</w:t>
            </w:r>
          </w:p>
        </w:tc>
      </w:tr>
      <w:tr w14:paraId="25B7A08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177" w:hRule="atLeast"/>
          <w:jc w:val="center"/>
        </w:trPr>
        <w:tc>
          <w:tcPr>
            <w:tcW w:w="952" w:type="dxa"/>
            <w:vAlign w:val="center"/>
          </w:tcPr>
          <w:p w14:paraId="725E2F90">
            <w:pPr>
              <w:widowControl/>
              <w:numPr>
                <w:ilvl w:val="0"/>
                <w:numId w:val="1"/>
              </w:numPr>
              <w:tabs>
                <w:tab w:val="left" w:pos="420"/>
                <w:tab w:val="left" w:pos="1069"/>
                <w:tab w:val="left" w:pos="2352"/>
                <w:tab w:val="clear" w:pos="720"/>
              </w:tabs>
              <w:ind w:left="420" w:hanging="420"/>
              <w:jc w:val="right"/>
              <w:rPr>
                <w:rFonts w:ascii="宋体" w:hAnsi="宋体" w:cs="宋体"/>
                <w:color w:val="auto"/>
                <w:sz w:val="22"/>
                <w:highlight w:val="none"/>
              </w:rPr>
            </w:pPr>
          </w:p>
        </w:tc>
        <w:tc>
          <w:tcPr>
            <w:tcW w:w="1600" w:type="dxa"/>
            <w:vAlign w:val="center"/>
          </w:tcPr>
          <w:p w14:paraId="19694DCA">
            <w:pPr>
              <w:tabs>
                <w:tab w:val="left" w:pos="1069"/>
                <w:tab w:val="left" w:pos="2352"/>
              </w:tabs>
              <w:jc w:val="center"/>
              <w:rPr>
                <w:rFonts w:ascii="宋体" w:hAnsi="宋体" w:cs="宋体"/>
                <w:color w:val="auto"/>
                <w:sz w:val="22"/>
                <w:highlight w:val="none"/>
              </w:rPr>
            </w:pPr>
            <w:r>
              <w:rPr>
                <w:rFonts w:hint="eastAsia" w:ascii="宋体" w:hAnsi="宋体" w:cs="宋体"/>
                <w:color w:val="auto"/>
                <w:sz w:val="22"/>
                <w:highlight w:val="none"/>
              </w:rPr>
              <w:t>投标保证金</w:t>
            </w:r>
          </w:p>
        </w:tc>
        <w:tc>
          <w:tcPr>
            <w:tcW w:w="7619" w:type="dxa"/>
            <w:vAlign w:val="center"/>
          </w:tcPr>
          <w:p w14:paraId="6E2CD102">
            <w:pPr>
              <w:tabs>
                <w:tab w:val="left" w:pos="1069"/>
                <w:tab w:val="left" w:pos="2352"/>
              </w:tabs>
              <w:adjustRightInd w:val="0"/>
              <w:snapToGrid w:val="0"/>
              <w:rPr>
                <w:rFonts w:hint="eastAsia" w:ascii="宋体" w:hAnsi="宋体" w:cs="宋体"/>
                <w:color w:val="auto"/>
                <w:kern w:val="0"/>
                <w:sz w:val="22"/>
                <w:highlight w:val="none"/>
              </w:rPr>
            </w:pPr>
            <w:r>
              <w:rPr>
                <w:rFonts w:hint="eastAsia" w:ascii="宋体" w:hAnsi="宋体" w:cs="宋体"/>
                <w:b/>
                <w:bCs/>
                <w:color w:val="auto"/>
                <w:kern w:val="0"/>
                <w:sz w:val="22"/>
                <w:highlight w:val="none"/>
              </w:rPr>
              <w:fldChar w:fldCharType="begin"/>
            </w:r>
            <w:r>
              <w:rPr>
                <w:rFonts w:hint="eastAsia" w:ascii="宋体" w:hAnsi="宋体" w:cs="宋体"/>
                <w:b/>
                <w:bCs/>
                <w:color w:val="auto"/>
                <w:kern w:val="0"/>
                <w:sz w:val="22"/>
                <w:highlight w:val="none"/>
              </w:rPr>
              <w:instrText xml:space="preserve"> eq \o\ac(□,√)</w:instrText>
            </w:r>
            <w:r>
              <w:rPr>
                <w:rFonts w:hint="eastAsia" w:ascii="宋体" w:hAnsi="宋体" w:cs="宋体"/>
                <w:b/>
                <w:bCs/>
                <w:color w:val="auto"/>
                <w:kern w:val="0"/>
                <w:sz w:val="22"/>
                <w:highlight w:val="none"/>
              </w:rPr>
              <w:fldChar w:fldCharType="end"/>
            </w:r>
            <w:r>
              <w:rPr>
                <w:rFonts w:hint="eastAsia" w:ascii="宋体" w:hAnsi="宋体" w:cs="宋体"/>
                <w:color w:val="auto"/>
                <w:kern w:val="0"/>
                <w:sz w:val="22"/>
                <w:highlight w:val="none"/>
              </w:rPr>
              <w:t xml:space="preserve">不需要  </w:t>
            </w:r>
          </w:p>
          <w:p w14:paraId="2FE2CAC9">
            <w:pPr>
              <w:tabs>
                <w:tab w:val="left" w:pos="1069"/>
                <w:tab w:val="left" w:pos="2352"/>
              </w:tabs>
              <w:adjustRightInd w:val="0"/>
              <w:snapToGrid w:val="0"/>
              <w:rPr>
                <w:rFonts w:ascii="宋体" w:hAnsi="宋体" w:cs="宋体"/>
                <w:color w:val="auto"/>
                <w:sz w:val="22"/>
                <w:highlight w:val="none"/>
              </w:rPr>
            </w:pPr>
            <w:r>
              <w:rPr>
                <w:rFonts w:hint="eastAsia" w:ascii="宋体" w:hAnsi="宋体" w:cs="宋体"/>
                <w:color w:val="auto"/>
                <w:kern w:val="0"/>
                <w:sz w:val="22"/>
                <w:highlight w:val="none"/>
              </w:rPr>
              <w:t>□需要</w:t>
            </w:r>
          </w:p>
        </w:tc>
      </w:tr>
      <w:tr w14:paraId="776D04B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219" w:hRule="atLeast"/>
          <w:jc w:val="center"/>
        </w:trPr>
        <w:tc>
          <w:tcPr>
            <w:tcW w:w="952" w:type="dxa"/>
            <w:vAlign w:val="center"/>
          </w:tcPr>
          <w:p w14:paraId="585E824A">
            <w:pPr>
              <w:widowControl/>
              <w:numPr>
                <w:ilvl w:val="0"/>
                <w:numId w:val="1"/>
              </w:numPr>
              <w:tabs>
                <w:tab w:val="left" w:pos="420"/>
                <w:tab w:val="left" w:pos="1069"/>
                <w:tab w:val="left" w:pos="2352"/>
                <w:tab w:val="clear" w:pos="720"/>
              </w:tabs>
              <w:ind w:left="420" w:hanging="420"/>
              <w:jc w:val="right"/>
              <w:rPr>
                <w:rFonts w:ascii="宋体" w:hAnsi="宋体" w:cs="宋体"/>
                <w:color w:val="auto"/>
                <w:sz w:val="22"/>
                <w:highlight w:val="none"/>
              </w:rPr>
            </w:pPr>
          </w:p>
        </w:tc>
        <w:tc>
          <w:tcPr>
            <w:tcW w:w="1600" w:type="dxa"/>
            <w:vAlign w:val="center"/>
          </w:tcPr>
          <w:p w14:paraId="2E3909D3">
            <w:pPr>
              <w:tabs>
                <w:tab w:val="left" w:pos="1069"/>
                <w:tab w:val="left" w:pos="2352"/>
              </w:tabs>
              <w:adjustRightInd w:val="0"/>
              <w:jc w:val="center"/>
              <w:rPr>
                <w:rFonts w:ascii="宋体" w:hAnsi="宋体" w:cs="宋体"/>
                <w:color w:val="auto"/>
                <w:sz w:val="22"/>
                <w:highlight w:val="none"/>
              </w:rPr>
            </w:pPr>
            <w:r>
              <w:rPr>
                <w:rFonts w:hint="eastAsia" w:ascii="宋体" w:hAnsi="宋体" w:cs="宋体"/>
                <w:color w:val="auto"/>
                <w:sz w:val="22"/>
                <w:highlight w:val="none"/>
              </w:rPr>
              <w:t>履约保证金</w:t>
            </w:r>
          </w:p>
        </w:tc>
        <w:tc>
          <w:tcPr>
            <w:tcW w:w="7619" w:type="dxa"/>
            <w:vAlign w:val="center"/>
          </w:tcPr>
          <w:p w14:paraId="1A4958EE">
            <w:pPr>
              <w:tabs>
                <w:tab w:val="left" w:pos="1069"/>
                <w:tab w:val="left" w:pos="2352"/>
              </w:tabs>
              <w:rPr>
                <w:rFonts w:hint="eastAsia" w:ascii="宋体" w:hAnsi="宋体" w:cs="宋体"/>
                <w:color w:val="auto"/>
                <w:sz w:val="22"/>
                <w:highlight w:val="none"/>
                <w:lang w:val="en-US" w:eastAsia="zh-CN"/>
              </w:rPr>
            </w:pPr>
            <w:r>
              <w:rPr>
                <w:rFonts w:hint="eastAsia" w:ascii="宋体" w:hAnsi="宋体" w:cs="宋体"/>
                <w:b/>
                <w:bCs/>
                <w:color w:val="auto"/>
                <w:kern w:val="0"/>
                <w:sz w:val="22"/>
                <w:highlight w:val="none"/>
              </w:rPr>
              <w:fldChar w:fldCharType="begin"/>
            </w:r>
            <w:r>
              <w:rPr>
                <w:rFonts w:hint="eastAsia" w:ascii="宋体" w:hAnsi="宋体" w:cs="宋体"/>
                <w:b/>
                <w:bCs/>
                <w:color w:val="auto"/>
                <w:kern w:val="0"/>
                <w:sz w:val="22"/>
                <w:highlight w:val="none"/>
              </w:rPr>
              <w:instrText xml:space="preserve"> eq \o\ac(□)</w:instrText>
            </w:r>
            <w:r>
              <w:rPr>
                <w:rFonts w:hint="eastAsia" w:ascii="宋体" w:hAnsi="宋体" w:cs="宋体"/>
                <w:b/>
                <w:bCs/>
                <w:color w:val="auto"/>
                <w:kern w:val="0"/>
                <w:sz w:val="22"/>
                <w:highlight w:val="none"/>
              </w:rPr>
              <w:fldChar w:fldCharType="end"/>
            </w:r>
            <w:r>
              <w:rPr>
                <w:rFonts w:hint="eastAsia" w:ascii="宋体" w:hAnsi="宋体" w:cs="宋体"/>
                <w:color w:val="auto"/>
                <w:sz w:val="22"/>
                <w:highlight w:val="none"/>
              </w:rPr>
              <w:t>不需要</w:t>
            </w:r>
            <w:r>
              <w:rPr>
                <w:rFonts w:hint="eastAsia" w:ascii="宋体" w:hAnsi="宋体" w:cs="宋体"/>
                <w:color w:val="auto"/>
                <w:sz w:val="22"/>
                <w:highlight w:val="none"/>
                <w:lang w:val="en-US" w:eastAsia="zh-CN"/>
              </w:rPr>
              <w:t xml:space="preserve">  </w:t>
            </w:r>
          </w:p>
          <w:p w14:paraId="056BB5F9">
            <w:pPr>
              <w:tabs>
                <w:tab w:val="left" w:pos="1069"/>
                <w:tab w:val="left" w:pos="2352"/>
              </w:tabs>
              <w:rPr>
                <w:rFonts w:hint="eastAsia" w:ascii="宋体" w:hAnsi="宋体" w:eastAsia="宋体" w:cs="宋体"/>
                <w:color w:val="auto"/>
                <w:sz w:val="22"/>
                <w:highlight w:val="none"/>
                <w:lang w:eastAsia="zh-CN"/>
              </w:rPr>
            </w:pPr>
            <w:r>
              <w:rPr>
                <w:rFonts w:hint="eastAsia" w:ascii="宋体" w:hAnsi="宋体" w:cs="宋体"/>
                <w:b/>
                <w:bCs/>
                <w:color w:val="auto"/>
                <w:kern w:val="0"/>
                <w:sz w:val="22"/>
                <w:highlight w:val="none"/>
              </w:rPr>
              <w:fldChar w:fldCharType="begin"/>
            </w:r>
            <w:r>
              <w:rPr>
                <w:rFonts w:hint="eastAsia" w:ascii="宋体" w:hAnsi="宋体" w:cs="宋体"/>
                <w:b/>
                <w:bCs/>
                <w:color w:val="auto"/>
                <w:kern w:val="0"/>
                <w:sz w:val="22"/>
                <w:highlight w:val="none"/>
              </w:rPr>
              <w:instrText xml:space="preserve"> eq \o\ac(□</w:instrText>
            </w:r>
            <w:r>
              <w:rPr>
                <w:rFonts w:hint="eastAsia" w:ascii="宋体" w:hAnsi="宋体" w:cs="宋体"/>
                <w:b/>
                <w:bCs/>
                <w:color w:val="auto"/>
                <w:kern w:val="0"/>
                <w:sz w:val="22"/>
                <w:highlight w:val="none"/>
                <w:lang w:eastAsia="zh-CN"/>
              </w:rPr>
              <w:instrText xml:space="preserve">,</w:instrText>
            </w:r>
            <w:r>
              <w:rPr>
                <w:rFonts w:hint="eastAsia" w:ascii="宋体" w:hAnsi="宋体" w:cs="宋体"/>
                <w:b/>
                <w:bCs/>
                <w:color w:val="auto"/>
                <w:kern w:val="0"/>
                <w:position w:val="2"/>
                <w:sz w:val="15"/>
                <w:highlight w:val="none"/>
                <w:lang w:eastAsia="zh-CN"/>
              </w:rPr>
              <w:instrText xml:space="preserve">√</w:instrText>
            </w:r>
            <w:r>
              <w:rPr>
                <w:rFonts w:hint="eastAsia" w:ascii="宋体" w:hAnsi="宋体" w:cs="宋体"/>
                <w:b/>
                <w:bCs/>
                <w:color w:val="auto"/>
                <w:kern w:val="0"/>
                <w:sz w:val="22"/>
                <w:highlight w:val="none"/>
              </w:rPr>
              <w:instrText xml:space="preserve">)</w:instrText>
            </w:r>
            <w:r>
              <w:rPr>
                <w:rFonts w:hint="eastAsia" w:ascii="宋体" w:hAnsi="宋体" w:cs="宋体"/>
                <w:b/>
                <w:bCs/>
                <w:color w:val="auto"/>
                <w:kern w:val="0"/>
                <w:sz w:val="22"/>
                <w:highlight w:val="none"/>
              </w:rPr>
              <w:fldChar w:fldCharType="end"/>
            </w:r>
            <w:r>
              <w:rPr>
                <w:rFonts w:hint="eastAsia" w:ascii="宋体" w:hAnsi="宋体" w:cs="宋体"/>
                <w:color w:val="auto"/>
                <w:kern w:val="0"/>
                <w:sz w:val="22"/>
                <w:highlight w:val="none"/>
              </w:rPr>
              <w:t>需要</w:t>
            </w:r>
            <w:r>
              <w:rPr>
                <w:rFonts w:hint="eastAsia" w:ascii="宋体" w:hAnsi="宋体" w:cs="宋体"/>
                <w:color w:val="auto"/>
                <w:kern w:val="0"/>
                <w:sz w:val="22"/>
                <w:highlight w:val="none"/>
                <w:lang w:eastAsia="zh-CN"/>
              </w:rPr>
              <w:t>：中标（成交）供应商须在签订合同后5个工作日内向采购人提交合同金额1%的履约保证金（履约保证金可以是银行保函、转账支票、银行汇票等方式缴纳）。</w:t>
            </w:r>
          </w:p>
        </w:tc>
      </w:tr>
      <w:tr w14:paraId="6D76D84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509" w:hRule="atLeast"/>
          <w:jc w:val="center"/>
        </w:trPr>
        <w:tc>
          <w:tcPr>
            <w:tcW w:w="952" w:type="dxa"/>
            <w:vAlign w:val="center"/>
          </w:tcPr>
          <w:p w14:paraId="5009EC5F">
            <w:pPr>
              <w:widowControl/>
              <w:numPr>
                <w:ilvl w:val="0"/>
                <w:numId w:val="1"/>
              </w:numPr>
              <w:tabs>
                <w:tab w:val="left" w:pos="420"/>
                <w:tab w:val="left" w:pos="1069"/>
                <w:tab w:val="left" w:pos="2352"/>
                <w:tab w:val="clear" w:pos="720"/>
              </w:tabs>
              <w:ind w:left="420" w:hanging="420"/>
              <w:jc w:val="right"/>
              <w:rPr>
                <w:rFonts w:ascii="宋体" w:hAnsi="宋体" w:cs="宋体"/>
                <w:color w:val="auto"/>
                <w:sz w:val="22"/>
                <w:highlight w:val="none"/>
              </w:rPr>
            </w:pPr>
          </w:p>
        </w:tc>
        <w:tc>
          <w:tcPr>
            <w:tcW w:w="1600" w:type="dxa"/>
            <w:vAlign w:val="center"/>
          </w:tcPr>
          <w:p w14:paraId="3E969D57">
            <w:pPr>
              <w:tabs>
                <w:tab w:val="left" w:pos="1069"/>
                <w:tab w:val="left" w:pos="2352"/>
              </w:tabs>
              <w:jc w:val="center"/>
              <w:rPr>
                <w:rFonts w:ascii="宋体" w:hAnsi="宋体" w:cs="宋体"/>
                <w:color w:val="auto"/>
                <w:sz w:val="22"/>
                <w:highlight w:val="none"/>
              </w:rPr>
            </w:pPr>
            <w:r>
              <w:rPr>
                <w:rFonts w:hint="eastAsia" w:ascii="宋体" w:hAnsi="宋体" w:cs="宋体"/>
                <w:color w:val="auto"/>
                <w:sz w:val="22"/>
                <w:highlight w:val="none"/>
              </w:rPr>
              <w:t>竞争性磋商文件发售时间及获取方式</w:t>
            </w:r>
          </w:p>
        </w:tc>
        <w:tc>
          <w:tcPr>
            <w:tcW w:w="7619" w:type="dxa"/>
            <w:vAlign w:val="center"/>
          </w:tcPr>
          <w:p w14:paraId="60B89C57">
            <w:pPr>
              <w:tabs>
                <w:tab w:val="left" w:pos="1069"/>
                <w:tab w:val="left" w:pos="2352"/>
              </w:tabs>
              <w:jc w:val="left"/>
              <w:rPr>
                <w:rFonts w:ascii="宋体" w:hAnsi="宋体" w:cs="宋体"/>
                <w:color w:val="auto"/>
                <w:sz w:val="22"/>
                <w:highlight w:val="none"/>
              </w:rPr>
            </w:pPr>
            <w:r>
              <w:rPr>
                <w:rFonts w:hint="eastAsia" w:ascii="宋体" w:hAnsi="宋体" w:cs="宋体"/>
                <w:color w:val="auto"/>
                <w:sz w:val="22"/>
                <w:highlight w:val="none"/>
              </w:rPr>
              <w:t>登录浙江省政府采购网（网址：</w:t>
            </w:r>
            <w:r>
              <w:rPr>
                <w:rFonts w:hint="eastAsia" w:ascii="宋体" w:hAnsi="宋体" w:cs="宋体"/>
                <w:color w:val="auto"/>
                <w:sz w:val="22"/>
                <w:highlight w:val="none"/>
              </w:rPr>
              <w:fldChar w:fldCharType="begin"/>
            </w:r>
            <w:r>
              <w:rPr>
                <w:rFonts w:hint="eastAsia" w:ascii="宋体" w:hAnsi="宋体" w:cs="宋体"/>
                <w:color w:val="auto"/>
                <w:sz w:val="22"/>
                <w:highlight w:val="none"/>
              </w:rPr>
              <w:instrText xml:space="preserve"> HYPERLINK "http://www.zjzfcg.gov.cn）查找本项目并获取采购文件，获取采购文件时应填写正确的电子邮箱。" </w:instrText>
            </w:r>
            <w:r>
              <w:rPr>
                <w:rFonts w:hint="eastAsia" w:ascii="宋体" w:hAnsi="宋体" w:cs="宋体"/>
                <w:color w:val="auto"/>
                <w:sz w:val="22"/>
                <w:highlight w:val="none"/>
              </w:rPr>
              <w:fldChar w:fldCharType="separate"/>
            </w:r>
            <w:r>
              <w:rPr>
                <w:rFonts w:hint="eastAsia" w:ascii="宋体" w:hAnsi="宋体" w:cs="宋体"/>
                <w:color w:val="auto"/>
                <w:sz w:val="22"/>
                <w:highlight w:val="none"/>
              </w:rPr>
              <w:t>http://zfcg.czt.zj.gov.cn/）查找本项目并获取采购文件，获取采购文件时应填写正确的电子邮箱（开标时若有文件传输均发至此邮箱）。</w:t>
            </w:r>
          </w:p>
          <w:p w14:paraId="209B865E">
            <w:pPr>
              <w:tabs>
                <w:tab w:val="left" w:pos="1069"/>
                <w:tab w:val="left" w:pos="2352"/>
              </w:tabs>
              <w:jc w:val="left"/>
              <w:rPr>
                <w:rFonts w:ascii="宋体" w:hAnsi="宋体" w:cs="宋体"/>
                <w:color w:val="auto"/>
                <w:sz w:val="22"/>
                <w:highlight w:val="none"/>
              </w:rPr>
            </w:pPr>
            <w:r>
              <w:rPr>
                <w:rFonts w:hint="eastAsia" w:ascii="宋体" w:hAnsi="宋体" w:cs="宋体"/>
                <w:color w:val="auto"/>
                <w:sz w:val="22"/>
                <w:highlight w:val="none"/>
              </w:rPr>
              <w:fldChar w:fldCharType="end"/>
            </w:r>
            <w:r>
              <w:rPr>
                <w:rFonts w:hint="eastAsia" w:ascii="宋体" w:hAnsi="宋体" w:cs="宋体"/>
                <w:color w:val="auto"/>
                <w:sz w:val="22"/>
                <w:highlight w:val="none"/>
              </w:rPr>
              <w:t>采购文件获取截止时间：本项目开标时间。</w:t>
            </w:r>
          </w:p>
        </w:tc>
      </w:tr>
      <w:tr w14:paraId="1460546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90" w:hRule="atLeast"/>
          <w:jc w:val="center"/>
        </w:trPr>
        <w:tc>
          <w:tcPr>
            <w:tcW w:w="952" w:type="dxa"/>
            <w:vAlign w:val="center"/>
          </w:tcPr>
          <w:p w14:paraId="6D2D600E">
            <w:pPr>
              <w:widowControl/>
              <w:numPr>
                <w:ilvl w:val="0"/>
                <w:numId w:val="1"/>
              </w:numPr>
              <w:tabs>
                <w:tab w:val="left" w:pos="420"/>
                <w:tab w:val="left" w:pos="1069"/>
                <w:tab w:val="left" w:pos="2352"/>
                <w:tab w:val="clear" w:pos="720"/>
              </w:tabs>
              <w:ind w:left="420" w:hanging="420"/>
              <w:jc w:val="right"/>
              <w:rPr>
                <w:rFonts w:ascii="宋体" w:hAnsi="宋体" w:cs="宋体"/>
                <w:color w:val="auto"/>
                <w:sz w:val="22"/>
                <w:highlight w:val="none"/>
              </w:rPr>
            </w:pPr>
          </w:p>
        </w:tc>
        <w:tc>
          <w:tcPr>
            <w:tcW w:w="1600" w:type="dxa"/>
            <w:vAlign w:val="center"/>
          </w:tcPr>
          <w:p w14:paraId="353573EC">
            <w:pPr>
              <w:tabs>
                <w:tab w:val="left" w:pos="1069"/>
                <w:tab w:val="left" w:pos="2352"/>
              </w:tabs>
              <w:jc w:val="center"/>
              <w:rPr>
                <w:rFonts w:ascii="宋体" w:hAnsi="宋体" w:cs="宋体"/>
                <w:color w:val="auto"/>
                <w:sz w:val="22"/>
                <w:highlight w:val="none"/>
              </w:rPr>
            </w:pPr>
            <w:r>
              <w:rPr>
                <w:rFonts w:hint="eastAsia" w:ascii="宋体" w:hAnsi="宋体" w:cs="宋体"/>
                <w:color w:val="auto"/>
                <w:sz w:val="22"/>
                <w:highlight w:val="none"/>
              </w:rPr>
              <w:t>投标文件递交截止时间及地点</w:t>
            </w:r>
          </w:p>
        </w:tc>
        <w:tc>
          <w:tcPr>
            <w:tcW w:w="7619" w:type="dxa"/>
            <w:vAlign w:val="center"/>
          </w:tcPr>
          <w:p w14:paraId="2D55BEBC">
            <w:pPr>
              <w:tabs>
                <w:tab w:val="left" w:pos="1069"/>
                <w:tab w:val="left" w:pos="2352"/>
              </w:tabs>
              <w:jc w:val="left"/>
              <w:rPr>
                <w:rFonts w:ascii="宋体" w:hAnsi="宋体" w:cs="宋体"/>
                <w:color w:val="auto"/>
                <w:sz w:val="22"/>
                <w:highlight w:val="none"/>
              </w:rPr>
            </w:pPr>
            <w:r>
              <w:rPr>
                <w:rFonts w:hint="eastAsia" w:ascii="宋体" w:hAnsi="宋体" w:cs="宋体"/>
                <w:color w:val="auto"/>
                <w:sz w:val="22"/>
                <w:highlight w:val="none"/>
                <w:lang w:eastAsia="zh-CN"/>
              </w:rPr>
              <w:t>2025年03月11 日 09:00</w:t>
            </w:r>
            <w:r>
              <w:rPr>
                <w:rFonts w:hint="eastAsia" w:ascii="宋体" w:hAnsi="宋体" w:cs="宋体"/>
                <w:color w:val="auto"/>
                <w:sz w:val="22"/>
                <w:highlight w:val="none"/>
              </w:rPr>
              <w:t>(北京时间)</w:t>
            </w:r>
          </w:p>
          <w:p w14:paraId="4C36BB4C">
            <w:pPr>
              <w:tabs>
                <w:tab w:val="left" w:pos="1069"/>
                <w:tab w:val="left" w:pos="2352"/>
              </w:tabs>
              <w:jc w:val="left"/>
              <w:rPr>
                <w:rFonts w:ascii="宋体" w:hAnsi="宋体" w:cs="宋体"/>
                <w:color w:val="auto"/>
                <w:sz w:val="22"/>
                <w:highlight w:val="none"/>
              </w:rPr>
            </w:pPr>
            <w:r>
              <w:rPr>
                <w:rFonts w:hint="eastAsia" w:ascii="宋体" w:hAnsi="宋体" w:cs="宋体"/>
                <w:color w:val="auto"/>
                <w:sz w:val="22"/>
                <w:highlight w:val="none"/>
              </w:rPr>
              <w:t>投标文件递交地点：“政府采购云平台（http://zfcg.czt.zj.gov.cn/）”在线递交</w:t>
            </w:r>
          </w:p>
        </w:tc>
      </w:tr>
      <w:tr w14:paraId="3E154C3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325" w:hRule="atLeast"/>
          <w:jc w:val="center"/>
        </w:trPr>
        <w:tc>
          <w:tcPr>
            <w:tcW w:w="952" w:type="dxa"/>
            <w:vAlign w:val="center"/>
          </w:tcPr>
          <w:p w14:paraId="7E06D491">
            <w:pPr>
              <w:widowControl/>
              <w:numPr>
                <w:ilvl w:val="0"/>
                <w:numId w:val="1"/>
              </w:numPr>
              <w:tabs>
                <w:tab w:val="left" w:pos="420"/>
                <w:tab w:val="left" w:pos="1069"/>
                <w:tab w:val="left" w:pos="2352"/>
                <w:tab w:val="clear" w:pos="720"/>
              </w:tabs>
              <w:ind w:left="420" w:hanging="420"/>
              <w:jc w:val="right"/>
              <w:rPr>
                <w:rFonts w:ascii="宋体" w:hAnsi="宋体" w:cs="宋体"/>
                <w:color w:val="auto"/>
                <w:sz w:val="22"/>
                <w:highlight w:val="none"/>
              </w:rPr>
            </w:pPr>
          </w:p>
        </w:tc>
        <w:tc>
          <w:tcPr>
            <w:tcW w:w="1600" w:type="dxa"/>
            <w:vAlign w:val="center"/>
          </w:tcPr>
          <w:p w14:paraId="392B6E10">
            <w:pPr>
              <w:tabs>
                <w:tab w:val="left" w:pos="1069"/>
                <w:tab w:val="left" w:pos="2352"/>
              </w:tabs>
              <w:jc w:val="center"/>
              <w:rPr>
                <w:rFonts w:ascii="宋体" w:hAnsi="宋体" w:cs="宋体"/>
                <w:color w:val="auto"/>
                <w:sz w:val="22"/>
                <w:highlight w:val="none"/>
              </w:rPr>
            </w:pPr>
            <w:r>
              <w:rPr>
                <w:rFonts w:hint="eastAsia" w:ascii="宋体" w:hAnsi="宋体" w:cs="宋体"/>
                <w:color w:val="auto"/>
                <w:sz w:val="22"/>
                <w:highlight w:val="none"/>
              </w:rPr>
              <w:t>开标时间</w:t>
            </w:r>
          </w:p>
          <w:p w14:paraId="38275954">
            <w:pPr>
              <w:tabs>
                <w:tab w:val="left" w:pos="1069"/>
                <w:tab w:val="left" w:pos="2352"/>
              </w:tabs>
              <w:jc w:val="center"/>
              <w:rPr>
                <w:rFonts w:ascii="宋体" w:hAnsi="宋体" w:cs="宋体"/>
                <w:color w:val="auto"/>
                <w:sz w:val="22"/>
                <w:highlight w:val="none"/>
              </w:rPr>
            </w:pPr>
            <w:r>
              <w:rPr>
                <w:rFonts w:hint="eastAsia" w:ascii="宋体" w:hAnsi="宋体" w:cs="宋体"/>
                <w:color w:val="auto"/>
                <w:sz w:val="22"/>
                <w:highlight w:val="none"/>
              </w:rPr>
              <w:t>开标地点</w:t>
            </w:r>
          </w:p>
        </w:tc>
        <w:tc>
          <w:tcPr>
            <w:tcW w:w="7619" w:type="dxa"/>
            <w:vAlign w:val="center"/>
          </w:tcPr>
          <w:p w14:paraId="1C81A066">
            <w:pPr>
              <w:tabs>
                <w:tab w:val="left" w:pos="1069"/>
                <w:tab w:val="left" w:pos="2352"/>
              </w:tabs>
              <w:jc w:val="left"/>
              <w:rPr>
                <w:rFonts w:ascii="宋体" w:hAnsi="宋体" w:cs="宋体"/>
                <w:color w:val="auto"/>
                <w:sz w:val="22"/>
                <w:highlight w:val="none"/>
              </w:rPr>
            </w:pPr>
            <w:r>
              <w:rPr>
                <w:rFonts w:hint="eastAsia" w:ascii="宋体" w:hAnsi="宋体" w:cs="宋体"/>
                <w:color w:val="auto"/>
                <w:sz w:val="22"/>
                <w:highlight w:val="none"/>
              </w:rPr>
              <w:t>开标时间：</w:t>
            </w:r>
            <w:r>
              <w:rPr>
                <w:rFonts w:hint="eastAsia" w:ascii="宋体" w:hAnsi="宋体" w:cs="宋体"/>
                <w:color w:val="auto"/>
                <w:sz w:val="22"/>
                <w:highlight w:val="none"/>
                <w:lang w:eastAsia="zh-CN"/>
              </w:rPr>
              <w:t>2025年03月11 日 09:00</w:t>
            </w:r>
            <w:r>
              <w:rPr>
                <w:rFonts w:hint="eastAsia" w:ascii="宋体" w:hAnsi="宋体" w:cs="宋体"/>
                <w:color w:val="auto"/>
                <w:sz w:val="22"/>
                <w:highlight w:val="none"/>
              </w:rPr>
              <w:t xml:space="preserve"> (北京时间)</w:t>
            </w:r>
          </w:p>
          <w:p w14:paraId="065A9E90">
            <w:pPr>
              <w:tabs>
                <w:tab w:val="left" w:pos="1069"/>
                <w:tab w:val="left" w:pos="2352"/>
              </w:tabs>
              <w:jc w:val="left"/>
              <w:rPr>
                <w:rFonts w:ascii="宋体" w:hAnsi="宋体" w:cs="宋体"/>
                <w:color w:val="auto"/>
                <w:sz w:val="22"/>
                <w:highlight w:val="none"/>
              </w:rPr>
            </w:pPr>
            <w:r>
              <w:rPr>
                <w:rFonts w:hint="eastAsia" w:ascii="宋体" w:hAnsi="宋体" w:cs="宋体"/>
                <w:color w:val="auto"/>
                <w:sz w:val="22"/>
                <w:highlight w:val="none"/>
              </w:rPr>
              <w:t>开标地点：“政府采购云平台（http://zfcg.czt.zj.gov.cn/）”在线开标</w:t>
            </w:r>
          </w:p>
        </w:tc>
      </w:tr>
      <w:tr w14:paraId="3983E74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325" w:hRule="atLeast"/>
          <w:jc w:val="center"/>
        </w:trPr>
        <w:tc>
          <w:tcPr>
            <w:tcW w:w="952" w:type="dxa"/>
            <w:vAlign w:val="center"/>
          </w:tcPr>
          <w:p w14:paraId="569860AB">
            <w:pPr>
              <w:widowControl/>
              <w:numPr>
                <w:ilvl w:val="0"/>
                <w:numId w:val="1"/>
              </w:numPr>
              <w:tabs>
                <w:tab w:val="left" w:pos="420"/>
                <w:tab w:val="left" w:pos="1069"/>
                <w:tab w:val="left" w:pos="2352"/>
                <w:tab w:val="clear" w:pos="720"/>
              </w:tabs>
              <w:ind w:left="420" w:hanging="420"/>
              <w:jc w:val="right"/>
              <w:rPr>
                <w:rFonts w:ascii="宋体" w:hAnsi="宋体" w:cs="宋体"/>
                <w:color w:val="auto"/>
                <w:sz w:val="22"/>
                <w:highlight w:val="none"/>
              </w:rPr>
            </w:pPr>
          </w:p>
        </w:tc>
        <w:tc>
          <w:tcPr>
            <w:tcW w:w="1600" w:type="dxa"/>
            <w:vAlign w:val="center"/>
          </w:tcPr>
          <w:p w14:paraId="5C626794">
            <w:pPr>
              <w:tabs>
                <w:tab w:val="left" w:pos="1069"/>
                <w:tab w:val="left" w:pos="2352"/>
              </w:tabs>
              <w:jc w:val="center"/>
              <w:rPr>
                <w:rFonts w:ascii="宋体" w:hAnsi="宋体" w:cs="宋体"/>
                <w:color w:val="auto"/>
                <w:sz w:val="22"/>
                <w:highlight w:val="none"/>
              </w:rPr>
            </w:pPr>
            <w:r>
              <w:rPr>
                <w:rFonts w:hint="eastAsia" w:ascii="宋体" w:hAnsi="宋体" w:cs="宋体"/>
                <w:color w:val="auto"/>
                <w:sz w:val="22"/>
                <w:highlight w:val="none"/>
              </w:rPr>
              <w:t>评审地点</w:t>
            </w:r>
          </w:p>
        </w:tc>
        <w:tc>
          <w:tcPr>
            <w:tcW w:w="7619" w:type="dxa"/>
            <w:vAlign w:val="center"/>
          </w:tcPr>
          <w:p w14:paraId="14F0D97D">
            <w:pPr>
              <w:tabs>
                <w:tab w:val="left" w:pos="1069"/>
                <w:tab w:val="left" w:pos="2352"/>
              </w:tabs>
              <w:jc w:val="left"/>
              <w:rPr>
                <w:rFonts w:ascii="宋体" w:hAnsi="宋体" w:cs="宋体"/>
                <w:color w:val="auto"/>
                <w:sz w:val="22"/>
                <w:highlight w:val="none"/>
              </w:rPr>
            </w:pPr>
            <w:r>
              <w:rPr>
                <w:rFonts w:hint="eastAsia" w:ascii="宋体" w:hAnsi="宋体" w:cs="宋体"/>
                <w:color w:val="auto"/>
                <w:sz w:val="22"/>
                <w:highlight w:val="none"/>
              </w:rPr>
              <w:t>泰顺县公共资源交易中心五楼评标室1（温州市泰顺县罗阳镇新城大道123号）</w:t>
            </w:r>
          </w:p>
        </w:tc>
      </w:tr>
      <w:tr w14:paraId="7080E5E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2084" w:hRule="atLeast"/>
          <w:jc w:val="center"/>
        </w:trPr>
        <w:tc>
          <w:tcPr>
            <w:tcW w:w="952" w:type="dxa"/>
            <w:vAlign w:val="center"/>
          </w:tcPr>
          <w:p w14:paraId="39317FD5">
            <w:pPr>
              <w:widowControl/>
              <w:numPr>
                <w:ilvl w:val="0"/>
                <w:numId w:val="1"/>
              </w:numPr>
              <w:tabs>
                <w:tab w:val="left" w:pos="420"/>
                <w:tab w:val="left" w:pos="1069"/>
                <w:tab w:val="left" w:pos="2352"/>
                <w:tab w:val="clear" w:pos="720"/>
              </w:tabs>
              <w:ind w:left="420" w:hanging="420"/>
              <w:jc w:val="right"/>
              <w:rPr>
                <w:rFonts w:ascii="宋体" w:hAnsi="宋体" w:cs="宋体"/>
                <w:color w:val="auto"/>
                <w:sz w:val="22"/>
                <w:highlight w:val="none"/>
              </w:rPr>
            </w:pPr>
          </w:p>
        </w:tc>
        <w:tc>
          <w:tcPr>
            <w:tcW w:w="1600" w:type="dxa"/>
            <w:vAlign w:val="center"/>
          </w:tcPr>
          <w:p w14:paraId="5A1066D8">
            <w:pPr>
              <w:tabs>
                <w:tab w:val="left" w:pos="1069"/>
                <w:tab w:val="left" w:pos="2352"/>
              </w:tabs>
              <w:jc w:val="center"/>
              <w:rPr>
                <w:rFonts w:ascii="宋体" w:hAnsi="宋体" w:cs="宋体"/>
                <w:color w:val="auto"/>
                <w:sz w:val="22"/>
                <w:highlight w:val="none"/>
              </w:rPr>
            </w:pPr>
            <w:r>
              <w:rPr>
                <w:rFonts w:hint="eastAsia" w:ascii="宋体" w:hAnsi="宋体" w:cs="宋体"/>
                <w:color w:val="auto"/>
                <w:sz w:val="22"/>
                <w:highlight w:val="none"/>
              </w:rPr>
              <w:t>开标程序</w:t>
            </w:r>
          </w:p>
        </w:tc>
        <w:tc>
          <w:tcPr>
            <w:tcW w:w="7619" w:type="dxa"/>
            <w:vAlign w:val="center"/>
          </w:tcPr>
          <w:p w14:paraId="10C59A7E">
            <w:pPr>
              <w:tabs>
                <w:tab w:val="left" w:pos="1069"/>
                <w:tab w:val="left" w:pos="2352"/>
              </w:tabs>
              <w:jc w:val="left"/>
              <w:rPr>
                <w:rFonts w:ascii="宋体" w:hAnsi="宋体" w:cs="宋体"/>
                <w:color w:val="auto"/>
                <w:sz w:val="22"/>
                <w:highlight w:val="none"/>
              </w:rPr>
            </w:pPr>
            <w:r>
              <w:rPr>
                <w:rFonts w:hint="eastAsia" w:ascii="宋体" w:hAnsi="宋体" w:cs="宋体"/>
                <w:color w:val="auto"/>
                <w:sz w:val="22"/>
                <w:highlight w:val="none"/>
              </w:rPr>
              <w:t>（一）开标准备</w:t>
            </w:r>
          </w:p>
          <w:p w14:paraId="5E9487FB">
            <w:pPr>
              <w:tabs>
                <w:tab w:val="left" w:pos="1069"/>
                <w:tab w:val="left" w:pos="2352"/>
              </w:tabs>
              <w:jc w:val="left"/>
              <w:rPr>
                <w:rFonts w:ascii="宋体" w:hAnsi="宋体" w:cs="宋体"/>
                <w:color w:val="auto"/>
                <w:sz w:val="22"/>
                <w:highlight w:val="none"/>
              </w:rPr>
            </w:pPr>
            <w:r>
              <w:rPr>
                <w:rFonts w:hint="eastAsia" w:ascii="宋体" w:hAnsi="宋体" w:cs="宋体"/>
                <w:color w:val="auto"/>
                <w:sz w:val="22"/>
                <w:highlight w:val="none"/>
              </w:rPr>
              <w:t>1.采购组织机构原则上采用电子评标，按照响应文件规定的时间通过“政府采购云平台”组织开标、开启响应文件，所有供应商均应当准时在线参加。供应商如不参加磋商大会的，视同认可磋商结果，事后不得对采购相关人员、磋商过程和磋商结果提出异议，同时供应商因未在线参加磋商而导致响应文件无法按时解密等一切后果由供应商自己承担。</w:t>
            </w:r>
          </w:p>
          <w:p w14:paraId="33DDD4D6">
            <w:pPr>
              <w:tabs>
                <w:tab w:val="left" w:pos="1069"/>
                <w:tab w:val="left" w:pos="2352"/>
              </w:tabs>
              <w:jc w:val="left"/>
              <w:rPr>
                <w:rFonts w:ascii="宋体" w:hAnsi="宋体" w:cs="宋体"/>
                <w:color w:val="auto"/>
                <w:sz w:val="22"/>
                <w:highlight w:val="none"/>
              </w:rPr>
            </w:pPr>
            <w:r>
              <w:rPr>
                <w:rFonts w:hint="eastAsia" w:ascii="宋体" w:hAnsi="宋体" w:cs="宋体"/>
                <w:color w:val="auto"/>
                <w:sz w:val="22"/>
                <w:highlight w:val="none"/>
              </w:rPr>
              <w:t>2.若磋商供应商在规定时间内无法解密或解密失败的，其投标无效。</w:t>
            </w:r>
          </w:p>
          <w:p w14:paraId="522596D3">
            <w:pPr>
              <w:tabs>
                <w:tab w:val="left" w:pos="1069"/>
                <w:tab w:val="left" w:pos="2352"/>
              </w:tabs>
              <w:jc w:val="left"/>
              <w:rPr>
                <w:rFonts w:ascii="宋体" w:hAnsi="宋体" w:cs="宋体"/>
                <w:color w:val="auto"/>
                <w:sz w:val="22"/>
                <w:highlight w:val="none"/>
              </w:rPr>
            </w:pPr>
            <w:r>
              <w:rPr>
                <w:rFonts w:hint="eastAsia" w:ascii="宋体" w:hAnsi="宋体" w:cs="宋体"/>
                <w:color w:val="auto"/>
                <w:sz w:val="22"/>
                <w:highlight w:val="none"/>
              </w:rPr>
              <w:t>3.所有二次报价询标流程，均在线上完成，请各供应商务必不要离开电脑太久，并留意手机短信。（请提前检查“政采云”内，关于‘项目采购’的岗位权限是否已勾选上。如有问题，请致电400-881-7190）。</w:t>
            </w:r>
          </w:p>
          <w:p w14:paraId="46B0647C">
            <w:pPr>
              <w:tabs>
                <w:tab w:val="left" w:pos="1069"/>
                <w:tab w:val="left" w:pos="2352"/>
              </w:tabs>
              <w:jc w:val="left"/>
              <w:rPr>
                <w:rFonts w:ascii="宋体" w:hAnsi="宋体" w:cs="宋体"/>
                <w:color w:val="auto"/>
                <w:sz w:val="22"/>
                <w:highlight w:val="none"/>
              </w:rPr>
            </w:pPr>
            <w:r>
              <w:rPr>
                <w:rFonts w:hint="eastAsia" w:ascii="宋体" w:hAnsi="宋体" w:cs="宋体"/>
                <w:color w:val="auto"/>
                <w:sz w:val="22"/>
                <w:highlight w:val="none"/>
              </w:rPr>
              <w:t>（二）电子招投标开标及评审程序</w:t>
            </w:r>
          </w:p>
          <w:p w14:paraId="19971D48">
            <w:pPr>
              <w:tabs>
                <w:tab w:val="left" w:pos="1069"/>
                <w:tab w:val="left" w:pos="2352"/>
              </w:tabs>
              <w:jc w:val="left"/>
              <w:rPr>
                <w:rFonts w:ascii="宋体" w:hAnsi="宋体" w:cs="宋体"/>
                <w:color w:val="auto"/>
                <w:sz w:val="22"/>
                <w:highlight w:val="none"/>
              </w:rPr>
            </w:pPr>
            <w:r>
              <w:rPr>
                <w:rFonts w:hint="eastAsia" w:ascii="宋体" w:hAnsi="宋体" w:cs="宋体"/>
                <w:color w:val="auto"/>
                <w:sz w:val="22"/>
                <w:highlight w:val="none"/>
              </w:rPr>
              <w:t>1）开标会由采购代理机构主持，磋商响应截止时间后，供应商登录政采云平台，用“项目采购-开标评标”功能对电子投标文件进行在线解密，各供应商代表在收到解密通知后30分钟内自行完成“电子加密投标文件”的在线解密。</w:t>
            </w:r>
          </w:p>
          <w:p w14:paraId="7BF4140A">
            <w:pPr>
              <w:tabs>
                <w:tab w:val="left" w:pos="1069"/>
                <w:tab w:val="left" w:pos="2352"/>
              </w:tabs>
              <w:jc w:val="left"/>
              <w:rPr>
                <w:rFonts w:ascii="宋体" w:hAnsi="宋体" w:cs="宋体"/>
                <w:color w:val="auto"/>
                <w:sz w:val="22"/>
                <w:highlight w:val="none"/>
              </w:rPr>
            </w:pPr>
            <w:r>
              <w:rPr>
                <w:rFonts w:hint="eastAsia" w:ascii="宋体" w:hAnsi="宋体" w:cs="宋体"/>
                <w:color w:val="auto"/>
                <w:sz w:val="22"/>
                <w:highlight w:val="none"/>
              </w:rPr>
              <w:t>2）投标文件解密结束，开启投标文件，对资格文件进行审查，并公布资格审查情况；</w:t>
            </w:r>
          </w:p>
          <w:p w14:paraId="3F9FA6FA">
            <w:pPr>
              <w:tabs>
                <w:tab w:val="left" w:pos="1069"/>
                <w:tab w:val="left" w:pos="2352"/>
              </w:tabs>
              <w:jc w:val="left"/>
              <w:rPr>
                <w:rFonts w:ascii="宋体" w:hAnsi="宋体" w:cs="宋体"/>
                <w:color w:val="auto"/>
                <w:sz w:val="22"/>
                <w:highlight w:val="none"/>
              </w:rPr>
            </w:pPr>
            <w:r>
              <w:rPr>
                <w:rFonts w:hint="eastAsia" w:ascii="宋体" w:hAnsi="宋体" w:cs="宋体"/>
                <w:color w:val="auto"/>
                <w:sz w:val="22"/>
                <w:highlight w:val="none"/>
              </w:rPr>
              <w:t>3）评审小组就价格、服务等认为需要磋商的内容进行磋商，供应商逐家回答磋商小组的提问，响应人作出最终承诺和最终报价。</w:t>
            </w:r>
          </w:p>
          <w:p w14:paraId="5A327E0D">
            <w:pPr>
              <w:tabs>
                <w:tab w:val="left" w:pos="1069"/>
                <w:tab w:val="left" w:pos="2352"/>
              </w:tabs>
              <w:jc w:val="left"/>
              <w:rPr>
                <w:rFonts w:ascii="宋体" w:hAnsi="宋体" w:cs="宋体"/>
                <w:color w:val="auto"/>
                <w:sz w:val="22"/>
                <w:highlight w:val="none"/>
              </w:rPr>
            </w:pPr>
            <w:r>
              <w:rPr>
                <w:rFonts w:hint="eastAsia" w:ascii="宋体" w:hAnsi="宋体" w:cs="宋体"/>
                <w:color w:val="auto"/>
                <w:sz w:val="22"/>
                <w:highlight w:val="none"/>
              </w:rPr>
              <w:t>4）对商务技术文件进行评审；</w:t>
            </w:r>
          </w:p>
          <w:p w14:paraId="4BEF0290">
            <w:pPr>
              <w:tabs>
                <w:tab w:val="left" w:pos="1069"/>
                <w:tab w:val="left" w:pos="2352"/>
              </w:tabs>
              <w:jc w:val="left"/>
              <w:rPr>
                <w:rFonts w:ascii="宋体" w:hAnsi="宋体" w:cs="宋体"/>
                <w:color w:val="auto"/>
                <w:sz w:val="22"/>
                <w:highlight w:val="none"/>
              </w:rPr>
            </w:pPr>
            <w:r>
              <w:rPr>
                <w:rFonts w:hint="eastAsia" w:ascii="宋体" w:hAnsi="宋体" w:cs="宋体"/>
                <w:color w:val="auto"/>
                <w:sz w:val="22"/>
                <w:highlight w:val="none"/>
              </w:rPr>
              <w:t>5）对报价文件进行评审；</w:t>
            </w:r>
          </w:p>
          <w:p w14:paraId="793D9147">
            <w:pPr>
              <w:tabs>
                <w:tab w:val="left" w:pos="1069"/>
                <w:tab w:val="left" w:pos="2352"/>
              </w:tabs>
              <w:jc w:val="left"/>
              <w:rPr>
                <w:rFonts w:ascii="宋体" w:hAnsi="宋体" w:cs="宋体"/>
                <w:color w:val="auto"/>
                <w:sz w:val="22"/>
                <w:highlight w:val="none"/>
              </w:rPr>
            </w:pPr>
            <w:r>
              <w:rPr>
                <w:rFonts w:hint="eastAsia" w:ascii="宋体" w:hAnsi="宋体" w:cs="宋体"/>
                <w:color w:val="auto"/>
                <w:sz w:val="22"/>
                <w:highlight w:val="none"/>
              </w:rPr>
              <w:t>6）公布评审结果。</w:t>
            </w:r>
          </w:p>
          <w:p w14:paraId="24475F7D">
            <w:pPr>
              <w:tabs>
                <w:tab w:val="left" w:pos="1069"/>
                <w:tab w:val="left" w:pos="2352"/>
              </w:tabs>
              <w:jc w:val="left"/>
              <w:rPr>
                <w:rFonts w:ascii="宋体" w:hAnsi="宋体" w:cs="宋体"/>
                <w:color w:val="auto"/>
                <w:sz w:val="22"/>
                <w:highlight w:val="none"/>
              </w:rPr>
            </w:pPr>
            <w:r>
              <w:rPr>
                <w:rFonts w:hint="eastAsia" w:ascii="宋体" w:hAnsi="宋体" w:cs="宋体"/>
                <w:b/>
                <w:bCs/>
                <w:color w:val="auto"/>
                <w:sz w:val="22"/>
                <w:highlight w:val="none"/>
              </w:rPr>
              <w:t>特别说明：政采云公司如对电子化开标及评审程序有调整的，按调整后的程序操作。</w:t>
            </w:r>
          </w:p>
        </w:tc>
      </w:tr>
      <w:tr w14:paraId="4E5FAB3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824" w:hRule="atLeast"/>
          <w:jc w:val="center"/>
        </w:trPr>
        <w:tc>
          <w:tcPr>
            <w:tcW w:w="952" w:type="dxa"/>
            <w:vAlign w:val="center"/>
          </w:tcPr>
          <w:p w14:paraId="6857A6E3">
            <w:pPr>
              <w:widowControl/>
              <w:numPr>
                <w:ilvl w:val="0"/>
                <w:numId w:val="1"/>
              </w:numPr>
              <w:tabs>
                <w:tab w:val="left" w:pos="420"/>
                <w:tab w:val="left" w:pos="1069"/>
                <w:tab w:val="left" w:pos="2352"/>
                <w:tab w:val="clear" w:pos="720"/>
              </w:tabs>
              <w:ind w:left="420" w:hanging="420"/>
              <w:jc w:val="right"/>
              <w:rPr>
                <w:rFonts w:ascii="宋体" w:hAnsi="宋体" w:cs="宋体"/>
                <w:color w:val="auto"/>
                <w:sz w:val="22"/>
                <w:highlight w:val="none"/>
              </w:rPr>
            </w:pPr>
          </w:p>
        </w:tc>
        <w:tc>
          <w:tcPr>
            <w:tcW w:w="1600" w:type="dxa"/>
            <w:vAlign w:val="center"/>
          </w:tcPr>
          <w:p w14:paraId="59213FAF">
            <w:pPr>
              <w:tabs>
                <w:tab w:val="left" w:pos="1069"/>
                <w:tab w:val="left" w:pos="2352"/>
              </w:tabs>
              <w:jc w:val="center"/>
              <w:rPr>
                <w:rFonts w:ascii="宋体" w:hAnsi="宋体" w:cs="宋体"/>
                <w:color w:val="auto"/>
                <w:sz w:val="22"/>
                <w:highlight w:val="none"/>
              </w:rPr>
            </w:pPr>
            <w:r>
              <w:rPr>
                <w:rFonts w:hint="eastAsia" w:ascii="宋体" w:hAnsi="宋体" w:cs="宋体"/>
                <w:color w:val="auto"/>
                <w:sz w:val="22"/>
                <w:highlight w:val="none"/>
              </w:rPr>
              <w:t>评审小组的</w:t>
            </w:r>
          </w:p>
          <w:p w14:paraId="0BC689C2">
            <w:pPr>
              <w:tabs>
                <w:tab w:val="left" w:pos="1069"/>
                <w:tab w:val="left" w:pos="2352"/>
              </w:tabs>
              <w:jc w:val="center"/>
              <w:rPr>
                <w:rFonts w:ascii="宋体" w:hAnsi="宋体" w:cs="宋体"/>
                <w:color w:val="auto"/>
                <w:sz w:val="22"/>
                <w:highlight w:val="none"/>
              </w:rPr>
            </w:pPr>
            <w:r>
              <w:rPr>
                <w:rFonts w:hint="eastAsia" w:ascii="宋体" w:hAnsi="宋体" w:cs="宋体"/>
                <w:color w:val="auto"/>
                <w:sz w:val="22"/>
                <w:highlight w:val="none"/>
              </w:rPr>
              <w:t>组建</w:t>
            </w:r>
          </w:p>
        </w:tc>
        <w:tc>
          <w:tcPr>
            <w:tcW w:w="7619" w:type="dxa"/>
            <w:vAlign w:val="center"/>
          </w:tcPr>
          <w:p w14:paraId="5E8BA3D5">
            <w:pPr>
              <w:tabs>
                <w:tab w:val="left" w:pos="1069"/>
                <w:tab w:val="left" w:pos="2352"/>
              </w:tabs>
              <w:jc w:val="left"/>
              <w:rPr>
                <w:rFonts w:ascii="宋体" w:hAnsi="宋体" w:cs="宋体"/>
                <w:color w:val="auto"/>
                <w:sz w:val="22"/>
                <w:highlight w:val="none"/>
              </w:rPr>
            </w:pPr>
            <w:r>
              <w:rPr>
                <w:rFonts w:hint="eastAsia" w:ascii="宋体" w:hAnsi="宋体" w:cs="宋体"/>
                <w:color w:val="auto"/>
                <w:sz w:val="22"/>
                <w:highlight w:val="none"/>
              </w:rPr>
              <w:t>评审小组构成：由采购人代表以及有关技术、经济等方面的专家组成，成员为3人及以上单数，其中技术、经济类专家不得少于总人数的2/3；评标专家确定方式：按相关规定从专家库中抽取。</w:t>
            </w:r>
          </w:p>
        </w:tc>
      </w:tr>
      <w:tr w14:paraId="0EE2FC3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824" w:hRule="atLeast"/>
          <w:jc w:val="center"/>
        </w:trPr>
        <w:tc>
          <w:tcPr>
            <w:tcW w:w="952" w:type="dxa"/>
            <w:vAlign w:val="center"/>
          </w:tcPr>
          <w:p w14:paraId="6F4C1673">
            <w:pPr>
              <w:widowControl/>
              <w:numPr>
                <w:ilvl w:val="0"/>
                <w:numId w:val="1"/>
              </w:numPr>
              <w:tabs>
                <w:tab w:val="left" w:pos="420"/>
                <w:tab w:val="left" w:pos="1069"/>
                <w:tab w:val="left" w:pos="2352"/>
                <w:tab w:val="clear" w:pos="720"/>
              </w:tabs>
              <w:ind w:left="420" w:hanging="420"/>
              <w:jc w:val="right"/>
              <w:rPr>
                <w:rFonts w:ascii="宋体" w:hAnsi="宋体" w:cs="宋体"/>
                <w:color w:val="auto"/>
                <w:sz w:val="22"/>
                <w:highlight w:val="none"/>
              </w:rPr>
            </w:pPr>
          </w:p>
        </w:tc>
        <w:tc>
          <w:tcPr>
            <w:tcW w:w="1600" w:type="dxa"/>
            <w:vAlign w:val="center"/>
          </w:tcPr>
          <w:p w14:paraId="76F52E73">
            <w:pPr>
              <w:adjustRightInd w:val="0"/>
              <w:jc w:val="center"/>
              <w:rPr>
                <w:rFonts w:ascii="宋体" w:hAnsi="宋体" w:cs="宋体"/>
                <w:color w:val="auto"/>
                <w:sz w:val="22"/>
                <w:highlight w:val="none"/>
              </w:rPr>
            </w:pPr>
            <w:r>
              <w:rPr>
                <w:rFonts w:hint="eastAsia" w:ascii="宋体" w:hAnsi="宋体" w:cs="宋体"/>
                <w:color w:val="auto"/>
                <w:sz w:val="22"/>
                <w:highlight w:val="none"/>
              </w:rPr>
              <w:t>政府采购</w:t>
            </w:r>
          </w:p>
          <w:p w14:paraId="32DEF863">
            <w:pPr>
              <w:adjustRightInd w:val="0"/>
              <w:jc w:val="center"/>
              <w:rPr>
                <w:rFonts w:ascii="宋体" w:hAnsi="宋体" w:cs="宋体"/>
                <w:color w:val="auto"/>
                <w:sz w:val="22"/>
                <w:highlight w:val="none"/>
              </w:rPr>
            </w:pPr>
            <w:r>
              <w:rPr>
                <w:rFonts w:hint="eastAsia" w:ascii="宋体" w:hAnsi="宋体" w:cs="宋体"/>
                <w:color w:val="auto"/>
                <w:sz w:val="22"/>
                <w:highlight w:val="none"/>
              </w:rPr>
              <w:t>扶持政策</w:t>
            </w:r>
          </w:p>
        </w:tc>
        <w:tc>
          <w:tcPr>
            <w:tcW w:w="7619" w:type="dxa"/>
            <w:vAlign w:val="center"/>
          </w:tcPr>
          <w:p w14:paraId="3CEB9CF4">
            <w:pPr>
              <w:rPr>
                <w:rFonts w:ascii="宋体" w:hAnsi="宋体" w:cs="宋体"/>
                <w:color w:val="auto"/>
                <w:sz w:val="22"/>
                <w:highlight w:val="none"/>
              </w:rPr>
            </w:pPr>
            <w:r>
              <w:rPr>
                <w:rFonts w:hint="eastAsia" w:ascii="宋体" w:hAnsi="宋体" w:cs="宋体"/>
                <w:color w:val="auto"/>
                <w:sz w:val="22"/>
                <w:highlight w:val="none"/>
              </w:rPr>
              <w:t>1</w:t>
            </w:r>
            <w:r>
              <w:rPr>
                <w:rFonts w:hint="eastAsia" w:ascii="宋体" w:hAnsi="宋体" w:cs="宋体"/>
                <w:color w:val="auto"/>
                <w:sz w:val="22"/>
                <w:highlight w:val="none"/>
                <w:lang w:eastAsia="zh-CN"/>
              </w:rPr>
              <w:t>.</w:t>
            </w:r>
            <w:r>
              <w:rPr>
                <w:rFonts w:hint="eastAsia" w:ascii="宋体" w:hAnsi="宋体" w:cs="宋体"/>
                <w:color w:val="auto"/>
                <w:sz w:val="22"/>
                <w:highlight w:val="none"/>
              </w:rPr>
              <w:t>本项目专门面向中小企业采购，不再执行价格评审优惠的扶持政策。</w:t>
            </w:r>
          </w:p>
          <w:p w14:paraId="5ECA4ECF">
            <w:pPr>
              <w:rPr>
                <w:rFonts w:ascii="宋体" w:hAnsi="宋体" w:cs="宋体"/>
                <w:color w:val="auto"/>
                <w:sz w:val="22"/>
                <w:highlight w:val="none"/>
              </w:rPr>
            </w:pPr>
            <w:r>
              <w:rPr>
                <w:rFonts w:hint="eastAsia" w:ascii="宋体" w:hAnsi="宋体" w:cs="宋体"/>
                <w:color w:val="auto"/>
                <w:sz w:val="22"/>
                <w:highlight w:val="none"/>
              </w:rPr>
              <w:t>2</w:t>
            </w:r>
            <w:r>
              <w:rPr>
                <w:rFonts w:hint="eastAsia" w:ascii="宋体" w:hAnsi="宋体" w:cs="宋体"/>
                <w:color w:val="auto"/>
                <w:sz w:val="22"/>
                <w:highlight w:val="none"/>
                <w:lang w:eastAsia="zh-CN"/>
              </w:rPr>
              <w:t>.</w:t>
            </w:r>
            <w:r>
              <w:rPr>
                <w:rFonts w:hint="eastAsia" w:ascii="宋体" w:hAnsi="宋体" w:cs="宋体"/>
                <w:color w:val="auto"/>
                <w:sz w:val="22"/>
                <w:highlight w:val="none"/>
              </w:rPr>
              <w:t>对节能、环保产品优先采购。</w:t>
            </w:r>
          </w:p>
        </w:tc>
      </w:tr>
      <w:tr w14:paraId="778D7C1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1041" w:hRule="atLeast"/>
          <w:jc w:val="center"/>
        </w:trPr>
        <w:tc>
          <w:tcPr>
            <w:tcW w:w="952" w:type="dxa"/>
            <w:vAlign w:val="center"/>
          </w:tcPr>
          <w:p w14:paraId="2E575B38">
            <w:pPr>
              <w:widowControl/>
              <w:numPr>
                <w:ilvl w:val="0"/>
                <w:numId w:val="1"/>
              </w:numPr>
              <w:tabs>
                <w:tab w:val="left" w:pos="420"/>
                <w:tab w:val="left" w:pos="1069"/>
                <w:tab w:val="left" w:pos="2352"/>
                <w:tab w:val="clear" w:pos="720"/>
              </w:tabs>
              <w:ind w:left="420" w:hanging="420"/>
              <w:jc w:val="right"/>
              <w:rPr>
                <w:rFonts w:ascii="宋体" w:hAnsi="宋体" w:cs="宋体"/>
                <w:color w:val="auto"/>
                <w:sz w:val="22"/>
                <w:highlight w:val="none"/>
              </w:rPr>
            </w:pPr>
          </w:p>
        </w:tc>
        <w:tc>
          <w:tcPr>
            <w:tcW w:w="1600" w:type="dxa"/>
            <w:vAlign w:val="center"/>
          </w:tcPr>
          <w:p w14:paraId="7B919044">
            <w:pPr>
              <w:tabs>
                <w:tab w:val="left" w:pos="1069"/>
                <w:tab w:val="left" w:pos="2352"/>
              </w:tabs>
              <w:rPr>
                <w:rFonts w:ascii="宋体" w:hAnsi="宋体" w:cs="宋体"/>
                <w:color w:val="auto"/>
                <w:sz w:val="22"/>
                <w:highlight w:val="none"/>
              </w:rPr>
            </w:pPr>
            <w:r>
              <w:rPr>
                <w:rFonts w:hint="eastAsia" w:ascii="宋体" w:hAnsi="宋体" w:cs="宋体"/>
                <w:color w:val="auto"/>
                <w:sz w:val="22"/>
                <w:highlight w:val="none"/>
              </w:rPr>
              <w:t>供应商信用查询</w:t>
            </w:r>
          </w:p>
        </w:tc>
        <w:tc>
          <w:tcPr>
            <w:tcW w:w="7619" w:type="dxa"/>
            <w:vAlign w:val="center"/>
          </w:tcPr>
          <w:p w14:paraId="0E619DFB">
            <w:pPr>
              <w:tabs>
                <w:tab w:val="left" w:pos="1069"/>
                <w:tab w:val="left" w:pos="2352"/>
              </w:tabs>
              <w:rPr>
                <w:rFonts w:ascii="宋体" w:hAnsi="宋体" w:cs="宋体"/>
                <w:color w:val="auto"/>
                <w:sz w:val="22"/>
                <w:highlight w:val="none"/>
              </w:rPr>
            </w:pPr>
            <w:r>
              <w:rPr>
                <w:rFonts w:hint="eastAsia" w:ascii="宋体" w:hAnsi="宋体" w:cs="宋体"/>
                <w:color w:val="auto"/>
                <w:sz w:val="22"/>
                <w:highlight w:val="none"/>
              </w:rPr>
              <w:t>1</w:t>
            </w:r>
            <w:r>
              <w:rPr>
                <w:rFonts w:hint="eastAsia" w:ascii="宋体" w:hAnsi="宋体" w:cs="宋体"/>
                <w:color w:val="auto"/>
                <w:sz w:val="22"/>
                <w:highlight w:val="none"/>
                <w:lang w:eastAsia="zh-CN"/>
              </w:rPr>
              <w:t>.</w:t>
            </w:r>
            <w:r>
              <w:rPr>
                <w:rFonts w:hint="eastAsia" w:ascii="宋体" w:hAnsi="宋体" w:cs="宋体"/>
                <w:color w:val="auto"/>
                <w:sz w:val="22"/>
                <w:highlight w:val="none"/>
              </w:rPr>
              <w:t>投标供应商信用信息查询的查询渠道：“信用中国”(</w:t>
            </w:r>
            <w:r>
              <w:rPr>
                <w:color w:val="auto"/>
                <w:highlight w:val="none"/>
              </w:rPr>
              <w:fldChar w:fldCharType="begin"/>
            </w:r>
            <w:r>
              <w:rPr>
                <w:color w:val="auto"/>
                <w:highlight w:val="none"/>
              </w:rPr>
              <w:instrText xml:space="preserve"> HYPERLINK "http://www.creditchina.gov.cn" </w:instrText>
            </w:r>
            <w:r>
              <w:rPr>
                <w:color w:val="auto"/>
                <w:highlight w:val="none"/>
              </w:rPr>
              <w:fldChar w:fldCharType="separate"/>
            </w:r>
            <w:r>
              <w:rPr>
                <w:rFonts w:hint="eastAsia" w:ascii="宋体" w:hAnsi="宋体" w:cs="宋体"/>
                <w:color w:val="auto"/>
                <w:sz w:val="22"/>
                <w:highlight w:val="none"/>
              </w:rPr>
              <w:t>www.creditchina.gov.cn</w:t>
            </w:r>
            <w:r>
              <w:rPr>
                <w:rFonts w:hint="eastAsia" w:ascii="宋体" w:hAnsi="宋体" w:cs="宋体"/>
                <w:color w:val="auto"/>
                <w:sz w:val="22"/>
                <w:highlight w:val="none"/>
              </w:rPr>
              <w:fldChar w:fldCharType="end"/>
            </w:r>
            <w:r>
              <w:rPr>
                <w:rFonts w:hint="eastAsia" w:ascii="宋体" w:hAnsi="宋体" w:cs="宋体"/>
                <w:color w:val="auto"/>
                <w:sz w:val="22"/>
                <w:highlight w:val="none"/>
              </w:rPr>
              <w:t>)；“中国政府采购网”（http://www.ccgp.gov.cn/）；</w:t>
            </w:r>
          </w:p>
          <w:p w14:paraId="08B8CF54">
            <w:pPr>
              <w:tabs>
                <w:tab w:val="left" w:pos="1069"/>
                <w:tab w:val="left" w:pos="2352"/>
              </w:tabs>
              <w:rPr>
                <w:rFonts w:ascii="宋体" w:hAnsi="宋体" w:cs="宋体"/>
                <w:color w:val="auto"/>
                <w:sz w:val="22"/>
                <w:highlight w:val="none"/>
              </w:rPr>
            </w:pPr>
            <w:r>
              <w:rPr>
                <w:rFonts w:hint="eastAsia" w:ascii="宋体" w:hAnsi="宋体" w:cs="宋体"/>
                <w:color w:val="auto"/>
                <w:sz w:val="22"/>
                <w:highlight w:val="none"/>
              </w:rPr>
              <w:t>2</w:t>
            </w:r>
            <w:r>
              <w:rPr>
                <w:rFonts w:hint="eastAsia" w:ascii="宋体" w:hAnsi="宋体" w:cs="宋体"/>
                <w:color w:val="auto"/>
                <w:sz w:val="22"/>
                <w:highlight w:val="none"/>
                <w:lang w:eastAsia="zh-CN"/>
              </w:rPr>
              <w:t>.</w:t>
            </w:r>
            <w:r>
              <w:rPr>
                <w:rFonts w:hint="eastAsia" w:ascii="宋体" w:hAnsi="宋体" w:cs="宋体"/>
                <w:color w:val="auto"/>
                <w:sz w:val="22"/>
                <w:highlight w:val="none"/>
              </w:rPr>
              <w:t>投标供应商信用信息查询截止时点：本项目投标截止时间前。</w:t>
            </w:r>
          </w:p>
          <w:p w14:paraId="4E287F37">
            <w:pPr>
              <w:tabs>
                <w:tab w:val="left" w:pos="1069"/>
                <w:tab w:val="left" w:pos="2352"/>
              </w:tabs>
              <w:rPr>
                <w:rFonts w:ascii="宋体" w:hAnsi="宋体" w:cs="宋体"/>
                <w:color w:val="auto"/>
                <w:sz w:val="22"/>
                <w:highlight w:val="none"/>
              </w:rPr>
            </w:pPr>
            <w:r>
              <w:rPr>
                <w:rFonts w:hint="eastAsia" w:ascii="宋体" w:hAnsi="宋体" w:cs="宋体"/>
                <w:color w:val="auto"/>
                <w:sz w:val="22"/>
                <w:highlight w:val="none"/>
              </w:rPr>
              <w:t>3</w:t>
            </w:r>
            <w:r>
              <w:rPr>
                <w:rFonts w:hint="eastAsia" w:ascii="宋体" w:hAnsi="宋体" w:cs="宋体"/>
                <w:color w:val="auto"/>
                <w:sz w:val="22"/>
                <w:highlight w:val="none"/>
                <w:lang w:eastAsia="zh-CN"/>
              </w:rPr>
              <w:t>.</w:t>
            </w:r>
            <w:r>
              <w:rPr>
                <w:rFonts w:hint="eastAsia" w:ascii="宋体" w:hAnsi="宋体" w:cs="宋体"/>
                <w:color w:val="auto"/>
                <w:sz w:val="22"/>
                <w:highlight w:val="none"/>
              </w:rPr>
              <w:t>投标供应商信用信息查询记录和证据留存的具体方式：网页截图打印；</w:t>
            </w:r>
          </w:p>
          <w:p w14:paraId="3965D7CD">
            <w:pPr>
              <w:tabs>
                <w:tab w:val="left" w:pos="1069"/>
                <w:tab w:val="left" w:pos="2352"/>
              </w:tabs>
              <w:rPr>
                <w:rFonts w:ascii="宋体" w:hAnsi="宋体" w:cs="宋体"/>
                <w:color w:val="auto"/>
                <w:sz w:val="22"/>
                <w:highlight w:val="none"/>
              </w:rPr>
            </w:pPr>
            <w:r>
              <w:rPr>
                <w:rFonts w:hint="eastAsia" w:ascii="宋体" w:hAnsi="宋体" w:cs="宋体"/>
                <w:color w:val="auto"/>
                <w:sz w:val="22"/>
                <w:highlight w:val="none"/>
              </w:rPr>
              <w:t>4</w:t>
            </w:r>
            <w:r>
              <w:rPr>
                <w:rFonts w:hint="eastAsia" w:ascii="宋体" w:hAnsi="宋体" w:cs="宋体"/>
                <w:color w:val="auto"/>
                <w:sz w:val="22"/>
                <w:highlight w:val="none"/>
                <w:lang w:eastAsia="zh-CN"/>
              </w:rPr>
              <w:t>.</w:t>
            </w:r>
            <w:r>
              <w:rPr>
                <w:rFonts w:hint="eastAsia" w:ascii="宋体" w:hAnsi="宋体" w:cs="宋体"/>
                <w:color w:val="auto"/>
                <w:sz w:val="22"/>
                <w:highlight w:val="none"/>
              </w:rPr>
              <w:t>信用信息的使用规则：信用中国”被列入失信被执行人名单、重大税收违法案件当事人名单的供应商，或“中国政府采购网”具有严重违法失信行为信息记录的供应商，其投标做无效投标处理；</w:t>
            </w:r>
          </w:p>
        </w:tc>
      </w:tr>
      <w:tr w14:paraId="17CE4A6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824" w:hRule="atLeast"/>
          <w:jc w:val="center"/>
        </w:trPr>
        <w:tc>
          <w:tcPr>
            <w:tcW w:w="952" w:type="dxa"/>
            <w:vAlign w:val="center"/>
          </w:tcPr>
          <w:p w14:paraId="4D3AE986">
            <w:pPr>
              <w:widowControl/>
              <w:numPr>
                <w:ilvl w:val="0"/>
                <w:numId w:val="1"/>
              </w:numPr>
              <w:tabs>
                <w:tab w:val="left" w:pos="420"/>
                <w:tab w:val="left" w:pos="1069"/>
                <w:tab w:val="left" w:pos="2352"/>
                <w:tab w:val="clear" w:pos="720"/>
              </w:tabs>
              <w:ind w:left="420" w:hanging="420"/>
              <w:jc w:val="right"/>
              <w:rPr>
                <w:rFonts w:ascii="宋体" w:hAnsi="宋体" w:cs="宋体"/>
                <w:color w:val="auto"/>
                <w:sz w:val="22"/>
                <w:highlight w:val="none"/>
              </w:rPr>
            </w:pPr>
          </w:p>
        </w:tc>
        <w:tc>
          <w:tcPr>
            <w:tcW w:w="1600" w:type="dxa"/>
            <w:vAlign w:val="center"/>
          </w:tcPr>
          <w:p w14:paraId="7CB0B29F">
            <w:pPr>
              <w:tabs>
                <w:tab w:val="left" w:pos="1069"/>
                <w:tab w:val="left" w:pos="2352"/>
              </w:tabs>
              <w:jc w:val="center"/>
              <w:rPr>
                <w:rFonts w:ascii="宋体" w:hAnsi="宋体" w:cs="宋体"/>
                <w:color w:val="auto"/>
                <w:sz w:val="22"/>
                <w:highlight w:val="none"/>
              </w:rPr>
            </w:pPr>
            <w:r>
              <w:rPr>
                <w:rFonts w:hint="eastAsia" w:ascii="宋体" w:hAnsi="宋体" w:cs="宋体"/>
                <w:color w:val="auto"/>
                <w:sz w:val="22"/>
                <w:highlight w:val="none"/>
              </w:rPr>
              <w:t>合同备案</w:t>
            </w:r>
          </w:p>
        </w:tc>
        <w:tc>
          <w:tcPr>
            <w:tcW w:w="7619" w:type="dxa"/>
            <w:vAlign w:val="center"/>
          </w:tcPr>
          <w:p w14:paraId="775C057D">
            <w:pPr>
              <w:numPr>
                <w:ilvl w:val="0"/>
                <w:numId w:val="0"/>
              </w:numPr>
              <w:tabs>
                <w:tab w:val="left" w:pos="1069"/>
                <w:tab w:val="left" w:pos="2352"/>
              </w:tabs>
              <w:jc w:val="both"/>
              <w:rPr>
                <w:rFonts w:ascii="宋体" w:hAnsi="宋体" w:cs="宋体"/>
                <w:color w:val="auto"/>
                <w:sz w:val="22"/>
                <w:highlight w:val="none"/>
              </w:rPr>
            </w:pPr>
            <w:r>
              <w:rPr>
                <w:rFonts w:hint="eastAsia" w:ascii="宋体" w:hAnsi="宋体" w:cs="宋体"/>
                <w:color w:val="auto"/>
                <w:sz w:val="22"/>
                <w:highlight w:val="none"/>
                <w:lang w:val="en-US" w:eastAsia="zh-CN"/>
              </w:rPr>
              <w:t>1.</w:t>
            </w:r>
            <w:r>
              <w:rPr>
                <w:rFonts w:hint="eastAsia" w:ascii="宋体" w:hAnsi="宋体" w:cs="宋体"/>
                <w:color w:val="auto"/>
                <w:sz w:val="22"/>
                <w:highlight w:val="none"/>
              </w:rPr>
              <w:t>中标（成交）供应商须在发出中标（成交）通知书之日起30日历天内与</w:t>
            </w:r>
          </w:p>
          <w:p w14:paraId="619B858E">
            <w:pPr>
              <w:tabs>
                <w:tab w:val="left" w:pos="1069"/>
                <w:tab w:val="left" w:pos="2352"/>
              </w:tabs>
              <w:rPr>
                <w:rFonts w:ascii="宋体" w:hAnsi="宋体" w:cs="宋体"/>
                <w:color w:val="auto"/>
                <w:sz w:val="22"/>
                <w:highlight w:val="none"/>
              </w:rPr>
            </w:pPr>
            <w:r>
              <w:rPr>
                <w:rFonts w:hint="eastAsia" w:ascii="宋体" w:hAnsi="宋体" w:cs="宋体"/>
                <w:color w:val="auto"/>
                <w:sz w:val="22"/>
                <w:highlight w:val="none"/>
              </w:rPr>
              <w:t>采购人签订合同。</w:t>
            </w:r>
          </w:p>
          <w:p w14:paraId="78B5506E">
            <w:pPr>
              <w:tabs>
                <w:tab w:val="left" w:pos="1069"/>
                <w:tab w:val="left" w:pos="2352"/>
              </w:tabs>
              <w:rPr>
                <w:rFonts w:ascii="宋体" w:hAnsi="宋体" w:cs="宋体"/>
                <w:color w:val="auto"/>
                <w:sz w:val="22"/>
                <w:highlight w:val="none"/>
              </w:rPr>
            </w:pPr>
            <w:r>
              <w:rPr>
                <w:rFonts w:hint="eastAsia" w:ascii="宋体" w:hAnsi="宋体" w:cs="宋体"/>
                <w:color w:val="auto"/>
                <w:sz w:val="22"/>
                <w:highlight w:val="none"/>
              </w:rPr>
              <w:t>2</w:t>
            </w:r>
            <w:r>
              <w:rPr>
                <w:rFonts w:hint="eastAsia" w:ascii="宋体" w:hAnsi="宋体" w:cs="宋体"/>
                <w:color w:val="auto"/>
                <w:sz w:val="22"/>
                <w:highlight w:val="none"/>
                <w:lang w:eastAsia="zh-CN"/>
              </w:rPr>
              <w:t>.</w:t>
            </w:r>
            <w:r>
              <w:rPr>
                <w:rFonts w:hint="eastAsia" w:ascii="宋体" w:hAnsi="宋体" w:cs="宋体"/>
                <w:color w:val="auto"/>
                <w:sz w:val="22"/>
                <w:highlight w:val="none"/>
              </w:rPr>
              <w:t>中标（成交）供应商与采购人签订合同后，2日历天内将合同原件交招标代理机构备案。</w:t>
            </w:r>
          </w:p>
          <w:p w14:paraId="7D8E6FA8">
            <w:pPr>
              <w:numPr>
                <w:ilvl w:val="0"/>
                <w:numId w:val="0"/>
              </w:numPr>
              <w:tabs>
                <w:tab w:val="left" w:pos="1069"/>
                <w:tab w:val="left" w:pos="2352"/>
              </w:tabs>
              <w:rPr>
                <w:rFonts w:ascii="宋体" w:hAnsi="宋体" w:cs="宋体"/>
                <w:color w:val="auto"/>
                <w:sz w:val="22"/>
                <w:highlight w:val="none"/>
              </w:rPr>
            </w:pPr>
            <w:r>
              <w:rPr>
                <w:rFonts w:hint="eastAsia" w:ascii="宋体" w:hAnsi="宋体" w:cs="宋体"/>
                <w:color w:val="auto"/>
                <w:sz w:val="22"/>
                <w:highlight w:val="none"/>
                <w:lang w:val="en-US" w:eastAsia="zh-CN"/>
              </w:rPr>
              <w:t>3.</w:t>
            </w:r>
            <w:r>
              <w:rPr>
                <w:rFonts w:hint="eastAsia" w:ascii="宋体" w:hAnsi="宋体" w:cs="宋体"/>
                <w:color w:val="auto"/>
                <w:sz w:val="22"/>
                <w:highlight w:val="none"/>
              </w:rPr>
              <w:t>本项目政府采购合同按规定在浙江政府采购网（http://zfcg.czt.zj.gov.cn/）予以公告。</w:t>
            </w:r>
          </w:p>
        </w:tc>
      </w:tr>
      <w:tr w14:paraId="2DF6084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90" w:hRule="atLeast"/>
          <w:jc w:val="center"/>
        </w:trPr>
        <w:tc>
          <w:tcPr>
            <w:tcW w:w="952" w:type="dxa"/>
            <w:vAlign w:val="center"/>
          </w:tcPr>
          <w:p w14:paraId="7158FBB8">
            <w:pPr>
              <w:widowControl/>
              <w:numPr>
                <w:ilvl w:val="0"/>
                <w:numId w:val="1"/>
              </w:numPr>
              <w:tabs>
                <w:tab w:val="left" w:pos="420"/>
                <w:tab w:val="left" w:pos="1069"/>
                <w:tab w:val="left" w:pos="2352"/>
                <w:tab w:val="clear" w:pos="720"/>
              </w:tabs>
              <w:ind w:left="420" w:hanging="420"/>
              <w:jc w:val="right"/>
              <w:rPr>
                <w:rFonts w:ascii="宋体" w:hAnsi="宋体" w:cs="宋体"/>
                <w:color w:val="auto"/>
                <w:sz w:val="22"/>
                <w:highlight w:val="none"/>
              </w:rPr>
            </w:pPr>
          </w:p>
        </w:tc>
        <w:tc>
          <w:tcPr>
            <w:tcW w:w="1600" w:type="dxa"/>
            <w:vAlign w:val="center"/>
          </w:tcPr>
          <w:p w14:paraId="28CC6D8E">
            <w:pPr>
              <w:tabs>
                <w:tab w:val="left" w:pos="1069"/>
                <w:tab w:val="left" w:pos="2352"/>
              </w:tabs>
              <w:jc w:val="center"/>
              <w:rPr>
                <w:rFonts w:ascii="宋体" w:hAnsi="宋体" w:cs="宋体"/>
                <w:color w:val="auto"/>
                <w:sz w:val="22"/>
                <w:highlight w:val="none"/>
              </w:rPr>
            </w:pPr>
            <w:r>
              <w:rPr>
                <w:rFonts w:hint="eastAsia" w:ascii="宋体" w:hAnsi="宋体" w:cs="宋体"/>
                <w:color w:val="auto"/>
                <w:sz w:val="22"/>
                <w:highlight w:val="none"/>
              </w:rPr>
              <w:t>合同履约管理</w:t>
            </w:r>
          </w:p>
        </w:tc>
        <w:tc>
          <w:tcPr>
            <w:tcW w:w="7619" w:type="dxa"/>
            <w:vAlign w:val="center"/>
          </w:tcPr>
          <w:p w14:paraId="39CE0AB8">
            <w:pPr>
              <w:tabs>
                <w:tab w:val="left" w:pos="1069"/>
                <w:tab w:val="left" w:pos="2352"/>
              </w:tabs>
              <w:rPr>
                <w:rFonts w:ascii="宋体" w:hAnsi="宋体" w:cs="宋体"/>
                <w:color w:val="auto"/>
                <w:sz w:val="22"/>
                <w:highlight w:val="none"/>
              </w:rPr>
            </w:pPr>
            <w:r>
              <w:rPr>
                <w:rFonts w:hint="eastAsia" w:ascii="宋体" w:hAnsi="宋体" w:cs="宋体"/>
                <w:color w:val="auto"/>
                <w:sz w:val="22"/>
                <w:highlight w:val="none"/>
              </w:rPr>
              <w:t>合同签订后，采购人依法加强对合同履约进行管理，并在中标（成交）单位供货（或服务）、项目验收等重要关节，如实填写《合同验收报告》（表附合同条款中），并及时向同级财政部门报告验收过程中遇到的问题。</w:t>
            </w:r>
          </w:p>
        </w:tc>
      </w:tr>
      <w:tr w14:paraId="0898D13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57" w:type="dxa"/>
            <w:left w:w="108" w:type="dxa"/>
            <w:bottom w:w="57" w:type="dxa"/>
            <w:right w:w="108" w:type="dxa"/>
          </w:tblCellMar>
        </w:tblPrEx>
        <w:trPr>
          <w:trHeight w:val="90" w:hRule="atLeast"/>
          <w:jc w:val="center"/>
        </w:trPr>
        <w:tc>
          <w:tcPr>
            <w:tcW w:w="952" w:type="dxa"/>
            <w:vAlign w:val="center"/>
          </w:tcPr>
          <w:p w14:paraId="654BAEB1">
            <w:pPr>
              <w:widowControl/>
              <w:numPr>
                <w:ilvl w:val="0"/>
                <w:numId w:val="1"/>
              </w:numPr>
              <w:tabs>
                <w:tab w:val="left" w:pos="420"/>
                <w:tab w:val="left" w:pos="1069"/>
                <w:tab w:val="left" w:pos="2352"/>
                <w:tab w:val="clear" w:pos="720"/>
              </w:tabs>
              <w:ind w:left="420" w:hanging="420"/>
              <w:jc w:val="right"/>
              <w:rPr>
                <w:rFonts w:ascii="宋体" w:hAnsi="宋体" w:cs="宋体"/>
                <w:color w:val="auto"/>
                <w:sz w:val="22"/>
                <w:highlight w:val="none"/>
              </w:rPr>
            </w:pPr>
          </w:p>
        </w:tc>
        <w:tc>
          <w:tcPr>
            <w:tcW w:w="1600" w:type="dxa"/>
            <w:vAlign w:val="center"/>
          </w:tcPr>
          <w:p w14:paraId="79F2F90A">
            <w:pPr>
              <w:tabs>
                <w:tab w:val="left" w:pos="1069"/>
                <w:tab w:val="left" w:pos="2352"/>
              </w:tabs>
              <w:jc w:val="center"/>
              <w:rPr>
                <w:rFonts w:ascii="宋体" w:hAnsi="宋体" w:cs="宋体"/>
                <w:color w:val="auto"/>
                <w:sz w:val="22"/>
                <w:highlight w:val="none"/>
              </w:rPr>
            </w:pPr>
            <w:r>
              <w:rPr>
                <w:rFonts w:hint="eastAsia" w:ascii="宋体" w:hAnsi="宋体" w:cs="宋体"/>
                <w:color w:val="auto"/>
                <w:sz w:val="22"/>
                <w:highlight w:val="none"/>
              </w:rPr>
              <w:t>免责声明</w:t>
            </w:r>
          </w:p>
        </w:tc>
        <w:tc>
          <w:tcPr>
            <w:tcW w:w="7619" w:type="dxa"/>
            <w:vAlign w:val="center"/>
          </w:tcPr>
          <w:p w14:paraId="69CDB72A">
            <w:pPr>
              <w:tabs>
                <w:tab w:val="left" w:pos="1069"/>
                <w:tab w:val="left" w:pos="2352"/>
              </w:tabs>
              <w:rPr>
                <w:rFonts w:ascii="宋体" w:hAnsi="宋体" w:cs="宋体"/>
                <w:color w:val="auto"/>
                <w:sz w:val="22"/>
                <w:highlight w:val="none"/>
              </w:rPr>
            </w:pPr>
            <w:r>
              <w:rPr>
                <w:rFonts w:hint="eastAsia" w:ascii="宋体" w:hAnsi="宋体" w:cs="宋体"/>
                <w:color w:val="auto"/>
                <w:sz w:val="22"/>
                <w:highlight w:val="none"/>
              </w:rPr>
              <w:t>1</w:t>
            </w:r>
            <w:r>
              <w:rPr>
                <w:rFonts w:hint="eastAsia" w:ascii="宋体" w:hAnsi="宋体" w:cs="宋体"/>
                <w:color w:val="auto"/>
                <w:sz w:val="22"/>
                <w:highlight w:val="none"/>
                <w:lang w:eastAsia="zh-CN"/>
              </w:rPr>
              <w:t>.</w:t>
            </w:r>
            <w:r>
              <w:rPr>
                <w:rFonts w:hint="eastAsia" w:ascii="宋体" w:hAnsi="宋体" w:cs="宋体"/>
                <w:color w:val="auto"/>
                <w:sz w:val="22"/>
                <w:highlight w:val="none"/>
              </w:rPr>
              <w:t>投标供应商自行承担投标过程中产生的费用。无论何种因素导致采购项目延期开标、废标（流标）、投标供应商未成交、项目终止采购的，采购人与代理机构均不承担供应商投标费用。</w:t>
            </w:r>
          </w:p>
          <w:p w14:paraId="52CAB645">
            <w:pPr>
              <w:tabs>
                <w:tab w:val="left" w:pos="1069"/>
                <w:tab w:val="left" w:pos="2352"/>
              </w:tabs>
              <w:rPr>
                <w:rFonts w:ascii="宋体" w:hAnsi="宋体" w:cs="宋体"/>
                <w:color w:val="auto"/>
                <w:sz w:val="22"/>
                <w:highlight w:val="none"/>
              </w:rPr>
            </w:pPr>
            <w:r>
              <w:rPr>
                <w:rFonts w:hint="eastAsia" w:ascii="宋体" w:hAnsi="宋体" w:cs="宋体"/>
                <w:color w:val="auto"/>
                <w:sz w:val="22"/>
                <w:highlight w:val="none"/>
              </w:rPr>
              <w:t>2</w:t>
            </w:r>
            <w:r>
              <w:rPr>
                <w:rFonts w:hint="eastAsia" w:ascii="宋体" w:hAnsi="宋体" w:cs="宋体"/>
                <w:color w:val="auto"/>
                <w:sz w:val="22"/>
                <w:highlight w:val="none"/>
                <w:lang w:eastAsia="zh-CN"/>
              </w:rPr>
              <w:t>.</w:t>
            </w:r>
            <w:r>
              <w:rPr>
                <w:rFonts w:hint="eastAsia" w:ascii="宋体" w:hAnsi="宋体" w:cs="宋体"/>
                <w:color w:val="auto"/>
                <w:sz w:val="22"/>
                <w:highlight w:val="none"/>
              </w:rPr>
              <w:t>投标供应商在投标、合同履行过程中必须做好安全保障工作，不因项目实施而危及自身及第三方人员、财产安全。若发生任何安全事故，由中标（成交）供应商自行承担一切责任并赔偿损失。</w:t>
            </w:r>
          </w:p>
        </w:tc>
      </w:tr>
    </w:tbl>
    <w:p w14:paraId="62D46220">
      <w:pPr>
        <w:tabs>
          <w:tab w:val="left" w:pos="1069"/>
          <w:tab w:val="left" w:pos="2352"/>
        </w:tabs>
        <w:autoSpaceDE w:val="0"/>
        <w:autoSpaceDN w:val="0"/>
        <w:adjustRightInd w:val="0"/>
        <w:snapToGrid w:val="0"/>
        <w:spacing w:line="400" w:lineRule="exact"/>
        <w:jc w:val="center"/>
        <w:rPr>
          <w:rFonts w:ascii="宋体" w:hAnsi="宋体" w:cs="宋体"/>
          <w:b/>
          <w:color w:val="auto"/>
          <w:sz w:val="32"/>
          <w:szCs w:val="32"/>
          <w:highlight w:val="none"/>
          <w:lang w:val="zh-CN"/>
        </w:rPr>
      </w:pPr>
      <w:bookmarkStart w:id="2" w:name="_Toc758_WPSOffice_Level1"/>
    </w:p>
    <w:p w14:paraId="6E13D64C">
      <w:pPr>
        <w:tabs>
          <w:tab w:val="left" w:pos="1069"/>
          <w:tab w:val="left" w:pos="2352"/>
        </w:tabs>
        <w:autoSpaceDE w:val="0"/>
        <w:autoSpaceDN w:val="0"/>
        <w:adjustRightInd w:val="0"/>
        <w:snapToGrid w:val="0"/>
        <w:spacing w:line="400" w:lineRule="exact"/>
        <w:jc w:val="center"/>
        <w:rPr>
          <w:rFonts w:hint="eastAsia" w:ascii="宋体" w:hAnsi="宋体" w:cs="宋体"/>
          <w:b/>
          <w:color w:val="auto"/>
          <w:sz w:val="32"/>
          <w:szCs w:val="32"/>
          <w:highlight w:val="none"/>
          <w:lang w:val="zh-CN"/>
        </w:rPr>
      </w:pPr>
    </w:p>
    <w:p w14:paraId="3F180A33">
      <w:pPr>
        <w:tabs>
          <w:tab w:val="left" w:pos="1069"/>
          <w:tab w:val="left" w:pos="2352"/>
        </w:tabs>
        <w:autoSpaceDE w:val="0"/>
        <w:autoSpaceDN w:val="0"/>
        <w:adjustRightInd w:val="0"/>
        <w:snapToGrid w:val="0"/>
        <w:spacing w:line="400" w:lineRule="exact"/>
        <w:jc w:val="center"/>
        <w:rPr>
          <w:rFonts w:hint="eastAsia" w:ascii="宋体" w:hAnsi="宋体" w:cs="宋体"/>
          <w:b/>
          <w:color w:val="auto"/>
          <w:sz w:val="32"/>
          <w:szCs w:val="32"/>
          <w:highlight w:val="none"/>
          <w:lang w:val="zh-CN"/>
        </w:rPr>
      </w:pPr>
    </w:p>
    <w:p w14:paraId="6C7823AD">
      <w:pPr>
        <w:tabs>
          <w:tab w:val="left" w:pos="1069"/>
          <w:tab w:val="left" w:pos="2352"/>
        </w:tabs>
        <w:autoSpaceDE w:val="0"/>
        <w:autoSpaceDN w:val="0"/>
        <w:adjustRightInd w:val="0"/>
        <w:snapToGrid w:val="0"/>
        <w:spacing w:line="400" w:lineRule="exact"/>
        <w:jc w:val="center"/>
        <w:rPr>
          <w:rFonts w:hint="eastAsia" w:ascii="宋体" w:hAnsi="宋体" w:cs="宋体"/>
          <w:b/>
          <w:color w:val="auto"/>
          <w:sz w:val="32"/>
          <w:szCs w:val="32"/>
          <w:highlight w:val="none"/>
          <w:lang w:val="zh-CN"/>
        </w:rPr>
      </w:pPr>
    </w:p>
    <w:p w14:paraId="523576C9">
      <w:pPr>
        <w:tabs>
          <w:tab w:val="left" w:pos="1069"/>
          <w:tab w:val="left" w:pos="2352"/>
        </w:tabs>
        <w:autoSpaceDE w:val="0"/>
        <w:autoSpaceDN w:val="0"/>
        <w:adjustRightInd w:val="0"/>
        <w:snapToGrid w:val="0"/>
        <w:spacing w:line="400" w:lineRule="exact"/>
        <w:jc w:val="center"/>
        <w:rPr>
          <w:rFonts w:hint="eastAsia" w:ascii="宋体" w:hAnsi="宋体" w:cs="宋体"/>
          <w:b/>
          <w:color w:val="auto"/>
          <w:sz w:val="32"/>
          <w:szCs w:val="32"/>
          <w:highlight w:val="none"/>
          <w:lang w:val="zh-CN"/>
        </w:rPr>
      </w:pPr>
    </w:p>
    <w:p w14:paraId="506B0922">
      <w:pPr>
        <w:tabs>
          <w:tab w:val="left" w:pos="1069"/>
          <w:tab w:val="left" w:pos="2352"/>
        </w:tabs>
        <w:autoSpaceDE w:val="0"/>
        <w:autoSpaceDN w:val="0"/>
        <w:adjustRightInd w:val="0"/>
        <w:snapToGrid w:val="0"/>
        <w:spacing w:line="400" w:lineRule="exact"/>
        <w:jc w:val="center"/>
        <w:rPr>
          <w:rFonts w:hint="eastAsia" w:ascii="宋体" w:hAnsi="宋体" w:cs="宋体"/>
          <w:b/>
          <w:color w:val="auto"/>
          <w:sz w:val="32"/>
          <w:szCs w:val="32"/>
          <w:highlight w:val="none"/>
          <w:lang w:val="zh-CN"/>
        </w:rPr>
      </w:pPr>
    </w:p>
    <w:p w14:paraId="28998777">
      <w:pPr>
        <w:tabs>
          <w:tab w:val="left" w:pos="1069"/>
          <w:tab w:val="left" w:pos="2352"/>
        </w:tabs>
        <w:autoSpaceDE w:val="0"/>
        <w:autoSpaceDN w:val="0"/>
        <w:adjustRightInd w:val="0"/>
        <w:snapToGrid w:val="0"/>
        <w:spacing w:line="400" w:lineRule="exact"/>
        <w:jc w:val="center"/>
        <w:rPr>
          <w:rFonts w:ascii="宋体" w:hAnsi="宋体" w:cs="宋体"/>
          <w:b/>
          <w:color w:val="auto"/>
          <w:sz w:val="32"/>
          <w:szCs w:val="32"/>
          <w:highlight w:val="none"/>
          <w:lang w:val="zh-CN"/>
        </w:rPr>
      </w:pPr>
      <w:r>
        <w:rPr>
          <w:rFonts w:hint="eastAsia" w:ascii="宋体" w:hAnsi="宋体" w:cs="宋体"/>
          <w:b/>
          <w:color w:val="auto"/>
          <w:sz w:val="32"/>
          <w:szCs w:val="32"/>
          <w:highlight w:val="none"/>
          <w:lang w:val="zh-CN"/>
        </w:rPr>
        <w:t>第二部分、</w:t>
      </w:r>
      <w:bookmarkEnd w:id="2"/>
      <w:r>
        <w:rPr>
          <w:rFonts w:hint="eastAsia" w:ascii="宋体" w:hAnsi="宋体" w:cs="宋体"/>
          <w:b/>
          <w:color w:val="auto"/>
          <w:sz w:val="32"/>
          <w:szCs w:val="32"/>
          <w:highlight w:val="none"/>
          <w:lang w:val="zh-CN"/>
        </w:rPr>
        <w:t>采购内容及要求</w:t>
      </w:r>
    </w:p>
    <w:p w14:paraId="0B837538">
      <w:pPr>
        <w:keepNext w:val="0"/>
        <w:keepLines w:val="0"/>
        <w:pageBreakBefore w:val="0"/>
        <w:numPr>
          <w:ilvl w:val="0"/>
          <w:numId w:val="0"/>
        </w:numPr>
        <w:kinsoku/>
        <w:wordWrap/>
        <w:overflowPunct/>
        <w:topLinePunct w:val="0"/>
        <w:autoSpaceDE/>
        <w:autoSpaceDN/>
        <w:bidi w:val="0"/>
        <w:spacing w:line="400" w:lineRule="exact"/>
        <w:ind w:firstLine="442" w:firstLineChars="200"/>
        <w:textAlignment w:val="auto"/>
        <w:outlineLvl w:val="0"/>
        <w:rPr>
          <w:rFonts w:hint="eastAsia" w:ascii="宋体" w:hAnsi="宋体" w:eastAsia="宋体" w:cs="宋体"/>
          <w:b/>
          <w:bCs/>
          <w:color w:val="auto"/>
          <w:sz w:val="22"/>
          <w:szCs w:val="22"/>
          <w:highlight w:val="none"/>
          <w:lang w:eastAsia="zh-CN"/>
        </w:rPr>
      </w:pPr>
      <w:bookmarkStart w:id="3" w:name="_Toc14882"/>
      <w:bookmarkStart w:id="4" w:name="_Toc27414"/>
      <w:bookmarkStart w:id="5" w:name="_Toc16041"/>
      <w:bookmarkStart w:id="6" w:name="_Toc10658"/>
      <w:bookmarkStart w:id="7" w:name="_Toc32655"/>
      <w:bookmarkStart w:id="8" w:name="_Toc24138"/>
      <w:bookmarkStart w:id="9" w:name="_Toc5398"/>
      <w:bookmarkStart w:id="10" w:name="_Toc27595469"/>
      <w:bookmarkStart w:id="11" w:name="_Toc9096"/>
      <w:bookmarkStart w:id="12" w:name="_Toc9333"/>
      <w:bookmarkStart w:id="13" w:name="_Toc22764"/>
      <w:bookmarkStart w:id="14" w:name="_Toc29541"/>
      <w:bookmarkStart w:id="15" w:name="_Toc15568468"/>
      <w:bookmarkStart w:id="16" w:name="_Toc28442"/>
      <w:bookmarkStart w:id="17" w:name="_Toc5493_WPSOffice_Level1"/>
      <w:r>
        <w:rPr>
          <w:rFonts w:hint="eastAsia" w:ascii="宋体" w:hAnsi="宋体" w:cs="宋体"/>
          <w:b/>
          <w:bCs/>
          <w:color w:val="auto"/>
          <w:sz w:val="22"/>
          <w:szCs w:val="22"/>
          <w:highlight w:val="none"/>
          <w:lang w:val="en-US" w:eastAsia="zh-CN"/>
        </w:rPr>
        <w:t>一、</w:t>
      </w:r>
      <w:r>
        <w:rPr>
          <w:rFonts w:hint="eastAsia" w:ascii="宋体" w:hAnsi="宋体" w:eastAsia="宋体" w:cs="宋体"/>
          <w:b/>
          <w:bCs/>
          <w:color w:val="auto"/>
          <w:sz w:val="22"/>
          <w:szCs w:val="22"/>
          <w:highlight w:val="none"/>
        </w:rPr>
        <w:t>项目</w:t>
      </w:r>
      <w:bookmarkEnd w:id="3"/>
      <w:bookmarkEnd w:id="4"/>
      <w:bookmarkEnd w:id="5"/>
      <w:bookmarkEnd w:id="6"/>
      <w:bookmarkEnd w:id="7"/>
      <w:bookmarkEnd w:id="8"/>
      <w:bookmarkEnd w:id="9"/>
      <w:bookmarkEnd w:id="10"/>
      <w:bookmarkEnd w:id="11"/>
      <w:bookmarkEnd w:id="12"/>
      <w:bookmarkEnd w:id="13"/>
      <w:bookmarkEnd w:id="14"/>
      <w:bookmarkEnd w:id="15"/>
      <w:bookmarkEnd w:id="16"/>
      <w:r>
        <w:rPr>
          <w:rFonts w:hint="eastAsia" w:ascii="宋体" w:hAnsi="宋体" w:eastAsia="宋体" w:cs="宋体"/>
          <w:b/>
          <w:bCs/>
          <w:color w:val="auto"/>
          <w:sz w:val="22"/>
          <w:szCs w:val="22"/>
          <w:highlight w:val="none"/>
          <w:lang w:val="en-US" w:eastAsia="zh-CN"/>
        </w:rPr>
        <w:t>内容</w:t>
      </w:r>
    </w:p>
    <w:p w14:paraId="661A9916">
      <w:pPr>
        <w:pStyle w:val="12"/>
        <w:keepNext w:val="0"/>
        <w:keepLines w:val="0"/>
        <w:pageBreakBefore w:val="0"/>
        <w:widowControl/>
        <w:kinsoku/>
        <w:wordWrap/>
        <w:overflowPunct/>
        <w:topLinePunct w:val="0"/>
        <w:autoSpaceDE/>
        <w:autoSpaceDN/>
        <w:bidi w:val="0"/>
        <w:adjustRightInd w:val="0"/>
        <w:snapToGrid w:val="0"/>
        <w:spacing w:line="400" w:lineRule="exact"/>
        <w:ind w:firstLine="444" w:firstLineChars="202"/>
        <w:jc w:val="left"/>
        <w:textAlignment w:val="auto"/>
        <w:outlineLvl w:val="0"/>
        <w:rPr>
          <w:rFonts w:hint="default" w:ascii="宋体" w:hAnsi="宋体" w:eastAsia="宋体" w:cs="宋体"/>
          <w:bCs/>
          <w:color w:val="auto"/>
          <w:kern w:val="0"/>
          <w:sz w:val="22"/>
          <w:szCs w:val="22"/>
          <w:highlight w:val="none"/>
          <w:u w:val="none"/>
          <w:lang w:val="en-US" w:eastAsia="zh-CN"/>
        </w:rPr>
      </w:pPr>
      <w:r>
        <w:rPr>
          <w:rFonts w:hint="eastAsia" w:ascii="宋体" w:hAnsi="宋体" w:eastAsia="宋体" w:cs="宋体"/>
          <w:bCs/>
          <w:color w:val="auto"/>
          <w:kern w:val="0"/>
          <w:sz w:val="22"/>
          <w:szCs w:val="22"/>
          <w:highlight w:val="none"/>
          <w:u w:val="none"/>
          <w:lang w:val="en-US" w:eastAsia="zh-CN"/>
        </w:rPr>
        <w:t>1.项目服务范围：</w:t>
      </w:r>
      <w:r>
        <w:rPr>
          <w:rFonts w:hint="eastAsia" w:hAnsi="宋体" w:cs="宋体"/>
          <w:bCs/>
          <w:color w:val="auto"/>
          <w:kern w:val="0"/>
          <w:sz w:val="22"/>
          <w:szCs w:val="22"/>
          <w:highlight w:val="none"/>
          <w:u w:val="none"/>
          <w:lang w:val="en-US" w:eastAsia="zh-CN"/>
        </w:rPr>
        <w:t>泰顺县罗阳镇上洪村堆谷洋，设计面积约82亩</w:t>
      </w:r>
      <w:r>
        <w:rPr>
          <w:rFonts w:hint="eastAsia" w:ascii="宋体" w:hAnsi="宋体" w:eastAsia="宋体" w:cs="宋体"/>
          <w:bCs/>
          <w:color w:val="auto"/>
          <w:kern w:val="0"/>
          <w:sz w:val="22"/>
          <w:szCs w:val="22"/>
          <w:highlight w:val="none"/>
          <w:u w:val="none"/>
          <w:lang w:val="en-US" w:eastAsia="zh-CN"/>
        </w:rPr>
        <w:t>。</w:t>
      </w:r>
    </w:p>
    <w:p w14:paraId="77751378">
      <w:pPr>
        <w:pStyle w:val="12"/>
        <w:keepNext w:val="0"/>
        <w:keepLines w:val="0"/>
        <w:pageBreakBefore w:val="0"/>
        <w:widowControl/>
        <w:kinsoku/>
        <w:wordWrap/>
        <w:overflowPunct/>
        <w:topLinePunct w:val="0"/>
        <w:autoSpaceDE/>
        <w:autoSpaceDN/>
        <w:bidi w:val="0"/>
        <w:adjustRightInd w:val="0"/>
        <w:snapToGrid w:val="0"/>
        <w:spacing w:line="400" w:lineRule="exact"/>
        <w:ind w:firstLine="444" w:firstLineChars="202"/>
        <w:jc w:val="left"/>
        <w:textAlignment w:val="auto"/>
        <w:outlineLvl w:val="0"/>
        <w:rPr>
          <w:rFonts w:hint="default" w:ascii="宋体" w:hAnsi="宋体" w:eastAsia="宋体" w:cs="宋体"/>
          <w:bCs/>
          <w:color w:val="auto"/>
          <w:kern w:val="0"/>
          <w:sz w:val="22"/>
          <w:szCs w:val="22"/>
          <w:highlight w:val="none"/>
          <w:u w:val="none"/>
          <w:lang w:val="en-US" w:eastAsia="zh-CN"/>
        </w:rPr>
      </w:pPr>
      <w:r>
        <w:rPr>
          <w:rFonts w:hint="eastAsia" w:ascii="宋体" w:hAnsi="宋体" w:eastAsia="宋体" w:cs="宋体"/>
          <w:bCs/>
          <w:color w:val="auto"/>
          <w:kern w:val="0"/>
          <w:sz w:val="22"/>
          <w:szCs w:val="22"/>
          <w:highlight w:val="none"/>
          <w:u w:val="none"/>
          <w:lang w:val="en-US" w:eastAsia="zh-CN"/>
        </w:rPr>
        <w:t>2.项目实施方式：农村土地</w:t>
      </w:r>
      <w:r>
        <w:rPr>
          <w:rFonts w:hint="eastAsia" w:hAnsi="宋体" w:cs="宋体"/>
          <w:bCs/>
          <w:color w:val="auto"/>
          <w:kern w:val="0"/>
          <w:sz w:val="22"/>
          <w:szCs w:val="22"/>
          <w:highlight w:val="none"/>
          <w:u w:val="none"/>
          <w:lang w:val="en-US" w:eastAsia="zh-CN"/>
        </w:rPr>
        <w:t>宜机化改造</w:t>
      </w:r>
      <w:r>
        <w:rPr>
          <w:rFonts w:hint="eastAsia" w:ascii="宋体" w:hAnsi="宋体" w:eastAsia="宋体" w:cs="宋体"/>
          <w:bCs/>
          <w:color w:val="auto"/>
          <w:kern w:val="0"/>
          <w:sz w:val="22"/>
          <w:szCs w:val="22"/>
          <w:highlight w:val="none"/>
          <w:u w:val="none"/>
          <w:lang w:val="en-US" w:eastAsia="zh-CN"/>
        </w:rPr>
        <w:t>及项目运营。具体内容为：</w:t>
      </w:r>
    </w:p>
    <w:p w14:paraId="497C2BAD">
      <w:pPr>
        <w:pStyle w:val="12"/>
        <w:keepNext w:val="0"/>
        <w:keepLines w:val="0"/>
        <w:pageBreakBefore w:val="0"/>
        <w:widowControl/>
        <w:kinsoku/>
        <w:wordWrap/>
        <w:overflowPunct/>
        <w:topLinePunct w:val="0"/>
        <w:autoSpaceDE/>
        <w:autoSpaceDN/>
        <w:bidi w:val="0"/>
        <w:adjustRightInd w:val="0"/>
        <w:snapToGrid w:val="0"/>
        <w:spacing w:line="400" w:lineRule="exact"/>
        <w:ind w:firstLine="444" w:firstLineChars="202"/>
        <w:jc w:val="left"/>
        <w:textAlignment w:val="auto"/>
        <w:outlineLvl w:val="0"/>
        <w:rPr>
          <w:rFonts w:hint="default" w:ascii="宋体" w:hAnsi="宋体" w:eastAsia="宋体" w:cs="宋体"/>
          <w:bCs/>
          <w:color w:val="auto"/>
          <w:kern w:val="0"/>
          <w:sz w:val="22"/>
          <w:szCs w:val="22"/>
          <w:highlight w:val="none"/>
          <w:u w:val="none"/>
          <w:lang w:val="en-US" w:eastAsia="zh-CN"/>
        </w:rPr>
      </w:pPr>
      <w:r>
        <w:rPr>
          <w:rFonts w:hint="eastAsia" w:ascii="宋体" w:hAnsi="宋体" w:eastAsia="宋体" w:cs="宋体"/>
          <w:bCs/>
          <w:color w:val="auto"/>
          <w:kern w:val="0"/>
          <w:sz w:val="22"/>
          <w:szCs w:val="22"/>
          <w:highlight w:val="none"/>
          <w:u w:val="none"/>
          <w:lang w:val="en-US" w:eastAsia="zh-CN"/>
        </w:rPr>
        <w:t>1）</w:t>
      </w:r>
      <w:r>
        <w:rPr>
          <w:rFonts w:hint="eastAsia" w:hAnsi="宋体" w:cs="宋体"/>
          <w:bCs/>
          <w:color w:val="auto"/>
          <w:kern w:val="0"/>
          <w:sz w:val="22"/>
          <w:szCs w:val="22"/>
          <w:highlight w:val="none"/>
          <w:u w:val="none"/>
          <w:lang w:val="en-US" w:eastAsia="zh-CN"/>
        </w:rPr>
        <w:t>改造</w:t>
      </w:r>
      <w:r>
        <w:rPr>
          <w:rFonts w:hint="eastAsia" w:ascii="宋体" w:hAnsi="宋体" w:eastAsia="宋体" w:cs="宋体"/>
          <w:bCs/>
          <w:color w:val="auto"/>
          <w:kern w:val="0"/>
          <w:sz w:val="22"/>
          <w:szCs w:val="22"/>
          <w:highlight w:val="none"/>
          <w:u w:val="none"/>
          <w:lang w:val="en-US" w:eastAsia="zh-CN"/>
        </w:rPr>
        <w:t>部分：包含农田土地平整、灌溉与排水、田间道路、农田防护与生态环境保持等全部费用，详见工程量清单，采购人按实际数量结算费用。供应商应注意考虑报价风险。实施期要求：须在10个月内完成改造，</w:t>
      </w:r>
      <w:r>
        <w:rPr>
          <w:rFonts w:hint="eastAsia" w:hAnsi="宋体" w:cs="宋体"/>
          <w:bCs/>
          <w:color w:val="auto"/>
          <w:kern w:val="0"/>
          <w:sz w:val="22"/>
          <w:szCs w:val="22"/>
          <w:highlight w:val="none"/>
          <w:u w:val="none"/>
          <w:lang w:val="en-US" w:eastAsia="zh-CN"/>
        </w:rPr>
        <w:t>改造</w:t>
      </w:r>
      <w:r>
        <w:rPr>
          <w:rFonts w:hint="eastAsia" w:ascii="宋体" w:hAnsi="宋体" w:eastAsia="宋体" w:cs="宋体"/>
          <w:bCs/>
          <w:color w:val="auto"/>
          <w:kern w:val="0"/>
          <w:sz w:val="22"/>
          <w:szCs w:val="22"/>
          <w:highlight w:val="none"/>
          <w:u w:val="none"/>
          <w:lang w:val="en-US" w:eastAsia="zh-CN"/>
        </w:rPr>
        <w:t>质量要求为合格，</w:t>
      </w:r>
      <w:r>
        <w:rPr>
          <w:rFonts w:hint="eastAsia" w:hAnsi="宋体" w:cs="宋体"/>
          <w:bCs/>
          <w:color w:val="auto"/>
          <w:kern w:val="0"/>
          <w:sz w:val="22"/>
          <w:szCs w:val="22"/>
          <w:highlight w:val="none"/>
          <w:u w:val="none"/>
          <w:lang w:val="en-US" w:eastAsia="zh-CN"/>
        </w:rPr>
        <w:t>改造</w:t>
      </w:r>
      <w:r>
        <w:rPr>
          <w:rFonts w:hint="eastAsia" w:ascii="宋体" w:hAnsi="宋体" w:eastAsia="宋体" w:cs="宋体"/>
          <w:bCs/>
          <w:color w:val="auto"/>
          <w:kern w:val="0"/>
          <w:sz w:val="22"/>
          <w:szCs w:val="22"/>
          <w:highlight w:val="none"/>
          <w:u w:val="none"/>
          <w:lang w:val="en-US" w:eastAsia="zh-CN"/>
        </w:rPr>
        <w:t>质保期为自验收合格之日起至少1年。</w:t>
      </w:r>
    </w:p>
    <w:p w14:paraId="6BEFE586">
      <w:pPr>
        <w:pStyle w:val="12"/>
        <w:keepNext w:val="0"/>
        <w:keepLines w:val="0"/>
        <w:pageBreakBefore w:val="0"/>
        <w:widowControl/>
        <w:kinsoku/>
        <w:wordWrap/>
        <w:overflowPunct/>
        <w:topLinePunct w:val="0"/>
        <w:autoSpaceDE/>
        <w:autoSpaceDN/>
        <w:bidi w:val="0"/>
        <w:adjustRightInd w:val="0"/>
        <w:snapToGrid w:val="0"/>
        <w:spacing w:line="400" w:lineRule="exact"/>
        <w:ind w:firstLine="444" w:firstLineChars="202"/>
        <w:jc w:val="left"/>
        <w:textAlignment w:val="auto"/>
        <w:outlineLvl w:val="0"/>
        <w:rPr>
          <w:rFonts w:hint="eastAsia" w:ascii="宋体" w:hAnsi="宋体" w:eastAsia="宋体" w:cs="宋体"/>
          <w:bCs/>
          <w:color w:val="auto"/>
          <w:kern w:val="0"/>
          <w:sz w:val="22"/>
          <w:szCs w:val="22"/>
          <w:highlight w:val="none"/>
          <w:u w:val="none"/>
          <w:lang w:val="en-US" w:eastAsia="zh-CN"/>
        </w:rPr>
      </w:pPr>
      <w:r>
        <w:rPr>
          <w:rFonts w:hint="eastAsia" w:ascii="宋体" w:hAnsi="宋体" w:eastAsia="宋体" w:cs="宋体"/>
          <w:bCs/>
          <w:color w:val="auto"/>
          <w:kern w:val="0"/>
          <w:sz w:val="22"/>
          <w:szCs w:val="22"/>
          <w:highlight w:val="none"/>
          <w:u w:val="none"/>
          <w:lang w:val="en-US" w:eastAsia="zh-CN"/>
        </w:rPr>
        <w:t>2）项目运营部分：</w:t>
      </w:r>
      <w:r>
        <w:rPr>
          <w:rFonts w:hint="eastAsia" w:hAnsi="宋体" w:cs="宋体"/>
          <w:bCs/>
          <w:color w:val="auto"/>
          <w:kern w:val="0"/>
          <w:sz w:val="22"/>
          <w:szCs w:val="22"/>
          <w:highlight w:val="none"/>
          <w:u w:val="none"/>
          <w:lang w:val="en-US" w:eastAsia="zh-CN"/>
        </w:rPr>
        <w:t>改造</w:t>
      </w:r>
      <w:r>
        <w:rPr>
          <w:rFonts w:hint="eastAsia" w:ascii="宋体" w:hAnsi="宋体" w:eastAsia="宋体" w:cs="宋体"/>
          <w:bCs/>
          <w:color w:val="auto"/>
          <w:kern w:val="0"/>
          <w:sz w:val="22"/>
          <w:szCs w:val="22"/>
          <w:highlight w:val="none"/>
          <w:u w:val="none"/>
          <w:lang w:val="en-US" w:eastAsia="zh-CN"/>
        </w:rPr>
        <w:t>实施完成后，进行耕种和管理养护。改造后耕种，主要负责水稻等粮油农作物、其他类作物的种植、培肥等；管理养护，主要负责项目</w:t>
      </w:r>
      <w:r>
        <w:rPr>
          <w:rFonts w:hint="eastAsia" w:hAnsi="宋体" w:cs="宋体"/>
          <w:bCs/>
          <w:color w:val="auto"/>
          <w:kern w:val="0"/>
          <w:sz w:val="22"/>
          <w:szCs w:val="22"/>
          <w:highlight w:val="none"/>
          <w:u w:val="none"/>
          <w:lang w:val="en-US" w:eastAsia="zh-CN"/>
        </w:rPr>
        <w:t>改造</w:t>
      </w:r>
      <w:r>
        <w:rPr>
          <w:rFonts w:hint="eastAsia" w:ascii="宋体" w:hAnsi="宋体" w:eastAsia="宋体" w:cs="宋体"/>
          <w:bCs/>
          <w:color w:val="auto"/>
          <w:kern w:val="0"/>
          <w:sz w:val="22"/>
          <w:szCs w:val="22"/>
          <w:highlight w:val="none"/>
          <w:u w:val="none"/>
          <w:lang w:val="en-US" w:eastAsia="zh-CN"/>
        </w:rPr>
        <w:t>后工程建设的基础设施完整和修缮。按照采购人、主管部门要求进行种植，每年至少种植一季粮油作物，不得抛荒，种植耕种补助范围及规定按上级补助要求。垦后耕种要求达到县农业农村局的验收标准。由运营单位享有种植成果，运营单位应精耕细作，努力提高耕种的质量和产量。管理养护要求满足项目实施的质量控制标准，并由县主管部门进行验收。改造</w:t>
      </w:r>
      <w:r>
        <w:rPr>
          <w:rFonts w:hint="eastAsia" w:hAnsi="宋体" w:cs="宋体"/>
          <w:bCs/>
          <w:color w:val="auto"/>
          <w:kern w:val="0"/>
          <w:sz w:val="22"/>
          <w:szCs w:val="22"/>
          <w:highlight w:val="none"/>
          <w:u w:val="none"/>
          <w:lang w:val="en-US" w:eastAsia="zh-CN"/>
        </w:rPr>
        <w:t>验收</w:t>
      </w:r>
      <w:r>
        <w:rPr>
          <w:rFonts w:hint="eastAsia" w:ascii="宋体" w:hAnsi="宋体" w:eastAsia="宋体" w:cs="宋体"/>
          <w:bCs/>
          <w:color w:val="auto"/>
          <w:kern w:val="0"/>
          <w:sz w:val="22"/>
          <w:szCs w:val="22"/>
          <w:highlight w:val="none"/>
          <w:u w:val="none"/>
          <w:lang w:val="en-US" w:eastAsia="zh-CN"/>
        </w:rPr>
        <w:t>后</w:t>
      </w:r>
      <w:r>
        <w:rPr>
          <w:rFonts w:hint="eastAsia" w:hAnsi="宋体" w:cs="宋体"/>
          <w:bCs/>
          <w:color w:val="auto"/>
          <w:kern w:val="0"/>
          <w:sz w:val="22"/>
          <w:szCs w:val="22"/>
          <w:highlight w:val="none"/>
          <w:u w:val="none"/>
          <w:lang w:val="en-US" w:eastAsia="zh-CN"/>
        </w:rPr>
        <w:t>的</w:t>
      </w:r>
      <w:r>
        <w:rPr>
          <w:rFonts w:hint="eastAsia" w:ascii="宋体" w:hAnsi="宋体" w:eastAsia="宋体" w:cs="宋体"/>
          <w:bCs/>
          <w:color w:val="auto"/>
          <w:kern w:val="0"/>
          <w:sz w:val="22"/>
          <w:szCs w:val="22"/>
          <w:highlight w:val="none"/>
          <w:u w:val="none"/>
          <w:lang w:val="en-US" w:eastAsia="zh-CN"/>
        </w:rPr>
        <w:t>一年</w:t>
      </w:r>
      <w:r>
        <w:rPr>
          <w:rFonts w:hint="eastAsia" w:hAnsi="宋体" w:cs="宋体"/>
          <w:bCs/>
          <w:color w:val="auto"/>
          <w:kern w:val="0"/>
          <w:sz w:val="22"/>
          <w:szCs w:val="22"/>
          <w:highlight w:val="none"/>
          <w:u w:val="none"/>
          <w:lang w:val="en-US" w:eastAsia="zh-CN"/>
        </w:rPr>
        <w:t>为项目运营过渡期</w:t>
      </w:r>
      <w:r>
        <w:rPr>
          <w:rFonts w:hint="eastAsia" w:ascii="宋体" w:hAnsi="宋体" w:eastAsia="宋体" w:cs="宋体"/>
          <w:bCs/>
          <w:color w:val="auto"/>
          <w:kern w:val="0"/>
          <w:sz w:val="22"/>
          <w:szCs w:val="22"/>
          <w:highlight w:val="none"/>
          <w:u w:val="none"/>
          <w:lang w:val="en-US" w:eastAsia="zh-CN"/>
        </w:rPr>
        <w:t>，</w:t>
      </w:r>
      <w:r>
        <w:rPr>
          <w:rFonts w:hint="eastAsia" w:hAnsi="宋体" w:cs="宋体"/>
          <w:bCs/>
          <w:color w:val="auto"/>
          <w:kern w:val="0"/>
          <w:sz w:val="22"/>
          <w:szCs w:val="22"/>
          <w:highlight w:val="none"/>
          <w:u w:val="none"/>
          <w:lang w:val="en-US" w:eastAsia="zh-CN"/>
        </w:rPr>
        <w:t>收益缴纳按上级政策和主管部门规定为准。</w:t>
      </w:r>
      <w:r>
        <w:rPr>
          <w:rFonts w:hint="eastAsia" w:ascii="宋体" w:hAnsi="宋体" w:eastAsia="宋体" w:cs="宋体"/>
          <w:bCs/>
          <w:color w:val="auto"/>
          <w:kern w:val="0"/>
          <w:sz w:val="22"/>
          <w:szCs w:val="22"/>
          <w:highlight w:val="none"/>
          <w:u w:val="none"/>
          <w:lang w:val="en-US" w:eastAsia="zh-CN"/>
        </w:rPr>
        <w:t>正式运营服务期：三年（</w:t>
      </w:r>
      <w:r>
        <w:rPr>
          <w:rFonts w:hint="eastAsia" w:hAnsi="宋体" w:cs="宋体"/>
          <w:bCs/>
          <w:color w:val="auto"/>
          <w:kern w:val="0"/>
          <w:sz w:val="22"/>
          <w:szCs w:val="22"/>
          <w:highlight w:val="none"/>
          <w:u w:val="none"/>
          <w:lang w:val="en-US" w:eastAsia="zh-CN"/>
        </w:rPr>
        <w:t>自过渡期满后开始计算，若上级政策及主管部门另有要求的，以其规定为准，中标方须无条件接受</w:t>
      </w:r>
      <w:r>
        <w:rPr>
          <w:rFonts w:hint="eastAsia" w:ascii="宋体" w:hAnsi="宋体" w:eastAsia="宋体" w:cs="宋体"/>
          <w:bCs/>
          <w:color w:val="auto"/>
          <w:kern w:val="0"/>
          <w:sz w:val="22"/>
          <w:szCs w:val="22"/>
          <w:highlight w:val="none"/>
          <w:u w:val="none"/>
          <w:lang w:val="en-US" w:eastAsia="zh-CN"/>
        </w:rPr>
        <w:t>）</w:t>
      </w:r>
      <w:r>
        <w:rPr>
          <w:rFonts w:hint="eastAsia" w:hAnsi="宋体" w:cs="宋体"/>
          <w:bCs/>
          <w:color w:val="auto"/>
          <w:kern w:val="0"/>
          <w:sz w:val="22"/>
          <w:szCs w:val="22"/>
          <w:highlight w:val="none"/>
          <w:u w:val="none"/>
          <w:lang w:val="en-US" w:eastAsia="zh-CN"/>
        </w:rPr>
        <w:t>，运营期满后以</w:t>
      </w:r>
      <w:r>
        <w:rPr>
          <w:rFonts w:hint="eastAsia" w:ascii="宋体" w:hAnsi="宋体" w:eastAsia="宋体" w:cs="宋体"/>
          <w:bCs/>
          <w:color w:val="auto"/>
          <w:kern w:val="0"/>
          <w:sz w:val="22"/>
          <w:szCs w:val="22"/>
          <w:highlight w:val="none"/>
          <w:u w:val="none"/>
          <w:lang w:val="en-US" w:eastAsia="zh-CN"/>
        </w:rPr>
        <w:t>上级政策及主管部门</w:t>
      </w:r>
      <w:r>
        <w:rPr>
          <w:rFonts w:hint="eastAsia" w:hAnsi="宋体" w:cs="宋体"/>
          <w:bCs/>
          <w:color w:val="auto"/>
          <w:kern w:val="0"/>
          <w:sz w:val="22"/>
          <w:szCs w:val="22"/>
          <w:highlight w:val="none"/>
          <w:u w:val="none"/>
          <w:lang w:val="en-US" w:eastAsia="zh-CN"/>
        </w:rPr>
        <w:t>为准</w:t>
      </w:r>
      <w:r>
        <w:rPr>
          <w:rFonts w:hint="eastAsia" w:ascii="宋体" w:hAnsi="宋体" w:eastAsia="宋体" w:cs="宋体"/>
          <w:bCs/>
          <w:color w:val="auto"/>
          <w:kern w:val="0"/>
          <w:sz w:val="22"/>
          <w:szCs w:val="22"/>
          <w:highlight w:val="none"/>
          <w:u w:val="none"/>
          <w:lang w:val="en-US" w:eastAsia="zh-CN"/>
        </w:rPr>
        <w:t>。</w:t>
      </w:r>
    </w:p>
    <w:p w14:paraId="254B64FA">
      <w:pPr>
        <w:pStyle w:val="12"/>
        <w:keepNext w:val="0"/>
        <w:keepLines w:val="0"/>
        <w:pageBreakBefore w:val="0"/>
        <w:widowControl/>
        <w:kinsoku/>
        <w:wordWrap/>
        <w:overflowPunct/>
        <w:topLinePunct w:val="0"/>
        <w:autoSpaceDE/>
        <w:autoSpaceDN/>
        <w:bidi w:val="0"/>
        <w:adjustRightInd w:val="0"/>
        <w:snapToGrid w:val="0"/>
        <w:spacing w:line="400" w:lineRule="exact"/>
        <w:ind w:firstLine="444" w:firstLineChars="202"/>
        <w:jc w:val="left"/>
        <w:textAlignment w:val="auto"/>
        <w:outlineLvl w:val="0"/>
        <w:rPr>
          <w:rFonts w:hint="eastAsia" w:ascii="宋体" w:hAnsi="宋体" w:eastAsia="宋体" w:cs="宋体"/>
          <w:bCs/>
          <w:color w:val="auto"/>
          <w:kern w:val="0"/>
          <w:sz w:val="22"/>
          <w:szCs w:val="22"/>
          <w:highlight w:val="none"/>
        </w:rPr>
      </w:pPr>
      <w:r>
        <w:rPr>
          <w:rFonts w:hint="eastAsia" w:ascii="宋体" w:hAnsi="宋体" w:eastAsia="宋体" w:cs="宋体"/>
          <w:bCs/>
          <w:color w:val="auto"/>
          <w:kern w:val="0"/>
          <w:sz w:val="22"/>
          <w:szCs w:val="22"/>
          <w:highlight w:val="none"/>
          <w:u w:val="none"/>
          <w:lang w:val="en-US" w:eastAsia="zh-CN"/>
        </w:rPr>
        <w:t>3）项目按立项文件要求，并通过县级验收，实现最终入库，完成</w:t>
      </w:r>
      <w:r>
        <w:rPr>
          <w:rFonts w:hint="eastAsia" w:hAnsi="宋体" w:cs="宋体"/>
          <w:bCs/>
          <w:color w:val="auto"/>
          <w:kern w:val="0"/>
          <w:sz w:val="22"/>
          <w:szCs w:val="22"/>
          <w:highlight w:val="none"/>
          <w:u w:val="none"/>
          <w:lang w:val="en-US" w:eastAsia="zh-CN"/>
        </w:rPr>
        <w:t>报备入库</w:t>
      </w:r>
      <w:r>
        <w:rPr>
          <w:rFonts w:hint="eastAsia" w:ascii="宋体" w:hAnsi="宋体" w:eastAsia="宋体" w:cs="宋体"/>
          <w:bCs/>
          <w:color w:val="auto"/>
          <w:kern w:val="0"/>
          <w:sz w:val="22"/>
          <w:szCs w:val="22"/>
          <w:highlight w:val="none"/>
        </w:rPr>
        <w:t>、</w:t>
      </w:r>
      <w:r>
        <w:rPr>
          <w:rFonts w:hint="eastAsia" w:ascii="宋体" w:hAnsi="宋体" w:eastAsia="宋体" w:cs="宋体"/>
          <w:bCs/>
          <w:color w:val="auto"/>
          <w:kern w:val="0"/>
          <w:sz w:val="22"/>
          <w:szCs w:val="22"/>
          <w:highlight w:val="none"/>
          <w:lang w:val="en-US" w:eastAsia="zh-CN"/>
        </w:rPr>
        <w:t>协助采购人备案、项目实施</w:t>
      </w:r>
      <w:r>
        <w:rPr>
          <w:rFonts w:hint="eastAsia" w:ascii="宋体" w:hAnsi="宋体" w:eastAsia="宋体" w:cs="宋体"/>
          <w:bCs/>
          <w:color w:val="auto"/>
          <w:kern w:val="0"/>
          <w:sz w:val="22"/>
          <w:szCs w:val="22"/>
          <w:highlight w:val="none"/>
        </w:rPr>
        <w:t>保险</w:t>
      </w:r>
      <w:r>
        <w:rPr>
          <w:rFonts w:hint="eastAsia" w:ascii="宋体" w:hAnsi="宋体" w:eastAsia="宋体" w:cs="宋体"/>
          <w:bCs/>
          <w:color w:val="auto"/>
          <w:kern w:val="0"/>
          <w:sz w:val="22"/>
          <w:szCs w:val="22"/>
          <w:highlight w:val="none"/>
          <w:lang w:eastAsia="zh-CN"/>
        </w:rPr>
        <w:t>、立项验收资料归档</w:t>
      </w:r>
      <w:r>
        <w:rPr>
          <w:rFonts w:hint="eastAsia" w:ascii="宋体" w:hAnsi="宋体" w:eastAsia="宋体" w:cs="宋体"/>
          <w:bCs/>
          <w:color w:val="auto"/>
          <w:kern w:val="0"/>
          <w:sz w:val="22"/>
          <w:szCs w:val="22"/>
          <w:highlight w:val="none"/>
          <w:lang w:val="en-US" w:eastAsia="zh-CN"/>
        </w:rPr>
        <w:t>等</w:t>
      </w:r>
      <w:r>
        <w:rPr>
          <w:rFonts w:hint="eastAsia" w:ascii="宋体" w:hAnsi="宋体" w:eastAsia="宋体" w:cs="宋体"/>
          <w:bCs/>
          <w:color w:val="auto"/>
          <w:kern w:val="0"/>
          <w:sz w:val="22"/>
          <w:szCs w:val="22"/>
          <w:highlight w:val="none"/>
        </w:rPr>
        <w:t>。</w:t>
      </w:r>
    </w:p>
    <w:p w14:paraId="7B65F7EB">
      <w:pPr>
        <w:pStyle w:val="12"/>
        <w:keepNext w:val="0"/>
        <w:keepLines w:val="0"/>
        <w:pageBreakBefore w:val="0"/>
        <w:widowControl/>
        <w:kinsoku/>
        <w:wordWrap/>
        <w:overflowPunct/>
        <w:topLinePunct w:val="0"/>
        <w:autoSpaceDE/>
        <w:autoSpaceDN/>
        <w:bidi w:val="0"/>
        <w:adjustRightInd w:val="0"/>
        <w:snapToGrid w:val="0"/>
        <w:spacing w:line="400" w:lineRule="exact"/>
        <w:ind w:firstLine="444" w:firstLineChars="202"/>
        <w:jc w:val="left"/>
        <w:textAlignment w:val="auto"/>
        <w:outlineLvl w:val="0"/>
        <w:rPr>
          <w:rFonts w:hint="eastAsia" w:ascii="宋体" w:hAnsi="宋体" w:eastAsia="宋体" w:cs="宋体"/>
          <w:bCs/>
          <w:color w:val="auto"/>
          <w:kern w:val="0"/>
          <w:sz w:val="22"/>
          <w:szCs w:val="22"/>
          <w:highlight w:val="none"/>
          <w:u w:val="none"/>
          <w:lang w:val="en-US" w:eastAsia="zh-CN"/>
        </w:rPr>
      </w:pPr>
      <w:r>
        <w:rPr>
          <w:rFonts w:hint="eastAsia" w:ascii="宋体" w:hAnsi="宋体" w:eastAsia="宋体" w:cs="宋体"/>
          <w:bCs/>
          <w:color w:val="auto"/>
          <w:kern w:val="0"/>
          <w:sz w:val="22"/>
          <w:szCs w:val="22"/>
          <w:highlight w:val="none"/>
          <w:u w:val="none"/>
          <w:lang w:val="en-US" w:eastAsia="zh-CN"/>
        </w:rPr>
        <w:t>3.本项目通过</w:t>
      </w:r>
      <w:r>
        <w:rPr>
          <w:rFonts w:hint="eastAsia" w:hAnsi="宋体" w:cs="宋体"/>
          <w:bCs/>
          <w:color w:val="auto"/>
          <w:kern w:val="0"/>
          <w:sz w:val="22"/>
          <w:szCs w:val="22"/>
          <w:highlight w:val="none"/>
          <w:u w:val="none"/>
          <w:lang w:val="en-US" w:eastAsia="zh-CN"/>
        </w:rPr>
        <w:t>改造</w:t>
      </w:r>
      <w:r>
        <w:rPr>
          <w:rFonts w:hint="eastAsia" w:ascii="宋体" w:hAnsi="宋体" w:eastAsia="宋体" w:cs="宋体"/>
          <w:bCs/>
          <w:color w:val="auto"/>
          <w:kern w:val="0"/>
          <w:sz w:val="22"/>
          <w:szCs w:val="22"/>
          <w:highlight w:val="none"/>
          <w:u w:val="none"/>
          <w:lang w:val="en-US" w:eastAsia="zh-CN"/>
        </w:rPr>
        <w:t>后，对项目进行整体运营，采取运营收益上缴方式，在300元/亩/年基础上进行报价，按实际亩数计算上缴费用，运营收益，一年一交，在每年度3月前缴纳当年收益，统一交入县或相应乡镇财政专户。另有规定的，按上级政策和主管部门规定为准。同时中标单位须根据实际</w:t>
      </w:r>
      <w:r>
        <w:rPr>
          <w:rFonts w:hint="eastAsia" w:hAnsi="宋体" w:cs="宋体"/>
          <w:bCs/>
          <w:color w:val="auto"/>
          <w:kern w:val="0"/>
          <w:sz w:val="22"/>
          <w:szCs w:val="22"/>
          <w:highlight w:val="none"/>
          <w:u w:val="none"/>
          <w:lang w:val="en-US" w:eastAsia="zh-CN"/>
        </w:rPr>
        <w:t>改造</w:t>
      </w:r>
      <w:r>
        <w:rPr>
          <w:rFonts w:hint="eastAsia" w:ascii="宋体" w:hAnsi="宋体" w:eastAsia="宋体" w:cs="宋体"/>
          <w:bCs/>
          <w:color w:val="auto"/>
          <w:kern w:val="0"/>
          <w:sz w:val="22"/>
          <w:szCs w:val="22"/>
          <w:highlight w:val="none"/>
          <w:u w:val="none"/>
          <w:lang w:val="en-US" w:eastAsia="zh-CN"/>
        </w:rPr>
        <w:t>亩数支付土地租金费用给村集体，本项目预计租金费用为</w:t>
      </w:r>
      <w:r>
        <w:rPr>
          <w:rFonts w:hint="eastAsia" w:ascii="宋体" w:hAnsi="宋体" w:eastAsia="宋体" w:cs="宋体"/>
          <w:bCs/>
          <w:color w:val="auto"/>
          <w:kern w:val="0"/>
          <w:sz w:val="22"/>
          <w:szCs w:val="22"/>
          <w:highlight w:val="none"/>
          <w:u w:val="single"/>
          <w:lang w:val="en-US" w:eastAsia="zh-CN"/>
        </w:rPr>
        <w:t xml:space="preserve"> </w:t>
      </w:r>
      <w:r>
        <w:rPr>
          <w:rFonts w:hint="eastAsia" w:hAnsi="宋体" w:cs="宋体"/>
          <w:bCs/>
          <w:color w:val="auto"/>
          <w:kern w:val="0"/>
          <w:sz w:val="22"/>
          <w:szCs w:val="22"/>
          <w:highlight w:val="none"/>
          <w:u w:val="single"/>
          <w:lang w:val="en-US" w:eastAsia="zh-CN"/>
        </w:rPr>
        <w:t>513</w:t>
      </w:r>
      <w:r>
        <w:rPr>
          <w:rFonts w:hint="eastAsia" w:ascii="宋体" w:hAnsi="宋体" w:eastAsia="宋体" w:cs="宋体"/>
          <w:bCs/>
          <w:color w:val="auto"/>
          <w:kern w:val="0"/>
          <w:sz w:val="22"/>
          <w:szCs w:val="22"/>
          <w:highlight w:val="none"/>
          <w:u w:val="none"/>
          <w:lang w:val="en-US" w:eastAsia="zh-CN"/>
        </w:rPr>
        <w:t>元/亩/年，</w:t>
      </w:r>
      <w:r>
        <w:rPr>
          <w:rFonts w:hint="eastAsia" w:hAnsi="宋体" w:cs="宋体"/>
          <w:bCs/>
          <w:color w:val="auto"/>
          <w:kern w:val="0"/>
          <w:sz w:val="22"/>
          <w:szCs w:val="22"/>
          <w:highlight w:val="none"/>
          <w:u w:val="none"/>
          <w:lang w:val="en-US" w:eastAsia="zh-CN"/>
        </w:rPr>
        <w:t>租金自实施改造进场施工之日起开始计算并一次性缴纳，具体</w:t>
      </w:r>
      <w:r>
        <w:rPr>
          <w:rFonts w:hint="eastAsia" w:ascii="宋体" w:hAnsi="宋体" w:eastAsia="宋体" w:cs="宋体"/>
          <w:bCs/>
          <w:color w:val="auto"/>
          <w:kern w:val="0"/>
          <w:sz w:val="22"/>
          <w:szCs w:val="22"/>
          <w:highlight w:val="none"/>
          <w:u w:val="none"/>
          <w:lang w:val="en-US" w:eastAsia="zh-CN"/>
        </w:rPr>
        <w:t>以中标后与村集体协商确定为准。</w:t>
      </w:r>
    </w:p>
    <w:p w14:paraId="75C4288A">
      <w:pPr>
        <w:keepNext w:val="0"/>
        <w:keepLines w:val="0"/>
        <w:pageBreakBefore w:val="0"/>
        <w:kinsoku/>
        <w:wordWrap/>
        <w:overflowPunct/>
        <w:topLinePunct w:val="0"/>
        <w:autoSpaceDE/>
        <w:autoSpaceDN/>
        <w:bidi w:val="0"/>
        <w:spacing w:line="400" w:lineRule="exact"/>
        <w:ind w:firstLine="440" w:firstLineChars="200"/>
        <w:textAlignment w:val="auto"/>
        <w:outlineLvl w:val="9"/>
        <w:rPr>
          <w:rFonts w:hint="eastAsia" w:ascii="宋体" w:hAnsi="宋体" w:eastAsia="宋体" w:cs="宋体"/>
          <w:bCs/>
          <w:color w:val="auto"/>
          <w:kern w:val="0"/>
          <w:sz w:val="22"/>
          <w:szCs w:val="22"/>
          <w:highlight w:val="none"/>
          <w:u w:val="none"/>
          <w:lang w:val="en-US" w:eastAsia="zh-CN"/>
        </w:rPr>
      </w:pPr>
      <w:bookmarkStart w:id="18" w:name="_Toc15568471"/>
      <w:bookmarkStart w:id="19" w:name="_Toc27595471"/>
      <w:bookmarkStart w:id="20" w:name="_Toc647"/>
      <w:r>
        <w:rPr>
          <w:rFonts w:hint="eastAsia" w:ascii="宋体" w:hAnsi="宋体" w:eastAsia="宋体" w:cs="宋体"/>
          <w:bCs/>
          <w:color w:val="auto"/>
          <w:kern w:val="0"/>
          <w:sz w:val="22"/>
          <w:szCs w:val="22"/>
          <w:highlight w:val="none"/>
          <w:u w:val="none"/>
          <w:lang w:val="en-US" w:eastAsia="zh-CN"/>
        </w:rPr>
        <w:t>4.未经采购人书面同意，不得进行转包、分包。</w:t>
      </w:r>
    </w:p>
    <w:p w14:paraId="6335540E">
      <w:pPr>
        <w:keepNext w:val="0"/>
        <w:keepLines w:val="0"/>
        <w:pageBreakBefore w:val="0"/>
        <w:kinsoku/>
        <w:wordWrap/>
        <w:overflowPunct/>
        <w:topLinePunct w:val="0"/>
        <w:autoSpaceDE/>
        <w:autoSpaceDN/>
        <w:bidi w:val="0"/>
        <w:spacing w:line="400" w:lineRule="exact"/>
        <w:ind w:firstLine="440" w:firstLineChars="200"/>
        <w:textAlignment w:val="auto"/>
        <w:outlineLvl w:val="9"/>
        <w:rPr>
          <w:rFonts w:hint="default" w:ascii="宋体" w:hAnsi="宋体" w:eastAsia="宋体" w:cs="宋体"/>
          <w:bCs/>
          <w:color w:val="auto"/>
          <w:kern w:val="0"/>
          <w:sz w:val="22"/>
          <w:szCs w:val="22"/>
          <w:highlight w:val="none"/>
          <w:u w:val="none"/>
          <w:lang w:val="en-US" w:eastAsia="zh-CN"/>
        </w:rPr>
      </w:pPr>
      <w:r>
        <w:rPr>
          <w:rFonts w:hint="eastAsia" w:ascii="宋体" w:hAnsi="宋体" w:eastAsia="宋体" w:cs="宋体"/>
          <w:bCs/>
          <w:color w:val="auto"/>
          <w:kern w:val="0"/>
          <w:sz w:val="22"/>
          <w:szCs w:val="22"/>
          <w:highlight w:val="none"/>
          <w:u w:val="none"/>
          <w:lang w:val="en-US" w:eastAsia="zh-CN"/>
        </w:rPr>
        <w:t>5.如</w:t>
      </w:r>
      <w:r>
        <w:rPr>
          <w:rFonts w:hint="eastAsia" w:ascii="宋体" w:hAnsi="宋体" w:cs="宋体"/>
          <w:bCs/>
          <w:color w:val="auto"/>
          <w:kern w:val="0"/>
          <w:sz w:val="22"/>
          <w:szCs w:val="22"/>
          <w:highlight w:val="none"/>
          <w:u w:val="none"/>
          <w:lang w:val="en-US" w:eastAsia="zh-CN"/>
        </w:rPr>
        <w:t>是</w:t>
      </w:r>
      <w:r>
        <w:rPr>
          <w:rFonts w:hint="eastAsia" w:ascii="宋体" w:hAnsi="宋体" w:eastAsia="宋体" w:cs="宋体"/>
          <w:bCs/>
          <w:color w:val="auto"/>
          <w:kern w:val="0"/>
          <w:sz w:val="22"/>
          <w:szCs w:val="22"/>
          <w:highlight w:val="none"/>
          <w:u w:val="none"/>
          <w:lang w:val="en-US" w:eastAsia="zh-CN"/>
        </w:rPr>
        <w:t>联合体投标的，投标供应商明确项目内分工、双方权利义务等。</w:t>
      </w:r>
    </w:p>
    <w:p w14:paraId="76EAE335">
      <w:pPr>
        <w:keepNext w:val="0"/>
        <w:keepLines w:val="0"/>
        <w:pageBreakBefore w:val="0"/>
        <w:kinsoku/>
        <w:wordWrap/>
        <w:overflowPunct/>
        <w:topLinePunct w:val="0"/>
        <w:autoSpaceDE/>
        <w:autoSpaceDN/>
        <w:bidi w:val="0"/>
        <w:spacing w:line="400" w:lineRule="exact"/>
        <w:ind w:firstLine="442" w:firstLineChars="200"/>
        <w:textAlignment w:val="auto"/>
        <w:outlineLvl w:val="9"/>
        <w:rPr>
          <w:rFonts w:hint="default" w:ascii="宋体" w:hAnsi="宋体" w:eastAsia="宋体" w:cs="宋体"/>
          <w:b/>
          <w:bCs/>
          <w:color w:val="auto"/>
          <w:sz w:val="22"/>
          <w:szCs w:val="22"/>
          <w:highlight w:val="none"/>
          <w:lang w:val="en-US" w:eastAsia="zh-CN"/>
        </w:rPr>
      </w:pPr>
      <w:r>
        <w:rPr>
          <w:rFonts w:hint="eastAsia" w:ascii="宋体" w:hAnsi="宋体" w:eastAsia="宋体" w:cs="宋体"/>
          <w:b/>
          <w:bCs/>
          <w:color w:val="auto"/>
          <w:sz w:val="22"/>
          <w:szCs w:val="22"/>
          <w:highlight w:val="none"/>
          <w:lang w:val="en-US" w:eastAsia="zh-CN"/>
        </w:rPr>
        <w:t>二、</w:t>
      </w:r>
      <w:bookmarkEnd w:id="18"/>
      <w:bookmarkEnd w:id="19"/>
      <w:bookmarkEnd w:id="20"/>
      <w:bookmarkStart w:id="21" w:name="_Toc30036"/>
      <w:bookmarkStart w:id="22" w:name="_Toc15568491"/>
      <w:bookmarkStart w:id="23" w:name="_Toc9612"/>
      <w:bookmarkStart w:id="24" w:name="_Toc20558"/>
      <w:bookmarkStart w:id="25" w:name="_Toc27759"/>
      <w:bookmarkStart w:id="26" w:name="_Toc31203"/>
      <w:bookmarkStart w:id="27" w:name="_Toc27595487"/>
      <w:bookmarkStart w:id="28" w:name="_Toc10535"/>
      <w:bookmarkStart w:id="29" w:name="_Toc32086"/>
      <w:r>
        <w:rPr>
          <w:rFonts w:hint="eastAsia" w:ascii="宋体" w:hAnsi="宋体" w:cs="宋体"/>
          <w:b/>
          <w:bCs/>
          <w:color w:val="auto"/>
          <w:sz w:val="22"/>
          <w:szCs w:val="22"/>
          <w:highlight w:val="none"/>
          <w:lang w:val="en-US" w:eastAsia="zh-CN"/>
        </w:rPr>
        <w:t>服务要求</w:t>
      </w:r>
    </w:p>
    <w:p w14:paraId="2AF6F75D">
      <w:pPr>
        <w:pStyle w:val="12"/>
        <w:keepNext w:val="0"/>
        <w:keepLines w:val="0"/>
        <w:pageBreakBefore w:val="0"/>
        <w:widowControl/>
        <w:kinsoku/>
        <w:wordWrap/>
        <w:overflowPunct/>
        <w:topLinePunct w:val="0"/>
        <w:autoSpaceDE/>
        <w:autoSpaceDN/>
        <w:bidi w:val="0"/>
        <w:adjustRightInd w:val="0"/>
        <w:snapToGrid w:val="0"/>
        <w:spacing w:line="400" w:lineRule="exact"/>
        <w:ind w:firstLine="444" w:firstLineChars="202"/>
        <w:jc w:val="left"/>
        <w:textAlignment w:val="auto"/>
        <w:outlineLvl w:val="0"/>
        <w:rPr>
          <w:rFonts w:hint="eastAsia" w:ascii="宋体" w:hAnsi="宋体" w:eastAsia="宋体" w:cs="宋体"/>
          <w:bCs/>
          <w:color w:val="auto"/>
          <w:kern w:val="0"/>
          <w:sz w:val="22"/>
          <w:szCs w:val="22"/>
          <w:highlight w:val="none"/>
          <w:u w:val="none"/>
          <w:lang w:val="en-US" w:eastAsia="zh-CN"/>
        </w:rPr>
      </w:pPr>
      <w:r>
        <w:rPr>
          <w:rFonts w:hint="eastAsia" w:ascii="宋体" w:hAnsi="宋体" w:eastAsia="宋体" w:cs="宋体"/>
          <w:bCs/>
          <w:color w:val="auto"/>
          <w:kern w:val="0"/>
          <w:sz w:val="22"/>
          <w:szCs w:val="22"/>
          <w:highlight w:val="none"/>
          <w:u w:val="none"/>
          <w:lang w:val="en-US" w:eastAsia="zh-CN"/>
        </w:rPr>
        <w:t>1</w:t>
      </w:r>
      <w:r>
        <w:rPr>
          <w:rFonts w:hint="eastAsia" w:hAnsi="宋体" w:cs="宋体"/>
          <w:bCs/>
          <w:color w:val="auto"/>
          <w:kern w:val="0"/>
          <w:sz w:val="22"/>
          <w:szCs w:val="22"/>
          <w:highlight w:val="none"/>
          <w:u w:val="none"/>
          <w:lang w:val="en-US" w:eastAsia="zh-CN"/>
        </w:rPr>
        <w:t>.中标（成交）供应商</w:t>
      </w:r>
      <w:r>
        <w:rPr>
          <w:rFonts w:hint="eastAsia" w:ascii="宋体" w:hAnsi="宋体" w:eastAsia="宋体" w:cs="宋体"/>
          <w:bCs/>
          <w:color w:val="auto"/>
          <w:kern w:val="0"/>
          <w:sz w:val="22"/>
          <w:szCs w:val="22"/>
          <w:highlight w:val="none"/>
          <w:u w:val="none"/>
          <w:lang w:val="en-US" w:eastAsia="zh-CN"/>
        </w:rPr>
        <w:t>的权利</w:t>
      </w:r>
    </w:p>
    <w:p w14:paraId="5169DDA1">
      <w:pPr>
        <w:pStyle w:val="12"/>
        <w:keepNext w:val="0"/>
        <w:keepLines w:val="0"/>
        <w:pageBreakBefore w:val="0"/>
        <w:widowControl/>
        <w:kinsoku/>
        <w:wordWrap/>
        <w:overflowPunct/>
        <w:topLinePunct w:val="0"/>
        <w:autoSpaceDE/>
        <w:autoSpaceDN/>
        <w:bidi w:val="0"/>
        <w:adjustRightInd w:val="0"/>
        <w:snapToGrid w:val="0"/>
        <w:spacing w:line="400" w:lineRule="exact"/>
        <w:ind w:firstLine="444" w:firstLineChars="202"/>
        <w:jc w:val="left"/>
        <w:textAlignment w:val="auto"/>
        <w:outlineLvl w:val="0"/>
        <w:rPr>
          <w:rFonts w:hint="eastAsia" w:ascii="宋体" w:hAnsi="宋体" w:eastAsia="宋体" w:cs="宋体"/>
          <w:bCs/>
          <w:color w:val="auto"/>
          <w:kern w:val="0"/>
          <w:sz w:val="22"/>
          <w:szCs w:val="22"/>
          <w:highlight w:val="none"/>
          <w:u w:val="none"/>
          <w:lang w:val="en-US" w:eastAsia="zh-CN"/>
        </w:rPr>
      </w:pPr>
      <w:r>
        <w:rPr>
          <w:rFonts w:hint="eastAsia" w:ascii="宋体" w:hAnsi="宋体" w:eastAsia="宋体" w:cs="宋体"/>
          <w:bCs/>
          <w:color w:val="auto"/>
          <w:kern w:val="0"/>
          <w:sz w:val="22"/>
          <w:szCs w:val="22"/>
          <w:highlight w:val="none"/>
          <w:u w:val="none"/>
          <w:lang w:val="en-US" w:eastAsia="zh-CN"/>
        </w:rPr>
        <w:t>(</w:t>
      </w:r>
      <w:r>
        <w:rPr>
          <w:rFonts w:hint="eastAsia" w:hAnsi="宋体" w:cs="宋体"/>
          <w:bCs/>
          <w:color w:val="auto"/>
          <w:kern w:val="0"/>
          <w:sz w:val="22"/>
          <w:szCs w:val="22"/>
          <w:highlight w:val="none"/>
          <w:u w:val="none"/>
          <w:lang w:val="en-US" w:eastAsia="zh-CN"/>
        </w:rPr>
        <w:t>1</w:t>
      </w:r>
      <w:r>
        <w:rPr>
          <w:rFonts w:hint="eastAsia" w:ascii="宋体" w:hAnsi="宋体" w:eastAsia="宋体" w:cs="宋体"/>
          <w:bCs/>
          <w:color w:val="auto"/>
          <w:kern w:val="0"/>
          <w:sz w:val="22"/>
          <w:szCs w:val="22"/>
          <w:highlight w:val="none"/>
          <w:u w:val="none"/>
          <w:lang w:val="en-US" w:eastAsia="zh-CN"/>
        </w:rPr>
        <w:t>)在项目建设运营期间，</w:t>
      </w:r>
      <w:r>
        <w:rPr>
          <w:rFonts w:hint="eastAsia" w:hAnsi="宋体" w:cs="宋体"/>
          <w:bCs/>
          <w:color w:val="auto"/>
          <w:kern w:val="0"/>
          <w:sz w:val="22"/>
          <w:szCs w:val="22"/>
          <w:highlight w:val="none"/>
          <w:u w:val="none"/>
          <w:lang w:val="en-US" w:eastAsia="zh-CN"/>
        </w:rPr>
        <w:t>中标（成交）供应商</w:t>
      </w:r>
      <w:r>
        <w:rPr>
          <w:rFonts w:hint="eastAsia" w:ascii="宋体" w:hAnsi="宋体" w:eastAsia="宋体" w:cs="宋体"/>
          <w:bCs/>
          <w:color w:val="auto"/>
          <w:kern w:val="0"/>
          <w:sz w:val="22"/>
          <w:szCs w:val="22"/>
          <w:highlight w:val="none"/>
          <w:u w:val="none"/>
          <w:lang w:val="en-US" w:eastAsia="zh-CN"/>
        </w:rPr>
        <w:t>享有项目范围内全部资产的使用权、经营权。</w:t>
      </w:r>
    </w:p>
    <w:p w14:paraId="6C7D39BF">
      <w:pPr>
        <w:pStyle w:val="12"/>
        <w:keepNext w:val="0"/>
        <w:keepLines w:val="0"/>
        <w:pageBreakBefore w:val="0"/>
        <w:widowControl/>
        <w:kinsoku/>
        <w:wordWrap/>
        <w:overflowPunct/>
        <w:topLinePunct w:val="0"/>
        <w:autoSpaceDE/>
        <w:autoSpaceDN/>
        <w:bidi w:val="0"/>
        <w:adjustRightInd w:val="0"/>
        <w:snapToGrid w:val="0"/>
        <w:spacing w:line="400" w:lineRule="exact"/>
        <w:ind w:firstLine="444" w:firstLineChars="202"/>
        <w:jc w:val="left"/>
        <w:textAlignment w:val="auto"/>
        <w:outlineLvl w:val="0"/>
        <w:rPr>
          <w:rFonts w:hint="eastAsia" w:ascii="宋体" w:hAnsi="宋体" w:eastAsia="宋体" w:cs="宋体"/>
          <w:bCs/>
          <w:color w:val="auto"/>
          <w:kern w:val="0"/>
          <w:sz w:val="22"/>
          <w:szCs w:val="22"/>
          <w:highlight w:val="none"/>
          <w:u w:val="none"/>
          <w:lang w:val="en-US" w:eastAsia="zh-CN"/>
        </w:rPr>
      </w:pPr>
      <w:r>
        <w:rPr>
          <w:rFonts w:hint="eastAsia" w:ascii="宋体" w:hAnsi="宋体" w:eastAsia="宋体" w:cs="宋体"/>
          <w:bCs/>
          <w:color w:val="auto"/>
          <w:kern w:val="0"/>
          <w:sz w:val="22"/>
          <w:szCs w:val="22"/>
          <w:highlight w:val="none"/>
          <w:u w:val="none"/>
          <w:lang w:val="en-US" w:eastAsia="zh-CN"/>
        </w:rPr>
        <w:t>(</w:t>
      </w:r>
      <w:r>
        <w:rPr>
          <w:rFonts w:hint="eastAsia" w:hAnsi="宋体" w:cs="宋体"/>
          <w:bCs/>
          <w:color w:val="auto"/>
          <w:kern w:val="0"/>
          <w:sz w:val="22"/>
          <w:szCs w:val="22"/>
          <w:highlight w:val="none"/>
          <w:u w:val="none"/>
          <w:lang w:val="en-US" w:eastAsia="zh-CN"/>
        </w:rPr>
        <w:t>2</w:t>
      </w:r>
      <w:r>
        <w:rPr>
          <w:rFonts w:hint="eastAsia" w:ascii="宋体" w:hAnsi="宋体" w:eastAsia="宋体" w:cs="宋体"/>
          <w:bCs/>
          <w:color w:val="auto"/>
          <w:kern w:val="0"/>
          <w:sz w:val="22"/>
          <w:szCs w:val="22"/>
          <w:highlight w:val="none"/>
          <w:u w:val="none"/>
          <w:lang w:val="en-US" w:eastAsia="zh-CN"/>
        </w:rPr>
        <w:t>)在项目运营期内，</w:t>
      </w:r>
      <w:r>
        <w:rPr>
          <w:rFonts w:hint="eastAsia" w:hAnsi="宋体" w:cs="宋体"/>
          <w:bCs/>
          <w:color w:val="auto"/>
          <w:kern w:val="0"/>
          <w:sz w:val="22"/>
          <w:szCs w:val="22"/>
          <w:highlight w:val="none"/>
          <w:u w:val="none"/>
          <w:lang w:val="en-US" w:eastAsia="zh-CN"/>
        </w:rPr>
        <w:t>中标（成交）供应商</w:t>
      </w:r>
      <w:r>
        <w:rPr>
          <w:rFonts w:hint="eastAsia" w:ascii="宋体" w:hAnsi="宋体" w:eastAsia="宋体" w:cs="宋体"/>
          <w:bCs/>
          <w:color w:val="auto"/>
          <w:kern w:val="0"/>
          <w:sz w:val="22"/>
          <w:szCs w:val="22"/>
          <w:highlight w:val="none"/>
          <w:u w:val="none"/>
          <w:lang w:val="en-US" w:eastAsia="zh-CN"/>
        </w:rPr>
        <w:t>享受泰顺本地及上级的扶持优惠政策，扶持的政策按规定执行。</w:t>
      </w:r>
    </w:p>
    <w:p w14:paraId="69C92037">
      <w:pPr>
        <w:pStyle w:val="12"/>
        <w:keepNext w:val="0"/>
        <w:keepLines w:val="0"/>
        <w:pageBreakBefore w:val="0"/>
        <w:widowControl/>
        <w:kinsoku/>
        <w:wordWrap/>
        <w:overflowPunct/>
        <w:topLinePunct w:val="0"/>
        <w:autoSpaceDE/>
        <w:autoSpaceDN/>
        <w:bidi w:val="0"/>
        <w:adjustRightInd w:val="0"/>
        <w:snapToGrid w:val="0"/>
        <w:spacing w:line="400" w:lineRule="exact"/>
        <w:ind w:firstLine="444" w:firstLineChars="202"/>
        <w:jc w:val="left"/>
        <w:textAlignment w:val="auto"/>
        <w:outlineLvl w:val="0"/>
        <w:rPr>
          <w:rFonts w:hint="eastAsia" w:ascii="宋体" w:hAnsi="宋体" w:eastAsia="宋体" w:cs="宋体"/>
          <w:bCs/>
          <w:color w:val="auto"/>
          <w:kern w:val="0"/>
          <w:sz w:val="22"/>
          <w:szCs w:val="22"/>
          <w:highlight w:val="none"/>
          <w:u w:val="none"/>
          <w:lang w:val="en-US" w:eastAsia="zh-CN"/>
        </w:rPr>
      </w:pPr>
      <w:r>
        <w:rPr>
          <w:rFonts w:hint="eastAsia" w:ascii="宋体" w:hAnsi="宋体" w:eastAsia="宋体" w:cs="宋体"/>
          <w:bCs/>
          <w:color w:val="auto"/>
          <w:kern w:val="0"/>
          <w:sz w:val="22"/>
          <w:szCs w:val="22"/>
          <w:highlight w:val="none"/>
          <w:u w:val="none"/>
          <w:lang w:val="en-US" w:eastAsia="zh-CN"/>
        </w:rPr>
        <w:t>(</w:t>
      </w:r>
      <w:r>
        <w:rPr>
          <w:rFonts w:hint="eastAsia" w:hAnsi="宋体" w:cs="宋体"/>
          <w:bCs/>
          <w:color w:val="auto"/>
          <w:kern w:val="0"/>
          <w:sz w:val="22"/>
          <w:szCs w:val="22"/>
          <w:highlight w:val="none"/>
          <w:u w:val="none"/>
          <w:lang w:val="en-US" w:eastAsia="zh-CN"/>
        </w:rPr>
        <w:t>3</w:t>
      </w:r>
      <w:r>
        <w:rPr>
          <w:rFonts w:hint="eastAsia" w:ascii="宋体" w:hAnsi="宋体" w:eastAsia="宋体" w:cs="宋体"/>
          <w:bCs/>
          <w:color w:val="auto"/>
          <w:kern w:val="0"/>
          <w:sz w:val="22"/>
          <w:szCs w:val="22"/>
          <w:highlight w:val="none"/>
          <w:u w:val="none"/>
          <w:lang w:val="en-US" w:eastAsia="zh-CN"/>
        </w:rPr>
        <w:t>)运营期内如因泰顺县或上级政府规划调整，导致该项目全部或部分土地被征用的，经与</w:t>
      </w:r>
      <w:r>
        <w:rPr>
          <w:rFonts w:hint="eastAsia" w:hAnsi="宋体" w:cs="宋体"/>
          <w:bCs/>
          <w:color w:val="auto"/>
          <w:kern w:val="0"/>
          <w:sz w:val="22"/>
          <w:szCs w:val="22"/>
          <w:highlight w:val="none"/>
          <w:u w:val="none"/>
          <w:lang w:val="en-US" w:eastAsia="zh-CN"/>
        </w:rPr>
        <w:t>中标（成交）供应商</w:t>
      </w:r>
      <w:r>
        <w:rPr>
          <w:rFonts w:hint="eastAsia" w:ascii="宋体" w:hAnsi="宋体" w:eastAsia="宋体" w:cs="宋体"/>
          <w:bCs/>
          <w:color w:val="auto"/>
          <w:kern w:val="0"/>
          <w:sz w:val="22"/>
          <w:szCs w:val="22"/>
          <w:highlight w:val="none"/>
          <w:u w:val="none"/>
          <w:lang w:val="en-US" w:eastAsia="zh-CN"/>
        </w:rPr>
        <w:t>协商后，</w:t>
      </w:r>
      <w:r>
        <w:rPr>
          <w:rFonts w:hint="eastAsia" w:hAnsi="宋体" w:cs="宋体"/>
          <w:bCs/>
          <w:color w:val="auto"/>
          <w:kern w:val="0"/>
          <w:sz w:val="22"/>
          <w:szCs w:val="22"/>
          <w:highlight w:val="none"/>
          <w:u w:val="none"/>
          <w:lang w:val="en-US" w:eastAsia="zh-CN"/>
        </w:rPr>
        <w:t>中标（成交）供应商</w:t>
      </w:r>
      <w:r>
        <w:rPr>
          <w:rFonts w:hint="eastAsia" w:ascii="宋体" w:hAnsi="宋体" w:eastAsia="宋体" w:cs="宋体"/>
          <w:bCs/>
          <w:color w:val="auto"/>
          <w:kern w:val="0"/>
          <w:sz w:val="22"/>
          <w:szCs w:val="22"/>
          <w:highlight w:val="none"/>
          <w:u w:val="none"/>
          <w:lang w:val="en-US" w:eastAsia="zh-CN"/>
        </w:rPr>
        <w:t>应清理征用区域的农作物及地上附着物，享有被征用部分的青苗补偿款及地上附着物的补偿款，但项目区内的基础设施政府投入和补贴部分不列入补偿范围。</w:t>
      </w:r>
    </w:p>
    <w:p w14:paraId="56EB2FF3">
      <w:pPr>
        <w:pStyle w:val="12"/>
        <w:keepNext w:val="0"/>
        <w:keepLines w:val="0"/>
        <w:pageBreakBefore w:val="0"/>
        <w:widowControl/>
        <w:kinsoku/>
        <w:wordWrap/>
        <w:overflowPunct/>
        <w:topLinePunct w:val="0"/>
        <w:autoSpaceDE/>
        <w:autoSpaceDN/>
        <w:bidi w:val="0"/>
        <w:adjustRightInd w:val="0"/>
        <w:snapToGrid w:val="0"/>
        <w:spacing w:line="400" w:lineRule="exact"/>
        <w:ind w:firstLine="444" w:firstLineChars="202"/>
        <w:jc w:val="left"/>
        <w:textAlignment w:val="auto"/>
        <w:outlineLvl w:val="0"/>
        <w:rPr>
          <w:rFonts w:hint="eastAsia" w:ascii="宋体" w:hAnsi="宋体" w:eastAsia="宋体" w:cs="宋体"/>
          <w:bCs/>
          <w:color w:val="auto"/>
          <w:kern w:val="0"/>
          <w:sz w:val="22"/>
          <w:szCs w:val="22"/>
          <w:highlight w:val="none"/>
          <w:u w:val="none"/>
          <w:lang w:val="en-US" w:eastAsia="zh-CN"/>
        </w:rPr>
      </w:pPr>
      <w:r>
        <w:rPr>
          <w:rFonts w:hint="eastAsia" w:ascii="宋体" w:hAnsi="宋体" w:eastAsia="宋体" w:cs="宋体"/>
          <w:bCs/>
          <w:color w:val="auto"/>
          <w:kern w:val="0"/>
          <w:sz w:val="22"/>
          <w:szCs w:val="22"/>
          <w:highlight w:val="none"/>
          <w:u w:val="none"/>
          <w:lang w:val="en-US" w:eastAsia="zh-CN"/>
        </w:rPr>
        <w:t>2、</w:t>
      </w:r>
      <w:r>
        <w:rPr>
          <w:rFonts w:hint="eastAsia" w:hAnsi="宋体" w:cs="宋体"/>
          <w:bCs/>
          <w:color w:val="auto"/>
          <w:kern w:val="0"/>
          <w:sz w:val="22"/>
          <w:szCs w:val="22"/>
          <w:highlight w:val="none"/>
          <w:u w:val="none"/>
          <w:lang w:val="en-US" w:eastAsia="zh-CN"/>
        </w:rPr>
        <w:t>中标（成交）供应商</w:t>
      </w:r>
      <w:r>
        <w:rPr>
          <w:rFonts w:hint="eastAsia" w:ascii="宋体" w:hAnsi="宋体" w:eastAsia="宋体" w:cs="宋体"/>
          <w:bCs/>
          <w:color w:val="auto"/>
          <w:kern w:val="0"/>
          <w:sz w:val="22"/>
          <w:szCs w:val="22"/>
          <w:highlight w:val="none"/>
          <w:u w:val="none"/>
          <w:lang w:val="en-US" w:eastAsia="zh-CN"/>
        </w:rPr>
        <w:t>的义务</w:t>
      </w:r>
    </w:p>
    <w:p w14:paraId="0A0BB340">
      <w:pPr>
        <w:pStyle w:val="12"/>
        <w:keepNext w:val="0"/>
        <w:keepLines w:val="0"/>
        <w:pageBreakBefore w:val="0"/>
        <w:widowControl/>
        <w:kinsoku/>
        <w:wordWrap/>
        <w:overflowPunct/>
        <w:topLinePunct w:val="0"/>
        <w:autoSpaceDE/>
        <w:autoSpaceDN/>
        <w:bidi w:val="0"/>
        <w:adjustRightInd w:val="0"/>
        <w:snapToGrid w:val="0"/>
        <w:spacing w:line="400" w:lineRule="exact"/>
        <w:ind w:firstLine="444" w:firstLineChars="202"/>
        <w:jc w:val="left"/>
        <w:textAlignment w:val="auto"/>
        <w:outlineLvl w:val="0"/>
        <w:rPr>
          <w:rFonts w:hint="default" w:ascii="宋体" w:hAnsi="宋体" w:eastAsia="宋体" w:cs="宋体"/>
          <w:bCs/>
          <w:color w:val="auto"/>
          <w:kern w:val="0"/>
          <w:sz w:val="22"/>
          <w:szCs w:val="22"/>
          <w:highlight w:val="none"/>
          <w:u w:val="none"/>
          <w:lang w:val="en-US" w:eastAsia="zh-CN"/>
        </w:rPr>
      </w:pPr>
      <w:r>
        <w:rPr>
          <w:rFonts w:hint="eastAsia" w:ascii="宋体" w:hAnsi="宋体" w:eastAsia="宋体" w:cs="宋体"/>
          <w:bCs/>
          <w:color w:val="auto"/>
          <w:kern w:val="0"/>
          <w:sz w:val="22"/>
          <w:szCs w:val="22"/>
          <w:highlight w:val="none"/>
          <w:u w:val="none"/>
          <w:lang w:val="en-US" w:eastAsia="zh-CN"/>
        </w:rPr>
        <w:t>(</w:t>
      </w:r>
      <w:r>
        <w:rPr>
          <w:rFonts w:hint="eastAsia" w:hAnsi="宋体" w:cs="宋体"/>
          <w:bCs/>
          <w:color w:val="auto"/>
          <w:kern w:val="0"/>
          <w:sz w:val="22"/>
          <w:szCs w:val="22"/>
          <w:highlight w:val="none"/>
          <w:u w:val="none"/>
          <w:lang w:val="en-US" w:eastAsia="zh-CN"/>
        </w:rPr>
        <w:t>1</w:t>
      </w:r>
      <w:r>
        <w:rPr>
          <w:rFonts w:hint="eastAsia" w:ascii="宋体" w:hAnsi="宋体" w:eastAsia="宋体" w:cs="宋体"/>
          <w:bCs/>
          <w:color w:val="auto"/>
          <w:kern w:val="0"/>
          <w:sz w:val="22"/>
          <w:szCs w:val="22"/>
          <w:highlight w:val="none"/>
          <w:u w:val="none"/>
          <w:lang w:val="en-US" w:eastAsia="zh-CN"/>
        </w:rPr>
        <w:t>)</w:t>
      </w:r>
      <w:r>
        <w:rPr>
          <w:rFonts w:hint="eastAsia" w:hAnsi="宋体" w:cs="宋体"/>
          <w:bCs/>
          <w:color w:val="auto"/>
          <w:kern w:val="0"/>
          <w:sz w:val="22"/>
          <w:szCs w:val="22"/>
          <w:highlight w:val="none"/>
          <w:u w:val="none"/>
          <w:lang w:val="en-US" w:eastAsia="zh-CN"/>
        </w:rPr>
        <w:t>中标（成交）供应商</w:t>
      </w:r>
      <w:r>
        <w:rPr>
          <w:rFonts w:hint="eastAsia" w:ascii="宋体" w:hAnsi="宋体" w:eastAsia="宋体" w:cs="宋体"/>
          <w:bCs/>
          <w:color w:val="auto"/>
          <w:kern w:val="0"/>
          <w:sz w:val="22"/>
          <w:szCs w:val="22"/>
          <w:highlight w:val="none"/>
          <w:u w:val="none"/>
          <w:lang w:val="en-US" w:eastAsia="zh-CN"/>
        </w:rPr>
        <w:t>按约定如数如期向财政上交土地收益费用</w:t>
      </w:r>
      <w:r>
        <w:rPr>
          <w:rFonts w:hint="eastAsia" w:hAnsi="宋体" w:cs="宋体"/>
          <w:bCs/>
          <w:color w:val="auto"/>
          <w:kern w:val="0"/>
          <w:sz w:val="22"/>
          <w:szCs w:val="22"/>
          <w:highlight w:val="none"/>
          <w:u w:val="none"/>
          <w:lang w:val="en-US" w:eastAsia="zh-CN"/>
        </w:rPr>
        <w:t>，否则采购人有权终止合同。</w:t>
      </w:r>
    </w:p>
    <w:p w14:paraId="0C62BB37">
      <w:pPr>
        <w:pStyle w:val="12"/>
        <w:keepNext w:val="0"/>
        <w:keepLines w:val="0"/>
        <w:pageBreakBefore w:val="0"/>
        <w:widowControl/>
        <w:kinsoku/>
        <w:wordWrap/>
        <w:overflowPunct/>
        <w:topLinePunct w:val="0"/>
        <w:autoSpaceDE/>
        <w:autoSpaceDN/>
        <w:bidi w:val="0"/>
        <w:adjustRightInd w:val="0"/>
        <w:snapToGrid w:val="0"/>
        <w:spacing w:line="400" w:lineRule="exact"/>
        <w:ind w:firstLine="444" w:firstLineChars="202"/>
        <w:jc w:val="left"/>
        <w:textAlignment w:val="auto"/>
        <w:outlineLvl w:val="0"/>
        <w:rPr>
          <w:rFonts w:hint="eastAsia" w:ascii="宋体" w:hAnsi="宋体" w:eastAsia="宋体" w:cs="宋体"/>
          <w:bCs/>
          <w:color w:val="auto"/>
          <w:kern w:val="0"/>
          <w:sz w:val="22"/>
          <w:szCs w:val="22"/>
          <w:highlight w:val="none"/>
          <w:u w:val="none"/>
          <w:lang w:val="en-US" w:eastAsia="zh-CN"/>
        </w:rPr>
      </w:pPr>
      <w:r>
        <w:rPr>
          <w:rFonts w:hint="eastAsia" w:ascii="宋体" w:hAnsi="宋体" w:eastAsia="宋体" w:cs="宋体"/>
          <w:bCs/>
          <w:color w:val="auto"/>
          <w:kern w:val="0"/>
          <w:sz w:val="22"/>
          <w:szCs w:val="22"/>
          <w:highlight w:val="none"/>
          <w:u w:val="none"/>
          <w:lang w:val="en-US" w:eastAsia="zh-CN"/>
        </w:rPr>
        <w:t>(</w:t>
      </w:r>
      <w:r>
        <w:rPr>
          <w:rFonts w:hint="eastAsia" w:hAnsi="宋体" w:cs="宋体"/>
          <w:bCs/>
          <w:color w:val="auto"/>
          <w:kern w:val="0"/>
          <w:sz w:val="22"/>
          <w:szCs w:val="22"/>
          <w:highlight w:val="none"/>
          <w:u w:val="none"/>
          <w:lang w:val="en-US" w:eastAsia="zh-CN"/>
        </w:rPr>
        <w:t>2</w:t>
      </w:r>
      <w:r>
        <w:rPr>
          <w:rFonts w:hint="eastAsia" w:ascii="宋体" w:hAnsi="宋体" w:eastAsia="宋体" w:cs="宋体"/>
          <w:bCs/>
          <w:color w:val="auto"/>
          <w:kern w:val="0"/>
          <w:sz w:val="22"/>
          <w:szCs w:val="22"/>
          <w:highlight w:val="none"/>
          <w:u w:val="none"/>
          <w:lang w:val="en-US" w:eastAsia="zh-CN"/>
        </w:rPr>
        <w:t>)</w:t>
      </w:r>
      <w:r>
        <w:rPr>
          <w:rFonts w:hint="eastAsia" w:hAnsi="宋体" w:cs="宋体"/>
          <w:bCs/>
          <w:color w:val="auto"/>
          <w:kern w:val="0"/>
          <w:sz w:val="22"/>
          <w:szCs w:val="22"/>
          <w:highlight w:val="none"/>
          <w:u w:val="none"/>
          <w:lang w:val="en-US" w:eastAsia="zh-CN"/>
        </w:rPr>
        <w:t>中标（成交）供应商</w:t>
      </w:r>
      <w:r>
        <w:rPr>
          <w:rFonts w:hint="eastAsia" w:ascii="宋体" w:hAnsi="宋体" w:eastAsia="宋体" w:cs="宋体"/>
          <w:bCs/>
          <w:color w:val="auto"/>
          <w:kern w:val="0"/>
          <w:sz w:val="22"/>
          <w:szCs w:val="22"/>
          <w:highlight w:val="none"/>
          <w:u w:val="none"/>
          <w:lang w:val="en-US" w:eastAsia="zh-CN"/>
        </w:rPr>
        <w:t>在运营期内，自主经营、自负盈亏、并依法办理相关审批手续。</w:t>
      </w:r>
    </w:p>
    <w:p w14:paraId="51FA33DF">
      <w:pPr>
        <w:pStyle w:val="12"/>
        <w:keepNext w:val="0"/>
        <w:keepLines w:val="0"/>
        <w:pageBreakBefore w:val="0"/>
        <w:widowControl/>
        <w:kinsoku/>
        <w:wordWrap/>
        <w:overflowPunct/>
        <w:topLinePunct w:val="0"/>
        <w:autoSpaceDE/>
        <w:autoSpaceDN/>
        <w:bidi w:val="0"/>
        <w:adjustRightInd w:val="0"/>
        <w:snapToGrid w:val="0"/>
        <w:spacing w:line="400" w:lineRule="exact"/>
        <w:ind w:firstLine="444" w:firstLineChars="202"/>
        <w:jc w:val="left"/>
        <w:textAlignment w:val="auto"/>
        <w:outlineLvl w:val="0"/>
        <w:rPr>
          <w:rFonts w:hint="eastAsia" w:ascii="宋体" w:hAnsi="宋体" w:eastAsia="宋体" w:cs="宋体"/>
          <w:bCs/>
          <w:color w:val="auto"/>
          <w:kern w:val="0"/>
          <w:sz w:val="22"/>
          <w:szCs w:val="22"/>
          <w:highlight w:val="none"/>
          <w:u w:val="none"/>
          <w:lang w:val="en-US" w:eastAsia="zh-CN"/>
        </w:rPr>
      </w:pPr>
      <w:r>
        <w:rPr>
          <w:rFonts w:hint="eastAsia" w:ascii="宋体" w:hAnsi="宋体" w:eastAsia="宋体" w:cs="宋体"/>
          <w:bCs/>
          <w:color w:val="auto"/>
          <w:kern w:val="0"/>
          <w:sz w:val="22"/>
          <w:szCs w:val="22"/>
          <w:highlight w:val="none"/>
          <w:u w:val="none"/>
          <w:lang w:val="en-US" w:eastAsia="zh-CN"/>
        </w:rPr>
        <w:t>(</w:t>
      </w:r>
      <w:r>
        <w:rPr>
          <w:rFonts w:hint="eastAsia" w:hAnsi="宋体" w:cs="宋体"/>
          <w:bCs/>
          <w:color w:val="auto"/>
          <w:kern w:val="0"/>
          <w:sz w:val="22"/>
          <w:szCs w:val="22"/>
          <w:highlight w:val="none"/>
          <w:u w:val="none"/>
          <w:lang w:val="en-US" w:eastAsia="zh-CN"/>
        </w:rPr>
        <w:t>3中标（成交）供应商</w:t>
      </w:r>
      <w:r>
        <w:rPr>
          <w:rFonts w:hint="eastAsia" w:ascii="宋体" w:hAnsi="宋体" w:eastAsia="宋体" w:cs="宋体"/>
          <w:bCs/>
          <w:color w:val="auto"/>
          <w:kern w:val="0"/>
          <w:sz w:val="22"/>
          <w:szCs w:val="22"/>
          <w:highlight w:val="none"/>
          <w:u w:val="none"/>
          <w:lang w:val="en-US" w:eastAsia="zh-CN"/>
        </w:rPr>
        <w:t>在运营期内不得将承租土地抛荒、转借，在租赁土地范围内修建农用设施及办公、生活必需的其他固定建筑物和构筑物，必须征得</w:t>
      </w:r>
      <w:r>
        <w:rPr>
          <w:rFonts w:hint="eastAsia" w:hAnsi="宋体" w:cs="宋体"/>
          <w:bCs/>
          <w:color w:val="auto"/>
          <w:kern w:val="0"/>
          <w:sz w:val="22"/>
          <w:szCs w:val="22"/>
          <w:highlight w:val="none"/>
          <w:u w:val="none"/>
          <w:lang w:val="en-US" w:eastAsia="zh-CN"/>
        </w:rPr>
        <w:t>采购人及</w:t>
      </w:r>
      <w:r>
        <w:rPr>
          <w:rFonts w:hint="eastAsia" w:ascii="宋体" w:hAnsi="宋体" w:eastAsia="宋体" w:cs="宋体"/>
          <w:bCs/>
          <w:color w:val="auto"/>
          <w:kern w:val="0"/>
          <w:sz w:val="22"/>
          <w:szCs w:val="22"/>
          <w:highlight w:val="none"/>
          <w:u w:val="none"/>
          <w:lang w:val="en-US" w:eastAsia="zh-CN"/>
        </w:rPr>
        <w:t>相关</w:t>
      </w:r>
      <w:r>
        <w:rPr>
          <w:rFonts w:hint="eastAsia" w:hAnsi="宋体" w:cs="宋体"/>
          <w:bCs/>
          <w:color w:val="auto"/>
          <w:kern w:val="0"/>
          <w:sz w:val="22"/>
          <w:szCs w:val="22"/>
          <w:highlight w:val="none"/>
          <w:u w:val="none"/>
          <w:lang w:val="en-US" w:eastAsia="zh-CN"/>
        </w:rPr>
        <w:t>主管部门的</w:t>
      </w:r>
      <w:r>
        <w:rPr>
          <w:rFonts w:hint="eastAsia" w:ascii="宋体" w:hAnsi="宋体" w:eastAsia="宋体" w:cs="宋体"/>
          <w:bCs/>
          <w:color w:val="auto"/>
          <w:kern w:val="0"/>
          <w:sz w:val="22"/>
          <w:szCs w:val="22"/>
          <w:highlight w:val="none"/>
          <w:u w:val="none"/>
          <w:lang w:val="en-US" w:eastAsia="zh-CN"/>
        </w:rPr>
        <w:t>同意并报相关职能部门审批。</w:t>
      </w:r>
    </w:p>
    <w:p w14:paraId="36354870">
      <w:pPr>
        <w:pStyle w:val="12"/>
        <w:keepNext w:val="0"/>
        <w:keepLines w:val="0"/>
        <w:pageBreakBefore w:val="0"/>
        <w:widowControl/>
        <w:kinsoku/>
        <w:wordWrap/>
        <w:overflowPunct/>
        <w:topLinePunct w:val="0"/>
        <w:autoSpaceDE/>
        <w:autoSpaceDN/>
        <w:bidi w:val="0"/>
        <w:adjustRightInd w:val="0"/>
        <w:snapToGrid w:val="0"/>
        <w:spacing w:line="400" w:lineRule="exact"/>
        <w:ind w:firstLine="444" w:firstLineChars="202"/>
        <w:jc w:val="left"/>
        <w:textAlignment w:val="auto"/>
        <w:outlineLvl w:val="0"/>
        <w:rPr>
          <w:rFonts w:hint="eastAsia" w:ascii="宋体" w:hAnsi="宋体" w:eastAsia="宋体" w:cs="宋体"/>
          <w:bCs/>
          <w:color w:val="auto"/>
          <w:kern w:val="0"/>
          <w:sz w:val="22"/>
          <w:szCs w:val="22"/>
          <w:highlight w:val="none"/>
          <w:u w:val="none"/>
          <w:lang w:val="en-US" w:eastAsia="zh-CN"/>
        </w:rPr>
      </w:pPr>
      <w:r>
        <w:rPr>
          <w:rFonts w:hint="eastAsia" w:ascii="宋体" w:hAnsi="宋体" w:eastAsia="宋体" w:cs="宋体"/>
          <w:bCs/>
          <w:color w:val="auto"/>
          <w:kern w:val="0"/>
          <w:sz w:val="22"/>
          <w:szCs w:val="22"/>
          <w:highlight w:val="none"/>
          <w:u w:val="none"/>
          <w:lang w:val="en-US" w:eastAsia="zh-CN"/>
        </w:rPr>
        <w:t>(</w:t>
      </w:r>
      <w:r>
        <w:rPr>
          <w:rFonts w:hint="eastAsia" w:hAnsi="宋体" w:cs="宋体"/>
          <w:bCs/>
          <w:color w:val="auto"/>
          <w:kern w:val="0"/>
          <w:sz w:val="22"/>
          <w:szCs w:val="22"/>
          <w:highlight w:val="none"/>
          <w:u w:val="none"/>
          <w:lang w:val="en-US" w:eastAsia="zh-CN"/>
        </w:rPr>
        <w:t>4</w:t>
      </w:r>
      <w:r>
        <w:rPr>
          <w:rFonts w:hint="eastAsia" w:ascii="宋体" w:hAnsi="宋体" w:eastAsia="宋体" w:cs="宋体"/>
          <w:bCs/>
          <w:color w:val="auto"/>
          <w:kern w:val="0"/>
          <w:sz w:val="22"/>
          <w:szCs w:val="22"/>
          <w:highlight w:val="none"/>
          <w:u w:val="none"/>
          <w:lang w:val="en-US" w:eastAsia="zh-CN"/>
        </w:rPr>
        <w:t>)</w:t>
      </w:r>
      <w:r>
        <w:rPr>
          <w:rFonts w:hint="eastAsia" w:hAnsi="宋体" w:cs="宋体"/>
          <w:bCs/>
          <w:color w:val="auto"/>
          <w:kern w:val="0"/>
          <w:sz w:val="22"/>
          <w:szCs w:val="22"/>
          <w:highlight w:val="none"/>
          <w:u w:val="none"/>
          <w:lang w:val="en-US" w:eastAsia="zh-CN"/>
        </w:rPr>
        <w:t>中标（成交）供应商</w:t>
      </w:r>
      <w:r>
        <w:rPr>
          <w:rFonts w:hint="eastAsia" w:ascii="宋体" w:hAnsi="宋体" w:eastAsia="宋体" w:cs="宋体"/>
          <w:bCs/>
          <w:color w:val="auto"/>
          <w:kern w:val="0"/>
          <w:sz w:val="22"/>
          <w:szCs w:val="22"/>
          <w:highlight w:val="none"/>
          <w:u w:val="none"/>
          <w:lang w:val="en-US" w:eastAsia="zh-CN"/>
        </w:rPr>
        <w:t>不得擅自改变农业生产用途，不得挖塘，不得改变原有主要沟渠等水系。</w:t>
      </w:r>
    </w:p>
    <w:p w14:paraId="5E180DAB">
      <w:pPr>
        <w:pStyle w:val="12"/>
        <w:keepNext w:val="0"/>
        <w:keepLines w:val="0"/>
        <w:pageBreakBefore w:val="0"/>
        <w:widowControl/>
        <w:kinsoku/>
        <w:wordWrap/>
        <w:overflowPunct/>
        <w:topLinePunct w:val="0"/>
        <w:autoSpaceDE/>
        <w:autoSpaceDN/>
        <w:bidi w:val="0"/>
        <w:adjustRightInd w:val="0"/>
        <w:snapToGrid w:val="0"/>
        <w:spacing w:line="400" w:lineRule="exact"/>
        <w:ind w:firstLine="444" w:firstLineChars="202"/>
        <w:jc w:val="left"/>
        <w:textAlignment w:val="auto"/>
        <w:outlineLvl w:val="0"/>
        <w:rPr>
          <w:rFonts w:hint="eastAsia" w:ascii="宋体" w:hAnsi="宋体" w:eastAsia="宋体" w:cs="宋体"/>
          <w:bCs/>
          <w:color w:val="auto"/>
          <w:kern w:val="0"/>
          <w:sz w:val="22"/>
          <w:szCs w:val="22"/>
          <w:highlight w:val="none"/>
          <w:u w:val="none"/>
          <w:lang w:val="en-US" w:eastAsia="zh-CN"/>
        </w:rPr>
      </w:pPr>
      <w:r>
        <w:rPr>
          <w:rFonts w:hint="eastAsia" w:ascii="宋体" w:hAnsi="宋体" w:eastAsia="宋体" w:cs="宋体"/>
          <w:bCs/>
          <w:color w:val="auto"/>
          <w:kern w:val="0"/>
          <w:sz w:val="22"/>
          <w:szCs w:val="22"/>
          <w:highlight w:val="none"/>
          <w:u w:val="none"/>
          <w:lang w:val="en-US" w:eastAsia="zh-CN"/>
        </w:rPr>
        <w:t>(</w:t>
      </w:r>
      <w:r>
        <w:rPr>
          <w:rFonts w:hint="eastAsia" w:hAnsi="宋体" w:cs="宋体"/>
          <w:bCs/>
          <w:color w:val="auto"/>
          <w:kern w:val="0"/>
          <w:sz w:val="22"/>
          <w:szCs w:val="22"/>
          <w:highlight w:val="none"/>
          <w:u w:val="none"/>
          <w:lang w:val="en-US" w:eastAsia="zh-CN"/>
        </w:rPr>
        <w:t>5</w:t>
      </w:r>
      <w:r>
        <w:rPr>
          <w:rFonts w:hint="eastAsia" w:ascii="宋体" w:hAnsi="宋体" w:eastAsia="宋体" w:cs="宋体"/>
          <w:bCs/>
          <w:color w:val="auto"/>
          <w:kern w:val="0"/>
          <w:sz w:val="22"/>
          <w:szCs w:val="22"/>
          <w:highlight w:val="none"/>
          <w:u w:val="none"/>
          <w:lang w:val="en-US" w:eastAsia="zh-CN"/>
        </w:rPr>
        <w:t>)河道取水按规定办理。承租范围内沟、渠、机耕路在运营期由</w:t>
      </w:r>
      <w:r>
        <w:rPr>
          <w:rFonts w:hint="eastAsia" w:hAnsi="宋体" w:cs="宋体"/>
          <w:bCs/>
          <w:color w:val="auto"/>
          <w:kern w:val="0"/>
          <w:sz w:val="22"/>
          <w:szCs w:val="22"/>
          <w:highlight w:val="none"/>
          <w:u w:val="none"/>
          <w:lang w:val="en-US" w:eastAsia="zh-CN"/>
        </w:rPr>
        <w:t>中标（成交）供应商</w:t>
      </w:r>
      <w:r>
        <w:rPr>
          <w:rFonts w:hint="eastAsia" w:ascii="宋体" w:hAnsi="宋体" w:eastAsia="宋体" w:cs="宋体"/>
          <w:bCs/>
          <w:color w:val="auto"/>
          <w:kern w:val="0"/>
          <w:sz w:val="22"/>
          <w:szCs w:val="22"/>
          <w:highlight w:val="none"/>
          <w:u w:val="none"/>
          <w:lang w:val="en-US" w:eastAsia="zh-CN"/>
        </w:rPr>
        <w:t>负责维修、更换，以保持正常使用。中标（成交）供应商必须无条件服从采购人因防汛抗旱、抢险救灾等民生公共事由对承租范围内基础设施的调度使用。</w:t>
      </w:r>
    </w:p>
    <w:p w14:paraId="17CB76A1">
      <w:pPr>
        <w:pStyle w:val="12"/>
        <w:keepNext w:val="0"/>
        <w:keepLines w:val="0"/>
        <w:pageBreakBefore w:val="0"/>
        <w:widowControl/>
        <w:kinsoku/>
        <w:wordWrap/>
        <w:overflowPunct/>
        <w:topLinePunct w:val="0"/>
        <w:autoSpaceDE/>
        <w:autoSpaceDN/>
        <w:bidi w:val="0"/>
        <w:adjustRightInd w:val="0"/>
        <w:snapToGrid w:val="0"/>
        <w:spacing w:line="400" w:lineRule="exact"/>
        <w:ind w:firstLine="444" w:firstLineChars="202"/>
        <w:jc w:val="left"/>
        <w:textAlignment w:val="auto"/>
        <w:outlineLvl w:val="0"/>
        <w:rPr>
          <w:rFonts w:hint="eastAsia" w:ascii="宋体" w:hAnsi="宋体" w:eastAsia="宋体" w:cs="宋体"/>
          <w:bCs/>
          <w:color w:val="auto"/>
          <w:kern w:val="0"/>
          <w:sz w:val="22"/>
          <w:szCs w:val="22"/>
          <w:highlight w:val="none"/>
          <w:u w:val="none"/>
          <w:lang w:val="en-US" w:eastAsia="zh-CN"/>
        </w:rPr>
      </w:pPr>
      <w:r>
        <w:rPr>
          <w:rFonts w:hint="eastAsia" w:ascii="宋体" w:hAnsi="宋体" w:eastAsia="宋体" w:cs="宋体"/>
          <w:bCs/>
          <w:color w:val="auto"/>
          <w:kern w:val="0"/>
          <w:sz w:val="22"/>
          <w:szCs w:val="22"/>
          <w:highlight w:val="none"/>
          <w:u w:val="none"/>
          <w:lang w:val="en-US" w:eastAsia="zh-CN"/>
        </w:rPr>
        <w:t>(6)运营期因生产经营所发生的所有事故及造成他人损害的，由中标（成交）供应商承担责任。</w:t>
      </w:r>
    </w:p>
    <w:p w14:paraId="6818C3CB">
      <w:pPr>
        <w:pStyle w:val="12"/>
        <w:keepNext w:val="0"/>
        <w:keepLines w:val="0"/>
        <w:pageBreakBefore w:val="0"/>
        <w:widowControl/>
        <w:kinsoku/>
        <w:wordWrap/>
        <w:overflowPunct/>
        <w:topLinePunct w:val="0"/>
        <w:autoSpaceDE/>
        <w:autoSpaceDN/>
        <w:bidi w:val="0"/>
        <w:adjustRightInd w:val="0"/>
        <w:snapToGrid w:val="0"/>
        <w:spacing w:line="400" w:lineRule="exact"/>
        <w:ind w:firstLine="444" w:firstLineChars="202"/>
        <w:jc w:val="left"/>
        <w:textAlignment w:val="auto"/>
        <w:outlineLvl w:val="0"/>
        <w:rPr>
          <w:rFonts w:hint="eastAsia" w:ascii="宋体" w:hAnsi="宋体" w:eastAsia="宋体" w:cs="宋体"/>
          <w:bCs/>
          <w:color w:val="auto"/>
          <w:kern w:val="0"/>
          <w:sz w:val="22"/>
          <w:szCs w:val="22"/>
          <w:highlight w:val="none"/>
          <w:u w:val="none"/>
          <w:lang w:val="en-US" w:eastAsia="zh-CN"/>
        </w:rPr>
      </w:pPr>
      <w:r>
        <w:rPr>
          <w:rFonts w:hint="eastAsia" w:ascii="宋体" w:hAnsi="宋体" w:eastAsia="宋体" w:cs="宋体"/>
          <w:bCs/>
          <w:color w:val="auto"/>
          <w:kern w:val="0"/>
          <w:sz w:val="22"/>
          <w:szCs w:val="22"/>
          <w:highlight w:val="none"/>
          <w:u w:val="none"/>
          <w:lang w:val="en-US" w:eastAsia="zh-CN"/>
        </w:rPr>
        <w:t>(7)中标（成交）供应商积极配合采购人以及相关主管部门，对本项目的建设运营监督管理工作。</w:t>
      </w:r>
    </w:p>
    <w:p w14:paraId="788F9F00">
      <w:pPr>
        <w:pStyle w:val="12"/>
        <w:keepNext w:val="0"/>
        <w:keepLines w:val="0"/>
        <w:pageBreakBefore w:val="0"/>
        <w:widowControl/>
        <w:kinsoku/>
        <w:wordWrap/>
        <w:overflowPunct/>
        <w:topLinePunct w:val="0"/>
        <w:autoSpaceDE/>
        <w:autoSpaceDN/>
        <w:bidi w:val="0"/>
        <w:adjustRightInd w:val="0"/>
        <w:snapToGrid w:val="0"/>
        <w:spacing w:line="400" w:lineRule="exact"/>
        <w:ind w:firstLine="446" w:firstLineChars="202"/>
        <w:jc w:val="left"/>
        <w:textAlignment w:val="auto"/>
        <w:outlineLvl w:val="0"/>
        <w:rPr>
          <w:rFonts w:hint="eastAsia" w:ascii="宋体" w:hAnsi="宋体" w:eastAsia="宋体" w:cs="宋体"/>
          <w:b/>
          <w:bCs w:val="0"/>
          <w:color w:val="auto"/>
          <w:kern w:val="0"/>
          <w:sz w:val="22"/>
          <w:szCs w:val="22"/>
          <w:highlight w:val="none"/>
          <w:u w:val="none"/>
          <w:lang w:val="en-US" w:eastAsia="zh-CN"/>
        </w:rPr>
      </w:pPr>
      <w:r>
        <w:rPr>
          <w:rFonts w:hint="eastAsia" w:ascii="宋体" w:hAnsi="宋体" w:eastAsia="宋体" w:cs="宋体"/>
          <w:b/>
          <w:bCs w:val="0"/>
          <w:color w:val="auto"/>
          <w:kern w:val="0"/>
          <w:sz w:val="22"/>
          <w:szCs w:val="22"/>
          <w:highlight w:val="none"/>
          <w:u w:val="none"/>
          <w:lang w:val="en-US" w:eastAsia="zh-CN"/>
        </w:rPr>
        <w:t>三、项目验收</w:t>
      </w:r>
      <w:bookmarkEnd w:id="21"/>
      <w:bookmarkEnd w:id="22"/>
      <w:bookmarkEnd w:id="23"/>
      <w:bookmarkEnd w:id="24"/>
      <w:bookmarkEnd w:id="25"/>
      <w:bookmarkEnd w:id="26"/>
      <w:bookmarkEnd w:id="27"/>
      <w:bookmarkEnd w:id="28"/>
      <w:bookmarkEnd w:id="29"/>
    </w:p>
    <w:p w14:paraId="4DF49EB0">
      <w:pPr>
        <w:pStyle w:val="12"/>
        <w:keepNext w:val="0"/>
        <w:keepLines w:val="0"/>
        <w:pageBreakBefore w:val="0"/>
        <w:widowControl/>
        <w:kinsoku/>
        <w:wordWrap/>
        <w:overflowPunct/>
        <w:topLinePunct w:val="0"/>
        <w:autoSpaceDE/>
        <w:autoSpaceDN/>
        <w:bidi w:val="0"/>
        <w:adjustRightInd w:val="0"/>
        <w:snapToGrid w:val="0"/>
        <w:spacing w:line="400" w:lineRule="exact"/>
        <w:ind w:firstLine="444" w:firstLineChars="202"/>
        <w:jc w:val="left"/>
        <w:textAlignment w:val="auto"/>
        <w:outlineLvl w:val="0"/>
        <w:rPr>
          <w:rFonts w:hint="eastAsia" w:ascii="宋体" w:hAnsi="宋体" w:eastAsia="宋体" w:cs="宋体"/>
          <w:bCs/>
          <w:color w:val="auto"/>
          <w:kern w:val="0"/>
          <w:sz w:val="22"/>
          <w:szCs w:val="22"/>
          <w:highlight w:val="none"/>
          <w:u w:val="none"/>
          <w:lang w:val="en-US" w:eastAsia="zh-CN"/>
        </w:rPr>
      </w:pPr>
      <w:r>
        <w:rPr>
          <w:rFonts w:hint="eastAsia" w:ascii="宋体" w:hAnsi="宋体" w:eastAsia="宋体" w:cs="宋体"/>
          <w:bCs/>
          <w:color w:val="auto"/>
          <w:kern w:val="0"/>
          <w:sz w:val="22"/>
          <w:szCs w:val="22"/>
          <w:highlight w:val="none"/>
          <w:u w:val="none"/>
          <w:lang w:val="en-US" w:eastAsia="zh-CN"/>
        </w:rPr>
        <w:t>项目验收：中标（成交）供应商完成项目</w:t>
      </w:r>
      <w:r>
        <w:rPr>
          <w:rFonts w:hint="eastAsia" w:hAnsi="宋体" w:cs="宋体"/>
          <w:bCs/>
          <w:color w:val="auto"/>
          <w:kern w:val="0"/>
          <w:sz w:val="22"/>
          <w:szCs w:val="22"/>
          <w:highlight w:val="none"/>
          <w:u w:val="none"/>
          <w:lang w:val="en-US" w:eastAsia="zh-CN"/>
        </w:rPr>
        <w:t>改造</w:t>
      </w:r>
      <w:r>
        <w:rPr>
          <w:rFonts w:hint="eastAsia" w:ascii="宋体" w:hAnsi="宋体" w:eastAsia="宋体" w:cs="宋体"/>
          <w:bCs/>
          <w:color w:val="auto"/>
          <w:kern w:val="0"/>
          <w:sz w:val="22"/>
          <w:szCs w:val="22"/>
          <w:highlight w:val="none"/>
          <w:u w:val="none"/>
          <w:lang w:val="en-US" w:eastAsia="zh-CN"/>
        </w:rPr>
        <w:t>后，项目乡镇政府组织项目设计、监理等单位对项目进行自验，自验合格的，项目乡镇政府向县农业农村部门申请项目验收。县农业农村部门会同财政部门，组织相关部门专家组成员进行项目验收。项目通过验收后，中标（成交）供应商开展竣工验收相关材料编制整理等工作，做好项目报备入库工作。</w:t>
      </w:r>
    </w:p>
    <w:p w14:paraId="5A0DD4AB">
      <w:pPr>
        <w:pStyle w:val="12"/>
        <w:keepNext w:val="0"/>
        <w:keepLines w:val="0"/>
        <w:pageBreakBefore w:val="0"/>
        <w:widowControl/>
        <w:kinsoku/>
        <w:wordWrap/>
        <w:overflowPunct/>
        <w:topLinePunct w:val="0"/>
        <w:autoSpaceDE/>
        <w:autoSpaceDN/>
        <w:bidi w:val="0"/>
        <w:adjustRightInd w:val="0"/>
        <w:snapToGrid w:val="0"/>
        <w:spacing w:line="400" w:lineRule="exact"/>
        <w:ind w:firstLine="444" w:firstLineChars="202"/>
        <w:jc w:val="left"/>
        <w:textAlignment w:val="auto"/>
        <w:outlineLvl w:val="0"/>
        <w:rPr>
          <w:rFonts w:hint="eastAsia" w:ascii="宋体" w:hAnsi="宋体" w:eastAsia="宋体" w:cs="宋体"/>
          <w:bCs/>
          <w:color w:val="auto"/>
          <w:kern w:val="0"/>
          <w:sz w:val="22"/>
          <w:szCs w:val="22"/>
          <w:highlight w:val="none"/>
          <w:u w:val="none"/>
          <w:lang w:val="en-US" w:eastAsia="zh-CN"/>
        </w:rPr>
      </w:pPr>
      <w:r>
        <w:rPr>
          <w:rFonts w:hint="eastAsia" w:ascii="宋体" w:hAnsi="宋体" w:eastAsia="宋体" w:cs="宋体"/>
          <w:bCs/>
          <w:color w:val="auto"/>
          <w:kern w:val="0"/>
          <w:sz w:val="22"/>
          <w:szCs w:val="22"/>
          <w:highlight w:val="none"/>
          <w:u w:val="none"/>
          <w:lang w:val="en-US" w:eastAsia="zh-CN"/>
        </w:rPr>
        <w:t>垦后耕种验收：改造后耕种验收：</w:t>
      </w:r>
      <w:r>
        <w:rPr>
          <w:rFonts w:hint="eastAsia" w:hAnsi="宋体" w:cs="宋体"/>
          <w:bCs/>
          <w:color w:val="auto"/>
          <w:kern w:val="0"/>
          <w:sz w:val="22"/>
          <w:szCs w:val="22"/>
          <w:highlight w:val="none"/>
          <w:u w:val="none"/>
          <w:lang w:val="en-US" w:eastAsia="zh-CN"/>
        </w:rPr>
        <w:t>改造</w:t>
      </w:r>
      <w:r>
        <w:rPr>
          <w:rFonts w:hint="eastAsia" w:ascii="宋体" w:hAnsi="宋体" w:eastAsia="宋体" w:cs="宋体"/>
          <w:bCs/>
          <w:color w:val="auto"/>
          <w:kern w:val="0"/>
          <w:sz w:val="22"/>
          <w:szCs w:val="22"/>
          <w:highlight w:val="none"/>
          <w:u w:val="none"/>
          <w:lang w:val="en-US" w:eastAsia="zh-CN"/>
        </w:rPr>
        <w:t>实施完成后，种植养护项目一年验收一次。中标（成交）供应商根据县农业农村部门的统一要求，提交验收材料，县农业农村部门会同财政部门，组织相关部门专家组成员对项目的耕种情况，进行实地勘察验收。</w:t>
      </w:r>
    </w:p>
    <w:p w14:paraId="102EA13B">
      <w:pPr>
        <w:pStyle w:val="12"/>
        <w:keepNext w:val="0"/>
        <w:keepLines w:val="0"/>
        <w:pageBreakBefore w:val="0"/>
        <w:widowControl/>
        <w:kinsoku/>
        <w:wordWrap/>
        <w:overflowPunct/>
        <w:topLinePunct w:val="0"/>
        <w:autoSpaceDE/>
        <w:autoSpaceDN/>
        <w:bidi w:val="0"/>
        <w:adjustRightInd w:val="0"/>
        <w:snapToGrid w:val="0"/>
        <w:spacing w:line="400" w:lineRule="exact"/>
        <w:ind w:firstLine="444" w:firstLineChars="202"/>
        <w:jc w:val="left"/>
        <w:textAlignment w:val="auto"/>
        <w:outlineLvl w:val="0"/>
        <w:rPr>
          <w:rFonts w:hint="default" w:ascii="宋体" w:hAnsi="宋体" w:eastAsia="宋体" w:cs="宋体"/>
          <w:bCs/>
          <w:color w:val="auto"/>
          <w:kern w:val="0"/>
          <w:sz w:val="22"/>
          <w:szCs w:val="22"/>
          <w:highlight w:val="none"/>
          <w:u w:val="none"/>
          <w:lang w:val="en-US" w:eastAsia="zh-CN"/>
        </w:rPr>
      </w:pPr>
      <w:r>
        <w:rPr>
          <w:rFonts w:hint="eastAsia" w:ascii="宋体" w:hAnsi="宋体" w:eastAsia="宋体" w:cs="宋体"/>
          <w:bCs/>
          <w:color w:val="auto"/>
          <w:kern w:val="0"/>
          <w:sz w:val="22"/>
          <w:szCs w:val="22"/>
          <w:highlight w:val="none"/>
          <w:u w:val="none"/>
          <w:lang w:val="en-US" w:eastAsia="zh-CN"/>
        </w:rPr>
        <w:t>管理养护要求：满足项目实施的质量控制标准收。</w:t>
      </w:r>
    </w:p>
    <w:p w14:paraId="203FEDD8">
      <w:pPr>
        <w:pStyle w:val="12"/>
        <w:keepNext w:val="0"/>
        <w:keepLines w:val="0"/>
        <w:pageBreakBefore w:val="0"/>
        <w:widowControl/>
        <w:kinsoku/>
        <w:wordWrap/>
        <w:overflowPunct/>
        <w:topLinePunct w:val="0"/>
        <w:autoSpaceDE/>
        <w:autoSpaceDN/>
        <w:bidi w:val="0"/>
        <w:adjustRightInd w:val="0"/>
        <w:snapToGrid w:val="0"/>
        <w:spacing w:line="400" w:lineRule="exact"/>
        <w:ind w:firstLine="446" w:firstLineChars="202"/>
        <w:jc w:val="left"/>
        <w:textAlignment w:val="auto"/>
        <w:outlineLvl w:val="0"/>
        <w:rPr>
          <w:rFonts w:hint="default" w:ascii="宋体" w:hAnsi="宋体" w:eastAsia="宋体" w:cs="宋体"/>
          <w:b/>
          <w:bCs w:val="0"/>
          <w:color w:val="auto"/>
          <w:kern w:val="0"/>
          <w:sz w:val="22"/>
          <w:szCs w:val="22"/>
          <w:highlight w:val="none"/>
          <w:u w:val="none"/>
          <w:lang w:val="en-US" w:eastAsia="zh-CN"/>
        </w:rPr>
      </w:pPr>
      <w:r>
        <w:rPr>
          <w:rFonts w:hint="eastAsia" w:ascii="宋体" w:hAnsi="宋体" w:eastAsia="宋体" w:cs="宋体"/>
          <w:b/>
          <w:bCs w:val="0"/>
          <w:color w:val="auto"/>
          <w:kern w:val="0"/>
          <w:sz w:val="22"/>
          <w:szCs w:val="22"/>
          <w:highlight w:val="none"/>
          <w:u w:val="none"/>
          <w:lang w:val="en-US" w:eastAsia="zh-CN"/>
        </w:rPr>
        <w:t>四、其他说明</w:t>
      </w:r>
    </w:p>
    <w:p w14:paraId="752A119F">
      <w:pPr>
        <w:pStyle w:val="12"/>
        <w:keepNext w:val="0"/>
        <w:keepLines w:val="0"/>
        <w:pageBreakBefore w:val="0"/>
        <w:widowControl/>
        <w:kinsoku/>
        <w:wordWrap/>
        <w:overflowPunct/>
        <w:topLinePunct w:val="0"/>
        <w:autoSpaceDE/>
        <w:autoSpaceDN/>
        <w:bidi w:val="0"/>
        <w:adjustRightInd w:val="0"/>
        <w:snapToGrid w:val="0"/>
        <w:spacing w:line="400" w:lineRule="exact"/>
        <w:ind w:firstLine="444" w:firstLineChars="202"/>
        <w:jc w:val="left"/>
        <w:textAlignment w:val="auto"/>
        <w:outlineLvl w:val="0"/>
        <w:rPr>
          <w:rFonts w:hint="default" w:ascii="宋体" w:hAnsi="宋体" w:eastAsia="宋体" w:cs="宋体"/>
          <w:bCs/>
          <w:color w:val="auto"/>
          <w:kern w:val="0"/>
          <w:sz w:val="22"/>
          <w:szCs w:val="22"/>
          <w:highlight w:val="none"/>
          <w:u w:val="none"/>
          <w:lang w:val="en-US" w:eastAsia="zh-CN"/>
        </w:rPr>
      </w:pPr>
      <w:r>
        <w:rPr>
          <w:rFonts w:hint="eastAsia" w:ascii="宋体" w:hAnsi="宋体" w:eastAsia="宋体" w:cs="宋体"/>
          <w:bCs/>
          <w:color w:val="auto"/>
          <w:kern w:val="0"/>
          <w:sz w:val="22"/>
          <w:szCs w:val="22"/>
          <w:highlight w:val="none"/>
          <w:u w:val="none"/>
          <w:lang w:val="en-US" w:eastAsia="zh-CN"/>
        </w:rPr>
        <w:t>1.其它费用，由属地乡镇负责落实。包括项目设计、项目测绘、项目监理费、项目预算决算编制费、项目审计费（含项目审计及财务审计）、土壤采样、检测及耕地等级评定、竣工测量、分户测量和确权费、政策处理费，上述内容由采购人另行委托及建设单位支付相关费用，政策处理费包括青苗调查和赔偿以及其他政策处理费。</w:t>
      </w:r>
    </w:p>
    <w:p w14:paraId="38F03775">
      <w:pPr>
        <w:pStyle w:val="12"/>
        <w:keepNext w:val="0"/>
        <w:keepLines w:val="0"/>
        <w:pageBreakBefore w:val="0"/>
        <w:widowControl/>
        <w:kinsoku/>
        <w:wordWrap/>
        <w:overflowPunct/>
        <w:topLinePunct w:val="0"/>
        <w:autoSpaceDE/>
        <w:autoSpaceDN/>
        <w:bidi w:val="0"/>
        <w:adjustRightInd w:val="0"/>
        <w:snapToGrid w:val="0"/>
        <w:spacing w:line="400" w:lineRule="exact"/>
        <w:ind w:firstLine="444" w:firstLineChars="202"/>
        <w:jc w:val="left"/>
        <w:textAlignment w:val="auto"/>
        <w:outlineLvl w:val="0"/>
        <w:rPr>
          <w:rFonts w:hint="default" w:ascii="宋体" w:hAnsi="宋体" w:eastAsia="宋体" w:cs="宋体"/>
          <w:bCs/>
          <w:color w:val="auto"/>
          <w:kern w:val="0"/>
          <w:sz w:val="22"/>
          <w:szCs w:val="22"/>
          <w:highlight w:val="none"/>
          <w:u w:val="none"/>
          <w:lang w:val="en-US" w:eastAsia="zh-CN"/>
        </w:rPr>
      </w:pPr>
      <w:r>
        <w:rPr>
          <w:rFonts w:hint="eastAsia" w:ascii="宋体" w:hAnsi="宋体" w:eastAsia="宋体" w:cs="宋体"/>
          <w:bCs/>
          <w:color w:val="auto"/>
          <w:kern w:val="0"/>
          <w:sz w:val="22"/>
          <w:szCs w:val="22"/>
          <w:highlight w:val="none"/>
          <w:u w:val="none"/>
          <w:lang w:val="en-US" w:eastAsia="zh-CN"/>
        </w:rPr>
        <w:t>2.项目变压器及其安装费用，不在项目范围内，由项采购人或建设单位单独按实结算。</w:t>
      </w:r>
    </w:p>
    <w:p w14:paraId="254F6C89">
      <w:pPr>
        <w:pStyle w:val="12"/>
        <w:keepNext w:val="0"/>
        <w:keepLines w:val="0"/>
        <w:pageBreakBefore w:val="0"/>
        <w:widowControl/>
        <w:kinsoku/>
        <w:wordWrap/>
        <w:overflowPunct/>
        <w:topLinePunct w:val="0"/>
        <w:autoSpaceDE/>
        <w:autoSpaceDN/>
        <w:bidi w:val="0"/>
        <w:adjustRightInd w:val="0"/>
        <w:snapToGrid w:val="0"/>
        <w:spacing w:line="400" w:lineRule="exact"/>
        <w:ind w:firstLine="446" w:firstLineChars="202"/>
        <w:jc w:val="left"/>
        <w:textAlignment w:val="auto"/>
        <w:outlineLvl w:val="0"/>
        <w:rPr>
          <w:rFonts w:hint="eastAsia" w:ascii="宋体" w:hAnsi="宋体" w:eastAsia="宋体" w:cs="宋体"/>
          <w:b/>
          <w:bCs w:val="0"/>
          <w:color w:val="auto"/>
          <w:kern w:val="0"/>
          <w:sz w:val="22"/>
          <w:szCs w:val="22"/>
          <w:highlight w:val="none"/>
          <w:u w:val="none"/>
          <w:lang w:val="en-US" w:eastAsia="zh-CN"/>
        </w:rPr>
      </w:pPr>
      <w:r>
        <w:rPr>
          <w:rFonts w:hint="eastAsia" w:ascii="宋体" w:hAnsi="宋体" w:eastAsia="宋体" w:cs="宋体"/>
          <w:b/>
          <w:bCs w:val="0"/>
          <w:color w:val="auto"/>
          <w:kern w:val="0"/>
          <w:sz w:val="22"/>
          <w:szCs w:val="22"/>
          <w:highlight w:val="none"/>
          <w:u w:val="none"/>
          <w:lang w:val="en-US" w:eastAsia="zh-CN"/>
        </w:rPr>
        <w:t>五、投标报价须知</w:t>
      </w:r>
    </w:p>
    <w:p w14:paraId="4D83802B">
      <w:pPr>
        <w:pStyle w:val="12"/>
        <w:keepNext w:val="0"/>
        <w:keepLines w:val="0"/>
        <w:pageBreakBefore w:val="0"/>
        <w:widowControl/>
        <w:kinsoku/>
        <w:wordWrap/>
        <w:overflowPunct/>
        <w:topLinePunct w:val="0"/>
        <w:autoSpaceDE/>
        <w:autoSpaceDN/>
        <w:bidi w:val="0"/>
        <w:adjustRightInd w:val="0"/>
        <w:snapToGrid w:val="0"/>
        <w:spacing w:line="400" w:lineRule="exact"/>
        <w:ind w:firstLine="444" w:firstLineChars="202"/>
        <w:jc w:val="left"/>
        <w:textAlignment w:val="auto"/>
        <w:outlineLvl w:val="0"/>
        <w:rPr>
          <w:rFonts w:hint="eastAsia" w:ascii="宋体" w:hAnsi="宋体" w:eastAsia="宋体" w:cs="宋体"/>
          <w:bCs/>
          <w:color w:val="auto"/>
          <w:kern w:val="0"/>
          <w:sz w:val="22"/>
          <w:szCs w:val="22"/>
          <w:highlight w:val="none"/>
          <w:u w:val="none"/>
          <w:lang w:val="en-US" w:eastAsia="zh-CN"/>
        </w:rPr>
      </w:pPr>
      <w:r>
        <w:rPr>
          <w:rFonts w:hint="eastAsia" w:ascii="宋体" w:hAnsi="宋体" w:eastAsia="宋体" w:cs="宋体"/>
          <w:bCs/>
          <w:color w:val="auto"/>
          <w:kern w:val="0"/>
          <w:sz w:val="22"/>
          <w:szCs w:val="22"/>
          <w:highlight w:val="none"/>
          <w:u w:val="none"/>
          <w:lang w:val="en-US" w:eastAsia="zh-CN"/>
        </w:rPr>
        <w:t>投标报价（报价文件）。分为</w:t>
      </w:r>
      <w:r>
        <w:rPr>
          <w:rFonts w:hint="eastAsia" w:hAnsi="宋体" w:cs="宋体"/>
          <w:bCs/>
          <w:color w:val="auto"/>
          <w:kern w:val="0"/>
          <w:sz w:val="22"/>
          <w:szCs w:val="22"/>
          <w:highlight w:val="none"/>
          <w:u w:val="none"/>
          <w:lang w:val="en-US" w:eastAsia="zh-CN"/>
        </w:rPr>
        <w:t>改造</w:t>
      </w:r>
      <w:r>
        <w:rPr>
          <w:rFonts w:hint="eastAsia" w:ascii="宋体" w:hAnsi="宋体" w:eastAsia="宋体" w:cs="宋体"/>
          <w:bCs/>
          <w:color w:val="auto"/>
          <w:kern w:val="0"/>
          <w:sz w:val="22"/>
          <w:szCs w:val="22"/>
          <w:highlight w:val="none"/>
          <w:u w:val="none"/>
          <w:lang w:val="en-US" w:eastAsia="zh-CN"/>
        </w:rPr>
        <w:t>实施部分的下浮率报价、项目运营收益部分的亩均单价报价两部分。</w:t>
      </w:r>
    </w:p>
    <w:p w14:paraId="4EBBC7FB">
      <w:pPr>
        <w:pStyle w:val="12"/>
        <w:keepNext w:val="0"/>
        <w:keepLines w:val="0"/>
        <w:pageBreakBefore w:val="0"/>
        <w:widowControl/>
        <w:kinsoku/>
        <w:wordWrap/>
        <w:overflowPunct/>
        <w:topLinePunct w:val="0"/>
        <w:autoSpaceDE/>
        <w:autoSpaceDN/>
        <w:bidi w:val="0"/>
        <w:adjustRightInd w:val="0"/>
        <w:snapToGrid w:val="0"/>
        <w:spacing w:line="400" w:lineRule="exact"/>
        <w:ind w:firstLine="444" w:firstLineChars="202"/>
        <w:jc w:val="left"/>
        <w:textAlignment w:val="auto"/>
        <w:outlineLvl w:val="0"/>
        <w:rPr>
          <w:rFonts w:hint="eastAsia" w:ascii="宋体" w:hAnsi="宋体" w:eastAsia="宋体" w:cs="宋体"/>
          <w:bCs/>
          <w:color w:val="auto"/>
          <w:kern w:val="0"/>
          <w:sz w:val="22"/>
          <w:szCs w:val="22"/>
          <w:highlight w:val="none"/>
          <w:u w:val="none"/>
          <w:lang w:val="en-US" w:eastAsia="zh-CN"/>
        </w:rPr>
      </w:pPr>
      <w:r>
        <w:rPr>
          <w:rFonts w:hint="eastAsia" w:ascii="宋体" w:hAnsi="宋体" w:eastAsia="宋体" w:cs="宋体"/>
          <w:bCs/>
          <w:color w:val="auto"/>
          <w:kern w:val="0"/>
          <w:sz w:val="22"/>
          <w:szCs w:val="22"/>
          <w:highlight w:val="none"/>
          <w:u w:val="none"/>
          <w:lang w:val="en-US" w:eastAsia="zh-CN"/>
        </w:rPr>
        <w:t>1.</w:t>
      </w:r>
      <w:r>
        <w:rPr>
          <w:rFonts w:hint="eastAsia" w:hAnsi="宋体" w:cs="宋体"/>
          <w:bCs/>
          <w:color w:val="auto"/>
          <w:kern w:val="0"/>
          <w:sz w:val="22"/>
          <w:szCs w:val="22"/>
          <w:highlight w:val="none"/>
          <w:u w:val="none"/>
          <w:lang w:val="en-US" w:eastAsia="zh-CN"/>
        </w:rPr>
        <w:t>改造</w:t>
      </w:r>
      <w:r>
        <w:rPr>
          <w:rFonts w:hint="eastAsia" w:ascii="宋体" w:hAnsi="宋体" w:eastAsia="宋体" w:cs="宋体"/>
          <w:bCs/>
          <w:color w:val="auto"/>
          <w:kern w:val="0"/>
          <w:sz w:val="22"/>
          <w:szCs w:val="22"/>
          <w:highlight w:val="none"/>
          <w:u w:val="none"/>
          <w:lang w:val="en-US" w:eastAsia="zh-CN"/>
        </w:rPr>
        <w:t>实施部分的报价。即完成该项目</w:t>
      </w:r>
      <w:r>
        <w:rPr>
          <w:rFonts w:hint="eastAsia" w:hAnsi="宋体" w:cs="宋体"/>
          <w:bCs/>
          <w:color w:val="auto"/>
          <w:kern w:val="0"/>
          <w:sz w:val="22"/>
          <w:szCs w:val="22"/>
          <w:highlight w:val="none"/>
          <w:u w:val="none"/>
          <w:lang w:val="en-US" w:eastAsia="zh-CN"/>
        </w:rPr>
        <w:t>改造</w:t>
      </w:r>
      <w:r>
        <w:rPr>
          <w:rFonts w:hint="eastAsia" w:ascii="宋体" w:hAnsi="宋体" w:eastAsia="宋体" w:cs="宋体"/>
          <w:bCs/>
          <w:color w:val="auto"/>
          <w:kern w:val="0"/>
          <w:sz w:val="22"/>
          <w:szCs w:val="22"/>
          <w:highlight w:val="none"/>
          <w:u w:val="none"/>
          <w:lang w:val="en-US" w:eastAsia="zh-CN"/>
        </w:rPr>
        <w:t>实施所需的一切费用，根据工程量清单进行下浮率报价。</w:t>
      </w:r>
    </w:p>
    <w:p w14:paraId="66BB04B5">
      <w:pPr>
        <w:pStyle w:val="12"/>
        <w:keepNext w:val="0"/>
        <w:keepLines w:val="0"/>
        <w:pageBreakBefore w:val="0"/>
        <w:widowControl/>
        <w:kinsoku/>
        <w:wordWrap/>
        <w:overflowPunct/>
        <w:topLinePunct w:val="0"/>
        <w:autoSpaceDE/>
        <w:autoSpaceDN/>
        <w:bidi w:val="0"/>
        <w:adjustRightInd w:val="0"/>
        <w:snapToGrid w:val="0"/>
        <w:spacing w:line="400" w:lineRule="exact"/>
        <w:ind w:firstLine="444" w:firstLineChars="202"/>
        <w:jc w:val="left"/>
        <w:textAlignment w:val="auto"/>
        <w:outlineLvl w:val="0"/>
        <w:rPr>
          <w:rFonts w:hint="eastAsia" w:ascii="宋体" w:hAnsi="宋体" w:eastAsia="宋体" w:cs="宋体"/>
          <w:bCs/>
          <w:color w:val="auto"/>
          <w:kern w:val="0"/>
          <w:sz w:val="22"/>
          <w:szCs w:val="22"/>
          <w:highlight w:val="none"/>
          <w:u w:val="none"/>
          <w:lang w:val="en-US" w:eastAsia="zh-CN"/>
        </w:rPr>
      </w:pPr>
      <w:r>
        <w:rPr>
          <w:rFonts w:hint="eastAsia" w:ascii="宋体" w:hAnsi="宋体" w:eastAsia="宋体" w:cs="宋体"/>
          <w:bCs/>
          <w:color w:val="auto"/>
          <w:kern w:val="0"/>
          <w:sz w:val="22"/>
          <w:szCs w:val="22"/>
          <w:highlight w:val="none"/>
          <w:u w:val="none"/>
          <w:lang w:val="en-US" w:eastAsia="zh-CN"/>
        </w:rPr>
        <w:t>按照县农业农村部门、县财政部门审定的项目规划设计文件，由中标（成交）供应商以中标单价结算，包含实施工程量增加、变更等不可预见风险，不包含国家或部门法律、法规等政策变化造成的损失，但由中标（成交）供应商责任引起实施期延误的除外。</w:t>
      </w:r>
    </w:p>
    <w:p w14:paraId="190E21C9">
      <w:pPr>
        <w:pStyle w:val="12"/>
        <w:keepNext w:val="0"/>
        <w:keepLines w:val="0"/>
        <w:pageBreakBefore w:val="0"/>
        <w:widowControl/>
        <w:kinsoku/>
        <w:wordWrap/>
        <w:overflowPunct/>
        <w:topLinePunct w:val="0"/>
        <w:autoSpaceDE/>
        <w:autoSpaceDN/>
        <w:bidi w:val="0"/>
        <w:adjustRightInd w:val="0"/>
        <w:snapToGrid w:val="0"/>
        <w:spacing w:line="400" w:lineRule="exact"/>
        <w:ind w:firstLine="444" w:firstLineChars="202"/>
        <w:jc w:val="left"/>
        <w:textAlignment w:val="auto"/>
        <w:outlineLvl w:val="0"/>
        <w:rPr>
          <w:rFonts w:hint="eastAsia" w:ascii="宋体" w:hAnsi="宋体" w:eastAsia="宋体" w:cs="宋体"/>
          <w:bCs/>
          <w:color w:val="auto"/>
          <w:kern w:val="0"/>
          <w:sz w:val="22"/>
          <w:szCs w:val="22"/>
          <w:highlight w:val="none"/>
          <w:u w:val="none"/>
          <w:lang w:val="en-US" w:eastAsia="zh-CN"/>
        </w:rPr>
      </w:pPr>
      <w:r>
        <w:rPr>
          <w:rFonts w:hint="eastAsia" w:ascii="宋体" w:hAnsi="宋体" w:eastAsia="宋体" w:cs="宋体"/>
          <w:bCs/>
          <w:color w:val="auto"/>
          <w:kern w:val="0"/>
          <w:sz w:val="22"/>
          <w:szCs w:val="22"/>
          <w:highlight w:val="none"/>
          <w:u w:val="none"/>
          <w:lang w:val="en-US" w:eastAsia="zh-CN"/>
        </w:rPr>
        <w:t>宜机化改造部分验收后，按实结算。结算价=[（1-中标下浮率）×实际工程量×单价。暂列金、预留金、暂估价等不下浮。</w:t>
      </w:r>
    </w:p>
    <w:p w14:paraId="6B161EB4">
      <w:pPr>
        <w:pStyle w:val="12"/>
        <w:keepNext w:val="0"/>
        <w:keepLines w:val="0"/>
        <w:pageBreakBefore w:val="0"/>
        <w:widowControl/>
        <w:kinsoku/>
        <w:wordWrap/>
        <w:overflowPunct/>
        <w:topLinePunct w:val="0"/>
        <w:autoSpaceDE/>
        <w:autoSpaceDN/>
        <w:bidi w:val="0"/>
        <w:adjustRightInd w:val="0"/>
        <w:snapToGrid w:val="0"/>
        <w:spacing w:line="400" w:lineRule="exact"/>
        <w:ind w:firstLine="444" w:firstLineChars="202"/>
        <w:jc w:val="left"/>
        <w:textAlignment w:val="auto"/>
        <w:outlineLvl w:val="0"/>
        <w:rPr>
          <w:rFonts w:hint="eastAsia" w:ascii="宋体" w:hAnsi="宋体" w:eastAsia="宋体" w:cs="宋体"/>
          <w:bCs/>
          <w:color w:val="auto"/>
          <w:kern w:val="0"/>
          <w:sz w:val="22"/>
          <w:szCs w:val="22"/>
          <w:highlight w:val="none"/>
          <w:u w:val="none"/>
          <w:lang w:val="en-US" w:eastAsia="zh-CN"/>
        </w:rPr>
      </w:pPr>
      <w:r>
        <w:rPr>
          <w:rFonts w:hint="eastAsia" w:ascii="宋体" w:hAnsi="宋体" w:eastAsia="宋体" w:cs="宋体"/>
          <w:bCs/>
          <w:color w:val="auto"/>
          <w:kern w:val="0"/>
          <w:sz w:val="22"/>
          <w:szCs w:val="22"/>
          <w:highlight w:val="none"/>
          <w:u w:val="none"/>
          <w:lang w:val="en-US" w:eastAsia="zh-CN"/>
        </w:rPr>
        <w:t>2.项目运营收益部分的报价。在亩租金收益的基础上，实行亩均单价报价。</w:t>
      </w:r>
      <w:r>
        <w:rPr>
          <w:rFonts w:hint="eastAsia" w:ascii="宋体" w:hAnsi="宋体" w:cs="宋体"/>
          <w:b/>
          <w:bCs/>
          <w:color w:val="auto"/>
          <w:sz w:val="24"/>
          <w:szCs w:val="24"/>
          <w:highlight w:val="none"/>
          <w:u w:val="none"/>
        </w:rPr>
        <w:t>▲</w:t>
      </w:r>
      <w:r>
        <w:rPr>
          <w:rFonts w:hint="eastAsia" w:ascii="宋体" w:hAnsi="宋体" w:eastAsia="宋体" w:cs="宋体"/>
          <w:bCs/>
          <w:color w:val="auto"/>
          <w:kern w:val="0"/>
          <w:sz w:val="22"/>
          <w:szCs w:val="22"/>
          <w:highlight w:val="none"/>
          <w:u w:val="none"/>
          <w:lang w:val="en-US" w:eastAsia="zh-CN"/>
        </w:rPr>
        <w:t>根据泰顺县农田种植农作物实际情况统计分析，农田改造运营收益以年收益300元/亩/年为底价，在此基础上，每次报价上浮按20元增加，由投标供应商自主报价，如底价300元，投标供应商投标报价须为300元,320元,340元,360元等，以此类推。</w:t>
      </w:r>
    </w:p>
    <w:p w14:paraId="5E63F963">
      <w:pPr>
        <w:pStyle w:val="12"/>
        <w:keepNext w:val="0"/>
        <w:keepLines w:val="0"/>
        <w:pageBreakBefore w:val="0"/>
        <w:widowControl/>
        <w:kinsoku/>
        <w:wordWrap/>
        <w:overflowPunct/>
        <w:topLinePunct w:val="0"/>
        <w:autoSpaceDE/>
        <w:autoSpaceDN/>
        <w:bidi w:val="0"/>
        <w:adjustRightInd w:val="0"/>
        <w:snapToGrid w:val="0"/>
        <w:spacing w:line="400" w:lineRule="exact"/>
        <w:ind w:firstLine="446" w:firstLineChars="202"/>
        <w:jc w:val="left"/>
        <w:textAlignment w:val="auto"/>
        <w:outlineLvl w:val="0"/>
        <w:rPr>
          <w:rFonts w:hint="eastAsia" w:ascii="宋体" w:hAnsi="宋体" w:eastAsia="宋体" w:cs="宋体"/>
          <w:b/>
          <w:bCs w:val="0"/>
          <w:color w:val="auto"/>
          <w:kern w:val="0"/>
          <w:sz w:val="22"/>
          <w:szCs w:val="22"/>
          <w:highlight w:val="none"/>
          <w:u w:val="none"/>
          <w:lang w:val="en-US" w:eastAsia="zh-CN"/>
        </w:rPr>
      </w:pPr>
      <w:bookmarkStart w:id="30" w:name="_Toc12500"/>
      <w:bookmarkStart w:id="31" w:name="_Toc15568498"/>
      <w:bookmarkStart w:id="32" w:name="_Toc27595494"/>
      <w:bookmarkStart w:id="33" w:name="_Toc12065"/>
      <w:r>
        <w:rPr>
          <w:rFonts w:hint="eastAsia" w:ascii="宋体" w:hAnsi="宋体" w:eastAsia="宋体" w:cs="宋体"/>
          <w:b/>
          <w:bCs w:val="0"/>
          <w:color w:val="auto"/>
          <w:kern w:val="0"/>
          <w:sz w:val="22"/>
          <w:szCs w:val="22"/>
          <w:highlight w:val="none"/>
          <w:u w:val="none"/>
          <w:lang w:val="en-US" w:eastAsia="zh-CN"/>
        </w:rPr>
        <w:t>六、安全生产责任认定</w:t>
      </w:r>
      <w:bookmarkEnd w:id="30"/>
      <w:bookmarkEnd w:id="31"/>
      <w:bookmarkEnd w:id="32"/>
      <w:bookmarkEnd w:id="33"/>
    </w:p>
    <w:p w14:paraId="7FE811C8">
      <w:pPr>
        <w:pStyle w:val="12"/>
        <w:keepNext w:val="0"/>
        <w:keepLines w:val="0"/>
        <w:pageBreakBefore w:val="0"/>
        <w:widowControl/>
        <w:kinsoku/>
        <w:wordWrap/>
        <w:overflowPunct/>
        <w:topLinePunct w:val="0"/>
        <w:autoSpaceDE/>
        <w:autoSpaceDN/>
        <w:bidi w:val="0"/>
        <w:adjustRightInd w:val="0"/>
        <w:snapToGrid w:val="0"/>
        <w:spacing w:line="400" w:lineRule="exact"/>
        <w:ind w:firstLine="444" w:firstLineChars="202"/>
        <w:jc w:val="left"/>
        <w:textAlignment w:val="auto"/>
        <w:outlineLvl w:val="0"/>
        <w:rPr>
          <w:rFonts w:hint="eastAsia" w:ascii="宋体" w:hAnsi="宋体" w:eastAsia="宋体" w:cs="宋体"/>
          <w:bCs/>
          <w:color w:val="auto"/>
          <w:kern w:val="0"/>
          <w:sz w:val="22"/>
          <w:szCs w:val="22"/>
          <w:highlight w:val="none"/>
          <w:u w:val="none"/>
          <w:lang w:val="en-US" w:eastAsia="zh-CN"/>
        </w:rPr>
      </w:pPr>
      <w:r>
        <w:rPr>
          <w:rFonts w:hint="eastAsia" w:ascii="宋体" w:hAnsi="宋体" w:eastAsia="宋体" w:cs="宋体"/>
          <w:bCs/>
          <w:color w:val="auto"/>
          <w:kern w:val="0"/>
          <w:sz w:val="22"/>
          <w:szCs w:val="22"/>
          <w:highlight w:val="none"/>
          <w:u w:val="none"/>
          <w:lang w:val="en-US" w:eastAsia="zh-CN"/>
        </w:rPr>
        <w:t>中标（成交）供应商应对全部现场作业、所有实施方法以及全部项目的完备性、稳定性和安全性承担全部责任。中标（成交）供应商负责解决在实施过程中发生的一切争议（包括但不限于结算纠纷、拖欠民工工资纠纷、劳动争议纠纷、人身损害纠纷），承担解决争议的费用或责任。中标（成交）供应商保证不会因为该等争议影响到项目进度、项目质量以及项目交付。</w:t>
      </w:r>
    </w:p>
    <w:p w14:paraId="6F11206C">
      <w:pPr>
        <w:pStyle w:val="12"/>
        <w:keepNext w:val="0"/>
        <w:keepLines w:val="0"/>
        <w:pageBreakBefore w:val="0"/>
        <w:widowControl/>
        <w:kinsoku/>
        <w:wordWrap/>
        <w:overflowPunct/>
        <w:topLinePunct w:val="0"/>
        <w:autoSpaceDE/>
        <w:autoSpaceDN/>
        <w:bidi w:val="0"/>
        <w:adjustRightInd w:val="0"/>
        <w:snapToGrid w:val="0"/>
        <w:spacing w:line="400" w:lineRule="exact"/>
        <w:ind w:firstLine="446" w:firstLineChars="202"/>
        <w:jc w:val="left"/>
        <w:textAlignment w:val="auto"/>
        <w:outlineLvl w:val="0"/>
        <w:rPr>
          <w:rFonts w:hint="eastAsia" w:ascii="宋体" w:hAnsi="宋体" w:eastAsia="宋体" w:cs="宋体"/>
          <w:b/>
          <w:bCs w:val="0"/>
          <w:color w:val="auto"/>
          <w:kern w:val="0"/>
          <w:sz w:val="22"/>
          <w:szCs w:val="22"/>
          <w:highlight w:val="none"/>
          <w:u w:val="none"/>
          <w:lang w:val="en-US" w:eastAsia="zh-CN"/>
        </w:rPr>
      </w:pPr>
      <w:r>
        <w:rPr>
          <w:rFonts w:hint="eastAsia" w:ascii="宋体" w:hAnsi="宋体" w:eastAsia="宋体" w:cs="宋体"/>
          <w:b/>
          <w:bCs w:val="0"/>
          <w:color w:val="auto"/>
          <w:kern w:val="0"/>
          <w:sz w:val="22"/>
          <w:szCs w:val="22"/>
          <w:highlight w:val="none"/>
          <w:u w:val="none"/>
          <w:lang w:val="en-US" w:eastAsia="zh-CN"/>
        </w:rPr>
        <w:t>七、履约保证金</w:t>
      </w:r>
    </w:p>
    <w:p w14:paraId="1241132E">
      <w:pPr>
        <w:pStyle w:val="12"/>
        <w:keepNext w:val="0"/>
        <w:keepLines w:val="0"/>
        <w:pageBreakBefore w:val="0"/>
        <w:widowControl/>
        <w:kinsoku/>
        <w:wordWrap/>
        <w:overflowPunct/>
        <w:topLinePunct w:val="0"/>
        <w:autoSpaceDE/>
        <w:autoSpaceDN/>
        <w:bidi w:val="0"/>
        <w:adjustRightInd w:val="0"/>
        <w:snapToGrid w:val="0"/>
        <w:spacing w:line="400" w:lineRule="exact"/>
        <w:ind w:firstLine="444" w:firstLineChars="202"/>
        <w:jc w:val="left"/>
        <w:textAlignment w:val="auto"/>
        <w:outlineLvl w:val="0"/>
        <w:rPr>
          <w:rFonts w:hint="eastAsia" w:ascii="宋体" w:hAnsi="宋体" w:eastAsia="宋体" w:cs="宋体"/>
          <w:bCs/>
          <w:color w:val="auto"/>
          <w:kern w:val="0"/>
          <w:sz w:val="22"/>
          <w:szCs w:val="22"/>
          <w:highlight w:val="none"/>
          <w:u w:val="none"/>
          <w:lang w:val="en-US" w:eastAsia="zh-CN"/>
        </w:rPr>
      </w:pPr>
      <w:r>
        <w:rPr>
          <w:rFonts w:hint="eastAsia" w:ascii="宋体" w:hAnsi="宋体" w:cs="宋体"/>
          <w:color w:val="auto"/>
          <w:kern w:val="0"/>
          <w:sz w:val="22"/>
          <w:highlight w:val="none"/>
          <w:lang w:eastAsia="zh-CN"/>
        </w:rPr>
        <w:t>中标（成交）供应商须在签订合同后5个工作日内向采购人提交合同金额1%的履约保证金（履约保证金可以是银行保函、转账支票、银行汇票等方式缴纳）</w:t>
      </w:r>
      <w:r>
        <w:rPr>
          <w:rFonts w:hint="eastAsia" w:ascii="宋体" w:hAnsi="宋体" w:eastAsia="宋体" w:cs="宋体"/>
          <w:bCs/>
          <w:color w:val="auto"/>
          <w:kern w:val="0"/>
          <w:sz w:val="22"/>
          <w:szCs w:val="22"/>
          <w:highlight w:val="none"/>
          <w:u w:val="none"/>
          <w:lang w:val="en-US" w:eastAsia="zh-CN"/>
        </w:rPr>
        <w:t>。</w:t>
      </w:r>
    </w:p>
    <w:p w14:paraId="76D5AB5E">
      <w:pPr>
        <w:pStyle w:val="12"/>
        <w:keepNext w:val="0"/>
        <w:keepLines w:val="0"/>
        <w:pageBreakBefore w:val="0"/>
        <w:widowControl/>
        <w:kinsoku/>
        <w:wordWrap/>
        <w:overflowPunct/>
        <w:topLinePunct w:val="0"/>
        <w:autoSpaceDE/>
        <w:autoSpaceDN/>
        <w:bidi w:val="0"/>
        <w:adjustRightInd w:val="0"/>
        <w:snapToGrid w:val="0"/>
        <w:spacing w:line="400" w:lineRule="exact"/>
        <w:ind w:firstLine="444" w:firstLineChars="202"/>
        <w:jc w:val="left"/>
        <w:textAlignment w:val="auto"/>
        <w:outlineLvl w:val="0"/>
        <w:rPr>
          <w:rFonts w:hint="eastAsia" w:ascii="宋体" w:hAnsi="宋体" w:eastAsia="宋体" w:cs="宋体"/>
          <w:bCs/>
          <w:color w:val="auto"/>
          <w:kern w:val="0"/>
          <w:sz w:val="22"/>
          <w:szCs w:val="22"/>
          <w:highlight w:val="none"/>
          <w:u w:val="none"/>
          <w:lang w:val="en-US" w:eastAsia="zh-CN"/>
        </w:rPr>
      </w:pPr>
      <w:r>
        <w:rPr>
          <w:rFonts w:hint="eastAsia" w:ascii="宋体" w:hAnsi="宋体" w:eastAsia="宋体" w:cs="宋体"/>
          <w:bCs/>
          <w:color w:val="auto"/>
          <w:kern w:val="0"/>
          <w:sz w:val="22"/>
          <w:szCs w:val="22"/>
          <w:highlight w:val="none"/>
          <w:u w:val="none"/>
          <w:lang w:val="en-US" w:eastAsia="zh-CN"/>
        </w:rPr>
        <w:t>保函应满足以下几个条件：①保函期限：担保有效期自采购人与中标（成交）供应商签订的合同生效之日起至整体项目全面验收（运营期满）并无履约问题之日起15日后失效或无息退还；③如果由于实施期延误或保函出具机构要求分期出具保函的，则在前一份保函有效期满之日2个月前必须重新出具相同内容的保函；若不出具，项目业主有权对保函进行收兑。</w:t>
      </w:r>
    </w:p>
    <w:p w14:paraId="2B031CFF">
      <w:pPr>
        <w:pStyle w:val="12"/>
        <w:keepNext w:val="0"/>
        <w:keepLines w:val="0"/>
        <w:pageBreakBefore w:val="0"/>
        <w:widowControl/>
        <w:kinsoku/>
        <w:wordWrap/>
        <w:overflowPunct/>
        <w:topLinePunct w:val="0"/>
        <w:autoSpaceDE/>
        <w:autoSpaceDN/>
        <w:bidi w:val="0"/>
        <w:adjustRightInd w:val="0"/>
        <w:snapToGrid w:val="0"/>
        <w:spacing w:line="400" w:lineRule="exact"/>
        <w:ind w:firstLine="446" w:firstLineChars="202"/>
        <w:jc w:val="left"/>
        <w:textAlignment w:val="auto"/>
        <w:outlineLvl w:val="0"/>
        <w:rPr>
          <w:rFonts w:hint="eastAsia" w:ascii="宋体" w:hAnsi="宋体" w:eastAsia="宋体" w:cs="宋体"/>
          <w:b/>
          <w:bCs w:val="0"/>
          <w:color w:val="auto"/>
          <w:kern w:val="0"/>
          <w:sz w:val="22"/>
          <w:szCs w:val="22"/>
          <w:highlight w:val="none"/>
          <w:u w:val="none"/>
          <w:lang w:val="en-US" w:eastAsia="zh-CN"/>
        </w:rPr>
      </w:pPr>
      <w:r>
        <w:rPr>
          <w:rFonts w:hint="eastAsia" w:ascii="宋体" w:hAnsi="宋体" w:eastAsia="宋体" w:cs="宋体"/>
          <w:b/>
          <w:bCs w:val="0"/>
          <w:color w:val="auto"/>
          <w:kern w:val="0"/>
          <w:sz w:val="22"/>
          <w:szCs w:val="22"/>
          <w:highlight w:val="none"/>
          <w:u w:val="none"/>
          <w:lang w:val="en-US" w:eastAsia="zh-CN"/>
        </w:rPr>
        <w:t>八、合同价款支付</w:t>
      </w:r>
    </w:p>
    <w:p w14:paraId="7ED56210">
      <w:pPr>
        <w:pStyle w:val="12"/>
        <w:keepNext w:val="0"/>
        <w:keepLines w:val="0"/>
        <w:pageBreakBefore w:val="0"/>
        <w:widowControl/>
        <w:kinsoku/>
        <w:wordWrap/>
        <w:overflowPunct/>
        <w:topLinePunct w:val="0"/>
        <w:autoSpaceDE/>
        <w:autoSpaceDN/>
        <w:bidi w:val="0"/>
        <w:adjustRightInd w:val="0"/>
        <w:snapToGrid w:val="0"/>
        <w:spacing w:line="400" w:lineRule="exact"/>
        <w:ind w:left="437" w:leftChars="208" w:firstLine="0" w:firstLineChars="0"/>
        <w:jc w:val="left"/>
        <w:textAlignment w:val="auto"/>
        <w:outlineLvl w:val="0"/>
        <w:rPr>
          <w:rFonts w:hint="default" w:ascii="宋体" w:hAnsi="宋体" w:eastAsia="宋体" w:cs="宋体"/>
          <w:bCs/>
          <w:color w:val="auto"/>
          <w:kern w:val="0"/>
          <w:sz w:val="22"/>
          <w:szCs w:val="22"/>
          <w:highlight w:val="none"/>
          <w:u w:val="none"/>
          <w:lang w:val="en-US" w:eastAsia="zh-CN"/>
        </w:rPr>
      </w:pPr>
      <w:r>
        <w:rPr>
          <w:rFonts w:hint="eastAsia" w:ascii="宋体" w:hAnsi="宋体" w:eastAsia="宋体" w:cs="宋体"/>
          <w:bCs/>
          <w:color w:val="auto"/>
          <w:kern w:val="0"/>
          <w:sz w:val="22"/>
          <w:szCs w:val="22"/>
          <w:highlight w:val="none"/>
          <w:u w:val="none"/>
          <w:lang w:val="en-US" w:eastAsia="zh-CN"/>
        </w:rPr>
        <w:t>合同采用三方合同形式，本项目的建设单位为泰顺县农业农村局。</w:t>
      </w:r>
    </w:p>
    <w:p w14:paraId="32883BE9">
      <w:pPr>
        <w:pStyle w:val="12"/>
        <w:keepNext w:val="0"/>
        <w:keepLines w:val="0"/>
        <w:pageBreakBefore w:val="0"/>
        <w:widowControl/>
        <w:kinsoku/>
        <w:wordWrap/>
        <w:overflowPunct/>
        <w:topLinePunct w:val="0"/>
        <w:autoSpaceDE/>
        <w:autoSpaceDN/>
        <w:bidi w:val="0"/>
        <w:adjustRightInd w:val="0"/>
        <w:snapToGrid w:val="0"/>
        <w:spacing w:line="400" w:lineRule="exact"/>
        <w:ind w:left="437" w:leftChars="208" w:firstLine="0" w:firstLineChars="0"/>
        <w:jc w:val="left"/>
        <w:textAlignment w:val="auto"/>
        <w:outlineLvl w:val="0"/>
        <w:rPr>
          <w:rFonts w:hint="eastAsia" w:ascii="宋体" w:hAnsi="宋体" w:eastAsia="宋体" w:cs="宋体"/>
          <w:bCs/>
          <w:color w:val="auto"/>
          <w:kern w:val="0"/>
          <w:sz w:val="22"/>
          <w:szCs w:val="22"/>
          <w:highlight w:val="none"/>
          <w:u w:val="none"/>
          <w:lang w:val="en-US" w:eastAsia="zh-CN"/>
        </w:rPr>
      </w:pPr>
      <w:r>
        <w:rPr>
          <w:rFonts w:hint="eastAsia" w:ascii="宋体" w:hAnsi="宋体" w:eastAsia="宋体" w:cs="宋体"/>
          <w:bCs/>
          <w:color w:val="auto"/>
          <w:kern w:val="0"/>
          <w:sz w:val="22"/>
          <w:szCs w:val="22"/>
          <w:highlight w:val="none"/>
          <w:u w:val="none"/>
          <w:lang w:val="en-US" w:eastAsia="zh-CN"/>
        </w:rPr>
        <w:t>1.</w:t>
      </w:r>
      <w:r>
        <w:rPr>
          <w:rFonts w:hint="eastAsia" w:hAnsi="宋体" w:cs="宋体"/>
          <w:bCs/>
          <w:color w:val="auto"/>
          <w:kern w:val="0"/>
          <w:sz w:val="22"/>
          <w:szCs w:val="22"/>
          <w:highlight w:val="none"/>
          <w:u w:val="none"/>
          <w:lang w:val="en-US" w:eastAsia="zh-CN"/>
        </w:rPr>
        <w:t>改造</w:t>
      </w:r>
      <w:r>
        <w:rPr>
          <w:rFonts w:hint="eastAsia" w:ascii="宋体" w:hAnsi="宋体" w:eastAsia="宋体" w:cs="宋体"/>
          <w:bCs/>
          <w:color w:val="auto"/>
          <w:kern w:val="0"/>
          <w:sz w:val="22"/>
          <w:szCs w:val="22"/>
          <w:highlight w:val="none"/>
          <w:u w:val="none"/>
          <w:lang w:val="en-US" w:eastAsia="zh-CN"/>
        </w:rPr>
        <w:t>实施部分</w:t>
      </w:r>
    </w:p>
    <w:p w14:paraId="5BC39D4A">
      <w:pPr>
        <w:pStyle w:val="12"/>
        <w:keepNext w:val="0"/>
        <w:keepLines w:val="0"/>
        <w:pageBreakBefore w:val="0"/>
        <w:widowControl/>
        <w:kinsoku/>
        <w:wordWrap/>
        <w:overflowPunct/>
        <w:topLinePunct w:val="0"/>
        <w:autoSpaceDE/>
        <w:autoSpaceDN/>
        <w:bidi w:val="0"/>
        <w:adjustRightInd w:val="0"/>
        <w:snapToGrid w:val="0"/>
        <w:spacing w:line="400" w:lineRule="exact"/>
        <w:ind w:firstLine="444" w:firstLineChars="202"/>
        <w:jc w:val="left"/>
        <w:textAlignment w:val="auto"/>
        <w:outlineLvl w:val="0"/>
        <w:rPr>
          <w:rFonts w:hint="default" w:ascii="宋体" w:hAnsi="宋体" w:eastAsia="宋体" w:cs="宋体"/>
          <w:bCs/>
          <w:color w:val="auto"/>
          <w:kern w:val="0"/>
          <w:sz w:val="22"/>
          <w:szCs w:val="22"/>
          <w:highlight w:val="none"/>
          <w:u w:val="none"/>
          <w:lang w:val="en-US" w:eastAsia="zh-CN"/>
        </w:rPr>
      </w:pPr>
      <w:r>
        <w:rPr>
          <w:rFonts w:hint="eastAsia" w:ascii="宋体" w:hAnsi="宋体" w:eastAsia="宋体" w:cs="宋体"/>
          <w:bCs/>
          <w:color w:val="auto"/>
          <w:kern w:val="0"/>
          <w:sz w:val="22"/>
          <w:szCs w:val="22"/>
          <w:highlight w:val="none"/>
          <w:u w:val="none"/>
          <w:lang w:val="en-US" w:eastAsia="zh-CN"/>
        </w:rPr>
        <w:t>本部分费用由本项目的建设单位（泰顺县农业农村局）统一支付给中标（成交）供应商。</w:t>
      </w:r>
    </w:p>
    <w:p w14:paraId="1A9EEBBB">
      <w:pPr>
        <w:pStyle w:val="12"/>
        <w:keepNext w:val="0"/>
        <w:keepLines w:val="0"/>
        <w:pageBreakBefore w:val="0"/>
        <w:widowControl/>
        <w:kinsoku/>
        <w:wordWrap/>
        <w:overflowPunct/>
        <w:topLinePunct w:val="0"/>
        <w:autoSpaceDE/>
        <w:autoSpaceDN/>
        <w:bidi w:val="0"/>
        <w:adjustRightInd w:val="0"/>
        <w:snapToGrid w:val="0"/>
        <w:spacing w:line="400" w:lineRule="exact"/>
        <w:ind w:firstLine="444" w:firstLineChars="202"/>
        <w:jc w:val="left"/>
        <w:textAlignment w:val="auto"/>
        <w:outlineLvl w:val="0"/>
        <w:rPr>
          <w:rFonts w:hint="eastAsia" w:ascii="宋体" w:hAnsi="宋体" w:eastAsia="宋体" w:cs="宋体"/>
          <w:bCs/>
          <w:color w:val="auto"/>
          <w:kern w:val="0"/>
          <w:sz w:val="22"/>
          <w:szCs w:val="22"/>
          <w:highlight w:val="none"/>
          <w:u w:val="none"/>
          <w:lang w:val="en-US" w:eastAsia="zh-CN"/>
        </w:rPr>
      </w:pPr>
      <w:r>
        <w:rPr>
          <w:rFonts w:hint="eastAsia" w:ascii="宋体" w:hAnsi="宋体" w:eastAsia="宋体" w:cs="宋体"/>
          <w:bCs/>
          <w:color w:val="auto"/>
          <w:kern w:val="0"/>
          <w:sz w:val="22"/>
          <w:szCs w:val="22"/>
          <w:highlight w:val="none"/>
          <w:u w:val="none"/>
          <w:lang w:val="en-US" w:eastAsia="zh-CN"/>
        </w:rPr>
        <w:t>1.1预付款</w:t>
      </w:r>
    </w:p>
    <w:p w14:paraId="23473ED5">
      <w:pPr>
        <w:pStyle w:val="12"/>
        <w:keepNext w:val="0"/>
        <w:keepLines w:val="0"/>
        <w:pageBreakBefore w:val="0"/>
        <w:widowControl/>
        <w:kinsoku/>
        <w:wordWrap/>
        <w:overflowPunct/>
        <w:topLinePunct w:val="0"/>
        <w:autoSpaceDE/>
        <w:autoSpaceDN/>
        <w:bidi w:val="0"/>
        <w:adjustRightInd w:val="0"/>
        <w:snapToGrid w:val="0"/>
        <w:spacing w:line="400" w:lineRule="exact"/>
        <w:ind w:firstLine="444" w:firstLineChars="202"/>
        <w:jc w:val="left"/>
        <w:textAlignment w:val="auto"/>
        <w:outlineLvl w:val="0"/>
        <w:rPr>
          <w:rFonts w:hint="eastAsia" w:ascii="宋体" w:hAnsi="宋体" w:eastAsia="宋体" w:cs="宋体"/>
          <w:bCs/>
          <w:color w:val="auto"/>
          <w:kern w:val="0"/>
          <w:sz w:val="22"/>
          <w:szCs w:val="22"/>
          <w:highlight w:val="none"/>
          <w:u w:val="none"/>
          <w:lang w:val="en-US" w:eastAsia="zh-CN"/>
        </w:rPr>
      </w:pPr>
      <w:r>
        <w:rPr>
          <w:rFonts w:hint="eastAsia" w:ascii="宋体" w:hAnsi="宋体" w:eastAsia="宋体" w:cs="宋体"/>
          <w:bCs/>
          <w:color w:val="auto"/>
          <w:kern w:val="0"/>
          <w:sz w:val="22"/>
          <w:szCs w:val="22"/>
          <w:highlight w:val="none"/>
          <w:u w:val="none"/>
          <w:lang w:val="en-US" w:eastAsia="zh-CN"/>
        </w:rPr>
        <w:t>1.1.2 预付款的支付</w:t>
      </w:r>
    </w:p>
    <w:p w14:paraId="098EA26D">
      <w:pPr>
        <w:pStyle w:val="12"/>
        <w:keepNext w:val="0"/>
        <w:keepLines w:val="0"/>
        <w:pageBreakBefore w:val="0"/>
        <w:widowControl/>
        <w:kinsoku/>
        <w:wordWrap/>
        <w:overflowPunct/>
        <w:topLinePunct w:val="0"/>
        <w:autoSpaceDE/>
        <w:autoSpaceDN/>
        <w:bidi w:val="0"/>
        <w:adjustRightInd w:val="0"/>
        <w:snapToGrid w:val="0"/>
        <w:spacing w:line="400" w:lineRule="exact"/>
        <w:ind w:firstLine="444" w:firstLineChars="202"/>
        <w:jc w:val="left"/>
        <w:textAlignment w:val="auto"/>
        <w:outlineLvl w:val="0"/>
        <w:rPr>
          <w:rFonts w:hint="eastAsia" w:ascii="宋体" w:hAnsi="宋体" w:eastAsia="宋体" w:cs="宋体"/>
          <w:bCs/>
          <w:color w:val="auto"/>
          <w:kern w:val="0"/>
          <w:sz w:val="22"/>
          <w:szCs w:val="22"/>
          <w:highlight w:val="none"/>
          <w:u w:val="none"/>
          <w:lang w:val="en-US" w:eastAsia="zh-CN"/>
        </w:rPr>
      </w:pPr>
      <w:r>
        <w:rPr>
          <w:rFonts w:hint="eastAsia" w:ascii="宋体" w:hAnsi="宋体" w:eastAsia="宋体" w:cs="宋体"/>
          <w:bCs/>
          <w:color w:val="auto"/>
          <w:kern w:val="0"/>
          <w:sz w:val="22"/>
          <w:szCs w:val="22"/>
          <w:highlight w:val="none"/>
          <w:u w:val="none"/>
          <w:lang w:val="en-US" w:eastAsia="zh-CN"/>
        </w:rPr>
        <w:t>预付款支付比例或金额：合同价款总额的30%(由招标人根据项目实际情况及资金情况分批支付)。</w:t>
      </w:r>
    </w:p>
    <w:p w14:paraId="10287A52">
      <w:pPr>
        <w:pStyle w:val="12"/>
        <w:keepNext w:val="0"/>
        <w:keepLines w:val="0"/>
        <w:pageBreakBefore w:val="0"/>
        <w:widowControl/>
        <w:kinsoku/>
        <w:wordWrap/>
        <w:overflowPunct/>
        <w:topLinePunct w:val="0"/>
        <w:autoSpaceDE/>
        <w:autoSpaceDN/>
        <w:bidi w:val="0"/>
        <w:adjustRightInd w:val="0"/>
        <w:snapToGrid w:val="0"/>
        <w:spacing w:line="400" w:lineRule="exact"/>
        <w:ind w:firstLine="444" w:firstLineChars="202"/>
        <w:jc w:val="left"/>
        <w:textAlignment w:val="auto"/>
        <w:outlineLvl w:val="0"/>
        <w:rPr>
          <w:rFonts w:hint="eastAsia" w:ascii="宋体" w:hAnsi="宋体" w:eastAsia="宋体" w:cs="宋体"/>
          <w:bCs/>
          <w:color w:val="auto"/>
          <w:kern w:val="0"/>
          <w:sz w:val="22"/>
          <w:szCs w:val="22"/>
          <w:highlight w:val="none"/>
          <w:u w:val="none"/>
          <w:lang w:val="en-US" w:eastAsia="zh-CN"/>
        </w:rPr>
      </w:pPr>
      <w:r>
        <w:rPr>
          <w:rFonts w:hint="eastAsia" w:ascii="宋体" w:hAnsi="宋体" w:eastAsia="宋体" w:cs="宋体"/>
          <w:bCs/>
          <w:color w:val="auto"/>
          <w:kern w:val="0"/>
          <w:sz w:val="22"/>
          <w:szCs w:val="22"/>
          <w:highlight w:val="none"/>
          <w:u w:val="none"/>
          <w:lang w:val="en-US" w:eastAsia="zh-CN"/>
        </w:rPr>
        <w:t>预付款支付期限：合同生效后，主要人员、机械设备进场并经本项目建设单位（泰顺县农业农村局）、采购人、监理单位确认后，建设单位向中标（成交）供应商预付合同价款总额的30%。</w:t>
      </w:r>
    </w:p>
    <w:p w14:paraId="0C2EECAE">
      <w:pPr>
        <w:pStyle w:val="12"/>
        <w:keepNext w:val="0"/>
        <w:keepLines w:val="0"/>
        <w:pageBreakBefore w:val="0"/>
        <w:widowControl/>
        <w:kinsoku/>
        <w:wordWrap/>
        <w:overflowPunct/>
        <w:topLinePunct w:val="0"/>
        <w:autoSpaceDE/>
        <w:autoSpaceDN/>
        <w:bidi w:val="0"/>
        <w:adjustRightInd w:val="0"/>
        <w:snapToGrid w:val="0"/>
        <w:spacing w:line="400" w:lineRule="exact"/>
        <w:ind w:firstLine="444" w:firstLineChars="202"/>
        <w:jc w:val="left"/>
        <w:textAlignment w:val="auto"/>
        <w:outlineLvl w:val="0"/>
        <w:rPr>
          <w:rFonts w:hint="eastAsia" w:ascii="宋体" w:hAnsi="宋体" w:eastAsia="宋体" w:cs="宋体"/>
          <w:bCs/>
          <w:color w:val="auto"/>
          <w:kern w:val="0"/>
          <w:sz w:val="22"/>
          <w:szCs w:val="22"/>
          <w:highlight w:val="none"/>
          <w:u w:val="none"/>
          <w:lang w:val="en-US" w:eastAsia="zh-CN"/>
        </w:rPr>
      </w:pPr>
      <w:r>
        <w:rPr>
          <w:rFonts w:hint="eastAsia" w:ascii="宋体" w:hAnsi="宋体" w:eastAsia="宋体" w:cs="宋体"/>
          <w:bCs/>
          <w:color w:val="auto"/>
          <w:kern w:val="0"/>
          <w:sz w:val="22"/>
          <w:szCs w:val="22"/>
          <w:highlight w:val="none"/>
          <w:u w:val="none"/>
          <w:lang w:val="en-US" w:eastAsia="zh-CN"/>
        </w:rPr>
        <w:t>预付款扣回的方式：从第二个月起按工程进度比例逐月扣回，扣完为止。</w:t>
      </w:r>
    </w:p>
    <w:p w14:paraId="4DA8F2AA">
      <w:pPr>
        <w:pStyle w:val="12"/>
        <w:keepNext w:val="0"/>
        <w:keepLines w:val="0"/>
        <w:pageBreakBefore w:val="0"/>
        <w:widowControl/>
        <w:kinsoku/>
        <w:wordWrap/>
        <w:overflowPunct/>
        <w:topLinePunct w:val="0"/>
        <w:autoSpaceDE/>
        <w:autoSpaceDN/>
        <w:bidi w:val="0"/>
        <w:adjustRightInd w:val="0"/>
        <w:snapToGrid w:val="0"/>
        <w:spacing w:line="400" w:lineRule="exact"/>
        <w:ind w:firstLine="444" w:firstLineChars="202"/>
        <w:jc w:val="left"/>
        <w:textAlignment w:val="auto"/>
        <w:outlineLvl w:val="0"/>
        <w:rPr>
          <w:rFonts w:hint="eastAsia" w:ascii="宋体" w:hAnsi="宋体" w:eastAsia="宋体" w:cs="宋体"/>
          <w:bCs/>
          <w:color w:val="auto"/>
          <w:kern w:val="0"/>
          <w:sz w:val="22"/>
          <w:szCs w:val="22"/>
          <w:highlight w:val="none"/>
          <w:u w:val="none"/>
          <w:lang w:val="en-US" w:eastAsia="zh-CN"/>
        </w:rPr>
      </w:pPr>
      <w:r>
        <w:rPr>
          <w:rFonts w:hint="eastAsia" w:ascii="宋体" w:hAnsi="宋体" w:eastAsia="宋体" w:cs="宋体"/>
          <w:bCs/>
          <w:color w:val="auto"/>
          <w:kern w:val="0"/>
          <w:sz w:val="22"/>
          <w:szCs w:val="22"/>
          <w:highlight w:val="none"/>
          <w:u w:val="none"/>
          <w:lang w:val="en-US" w:eastAsia="zh-CN"/>
        </w:rPr>
        <w:t>发包人支付进度款的期限：期限按通用条款执行；中标方每月25日前提交已完成合格工程量月报表，作为工程价款支付的依据。支付金额经监理单位签发和建设单位、采购人审核后，建设单位向中标（成交）供应商支付经核实的工程款，支付比例为审核签发后工程量造价的85%，当本工程进度款支付至合同价的85%时，将停止支付工程进度款。待宜机化改造部分项目竣工验收合格后并办理竣工结算，经相关单位审定并经城建档案馆备案，付至最终审定价款的98.5%后，扣留结算造价1.5%保修金。缺陷责任期满，经验收无缺陷后，全部质量保修金一次性退还（质量保修金不计息）。</w:t>
      </w:r>
    </w:p>
    <w:p w14:paraId="42861A57">
      <w:pPr>
        <w:pStyle w:val="12"/>
        <w:keepNext w:val="0"/>
        <w:keepLines w:val="0"/>
        <w:pageBreakBefore w:val="0"/>
        <w:widowControl/>
        <w:kinsoku/>
        <w:wordWrap/>
        <w:overflowPunct/>
        <w:topLinePunct w:val="0"/>
        <w:autoSpaceDE/>
        <w:autoSpaceDN/>
        <w:bidi w:val="0"/>
        <w:adjustRightInd w:val="0"/>
        <w:snapToGrid w:val="0"/>
        <w:spacing w:line="400" w:lineRule="exact"/>
        <w:ind w:firstLine="444" w:firstLineChars="202"/>
        <w:jc w:val="left"/>
        <w:textAlignment w:val="auto"/>
        <w:outlineLvl w:val="0"/>
        <w:rPr>
          <w:rFonts w:hint="eastAsia" w:ascii="宋体" w:hAnsi="宋体" w:eastAsia="宋体" w:cs="宋体"/>
          <w:bCs/>
          <w:color w:val="auto"/>
          <w:kern w:val="0"/>
          <w:sz w:val="22"/>
          <w:szCs w:val="22"/>
          <w:highlight w:val="none"/>
          <w:u w:val="none"/>
          <w:lang w:val="en-US" w:eastAsia="zh-CN"/>
        </w:rPr>
      </w:pPr>
      <w:r>
        <w:rPr>
          <w:rFonts w:hint="eastAsia" w:ascii="宋体" w:hAnsi="宋体" w:eastAsia="宋体" w:cs="宋体"/>
          <w:bCs/>
          <w:color w:val="auto"/>
          <w:kern w:val="0"/>
          <w:sz w:val="22"/>
          <w:szCs w:val="22"/>
          <w:highlight w:val="none"/>
          <w:u w:val="none"/>
          <w:lang w:val="en-US" w:eastAsia="zh-CN"/>
        </w:rPr>
        <w:t>2.说明:（1）对于满足合同支付约定条件的，采购人于收到中标方开具的正式税务发票后15日内予以支付相应合同价款。（2）若为联合体中标的，本项目所有费用拨付至中标方牵头人基本账户。</w:t>
      </w:r>
    </w:p>
    <w:p w14:paraId="7146EF6A">
      <w:pPr>
        <w:pStyle w:val="12"/>
        <w:keepNext w:val="0"/>
        <w:keepLines w:val="0"/>
        <w:pageBreakBefore w:val="0"/>
        <w:widowControl/>
        <w:kinsoku/>
        <w:wordWrap/>
        <w:overflowPunct/>
        <w:topLinePunct w:val="0"/>
        <w:autoSpaceDE/>
        <w:autoSpaceDN/>
        <w:bidi w:val="0"/>
        <w:adjustRightInd w:val="0"/>
        <w:snapToGrid w:val="0"/>
        <w:spacing w:line="400" w:lineRule="exact"/>
        <w:ind w:firstLine="444" w:firstLineChars="202"/>
        <w:jc w:val="left"/>
        <w:textAlignment w:val="auto"/>
        <w:outlineLvl w:val="0"/>
        <w:rPr>
          <w:rFonts w:hint="eastAsia" w:ascii="宋体" w:hAnsi="宋体" w:eastAsia="宋体" w:cs="宋体"/>
          <w:bCs/>
          <w:color w:val="auto"/>
          <w:kern w:val="0"/>
          <w:sz w:val="22"/>
          <w:szCs w:val="22"/>
          <w:highlight w:val="none"/>
          <w:u w:val="none"/>
          <w:lang w:val="en-US" w:eastAsia="zh-CN"/>
        </w:rPr>
      </w:pPr>
    </w:p>
    <w:p w14:paraId="16F09216">
      <w:pPr>
        <w:pStyle w:val="12"/>
        <w:keepNext w:val="0"/>
        <w:keepLines w:val="0"/>
        <w:pageBreakBefore w:val="0"/>
        <w:widowControl/>
        <w:kinsoku/>
        <w:wordWrap/>
        <w:overflowPunct/>
        <w:topLinePunct w:val="0"/>
        <w:autoSpaceDE/>
        <w:autoSpaceDN/>
        <w:bidi w:val="0"/>
        <w:adjustRightInd w:val="0"/>
        <w:snapToGrid w:val="0"/>
        <w:spacing w:line="400" w:lineRule="exact"/>
        <w:ind w:firstLine="444" w:firstLineChars="202"/>
        <w:jc w:val="left"/>
        <w:textAlignment w:val="auto"/>
        <w:outlineLvl w:val="0"/>
        <w:rPr>
          <w:rFonts w:hint="eastAsia" w:ascii="宋体" w:hAnsi="宋体" w:eastAsia="宋体" w:cs="宋体"/>
          <w:bCs/>
          <w:color w:val="auto"/>
          <w:kern w:val="0"/>
          <w:sz w:val="22"/>
          <w:szCs w:val="22"/>
          <w:highlight w:val="none"/>
          <w:u w:val="none"/>
          <w:lang w:val="en-US" w:eastAsia="zh-CN"/>
        </w:rPr>
      </w:pPr>
    </w:p>
    <w:p w14:paraId="3D902A07">
      <w:pPr>
        <w:pStyle w:val="12"/>
        <w:keepNext w:val="0"/>
        <w:keepLines w:val="0"/>
        <w:pageBreakBefore w:val="0"/>
        <w:widowControl/>
        <w:kinsoku/>
        <w:wordWrap/>
        <w:overflowPunct/>
        <w:topLinePunct w:val="0"/>
        <w:autoSpaceDE/>
        <w:autoSpaceDN/>
        <w:bidi w:val="0"/>
        <w:adjustRightInd w:val="0"/>
        <w:snapToGrid w:val="0"/>
        <w:spacing w:line="400" w:lineRule="exact"/>
        <w:ind w:firstLine="444" w:firstLineChars="202"/>
        <w:jc w:val="left"/>
        <w:textAlignment w:val="auto"/>
        <w:outlineLvl w:val="0"/>
        <w:rPr>
          <w:rFonts w:hint="eastAsia" w:ascii="宋体" w:hAnsi="宋体" w:eastAsia="宋体" w:cs="宋体"/>
          <w:bCs/>
          <w:color w:val="auto"/>
          <w:kern w:val="0"/>
          <w:sz w:val="22"/>
          <w:szCs w:val="22"/>
          <w:highlight w:val="none"/>
          <w:u w:val="none"/>
          <w:lang w:val="en-US" w:eastAsia="zh-CN"/>
        </w:rPr>
      </w:pPr>
    </w:p>
    <w:p w14:paraId="32B335D1">
      <w:pPr>
        <w:keepNext w:val="0"/>
        <w:keepLines w:val="0"/>
        <w:pageBreakBefore w:val="0"/>
        <w:widowControl/>
        <w:kinsoku/>
        <w:wordWrap/>
        <w:overflowPunct/>
        <w:topLinePunct w:val="0"/>
        <w:autoSpaceDE/>
        <w:autoSpaceDN/>
        <w:bidi w:val="0"/>
        <w:adjustRightInd/>
        <w:snapToGrid w:val="0"/>
        <w:spacing w:line="500" w:lineRule="exact"/>
        <w:ind w:firstLine="562" w:firstLineChars="200"/>
        <w:jc w:val="center"/>
        <w:textAlignment w:val="auto"/>
        <w:rPr>
          <w:rFonts w:hint="eastAsia" w:ascii="仿宋" w:hAnsi="仿宋" w:eastAsia="仿宋" w:cs="仿宋"/>
          <w:b/>
          <w:bCs w:val="0"/>
          <w:color w:val="auto"/>
          <w:kern w:val="0"/>
          <w:sz w:val="28"/>
          <w:szCs w:val="28"/>
          <w:highlight w:val="none"/>
          <w:lang w:val="en-US" w:eastAsia="zh-CN"/>
        </w:rPr>
      </w:pPr>
    </w:p>
    <w:p w14:paraId="4B7016B0">
      <w:pPr>
        <w:pStyle w:val="12"/>
        <w:keepNext w:val="0"/>
        <w:keepLines w:val="0"/>
        <w:pageBreakBefore w:val="0"/>
        <w:widowControl/>
        <w:numPr>
          <w:ilvl w:val="0"/>
          <w:numId w:val="0"/>
        </w:numPr>
        <w:kinsoku/>
        <w:wordWrap/>
        <w:overflowPunct/>
        <w:topLinePunct w:val="0"/>
        <w:autoSpaceDE/>
        <w:autoSpaceDN/>
        <w:bidi w:val="0"/>
        <w:adjustRightInd w:val="0"/>
        <w:snapToGrid w:val="0"/>
        <w:spacing w:line="400" w:lineRule="exact"/>
        <w:jc w:val="left"/>
        <w:textAlignment w:val="auto"/>
        <w:outlineLvl w:val="0"/>
        <w:rPr>
          <w:rFonts w:hint="default"/>
          <w:color w:val="auto"/>
          <w:sz w:val="22"/>
          <w:szCs w:val="22"/>
          <w:highlight w:val="none"/>
          <w:lang w:val="en-US" w:eastAsia="zh-CN"/>
        </w:rPr>
        <w:sectPr>
          <w:footerReference r:id="rId8" w:type="first"/>
          <w:footerReference r:id="rId7" w:type="default"/>
          <w:pgSz w:w="11906" w:h="16838"/>
          <w:pgMar w:top="1440" w:right="1361" w:bottom="1276" w:left="1361" w:header="851" w:footer="992" w:gutter="0"/>
          <w:pgNumType w:fmt="decimal" w:start="1"/>
          <w:cols w:space="720" w:num="1"/>
          <w:titlePg/>
          <w:docGrid w:linePitch="312" w:charSpace="0"/>
        </w:sectPr>
      </w:pPr>
    </w:p>
    <w:p w14:paraId="3AB74379">
      <w:pPr>
        <w:tabs>
          <w:tab w:val="left" w:pos="1069"/>
          <w:tab w:val="left" w:pos="2352"/>
        </w:tabs>
        <w:autoSpaceDE w:val="0"/>
        <w:autoSpaceDN w:val="0"/>
        <w:adjustRightInd w:val="0"/>
        <w:snapToGrid w:val="0"/>
        <w:spacing w:line="400" w:lineRule="exact"/>
        <w:jc w:val="center"/>
        <w:rPr>
          <w:rFonts w:ascii="宋体" w:hAnsi="宋体" w:cs="宋体"/>
          <w:b/>
          <w:color w:val="auto"/>
          <w:sz w:val="32"/>
          <w:szCs w:val="32"/>
          <w:highlight w:val="none"/>
          <w:lang w:val="zh-CN"/>
        </w:rPr>
      </w:pPr>
      <w:r>
        <w:rPr>
          <w:rFonts w:hint="eastAsia" w:ascii="宋体" w:hAnsi="宋体" w:cs="宋体"/>
          <w:b/>
          <w:color w:val="auto"/>
          <w:sz w:val="32"/>
          <w:szCs w:val="32"/>
          <w:highlight w:val="none"/>
        </w:rPr>
        <w:t>第</w:t>
      </w:r>
      <w:r>
        <w:rPr>
          <w:rFonts w:hint="eastAsia" w:ascii="宋体" w:hAnsi="宋体" w:cs="宋体"/>
          <w:b/>
          <w:color w:val="auto"/>
          <w:sz w:val="32"/>
          <w:szCs w:val="32"/>
          <w:highlight w:val="none"/>
          <w:lang w:val="zh-CN"/>
        </w:rPr>
        <w:t>三部分</w:t>
      </w:r>
      <w:r>
        <w:rPr>
          <w:rFonts w:hint="eastAsia" w:ascii="宋体" w:hAnsi="宋体" w:cs="宋体"/>
          <w:b/>
          <w:color w:val="auto"/>
          <w:sz w:val="32"/>
          <w:szCs w:val="32"/>
          <w:highlight w:val="none"/>
        </w:rPr>
        <w:t>、</w:t>
      </w:r>
      <w:r>
        <w:rPr>
          <w:rFonts w:hint="eastAsia" w:ascii="宋体" w:hAnsi="宋体" w:cs="宋体"/>
          <w:b/>
          <w:color w:val="auto"/>
          <w:sz w:val="32"/>
          <w:szCs w:val="32"/>
          <w:highlight w:val="none"/>
          <w:lang w:val="zh-CN"/>
        </w:rPr>
        <w:t>供应商须知</w:t>
      </w:r>
      <w:bookmarkEnd w:id="17"/>
    </w:p>
    <w:p w14:paraId="7256F84E">
      <w:pPr>
        <w:tabs>
          <w:tab w:val="left" w:pos="1069"/>
          <w:tab w:val="left" w:pos="2352"/>
        </w:tabs>
        <w:autoSpaceDE w:val="0"/>
        <w:autoSpaceDN w:val="0"/>
        <w:adjustRightInd w:val="0"/>
        <w:spacing w:line="450" w:lineRule="atLeast"/>
        <w:ind w:firstLine="442" w:firstLineChars="200"/>
        <w:rPr>
          <w:rFonts w:ascii="宋体" w:hAnsi="宋体" w:cs="宋体"/>
          <w:b/>
          <w:color w:val="auto"/>
          <w:sz w:val="22"/>
          <w:highlight w:val="none"/>
          <w:lang w:val="zh-CN"/>
        </w:rPr>
      </w:pPr>
      <w:bookmarkStart w:id="34" w:name="_Toc9317_WPSOffice_Level2"/>
      <w:r>
        <w:rPr>
          <w:rFonts w:hint="eastAsia" w:ascii="宋体" w:hAnsi="宋体" w:cs="宋体"/>
          <w:b/>
          <w:color w:val="auto"/>
          <w:sz w:val="22"/>
          <w:highlight w:val="none"/>
          <w:lang w:val="zh-CN"/>
        </w:rPr>
        <w:t>一、说明</w:t>
      </w:r>
      <w:bookmarkEnd w:id="34"/>
    </w:p>
    <w:p w14:paraId="1A7C9263">
      <w:pPr>
        <w:tabs>
          <w:tab w:val="left" w:pos="1069"/>
          <w:tab w:val="left" w:pos="2352"/>
        </w:tabs>
        <w:adjustRightInd w:val="0"/>
        <w:spacing w:line="400" w:lineRule="atLeast"/>
        <w:ind w:firstLine="431" w:firstLineChars="196"/>
        <w:rPr>
          <w:rFonts w:ascii="宋体" w:hAnsi="宋体" w:cs="宋体"/>
          <w:color w:val="auto"/>
          <w:sz w:val="22"/>
          <w:highlight w:val="none"/>
          <w:lang w:val="zh-CN"/>
        </w:rPr>
      </w:pPr>
      <w:r>
        <w:rPr>
          <w:rFonts w:hint="eastAsia" w:ascii="宋体" w:hAnsi="宋体" w:cs="宋体"/>
          <w:color w:val="auto"/>
          <w:sz w:val="22"/>
          <w:highlight w:val="none"/>
        </w:rPr>
        <w:t>1.</w:t>
      </w:r>
      <w:r>
        <w:rPr>
          <w:rFonts w:hint="eastAsia" w:ascii="宋体" w:hAnsi="宋体" w:cs="宋体"/>
          <w:color w:val="auto"/>
          <w:sz w:val="22"/>
          <w:highlight w:val="none"/>
          <w:lang w:val="zh-CN"/>
        </w:rPr>
        <w:t>本次采购工作是按照《中华人民共和国政府采购法》、《政府采购货物和服务招标投标管理办法》、《政府采购竞争性磋商采购方式管理暂行办法》、财政部关于政府采购竞争性磋商采购方式管理暂行办法有关问题的补充通知（财库〔2015〕124号）及相关法律规章组织和实施。</w:t>
      </w:r>
    </w:p>
    <w:p w14:paraId="2549121E">
      <w:pPr>
        <w:tabs>
          <w:tab w:val="left" w:pos="1069"/>
          <w:tab w:val="left" w:pos="2352"/>
        </w:tabs>
        <w:adjustRightInd w:val="0"/>
        <w:spacing w:line="400" w:lineRule="atLeast"/>
        <w:ind w:firstLine="431" w:firstLineChars="196"/>
        <w:rPr>
          <w:rFonts w:ascii="宋体" w:hAnsi="宋体" w:cs="宋体"/>
          <w:color w:val="auto"/>
          <w:sz w:val="22"/>
          <w:highlight w:val="none"/>
        </w:rPr>
      </w:pPr>
      <w:r>
        <w:rPr>
          <w:rFonts w:hint="eastAsia" w:ascii="宋体" w:hAnsi="宋体" w:cs="宋体"/>
          <w:color w:val="auto"/>
          <w:sz w:val="22"/>
          <w:highlight w:val="none"/>
        </w:rPr>
        <w:t>2.</w:t>
      </w:r>
      <w:r>
        <w:rPr>
          <w:rFonts w:hint="eastAsia" w:ascii="宋体" w:hAnsi="宋体" w:cs="宋体"/>
          <w:bCs/>
          <w:color w:val="auto"/>
          <w:sz w:val="22"/>
          <w:highlight w:val="none"/>
        </w:rPr>
        <w:t>供应商必须对所投标项全部内容进行报价</w:t>
      </w:r>
      <w:r>
        <w:rPr>
          <w:rFonts w:hint="eastAsia" w:ascii="宋体" w:hAnsi="宋体" w:cs="宋体"/>
          <w:color w:val="auto"/>
          <w:sz w:val="22"/>
          <w:highlight w:val="none"/>
        </w:rPr>
        <w:t>，只对部分内容进行报价的供应商将按无效投标处理。</w:t>
      </w:r>
    </w:p>
    <w:p w14:paraId="24AE8954">
      <w:pPr>
        <w:tabs>
          <w:tab w:val="left" w:pos="1069"/>
          <w:tab w:val="left" w:pos="2352"/>
        </w:tabs>
        <w:adjustRightInd w:val="0"/>
        <w:spacing w:line="400" w:lineRule="atLeast"/>
        <w:ind w:firstLine="431" w:firstLineChars="196"/>
        <w:rPr>
          <w:rFonts w:ascii="宋体" w:hAnsi="宋体" w:cs="宋体"/>
          <w:color w:val="auto"/>
          <w:sz w:val="22"/>
          <w:highlight w:val="none"/>
        </w:rPr>
      </w:pPr>
      <w:r>
        <w:rPr>
          <w:rFonts w:hint="eastAsia" w:ascii="宋体" w:hAnsi="宋体" w:cs="宋体"/>
          <w:color w:val="auto"/>
          <w:sz w:val="22"/>
          <w:highlight w:val="none"/>
        </w:rPr>
        <w:t>3.无论投标过程中的作法和结果如何，供应商自行承担投标活动中所发生的全部费用；采购人有权选择供应商的供货和服务范围。</w:t>
      </w:r>
    </w:p>
    <w:p w14:paraId="1703E8AC">
      <w:pPr>
        <w:tabs>
          <w:tab w:val="left" w:pos="1069"/>
          <w:tab w:val="left" w:pos="2352"/>
        </w:tabs>
        <w:adjustRightInd w:val="0"/>
        <w:spacing w:line="400" w:lineRule="atLeast"/>
        <w:ind w:firstLine="431" w:firstLineChars="196"/>
        <w:rPr>
          <w:rFonts w:ascii="宋体" w:hAnsi="宋体" w:cs="宋体"/>
          <w:color w:val="auto"/>
          <w:sz w:val="22"/>
          <w:highlight w:val="none"/>
        </w:rPr>
      </w:pPr>
      <w:r>
        <w:rPr>
          <w:rFonts w:hint="eastAsia" w:ascii="宋体" w:hAnsi="宋体" w:cs="宋体"/>
          <w:color w:val="auto"/>
          <w:sz w:val="22"/>
          <w:highlight w:val="none"/>
        </w:rPr>
        <w:t>4.安全管理</w:t>
      </w:r>
    </w:p>
    <w:p w14:paraId="62A03AE9">
      <w:pPr>
        <w:tabs>
          <w:tab w:val="left" w:pos="1069"/>
          <w:tab w:val="left" w:pos="2352"/>
        </w:tabs>
        <w:adjustRightInd w:val="0"/>
        <w:spacing w:line="400" w:lineRule="atLeast"/>
        <w:ind w:firstLine="431" w:firstLineChars="196"/>
        <w:rPr>
          <w:rFonts w:ascii="宋体" w:hAnsi="宋体" w:cs="宋体"/>
          <w:color w:val="auto"/>
          <w:sz w:val="22"/>
          <w:highlight w:val="none"/>
        </w:rPr>
      </w:pPr>
      <w:r>
        <w:rPr>
          <w:rFonts w:hint="eastAsia" w:ascii="宋体" w:hAnsi="宋体" w:cs="宋体"/>
          <w:color w:val="auto"/>
          <w:sz w:val="22"/>
          <w:highlight w:val="none"/>
        </w:rPr>
        <w:t>在招标及合同执行过程中，供应商应承担由于其行为所造成的人身伤害、财产损失或损坏的责任，无论何种原因所造成，采购人均不负责。</w:t>
      </w:r>
    </w:p>
    <w:p w14:paraId="7D822B06">
      <w:pPr>
        <w:tabs>
          <w:tab w:val="left" w:pos="1069"/>
          <w:tab w:val="left" w:pos="2352"/>
        </w:tabs>
        <w:adjustRightInd w:val="0"/>
        <w:spacing w:line="400" w:lineRule="atLeast"/>
        <w:ind w:firstLine="431" w:firstLineChars="196"/>
        <w:rPr>
          <w:rFonts w:ascii="宋体" w:hAnsi="宋体" w:cs="宋体"/>
          <w:color w:val="auto"/>
          <w:sz w:val="22"/>
          <w:highlight w:val="none"/>
        </w:rPr>
      </w:pPr>
      <w:r>
        <w:rPr>
          <w:rFonts w:hint="eastAsia" w:ascii="宋体" w:hAnsi="宋体" w:cs="宋体"/>
          <w:color w:val="auto"/>
          <w:sz w:val="22"/>
          <w:highlight w:val="none"/>
        </w:rPr>
        <w:t>5.知识产权</w:t>
      </w:r>
    </w:p>
    <w:p w14:paraId="6FB7B078">
      <w:pPr>
        <w:tabs>
          <w:tab w:val="left" w:pos="1069"/>
          <w:tab w:val="left" w:pos="2352"/>
        </w:tabs>
        <w:adjustRightInd w:val="0"/>
        <w:spacing w:line="400" w:lineRule="atLeast"/>
        <w:ind w:firstLine="431" w:firstLineChars="196"/>
        <w:rPr>
          <w:rFonts w:ascii="宋体" w:hAnsi="宋体" w:cs="宋体"/>
          <w:color w:val="auto"/>
          <w:sz w:val="22"/>
          <w:highlight w:val="none"/>
        </w:rPr>
      </w:pPr>
      <w:r>
        <w:rPr>
          <w:rFonts w:hint="eastAsia" w:ascii="宋体" w:hAnsi="宋体" w:cs="宋体"/>
          <w:color w:val="auto"/>
          <w:sz w:val="22"/>
          <w:highlight w:val="none"/>
        </w:rPr>
        <w:t>5.1供应商应保证，采购人在中华人民共和国使用货物或服务的任何一部分时，免受第三方提出侵犯其专利权、商标权或其它知识产权的起诉。</w:t>
      </w:r>
    </w:p>
    <w:p w14:paraId="1512C810">
      <w:pPr>
        <w:tabs>
          <w:tab w:val="left" w:pos="1069"/>
          <w:tab w:val="left" w:pos="2352"/>
        </w:tabs>
        <w:adjustRightInd w:val="0"/>
        <w:spacing w:line="400" w:lineRule="atLeast"/>
        <w:ind w:firstLine="431" w:firstLineChars="196"/>
        <w:rPr>
          <w:rFonts w:ascii="宋体" w:hAnsi="宋体" w:cs="宋体"/>
          <w:color w:val="auto"/>
          <w:sz w:val="22"/>
          <w:highlight w:val="none"/>
        </w:rPr>
      </w:pPr>
      <w:r>
        <w:rPr>
          <w:rFonts w:hint="eastAsia" w:ascii="宋体" w:hAnsi="宋体" w:cs="宋体"/>
          <w:color w:val="auto"/>
          <w:sz w:val="22"/>
          <w:highlight w:val="none"/>
        </w:rPr>
        <w:t>5.2投标人应对采购人在使用该服务时所涉及到的专利权负责，不损害采购人的利益。</w:t>
      </w:r>
    </w:p>
    <w:p w14:paraId="4BB99D54">
      <w:pPr>
        <w:tabs>
          <w:tab w:val="left" w:pos="1069"/>
          <w:tab w:val="left" w:pos="2352"/>
        </w:tabs>
        <w:adjustRightInd w:val="0"/>
        <w:spacing w:line="400" w:lineRule="atLeast"/>
        <w:ind w:firstLine="431" w:firstLineChars="196"/>
        <w:rPr>
          <w:rFonts w:ascii="宋体" w:hAnsi="宋体" w:cs="宋体"/>
          <w:color w:val="auto"/>
          <w:sz w:val="22"/>
          <w:highlight w:val="none"/>
        </w:rPr>
      </w:pPr>
      <w:r>
        <w:rPr>
          <w:rFonts w:hint="eastAsia" w:ascii="宋体" w:hAnsi="宋体" w:cs="宋体"/>
          <w:color w:val="auto"/>
          <w:sz w:val="22"/>
          <w:highlight w:val="none"/>
        </w:rPr>
        <w:t>5.3报价应包括所有应支付的对专利权和版权、设计或其他知识产权而需要向其他方支付的版税。</w:t>
      </w:r>
    </w:p>
    <w:p w14:paraId="0E8236A2">
      <w:pPr>
        <w:tabs>
          <w:tab w:val="left" w:pos="1069"/>
          <w:tab w:val="left" w:pos="2352"/>
        </w:tabs>
        <w:adjustRightInd w:val="0"/>
        <w:spacing w:line="400" w:lineRule="atLeast"/>
        <w:ind w:firstLine="431" w:firstLineChars="196"/>
        <w:rPr>
          <w:rFonts w:ascii="宋体" w:hAnsi="宋体" w:cs="宋体"/>
          <w:color w:val="auto"/>
          <w:sz w:val="22"/>
          <w:highlight w:val="none"/>
        </w:rPr>
      </w:pPr>
      <w:r>
        <w:rPr>
          <w:rFonts w:hint="eastAsia" w:ascii="宋体" w:hAnsi="宋体" w:cs="宋体"/>
          <w:color w:val="auto"/>
          <w:sz w:val="22"/>
          <w:highlight w:val="none"/>
        </w:rPr>
        <w:t>5.4投标人提供的服务中如使用其他公司的相关专利，应在标书中出示相关授权，如未出示但使用了其他公司的专利，导致供应商中标(成交)而引起相关诉讼，由投标人承担。</w:t>
      </w:r>
    </w:p>
    <w:p w14:paraId="5077902F">
      <w:pPr>
        <w:tabs>
          <w:tab w:val="left" w:pos="1069"/>
          <w:tab w:val="left" w:pos="2352"/>
        </w:tabs>
        <w:adjustRightInd w:val="0"/>
        <w:spacing w:line="400" w:lineRule="atLeast"/>
        <w:ind w:firstLine="431" w:firstLineChars="196"/>
        <w:rPr>
          <w:rFonts w:ascii="宋体" w:hAnsi="宋体" w:cs="宋体"/>
          <w:color w:val="auto"/>
          <w:sz w:val="22"/>
          <w:highlight w:val="none"/>
          <w:lang w:val="zh-CN"/>
        </w:rPr>
      </w:pPr>
      <w:r>
        <w:rPr>
          <w:rFonts w:hint="eastAsia" w:ascii="宋体" w:hAnsi="宋体" w:cs="宋体"/>
          <w:color w:val="auto"/>
          <w:sz w:val="22"/>
          <w:highlight w:val="none"/>
        </w:rPr>
        <w:t>6.</w:t>
      </w:r>
      <w:r>
        <w:rPr>
          <w:rFonts w:hint="eastAsia" w:ascii="宋体" w:hAnsi="宋体" w:cs="宋体"/>
          <w:color w:val="auto"/>
          <w:sz w:val="22"/>
          <w:highlight w:val="none"/>
          <w:lang w:val="zh-CN"/>
        </w:rPr>
        <w:t>单位负责人为同一人或者存在直接控股、管理关系的不同供应商，不得参加同一合同项下的政府采购活动。如在评标过程中发现供应商间存在上述关系，评审小组可以对存在上述关系的供应商做无效投标处理。</w:t>
      </w:r>
    </w:p>
    <w:p w14:paraId="4D3574AA">
      <w:pPr>
        <w:tabs>
          <w:tab w:val="left" w:pos="1069"/>
          <w:tab w:val="left" w:pos="2352"/>
        </w:tabs>
        <w:adjustRightInd w:val="0"/>
        <w:spacing w:line="400" w:lineRule="atLeast"/>
        <w:ind w:firstLine="431" w:firstLineChars="196"/>
        <w:rPr>
          <w:rFonts w:ascii="宋体" w:hAnsi="宋体" w:cs="宋体"/>
          <w:color w:val="auto"/>
          <w:sz w:val="22"/>
          <w:highlight w:val="none"/>
          <w:lang w:val="zh-CN"/>
        </w:rPr>
      </w:pPr>
      <w:r>
        <w:rPr>
          <w:rFonts w:hint="eastAsia" w:ascii="宋体" w:hAnsi="宋体" w:cs="宋体"/>
          <w:color w:val="auto"/>
          <w:sz w:val="22"/>
          <w:highlight w:val="none"/>
        </w:rPr>
        <w:t>7.</w:t>
      </w:r>
      <w:r>
        <w:rPr>
          <w:rFonts w:hint="eastAsia" w:ascii="宋体" w:hAnsi="宋体" w:cs="宋体"/>
          <w:color w:val="auto"/>
          <w:sz w:val="22"/>
          <w:highlight w:val="none"/>
          <w:lang w:val="zh-CN"/>
        </w:rPr>
        <w:t>为采购项目提供整体设计、规范编制或者项目管理、监理、检测等服务的供应商，不得再参加该采购项目的其他采购活动。</w:t>
      </w:r>
    </w:p>
    <w:p w14:paraId="1526EEEB">
      <w:pPr>
        <w:tabs>
          <w:tab w:val="left" w:pos="1069"/>
          <w:tab w:val="left" w:pos="2352"/>
        </w:tabs>
        <w:autoSpaceDE w:val="0"/>
        <w:autoSpaceDN w:val="0"/>
        <w:adjustRightInd w:val="0"/>
        <w:spacing w:line="400" w:lineRule="atLeast"/>
        <w:ind w:firstLine="440" w:firstLineChars="200"/>
        <w:textAlignment w:val="bottom"/>
        <w:rPr>
          <w:rFonts w:ascii="宋体" w:hAnsi="宋体" w:cs="宋体"/>
          <w:b/>
          <w:color w:val="auto"/>
          <w:sz w:val="22"/>
          <w:highlight w:val="none"/>
        </w:rPr>
      </w:pPr>
      <w:r>
        <w:rPr>
          <w:rFonts w:hint="eastAsia" w:ascii="宋体" w:hAnsi="宋体" w:cs="宋体"/>
          <w:color w:val="auto"/>
          <w:sz w:val="22"/>
          <w:highlight w:val="none"/>
        </w:rPr>
        <w:t>8</w:t>
      </w:r>
      <w:r>
        <w:rPr>
          <w:rFonts w:hint="eastAsia" w:ascii="宋体" w:hAnsi="宋体" w:cs="宋体"/>
          <w:color w:val="auto"/>
          <w:sz w:val="22"/>
          <w:highlight w:val="none"/>
          <w:lang w:val="zh-CN"/>
        </w:rPr>
        <w:t>.</w:t>
      </w:r>
      <w:r>
        <w:rPr>
          <w:rFonts w:hint="eastAsia" w:ascii="宋体" w:hAnsi="宋体" w:cs="宋体"/>
          <w:b/>
          <w:color w:val="auto"/>
          <w:sz w:val="22"/>
          <w:highlight w:val="none"/>
        </w:rPr>
        <w:t>▲供应商须具有良好的商业信誉：</w:t>
      </w:r>
    </w:p>
    <w:p w14:paraId="02223ED2">
      <w:pPr>
        <w:tabs>
          <w:tab w:val="left" w:pos="2352"/>
        </w:tabs>
        <w:autoSpaceDE w:val="0"/>
        <w:autoSpaceDN w:val="0"/>
        <w:adjustRightInd w:val="0"/>
        <w:spacing w:line="400" w:lineRule="atLeast"/>
        <w:ind w:firstLine="442" w:firstLineChars="200"/>
        <w:textAlignment w:val="bottom"/>
        <w:rPr>
          <w:rFonts w:ascii="宋体"/>
          <w:b/>
          <w:color w:val="auto"/>
          <w:sz w:val="22"/>
          <w:highlight w:val="none"/>
          <w:u w:val="single"/>
        </w:rPr>
      </w:pPr>
      <w:r>
        <w:rPr>
          <w:rFonts w:ascii="宋体" w:hAnsi="宋体"/>
          <w:b/>
          <w:color w:val="auto"/>
          <w:sz w:val="22"/>
          <w:highlight w:val="none"/>
          <w:u w:val="single"/>
        </w:rPr>
        <w:t>1</w:t>
      </w:r>
      <w:r>
        <w:rPr>
          <w:rFonts w:hint="eastAsia" w:ascii="宋体" w:hAnsi="宋体"/>
          <w:b/>
          <w:color w:val="auto"/>
          <w:sz w:val="22"/>
          <w:highlight w:val="none"/>
          <w:u w:val="single"/>
        </w:rPr>
        <w:t>）供应商在国家企业信用信息公示系统网：（http://www.gsxt.gov.cn/index.html）无严重违法企业记录。</w:t>
      </w:r>
    </w:p>
    <w:p w14:paraId="41582009">
      <w:pPr>
        <w:tabs>
          <w:tab w:val="left" w:pos="2352"/>
        </w:tabs>
        <w:autoSpaceDE w:val="0"/>
        <w:autoSpaceDN w:val="0"/>
        <w:adjustRightInd w:val="0"/>
        <w:spacing w:line="400" w:lineRule="atLeast"/>
        <w:ind w:firstLine="442" w:firstLineChars="200"/>
        <w:textAlignment w:val="bottom"/>
        <w:rPr>
          <w:rFonts w:ascii="宋体"/>
          <w:b/>
          <w:color w:val="auto"/>
          <w:sz w:val="22"/>
          <w:highlight w:val="none"/>
          <w:u w:val="single"/>
        </w:rPr>
      </w:pPr>
      <w:r>
        <w:rPr>
          <w:rFonts w:ascii="宋体" w:hAnsi="宋体"/>
          <w:b/>
          <w:color w:val="auto"/>
          <w:sz w:val="22"/>
          <w:highlight w:val="none"/>
          <w:u w:val="single"/>
        </w:rPr>
        <w:t>2</w:t>
      </w:r>
      <w:r>
        <w:rPr>
          <w:rFonts w:hint="eastAsia" w:ascii="宋体" w:hAnsi="宋体"/>
          <w:b/>
          <w:color w:val="auto"/>
          <w:sz w:val="22"/>
          <w:highlight w:val="none"/>
          <w:u w:val="single"/>
        </w:rPr>
        <w:t>）供应商在中国执行信息公开网（http://zxgk.court.gov.cn/）无失信信息记录。</w:t>
      </w:r>
    </w:p>
    <w:p w14:paraId="63730096">
      <w:pPr>
        <w:tabs>
          <w:tab w:val="left" w:pos="1069"/>
          <w:tab w:val="left" w:pos="2352"/>
        </w:tabs>
        <w:autoSpaceDE w:val="0"/>
        <w:autoSpaceDN w:val="0"/>
        <w:adjustRightInd w:val="0"/>
        <w:spacing w:line="400" w:lineRule="atLeast"/>
        <w:ind w:firstLine="442" w:firstLineChars="200"/>
        <w:textAlignment w:val="bottom"/>
        <w:rPr>
          <w:rFonts w:ascii="宋体" w:hAnsi="宋体" w:cs="宋体"/>
          <w:b/>
          <w:color w:val="auto"/>
          <w:sz w:val="22"/>
          <w:highlight w:val="none"/>
          <w:u w:val="single"/>
        </w:rPr>
      </w:pPr>
      <w:r>
        <w:rPr>
          <w:rFonts w:ascii="宋体" w:hAnsi="宋体"/>
          <w:b/>
          <w:color w:val="auto"/>
          <w:sz w:val="22"/>
          <w:highlight w:val="none"/>
          <w:u w:val="single"/>
        </w:rPr>
        <w:t>3</w:t>
      </w:r>
      <w:r>
        <w:rPr>
          <w:rFonts w:hint="eastAsia" w:ascii="宋体" w:hAnsi="宋体"/>
          <w:b/>
          <w:color w:val="auto"/>
          <w:sz w:val="22"/>
          <w:highlight w:val="none"/>
          <w:u w:val="single"/>
        </w:rPr>
        <w:t>）供应商在中国政府采购网（</w:t>
      </w:r>
      <w:r>
        <w:rPr>
          <w:rFonts w:ascii="宋体" w:hAnsi="宋体"/>
          <w:b/>
          <w:color w:val="auto"/>
          <w:sz w:val="22"/>
          <w:highlight w:val="none"/>
          <w:u w:val="single"/>
        </w:rPr>
        <w:t>http://www.ccgp.gov.cn/cr/list</w:t>
      </w:r>
      <w:r>
        <w:rPr>
          <w:rFonts w:hint="eastAsia" w:ascii="宋体" w:hAnsi="宋体"/>
          <w:b/>
          <w:color w:val="auto"/>
          <w:sz w:val="22"/>
          <w:highlight w:val="none"/>
          <w:u w:val="single"/>
        </w:rPr>
        <w:t>）无严重违法行为记录</w:t>
      </w:r>
      <w:r>
        <w:rPr>
          <w:rFonts w:hint="eastAsia" w:ascii="宋体" w:hAnsi="宋体" w:cs="宋体"/>
          <w:b/>
          <w:color w:val="auto"/>
          <w:sz w:val="22"/>
          <w:highlight w:val="none"/>
          <w:u w:val="single"/>
        </w:rPr>
        <w:t>。</w:t>
      </w:r>
    </w:p>
    <w:p w14:paraId="51D8C6FB">
      <w:pPr>
        <w:widowControl/>
        <w:tabs>
          <w:tab w:val="left" w:pos="1069"/>
          <w:tab w:val="left" w:pos="2352"/>
        </w:tabs>
        <w:snapToGrid w:val="0"/>
        <w:spacing w:line="400" w:lineRule="atLeast"/>
        <w:ind w:firstLine="442" w:firstLineChars="200"/>
        <w:jc w:val="left"/>
        <w:rPr>
          <w:rFonts w:ascii="宋体" w:hAnsi="宋体" w:cs="宋体"/>
          <w:b/>
          <w:color w:val="auto"/>
          <w:sz w:val="22"/>
          <w:highlight w:val="none"/>
          <w:u w:val="single"/>
        </w:rPr>
      </w:pPr>
      <w:r>
        <w:rPr>
          <w:rFonts w:hint="eastAsia" w:ascii="宋体" w:hAnsi="宋体" w:cs="宋体"/>
          <w:b/>
          <w:color w:val="auto"/>
          <w:sz w:val="22"/>
          <w:highlight w:val="none"/>
          <w:u w:val="single"/>
        </w:rPr>
        <w:t>4）未被各级财政部门列入政府采购黑名单或被各级财政部门禁止参加政府采购项目投标。</w:t>
      </w:r>
      <w:r>
        <w:rPr>
          <w:rFonts w:hint="eastAsia" w:ascii="宋体" w:hAnsi="宋体" w:cs="宋体"/>
          <w:color w:val="auto"/>
          <w:sz w:val="22"/>
          <w:highlight w:val="none"/>
        </w:rPr>
        <w:t>▲</w:t>
      </w:r>
      <w:r>
        <w:rPr>
          <w:rFonts w:hint="eastAsia" w:ascii="宋体" w:hAnsi="宋体" w:cs="宋体"/>
          <w:b/>
          <w:color w:val="auto"/>
          <w:sz w:val="22"/>
          <w:highlight w:val="none"/>
          <w:u w:val="single"/>
        </w:rPr>
        <w:t>如供应商有上述情形并参与本项目投标的，一经查实，其投标做无效投标处理。</w:t>
      </w:r>
    </w:p>
    <w:p w14:paraId="09DD686B">
      <w:pPr>
        <w:widowControl/>
        <w:tabs>
          <w:tab w:val="left" w:pos="1069"/>
          <w:tab w:val="left" w:pos="2352"/>
        </w:tabs>
        <w:snapToGrid w:val="0"/>
        <w:spacing w:line="380" w:lineRule="exact"/>
        <w:ind w:firstLine="442" w:firstLineChars="200"/>
        <w:rPr>
          <w:rFonts w:ascii="宋体" w:hAnsi="宋体" w:cs="宋体"/>
          <w:color w:val="auto"/>
          <w:sz w:val="22"/>
          <w:highlight w:val="none"/>
          <w:u w:val="single"/>
        </w:rPr>
      </w:pPr>
      <w:r>
        <w:rPr>
          <w:rFonts w:hint="eastAsia" w:ascii="宋体" w:hAnsi="宋体" w:cs="宋体"/>
          <w:b/>
          <w:color w:val="auto"/>
          <w:sz w:val="22"/>
          <w:highlight w:val="none"/>
        </w:rPr>
        <w:t>9.</w:t>
      </w:r>
      <w:r>
        <w:rPr>
          <w:rFonts w:hint="eastAsia" w:ascii="宋体" w:hAnsi="宋体" w:cs="宋体"/>
          <w:color w:val="auto"/>
          <w:sz w:val="22"/>
          <w:highlight w:val="none"/>
          <w:u w:val="single"/>
        </w:rPr>
        <w:t>本项目采用资格后审，符合资格要求的供应商均可在本公告附件下载竞争性磋商文件，并按竞争性磋商文件规定的时间、地点递交投标（响应）文件（竞争性磋商文件下载网址：浙江政府采购网（http://zfcg.czt.zj.gov.cn/）,竞争性磋商文件如有补充更正均见浙江政府采购网http://zfcg.czt.zj.gov.cn//。供应商须在投标截止前自行查看是否有补充、更正文件，并按补充、更正文件要求投标，否则责任自负。</w:t>
      </w:r>
    </w:p>
    <w:p w14:paraId="5ECE4E00">
      <w:pPr>
        <w:tabs>
          <w:tab w:val="left" w:pos="1069"/>
          <w:tab w:val="left" w:pos="2352"/>
        </w:tabs>
        <w:autoSpaceDE w:val="0"/>
        <w:autoSpaceDN w:val="0"/>
        <w:adjustRightInd w:val="0"/>
        <w:spacing w:line="400" w:lineRule="atLeast"/>
        <w:ind w:firstLine="440" w:firstLineChars="200"/>
        <w:rPr>
          <w:rFonts w:ascii="宋体" w:hAnsi="宋体" w:cs="宋体"/>
          <w:color w:val="auto"/>
          <w:sz w:val="22"/>
          <w:highlight w:val="none"/>
          <w:lang w:val="zh-CN"/>
        </w:rPr>
      </w:pPr>
      <w:r>
        <w:rPr>
          <w:rFonts w:hint="eastAsia" w:ascii="宋体" w:hAnsi="宋体" w:cs="宋体"/>
          <w:color w:val="auto"/>
          <w:sz w:val="22"/>
          <w:highlight w:val="none"/>
        </w:rPr>
        <w:t>10</w:t>
      </w:r>
      <w:r>
        <w:rPr>
          <w:rFonts w:hint="eastAsia" w:ascii="宋体" w:hAnsi="宋体" w:cs="宋体"/>
          <w:color w:val="auto"/>
          <w:sz w:val="22"/>
          <w:highlight w:val="none"/>
          <w:lang w:val="zh-CN"/>
        </w:rPr>
        <w:t>.▲本项目采用竞争性磋商采购方式进行采购，在磋商过程中，评审小组可以根据竞争性磋商文件和磋商情况实质性变动采购需求中的技术、服务要求以及合同草案条款，但不得变动竞争性磋商文件中的其他内容。已提交投标（响应）文件的供应商，在提交最终报价之前，可以根据磋商情况退出磋商。</w:t>
      </w:r>
    </w:p>
    <w:p w14:paraId="7F9905F6">
      <w:pPr>
        <w:tabs>
          <w:tab w:val="left" w:pos="1069"/>
          <w:tab w:val="left" w:pos="2352"/>
        </w:tabs>
        <w:autoSpaceDE w:val="0"/>
        <w:autoSpaceDN w:val="0"/>
        <w:adjustRightInd w:val="0"/>
        <w:spacing w:line="400" w:lineRule="atLeast"/>
        <w:ind w:firstLine="442" w:firstLineChars="200"/>
        <w:rPr>
          <w:rFonts w:ascii="宋体" w:hAnsi="宋体" w:cs="宋体"/>
          <w:b/>
          <w:color w:val="auto"/>
          <w:sz w:val="22"/>
          <w:highlight w:val="none"/>
          <w:lang w:val="zh-CN"/>
        </w:rPr>
      </w:pPr>
      <w:bookmarkStart w:id="35" w:name="_Toc6226_WPSOffice_Level2"/>
      <w:r>
        <w:rPr>
          <w:rFonts w:hint="eastAsia" w:ascii="宋体" w:hAnsi="宋体" w:cs="宋体"/>
          <w:b/>
          <w:color w:val="auto"/>
          <w:sz w:val="22"/>
          <w:highlight w:val="none"/>
        </w:rPr>
        <w:t>二</w:t>
      </w:r>
      <w:r>
        <w:rPr>
          <w:rFonts w:hint="eastAsia" w:ascii="宋体" w:hAnsi="宋体" w:cs="宋体"/>
          <w:b/>
          <w:color w:val="auto"/>
          <w:sz w:val="22"/>
          <w:highlight w:val="none"/>
          <w:lang w:val="zh-CN"/>
        </w:rPr>
        <w:t>、竞争性磋商文件</w:t>
      </w:r>
      <w:bookmarkEnd w:id="35"/>
    </w:p>
    <w:p w14:paraId="557139DE">
      <w:pPr>
        <w:tabs>
          <w:tab w:val="left" w:pos="1069"/>
          <w:tab w:val="left" w:pos="2352"/>
        </w:tabs>
        <w:spacing w:line="400" w:lineRule="atLeast"/>
        <w:ind w:firstLine="440" w:firstLineChars="200"/>
        <w:rPr>
          <w:rFonts w:ascii="宋体" w:hAnsi="宋体" w:cs="宋体"/>
          <w:color w:val="auto"/>
          <w:sz w:val="22"/>
          <w:highlight w:val="none"/>
        </w:rPr>
      </w:pPr>
      <w:bookmarkStart w:id="36" w:name="_Toc24610_WPSOffice_Level3"/>
      <w:r>
        <w:rPr>
          <w:rFonts w:hint="eastAsia" w:ascii="宋体" w:hAnsi="宋体" w:cs="宋体"/>
          <w:color w:val="auto"/>
          <w:sz w:val="22"/>
          <w:highlight w:val="none"/>
          <w:lang w:val="zh-CN"/>
        </w:rPr>
        <w:t>1.竞争性磋商文件</w:t>
      </w:r>
      <w:bookmarkEnd w:id="36"/>
    </w:p>
    <w:p w14:paraId="04566F67">
      <w:pPr>
        <w:tabs>
          <w:tab w:val="left" w:pos="1069"/>
          <w:tab w:val="left" w:pos="2352"/>
        </w:tabs>
        <w:autoSpaceDE w:val="0"/>
        <w:autoSpaceDN w:val="0"/>
        <w:adjustRightInd w:val="0"/>
        <w:spacing w:line="400" w:lineRule="atLeast"/>
        <w:ind w:firstLine="440" w:firstLineChars="200"/>
        <w:rPr>
          <w:rFonts w:ascii="宋体" w:hAnsi="宋体" w:cs="宋体"/>
          <w:color w:val="auto"/>
          <w:sz w:val="22"/>
          <w:highlight w:val="none"/>
          <w:lang w:val="zh-CN"/>
        </w:rPr>
      </w:pPr>
      <w:r>
        <w:rPr>
          <w:rFonts w:hint="eastAsia" w:ascii="宋体" w:hAnsi="宋体" w:cs="宋体"/>
          <w:color w:val="auto"/>
          <w:sz w:val="22"/>
          <w:highlight w:val="none"/>
          <w:lang w:val="zh-CN"/>
        </w:rPr>
        <w:t>1.1</w:t>
      </w:r>
      <w:r>
        <w:rPr>
          <w:rFonts w:hint="eastAsia" w:ascii="宋体" w:hAnsi="宋体" w:cs="宋体"/>
          <w:color w:val="auto"/>
          <w:sz w:val="22"/>
          <w:highlight w:val="none"/>
        </w:rPr>
        <w:t xml:space="preserve"> </w:t>
      </w:r>
      <w:r>
        <w:rPr>
          <w:rFonts w:hint="eastAsia" w:ascii="宋体" w:hAnsi="宋体" w:cs="宋体"/>
          <w:color w:val="auto"/>
          <w:sz w:val="22"/>
          <w:highlight w:val="none"/>
          <w:lang w:val="zh-CN"/>
        </w:rPr>
        <w:t>竞争性磋商文件的发放</w:t>
      </w:r>
    </w:p>
    <w:p w14:paraId="0A2E4136">
      <w:pPr>
        <w:tabs>
          <w:tab w:val="left" w:pos="1069"/>
          <w:tab w:val="left" w:pos="2352"/>
        </w:tabs>
        <w:autoSpaceDE w:val="0"/>
        <w:autoSpaceDN w:val="0"/>
        <w:adjustRightInd w:val="0"/>
        <w:spacing w:line="400" w:lineRule="atLeast"/>
        <w:ind w:firstLine="440" w:firstLineChars="200"/>
        <w:rPr>
          <w:rFonts w:ascii="宋体" w:hAnsi="宋体" w:cs="宋体"/>
          <w:color w:val="auto"/>
          <w:sz w:val="22"/>
          <w:highlight w:val="none"/>
          <w:lang w:val="zh-CN"/>
        </w:rPr>
      </w:pPr>
      <w:r>
        <w:rPr>
          <w:rFonts w:hint="eastAsia" w:ascii="宋体" w:hAnsi="宋体" w:cs="宋体"/>
          <w:color w:val="auto"/>
          <w:sz w:val="22"/>
          <w:highlight w:val="none"/>
          <w:lang w:val="zh-CN"/>
        </w:rPr>
        <w:t>本项目投标供应商直接</w:t>
      </w:r>
      <w:r>
        <w:rPr>
          <w:rFonts w:hint="eastAsia" w:ascii="宋体" w:hAnsi="宋体" w:cs="宋体"/>
          <w:color w:val="auto"/>
          <w:sz w:val="22"/>
          <w:highlight w:val="none"/>
        </w:rPr>
        <w:t>在</w:t>
      </w:r>
      <w:r>
        <w:rPr>
          <w:rFonts w:hint="eastAsia" w:ascii="宋体" w:hAnsi="宋体" w:cs="宋体"/>
          <w:color w:val="auto"/>
          <w:sz w:val="22"/>
          <w:highlight w:val="none"/>
          <w:lang w:val="zh-CN"/>
        </w:rPr>
        <w:t>网上</w:t>
      </w:r>
      <w:r>
        <w:rPr>
          <w:rFonts w:hint="eastAsia" w:ascii="宋体" w:hAnsi="宋体" w:cs="宋体"/>
          <w:color w:val="auto"/>
          <w:sz w:val="22"/>
          <w:highlight w:val="none"/>
        </w:rPr>
        <w:t>下载</w:t>
      </w:r>
      <w:r>
        <w:rPr>
          <w:rFonts w:hint="eastAsia" w:ascii="宋体" w:hAnsi="宋体" w:cs="宋体"/>
          <w:color w:val="auto"/>
          <w:sz w:val="22"/>
          <w:highlight w:val="none"/>
          <w:lang w:val="zh-CN"/>
        </w:rPr>
        <w:t>竞争性磋商文件。</w:t>
      </w:r>
    </w:p>
    <w:p w14:paraId="79967E33">
      <w:pPr>
        <w:tabs>
          <w:tab w:val="left" w:pos="1069"/>
          <w:tab w:val="left" w:pos="2352"/>
        </w:tabs>
        <w:autoSpaceDE w:val="0"/>
        <w:autoSpaceDN w:val="0"/>
        <w:adjustRightInd w:val="0"/>
        <w:spacing w:line="400" w:lineRule="atLeast"/>
        <w:ind w:firstLine="440" w:firstLineChars="200"/>
        <w:textAlignment w:val="bottom"/>
        <w:outlineLvl w:val="1"/>
        <w:rPr>
          <w:rFonts w:ascii="宋体" w:hAnsi="宋体" w:cs="宋体"/>
          <w:color w:val="auto"/>
          <w:sz w:val="22"/>
          <w:highlight w:val="none"/>
        </w:rPr>
      </w:pPr>
      <w:r>
        <w:rPr>
          <w:rFonts w:hint="eastAsia" w:ascii="宋体" w:hAnsi="宋体" w:cs="宋体"/>
          <w:color w:val="auto"/>
          <w:sz w:val="22"/>
          <w:highlight w:val="none"/>
          <w:lang w:val="zh-CN"/>
        </w:rPr>
        <w:t>1.2</w:t>
      </w:r>
      <w:r>
        <w:rPr>
          <w:rFonts w:hint="eastAsia" w:ascii="宋体" w:hAnsi="宋体" w:cs="宋体"/>
          <w:color w:val="auto"/>
          <w:sz w:val="22"/>
          <w:highlight w:val="none"/>
        </w:rPr>
        <w:t xml:space="preserve"> 竞争性磋商文件约束力</w:t>
      </w:r>
    </w:p>
    <w:p w14:paraId="4F8172DF">
      <w:pPr>
        <w:tabs>
          <w:tab w:val="left" w:pos="1069"/>
          <w:tab w:val="left" w:pos="2352"/>
        </w:tabs>
        <w:autoSpaceDE w:val="0"/>
        <w:autoSpaceDN w:val="0"/>
        <w:adjustRightInd w:val="0"/>
        <w:spacing w:line="400" w:lineRule="atLeast"/>
        <w:ind w:firstLine="442" w:firstLineChars="200"/>
        <w:rPr>
          <w:rFonts w:ascii="宋体" w:hAnsi="宋体" w:cs="宋体"/>
          <w:b/>
          <w:color w:val="auto"/>
          <w:sz w:val="22"/>
          <w:highlight w:val="none"/>
          <w:u w:val="single"/>
          <w:lang w:val="zh-CN"/>
        </w:rPr>
      </w:pPr>
      <w:r>
        <w:rPr>
          <w:rFonts w:hint="eastAsia" w:ascii="宋体" w:hAnsi="宋体" w:cs="宋体"/>
          <w:b/>
          <w:color w:val="auto"/>
          <w:sz w:val="22"/>
          <w:highlight w:val="none"/>
          <w:u w:val="single"/>
          <w:lang w:val="zh-CN"/>
        </w:rPr>
        <w:t>供应商</w:t>
      </w:r>
      <w:r>
        <w:rPr>
          <w:rFonts w:hint="eastAsia" w:ascii="宋体" w:hAnsi="宋体" w:cs="宋体"/>
          <w:b/>
          <w:color w:val="auto"/>
          <w:sz w:val="22"/>
          <w:highlight w:val="none"/>
          <w:u w:val="single"/>
        </w:rPr>
        <w:t>一旦获取了本项目竞争性磋商文件，在质疑期内未提出质疑，并参加投标，即被认为接受了本竞争性磋商文件中所有条款和规定。</w:t>
      </w:r>
    </w:p>
    <w:p w14:paraId="43993DC6">
      <w:pPr>
        <w:tabs>
          <w:tab w:val="left" w:pos="1069"/>
          <w:tab w:val="left" w:pos="2352"/>
        </w:tabs>
        <w:autoSpaceDE w:val="0"/>
        <w:autoSpaceDN w:val="0"/>
        <w:adjustRightInd w:val="0"/>
        <w:spacing w:line="400" w:lineRule="atLeast"/>
        <w:ind w:firstLine="660" w:firstLineChars="300"/>
        <w:rPr>
          <w:rFonts w:ascii="宋体" w:hAnsi="宋体" w:cs="宋体"/>
          <w:color w:val="auto"/>
          <w:sz w:val="22"/>
          <w:highlight w:val="none"/>
          <w:lang w:val="zh-CN"/>
        </w:rPr>
      </w:pPr>
      <w:bookmarkStart w:id="37" w:name="_Toc9317_WPSOffice_Level3"/>
      <w:r>
        <w:rPr>
          <w:rFonts w:hint="eastAsia" w:ascii="宋体" w:hAnsi="宋体" w:cs="宋体"/>
          <w:color w:val="auto"/>
          <w:sz w:val="22"/>
          <w:highlight w:val="none"/>
          <w:lang w:val="zh-CN"/>
        </w:rPr>
        <w:t>2.竞争性磋商文件的澄清</w:t>
      </w:r>
      <w:bookmarkEnd w:id="37"/>
    </w:p>
    <w:p w14:paraId="7EB4AFEB">
      <w:pPr>
        <w:tabs>
          <w:tab w:val="left" w:pos="1069"/>
          <w:tab w:val="left" w:pos="2352"/>
        </w:tabs>
        <w:autoSpaceDE w:val="0"/>
        <w:autoSpaceDN w:val="0"/>
        <w:adjustRightInd w:val="0"/>
        <w:spacing w:line="400" w:lineRule="atLeast"/>
        <w:ind w:firstLine="440" w:firstLineChars="200"/>
        <w:rPr>
          <w:rFonts w:ascii="宋体" w:hAnsi="宋体" w:cs="宋体"/>
          <w:color w:val="auto"/>
          <w:sz w:val="22"/>
          <w:highlight w:val="none"/>
          <w:lang w:val="zh-CN"/>
        </w:rPr>
      </w:pPr>
      <w:r>
        <w:rPr>
          <w:rFonts w:hint="eastAsia" w:ascii="宋体" w:hAnsi="宋体" w:cs="宋体"/>
          <w:color w:val="auto"/>
          <w:sz w:val="22"/>
          <w:highlight w:val="none"/>
          <w:lang w:val="zh-CN"/>
        </w:rPr>
        <w:t>供应商对竞争性磋商文件如有疑点要求澄清，或认为有必要与采购人进行技术交流，可用书面形式（包括信函、传真，下同）通知采购机构，但通知应在竞争性磋商文件规定的质疑期前使采购人或其代理机构收到，采购人或其代理机构将用书面形式予以答复。如有必要，可将不说明来源的答复发给各有关供应商或并将此答复通知放至相关网站公示。逾期的质疑不予接受。</w:t>
      </w:r>
    </w:p>
    <w:p w14:paraId="330BB107">
      <w:pPr>
        <w:tabs>
          <w:tab w:val="left" w:pos="1069"/>
          <w:tab w:val="left" w:pos="2352"/>
        </w:tabs>
        <w:autoSpaceDE w:val="0"/>
        <w:autoSpaceDN w:val="0"/>
        <w:adjustRightInd w:val="0"/>
        <w:spacing w:line="400" w:lineRule="atLeast"/>
        <w:ind w:firstLine="440" w:firstLineChars="200"/>
        <w:rPr>
          <w:rFonts w:ascii="宋体" w:hAnsi="宋体" w:cs="宋体"/>
          <w:color w:val="auto"/>
          <w:sz w:val="22"/>
          <w:highlight w:val="none"/>
          <w:lang w:val="zh-CN"/>
        </w:rPr>
      </w:pPr>
      <w:bookmarkStart w:id="38" w:name="_Toc6226_WPSOffice_Level3"/>
      <w:r>
        <w:rPr>
          <w:rFonts w:hint="eastAsia" w:ascii="宋体" w:hAnsi="宋体" w:cs="宋体"/>
          <w:color w:val="auto"/>
          <w:sz w:val="22"/>
          <w:highlight w:val="none"/>
          <w:lang w:val="zh-CN"/>
        </w:rPr>
        <w:t>3.竞争性磋商文件的修改</w:t>
      </w:r>
      <w:bookmarkEnd w:id="38"/>
    </w:p>
    <w:p w14:paraId="1516EA79">
      <w:pPr>
        <w:tabs>
          <w:tab w:val="left" w:pos="1069"/>
          <w:tab w:val="left" w:pos="2352"/>
        </w:tabs>
        <w:autoSpaceDE w:val="0"/>
        <w:autoSpaceDN w:val="0"/>
        <w:adjustRightInd w:val="0"/>
        <w:spacing w:line="400" w:lineRule="atLeast"/>
        <w:ind w:firstLine="440" w:firstLineChars="200"/>
        <w:rPr>
          <w:rFonts w:ascii="宋体" w:hAnsi="宋体" w:cs="宋体"/>
          <w:color w:val="auto"/>
          <w:sz w:val="22"/>
          <w:highlight w:val="none"/>
          <w:lang w:val="zh-CN"/>
        </w:rPr>
      </w:pPr>
      <w:r>
        <w:rPr>
          <w:rFonts w:hint="eastAsia" w:ascii="宋体" w:hAnsi="宋体" w:cs="宋体"/>
          <w:color w:val="auto"/>
          <w:sz w:val="22"/>
          <w:highlight w:val="none"/>
          <w:lang w:val="zh-CN"/>
        </w:rPr>
        <w:t>3.1</w:t>
      </w:r>
      <w:r>
        <w:rPr>
          <w:rFonts w:hint="eastAsia" w:ascii="宋体" w:hAnsi="宋体" w:cs="宋体"/>
          <w:color w:val="auto"/>
          <w:sz w:val="22"/>
          <w:highlight w:val="none"/>
        </w:rPr>
        <w:t xml:space="preserve"> </w:t>
      </w:r>
      <w:r>
        <w:rPr>
          <w:rFonts w:hint="eastAsia" w:ascii="宋体" w:hAnsi="宋体" w:cs="宋体"/>
          <w:color w:val="auto"/>
          <w:sz w:val="22"/>
          <w:highlight w:val="none"/>
          <w:lang w:val="zh-CN"/>
        </w:rPr>
        <w:t>在投标截止时间前，采购人或采购机构有权修改竞争性磋商文件，并通知供应商。补充文件作为竞争性磋商文件的补充和组成部分，对所有供应商均有约束力。</w:t>
      </w:r>
    </w:p>
    <w:p w14:paraId="2727AFA1">
      <w:pPr>
        <w:tabs>
          <w:tab w:val="left" w:pos="1069"/>
          <w:tab w:val="left" w:pos="2352"/>
        </w:tabs>
        <w:autoSpaceDE w:val="0"/>
        <w:autoSpaceDN w:val="0"/>
        <w:adjustRightInd w:val="0"/>
        <w:spacing w:line="400" w:lineRule="atLeast"/>
        <w:ind w:firstLine="440" w:firstLineChars="200"/>
        <w:rPr>
          <w:rFonts w:ascii="宋体" w:hAnsi="宋体" w:cs="宋体"/>
          <w:b/>
          <w:color w:val="auto"/>
          <w:sz w:val="22"/>
          <w:highlight w:val="none"/>
          <w:lang w:val="zh-CN"/>
        </w:rPr>
      </w:pPr>
      <w:r>
        <w:rPr>
          <w:rFonts w:hint="eastAsia" w:ascii="宋体" w:hAnsi="宋体" w:cs="宋体"/>
          <w:color w:val="auto"/>
          <w:sz w:val="22"/>
          <w:highlight w:val="none"/>
          <w:lang w:val="zh-CN"/>
        </w:rPr>
        <w:t>3.2</w:t>
      </w:r>
      <w:r>
        <w:rPr>
          <w:rFonts w:hint="eastAsia" w:ascii="宋体" w:hAnsi="宋体" w:cs="宋体"/>
          <w:color w:val="auto"/>
          <w:sz w:val="22"/>
          <w:highlight w:val="none"/>
        </w:rPr>
        <w:t xml:space="preserve"> </w:t>
      </w:r>
      <w:r>
        <w:rPr>
          <w:rFonts w:hint="eastAsia" w:ascii="宋体" w:hAnsi="宋体" w:cs="宋体"/>
          <w:color w:val="auto"/>
          <w:sz w:val="22"/>
          <w:highlight w:val="none"/>
          <w:lang w:val="zh-CN"/>
        </w:rPr>
        <w:t>为使供应商有足够的时间按竞争性磋商文件要求修正投标（响应）文件，采购人按相关规定推迟投标截止时间和开标时间，并将此变更通知放至相关网站公示。</w:t>
      </w:r>
    </w:p>
    <w:p w14:paraId="6181BC26">
      <w:pPr>
        <w:tabs>
          <w:tab w:val="left" w:pos="1069"/>
          <w:tab w:val="left" w:pos="2352"/>
        </w:tabs>
        <w:autoSpaceDE w:val="0"/>
        <w:autoSpaceDN w:val="0"/>
        <w:adjustRightInd w:val="0"/>
        <w:spacing w:line="400" w:lineRule="atLeast"/>
        <w:ind w:firstLine="442" w:firstLineChars="200"/>
        <w:rPr>
          <w:rFonts w:ascii="宋体" w:hAnsi="宋体" w:cs="宋体"/>
          <w:b/>
          <w:color w:val="auto"/>
          <w:sz w:val="22"/>
          <w:highlight w:val="none"/>
          <w:lang w:val="zh-CN"/>
        </w:rPr>
      </w:pPr>
      <w:bookmarkStart w:id="39" w:name="_Toc4378_WPSOffice_Level2"/>
      <w:r>
        <w:rPr>
          <w:rFonts w:hint="eastAsia" w:ascii="宋体" w:hAnsi="宋体" w:cs="宋体"/>
          <w:b/>
          <w:color w:val="auto"/>
          <w:sz w:val="22"/>
          <w:highlight w:val="none"/>
        </w:rPr>
        <w:t>三</w:t>
      </w:r>
      <w:r>
        <w:rPr>
          <w:rFonts w:hint="eastAsia" w:ascii="宋体" w:hAnsi="宋体" w:cs="宋体"/>
          <w:b/>
          <w:color w:val="auto"/>
          <w:sz w:val="22"/>
          <w:highlight w:val="none"/>
          <w:lang w:val="zh-CN"/>
        </w:rPr>
        <w:t>、</w:t>
      </w:r>
      <w:bookmarkEnd w:id="39"/>
      <w:r>
        <w:rPr>
          <w:rFonts w:hint="eastAsia" w:ascii="宋体" w:hAnsi="宋体" w:cs="宋体"/>
          <w:b/>
          <w:color w:val="auto"/>
          <w:sz w:val="22"/>
          <w:highlight w:val="none"/>
          <w:lang w:val="zh-CN"/>
        </w:rPr>
        <w:t>投标（响应）文件</w:t>
      </w:r>
    </w:p>
    <w:p w14:paraId="07C7E4A3">
      <w:pPr>
        <w:tabs>
          <w:tab w:val="left" w:pos="1069"/>
          <w:tab w:val="left" w:pos="2352"/>
        </w:tabs>
        <w:autoSpaceDE w:val="0"/>
        <w:autoSpaceDN w:val="0"/>
        <w:adjustRightInd w:val="0"/>
        <w:spacing w:line="400" w:lineRule="atLeast"/>
        <w:ind w:firstLine="440" w:firstLineChars="200"/>
        <w:rPr>
          <w:rFonts w:ascii="宋体" w:hAnsi="宋体" w:cs="宋体"/>
          <w:color w:val="auto"/>
          <w:sz w:val="22"/>
          <w:highlight w:val="none"/>
          <w:lang w:val="zh-CN"/>
        </w:rPr>
      </w:pPr>
      <w:r>
        <w:rPr>
          <w:rFonts w:hint="eastAsia" w:ascii="宋体" w:hAnsi="宋体" w:cs="宋体"/>
          <w:color w:val="auto"/>
          <w:sz w:val="22"/>
          <w:highlight w:val="none"/>
          <w:lang w:val="zh-CN"/>
        </w:rPr>
        <w:t>1.投标（响应）文件</w:t>
      </w:r>
    </w:p>
    <w:p w14:paraId="49775AC3">
      <w:pPr>
        <w:tabs>
          <w:tab w:val="left" w:pos="1069"/>
          <w:tab w:val="left" w:pos="2352"/>
        </w:tabs>
        <w:autoSpaceDE w:val="0"/>
        <w:autoSpaceDN w:val="0"/>
        <w:adjustRightInd w:val="0"/>
        <w:spacing w:line="400" w:lineRule="atLeast"/>
        <w:ind w:firstLine="440" w:firstLineChars="200"/>
        <w:textAlignment w:val="bottom"/>
        <w:rPr>
          <w:rFonts w:ascii="宋体" w:hAnsi="宋体" w:cs="宋体"/>
          <w:color w:val="auto"/>
          <w:sz w:val="22"/>
          <w:highlight w:val="none"/>
        </w:rPr>
      </w:pPr>
      <w:r>
        <w:rPr>
          <w:rFonts w:hint="eastAsia" w:ascii="宋体" w:hAnsi="宋体" w:cs="宋体"/>
          <w:color w:val="auto"/>
          <w:sz w:val="22"/>
          <w:highlight w:val="none"/>
          <w:lang w:val="zh-CN"/>
        </w:rPr>
        <w:t>1.1</w:t>
      </w:r>
      <w:r>
        <w:rPr>
          <w:rFonts w:hint="eastAsia" w:ascii="宋体" w:hAnsi="宋体" w:cs="宋体"/>
          <w:color w:val="auto"/>
          <w:sz w:val="22"/>
          <w:highlight w:val="none"/>
        </w:rPr>
        <w:t xml:space="preserve"> 供应商应仔细阅读竞争性磋商文件中的所有内容，按照竞争性磋商文件要求，详细编制投标（响应）文件。并对竞争性磋商文件的要求做出实质上响应。实质上响应的报价应该是与竞争性磋商文件要求没有重大偏离的投标（响应）文件。未实质上响应的投标（响应）文件将被拒绝，但允许供应商在基本满足采购要求的前提下出现的微小差异。</w:t>
      </w:r>
    </w:p>
    <w:p w14:paraId="7C9F1B2A">
      <w:pPr>
        <w:tabs>
          <w:tab w:val="left" w:pos="1069"/>
          <w:tab w:val="left" w:pos="2352"/>
        </w:tabs>
        <w:autoSpaceDE w:val="0"/>
        <w:autoSpaceDN w:val="0"/>
        <w:adjustRightInd w:val="0"/>
        <w:spacing w:line="400" w:lineRule="atLeast"/>
        <w:ind w:firstLine="440" w:firstLineChars="200"/>
        <w:textAlignment w:val="bottom"/>
        <w:rPr>
          <w:rFonts w:ascii="宋体" w:hAnsi="宋体" w:cs="宋体"/>
          <w:color w:val="auto"/>
          <w:sz w:val="22"/>
          <w:highlight w:val="none"/>
        </w:rPr>
      </w:pPr>
      <w:r>
        <w:rPr>
          <w:rFonts w:hint="eastAsia" w:ascii="宋体" w:hAnsi="宋体" w:cs="宋体"/>
          <w:color w:val="auto"/>
          <w:sz w:val="22"/>
          <w:highlight w:val="none"/>
          <w:lang w:val="zh-CN"/>
        </w:rPr>
        <w:t>1.2</w:t>
      </w:r>
      <w:r>
        <w:rPr>
          <w:rFonts w:hint="eastAsia" w:ascii="宋体" w:hAnsi="宋体" w:cs="宋体"/>
          <w:color w:val="auto"/>
          <w:sz w:val="22"/>
          <w:highlight w:val="none"/>
        </w:rPr>
        <w:t xml:space="preserve"> 供应商必须按竞争性磋商文件的要求提供相关技术参数、资料，包括采用的计量单位，并保证投标（响应）文件的正确性和真实性。投标（响应）文件全部内容应保持一致，否则可能导致不利于其投标的评定甚至被拒绝。技术和商务如有偏离均应填写偏离表。</w:t>
      </w:r>
    </w:p>
    <w:p w14:paraId="4B23D444">
      <w:pPr>
        <w:tabs>
          <w:tab w:val="left" w:pos="1069"/>
          <w:tab w:val="left" w:pos="2352"/>
        </w:tabs>
        <w:autoSpaceDE w:val="0"/>
        <w:autoSpaceDN w:val="0"/>
        <w:adjustRightInd w:val="0"/>
        <w:spacing w:line="400" w:lineRule="atLeast"/>
        <w:ind w:firstLine="440" w:firstLineChars="200"/>
        <w:rPr>
          <w:rFonts w:ascii="宋体" w:hAnsi="宋体" w:cs="宋体"/>
          <w:color w:val="auto"/>
          <w:sz w:val="22"/>
          <w:highlight w:val="none"/>
          <w:lang w:val="zh-CN"/>
        </w:rPr>
      </w:pPr>
      <w:r>
        <w:rPr>
          <w:rFonts w:hint="eastAsia" w:ascii="宋体" w:hAnsi="宋体" w:cs="宋体"/>
          <w:color w:val="auto"/>
          <w:sz w:val="22"/>
          <w:highlight w:val="none"/>
          <w:lang w:val="zh-CN"/>
        </w:rPr>
        <w:t>1.3</w:t>
      </w:r>
      <w:r>
        <w:rPr>
          <w:rFonts w:hint="eastAsia" w:ascii="宋体" w:hAnsi="宋体" w:cs="宋体"/>
          <w:color w:val="auto"/>
          <w:sz w:val="22"/>
          <w:highlight w:val="none"/>
        </w:rPr>
        <w:t xml:space="preserve"> </w:t>
      </w:r>
      <w:r>
        <w:rPr>
          <w:rFonts w:hint="eastAsia" w:ascii="宋体" w:hAnsi="宋体" w:cs="宋体"/>
          <w:color w:val="auto"/>
          <w:sz w:val="22"/>
          <w:highlight w:val="none"/>
          <w:lang w:val="zh-CN"/>
        </w:rPr>
        <w:t>供应商应仔细阅读竞争性磋商文件中的所有内容，按照竞争性磋商文件要求，详细编制投标（响应）文件，所有文件资料必须是针对本次投标。不按竞争性磋商文件的要求提供的投标（响应）文件可能导致被拒绝。</w:t>
      </w:r>
    </w:p>
    <w:p w14:paraId="319E7EA5">
      <w:pPr>
        <w:tabs>
          <w:tab w:val="left" w:pos="1069"/>
          <w:tab w:val="left" w:pos="2352"/>
        </w:tabs>
        <w:autoSpaceDE w:val="0"/>
        <w:autoSpaceDN w:val="0"/>
        <w:adjustRightInd w:val="0"/>
        <w:snapToGrid w:val="0"/>
        <w:spacing w:line="400" w:lineRule="atLeast"/>
        <w:ind w:firstLine="440" w:firstLineChars="200"/>
        <w:rPr>
          <w:rFonts w:ascii="宋体" w:hAnsi="宋体" w:cs="宋体"/>
          <w:color w:val="auto"/>
          <w:sz w:val="22"/>
          <w:highlight w:val="none"/>
          <w:lang w:val="zh-CN"/>
        </w:rPr>
      </w:pPr>
      <w:r>
        <w:rPr>
          <w:rFonts w:hint="eastAsia" w:ascii="宋体" w:hAnsi="宋体" w:cs="宋体"/>
          <w:color w:val="auto"/>
          <w:sz w:val="22"/>
          <w:highlight w:val="none"/>
          <w:lang w:val="zh-CN"/>
        </w:rPr>
        <w:t>2.投标（响应）文件的组成</w:t>
      </w:r>
    </w:p>
    <w:p w14:paraId="2AF77A12">
      <w:pPr>
        <w:tabs>
          <w:tab w:val="left" w:pos="1069"/>
          <w:tab w:val="left" w:pos="2352"/>
        </w:tabs>
        <w:autoSpaceDE w:val="0"/>
        <w:autoSpaceDN w:val="0"/>
        <w:adjustRightInd w:val="0"/>
        <w:snapToGrid w:val="0"/>
        <w:spacing w:line="400" w:lineRule="atLeast"/>
        <w:ind w:firstLine="442" w:firstLineChars="200"/>
        <w:rPr>
          <w:rFonts w:ascii="宋体" w:hAnsi="宋体" w:cs="宋体"/>
          <w:b/>
          <w:bCs/>
          <w:color w:val="auto"/>
          <w:sz w:val="22"/>
          <w:highlight w:val="none"/>
          <w:u w:val="single"/>
          <w:lang w:val="zh-CN"/>
        </w:rPr>
      </w:pPr>
      <w:r>
        <w:rPr>
          <w:rFonts w:hint="eastAsia" w:ascii="宋体" w:hAnsi="宋体" w:cs="宋体"/>
          <w:b/>
          <w:bCs/>
          <w:color w:val="auto"/>
          <w:sz w:val="22"/>
          <w:highlight w:val="none"/>
          <w:u w:val="single"/>
        </w:rPr>
        <w:t>投标文件由《资格文件》《商务技术文件》《报价文件》三部分组成。</w:t>
      </w:r>
    </w:p>
    <w:p w14:paraId="32EC5C91">
      <w:pPr>
        <w:tabs>
          <w:tab w:val="left" w:pos="1069"/>
          <w:tab w:val="left" w:pos="2352"/>
        </w:tabs>
        <w:autoSpaceDE w:val="0"/>
        <w:autoSpaceDN w:val="0"/>
        <w:adjustRightInd w:val="0"/>
        <w:snapToGrid w:val="0"/>
        <w:spacing w:line="400" w:lineRule="atLeast"/>
        <w:ind w:firstLine="440" w:firstLineChars="200"/>
        <w:rPr>
          <w:rFonts w:ascii="宋体" w:hAnsi="宋体" w:cs="宋体"/>
          <w:b/>
          <w:color w:val="auto"/>
          <w:sz w:val="22"/>
          <w:highlight w:val="none"/>
          <w:lang w:val="zh-CN"/>
        </w:rPr>
      </w:pPr>
      <w:r>
        <w:rPr>
          <w:rFonts w:hint="eastAsia" w:ascii="宋体" w:hAnsi="宋体" w:cs="宋体"/>
          <w:color w:val="auto"/>
          <w:sz w:val="22"/>
          <w:highlight w:val="none"/>
          <w:lang w:val="zh-CN"/>
        </w:rPr>
        <w:t>2.1</w:t>
      </w:r>
      <w:r>
        <w:rPr>
          <w:rFonts w:hint="eastAsia" w:ascii="宋体" w:hAnsi="宋体" w:cs="宋体"/>
          <w:color w:val="auto"/>
          <w:sz w:val="22"/>
          <w:highlight w:val="none"/>
        </w:rPr>
        <w:t xml:space="preserve"> </w:t>
      </w:r>
      <w:r>
        <w:rPr>
          <w:rFonts w:hint="eastAsia" w:ascii="宋体" w:hAnsi="宋体" w:cs="宋体"/>
          <w:b/>
          <w:bCs/>
          <w:color w:val="auto"/>
          <w:sz w:val="22"/>
          <w:highlight w:val="none"/>
        </w:rPr>
        <w:t>《报价文件》</w:t>
      </w:r>
      <w:r>
        <w:rPr>
          <w:rFonts w:hint="eastAsia" w:ascii="宋体" w:hAnsi="宋体" w:cs="宋体"/>
          <w:b/>
          <w:bCs/>
          <w:color w:val="auto"/>
          <w:sz w:val="22"/>
          <w:highlight w:val="none"/>
          <w:lang w:val="zh-CN"/>
        </w:rPr>
        <w:t>组成</w:t>
      </w:r>
    </w:p>
    <w:tbl>
      <w:tblPr>
        <w:tblStyle w:val="31"/>
        <w:tblW w:w="9520" w:type="dxa"/>
        <w:tblInd w:w="22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4"/>
        <w:gridCol w:w="8736"/>
      </w:tblGrid>
      <w:tr w14:paraId="12CBB2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784" w:type="dxa"/>
          </w:tcPr>
          <w:p w14:paraId="1849426B">
            <w:pPr>
              <w:tabs>
                <w:tab w:val="left" w:pos="1069"/>
                <w:tab w:val="left" w:pos="2352"/>
              </w:tabs>
              <w:autoSpaceDE w:val="0"/>
              <w:autoSpaceDN w:val="0"/>
              <w:adjustRightInd w:val="0"/>
              <w:snapToGrid w:val="0"/>
              <w:spacing w:line="430" w:lineRule="atLeast"/>
              <w:rPr>
                <w:rFonts w:ascii="宋体" w:hAnsi="宋体" w:cs="宋体"/>
                <w:color w:val="auto"/>
                <w:sz w:val="22"/>
                <w:highlight w:val="none"/>
                <w:lang w:val="zh-CN"/>
              </w:rPr>
            </w:pPr>
            <w:bookmarkStart w:id="40" w:name="_Toc132122113"/>
            <w:bookmarkStart w:id="41" w:name="_Toc132122410"/>
            <w:r>
              <w:rPr>
                <w:rFonts w:hint="eastAsia" w:ascii="宋体" w:hAnsi="宋体" w:cs="宋体"/>
                <w:color w:val="auto"/>
                <w:sz w:val="22"/>
                <w:highlight w:val="none"/>
                <w:lang w:val="zh-CN"/>
              </w:rPr>
              <w:t>序号</w:t>
            </w:r>
          </w:p>
        </w:tc>
        <w:tc>
          <w:tcPr>
            <w:tcW w:w="8736" w:type="dxa"/>
          </w:tcPr>
          <w:p w14:paraId="14D4C48C">
            <w:pPr>
              <w:tabs>
                <w:tab w:val="left" w:pos="1069"/>
                <w:tab w:val="left" w:pos="2352"/>
              </w:tabs>
              <w:autoSpaceDE w:val="0"/>
              <w:autoSpaceDN w:val="0"/>
              <w:adjustRightInd w:val="0"/>
              <w:snapToGrid w:val="0"/>
              <w:spacing w:line="430" w:lineRule="atLeast"/>
              <w:rPr>
                <w:rFonts w:ascii="宋体" w:hAnsi="宋体" w:cs="宋体"/>
                <w:color w:val="auto"/>
                <w:sz w:val="22"/>
                <w:highlight w:val="none"/>
                <w:lang w:val="zh-CN"/>
              </w:rPr>
            </w:pPr>
            <w:r>
              <w:rPr>
                <w:rFonts w:hint="eastAsia" w:ascii="宋体" w:hAnsi="宋体" w:cs="宋体"/>
                <w:color w:val="auto"/>
                <w:sz w:val="22"/>
                <w:highlight w:val="none"/>
                <w:lang w:val="zh-CN"/>
              </w:rPr>
              <w:t>内容（▲序号</w:t>
            </w:r>
            <w:r>
              <w:rPr>
                <w:rFonts w:hint="eastAsia" w:ascii="宋体" w:hAnsi="宋体" w:cs="宋体"/>
                <w:color w:val="auto"/>
                <w:sz w:val="22"/>
                <w:highlight w:val="none"/>
                <w:lang w:val="en-US" w:eastAsia="zh-CN"/>
              </w:rPr>
              <w:t>1</w:t>
            </w:r>
            <w:r>
              <w:rPr>
                <w:rFonts w:hint="eastAsia" w:ascii="宋体" w:hAnsi="宋体" w:cs="宋体"/>
                <w:color w:val="auto"/>
                <w:sz w:val="22"/>
                <w:highlight w:val="none"/>
                <w:lang w:val="zh-CN"/>
              </w:rPr>
              <w:t>项供应商必须提供，否则不能通过符合性审查的，责任自负）</w:t>
            </w:r>
          </w:p>
        </w:tc>
      </w:tr>
      <w:tr w14:paraId="66F8D5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4" w:type="dxa"/>
          </w:tcPr>
          <w:p w14:paraId="550C2B2C">
            <w:pPr>
              <w:numPr>
                <w:ilvl w:val="0"/>
                <w:numId w:val="2"/>
              </w:numPr>
              <w:tabs>
                <w:tab w:val="left" w:pos="1069"/>
                <w:tab w:val="left" w:pos="2352"/>
              </w:tabs>
              <w:autoSpaceDE w:val="0"/>
              <w:autoSpaceDN w:val="0"/>
              <w:adjustRightInd w:val="0"/>
              <w:snapToGrid w:val="0"/>
              <w:spacing w:line="430" w:lineRule="atLeast"/>
              <w:rPr>
                <w:rFonts w:ascii="宋体" w:hAnsi="宋体" w:cs="宋体"/>
                <w:color w:val="auto"/>
                <w:sz w:val="22"/>
                <w:highlight w:val="none"/>
                <w:lang w:val="zh-CN"/>
              </w:rPr>
            </w:pPr>
          </w:p>
        </w:tc>
        <w:tc>
          <w:tcPr>
            <w:tcW w:w="8736" w:type="dxa"/>
          </w:tcPr>
          <w:p w14:paraId="6A68279F">
            <w:pPr>
              <w:tabs>
                <w:tab w:val="left" w:pos="1069"/>
                <w:tab w:val="left" w:pos="2352"/>
              </w:tabs>
              <w:autoSpaceDE w:val="0"/>
              <w:autoSpaceDN w:val="0"/>
              <w:adjustRightInd w:val="0"/>
              <w:spacing w:line="430" w:lineRule="atLeast"/>
              <w:textAlignment w:val="bottom"/>
              <w:rPr>
                <w:rFonts w:ascii="宋体" w:hAnsi="宋体" w:cs="宋体"/>
                <w:color w:val="auto"/>
                <w:sz w:val="22"/>
                <w:highlight w:val="none"/>
              </w:rPr>
            </w:pPr>
            <w:r>
              <w:rPr>
                <w:rFonts w:hint="eastAsia" w:ascii="宋体" w:hAnsi="宋体" w:cs="宋体"/>
                <w:color w:val="auto"/>
                <w:sz w:val="22"/>
                <w:highlight w:val="none"/>
              </w:rPr>
              <w:t>开标（报价）一览表（首次报价）（附件一）</w:t>
            </w:r>
          </w:p>
        </w:tc>
      </w:tr>
      <w:bookmarkEnd w:id="40"/>
      <w:bookmarkEnd w:id="41"/>
    </w:tbl>
    <w:p w14:paraId="40B36E77">
      <w:pPr>
        <w:tabs>
          <w:tab w:val="left" w:pos="1069"/>
          <w:tab w:val="left" w:pos="2352"/>
        </w:tabs>
        <w:autoSpaceDE w:val="0"/>
        <w:autoSpaceDN w:val="0"/>
        <w:adjustRightInd w:val="0"/>
        <w:snapToGrid w:val="0"/>
        <w:spacing w:line="430" w:lineRule="atLeast"/>
        <w:ind w:firstLine="440" w:firstLineChars="200"/>
        <w:textAlignment w:val="bottom"/>
        <w:rPr>
          <w:rFonts w:ascii="宋体" w:hAnsi="宋体" w:cs="宋体"/>
          <w:color w:val="auto"/>
          <w:sz w:val="22"/>
          <w:highlight w:val="none"/>
        </w:rPr>
      </w:pPr>
      <w:r>
        <w:rPr>
          <w:rFonts w:hint="eastAsia" w:ascii="宋体" w:hAnsi="宋体" w:cs="宋体"/>
          <w:color w:val="auto"/>
          <w:sz w:val="22"/>
          <w:highlight w:val="none"/>
        </w:rPr>
        <w:t xml:space="preserve">2.2 </w:t>
      </w:r>
      <w:r>
        <w:rPr>
          <w:rFonts w:hint="eastAsia" w:ascii="宋体" w:hAnsi="宋体" w:cs="宋体"/>
          <w:b/>
          <w:bCs/>
          <w:color w:val="auto"/>
          <w:sz w:val="22"/>
          <w:highlight w:val="none"/>
        </w:rPr>
        <w:t>《资格文件》组成</w:t>
      </w:r>
    </w:p>
    <w:tbl>
      <w:tblPr>
        <w:tblStyle w:val="31"/>
        <w:tblW w:w="9520" w:type="dxa"/>
        <w:tblInd w:w="22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3"/>
        <w:gridCol w:w="8747"/>
      </w:tblGrid>
      <w:tr w14:paraId="25439E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3" w:type="dxa"/>
          </w:tcPr>
          <w:p w14:paraId="45401679">
            <w:pPr>
              <w:tabs>
                <w:tab w:val="left" w:pos="1069"/>
                <w:tab w:val="left" w:pos="2352"/>
              </w:tabs>
              <w:autoSpaceDE w:val="0"/>
              <w:autoSpaceDN w:val="0"/>
              <w:adjustRightInd w:val="0"/>
              <w:snapToGrid w:val="0"/>
              <w:spacing w:line="430" w:lineRule="atLeast"/>
              <w:rPr>
                <w:rFonts w:ascii="宋体" w:hAnsi="宋体" w:cs="宋体"/>
                <w:color w:val="auto"/>
                <w:sz w:val="22"/>
                <w:highlight w:val="none"/>
                <w:lang w:val="zh-CN"/>
              </w:rPr>
            </w:pPr>
            <w:r>
              <w:rPr>
                <w:rFonts w:hint="eastAsia" w:ascii="宋体" w:hAnsi="宋体" w:cs="宋体"/>
                <w:color w:val="auto"/>
                <w:sz w:val="22"/>
                <w:highlight w:val="none"/>
                <w:lang w:val="zh-CN"/>
              </w:rPr>
              <w:t>序号</w:t>
            </w:r>
          </w:p>
        </w:tc>
        <w:tc>
          <w:tcPr>
            <w:tcW w:w="8747" w:type="dxa"/>
          </w:tcPr>
          <w:p w14:paraId="4DC3D3B8">
            <w:pPr>
              <w:tabs>
                <w:tab w:val="left" w:pos="1069"/>
                <w:tab w:val="left" w:pos="2352"/>
              </w:tabs>
              <w:autoSpaceDE w:val="0"/>
              <w:autoSpaceDN w:val="0"/>
              <w:adjustRightInd w:val="0"/>
              <w:snapToGrid w:val="0"/>
              <w:spacing w:line="430" w:lineRule="atLeast"/>
              <w:rPr>
                <w:rFonts w:ascii="宋体" w:hAnsi="宋体" w:cs="宋体"/>
                <w:color w:val="auto"/>
                <w:sz w:val="22"/>
                <w:highlight w:val="none"/>
                <w:lang w:val="zh-CN"/>
              </w:rPr>
            </w:pPr>
            <w:r>
              <w:rPr>
                <w:rFonts w:hint="eastAsia" w:ascii="宋体" w:hAnsi="宋体" w:cs="宋体"/>
                <w:color w:val="auto"/>
                <w:sz w:val="22"/>
                <w:highlight w:val="none"/>
                <w:lang w:val="zh-CN"/>
              </w:rPr>
              <w:t>内容（▲</w:t>
            </w:r>
            <w:r>
              <w:rPr>
                <w:rFonts w:hint="eastAsia" w:ascii="宋体" w:hAnsi="宋体" w:cs="宋体"/>
                <w:color w:val="auto"/>
                <w:sz w:val="22"/>
                <w:highlight w:val="none"/>
              </w:rPr>
              <w:t>下列项</w:t>
            </w:r>
            <w:r>
              <w:rPr>
                <w:rFonts w:hint="eastAsia" w:ascii="宋体" w:hAnsi="宋体" w:cs="宋体"/>
                <w:color w:val="auto"/>
                <w:sz w:val="22"/>
                <w:highlight w:val="none"/>
                <w:lang w:val="zh-CN"/>
              </w:rPr>
              <w:t>供应商必须提供，否则不能通过符合性审查的，责任自负）</w:t>
            </w:r>
          </w:p>
        </w:tc>
      </w:tr>
      <w:tr w14:paraId="16DF31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trPr>
        <w:tc>
          <w:tcPr>
            <w:tcW w:w="773" w:type="dxa"/>
          </w:tcPr>
          <w:p w14:paraId="54CF6FCB">
            <w:pPr>
              <w:numPr>
                <w:ilvl w:val="0"/>
                <w:numId w:val="3"/>
              </w:numPr>
              <w:tabs>
                <w:tab w:val="left" w:pos="1069"/>
                <w:tab w:val="left" w:pos="2352"/>
              </w:tabs>
              <w:autoSpaceDE w:val="0"/>
              <w:autoSpaceDN w:val="0"/>
              <w:adjustRightInd w:val="0"/>
              <w:snapToGrid w:val="0"/>
              <w:spacing w:line="430" w:lineRule="atLeast"/>
              <w:jc w:val="center"/>
              <w:rPr>
                <w:rFonts w:ascii="宋体" w:hAnsi="宋体" w:cs="宋体"/>
                <w:color w:val="auto"/>
                <w:sz w:val="22"/>
                <w:highlight w:val="none"/>
                <w:lang w:val="zh-CN"/>
              </w:rPr>
            </w:pPr>
          </w:p>
        </w:tc>
        <w:tc>
          <w:tcPr>
            <w:tcW w:w="8747" w:type="dxa"/>
          </w:tcPr>
          <w:p w14:paraId="214F8AE3">
            <w:pPr>
              <w:tabs>
                <w:tab w:val="left" w:pos="1069"/>
                <w:tab w:val="left" w:pos="2352"/>
              </w:tabs>
              <w:autoSpaceDE w:val="0"/>
              <w:autoSpaceDN w:val="0"/>
              <w:adjustRightInd w:val="0"/>
              <w:snapToGrid w:val="0"/>
              <w:spacing w:line="430" w:lineRule="atLeast"/>
              <w:rPr>
                <w:rFonts w:ascii="宋体" w:hAnsi="宋体" w:cs="宋体"/>
                <w:color w:val="auto"/>
                <w:sz w:val="22"/>
                <w:highlight w:val="none"/>
                <w:lang w:val="zh-CN"/>
              </w:rPr>
            </w:pPr>
            <w:r>
              <w:rPr>
                <w:rFonts w:hint="eastAsia" w:ascii="宋体" w:hAnsi="宋体" w:cs="宋体"/>
                <w:color w:val="auto"/>
                <w:sz w:val="22"/>
                <w:highlight w:val="none"/>
              </w:rPr>
              <w:t>供应商的营业执照、税务登记证（如为多证合一仅需提供营业执照）</w:t>
            </w:r>
            <w:r>
              <w:rPr>
                <w:rFonts w:hint="eastAsia" w:ascii="宋体" w:hAnsi="宋体" w:cs="宋体"/>
                <w:color w:val="auto"/>
                <w:sz w:val="22"/>
                <w:highlight w:val="none"/>
              </w:rPr>
              <w:br w:type="textWrapping"/>
            </w:r>
            <w:r>
              <w:rPr>
                <w:rFonts w:hint="eastAsia" w:ascii="宋体" w:hAnsi="宋体" w:eastAsia="宋体" w:cs="宋体"/>
                <w:b w:val="0"/>
                <w:bCs w:val="0"/>
                <w:color w:val="auto"/>
                <w:sz w:val="22"/>
                <w:szCs w:val="22"/>
                <w:highlight w:val="none"/>
                <w:lang w:val="en-US" w:eastAsia="zh-CN"/>
              </w:rPr>
              <w:t>注：供应商若为事业单位或社会团体的，提供事业单位登记证书或社会团体法人登记证书。</w:t>
            </w:r>
          </w:p>
        </w:tc>
      </w:tr>
      <w:tr w14:paraId="6E4183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3" w:type="dxa"/>
          </w:tcPr>
          <w:p w14:paraId="5F43C203">
            <w:pPr>
              <w:numPr>
                <w:ilvl w:val="0"/>
                <w:numId w:val="3"/>
              </w:numPr>
              <w:tabs>
                <w:tab w:val="left" w:pos="1069"/>
                <w:tab w:val="left" w:pos="2352"/>
              </w:tabs>
              <w:autoSpaceDE w:val="0"/>
              <w:autoSpaceDN w:val="0"/>
              <w:adjustRightInd w:val="0"/>
              <w:snapToGrid w:val="0"/>
              <w:spacing w:line="430" w:lineRule="atLeast"/>
              <w:jc w:val="center"/>
              <w:rPr>
                <w:rFonts w:ascii="宋体" w:hAnsi="宋体" w:cs="宋体"/>
                <w:color w:val="auto"/>
                <w:sz w:val="22"/>
                <w:highlight w:val="none"/>
                <w:lang w:val="zh-CN"/>
              </w:rPr>
            </w:pPr>
          </w:p>
        </w:tc>
        <w:tc>
          <w:tcPr>
            <w:tcW w:w="8747" w:type="dxa"/>
          </w:tcPr>
          <w:p w14:paraId="07539489">
            <w:pPr>
              <w:tabs>
                <w:tab w:val="left" w:pos="1069"/>
                <w:tab w:val="left" w:pos="2352"/>
              </w:tabs>
              <w:autoSpaceDE w:val="0"/>
              <w:autoSpaceDN w:val="0"/>
              <w:adjustRightInd w:val="0"/>
              <w:snapToGrid w:val="0"/>
              <w:spacing w:line="430" w:lineRule="atLeast"/>
              <w:rPr>
                <w:rFonts w:ascii="宋体" w:hAnsi="宋体" w:cs="宋体"/>
                <w:color w:val="auto"/>
                <w:sz w:val="22"/>
                <w:highlight w:val="none"/>
              </w:rPr>
            </w:pPr>
            <w:r>
              <w:rPr>
                <w:rStyle w:val="36"/>
                <w:rFonts w:hint="eastAsia" w:cs="宋体"/>
                <w:color w:val="auto"/>
                <w:sz w:val="22"/>
                <w:highlight w:val="none"/>
                <w:u w:val="none"/>
              </w:rPr>
              <w:t>符合参加政府采购活动应当具备的一般条件的承诺函（附件</w:t>
            </w:r>
            <w:r>
              <w:rPr>
                <w:rStyle w:val="36"/>
                <w:rFonts w:hint="eastAsia" w:cs="宋体"/>
                <w:color w:val="auto"/>
                <w:sz w:val="22"/>
                <w:highlight w:val="none"/>
                <w:u w:val="none"/>
                <w:lang w:val="en-US" w:eastAsia="zh-CN"/>
              </w:rPr>
              <w:t>二</w:t>
            </w:r>
            <w:r>
              <w:rPr>
                <w:rStyle w:val="36"/>
                <w:rFonts w:hint="eastAsia" w:cs="宋体"/>
                <w:color w:val="auto"/>
                <w:sz w:val="22"/>
                <w:highlight w:val="none"/>
                <w:u w:val="none"/>
              </w:rPr>
              <w:t>）</w:t>
            </w:r>
          </w:p>
        </w:tc>
      </w:tr>
      <w:tr w14:paraId="22CA43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73" w:type="dxa"/>
          </w:tcPr>
          <w:p w14:paraId="6C7A9177">
            <w:pPr>
              <w:numPr>
                <w:ilvl w:val="0"/>
                <w:numId w:val="3"/>
              </w:numPr>
              <w:tabs>
                <w:tab w:val="left" w:pos="1069"/>
                <w:tab w:val="left" w:pos="2352"/>
              </w:tabs>
              <w:autoSpaceDE w:val="0"/>
              <w:autoSpaceDN w:val="0"/>
              <w:adjustRightInd w:val="0"/>
              <w:snapToGrid w:val="0"/>
              <w:spacing w:line="430" w:lineRule="atLeast"/>
              <w:jc w:val="center"/>
              <w:rPr>
                <w:rFonts w:ascii="宋体" w:hAnsi="宋体" w:cs="宋体"/>
                <w:color w:val="auto"/>
                <w:sz w:val="22"/>
                <w:highlight w:val="none"/>
                <w:lang w:val="zh-CN"/>
              </w:rPr>
            </w:pPr>
          </w:p>
        </w:tc>
        <w:tc>
          <w:tcPr>
            <w:tcW w:w="8747" w:type="dxa"/>
            <w:vAlign w:val="center"/>
          </w:tcPr>
          <w:p w14:paraId="1FB7157C">
            <w:pPr>
              <w:tabs>
                <w:tab w:val="left" w:pos="1069"/>
                <w:tab w:val="left" w:pos="2352"/>
              </w:tabs>
              <w:autoSpaceDE w:val="0"/>
              <w:autoSpaceDN w:val="0"/>
              <w:adjustRightInd w:val="0"/>
              <w:spacing w:line="260" w:lineRule="exact"/>
              <w:textAlignment w:val="bottom"/>
              <w:rPr>
                <w:rFonts w:ascii="宋体" w:hAnsi="宋体" w:cs="宋体"/>
                <w:color w:val="auto"/>
                <w:sz w:val="22"/>
                <w:highlight w:val="none"/>
              </w:rPr>
            </w:pPr>
            <w:r>
              <w:rPr>
                <w:rFonts w:hint="eastAsia" w:ascii="宋体" w:hAnsi="宋体" w:cs="宋体"/>
                <w:color w:val="auto"/>
                <w:sz w:val="22"/>
                <w:highlight w:val="none"/>
              </w:rPr>
              <w:t>供应商“信用中国”(</w:t>
            </w:r>
            <w:r>
              <w:rPr>
                <w:color w:val="auto"/>
                <w:highlight w:val="none"/>
              </w:rPr>
              <w:fldChar w:fldCharType="begin"/>
            </w:r>
            <w:r>
              <w:rPr>
                <w:color w:val="auto"/>
                <w:highlight w:val="none"/>
              </w:rPr>
              <w:instrText xml:space="preserve"> HYPERLINK "http://www.creditchina.gov.cn" </w:instrText>
            </w:r>
            <w:r>
              <w:rPr>
                <w:color w:val="auto"/>
                <w:highlight w:val="none"/>
              </w:rPr>
              <w:fldChar w:fldCharType="separate"/>
            </w:r>
            <w:r>
              <w:rPr>
                <w:rFonts w:hint="eastAsia" w:ascii="宋体" w:hAnsi="宋体" w:cs="宋体"/>
                <w:color w:val="auto"/>
                <w:sz w:val="22"/>
                <w:highlight w:val="none"/>
              </w:rPr>
              <w:t>www.creditchina.gov.cn</w:t>
            </w:r>
            <w:r>
              <w:rPr>
                <w:rFonts w:hint="eastAsia" w:ascii="宋体" w:hAnsi="宋体" w:cs="宋体"/>
                <w:color w:val="auto"/>
                <w:sz w:val="22"/>
                <w:highlight w:val="none"/>
              </w:rPr>
              <w:fldChar w:fldCharType="end"/>
            </w:r>
            <w:r>
              <w:rPr>
                <w:rFonts w:hint="eastAsia" w:ascii="宋体" w:hAnsi="宋体" w:cs="宋体"/>
                <w:color w:val="auto"/>
                <w:sz w:val="22"/>
                <w:highlight w:val="none"/>
              </w:rPr>
              <w:t>)；“中国政府采购网”（http://www.ccgp.gov.cn/）信用记录网页截图（招标公告发布之日至投标截止时间前均可）</w:t>
            </w:r>
          </w:p>
        </w:tc>
      </w:tr>
      <w:tr w14:paraId="148FD5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73" w:type="dxa"/>
          </w:tcPr>
          <w:p w14:paraId="075EB255">
            <w:pPr>
              <w:numPr>
                <w:ilvl w:val="0"/>
                <w:numId w:val="3"/>
              </w:numPr>
              <w:tabs>
                <w:tab w:val="left" w:pos="1069"/>
                <w:tab w:val="left" w:pos="2352"/>
              </w:tabs>
              <w:autoSpaceDE w:val="0"/>
              <w:autoSpaceDN w:val="0"/>
              <w:adjustRightInd w:val="0"/>
              <w:snapToGrid w:val="0"/>
              <w:spacing w:line="430" w:lineRule="atLeast"/>
              <w:jc w:val="center"/>
              <w:rPr>
                <w:rFonts w:ascii="宋体" w:hAnsi="宋体" w:cs="宋体"/>
                <w:color w:val="auto"/>
                <w:sz w:val="22"/>
                <w:highlight w:val="none"/>
                <w:lang w:val="zh-CN"/>
              </w:rPr>
            </w:pPr>
          </w:p>
        </w:tc>
        <w:tc>
          <w:tcPr>
            <w:tcW w:w="8747" w:type="dxa"/>
            <w:vAlign w:val="center"/>
          </w:tcPr>
          <w:p w14:paraId="7C443870">
            <w:pPr>
              <w:autoSpaceDE w:val="0"/>
              <w:autoSpaceDN w:val="0"/>
              <w:adjustRightInd w:val="0"/>
              <w:spacing w:line="260" w:lineRule="exact"/>
              <w:textAlignment w:val="bottom"/>
              <w:rPr>
                <w:rFonts w:ascii="宋体" w:hAnsi="宋体" w:cs="Arial"/>
                <w:color w:val="auto"/>
                <w:sz w:val="22"/>
                <w:highlight w:val="none"/>
              </w:rPr>
            </w:pPr>
            <w:r>
              <w:rPr>
                <w:rFonts w:hint="eastAsia" w:ascii="宋体" w:hAnsi="宋体" w:cs="Arial"/>
                <w:color w:val="auto"/>
                <w:sz w:val="22"/>
                <w:highlight w:val="none"/>
              </w:rPr>
              <w:t>中小企业相关的证明材料：</w:t>
            </w:r>
          </w:p>
          <w:p w14:paraId="420D2E99">
            <w:pPr>
              <w:numPr>
                <w:ilvl w:val="0"/>
                <w:numId w:val="4"/>
              </w:numPr>
              <w:autoSpaceDE w:val="0"/>
              <w:autoSpaceDN w:val="0"/>
              <w:adjustRightInd w:val="0"/>
              <w:spacing w:line="260" w:lineRule="exact"/>
              <w:textAlignment w:val="bottom"/>
              <w:rPr>
                <w:rFonts w:ascii="宋体" w:hAnsi="宋体" w:cs="Arial"/>
                <w:color w:val="auto"/>
                <w:sz w:val="22"/>
                <w:highlight w:val="none"/>
              </w:rPr>
            </w:pPr>
            <w:r>
              <w:rPr>
                <w:rFonts w:hint="eastAsia" w:ascii="宋体" w:hAnsi="宋体" w:cs="Arial"/>
                <w:color w:val="auto"/>
                <w:sz w:val="22"/>
                <w:highlight w:val="none"/>
              </w:rPr>
              <w:t>中小企业</w:t>
            </w:r>
          </w:p>
          <w:p w14:paraId="36E38820">
            <w:pPr>
              <w:autoSpaceDE w:val="0"/>
              <w:autoSpaceDN w:val="0"/>
              <w:adjustRightInd w:val="0"/>
              <w:spacing w:line="260" w:lineRule="exact"/>
              <w:textAlignment w:val="bottom"/>
              <w:rPr>
                <w:rFonts w:ascii="宋体" w:hAnsi="宋体" w:cs="Arial"/>
                <w:color w:val="auto"/>
                <w:sz w:val="22"/>
                <w:highlight w:val="none"/>
              </w:rPr>
            </w:pPr>
            <w:r>
              <w:rPr>
                <w:rFonts w:hint="eastAsia" w:ascii="宋体" w:hAnsi="宋体" w:cs="Arial"/>
                <w:color w:val="auto"/>
                <w:sz w:val="22"/>
                <w:highlight w:val="none"/>
              </w:rPr>
              <w:t>中小企业声明函（原件，加盖供应商公章，格式见采购文件第四部分附件1）</w:t>
            </w:r>
          </w:p>
          <w:p w14:paraId="2DBF036A">
            <w:pPr>
              <w:autoSpaceDE w:val="0"/>
              <w:autoSpaceDN w:val="0"/>
              <w:adjustRightInd w:val="0"/>
              <w:spacing w:line="260" w:lineRule="exact"/>
              <w:textAlignment w:val="bottom"/>
              <w:rPr>
                <w:rFonts w:ascii="宋体" w:hAnsi="宋体" w:cs="Arial"/>
                <w:color w:val="auto"/>
                <w:sz w:val="22"/>
                <w:highlight w:val="none"/>
              </w:rPr>
            </w:pPr>
            <w:r>
              <w:rPr>
                <w:rFonts w:hint="eastAsia" w:ascii="宋体" w:hAnsi="宋体" w:cs="Arial"/>
                <w:color w:val="auto"/>
                <w:sz w:val="22"/>
                <w:highlight w:val="none"/>
              </w:rPr>
              <w:t>（2）监狱企业参加政府采购活动时，应当提供由省级以上监狱管理局、戒毒管理局(含新疆生产建设兵团)出具的属于监狱企业的证明文件（原件或复印件加盖公章）。在政府采购活动中，监狱企业视同小型、微型企业。</w:t>
            </w:r>
          </w:p>
          <w:p w14:paraId="7DBD69CB">
            <w:pPr>
              <w:tabs>
                <w:tab w:val="left" w:pos="1069"/>
                <w:tab w:val="left" w:pos="2352"/>
              </w:tabs>
              <w:autoSpaceDE w:val="0"/>
              <w:autoSpaceDN w:val="0"/>
              <w:adjustRightInd w:val="0"/>
              <w:spacing w:line="260" w:lineRule="exact"/>
              <w:textAlignment w:val="bottom"/>
              <w:rPr>
                <w:rFonts w:hint="eastAsia" w:ascii="宋体" w:hAnsi="宋体" w:cs="宋体"/>
                <w:color w:val="auto"/>
                <w:sz w:val="22"/>
                <w:highlight w:val="none"/>
              </w:rPr>
            </w:pPr>
            <w:r>
              <w:rPr>
                <w:rFonts w:hint="eastAsia" w:ascii="宋体" w:hAnsi="宋体" w:cs="Arial"/>
                <w:color w:val="auto"/>
                <w:sz w:val="22"/>
                <w:highlight w:val="none"/>
              </w:rPr>
              <w:t>（3）残疾人福利性单位声明函（原件，加盖供应商公章，格式见采购文件第四部分附件2）在政府采购活动中，残疾人福利性单位视同小型、微型企业。</w:t>
            </w:r>
          </w:p>
        </w:tc>
      </w:tr>
      <w:tr w14:paraId="118437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73" w:type="dxa"/>
          </w:tcPr>
          <w:p w14:paraId="48CCE4F0">
            <w:pPr>
              <w:numPr>
                <w:ilvl w:val="0"/>
                <w:numId w:val="3"/>
              </w:numPr>
              <w:tabs>
                <w:tab w:val="left" w:pos="1069"/>
                <w:tab w:val="left" w:pos="2352"/>
              </w:tabs>
              <w:autoSpaceDE w:val="0"/>
              <w:autoSpaceDN w:val="0"/>
              <w:adjustRightInd w:val="0"/>
              <w:snapToGrid w:val="0"/>
              <w:spacing w:line="430" w:lineRule="atLeast"/>
              <w:jc w:val="center"/>
              <w:rPr>
                <w:rFonts w:ascii="宋体" w:hAnsi="宋体" w:cs="宋体"/>
                <w:color w:val="auto"/>
                <w:sz w:val="22"/>
                <w:highlight w:val="none"/>
                <w:lang w:val="zh-CN"/>
              </w:rPr>
            </w:pPr>
          </w:p>
        </w:tc>
        <w:tc>
          <w:tcPr>
            <w:tcW w:w="8747" w:type="dxa"/>
            <w:vAlign w:val="center"/>
          </w:tcPr>
          <w:p w14:paraId="7EF9C48A">
            <w:pPr>
              <w:tabs>
                <w:tab w:val="left" w:pos="1069"/>
                <w:tab w:val="left" w:pos="2352"/>
              </w:tabs>
              <w:autoSpaceDE w:val="0"/>
              <w:autoSpaceDN w:val="0"/>
              <w:adjustRightInd w:val="0"/>
              <w:spacing w:line="260" w:lineRule="exact"/>
              <w:textAlignment w:val="bottom"/>
              <w:rPr>
                <w:rFonts w:ascii="宋体" w:hAnsi="宋体" w:cs="宋体"/>
                <w:color w:val="auto"/>
                <w:sz w:val="22"/>
                <w:highlight w:val="none"/>
              </w:rPr>
            </w:pPr>
            <w:r>
              <w:rPr>
                <w:rFonts w:hint="eastAsia" w:ascii="宋体" w:hAnsi="宋体" w:cs="宋体"/>
                <w:color w:val="auto"/>
                <w:sz w:val="22"/>
                <w:highlight w:val="none"/>
              </w:rPr>
              <w:t>法定代表人授权书（附件</w:t>
            </w:r>
            <w:r>
              <w:rPr>
                <w:rFonts w:hint="eastAsia" w:ascii="宋体" w:hAnsi="宋体" w:cs="宋体"/>
                <w:color w:val="auto"/>
                <w:sz w:val="22"/>
                <w:highlight w:val="none"/>
                <w:lang w:val="en-US" w:eastAsia="zh-CN"/>
              </w:rPr>
              <w:t>三</w:t>
            </w:r>
            <w:r>
              <w:rPr>
                <w:rFonts w:hint="eastAsia" w:ascii="宋体" w:hAnsi="宋体" w:cs="宋体"/>
                <w:color w:val="auto"/>
                <w:sz w:val="22"/>
                <w:highlight w:val="none"/>
              </w:rPr>
              <w:t>）</w:t>
            </w:r>
          </w:p>
          <w:p w14:paraId="321EF622">
            <w:pPr>
              <w:tabs>
                <w:tab w:val="left" w:pos="1069"/>
                <w:tab w:val="left" w:pos="2352"/>
              </w:tabs>
              <w:autoSpaceDE w:val="0"/>
              <w:autoSpaceDN w:val="0"/>
              <w:adjustRightInd w:val="0"/>
              <w:spacing w:line="260" w:lineRule="exact"/>
              <w:textAlignment w:val="bottom"/>
              <w:rPr>
                <w:rFonts w:ascii="宋体" w:hAnsi="宋体" w:cs="宋体"/>
                <w:color w:val="auto"/>
                <w:sz w:val="22"/>
                <w:highlight w:val="none"/>
              </w:rPr>
            </w:pPr>
            <w:r>
              <w:rPr>
                <w:rFonts w:hint="eastAsia" w:ascii="宋体" w:hAnsi="宋体" w:cs="宋体"/>
                <w:color w:val="auto"/>
                <w:sz w:val="22"/>
                <w:highlight w:val="none"/>
              </w:rPr>
              <w:t>（若是法定代表人直接参与投标的，仅需提供法人代表身份证复印影印件）</w:t>
            </w:r>
          </w:p>
        </w:tc>
      </w:tr>
    </w:tbl>
    <w:p w14:paraId="1903BDFE">
      <w:pPr>
        <w:tabs>
          <w:tab w:val="left" w:pos="1069"/>
          <w:tab w:val="left" w:pos="2352"/>
        </w:tabs>
        <w:autoSpaceDE w:val="0"/>
        <w:autoSpaceDN w:val="0"/>
        <w:adjustRightInd w:val="0"/>
        <w:snapToGrid w:val="0"/>
        <w:spacing w:line="430" w:lineRule="atLeast"/>
        <w:ind w:firstLine="440" w:firstLineChars="200"/>
        <w:textAlignment w:val="bottom"/>
        <w:rPr>
          <w:rFonts w:ascii="宋体" w:hAnsi="宋体" w:cs="宋体"/>
          <w:color w:val="auto"/>
          <w:sz w:val="22"/>
          <w:highlight w:val="none"/>
        </w:rPr>
      </w:pPr>
      <w:r>
        <w:rPr>
          <w:rFonts w:hint="eastAsia" w:ascii="宋体" w:hAnsi="宋体" w:cs="宋体"/>
          <w:color w:val="auto"/>
          <w:sz w:val="22"/>
          <w:highlight w:val="none"/>
        </w:rPr>
        <w:t xml:space="preserve">2.3 </w:t>
      </w:r>
      <w:r>
        <w:rPr>
          <w:rFonts w:hint="eastAsia" w:ascii="宋体" w:hAnsi="宋体" w:cs="宋体"/>
          <w:b/>
          <w:bCs/>
          <w:color w:val="auto"/>
          <w:sz w:val="22"/>
          <w:highlight w:val="none"/>
        </w:rPr>
        <w:t>《商务技术文件》组成</w:t>
      </w:r>
    </w:p>
    <w:tbl>
      <w:tblPr>
        <w:tblStyle w:val="31"/>
        <w:tblW w:w="9520" w:type="dxa"/>
        <w:tblInd w:w="22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3"/>
        <w:gridCol w:w="8747"/>
      </w:tblGrid>
      <w:tr w14:paraId="3B8583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3" w:type="dxa"/>
          </w:tcPr>
          <w:p w14:paraId="367DEB8A">
            <w:pPr>
              <w:tabs>
                <w:tab w:val="left" w:pos="1069"/>
                <w:tab w:val="left" w:pos="2352"/>
              </w:tabs>
              <w:autoSpaceDE w:val="0"/>
              <w:autoSpaceDN w:val="0"/>
              <w:adjustRightInd w:val="0"/>
              <w:snapToGrid w:val="0"/>
              <w:spacing w:line="430" w:lineRule="atLeast"/>
              <w:rPr>
                <w:rFonts w:ascii="宋体" w:hAnsi="宋体" w:cs="宋体"/>
                <w:color w:val="auto"/>
                <w:sz w:val="22"/>
                <w:highlight w:val="none"/>
                <w:lang w:val="zh-CN"/>
              </w:rPr>
            </w:pPr>
            <w:r>
              <w:rPr>
                <w:rFonts w:hint="eastAsia" w:ascii="宋体" w:hAnsi="宋体" w:cs="宋体"/>
                <w:color w:val="auto"/>
                <w:sz w:val="22"/>
                <w:highlight w:val="none"/>
                <w:lang w:val="zh-CN"/>
              </w:rPr>
              <w:t>序号</w:t>
            </w:r>
          </w:p>
        </w:tc>
        <w:tc>
          <w:tcPr>
            <w:tcW w:w="8747" w:type="dxa"/>
          </w:tcPr>
          <w:p w14:paraId="02035B92">
            <w:pPr>
              <w:tabs>
                <w:tab w:val="left" w:pos="1069"/>
                <w:tab w:val="left" w:pos="2352"/>
              </w:tabs>
              <w:autoSpaceDE w:val="0"/>
              <w:autoSpaceDN w:val="0"/>
              <w:adjustRightInd w:val="0"/>
              <w:snapToGrid w:val="0"/>
              <w:spacing w:line="430" w:lineRule="atLeast"/>
              <w:rPr>
                <w:rFonts w:ascii="宋体" w:hAnsi="宋体" w:cs="宋体"/>
                <w:color w:val="auto"/>
                <w:sz w:val="22"/>
                <w:highlight w:val="none"/>
                <w:lang w:val="zh-CN"/>
              </w:rPr>
            </w:pPr>
            <w:r>
              <w:rPr>
                <w:rFonts w:hint="eastAsia" w:ascii="宋体" w:hAnsi="宋体" w:cs="宋体"/>
                <w:color w:val="auto"/>
                <w:sz w:val="22"/>
                <w:highlight w:val="none"/>
                <w:lang w:val="zh-CN"/>
              </w:rPr>
              <w:t>内容（▲序号1</w:t>
            </w:r>
            <w:r>
              <w:rPr>
                <w:rFonts w:hint="eastAsia" w:ascii="宋体" w:hAnsi="宋体" w:cs="宋体"/>
                <w:color w:val="auto"/>
                <w:sz w:val="22"/>
                <w:highlight w:val="none"/>
              </w:rPr>
              <w:t>-6</w:t>
            </w:r>
            <w:r>
              <w:rPr>
                <w:rFonts w:hint="eastAsia" w:ascii="宋体" w:hAnsi="宋体" w:cs="宋体"/>
                <w:color w:val="auto"/>
                <w:sz w:val="22"/>
                <w:highlight w:val="none"/>
                <w:lang w:val="zh-CN"/>
              </w:rPr>
              <w:t>项供应商必须提供，否则不能通过符合性审查的，责任自负）</w:t>
            </w:r>
          </w:p>
        </w:tc>
      </w:tr>
      <w:tr w14:paraId="02D209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trPr>
        <w:tc>
          <w:tcPr>
            <w:tcW w:w="773" w:type="dxa"/>
          </w:tcPr>
          <w:p w14:paraId="79044800">
            <w:pPr>
              <w:numPr>
                <w:ilvl w:val="0"/>
                <w:numId w:val="5"/>
              </w:numPr>
              <w:tabs>
                <w:tab w:val="left" w:pos="1069"/>
                <w:tab w:val="left" w:pos="2352"/>
              </w:tabs>
              <w:autoSpaceDE w:val="0"/>
              <w:autoSpaceDN w:val="0"/>
              <w:adjustRightInd w:val="0"/>
              <w:snapToGrid w:val="0"/>
              <w:spacing w:line="430" w:lineRule="atLeast"/>
              <w:rPr>
                <w:rFonts w:ascii="宋体" w:hAnsi="宋体" w:cs="宋体"/>
                <w:color w:val="auto"/>
                <w:sz w:val="22"/>
                <w:highlight w:val="none"/>
                <w:lang w:val="zh-CN"/>
              </w:rPr>
            </w:pPr>
          </w:p>
        </w:tc>
        <w:tc>
          <w:tcPr>
            <w:tcW w:w="8747" w:type="dxa"/>
          </w:tcPr>
          <w:p w14:paraId="0E804BCD">
            <w:pPr>
              <w:tabs>
                <w:tab w:val="left" w:pos="1069"/>
                <w:tab w:val="left" w:pos="2352"/>
              </w:tabs>
              <w:autoSpaceDE w:val="0"/>
              <w:autoSpaceDN w:val="0"/>
              <w:adjustRightInd w:val="0"/>
              <w:snapToGrid w:val="0"/>
              <w:spacing w:line="430" w:lineRule="atLeast"/>
              <w:rPr>
                <w:rFonts w:ascii="宋体" w:hAnsi="宋体" w:cs="宋体"/>
                <w:b/>
                <w:bCs/>
                <w:color w:val="auto"/>
                <w:sz w:val="22"/>
                <w:highlight w:val="none"/>
                <w:lang w:val="zh-CN"/>
              </w:rPr>
            </w:pPr>
            <w:r>
              <w:rPr>
                <w:rFonts w:hint="eastAsia" w:ascii="宋体" w:hAnsi="宋体" w:cs="宋体"/>
                <w:b/>
                <w:bCs/>
                <w:color w:val="auto"/>
                <w:sz w:val="22"/>
                <w:highlight w:val="none"/>
              </w:rPr>
              <w:t>报价函（附件</w:t>
            </w:r>
            <w:r>
              <w:rPr>
                <w:rFonts w:hint="eastAsia" w:ascii="宋体" w:hAnsi="宋体" w:cs="宋体"/>
                <w:b/>
                <w:bCs/>
                <w:color w:val="auto"/>
                <w:sz w:val="22"/>
                <w:highlight w:val="none"/>
                <w:lang w:val="en-US" w:eastAsia="zh-CN"/>
              </w:rPr>
              <w:t>四</w:t>
            </w:r>
            <w:r>
              <w:rPr>
                <w:rFonts w:hint="eastAsia" w:ascii="宋体" w:hAnsi="宋体" w:cs="宋体"/>
                <w:b/>
                <w:bCs/>
                <w:color w:val="auto"/>
                <w:sz w:val="22"/>
                <w:highlight w:val="none"/>
              </w:rPr>
              <w:t>）</w:t>
            </w:r>
          </w:p>
        </w:tc>
      </w:tr>
      <w:tr w14:paraId="059800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3" w:type="dxa"/>
          </w:tcPr>
          <w:p w14:paraId="1B438DD0">
            <w:pPr>
              <w:numPr>
                <w:ilvl w:val="0"/>
                <w:numId w:val="5"/>
              </w:numPr>
              <w:tabs>
                <w:tab w:val="left" w:pos="1069"/>
                <w:tab w:val="left" w:pos="2352"/>
              </w:tabs>
              <w:autoSpaceDE w:val="0"/>
              <w:autoSpaceDN w:val="0"/>
              <w:adjustRightInd w:val="0"/>
              <w:snapToGrid w:val="0"/>
              <w:spacing w:line="430" w:lineRule="atLeast"/>
              <w:rPr>
                <w:rFonts w:ascii="宋体" w:hAnsi="宋体" w:cs="宋体"/>
                <w:color w:val="auto"/>
                <w:sz w:val="22"/>
                <w:highlight w:val="none"/>
                <w:lang w:val="zh-CN"/>
              </w:rPr>
            </w:pPr>
          </w:p>
        </w:tc>
        <w:tc>
          <w:tcPr>
            <w:tcW w:w="8747" w:type="dxa"/>
          </w:tcPr>
          <w:p w14:paraId="675D946C">
            <w:pPr>
              <w:tabs>
                <w:tab w:val="left" w:pos="1069"/>
                <w:tab w:val="left" w:pos="2352"/>
              </w:tabs>
              <w:autoSpaceDE w:val="0"/>
              <w:autoSpaceDN w:val="0"/>
              <w:adjustRightInd w:val="0"/>
              <w:snapToGrid w:val="0"/>
              <w:spacing w:line="430" w:lineRule="atLeast"/>
              <w:rPr>
                <w:rFonts w:ascii="宋体" w:hAnsi="宋体" w:cs="宋体"/>
                <w:b/>
                <w:bCs/>
                <w:color w:val="auto"/>
                <w:sz w:val="22"/>
                <w:highlight w:val="none"/>
                <w:lang w:val="zh-CN"/>
              </w:rPr>
            </w:pPr>
            <w:r>
              <w:rPr>
                <w:rFonts w:hint="eastAsia" w:ascii="宋体" w:hAnsi="宋体" w:cs="宋体"/>
                <w:b/>
                <w:bCs/>
                <w:color w:val="auto"/>
                <w:sz w:val="22"/>
                <w:highlight w:val="none"/>
              </w:rPr>
              <w:t>供应商参与政府采购活动投标资格声明（附件</w:t>
            </w:r>
            <w:r>
              <w:rPr>
                <w:rFonts w:hint="eastAsia" w:ascii="宋体" w:hAnsi="宋体" w:cs="宋体"/>
                <w:b/>
                <w:bCs/>
                <w:color w:val="auto"/>
                <w:sz w:val="22"/>
                <w:highlight w:val="none"/>
                <w:lang w:val="en-US" w:eastAsia="zh-CN"/>
              </w:rPr>
              <w:t>五</w:t>
            </w:r>
            <w:r>
              <w:rPr>
                <w:rFonts w:hint="eastAsia" w:ascii="宋体" w:hAnsi="宋体" w:cs="宋体"/>
                <w:b/>
                <w:bCs/>
                <w:color w:val="auto"/>
                <w:sz w:val="22"/>
                <w:highlight w:val="none"/>
              </w:rPr>
              <w:t>）</w:t>
            </w:r>
          </w:p>
        </w:tc>
      </w:tr>
      <w:tr w14:paraId="4E0AA4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73" w:type="dxa"/>
          </w:tcPr>
          <w:p w14:paraId="552B9B7D">
            <w:pPr>
              <w:numPr>
                <w:ilvl w:val="0"/>
                <w:numId w:val="5"/>
              </w:numPr>
              <w:tabs>
                <w:tab w:val="left" w:pos="1069"/>
                <w:tab w:val="left" w:pos="2352"/>
              </w:tabs>
              <w:autoSpaceDE w:val="0"/>
              <w:autoSpaceDN w:val="0"/>
              <w:adjustRightInd w:val="0"/>
              <w:snapToGrid w:val="0"/>
              <w:spacing w:line="430" w:lineRule="atLeast"/>
              <w:rPr>
                <w:rFonts w:ascii="宋体" w:hAnsi="宋体" w:cs="宋体"/>
                <w:color w:val="auto"/>
                <w:sz w:val="22"/>
                <w:highlight w:val="none"/>
                <w:lang w:val="zh-CN"/>
              </w:rPr>
            </w:pPr>
          </w:p>
        </w:tc>
        <w:tc>
          <w:tcPr>
            <w:tcW w:w="8747" w:type="dxa"/>
          </w:tcPr>
          <w:p w14:paraId="080341BA">
            <w:pPr>
              <w:tabs>
                <w:tab w:val="left" w:pos="1069"/>
                <w:tab w:val="left" w:pos="2352"/>
              </w:tabs>
              <w:autoSpaceDE w:val="0"/>
              <w:autoSpaceDN w:val="0"/>
              <w:adjustRightInd w:val="0"/>
              <w:snapToGrid w:val="0"/>
              <w:spacing w:line="430" w:lineRule="atLeast"/>
              <w:rPr>
                <w:rFonts w:ascii="宋体" w:hAnsi="宋体" w:cs="宋体"/>
                <w:b/>
                <w:bCs/>
                <w:color w:val="auto"/>
                <w:sz w:val="22"/>
                <w:highlight w:val="none"/>
              </w:rPr>
            </w:pPr>
            <w:r>
              <w:rPr>
                <w:rFonts w:hint="eastAsia" w:ascii="宋体" w:hAnsi="宋体" w:cs="宋体"/>
                <w:b/>
                <w:bCs/>
                <w:color w:val="auto"/>
                <w:sz w:val="22"/>
                <w:highlight w:val="none"/>
              </w:rPr>
              <w:t>法定代表人诚信投标承诺书（附件</w:t>
            </w:r>
            <w:r>
              <w:rPr>
                <w:rFonts w:hint="eastAsia" w:ascii="宋体" w:hAnsi="宋体" w:cs="宋体"/>
                <w:b/>
                <w:bCs/>
                <w:color w:val="auto"/>
                <w:sz w:val="22"/>
                <w:highlight w:val="none"/>
                <w:lang w:val="en-US" w:eastAsia="zh-CN"/>
              </w:rPr>
              <w:t>六</w:t>
            </w:r>
            <w:r>
              <w:rPr>
                <w:rFonts w:hint="eastAsia" w:ascii="宋体" w:hAnsi="宋体" w:cs="宋体"/>
                <w:b/>
                <w:bCs/>
                <w:color w:val="auto"/>
                <w:sz w:val="22"/>
                <w:highlight w:val="none"/>
              </w:rPr>
              <w:t>）</w:t>
            </w:r>
          </w:p>
        </w:tc>
      </w:tr>
      <w:tr w14:paraId="7FAFAC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3" w:type="dxa"/>
          </w:tcPr>
          <w:p w14:paraId="58C91D35">
            <w:pPr>
              <w:numPr>
                <w:ilvl w:val="0"/>
                <w:numId w:val="5"/>
              </w:numPr>
              <w:tabs>
                <w:tab w:val="left" w:pos="1069"/>
                <w:tab w:val="left" w:pos="2352"/>
              </w:tabs>
              <w:autoSpaceDE w:val="0"/>
              <w:autoSpaceDN w:val="0"/>
              <w:adjustRightInd w:val="0"/>
              <w:snapToGrid w:val="0"/>
              <w:spacing w:line="430" w:lineRule="atLeast"/>
              <w:rPr>
                <w:rFonts w:ascii="宋体" w:hAnsi="宋体" w:cs="宋体"/>
                <w:color w:val="auto"/>
                <w:sz w:val="22"/>
                <w:highlight w:val="none"/>
                <w:lang w:val="zh-CN"/>
              </w:rPr>
            </w:pPr>
          </w:p>
        </w:tc>
        <w:tc>
          <w:tcPr>
            <w:tcW w:w="8747" w:type="dxa"/>
          </w:tcPr>
          <w:p w14:paraId="610A1676">
            <w:pPr>
              <w:tabs>
                <w:tab w:val="left" w:pos="1069"/>
                <w:tab w:val="left" w:pos="2352"/>
              </w:tabs>
              <w:autoSpaceDE w:val="0"/>
              <w:autoSpaceDN w:val="0"/>
              <w:adjustRightInd w:val="0"/>
              <w:snapToGrid w:val="0"/>
              <w:spacing w:line="430" w:lineRule="atLeast"/>
              <w:rPr>
                <w:rFonts w:ascii="宋体" w:hAnsi="宋体" w:cs="宋体"/>
                <w:b/>
                <w:bCs/>
                <w:color w:val="auto"/>
                <w:sz w:val="22"/>
                <w:highlight w:val="none"/>
              </w:rPr>
            </w:pPr>
            <w:r>
              <w:rPr>
                <w:rFonts w:hint="eastAsia" w:ascii="宋体" w:hAnsi="宋体" w:cs="宋体"/>
                <w:b/>
                <w:bCs/>
                <w:color w:val="auto"/>
                <w:sz w:val="22"/>
                <w:highlight w:val="none"/>
              </w:rPr>
              <w:t>商务偏离表（附件</w:t>
            </w:r>
            <w:r>
              <w:rPr>
                <w:rFonts w:hint="eastAsia" w:ascii="宋体" w:hAnsi="宋体" w:cs="宋体"/>
                <w:b/>
                <w:bCs/>
                <w:color w:val="auto"/>
                <w:sz w:val="22"/>
                <w:highlight w:val="none"/>
                <w:lang w:val="en-US" w:eastAsia="zh-CN"/>
              </w:rPr>
              <w:t>七</w:t>
            </w:r>
            <w:r>
              <w:rPr>
                <w:rFonts w:hint="eastAsia" w:ascii="宋体" w:hAnsi="宋体" w:cs="宋体"/>
                <w:b/>
                <w:bCs/>
                <w:color w:val="auto"/>
                <w:sz w:val="22"/>
                <w:highlight w:val="none"/>
              </w:rPr>
              <w:t>（一））、技术偏离表（附件</w:t>
            </w:r>
            <w:r>
              <w:rPr>
                <w:rFonts w:hint="eastAsia" w:ascii="宋体" w:hAnsi="宋体" w:cs="宋体"/>
                <w:b/>
                <w:bCs/>
                <w:color w:val="auto"/>
                <w:sz w:val="22"/>
                <w:highlight w:val="none"/>
                <w:lang w:val="en-US" w:eastAsia="zh-CN"/>
              </w:rPr>
              <w:t>期</w:t>
            </w:r>
            <w:r>
              <w:rPr>
                <w:rFonts w:hint="eastAsia" w:ascii="宋体" w:hAnsi="宋体" w:cs="宋体"/>
                <w:b/>
                <w:bCs/>
                <w:color w:val="auto"/>
                <w:sz w:val="22"/>
                <w:highlight w:val="none"/>
              </w:rPr>
              <w:t>（二））</w:t>
            </w:r>
          </w:p>
        </w:tc>
      </w:tr>
      <w:tr w14:paraId="79B497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3" w:type="dxa"/>
          </w:tcPr>
          <w:p w14:paraId="6409FD1A">
            <w:pPr>
              <w:numPr>
                <w:ilvl w:val="0"/>
                <w:numId w:val="5"/>
              </w:numPr>
              <w:tabs>
                <w:tab w:val="left" w:pos="1069"/>
                <w:tab w:val="left" w:pos="2352"/>
              </w:tabs>
              <w:autoSpaceDE w:val="0"/>
              <w:autoSpaceDN w:val="0"/>
              <w:adjustRightInd w:val="0"/>
              <w:snapToGrid w:val="0"/>
              <w:spacing w:line="430" w:lineRule="atLeast"/>
              <w:rPr>
                <w:rFonts w:ascii="宋体" w:hAnsi="宋体" w:cs="宋体"/>
                <w:color w:val="auto"/>
                <w:sz w:val="22"/>
                <w:highlight w:val="none"/>
                <w:lang w:val="zh-CN"/>
              </w:rPr>
            </w:pPr>
          </w:p>
        </w:tc>
        <w:tc>
          <w:tcPr>
            <w:tcW w:w="8747" w:type="dxa"/>
          </w:tcPr>
          <w:p w14:paraId="63BCCEA7">
            <w:pPr>
              <w:tabs>
                <w:tab w:val="left" w:pos="1069"/>
                <w:tab w:val="left" w:pos="2352"/>
              </w:tabs>
              <w:autoSpaceDE w:val="0"/>
              <w:autoSpaceDN w:val="0"/>
              <w:adjustRightInd w:val="0"/>
              <w:snapToGrid w:val="0"/>
              <w:spacing w:line="430" w:lineRule="atLeast"/>
              <w:rPr>
                <w:rFonts w:hint="eastAsia" w:ascii="宋体" w:hAnsi="宋体" w:eastAsia="宋体" w:cs="宋体"/>
                <w:b/>
                <w:bCs/>
                <w:color w:val="auto"/>
                <w:sz w:val="22"/>
                <w:highlight w:val="none"/>
                <w:lang w:eastAsia="zh-CN"/>
              </w:rPr>
            </w:pPr>
            <w:r>
              <w:rPr>
                <w:rFonts w:hint="eastAsia" w:ascii="宋体" w:hAnsi="宋体" w:cs="宋体"/>
                <w:b/>
                <w:bCs/>
                <w:color w:val="auto"/>
                <w:sz w:val="22"/>
                <w:highlight w:val="none"/>
              </w:rPr>
              <w:t>项目实施方案</w:t>
            </w:r>
            <w:r>
              <w:rPr>
                <w:rFonts w:hint="eastAsia" w:ascii="宋体" w:hAnsi="宋体" w:cs="宋体"/>
                <w:b/>
                <w:bCs/>
                <w:color w:val="auto"/>
                <w:sz w:val="22"/>
                <w:highlight w:val="none"/>
                <w:lang w:eastAsia="zh-CN"/>
              </w:rPr>
              <w:t>（</w:t>
            </w:r>
            <w:r>
              <w:rPr>
                <w:rFonts w:hint="eastAsia" w:ascii="宋体" w:hAnsi="宋体" w:cs="宋体"/>
                <w:b/>
                <w:bCs/>
                <w:color w:val="auto"/>
                <w:sz w:val="22"/>
                <w:highlight w:val="none"/>
                <w:lang w:val="en-US" w:eastAsia="zh-CN"/>
              </w:rPr>
              <w:t>改造及运营部分分别描述</w:t>
            </w:r>
            <w:r>
              <w:rPr>
                <w:rFonts w:hint="eastAsia" w:ascii="宋体" w:hAnsi="宋体" w:cs="宋体"/>
                <w:b/>
                <w:bCs/>
                <w:color w:val="auto"/>
                <w:sz w:val="22"/>
                <w:highlight w:val="none"/>
                <w:lang w:eastAsia="zh-CN"/>
              </w:rPr>
              <w:t>）</w:t>
            </w:r>
          </w:p>
        </w:tc>
      </w:tr>
      <w:tr w14:paraId="16682B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3" w:type="dxa"/>
          </w:tcPr>
          <w:p w14:paraId="0E035DAB">
            <w:pPr>
              <w:numPr>
                <w:ilvl w:val="0"/>
                <w:numId w:val="5"/>
              </w:numPr>
              <w:tabs>
                <w:tab w:val="left" w:pos="1069"/>
                <w:tab w:val="left" w:pos="2352"/>
              </w:tabs>
              <w:autoSpaceDE w:val="0"/>
              <w:autoSpaceDN w:val="0"/>
              <w:adjustRightInd w:val="0"/>
              <w:snapToGrid w:val="0"/>
              <w:spacing w:line="430" w:lineRule="atLeast"/>
              <w:rPr>
                <w:rFonts w:ascii="宋体" w:hAnsi="宋体" w:cs="宋体"/>
                <w:color w:val="auto"/>
                <w:sz w:val="22"/>
                <w:highlight w:val="none"/>
                <w:lang w:val="zh-CN"/>
              </w:rPr>
            </w:pPr>
          </w:p>
        </w:tc>
        <w:tc>
          <w:tcPr>
            <w:tcW w:w="8747" w:type="dxa"/>
          </w:tcPr>
          <w:p w14:paraId="7E393C51">
            <w:pPr>
              <w:tabs>
                <w:tab w:val="left" w:pos="1069"/>
                <w:tab w:val="left" w:pos="2352"/>
              </w:tabs>
              <w:autoSpaceDE w:val="0"/>
              <w:autoSpaceDN w:val="0"/>
              <w:adjustRightInd w:val="0"/>
              <w:snapToGrid w:val="0"/>
              <w:spacing w:line="430" w:lineRule="atLeast"/>
              <w:rPr>
                <w:rFonts w:ascii="宋体" w:hAnsi="宋体" w:cs="宋体"/>
                <w:b/>
                <w:bCs/>
                <w:color w:val="auto"/>
                <w:sz w:val="22"/>
                <w:highlight w:val="none"/>
              </w:rPr>
            </w:pPr>
            <w:r>
              <w:rPr>
                <w:rFonts w:hint="eastAsia" w:ascii="宋体" w:hAnsi="宋体" w:cs="宋体"/>
                <w:b/>
                <w:bCs/>
                <w:color w:val="auto"/>
                <w:sz w:val="22"/>
                <w:highlight w:val="none"/>
              </w:rPr>
              <w:t>供应商项目服务人员汇总表（附件</w:t>
            </w:r>
            <w:r>
              <w:rPr>
                <w:rFonts w:hint="eastAsia" w:ascii="宋体" w:hAnsi="宋体" w:cs="宋体"/>
                <w:b/>
                <w:bCs/>
                <w:color w:val="auto"/>
                <w:sz w:val="22"/>
                <w:highlight w:val="none"/>
                <w:lang w:val="en-US" w:eastAsia="zh-CN"/>
              </w:rPr>
              <w:t>八</w:t>
            </w:r>
            <w:r>
              <w:rPr>
                <w:rFonts w:hint="eastAsia" w:ascii="宋体" w:hAnsi="宋体" w:cs="宋体"/>
                <w:b/>
                <w:bCs/>
                <w:color w:val="auto"/>
                <w:sz w:val="22"/>
                <w:highlight w:val="none"/>
              </w:rPr>
              <w:t>）；</w:t>
            </w:r>
          </w:p>
        </w:tc>
      </w:tr>
      <w:tr w14:paraId="61D36C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73" w:type="dxa"/>
          </w:tcPr>
          <w:p w14:paraId="18389951">
            <w:pPr>
              <w:numPr>
                <w:ilvl w:val="0"/>
                <w:numId w:val="5"/>
              </w:numPr>
              <w:tabs>
                <w:tab w:val="left" w:pos="1069"/>
                <w:tab w:val="left" w:pos="2352"/>
              </w:tabs>
              <w:autoSpaceDE w:val="0"/>
              <w:autoSpaceDN w:val="0"/>
              <w:adjustRightInd w:val="0"/>
              <w:snapToGrid w:val="0"/>
              <w:spacing w:line="430" w:lineRule="atLeast"/>
              <w:rPr>
                <w:rFonts w:ascii="宋体" w:hAnsi="宋体" w:cs="宋体"/>
                <w:color w:val="auto"/>
                <w:sz w:val="22"/>
                <w:highlight w:val="none"/>
                <w:lang w:val="zh-CN"/>
              </w:rPr>
            </w:pPr>
          </w:p>
        </w:tc>
        <w:tc>
          <w:tcPr>
            <w:tcW w:w="8747" w:type="dxa"/>
          </w:tcPr>
          <w:p w14:paraId="051A76A0">
            <w:pPr>
              <w:tabs>
                <w:tab w:val="left" w:pos="1069"/>
                <w:tab w:val="left" w:pos="2352"/>
              </w:tabs>
              <w:autoSpaceDE w:val="0"/>
              <w:autoSpaceDN w:val="0"/>
              <w:adjustRightInd w:val="0"/>
              <w:snapToGrid w:val="0"/>
              <w:spacing w:line="430" w:lineRule="atLeast"/>
              <w:rPr>
                <w:rFonts w:hint="eastAsia" w:ascii="宋体" w:hAnsi="宋体" w:cs="宋体"/>
                <w:b/>
                <w:bCs/>
                <w:color w:val="auto"/>
                <w:sz w:val="22"/>
                <w:highlight w:val="none"/>
              </w:rPr>
            </w:pPr>
            <w:r>
              <w:rPr>
                <w:rFonts w:hint="eastAsia" w:ascii="宋体"/>
                <w:color w:val="auto"/>
                <w:sz w:val="22"/>
                <w:highlight w:val="none"/>
              </w:rPr>
              <w:t>联合体投标协议（如是联合体投标的则需提供）</w:t>
            </w:r>
            <w:r>
              <w:rPr>
                <w:rFonts w:hint="eastAsia" w:ascii="宋体"/>
                <w:b/>
                <w:bCs/>
                <w:color w:val="auto"/>
                <w:sz w:val="22"/>
                <w:highlight w:val="none"/>
              </w:rPr>
              <w:t>（附件</w:t>
            </w:r>
            <w:r>
              <w:rPr>
                <w:rFonts w:hint="eastAsia" w:ascii="宋体"/>
                <w:b/>
                <w:bCs/>
                <w:color w:val="auto"/>
                <w:sz w:val="22"/>
                <w:highlight w:val="none"/>
                <w:lang w:val="en-US" w:eastAsia="zh-CN"/>
              </w:rPr>
              <w:t>九</w:t>
            </w:r>
            <w:r>
              <w:rPr>
                <w:rFonts w:hint="eastAsia" w:ascii="宋体"/>
                <w:b/>
                <w:bCs/>
                <w:color w:val="auto"/>
                <w:sz w:val="22"/>
                <w:highlight w:val="none"/>
              </w:rPr>
              <w:t>）</w:t>
            </w:r>
          </w:p>
        </w:tc>
      </w:tr>
      <w:tr w14:paraId="1FC099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3" w:type="dxa"/>
          </w:tcPr>
          <w:p w14:paraId="04113960">
            <w:pPr>
              <w:numPr>
                <w:ilvl w:val="0"/>
                <w:numId w:val="5"/>
              </w:numPr>
              <w:tabs>
                <w:tab w:val="left" w:pos="1069"/>
                <w:tab w:val="left" w:pos="2352"/>
              </w:tabs>
              <w:autoSpaceDE w:val="0"/>
              <w:autoSpaceDN w:val="0"/>
              <w:adjustRightInd w:val="0"/>
              <w:snapToGrid w:val="0"/>
              <w:spacing w:line="430" w:lineRule="atLeast"/>
              <w:rPr>
                <w:rFonts w:ascii="宋体" w:hAnsi="宋体" w:cs="宋体"/>
                <w:color w:val="auto"/>
                <w:sz w:val="22"/>
                <w:highlight w:val="none"/>
                <w:lang w:val="zh-CN"/>
              </w:rPr>
            </w:pPr>
          </w:p>
        </w:tc>
        <w:tc>
          <w:tcPr>
            <w:tcW w:w="8747" w:type="dxa"/>
            <w:vAlign w:val="center"/>
          </w:tcPr>
          <w:p w14:paraId="41A278C6">
            <w:pPr>
              <w:autoSpaceDE w:val="0"/>
              <w:autoSpaceDN w:val="0"/>
              <w:adjustRightInd w:val="0"/>
              <w:spacing w:line="260" w:lineRule="exact"/>
              <w:textAlignment w:val="bottom"/>
              <w:rPr>
                <w:rFonts w:ascii="宋体" w:hAnsi="宋体" w:cs="Arial"/>
                <w:color w:val="auto"/>
                <w:sz w:val="22"/>
                <w:highlight w:val="none"/>
              </w:rPr>
            </w:pPr>
            <w:r>
              <w:rPr>
                <w:rFonts w:hint="eastAsia" w:ascii="宋体" w:hAnsi="宋体" w:cs="Arial"/>
                <w:color w:val="auto"/>
                <w:sz w:val="22"/>
                <w:highlight w:val="none"/>
              </w:rPr>
              <w:t>距离采购人最近的服务机构的详细介绍、服务机构总负责人，电话，地址，技术力量配置等；</w:t>
            </w:r>
          </w:p>
        </w:tc>
      </w:tr>
      <w:tr w14:paraId="35FADA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3" w:type="dxa"/>
          </w:tcPr>
          <w:p w14:paraId="397D3D14">
            <w:pPr>
              <w:numPr>
                <w:ilvl w:val="0"/>
                <w:numId w:val="5"/>
              </w:numPr>
              <w:tabs>
                <w:tab w:val="left" w:pos="1069"/>
                <w:tab w:val="left" w:pos="2352"/>
              </w:tabs>
              <w:autoSpaceDE w:val="0"/>
              <w:autoSpaceDN w:val="0"/>
              <w:adjustRightInd w:val="0"/>
              <w:snapToGrid w:val="0"/>
              <w:spacing w:line="430" w:lineRule="atLeast"/>
              <w:rPr>
                <w:rFonts w:ascii="宋体" w:hAnsi="宋体" w:cs="宋体"/>
                <w:color w:val="auto"/>
                <w:sz w:val="22"/>
                <w:highlight w:val="none"/>
                <w:lang w:val="zh-CN"/>
              </w:rPr>
            </w:pPr>
          </w:p>
        </w:tc>
        <w:tc>
          <w:tcPr>
            <w:tcW w:w="8747" w:type="dxa"/>
            <w:vAlign w:val="center"/>
          </w:tcPr>
          <w:p w14:paraId="3190A137">
            <w:pPr>
              <w:autoSpaceDE w:val="0"/>
              <w:autoSpaceDN w:val="0"/>
              <w:adjustRightInd w:val="0"/>
              <w:spacing w:line="260" w:lineRule="exact"/>
              <w:textAlignment w:val="bottom"/>
              <w:rPr>
                <w:rFonts w:ascii="宋体" w:hAnsi="宋体" w:cs="Arial"/>
                <w:color w:val="auto"/>
                <w:sz w:val="22"/>
                <w:highlight w:val="none"/>
              </w:rPr>
            </w:pPr>
            <w:r>
              <w:rPr>
                <w:rFonts w:hint="eastAsia" w:ascii="宋体" w:hAnsi="宋体" w:cs="Arial"/>
                <w:color w:val="auto"/>
                <w:sz w:val="22"/>
                <w:highlight w:val="none"/>
              </w:rPr>
              <w:t>供应商质量体系认证证书、供应商环境体系认证证书、供应商职业健康体系认证证书（（如有则提供）</w:t>
            </w:r>
          </w:p>
        </w:tc>
      </w:tr>
      <w:tr w14:paraId="4F7621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3" w:type="dxa"/>
          </w:tcPr>
          <w:p w14:paraId="5E4FD9FF">
            <w:pPr>
              <w:numPr>
                <w:ilvl w:val="0"/>
                <w:numId w:val="5"/>
              </w:numPr>
              <w:tabs>
                <w:tab w:val="left" w:pos="1069"/>
                <w:tab w:val="left" w:pos="2352"/>
              </w:tabs>
              <w:autoSpaceDE w:val="0"/>
              <w:autoSpaceDN w:val="0"/>
              <w:adjustRightInd w:val="0"/>
              <w:snapToGrid w:val="0"/>
              <w:spacing w:line="430" w:lineRule="atLeast"/>
              <w:rPr>
                <w:rFonts w:ascii="宋体" w:hAnsi="宋体" w:cs="宋体"/>
                <w:color w:val="auto"/>
                <w:sz w:val="22"/>
                <w:highlight w:val="none"/>
                <w:lang w:val="zh-CN"/>
              </w:rPr>
            </w:pPr>
          </w:p>
        </w:tc>
        <w:tc>
          <w:tcPr>
            <w:tcW w:w="8747" w:type="dxa"/>
            <w:vAlign w:val="center"/>
          </w:tcPr>
          <w:p w14:paraId="6D59627D">
            <w:pPr>
              <w:tabs>
                <w:tab w:val="left" w:pos="1069"/>
                <w:tab w:val="left" w:pos="2352"/>
              </w:tabs>
              <w:autoSpaceDE w:val="0"/>
              <w:autoSpaceDN w:val="0"/>
              <w:adjustRightInd w:val="0"/>
              <w:snapToGrid w:val="0"/>
              <w:spacing w:line="430" w:lineRule="atLeast"/>
              <w:rPr>
                <w:rFonts w:ascii="宋体" w:hAnsi="宋体" w:cs="宋体"/>
                <w:color w:val="auto"/>
                <w:sz w:val="22"/>
                <w:highlight w:val="none"/>
              </w:rPr>
            </w:pPr>
            <w:r>
              <w:rPr>
                <w:rFonts w:hint="eastAsia" w:ascii="宋体" w:hAnsi="宋体" w:cs="宋体"/>
                <w:color w:val="auto"/>
                <w:sz w:val="22"/>
                <w:highlight w:val="none"/>
              </w:rPr>
              <w:t>供应商项目业绩清单，如有（附件</w:t>
            </w:r>
            <w:r>
              <w:rPr>
                <w:rFonts w:hint="eastAsia" w:ascii="宋体" w:hAnsi="宋体" w:cs="宋体"/>
                <w:color w:val="auto"/>
                <w:sz w:val="22"/>
                <w:highlight w:val="none"/>
                <w:lang w:val="en-US" w:eastAsia="zh-CN"/>
              </w:rPr>
              <w:t>十</w:t>
            </w:r>
            <w:r>
              <w:rPr>
                <w:rFonts w:hint="eastAsia" w:ascii="宋体" w:hAnsi="宋体" w:cs="宋体"/>
                <w:color w:val="auto"/>
                <w:sz w:val="22"/>
                <w:highlight w:val="none"/>
              </w:rPr>
              <w:t>）</w:t>
            </w:r>
          </w:p>
        </w:tc>
      </w:tr>
      <w:tr w14:paraId="0A1741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3" w:type="dxa"/>
          </w:tcPr>
          <w:p w14:paraId="5304DBF6">
            <w:pPr>
              <w:numPr>
                <w:ilvl w:val="0"/>
                <w:numId w:val="5"/>
              </w:numPr>
              <w:tabs>
                <w:tab w:val="left" w:pos="1069"/>
                <w:tab w:val="left" w:pos="2352"/>
              </w:tabs>
              <w:autoSpaceDE w:val="0"/>
              <w:autoSpaceDN w:val="0"/>
              <w:adjustRightInd w:val="0"/>
              <w:snapToGrid w:val="0"/>
              <w:spacing w:line="430" w:lineRule="atLeast"/>
              <w:rPr>
                <w:rFonts w:ascii="宋体" w:hAnsi="宋体" w:cs="宋体"/>
                <w:color w:val="auto"/>
                <w:sz w:val="22"/>
                <w:highlight w:val="none"/>
                <w:lang w:val="zh-CN"/>
              </w:rPr>
            </w:pPr>
          </w:p>
        </w:tc>
        <w:tc>
          <w:tcPr>
            <w:tcW w:w="8747" w:type="dxa"/>
            <w:vAlign w:val="center"/>
          </w:tcPr>
          <w:p w14:paraId="1B01AD1B">
            <w:pPr>
              <w:tabs>
                <w:tab w:val="left" w:pos="1069"/>
                <w:tab w:val="left" w:pos="2352"/>
              </w:tabs>
              <w:autoSpaceDE w:val="0"/>
              <w:autoSpaceDN w:val="0"/>
              <w:adjustRightInd w:val="0"/>
              <w:snapToGrid w:val="0"/>
              <w:spacing w:line="430" w:lineRule="atLeast"/>
              <w:rPr>
                <w:rFonts w:ascii="宋体" w:hAnsi="宋体" w:cs="宋体"/>
                <w:color w:val="auto"/>
                <w:sz w:val="22"/>
                <w:highlight w:val="none"/>
              </w:rPr>
            </w:pPr>
            <w:r>
              <w:rPr>
                <w:rFonts w:hint="eastAsia" w:ascii="宋体" w:hAnsi="宋体" w:cs="宋体"/>
                <w:color w:val="auto"/>
                <w:sz w:val="22"/>
                <w:highlight w:val="none"/>
              </w:rPr>
              <w:t>供应商具有的其它相关资质证书（如有则提供）</w:t>
            </w:r>
          </w:p>
        </w:tc>
      </w:tr>
      <w:tr w14:paraId="6AB3EF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3" w:type="dxa"/>
          </w:tcPr>
          <w:p w14:paraId="5000F958">
            <w:pPr>
              <w:numPr>
                <w:ilvl w:val="0"/>
                <w:numId w:val="5"/>
              </w:numPr>
              <w:tabs>
                <w:tab w:val="left" w:pos="1069"/>
                <w:tab w:val="left" w:pos="2352"/>
              </w:tabs>
              <w:autoSpaceDE w:val="0"/>
              <w:autoSpaceDN w:val="0"/>
              <w:adjustRightInd w:val="0"/>
              <w:snapToGrid w:val="0"/>
              <w:spacing w:line="430" w:lineRule="atLeast"/>
              <w:rPr>
                <w:rFonts w:ascii="宋体" w:hAnsi="宋体" w:cs="宋体"/>
                <w:color w:val="auto"/>
                <w:sz w:val="22"/>
                <w:highlight w:val="none"/>
                <w:lang w:val="zh-CN"/>
              </w:rPr>
            </w:pPr>
          </w:p>
        </w:tc>
        <w:tc>
          <w:tcPr>
            <w:tcW w:w="8747" w:type="dxa"/>
            <w:vAlign w:val="center"/>
          </w:tcPr>
          <w:p w14:paraId="48A38079">
            <w:pPr>
              <w:tabs>
                <w:tab w:val="left" w:pos="1069"/>
                <w:tab w:val="left" w:pos="2352"/>
              </w:tabs>
              <w:autoSpaceDE w:val="0"/>
              <w:autoSpaceDN w:val="0"/>
              <w:adjustRightInd w:val="0"/>
              <w:snapToGrid w:val="0"/>
              <w:spacing w:line="430" w:lineRule="atLeast"/>
              <w:rPr>
                <w:rFonts w:ascii="宋体" w:hAnsi="宋体" w:cs="宋体"/>
                <w:color w:val="auto"/>
                <w:sz w:val="22"/>
                <w:highlight w:val="none"/>
              </w:rPr>
            </w:pPr>
            <w:r>
              <w:rPr>
                <w:rFonts w:hint="eastAsia" w:ascii="宋体" w:hAnsi="宋体" w:cs="宋体"/>
                <w:color w:val="auto"/>
                <w:sz w:val="22"/>
                <w:highlight w:val="none"/>
              </w:rPr>
              <w:t>根据竞争性磋商文件中的采购内容与技术要求、评标细则，需要提供的其它文件和资料。</w:t>
            </w:r>
          </w:p>
        </w:tc>
      </w:tr>
      <w:tr w14:paraId="7FFEE2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3" w:type="dxa"/>
          </w:tcPr>
          <w:p w14:paraId="15EE9E85">
            <w:pPr>
              <w:numPr>
                <w:ilvl w:val="0"/>
                <w:numId w:val="5"/>
              </w:numPr>
              <w:tabs>
                <w:tab w:val="left" w:pos="1069"/>
                <w:tab w:val="left" w:pos="2352"/>
              </w:tabs>
              <w:autoSpaceDE w:val="0"/>
              <w:autoSpaceDN w:val="0"/>
              <w:adjustRightInd w:val="0"/>
              <w:snapToGrid w:val="0"/>
              <w:spacing w:line="430" w:lineRule="atLeast"/>
              <w:rPr>
                <w:rFonts w:ascii="宋体" w:hAnsi="宋体" w:cs="宋体"/>
                <w:color w:val="auto"/>
                <w:sz w:val="22"/>
                <w:highlight w:val="none"/>
                <w:lang w:val="zh-CN"/>
              </w:rPr>
            </w:pPr>
          </w:p>
        </w:tc>
        <w:tc>
          <w:tcPr>
            <w:tcW w:w="8747" w:type="dxa"/>
            <w:vAlign w:val="center"/>
          </w:tcPr>
          <w:p w14:paraId="458A2EBC">
            <w:pPr>
              <w:tabs>
                <w:tab w:val="left" w:pos="1069"/>
                <w:tab w:val="left" w:pos="2352"/>
              </w:tabs>
              <w:autoSpaceDE w:val="0"/>
              <w:autoSpaceDN w:val="0"/>
              <w:adjustRightInd w:val="0"/>
              <w:snapToGrid w:val="0"/>
              <w:spacing w:line="430" w:lineRule="atLeast"/>
              <w:rPr>
                <w:rFonts w:ascii="宋体" w:hAnsi="宋体" w:cs="宋体"/>
                <w:color w:val="auto"/>
                <w:sz w:val="22"/>
                <w:highlight w:val="none"/>
              </w:rPr>
            </w:pPr>
            <w:r>
              <w:rPr>
                <w:rFonts w:hint="eastAsia" w:ascii="宋体" w:hAnsi="宋体" w:cs="宋体"/>
                <w:color w:val="auto"/>
                <w:sz w:val="22"/>
                <w:highlight w:val="none"/>
              </w:rPr>
              <w:t>其它供应商须说明的资料（如有则提供）</w:t>
            </w:r>
          </w:p>
        </w:tc>
      </w:tr>
      <w:tr w14:paraId="3FB51B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3" w:type="dxa"/>
          </w:tcPr>
          <w:p w14:paraId="1A91CE51">
            <w:pPr>
              <w:numPr>
                <w:ilvl w:val="0"/>
                <w:numId w:val="5"/>
              </w:numPr>
              <w:tabs>
                <w:tab w:val="left" w:pos="1069"/>
                <w:tab w:val="left" w:pos="2352"/>
              </w:tabs>
              <w:autoSpaceDE w:val="0"/>
              <w:autoSpaceDN w:val="0"/>
              <w:adjustRightInd w:val="0"/>
              <w:snapToGrid w:val="0"/>
              <w:spacing w:line="430" w:lineRule="atLeast"/>
              <w:rPr>
                <w:rFonts w:ascii="宋体" w:hAnsi="宋体" w:cs="宋体"/>
                <w:color w:val="auto"/>
                <w:sz w:val="22"/>
                <w:highlight w:val="none"/>
                <w:lang w:val="zh-CN"/>
              </w:rPr>
            </w:pPr>
          </w:p>
        </w:tc>
        <w:tc>
          <w:tcPr>
            <w:tcW w:w="8747" w:type="dxa"/>
            <w:vAlign w:val="center"/>
          </w:tcPr>
          <w:p w14:paraId="3765BCB9">
            <w:pPr>
              <w:tabs>
                <w:tab w:val="left" w:pos="1069"/>
                <w:tab w:val="left" w:pos="2352"/>
              </w:tabs>
              <w:autoSpaceDE w:val="0"/>
              <w:autoSpaceDN w:val="0"/>
              <w:adjustRightInd w:val="0"/>
              <w:snapToGrid w:val="0"/>
              <w:spacing w:line="430" w:lineRule="atLeast"/>
              <w:rPr>
                <w:rFonts w:ascii="宋体" w:hAnsi="宋体" w:cs="宋体"/>
                <w:color w:val="auto"/>
                <w:sz w:val="22"/>
                <w:highlight w:val="none"/>
              </w:rPr>
            </w:pPr>
            <w:r>
              <w:rPr>
                <w:rFonts w:hint="eastAsia" w:ascii="宋体" w:hAnsi="宋体" w:cs="宋体"/>
                <w:color w:val="auto"/>
                <w:sz w:val="22"/>
                <w:highlight w:val="none"/>
              </w:rPr>
              <w:t>供应商应编制目录索引，注明项目所在投标文件页码。</w:t>
            </w:r>
          </w:p>
        </w:tc>
      </w:tr>
      <w:tr w14:paraId="561350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3" w:type="dxa"/>
          </w:tcPr>
          <w:p w14:paraId="6E04BB3B">
            <w:pPr>
              <w:numPr>
                <w:ilvl w:val="0"/>
                <w:numId w:val="5"/>
              </w:numPr>
              <w:tabs>
                <w:tab w:val="left" w:pos="1069"/>
                <w:tab w:val="left" w:pos="2352"/>
              </w:tabs>
              <w:autoSpaceDE w:val="0"/>
              <w:autoSpaceDN w:val="0"/>
              <w:adjustRightInd w:val="0"/>
              <w:snapToGrid w:val="0"/>
              <w:spacing w:line="430" w:lineRule="atLeast"/>
              <w:rPr>
                <w:rFonts w:ascii="宋体" w:hAnsi="宋体" w:cs="宋体"/>
                <w:color w:val="auto"/>
                <w:sz w:val="22"/>
                <w:highlight w:val="none"/>
                <w:lang w:val="zh-CN"/>
              </w:rPr>
            </w:pPr>
          </w:p>
        </w:tc>
        <w:tc>
          <w:tcPr>
            <w:tcW w:w="8747" w:type="dxa"/>
            <w:vAlign w:val="center"/>
          </w:tcPr>
          <w:p w14:paraId="45D0FB1D">
            <w:pPr>
              <w:tabs>
                <w:tab w:val="left" w:pos="1069"/>
                <w:tab w:val="left" w:pos="2352"/>
              </w:tabs>
              <w:autoSpaceDE w:val="0"/>
              <w:autoSpaceDN w:val="0"/>
              <w:adjustRightInd w:val="0"/>
              <w:snapToGrid w:val="0"/>
              <w:spacing w:line="430" w:lineRule="atLeast"/>
              <w:rPr>
                <w:rFonts w:ascii="宋体" w:hAnsi="宋体" w:cs="宋体"/>
                <w:color w:val="auto"/>
                <w:sz w:val="22"/>
                <w:highlight w:val="none"/>
              </w:rPr>
            </w:pPr>
            <w:r>
              <w:rPr>
                <w:rFonts w:hint="eastAsia" w:ascii="宋体" w:hAnsi="宋体" w:cs="宋体"/>
                <w:color w:val="auto"/>
                <w:sz w:val="22"/>
                <w:highlight w:val="none"/>
              </w:rPr>
              <w:t>政府采购活动现场确认声明书（附件十一）</w:t>
            </w:r>
          </w:p>
        </w:tc>
      </w:tr>
    </w:tbl>
    <w:p w14:paraId="2003DE79">
      <w:pPr>
        <w:tabs>
          <w:tab w:val="left" w:pos="1069"/>
          <w:tab w:val="left" w:pos="2352"/>
        </w:tabs>
        <w:rPr>
          <w:rFonts w:ascii="宋体" w:hAnsi="宋体" w:cs="宋体"/>
          <w:color w:val="auto"/>
          <w:highlight w:val="none"/>
        </w:rPr>
      </w:pPr>
    </w:p>
    <w:p w14:paraId="28F37193">
      <w:pPr>
        <w:tabs>
          <w:tab w:val="left" w:pos="1069"/>
          <w:tab w:val="left" w:pos="2352"/>
        </w:tabs>
        <w:autoSpaceDE w:val="0"/>
        <w:autoSpaceDN w:val="0"/>
        <w:adjustRightInd w:val="0"/>
        <w:snapToGrid w:val="0"/>
        <w:spacing w:line="400" w:lineRule="exact"/>
        <w:textAlignment w:val="bottom"/>
        <w:rPr>
          <w:rFonts w:ascii="宋体" w:hAnsi="宋体" w:cs="宋体"/>
          <w:color w:val="auto"/>
          <w:sz w:val="22"/>
          <w:highlight w:val="none"/>
        </w:rPr>
      </w:pPr>
      <w:r>
        <w:rPr>
          <w:rFonts w:hint="eastAsia" w:ascii="宋体" w:hAnsi="宋体" w:cs="宋体"/>
          <w:color w:val="auto"/>
          <w:sz w:val="22"/>
          <w:highlight w:val="none"/>
        </w:rPr>
        <w:t>3.投标内容填写说明</w:t>
      </w:r>
    </w:p>
    <w:p w14:paraId="70DF86C9">
      <w:pPr>
        <w:tabs>
          <w:tab w:val="left" w:pos="1069"/>
          <w:tab w:val="left" w:pos="2352"/>
        </w:tabs>
        <w:autoSpaceDE w:val="0"/>
        <w:autoSpaceDN w:val="0"/>
        <w:adjustRightInd w:val="0"/>
        <w:spacing w:line="400" w:lineRule="exact"/>
        <w:ind w:firstLine="440" w:firstLineChars="200"/>
        <w:textAlignment w:val="bottom"/>
        <w:rPr>
          <w:rFonts w:ascii="宋体" w:hAnsi="宋体" w:cs="宋体"/>
          <w:color w:val="auto"/>
          <w:sz w:val="22"/>
          <w:highlight w:val="none"/>
        </w:rPr>
      </w:pPr>
      <w:r>
        <w:rPr>
          <w:rFonts w:hint="eastAsia" w:ascii="宋体" w:hAnsi="宋体" w:cs="宋体"/>
          <w:color w:val="auto"/>
          <w:sz w:val="22"/>
          <w:highlight w:val="none"/>
        </w:rPr>
        <w:t>供应商应按照（上表）所列出的内容及格式组成投标文件。</w:t>
      </w:r>
    </w:p>
    <w:p w14:paraId="2BCC9181">
      <w:pPr>
        <w:tabs>
          <w:tab w:val="left" w:pos="1069"/>
          <w:tab w:val="left" w:pos="2352"/>
        </w:tabs>
        <w:autoSpaceDE w:val="0"/>
        <w:autoSpaceDN w:val="0"/>
        <w:adjustRightInd w:val="0"/>
        <w:snapToGrid w:val="0"/>
        <w:spacing w:line="400" w:lineRule="exact"/>
        <w:textAlignment w:val="bottom"/>
        <w:rPr>
          <w:rFonts w:ascii="宋体" w:hAnsi="宋体" w:cs="宋体"/>
          <w:color w:val="auto"/>
          <w:sz w:val="22"/>
          <w:highlight w:val="none"/>
        </w:rPr>
      </w:pPr>
      <w:bookmarkStart w:id="42" w:name="_Toc132122412"/>
      <w:bookmarkStart w:id="43" w:name="_Toc132122115"/>
      <w:r>
        <w:rPr>
          <w:rFonts w:hint="eastAsia" w:ascii="宋体" w:hAnsi="宋体" w:cs="宋体"/>
          <w:color w:val="auto"/>
          <w:sz w:val="22"/>
          <w:highlight w:val="none"/>
        </w:rPr>
        <w:t>4.投标报价</w:t>
      </w:r>
      <w:bookmarkEnd w:id="42"/>
      <w:bookmarkEnd w:id="43"/>
    </w:p>
    <w:p w14:paraId="3654376E">
      <w:pPr>
        <w:tabs>
          <w:tab w:val="left" w:pos="1069"/>
          <w:tab w:val="left" w:pos="2352"/>
        </w:tabs>
        <w:autoSpaceDE w:val="0"/>
        <w:autoSpaceDN w:val="0"/>
        <w:adjustRightInd w:val="0"/>
        <w:spacing w:line="400" w:lineRule="exact"/>
        <w:ind w:firstLine="440" w:firstLineChars="200"/>
        <w:textAlignment w:val="bottom"/>
        <w:rPr>
          <w:rFonts w:ascii="宋体" w:hAnsi="宋体" w:cs="宋体"/>
          <w:color w:val="auto"/>
          <w:sz w:val="22"/>
          <w:highlight w:val="none"/>
        </w:rPr>
      </w:pPr>
      <w:r>
        <w:rPr>
          <w:rFonts w:hint="eastAsia" w:ascii="宋体" w:hAnsi="宋体" w:cs="宋体"/>
          <w:color w:val="auto"/>
          <w:sz w:val="22"/>
          <w:highlight w:val="none"/>
        </w:rPr>
        <w:t>4.1 供应商应按竞争性磋商文件中《开标（报价）一览表（首次报价）》填写投标报价。</w:t>
      </w:r>
    </w:p>
    <w:p w14:paraId="576BFB79">
      <w:pPr>
        <w:tabs>
          <w:tab w:val="left" w:pos="1069"/>
          <w:tab w:val="left" w:pos="2352"/>
        </w:tabs>
        <w:autoSpaceDE w:val="0"/>
        <w:autoSpaceDN w:val="0"/>
        <w:adjustRightInd w:val="0"/>
        <w:spacing w:line="400" w:lineRule="exact"/>
        <w:ind w:firstLine="440" w:firstLineChars="200"/>
        <w:textAlignment w:val="bottom"/>
        <w:rPr>
          <w:rFonts w:ascii="宋体" w:hAnsi="宋体" w:cs="宋体"/>
          <w:color w:val="auto"/>
          <w:sz w:val="22"/>
          <w:highlight w:val="none"/>
          <w:u w:val="single"/>
        </w:rPr>
      </w:pPr>
      <w:r>
        <w:rPr>
          <w:rFonts w:hint="eastAsia" w:ascii="宋体" w:hAnsi="宋体" w:cs="宋体"/>
          <w:color w:val="auto"/>
          <w:sz w:val="22"/>
          <w:highlight w:val="none"/>
        </w:rPr>
        <w:t>4.2 供应商应在各自技术和商务占优势的基础上并充分考虑本项目的重要性，提供对采购人最优惠的报价。</w:t>
      </w:r>
    </w:p>
    <w:p w14:paraId="3759FAEE">
      <w:pPr>
        <w:tabs>
          <w:tab w:val="left" w:pos="1069"/>
          <w:tab w:val="left" w:pos="2352"/>
        </w:tabs>
        <w:autoSpaceDE w:val="0"/>
        <w:autoSpaceDN w:val="0"/>
        <w:adjustRightInd w:val="0"/>
        <w:spacing w:line="400" w:lineRule="exact"/>
        <w:ind w:firstLine="440" w:firstLineChars="200"/>
        <w:textAlignment w:val="bottom"/>
        <w:rPr>
          <w:rFonts w:ascii="宋体" w:hAnsi="宋体" w:cs="宋体"/>
          <w:color w:val="auto"/>
          <w:sz w:val="22"/>
          <w:highlight w:val="none"/>
        </w:rPr>
      </w:pPr>
      <w:r>
        <w:rPr>
          <w:rFonts w:hint="eastAsia" w:ascii="宋体" w:hAnsi="宋体" w:cs="宋体"/>
          <w:color w:val="auto"/>
          <w:sz w:val="22"/>
          <w:highlight w:val="none"/>
        </w:rPr>
        <w:t xml:space="preserve">4.3 </w:t>
      </w:r>
      <w:r>
        <w:rPr>
          <w:rFonts w:hint="eastAsia" w:ascii="宋体" w:hAnsi="宋体" w:cs="宋体"/>
          <w:b/>
          <w:bCs/>
          <w:color w:val="auto"/>
          <w:sz w:val="22"/>
          <w:highlight w:val="none"/>
          <w:u w:val="single"/>
        </w:rPr>
        <w:t>除采购人有变更采购需求的情况外，供应商最终报价不得高于首次报价</w:t>
      </w:r>
      <w:r>
        <w:rPr>
          <w:rFonts w:hint="eastAsia" w:ascii="宋体" w:hAnsi="宋体" w:cs="宋体"/>
          <w:color w:val="auto"/>
          <w:sz w:val="22"/>
          <w:highlight w:val="none"/>
        </w:rPr>
        <w:t>。</w:t>
      </w:r>
    </w:p>
    <w:p w14:paraId="3B5FCBE2">
      <w:pPr>
        <w:tabs>
          <w:tab w:val="left" w:pos="1069"/>
          <w:tab w:val="left" w:pos="2352"/>
        </w:tabs>
        <w:autoSpaceDE w:val="0"/>
        <w:autoSpaceDN w:val="0"/>
        <w:adjustRightInd w:val="0"/>
        <w:spacing w:line="400" w:lineRule="exact"/>
        <w:ind w:firstLine="440" w:firstLineChars="200"/>
        <w:textAlignment w:val="bottom"/>
        <w:rPr>
          <w:rFonts w:ascii="宋体" w:hAnsi="宋体" w:cs="宋体"/>
          <w:color w:val="auto"/>
          <w:sz w:val="22"/>
          <w:highlight w:val="none"/>
        </w:rPr>
      </w:pPr>
      <w:r>
        <w:rPr>
          <w:rFonts w:hint="eastAsia" w:ascii="宋体" w:hAnsi="宋体" w:cs="宋体"/>
          <w:color w:val="auto"/>
          <w:sz w:val="22"/>
          <w:highlight w:val="none"/>
        </w:rPr>
        <w:t xml:space="preserve">4.4 </w:t>
      </w:r>
      <w:r>
        <w:rPr>
          <w:rFonts w:hint="eastAsia" w:ascii="宋体" w:hAnsi="宋体" w:cs="宋体"/>
          <w:b/>
          <w:bCs/>
          <w:color w:val="auto"/>
          <w:sz w:val="22"/>
          <w:highlight w:val="none"/>
          <w:u w:val="single"/>
        </w:rPr>
        <w:t>超过规定时间未提交最终报价的视为自动放弃投标</w:t>
      </w:r>
      <w:r>
        <w:rPr>
          <w:rFonts w:hint="eastAsia" w:ascii="宋体" w:hAnsi="宋体" w:cs="宋体"/>
          <w:color w:val="auto"/>
          <w:sz w:val="22"/>
          <w:highlight w:val="none"/>
        </w:rPr>
        <w:t>。</w:t>
      </w:r>
    </w:p>
    <w:p w14:paraId="5ED56711">
      <w:pPr>
        <w:tabs>
          <w:tab w:val="left" w:pos="1069"/>
          <w:tab w:val="left" w:pos="2352"/>
        </w:tabs>
        <w:autoSpaceDE w:val="0"/>
        <w:autoSpaceDN w:val="0"/>
        <w:adjustRightInd w:val="0"/>
        <w:spacing w:line="400" w:lineRule="exact"/>
        <w:ind w:firstLine="440" w:firstLineChars="200"/>
        <w:textAlignment w:val="bottom"/>
        <w:rPr>
          <w:rFonts w:ascii="宋体" w:hAnsi="宋体" w:cs="宋体"/>
          <w:color w:val="auto"/>
          <w:sz w:val="22"/>
          <w:highlight w:val="none"/>
        </w:rPr>
      </w:pPr>
      <w:r>
        <w:rPr>
          <w:rFonts w:hint="eastAsia" w:ascii="宋体" w:hAnsi="宋体" w:cs="宋体"/>
          <w:color w:val="auto"/>
          <w:sz w:val="22"/>
          <w:highlight w:val="none"/>
        </w:rPr>
        <w:t>5.采购人要求分类报价是为了方便评标，但在任何情况下不限制采购人以其认为最合适的条款签订合同的权利。</w:t>
      </w:r>
    </w:p>
    <w:p w14:paraId="2E1768DD">
      <w:pPr>
        <w:tabs>
          <w:tab w:val="left" w:pos="1069"/>
          <w:tab w:val="left" w:pos="2352"/>
        </w:tabs>
        <w:autoSpaceDE w:val="0"/>
        <w:autoSpaceDN w:val="0"/>
        <w:adjustRightInd w:val="0"/>
        <w:spacing w:line="400" w:lineRule="exact"/>
        <w:ind w:firstLine="440" w:firstLineChars="200"/>
        <w:textAlignment w:val="bottom"/>
        <w:rPr>
          <w:rFonts w:ascii="宋体" w:hAnsi="宋体" w:cs="宋体"/>
          <w:color w:val="auto"/>
          <w:sz w:val="22"/>
          <w:highlight w:val="none"/>
        </w:rPr>
      </w:pPr>
      <w:bookmarkStart w:id="44" w:name="_Toc132122117"/>
      <w:bookmarkStart w:id="45" w:name="_Toc132122414"/>
      <w:r>
        <w:rPr>
          <w:rFonts w:hint="eastAsia" w:ascii="宋体" w:hAnsi="宋体" w:cs="宋体"/>
          <w:color w:val="auto"/>
          <w:sz w:val="22"/>
          <w:highlight w:val="none"/>
        </w:rPr>
        <w:t>6.投标（响应）文件的有效期</w:t>
      </w:r>
      <w:bookmarkEnd w:id="44"/>
      <w:bookmarkEnd w:id="45"/>
    </w:p>
    <w:p w14:paraId="26572911">
      <w:pPr>
        <w:tabs>
          <w:tab w:val="left" w:pos="1069"/>
          <w:tab w:val="left" w:pos="2352"/>
        </w:tabs>
        <w:autoSpaceDE w:val="0"/>
        <w:autoSpaceDN w:val="0"/>
        <w:adjustRightInd w:val="0"/>
        <w:spacing w:line="400" w:lineRule="exact"/>
        <w:ind w:firstLine="440" w:firstLineChars="200"/>
        <w:textAlignment w:val="bottom"/>
        <w:rPr>
          <w:rFonts w:ascii="宋体" w:hAnsi="宋体" w:cs="宋体"/>
          <w:color w:val="auto"/>
          <w:sz w:val="22"/>
          <w:highlight w:val="none"/>
        </w:rPr>
      </w:pPr>
      <w:r>
        <w:rPr>
          <w:rFonts w:hint="eastAsia" w:ascii="宋体" w:hAnsi="宋体" w:cs="宋体"/>
          <w:color w:val="auto"/>
          <w:sz w:val="22"/>
          <w:highlight w:val="none"/>
        </w:rPr>
        <w:t>6.1 自报价截止时间起90天内，投标（响应）文件应保持有效。有效期短于这个规定期限的报价将被拒绝。</w:t>
      </w:r>
    </w:p>
    <w:p w14:paraId="4E6FB099">
      <w:pPr>
        <w:tabs>
          <w:tab w:val="left" w:pos="1069"/>
          <w:tab w:val="left" w:pos="2352"/>
        </w:tabs>
        <w:autoSpaceDE w:val="0"/>
        <w:autoSpaceDN w:val="0"/>
        <w:adjustRightInd w:val="0"/>
        <w:spacing w:line="400" w:lineRule="exact"/>
        <w:ind w:firstLine="440" w:firstLineChars="200"/>
        <w:textAlignment w:val="bottom"/>
        <w:rPr>
          <w:rFonts w:ascii="宋体" w:hAnsi="宋体" w:cs="宋体"/>
          <w:color w:val="auto"/>
          <w:sz w:val="22"/>
          <w:highlight w:val="none"/>
        </w:rPr>
      </w:pPr>
      <w:r>
        <w:rPr>
          <w:rFonts w:hint="eastAsia" w:ascii="宋体" w:hAnsi="宋体" w:cs="宋体"/>
          <w:color w:val="auto"/>
          <w:sz w:val="22"/>
          <w:highlight w:val="none"/>
        </w:rPr>
        <w:t>6.2 在特殊情况下，采购人可与供应商协商延长投标（响应）文件的有效期，这种要求和答复均应以书面形式进行。</w:t>
      </w:r>
    </w:p>
    <w:p w14:paraId="6F39CF3A">
      <w:pPr>
        <w:tabs>
          <w:tab w:val="left" w:pos="1069"/>
          <w:tab w:val="left" w:pos="2352"/>
        </w:tabs>
        <w:autoSpaceDE w:val="0"/>
        <w:autoSpaceDN w:val="0"/>
        <w:adjustRightInd w:val="0"/>
        <w:spacing w:line="400" w:lineRule="exact"/>
        <w:ind w:firstLine="440" w:firstLineChars="200"/>
        <w:textAlignment w:val="bottom"/>
        <w:rPr>
          <w:rFonts w:ascii="宋体" w:hAnsi="宋体" w:cs="宋体"/>
          <w:color w:val="auto"/>
          <w:sz w:val="22"/>
          <w:highlight w:val="none"/>
        </w:rPr>
      </w:pPr>
      <w:r>
        <w:rPr>
          <w:rFonts w:hint="eastAsia" w:ascii="宋体" w:hAnsi="宋体" w:cs="宋体"/>
          <w:color w:val="auto"/>
          <w:sz w:val="22"/>
          <w:highlight w:val="none"/>
        </w:rPr>
        <w:t>6.3 供应商可拒绝接受延期要求，同意延长有效期的供应商不能修改投标（响应）文件。</w:t>
      </w:r>
    </w:p>
    <w:p w14:paraId="008EF6DE">
      <w:pPr>
        <w:pStyle w:val="42"/>
        <w:tabs>
          <w:tab w:val="left" w:pos="1069"/>
          <w:tab w:val="left" w:pos="2352"/>
        </w:tabs>
        <w:adjustRightInd w:val="0"/>
        <w:snapToGrid w:val="0"/>
        <w:spacing w:line="400" w:lineRule="atLeast"/>
        <w:outlineLvl w:val="0"/>
        <w:rPr>
          <w:rFonts w:hAnsi="宋体" w:cs="宋体"/>
          <w:b/>
          <w:bCs/>
          <w:color w:val="auto"/>
          <w:sz w:val="22"/>
          <w:szCs w:val="22"/>
          <w:highlight w:val="none"/>
        </w:rPr>
      </w:pPr>
      <w:bookmarkStart w:id="46" w:name="_Toc132125096"/>
      <w:bookmarkStart w:id="47" w:name="_Toc132126155"/>
      <w:bookmarkStart w:id="48" w:name="_Toc132125152"/>
      <w:bookmarkStart w:id="49" w:name="_Toc132122417"/>
      <w:bookmarkStart w:id="50" w:name="_Toc132125038"/>
      <w:bookmarkStart w:id="51" w:name="_Toc132123440"/>
      <w:bookmarkStart w:id="52" w:name="_Toc132125575"/>
      <w:bookmarkStart w:id="53" w:name="_Toc132124595"/>
      <w:bookmarkStart w:id="54" w:name="_Toc132123548"/>
      <w:bookmarkStart w:id="55" w:name="_Toc132125984"/>
      <w:bookmarkStart w:id="56" w:name="_Toc132122120"/>
      <w:bookmarkStart w:id="57" w:name="_Toc132123882"/>
      <w:bookmarkStart w:id="58" w:name="_Toc132123839"/>
      <w:bookmarkStart w:id="59" w:name="_Toc132655777"/>
      <w:bookmarkStart w:id="60" w:name="_Toc132123635"/>
      <w:r>
        <w:rPr>
          <w:rFonts w:hint="eastAsia" w:hAnsi="宋体" w:cs="宋体"/>
          <w:b/>
          <w:bCs/>
          <w:color w:val="auto"/>
          <w:sz w:val="22"/>
          <w:highlight w:val="none"/>
        </w:rPr>
        <w:t>四、</w:t>
      </w:r>
      <w:r>
        <w:rPr>
          <w:rFonts w:hint="eastAsia" w:hAnsi="宋体" w:cs="宋体"/>
          <w:b/>
          <w:bCs/>
          <w:color w:val="auto"/>
          <w:sz w:val="22"/>
          <w:szCs w:val="22"/>
          <w:highlight w:val="none"/>
        </w:rPr>
        <w:t>投标文件</w:t>
      </w:r>
    </w:p>
    <w:p w14:paraId="23563CC9">
      <w:pPr>
        <w:pStyle w:val="42"/>
        <w:tabs>
          <w:tab w:val="left" w:pos="1069"/>
          <w:tab w:val="left" w:pos="2352"/>
        </w:tabs>
        <w:adjustRightInd w:val="0"/>
        <w:snapToGrid w:val="0"/>
        <w:spacing w:line="400" w:lineRule="atLeast"/>
        <w:ind w:firstLine="431" w:firstLineChars="196"/>
        <w:rPr>
          <w:rFonts w:hAnsi="宋体" w:cs="宋体"/>
          <w:color w:val="auto"/>
          <w:sz w:val="22"/>
          <w:szCs w:val="22"/>
          <w:highlight w:val="none"/>
        </w:rPr>
      </w:pPr>
      <w:r>
        <w:rPr>
          <w:rFonts w:hint="eastAsia" w:hAnsi="宋体" w:cs="宋体"/>
          <w:color w:val="auto"/>
          <w:sz w:val="22"/>
          <w:szCs w:val="22"/>
          <w:highlight w:val="none"/>
        </w:rPr>
        <w:t>1. 投标文件的上传、递交：见《投标邀请函（投标须知前附表）》。</w:t>
      </w:r>
    </w:p>
    <w:p w14:paraId="63BF2919">
      <w:pPr>
        <w:pStyle w:val="42"/>
        <w:tabs>
          <w:tab w:val="left" w:pos="1069"/>
          <w:tab w:val="left" w:pos="2352"/>
        </w:tabs>
        <w:adjustRightInd w:val="0"/>
        <w:snapToGrid w:val="0"/>
        <w:spacing w:line="400" w:lineRule="atLeast"/>
        <w:ind w:firstLine="431" w:firstLineChars="196"/>
        <w:rPr>
          <w:rFonts w:hAnsi="宋体" w:cs="宋体"/>
          <w:color w:val="auto"/>
          <w:sz w:val="22"/>
          <w:szCs w:val="22"/>
          <w:highlight w:val="none"/>
        </w:rPr>
      </w:pPr>
      <w:r>
        <w:rPr>
          <w:rFonts w:hint="eastAsia" w:hAnsi="宋体" w:cs="宋体"/>
          <w:color w:val="auto"/>
          <w:sz w:val="22"/>
          <w:szCs w:val="22"/>
          <w:highlight w:val="none"/>
        </w:rPr>
        <w:t>2.“电子加密投标文件”解密和异常情况处理：见《投标邀请函（投标须知前附表）》。</w:t>
      </w:r>
    </w:p>
    <w:p w14:paraId="11CE0670">
      <w:pPr>
        <w:pStyle w:val="42"/>
        <w:tabs>
          <w:tab w:val="left" w:pos="1069"/>
          <w:tab w:val="left" w:pos="2352"/>
        </w:tabs>
        <w:adjustRightInd w:val="0"/>
        <w:snapToGrid w:val="0"/>
        <w:spacing w:line="400" w:lineRule="atLeast"/>
        <w:ind w:firstLine="431" w:firstLineChars="196"/>
        <w:rPr>
          <w:rFonts w:hAnsi="宋体" w:cs="宋体"/>
          <w:color w:val="auto"/>
          <w:sz w:val="22"/>
          <w:szCs w:val="22"/>
          <w:highlight w:val="none"/>
        </w:rPr>
      </w:pPr>
      <w:r>
        <w:rPr>
          <w:rFonts w:hint="eastAsia" w:hAnsi="宋体" w:cs="宋体"/>
          <w:color w:val="auto"/>
          <w:sz w:val="22"/>
          <w:szCs w:val="22"/>
          <w:highlight w:val="none"/>
        </w:rPr>
        <w:t>3.投标文件的补充、修改或撤回</w:t>
      </w:r>
    </w:p>
    <w:p w14:paraId="6E68AF43">
      <w:pPr>
        <w:pStyle w:val="42"/>
        <w:tabs>
          <w:tab w:val="left" w:pos="1069"/>
          <w:tab w:val="left" w:pos="2352"/>
        </w:tabs>
        <w:adjustRightInd w:val="0"/>
        <w:snapToGrid w:val="0"/>
        <w:spacing w:line="400" w:lineRule="atLeast"/>
        <w:ind w:firstLine="431" w:firstLineChars="196"/>
        <w:rPr>
          <w:rFonts w:hAnsi="宋体" w:cs="宋体"/>
          <w:color w:val="auto"/>
          <w:sz w:val="22"/>
          <w:szCs w:val="22"/>
          <w:highlight w:val="none"/>
        </w:rPr>
      </w:pPr>
      <w:r>
        <w:rPr>
          <w:rFonts w:hint="eastAsia" w:hAnsi="宋体" w:cs="宋体"/>
          <w:color w:val="auto"/>
          <w:sz w:val="22"/>
          <w:szCs w:val="22"/>
          <w:highlight w:val="none"/>
        </w:rPr>
        <w:t>3.1供应商应当在投标截止时间前完成投标文件的上传、递交，并可以补充、修改或者撤回投标文件。补充或者修改投标文件的，应当先行撤回原文件，补充、修改后重新上传、递交。投标截止时间前未完成上传、递交的，视为撤回投标文件。投标截止时间后递交的投标文件，“政府采购云平台”将予以拒收。</w:t>
      </w:r>
    </w:p>
    <w:p w14:paraId="0C9A6621">
      <w:pPr>
        <w:pStyle w:val="42"/>
        <w:tabs>
          <w:tab w:val="left" w:pos="1069"/>
          <w:tab w:val="left" w:pos="2352"/>
        </w:tabs>
        <w:adjustRightInd w:val="0"/>
        <w:snapToGrid w:val="0"/>
        <w:spacing w:line="400" w:lineRule="atLeast"/>
        <w:ind w:firstLine="431" w:firstLineChars="196"/>
        <w:rPr>
          <w:rFonts w:hAnsi="宋体" w:cs="宋体"/>
          <w:color w:val="auto"/>
          <w:sz w:val="22"/>
          <w:szCs w:val="22"/>
          <w:highlight w:val="none"/>
        </w:rPr>
      </w:pPr>
      <w:r>
        <w:rPr>
          <w:rFonts w:hint="eastAsia" w:hAnsi="宋体" w:cs="宋体"/>
          <w:color w:val="auto"/>
          <w:sz w:val="22"/>
          <w:szCs w:val="22"/>
          <w:highlight w:val="none"/>
        </w:rPr>
        <w:t>3.2投标截止时间后，供应商不得撤回、修改《投标文件》。</w:t>
      </w:r>
    </w:p>
    <w:p w14:paraId="4DA5DB52">
      <w:pPr>
        <w:pStyle w:val="42"/>
        <w:tabs>
          <w:tab w:val="left" w:pos="1069"/>
          <w:tab w:val="left" w:pos="2352"/>
        </w:tabs>
        <w:adjustRightInd w:val="0"/>
        <w:snapToGrid w:val="0"/>
        <w:spacing w:line="400" w:lineRule="atLeast"/>
        <w:ind w:firstLine="431" w:firstLineChars="196"/>
        <w:rPr>
          <w:rFonts w:hAnsi="宋体" w:cs="宋体"/>
          <w:color w:val="auto"/>
          <w:sz w:val="22"/>
          <w:szCs w:val="22"/>
          <w:highlight w:val="none"/>
        </w:rPr>
      </w:pPr>
      <w:r>
        <w:rPr>
          <w:rFonts w:hint="eastAsia" w:hAnsi="宋体" w:cs="宋体"/>
          <w:color w:val="auto"/>
          <w:sz w:val="22"/>
          <w:szCs w:val="22"/>
          <w:highlight w:val="none"/>
        </w:rPr>
        <w:t>4.投标文件的备选方案</w:t>
      </w:r>
    </w:p>
    <w:p w14:paraId="692ACE38">
      <w:pPr>
        <w:pStyle w:val="42"/>
        <w:tabs>
          <w:tab w:val="left" w:pos="1069"/>
          <w:tab w:val="left" w:pos="2352"/>
        </w:tabs>
        <w:adjustRightInd w:val="0"/>
        <w:snapToGrid w:val="0"/>
        <w:spacing w:line="400" w:lineRule="atLeast"/>
        <w:ind w:firstLine="431" w:firstLineChars="196"/>
        <w:rPr>
          <w:rFonts w:hAnsi="宋体" w:cs="宋体"/>
          <w:color w:val="auto"/>
          <w:sz w:val="22"/>
          <w:szCs w:val="22"/>
          <w:highlight w:val="none"/>
        </w:rPr>
      </w:pPr>
      <w:r>
        <w:rPr>
          <w:rFonts w:hint="eastAsia" w:hAnsi="宋体" w:cs="宋体"/>
          <w:color w:val="auto"/>
          <w:sz w:val="22"/>
          <w:szCs w:val="22"/>
          <w:highlight w:val="none"/>
        </w:rPr>
        <w:t>4.1供应商不得递交任何的投标备选（替代）方案，否则其投标文件将作无效标处理。</w:t>
      </w:r>
    </w:p>
    <w:p w14:paraId="1450B9EC">
      <w:pPr>
        <w:pStyle w:val="42"/>
        <w:tabs>
          <w:tab w:val="left" w:pos="1069"/>
          <w:tab w:val="left" w:pos="2352"/>
        </w:tabs>
        <w:adjustRightInd w:val="0"/>
        <w:snapToGrid w:val="0"/>
        <w:spacing w:line="400" w:lineRule="atLeast"/>
        <w:ind w:firstLine="431" w:firstLineChars="196"/>
        <w:rPr>
          <w:rFonts w:hAnsi="宋体" w:cs="宋体"/>
          <w:color w:val="auto"/>
          <w:sz w:val="22"/>
          <w:szCs w:val="22"/>
          <w:highlight w:val="none"/>
        </w:rPr>
      </w:pPr>
      <w:r>
        <w:rPr>
          <w:rFonts w:hint="eastAsia" w:hAnsi="宋体" w:cs="宋体"/>
          <w:color w:val="auto"/>
          <w:sz w:val="22"/>
          <w:szCs w:val="22"/>
          <w:highlight w:val="none"/>
        </w:rPr>
        <w:t>5. 投标截止期</w:t>
      </w:r>
    </w:p>
    <w:p w14:paraId="7F3B1C6B">
      <w:pPr>
        <w:pStyle w:val="42"/>
        <w:tabs>
          <w:tab w:val="left" w:pos="1069"/>
          <w:tab w:val="left" w:pos="2352"/>
        </w:tabs>
        <w:adjustRightInd w:val="0"/>
        <w:snapToGrid w:val="0"/>
        <w:spacing w:line="400" w:lineRule="atLeast"/>
        <w:ind w:firstLine="431" w:firstLineChars="196"/>
        <w:rPr>
          <w:rFonts w:hAnsi="宋体" w:cs="宋体"/>
          <w:color w:val="auto"/>
          <w:sz w:val="22"/>
          <w:szCs w:val="22"/>
          <w:highlight w:val="none"/>
        </w:rPr>
      </w:pPr>
      <w:r>
        <w:rPr>
          <w:rFonts w:hint="eastAsia" w:hAnsi="宋体" w:cs="宋体"/>
          <w:color w:val="auto"/>
          <w:sz w:val="22"/>
          <w:szCs w:val="22"/>
          <w:highlight w:val="none"/>
        </w:rPr>
        <w:t>5.1供应商应按前附表中规定的时间、地点将投标文件递交给采购人，采购人将拒绝接受逾期送达的投标文件。</w:t>
      </w:r>
    </w:p>
    <w:p w14:paraId="6B2D1527">
      <w:pPr>
        <w:pStyle w:val="12"/>
        <w:tabs>
          <w:tab w:val="left" w:pos="1069"/>
          <w:tab w:val="left" w:pos="2352"/>
        </w:tabs>
        <w:adjustRightInd w:val="0"/>
        <w:spacing w:line="400" w:lineRule="exact"/>
        <w:ind w:firstLine="440" w:firstLineChars="200"/>
        <w:rPr>
          <w:rFonts w:hAnsi="宋体" w:cs="宋体"/>
          <w:b/>
          <w:bCs/>
          <w:color w:val="auto"/>
          <w:sz w:val="22"/>
          <w:highlight w:val="none"/>
        </w:rPr>
      </w:pPr>
      <w:r>
        <w:rPr>
          <w:rFonts w:hint="eastAsia" w:hAnsi="宋体" w:cs="宋体"/>
          <w:color w:val="auto"/>
          <w:sz w:val="22"/>
          <w:szCs w:val="22"/>
          <w:highlight w:val="none"/>
        </w:rPr>
        <w:t>5.2采购人可以按本须知规定以补充通知的方式，酌情延长递交投标文件的截止日期。在上述情况下，采购人与供应商以前在投标截止期方面的全部权利、责任和义务，将适用于延长至新的投标截止期。</w:t>
      </w:r>
    </w:p>
    <w:p w14:paraId="0213B8A4">
      <w:pPr>
        <w:pStyle w:val="12"/>
        <w:tabs>
          <w:tab w:val="left" w:pos="1069"/>
          <w:tab w:val="left" w:pos="2352"/>
        </w:tabs>
        <w:adjustRightInd w:val="0"/>
        <w:snapToGrid w:val="0"/>
        <w:spacing w:line="400" w:lineRule="exact"/>
        <w:ind w:firstLine="480"/>
        <w:outlineLvl w:val="0"/>
        <w:rPr>
          <w:rFonts w:hAnsi="宋体" w:cs="宋体"/>
          <w:b/>
          <w:bCs/>
          <w:color w:val="auto"/>
          <w:sz w:val="22"/>
          <w:highlight w:val="none"/>
        </w:rPr>
      </w:pPr>
      <w:bookmarkStart w:id="61" w:name="_Toc15003_WPSOffice_Level2"/>
      <w:bookmarkStart w:id="62" w:name="_Toc493530207"/>
      <w:r>
        <w:rPr>
          <w:rFonts w:hint="eastAsia" w:hAnsi="宋体" w:cs="宋体"/>
          <w:b/>
          <w:bCs/>
          <w:color w:val="auto"/>
          <w:sz w:val="22"/>
          <w:highlight w:val="none"/>
        </w:rPr>
        <w:t>五、开标和评标</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7CC6BF1E">
      <w:pPr>
        <w:pStyle w:val="12"/>
        <w:tabs>
          <w:tab w:val="left" w:pos="1069"/>
          <w:tab w:val="left" w:pos="2352"/>
        </w:tabs>
        <w:snapToGrid w:val="0"/>
        <w:spacing w:line="440" w:lineRule="exact"/>
        <w:ind w:firstLine="431" w:firstLineChars="196"/>
        <w:rPr>
          <w:rFonts w:hAnsi="宋体" w:cs="宋体"/>
          <w:color w:val="auto"/>
          <w:sz w:val="22"/>
          <w:szCs w:val="22"/>
          <w:highlight w:val="none"/>
        </w:rPr>
      </w:pPr>
      <w:r>
        <w:rPr>
          <w:rFonts w:hint="eastAsia" w:hAnsi="宋体" w:cs="宋体"/>
          <w:color w:val="auto"/>
          <w:sz w:val="22"/>
          <w:szCs w:val="22"/>
          <w:highlight w:val="none"/>
        </w:rPr>
        <w:t>1.开标</w:t>
      </w:r>
    </w:p>
    <w:p w14:paraId="225E58A2">
      <w:pPr>
        <w:pStyle w:val="12"/>
        <w:tabs>
          <w:tab w:val="left" w:pos="1069"/>
          <w:tab w:val="left" w:pos="2352"/>
        </w:tabs>
        <w:snapToGrid w:val="0"/>
        <w:spacing w:line="440" w:lineRule="exact"/>
        <w:ind w:firstLine="431" w:firstLineChars="196"/>
        <w:rPr>
          <w:rFonts w:hAnsi="宋体" w:cs="宋体"/>
          <w:color w:val="auto"/>
          <w:sz w:val="22"/>
          <w:szCs w:val="22"/>
          <w:highlight w:val="none"/>
        </w:rPr>
      </w:pPr>
      <w:r>
        <w:rPr>
          <w:rFonts w:hint="eastAsia" w:hAnsi="宋体" w:cs="宋体"/>
          <w:color w:val="auto"/>
          <w:sz w:val="22"/>
          <w:szCs w:val="22"/>
          <w:highlight w:val="none"/>
        </w:rPr>
        <w:t>1.1开标准备</w:t>
      </w:r>
    </w:p>
    <w:p w14:paraId="7BF6A9FC">
      <w:pPr>
        <w:tabs>
          <w:tab w:val="left" w:pos="1069"/>
          <w:tab w:val="left" w:pos="2352"/>
        </w:tabs>
        <w:snapToGrid w:val="0"/>
        <w:spacing w:line="440" w:lineRule="exact"/>
        <w:ind w:firstLine="440" w:firstLineChars="200"/>
        <w:jc w:val="left"/>
        <w:rPr>
          <w:rFonts w:ascii="宋体" w:hAnsi="宋体" w:cs="宋体"/>
          <w:b/>
          <w:color w:val="auto"/>
          <w:kern w:val="0"/>
          <w:sz w:val="22"/>
          <w:highlight w:val="none"/>
        </w:rPr>
      </w:pPr>
      <w:r>
        <w:rPr>
          <w:rFonts w:hint="eastAsia" w:ascii="宋体" w:hAnsi="宋体" w:cs="宋体"/>
          <w:bCs/>
          <w:color w:val="auto"/>
          <w:sz w:val="22"/>
          <w:highlight w:val="none"/>
        </w:rPr>
        <w:t>1）</w:t>
      </w:r>
      <w:r>
        <w:rPr>
          <w:rFonts w:hint="eastAsia" w:ascii="宋体" w:hAnsi="宋体" w:cs="宋体"/>
          <w:b/>
          <w:color w:val="auto"/>
          <w:sz w:val="22"/>
          <w:highlight w:val="none"/>
        </w:rPr>
        <w:t>采购组织机构原则上采用电子评标，按照响应文件规定的时间通过“政府采购云平台”组织开标、开启响应文件，所有供应商均应当准时在线参加。</w:t>
      </w:r>
      <w:r>
        <w:rPr>
          <w:rFonts w:hint="eastAsia" w:ascii="宋体" w:hAnsi="宋体" w:cs="宋体"/>
          <w:b/>
          <w:color w:val="auto"/>
          <w:kern w:val="0"/>
          <w:sz w:val="22"/>
          <w:highlight w:val="none"/>
        </w:rPr>
        <w:t>供应商如不参加磋商大会的，视同认可磋商结果，事后不得对采购相关人员、磋商过程和磋商结果提出异议，同时供应商因未在线参加磋商而导致响应文件无法按时解密等一切后果由供应商自己承担。</w:t>
      </w:r>
    </w:p>
    <w:p w14:paraId="00308F49">
      <w:pPr>
        <w:pStyle w:val="43"/>
        <w:tabs>
          <w:tab w:val="left" w:pos="1069"/>
          <w:tab w:val="left" w:pos="2352"/>
        </w:tabs>
        <w:spacing w:before="0" w:line="440" w:lineRule="exact"/>
        <w:ind w:left="0" w:firstLine="440" w:firstLineChars="200"/>
        <w:contextualSpacing/>
        <w:rPr>
          <w:rFonts w:ascii="宋体" w:hAnsi="宋体" w:cs="宋体"/>
          <w:color w:val="auto"/>
          <w:sz w:val="22"/>
          <w:szCs w:val="22"/>
          <w:highlight w:val="none"/>
        </w:rPr>
      </w:pPr>
      <w:r>
        <w:rPr>
          <w:rFonts w:hint="eastAsia" w:ascii="宋体" w:hAnsi="宋体" w:cs="宋体"/>
          <w:color w:val="auto"/>
          <w:sz w:val="22"/>
          <w:szCs w:val="22"/>
          <w:highlight w:val="none"/>
        </w:rPr>
        <w:t>2）若磋商供应商在规定时间内无法解密或解密失败的，其投标无效。</w:t>
      </w:r>
    </w:p>
    <w:p w14:paraId="0A10A3CA">
      <w:pPr>
        <w:tabs>
          <w:tab w:val="left" w:pos="1069"/>
          <w:tab w:val="left" w:pos="2352"/>
        </w:tabs>
        <w:snapToGrid w:val="0"/>
        <w:spacing w:line="440" w:lineRule="exact"/>
        <w:ind w:firstLine="440" w:firstLineChars="200"/>
        <w:jc w:val="left"/>
        <w:rPr>
          <w:rFonts w:ascii="宋体" w:hAnsi="宋体" w:cs="宋体"/>
          <w:bCs/>
          <w:color w:val="auto"/>
          <w:sz w:val="22"/>
          <w:highlight w:val="none"/>
        </w:rPr>
      </w:pPr>
      <w:r>
        <w:rPr>
          <w:rFonts w:hint="eastAsia" w:ascii="宋体" w:hAnsi="宋体" w:cs="宋体"/>
          <w:color w:val="auto"/>
          <w:sz w:val="22"/>
          <w:highlight w:val="none"/>
          <w:shd w:val="clear" w:color="auto" w:fill="FFFFFF"/>
        </w:rPr>
        <w:t>3）</w:t>
      </w:r>
      <w:r>
        <w:rPr>
          <w:rFonts w:hint="eastAsia" w:ascii="宋体" w:hAnsi="宋体" w:cs="宋体"/>
          <w:b/>
          <w:bCs/>
          <w:color w:val="auto"/>
          <w:sz w:val="22"/>
          <w:highlight w:val="none"/>
          <w:shd w:val="clear" w:color="auto" w:fill="FFFFFF"/>
        </w:rPr>
        <w:t>所有二次报价询标流程，均在线上完成，请各供应商务必不要离开电脑太久，并留意手机短信。（请提前检查“政采云”内，关于‘项目采购’的岗位权限是否已勾选上。如有问题，请致电400-881-7190）</w:t>
      </w:r>
    </w:p>
    <w:p w14:paraId="0A2CC4D8">
      <w:pPr>
        <w:pStyle w:val="43"/>
        <w:tabs>
          <w:tab w:val="left" w:pos="1069"/>
          <w:tab w:val="left" w:pos="2352"/>
        </w:tabs>
        <w:spacing w:before="0" w:line="440" w:lineRule="exact"/>
        <w:ind w:left="0" w:firstLine="440" w:firstLineChars="200"/>
        <w:contextualSpacing/>
        <w:rPr>
          <w:rFonts w:ascii="宋体" w:hAnsi="宋体" w:cs="宋体"/>
          <w:color w:val="auto"/>
          <w:sz w:val="22"/>
          <w:szCs w:val="22"/>
          <w:highlight w:val="none"/>
        </w:rPr>
      </w:pPr>
      <w:r>
        <w:rPr>
          <w:rFonts w:hint="eastAsia" w:ascii="宋体" w:hAnsi="宋体" w:cs="宋体"/>
          <w:color w:val="auto"/>
          <w:sz w:val="22"/>
          <w:szCs w:val="22"/>
          <w:highlight w:val="none"/>
        </w:rPr>
        <w:t>1.2 电子招投标开标及评审程序</w:t>
      </w:r>
    </w:p>
    <w:p w14:paraId="6F939714">
      <w:pPr>
        <w:pStyle w:val="43"/>
        <w:tabs>
          <w:tab w:val="left" w:pos="1069"/>
          <w:tab w:val="left" w:pos="2352"/>
        </w:tabs>
        <w:spacing w:before="0" w:line="440" w:lineRule="exact"/>
        <w:ind w:left="0" w:firstLine="440" w:firstLineChars="200"/>
        <w:contextualSpacing/>
        <w:rPr>
          <w:rFonts w:ascii="宋体" w:hAnsi="宋体" w:cs="宋体"/>
          <w:color w:val="auto"/>
          <w:sz w:val="22"/>
          <w:szCs w:val="22"/>
          <w:highlight w:val="none"/>
        </w:rPr>
      </w:pPr>
      <w:r>
        <w:rPr>
          <w:rFonts w:hint="eastAsia" w:ascii="宋体" w:hAnsi="宋体" w:cs="宋体"/>
          <w:color w:val="auto"/>
          <w:sz w:val="22"/>
          <w:szCs w:val="22"/>
          <w:highlight w:val="none"/>
        </w:rPr>
        <w:t>1）开标会由采购代理机构主持，磋商响应截止时间后，供应商登录政采云平台，用“项目采购-开标评标”功能对电子投标文件进行在线解密，各供应商代表在收到解密通知后30分钟内自行完成“电子加密投标文件”的在线解密。</w:t>
      </w:r>
    </w:p>
    <w:p w14:paraId="1CB5DA30">
      <w:pPr>
        <w:pStyle w:val="43"/>
        <w:tabs>
          <w:tab w:val="left" w:pos="1069"/>
          <w:tab w:val="left" w:pos="2352"/>
        </w:tabs>
        <w:spacing w:before="0" w:line="440" w:lineRule="exact"/>
        <w:ind w:left="0" w:firstLine="440" w:firstLineChars="200"/>
        <w:contextualSpacing/>
        <w:rPr>
          <w:rFonts w:ascii="宋体" w:hAnsi="宋体" w:cs="宋体"/>
          <w:color w:val="auto"/>
          <w:sz w:val="22"/>
          <w:szCs w:val="22"/>
          <w:highlight w:val="none"/>
        </w:rPr>
      </w:pPr>
      <w:r>
        <w:rPr>
          <w:rFonts w:hint="eastAsia" w:ascii="宋体" w:hAnsi="宋体" w:cs="宋体"/>
          <w:color w:val="auto"/>
          <w:sz w:val="22"/>
          <w:szCs w:val="22"/>
          <w:highlight w:val="none"/>
        </w:rPr>
        <w:t>2）投标文件解密结束，开启投标文件，对资格文件进行审查，并公布资格审查情况；</w:t>
      </w:r>
    </w:p>
    <w:p w14:paraId="0F1D35AA">
      <w:pPr>
        <w:pStyle w:val="43"/>
        <w:tabs>
          <w:tab w:val="left" w:pos="1069"/>
          <w:tab w:val="left" w:pos="2352"/>
        </w:tabs>
        <w:spacing w:before="0" w:line="440" w:lineRule="exact"/>
        <w:ind w:left="0" w:firstLine="440" w:firstLineChars="200"/>
        <w:contextualSpacing/>
        <w:rPr>
          <w:rFonts w:ascii="宋体" w:hAnsi="宋体" w:cs="宋体"/>
          <w:color w:val="auto"/>
          <w:sz w:val="22"/>
          <w:szCs w:val="22"/>
          <w:highlight w:val="none"/>
        </w:rPr>
      </w:pPr>
      <w:r>
        <w:rPr>
          <w:rFonts w:hint="eastAsia" w:ascii="宋体" w:hAnsi="宋体" w:cs="宋体"/>
          <w:color w:val="auto"/>
          <w:sz w:val="22"/>
          <w:szCs w:val="22"/>
          <w:highlight w:val="none"/>
        </w:rPr>
        <w:t>3）评审小组就价格、服务等认为需要磋商的内容进行磋商，供应商逐家回答磋商小组的提问，响应人作出最终承诺和最终报价。</w:t>
      </w:r>
    </w:p>
    <w:p w14:paraId="368EF6D5">
      <w:pPr>
        <w:pStyle w:val="43"/>
        <w:tabs>
          <w:tab w:val="left" w:pos="1069"/>
          <w:tab w:val="left" w:pos="2352"/>
        </w:tabs>
        <w:spacing w:before="0" w:line="440" w:lineRule="exact"/>
        <w:ind w:left="0" w:firstLine="440" w:firstLineChars="200"/>
        <w:contextualSpacing/>
        <w:rPr>
          <w:rFonts w:ascii="宋体" w:hAnsi="宋体" w:cs="宋体"/>
          <w:color w:val="auto"/>
          <w:sz w:val="22"/>
          <w:szCs w:val="22"/>
          <w:highlight w:val="none"/>
        </w:rPr>
      </w:pPr>
      <w:r>
        <w:rPr>
          <w:rFonts w:hint="eastAsia" w:ascii="宋体" w:hAnsi="宋体" w:cs="宋体"/>
          <w:color w:val="auto"/>
          <w:sz w:val="22"/>
          <w:szCs w:val="22"/>
          <w:highlight w:val="none"/>
        </w:rPr>
        <w:t>4）对商务技术文件进行评审；</w:t>
      </w:r>
    </w:p>
    <w:p w14:paraId="4D577817">
      <w:pPr>
        <w:pStyle w:val="43"/>
        <w:tabs>
          <w:tab w:val="left" w:pos="1069"/>
          <w:tab w:val="left" w:pos="2352"/>
        </w:tabs>
        <w:spacing w:before="0" w:line="440" w:lineRule="exact"/>
        <w:ind w:left="0" w:firstLine="440" w:firstLineChars="200"/>
        <w:contextualSpacing/>
        <w:rPr>
          <w:rFonts w:ascii="宋体" w:hAnsi="宋体" w:cs="宋体"/>
          <w:color w:val="auto"/>
          <w:sz w:val="22"/>
          <w:szCs w:val="22"/>
          <w:highlight w:val="none"/>
        </w:rPr>
      </w:pPr>
      <w:r>
        <w:rPr>
          <w:rFonts w:hint="eastAsia" w:ascii="宋体" w:hAnsi="宋体" w:cs="宋体"/>
          <w:color w:val="auto"/>
          <w:sz w:val="22"/>
          <w:szCs w:val="22"/>
          <w:highlight w:val="none"/>
        </w:rPr>
        <w:t>5）对报价文件进行评审；</w:t>
      </w:r>
    </w:p>
    <w:p w14:paraId="14E68B06">
      <w:pPr>
        <w:pStyle w:val="43"/>
        <w:tabs>
          <w:tab w:val="left" w:pos="1069"/>
          <w:tab w:val="left" w:pos="2352"/>
        </w:tabs>
        <w:spacing w:before="0" w:line="440" w:lineRule="exact"/>
        <w:ind w:left="0" w:firstLine="440" w:firstLineChars="200"/>
        <w:contextualSpacing/>
        <w:rPr>
          <w:rFonts w:ascii="宋体" w:hAnsi="宋体" w:cs="宋体"/>
          <w:color w:val="auto"/>
          <w:sz w:val="22"/>
          <w:szCs w:val="22"/>
          <w:highlight w:val="none"/>
        </w:rPr>
      </w:pPr>
      <w:r>
        <w:rPr>
          <w:rFonts w:hint="eastAsia" w:ascii="宋体" w:hAnsi="宋体" w:cs="宋体"/>
          <w:color w:val="auto"/>
          <w:sz w:val="22"/>
          <w:szCs w:val="22"/>
          <w:highlight w:val="none"/>
        </w:rPr>
        <w:t>6）公布评审结果。</w:t>
      </w:r>
    </w:p>
    <w:p w14:paraId="7D2DB5D7">
      <w:pPr>
        <w:pStyle w:val="12"/>
        <w:tabs>
          <w:tab w:val="left" w:pos="1069"/>
          <w:tab w:val="left" w:pos="2352"/>
        </w:tabs>
        <w:adjustRightInd w:val="0"/>
        <w:spacing w:line="400" w:lineRule="exact"/>
        <w:ind w:firstLine="442" w:firstLineChars="200"/>
        <w:rPr>
          <w:rFonts w:hAnsi="宋体" w:cs="宋体"/>
          <w:b/>
          <w:bCs/>
          <w:color w:val="auto"/>
          <w:sz w:val="22"/>
          <w:szCs w:val="22"/>
          <w:highlight w:val="none"/>
        </w:rPr>
      </w:pPr>
      <w:r>
        <w:rPr>
          <w:rFonts w:hint="eastAsia" w:hAnsi="宋体" w:cs="宋体"/>
          <w:b/>
          <w:bCs/>
          <w:color w:val="auto"/>
          <w:sz w:val="22"/>
          <w:szCs w:val="22"/>
          <w:highlight w:val="none"/>
        </w:rPr>
        <w:t>特别说明：政采云公司如对电子化开标及评审程序有调整的，按调整后的程序操作。</w:t>
      </w:r>
    </w:p>
    <w:p w14:paraId="11BB4EE8">
      <w:pPr>
        <w:tabs>
          <w:tab w:val="left" w:pos="1069"/>
          <w:tab w:val="left" w:pos="2352"/>
        </w:tabs>
        <w:adjustRightInd w:val="0"/>
        <w:snapToGrid w:val="0"/>
        <w:spacing w:line="400" w:lineRule="atLeast"/>
        <w:ind w:firstLine="433" w:firstLineChars="197"/>
        <w:rPr>
          <w:rFonts w:hAnsi="宋体" w:cs="宋体"/>
          <w:b/>
          <w:bCs/>
          <w:color w:val="auto"/>
          <w:sz w:val="22"/>
          <w:highlight w:val="none"/>
        </w:rPr>
      </w:pPr>
      <w:r>
        <w:rPr>
          <w:rFonts w:hint="eastAsia" w:ascii="宋体" w:hAnsi="宋体" w:cs="宋体"/>
          <w:color w:val="auto"/>
          <w:sz w:val="22"/>
          <w:highlight w:val="none"/>
        </w:rPr>
        <w:t>▲</w:t>
      </w:r>
      <w:r>
        <w:rPr>
          <w:rFonts w:hint="eastAsia" w:ascii="宋体" w:hAnsi="宋体" w:cs="宋体"/>
          <w:b/>
          <w:bCs/>
          <w:color w:val="auto"/>
          <w:sz w:val="22"/>
          <w:highlight w:val="none"/>
        </w:rPr>
        <w:t>供应商政采云系统填写报价和电子投标文件（开标（报价）一览表</w:t>
      </w:r>
      <w:r>
        <w:rPr>
          <w:rFonts w:hint="eastAsia" w:ascii="宋体" w:hAnsi="宋体" w:cs="宋体"/>
          <w:color w:val="auto"/>
          <w:sz w:val="22"/>
          <w:highlight w:val="none"/>
        </w:rPr>
        <w:t>（首次报价）</w:t>
      </w:r>
      <w:r>
        <w:rPr>
          <w:rFonts w:hint="eastAsia" w:ascii="宋体" w:hAnsi="宋体" w:cs="宋体"/>
          <w:b/>
          <w:bCs/>
          <w:color w:val="auto"/>
          <w:sz w:val="22"/>
          <w:highlight w:val="none"/>
        </w:rPr>
        <w:t>）中填写不一致的，以电子投标文件（开标（报价）一览表</w:t>
      </w:r>
      <w:r>
        <w:rPr>
          <w:rFonts w:hint="eastAsia" w:ascii="宋体" w:hAnsi="宋体" w:cs="宋体"/>
          <w:color w:val="auto"/>
          <w:sz w:val="22"/>
          <w:highlight w:val="none"/>
        </w:rPr>
        <w:t>（首次报价）</w:t>
      </w:r>
      <w:r>
        <w:rPr>
          <w:rFonts w:hint="eastAsia" w:ascii="宋体" w:hAnsi="宋体" w:cs="宋体"/>
          <w:b/>
          <w:bCs/>
          <w:color w:val="auto"/>
          <w:sz w:val="22"/>
          <w:highlight w:val="none"/>
        </w:rPr>
        <w:t>）为准，如果不接受调整价格的做废标处理。</w:t>
      </w:r>
    </w:p>
    <w:p w14:paraId="709CAD18">
      <w:pPr>
        <w:pStyle w:val="12"/>
        <w:tabs>
          <w:tab w:val="left" w:pos="1069"/>
          <w:tab w:val="left" w:pos="2352"/>
        </w:tabs>
        <w:adjustRightInd w:val="0"/>
        <w:spacing w:line="400" w:lineRule="exact"/>
        <w:ind w:firstLine="440" w:firstLineChars="200"/>
        <w:rPr>
          <w:rFonts w:hAnsi="宋体" w:cs="宋体"/>
          <w:b/>
          <w:bCs/>
          <w:color w:val="auto"/>
          <w:sz w:val="22"/>
          <w:highlight w:val="none"/>
        </w:rPr>
      </w:pPr>
      <w:r>
        <w:rPr>
          <w:rFonts w:hint="eastAsia" w:hAnsi="宋体" w:cs="宋体"/>
          <w:color w:val="auto"/>
          <w:sz w:val="22"/>
          <w:highlight w:val="none"/>
        </w:rPr>
        <w:t>2.评标</w:t>
      </w:r>
    </w:p>
    <w:p w14:paraId="7D6729F5">
      <w:pPr>
        <w:pStyle w:val="12"/>
        <w:tabs>
          <w:tab w:val="left" w:pos="1069"/>
          <w:tab w:val="left" w:pos="2352"/>
        </w:tabs>
        <w:adjustRightInd w:val="0"/>
        <w:spacing w:line="400" w:lineRule="exact"/>
        <w:ind w:firstLine="440" w:firstLineChars="200"/>
        <w:rPr>
          <w:rFonts w:hAnsi="宋体" w:cs="宋体"/>
          <w:b/>
          <w:bCs/>
          <w:color w:val="auto"/>
          <w:sz w:val="22"/>
          <w:highlight w:val="none"/>
        </w:rPr>
      </w:pPr>
      <w:r>
        <w:rPr>
          <w:rFonts w:hint="eastAsia" w:hAnsi="宋体" w:cs="宋体"/>
          <w:color w:val="auto"/>
          <w:sz w:val="22"/>
          <w:highlight w:val="none"/>
        </w:rPr>
        <w:t>2.1 评标由采购人依法组建的评审小组负责，并独立履行下列职责：</w:t>
      </w:r>
    </w:p>
    <w:p w14:paraId="3D765302">
      <w:pPr>
        <w:tabs>
          <w:tab w:val="left" w:pos="1069"/>
          <w:tab w:val="left" w:pos="2352"/>
        </w:tabs>
        <w:spacing w:line="400" w:lineRule="exact"/>
        <w:ind w:firstLine="431" w:firstLineChars="196"/>
        <w:rPr>
          <w:rFonts w:ascii="宋体" w:hAnsi="宋体" w:cs="宋体"/>
          <w:color w:val="auto"/>
          <w:sz w:val="22"/>
          <w:highlight w:val="none"/>
        </w:rPr>
      </w:pPr>
      <w:bookmarkStart w:id="63" w:name="_Toc2500_WPSOffice_Level3"/>
      <w:r>
        <w:rPr>
          <w:rFonts w:hint="eastAsia" w:ascii="宋体" w:hAnsi="宋体" w:cs="宋体"/>
          <w:color w:val="auto"/>
          <w:sz w:val="22"/>
          <w:highlight w:val="none"/>
        </w:rPr>
        <w:t>1）审查投标（响应）文件是否符合竞争性磋商文件要求，并作出评价；</w:t>
      </w:r>
      <w:bookmarkEnd w:id="63"/>
    </w:p>
    <w:p w14:paraId="5028C861">
      <w:pPr>
        <w:tabs>
          <w:tab w:val="left" w:pos="1069"/>
          <w:tab w:val="left" w:pos="2352"/>
        </w:tabs>
        <w:spacing w:line="400" w:lineRule="exact"/>
        <w:ind w:firstLine="440" w:firstLineChars="200"/>
        <w:rPr>
          <w:rFonts w:ascii="宋体" w:hAnsi="宋体" w:cs="宋体"/>
          <w:color w:val="auto"/>
          <w:sz w:val="22"/>
          <w:highlight w:val="none"/>
        </w:rPr>
      </w:pPr>
      <w:bookmarkStart w:id="64" w:name="_Toc20806_WPSOffice_Level3"/>
      <w:r>
        <w:rPr>
          <w:rFonts w:hint="eastAsia" w:ascii="宋体" w:hAnsi="宋体" w:cs="宋体"/>
          <w:color w:val="auto"/>
          <w:sz w:val="22"/>
          <w:highlight w:val="none"/>
        </w:rPr>
        <w:t>2）要求供应商对投标（响应）文件有关事项作出解释或者澄清；</w:t>
      </w:r>
      <w:bookmarkEnd w:id="64"/>
    </w:p>
    <w:p w14:paraId="629C3AD6">
      <w:pPr>
        <w:tabs>
          <w:tab w:val="left" w:pos="1069"/>
          <w:tab w:val="left" w:pos="2352"/>
        </w:tabs>
        <w:spacing w:line="400" w:lineRule="exact"/>
        <w:ind w:firstLine="440" w:firstLineChars="200"/>
        <w:rPr>
          <w:rFonts w:ascii="宋体" w:hAnsi="宋体" w:cs="宋体"/>
          <w:color w:val="auto"/>
          <w:sz w:val="22"/>
          <w:highlight w:val="none"/>
        </w:rPr>
      </w:pPr>
      <w:bookmarkStart w:id="65" w:name="_Toc12689_WPSOffice_Level3"/>
      <w:r>
        <w:rPr>
          <w:rFonts w:hint="eastAsia" w:ascii="宋体" w:hAnsi="宋体" w:cs="宋体"/>
          <w:color w:val="auto"/>
          <w:sz w:val="22"/>
          <w:highlight w:val="none"/>
        </w:rPr>
        <w:t>3）按照竞争性磋商文件确定的评标办法直接确定中标（成交）供应商；</w:t>
      </w:r>
      <w:bookmarkEnd w:id="65"/>
    </w:p>
    <w:p w14:paraId="430102D2">
      <w:pPr>
        <w:pStyle w:val="12"/>
        <w:tabs>
          <w:tab w:val="left" w:pos="1069"/>
          <w:tab w:val="left" w:pos="2352"/>
        </w:tabs>
        <w:adjustRightInd w:val="0"/>
        <w:spacing w:line="400" w:lineRule="exact"/>
        <w:ind w:firstLine="431" w:firstLineChars="196"/>
        <w:rPr>
          <w:rFonts w:hAnsi="宋体" w:cs="宋体"/>
          <w:b/>
          <w:bCs/>
          <w:color w:val="auto"/>
          <w:sz w:val="22"/>
          <w:highlight w:val="none"/>
        </w:rPr>
      </w:pPr>
      <w:bookmarkStart w:id="66" w:name="_Toc20017_WPSOffice_Level3"/>
      <w:r>
        <w:rPr>
          <w:rFonts w:hint="eastAsia" w:hAnsi="宋体" w:cs="宋体"/>
          <w:color w:val="auto"/>
          <w:sz w:val="22"/>
          <w:highlight w:val="none"/>
        </w:rPr>
        <w:t>4）向采购人或者有关部门报告非法干预评标工作的行为。</w:t>
      </w:r>
      <w:bookmarkEnd w:id="66"/>
    </w:p>
    <w:p w14:paraId="0CCBD332">
      <w:pPr>
        <w:tabs>
          <w:tab w:val="left" w:pos="1069"/>
          <w:tab w:val="left" w:pos="2352"/>
        </w:tabs>
        <w:spacing w:line="400" w:lineRule="exact"/>
        <w:ind w:firstLine="431" w:firstLineChars="196"/>
        <w:rPr>
          <w:rFonts w:ascii="宋体" w:hAnsi="宋体" w:cs="宋体"/>
          <w:color w:val="auto"/>
          <w:sz w:val="22"/>
          <w:highlight w:val="none"/>
        </w:rPr>
      </w:pPr>
      <w:r>
        <w:rPr>
          <w:rFonts w:hint="eastAsia" w:ascii="宋体" w:hAnsi="宋体" w:cs="宋体"/>
          <w:color w:val="auto"/>
          <w:sz w:val="22"/>
          <w:highlight w:val="none"/>
        </w:rPr>
        <w:t>2.2 评标应当遵循下列工作程序：</w:t>
      </w:r>
    </w:p>
    <w:p w14:paraId="3AC30DBA">
      <w:pPr>
        <w:tabs>
          <w:tab w:val="left" w:pos="1069"/>
          <w:tab w:val="left" w:pos="2352"/>
        </w:tabs>
        <w:spacing w:line="400" w:lineRule="exact"/>
        <w:rPr>
          <w:rFonts w:ascii="宋体" w:hAnsi="宋体" w:cs="宋体"/>
          <w:color w:val="auto"/>
          <w:sz w:val="22"/>
          <w:highlight w:val="none"/>
        </w:rPr>
      </w:pPr>
      <w:r>
        <w:rPr>
          <w:rFonts w:hint="eastAsia" w:ascii="宋体" w:hAnsi="宋体" w:cs="宋体"/>
          <w:color w:val="auto"/>
          <w:sz w:val="22"/>
          <w:highlight w:val="none"/>
        </w:rPr>
        <w:t xml:space="preserve">    1）投标（响应）文件初审。初审分为资格性检查和符合性检查。</w:t>
      </w:r>
    </w:p>
    <w:p w14:paraId="652F1E8B">
      <w:pPr>
        <w:tabs>
          <w:tab w:val="left" w:pos="1069"/>
          <w:tab w:val="left" w:pos="2352"/>
        </w:tabs>
        <w:spacing w:line="400" w:lineRule="exact"/>
        <w:ind w:firstLine="440" w:firstLineChars="200"/>
        <w:rPr>
          <w:rFonts w:ascii="宋体" w:hAnsi="宋体" w:cs="宋体"/>
          <w:color w:val="auto"/>
          <w:sz w:val="22"/>
          <w:highlight w:val="none"/>
        </w:rPr>
      </w:pPr>
      <w:r>
        <w:rPr>
          <w:rFonts w:hint="eastAsia" w:ascii="宋体" w:hAnsi="宋体" w:cs="宋体"/>
          <w:color w:val="auto"/>
          <w:sz w:val="22"/>
          <w:highlight w:val="none"/>
        </w:rPr>
        <w:t>（1)资格性检查。由采购人代表或招标代理机构对供应商资格进行审查。依据法律法规和竞争性磋商文件的规定，对投标（响应）文件中的资格证明文件等进行审查，以确定供应商是否具备投标资格。</w:t>
      </w:r>
    </w:p>
    <w:p w14:paraId="47630B70">
      <w:pPr>
        <w:tabs>
          <w:tab w:val="left" w:pos="1069"/>
          <w:tab w:val="left" w:pos="2352"/>
        </w:tabs>
        <w:spacing w:line="400" w:lineRule="exact"/>
        <w:ind w:firstLine="440" w:firstLineChars="200"/>
        <w:rPr>
          <w:rFonts w:ascii="宋体" w:hAnsi="宋体" w:cs="宋体"/>
          <w:color w:val="auto"/>
          <w:sz w:val="22"/>
          <w:highlight w:val="none"/>
        </w:rPr>
      </w:pPr>
      <w:r>
        <w:rPr>
          <w:rFonts w:hint="eastAsia" w:ascii="宋体" w:hAnsi="宋体" w:cs="宋体"/>
          <w:color w:val="auto"/>
          <w:sz w:val="22"/>
          <w:highlight w:val="none"/>
        </w:rPr>
        <w:t>（2)符合性检查。评审小组依据竞争性磋商文件的规定，从投标（响应）文件的有效性、完整性和对竞争性磋商文件的响应程度进行审查，以确定是否对竞争性磋商文件的实质性要求作出响应。</w:t>
      </w:r>
    </w:p>
    <w:p w14:paraId="7F606124">
      <w:pPr>
        <w:tabs>
          <w:tab w:val="left" w:pos="1069"/>
          <w:tab w:val="left" w:pos="2352"/>
        </w:tabs>
        <w:spacing w:line="400" w:lineRule="exact"/>
        <w:ind w:firstLine="440"/>
        <w:rPr>
          <w:rFonts w:ascii="宋体" w:hAnsi="宋体" w:cs="宋体"/>
          <w:color w:val="auto"/>
          <w:sz w:val="22"/>
          <w:highlight w:val="none"/>
        </w:rPr>
      </w:pPr>
      <w:r>
        <w:rPr>
          <w:rFonts w:hint="eastAsia" w:ascii="宋体" w:hAnsi="宋体" w:cs="宋体"/>
          <w:color w:val="auto"/>
          <w:sz w:val="22"/>
          <w:highlight w:val="none"/>
        </w:rPr>
        <w:t>2）评审小组可以根据供应商投标（响应）文件情况，经采购人确认，调整竞争性磋商文件及采购方案，在统一采购要求的基础上，要求所有有效供应商重新修正投标（响应）文件及进行多轮次报价。</w:t>
      </w:r>
    </w:p>
    <w:p w14:paraId="75342010">
      <w:pPr>
        <w:tabs>
          <w:tab w:val="left" w:pos="1069"/>
          <w:tab w:val="left" w:pos="2352"/>
        </w:tabs>
        <w:spacing w:line="400" w:lineRule="exact"/>
        <w:ind w:firstLine="440"/>
        <w:rPr>
          <w:rFonts w:ascii="宋体" w:hAnsi="宋体" w:cs="宋体"/>
          <w:color w:val="auto"/>
          <w:sz w:val="22"/>
          <w:highlight w:val="none"/>
        </w:rPr>
      </w:pPr>
      <w:r>
        <w:rPr>
          <w:rFonts w:hint="eastAsia" w:ascii="宋体" w:hAnsi="宋体" w:cs="宋体"/>
          <w:color w:val="auto"/>
          <w:sz w:val="22"/>
          <w:highlight w:val="none"/>
        </w:rPr>
        <w:t>3）评价。按竞争性磋商文件中规定的评标方法和标准，对资格性检查和符合性检查合格的投标（响应）文件进行商务和技术评估，综合评价。</w:t>
      </w:r>
    </w:p>
    <w:p w14:paraId="6ECFCE15">
      <w:pPr>
        <w:tabs>
          <w:tab w:val="left" w:pos="1069"/>
          <w:tab w:val="left" w:pos="2352"/>
        </w:tabs>
        <w:spacing w:line="400" w:lineRule="exact"/>
        <w:ind w:firstLine="440"/>
        <w:rPr>
          <w:rFonts w:ascii="宋体" w:hAnsi="宋体" w:cs="宋体"/>
          <w:color w:val="auto"/>
          <w:sz w:val="22"/>
          <w:highlight w:val="none"/>
        </w:rPr>
      </w:pPr>
      <w:r>
        <w:rPr>
          <w:rFonts w:hint="eastAsia" w:ascii="宋体" w:hAnsi="宋体" w:cs="宋体"/>
          <w:color w:val="auto"/>
          <w:sz w:val="22"/>
          <w:highlight w:val="none"/>
        </w:rPr>
        <w:t>4）推荐中标（成交）供应商候选人名单，并根据采购人的授权确定中标（成交）供应商。</w:t>
      </w:r>
    </w:p>
    <w:p w14:paraId="52E70C9C">
      <w:pPr>
        <w:pStyle w:val="12"/>
        <w:tabs>
          <w:tab w:val="left" w:pos="1069"/>
          <w:tab w:val="left" w:pos="2352"/>
        </w:tabs>
        <w:adjustRightInd w:val="0"/>
        <w:snapToGrid w:val="0"/>
        <w:spacing w:line="400" w:lineRule="exact"/>
        <w:ind w:firstLine="433" w:firstLineChars="197"/>
        <w:rPr>
          <w:rFonts w:hAnsi="宋体" w:cs="宋体"/>
          <w:b/>
          <w:bCs/>
          <w:color w:val="auto"/>
          <w:sz w:val="22"/>
          <w:highlight w:val="none"/>
          <w:u w:val="single"/>
        </w:rPr>
      </w:pPr>
      <w:r>
        <w:rPr>
          <w:rFonts w:hint="eastAsia" w:hAnsi="宋体" w:cs="宋体"/>
          <w:color w:val="auto"/>
          <w:sz w:val="22"/>
          <w:highlight w:val="none"/>
        </w:rPr>
        <w:t xml:space="preserve">2.3 </w:t>
      </w:r>
      <w:r>
        <w:rPr>
          <w:rFonts w:hint="eastAsia" w:hAnsi="宋体" w:cs="宋体"/>
          <w:color w:val="auto"/>
          <w:sz w:val="22"/>
          <w:highlight w:val="none"/>
          <w:u w:val="single"/>
        </w:rPr>
        <w:t>▲供应商存在下列情况之一的，报价无效:</w:t>
      </w:r>
    </w:p>
    <w:p w14:paraId="178C3218">
      <w:pPr>
        <w:pStyle w:val="12"/>
        <w:tabs>
          <w:tab w:val="left" w:pos="1069"/>
          <w:tab w:val="left" w:pos="2352"/>
        </w:tabs>
        <w:adjustRightInd w:val="0"/>
        <w:snapToGrid w:val="0"/>
        <w:spacing w:line="400" w:lineRule="exact"/>
        <w:ind w:firstLine="433" w:firstLineChars="197"/>
        <w:rPr>
          <w:rFonts w:hAnsi="宋体" w:cs="宋体"/>
          <w:b/>
          <w:bCs/>
          <w:color w:val="auto"/>
          <w:sz w:val="22"/>
          <w:highlight w:val="none"/>
          <w:u w:val="single"/>
        </w:rPr>
      </w:pPr>
      <w:r>
        <w:rPr>
          <w:rFonts w:hint="eastAsia" w:hAnsi="宋体" w:cs="宋体"/>
          <w:color w:val="auto"/>
          <w:sz w:val="22"/>
          <w:highlight w:val="none"/>
          <w:u w:val="single"/>
        </w:rPr>
        <w:t>1）投标（响应）文件未按竞争性磋商文件要求签署、盖章的；</w:t>
      </w:r>
    </w:p>
    <w:p w14:paraId="7DD1A99B">
      <w:pPr>
        <w:pStyle w:val="12"/>
        <w:tabs>
          <w:tab w:val="left" w:pos="1069"/>
          <w:tab w:val="left" w:pos="2352"/>
        </w:tabs>
        <w:adjustRightInd w:val="0"/>
        <w:snapToGrid w:val="0"/>
        <w:spacing w:line="400" w:lineRule="exact"/>
        <w:ind w:firstLine="433" w:firstLineChars="197"/>
        <w:rPr>
          <w:rFonts w:hAnsi="宋体" w:cs="宋体"/>
          <w:b/>
          <w:bCs/>
          <w:color w:val="auto"/>
          <w:sz w:val="22"/>
          <w:highlight w:val="none"/>
          <w:u w:val="single"/>
        </w:rPr>
      </w:pPr>
      <w:r>
        <w:rPr>
          <w:rFonts w:hint="eastAsia" w:hAnsi="宋体" w:cs="宋体"/>
          <w:color w:val="auto"/>
          <w:sz w:val="22"/>
          <w:highlight w:val="none"/>
          <w:u w:val="single"/>
        </w:rPr>
        <w:t>2）不具备竞争性磋商文件中规定的资格要求的；</w:t>
      </w:r>
    </w:p>
    <w:p w14:paraId="4467E105">
      <w:pPr>
        <w:pStyle w:val="12"/>
        <w:tabs>
          <w:tab w:val="left" w:pos="1069"/>
          <w:tab w:val="left" w:pos="2352"/>
        </w:tabs>
        <w:adjustRightInd w:val="0"/>
        <w:snapToGrid w:val="0"/>
        <w:spacing w:line="400" w:lineRule="exact"/>
        <w:ind w:firstLine="433" w:firstLineChars="197"/>
        <w:rPr>
          <w:rFonts w:hAnsi="宋体" w:cs="宋体"/>
          <w:b/>
          <w:bCs/>
          <w:color w:val="auto"/>
          <w:sz w:val="22"/>
          <w:highlight w:val="none"/>
          <w:u w:val="single"/>
        </w:rPr>
      </w:pPr>
      <w:r>
        <w:rPr>
          <w:rFonts w:hint="eastAsia" w:hAnsi="宋体" w:cs="宋体"/>
          <w:color w:val="auto"/>
          <w:sz w:val="22"/>
          <w:highlight w:val="none"/>
          <w:u w:val="single"/>
        </w:rPr>
        <w:t>3）最终报价超过竞争性磋商文件中规定的预算金额或者最高限价的；</w:t>
      </w:r>
    </w:p>
    <w:p w14:paraId="7C87D27F">
      <w:pPr>
        <w:pStyle w:val="12"/>
        <w:tabs>
          <w:tab w:val="left" w:pos="1069"/>
          <w:tab w:val="left" w:pos="2352"/>
        </w:tabs>
        <w:adjustRightInd w:val="0"/>
        <w:snapToGrid w:val="0"/>
        <w:spacing w:line="400" w:lineRule="exact"/>
        <w:ind w:firstLine="433" w:firstLineChars="197"/>
        <w:rPr>
          <w:rFonts w:hAnsi="宋体" w:cs="宋体"/>
          <w:b/>
          <w:bCs/>
          <w:color w:val="auto"/>
          <w:sz w:val="22"/>
          <w:highlight w:val="none"/>
          <w:u w:val="single"/>
        </w:rPr>
      </w:pPr>
      <w:r>
        <w:rPr>
          <w:rFonts w:hint="eastAsia" w:hAnsi="宋体" w:cs="宋体"/>
          <w:color w:val="auto"/>
          <w:sz w:val="22"/>
          <w:highlight w:val="none"/>
          <w:u w:val="single"/>
        </w:rPr>
        <w:t>4）投标（响应）文件含有采购人不能接受的附加条件的（包括竞争性磋商文件中明确要求不得偏离的招标要求，存在负偏离的）;</w:t>
      </w:r>
    </w:p>
    <w:p w14:paraId="3D43C56B">
      <w:pPr>
        <w:pStyle w:val="12"/>
        <w:tabs>
          <w:tab w:val="left" w:pos="1069"/>
          <w:tab w:val="left" w:pos="2352"/>
        </w:tabs>
        <w:adjustRightInd w:val="0"/>
        <w:snapToGrid w:val="0"/>
        <w:spacing w:line="400" w:lineRule="exact"/>
        <w:ind w:firstLine="433" w:firstLineChars="197"/>
        <w:rPr>
          <w:rFonts w:hAnsi="宋体" w:cs="宋体"/>
          <w:b/>
          <w:bCs/>
          <w:color w:val="auto"/>
          <w:sz w:val="22"/>
          <w:highlight w:val="none"/>
          <w:u w:val="single"/>
        </w:rPr>
      </w:pPr>
      <w:r>
        <w:rPr>
          <w:rFonts w:hint="eastAsia" w:hAnsi="宋体" w:cs="宋体"/>
          <w:color w:val="auto"/>
          <w:sz w:val="22"/>
          <w:highlight w:val="none"/>
          <w:u w:val="single"/>
        </w:rPr>
        <w:t>5）对关键条文的偏离、保留或反对，例如关于付款方式、完工期（服务期）、免费质保期、适用法律法规、标准、税费等其他内容；</w:t>
      </w:r>
    </w:p>
    <w:p w14:paraId="741DF48B">
      <w:pPr>
        <w:pStyle w:val="12"/>
        <w:tabs>
          <w:tab w:val="left" w:pos="1069"/>
          <w:tab w:val="left" w:pos="2352"/>
        </w:tabs>
        <w:adjustRightInd w:val="0"/>
        <w:snapToGrid w:val="0"/>
        <w:spacing w:line="400" w:lineRule="exact"/>
        <w:ind w:firstLine="433" w:firstLineChars="197"/>
        <w:rPr>
          <w:rFonts w:hAnsi="宋体" w:cs="宋体"/>
          <w:b/>
          <w:bCs/>
          <w:color w:val="auto"/>
          <w:sz w:val="22"/>
          <w:highlight w:val="none"/>
          <w:u w:val="single"/>
        </w:rPr>
      </w:pPr>
      <w:r>
        <w:rPr>
          <w:rFonts w:hint="eastAsia" w:hAnsi="宋体" w:cs="宋体"/>
          <w:color w:val="auto"/>
          <w:sz w:val="22"/>
          <w:highlight w:val="none"/>
          <w:u w:val="single"/>
        </w:rPr>
        <w:t>6）存在串标、抬标或弄虚作假情况的；</w:t>
      </w:r>
    </w:p>
    <w:p w14:paraId="320B5D61">
      <w:pPr>
        <w:pStyle w:val="12"/>
        <w:tabs>
          <w:tab w:val="left" w:pos="1069"/>
          <w:tab w:val="left" w:pos="2352"/>
        </w:tabs>
        <w:adjustRightInd w:val="0"/>
        <w:snapToGrid w:val="0"/>
        <w:spacing w:line="400" w:lineRule="exact"/>
        <w:ind w:firstLine="433" w:firstLineChars="197"/>
        <w:rPr>
          <w:rFonts w:hAnsi="宋体" w:cs="宋体"/>
          <w:b/>
          <w:bCs/>
          <w:color w:val="auto"/>
          <w:sz w:val="22"/>
          <w:highlight w:val="none"/>
          <w:u w:val="single"/>
        </w:rPr>
      </w:pPr>
      <w:r>
        <w:rPr>
          <w:rFonts w:hint="eastAsia" w:hAnsi="宋体" w:cs="宋体"/>
          <w:color w:val="auto"/>
          <w:sz w:val="22"/>
          <w:highlight w:val="none"/>
          <w:u w:val="single"/>
        </w:rPr>
        <w:t>7）法律、法规和竞争性磋商文件规定的其他无效情形（或出现重大偏差）。</w:t>
      </w:r>
    </w:p>
    <w:p w14:paraId="643107FC">
      <w:pPr>
        <w:pStyle w:val="12"/>
        <w:tabs>
          <w:tab w:val="left" w:pos="1069"/>
          <w:tab w:val="left" w:pos="2352"/>
        </w:tabs>
        <w:adjustRightInd w:val="0"/>
        <w:snapToGrid w:val="0"/>
        <w:spacing w:line="400" w:lineRule="exact"/>
        <w:ind w:firstLine="433" w:firstLineChars="197"/>
        <w:rPr>
          <w:rFonts w:hAnsi="宋体" w:cs="宋体"/>
          <w:b/>
          <w:bCs/>
          <w:color w:val="auto"/>
          <w:sz w:val="22"/>
          <w:highlight w:val="none"/>
          <w:u w:val="single"/>
        </w:rPr>
      </w:pPr>
      <w:r>
        <w:rPr>
          <w:rFonts w:hint="eastAsia" w:hAnsi="宋体" w:cs="宋体"/>
          <w:color w:val="auto"/>
          <w:sz w:val="22"/>
          <w:highlight w:val="none"/>
        </w:rPr>
        <w:t xml:space="preserve">2.4 </w:t>
      </w:r>
      <w:r>
        <w:rPr>
          <w:rFonts w:hint="eastAsia" w:hAnsi="宋体" w:cs="宋体"/>
          <w:color w:val="auto"/>
          <w:sz w:val="22"/>
          <w:highlight w:val="none"/>
          <w:u w:val="single"/>
        </w:rPr>
        <w:t>▲评审小组发现投标（响应）文件有下列情形之一的属于重大偏差(评审小组按少数服从多数原则认定),按照无效投标处理：</w:t>
      </w:r>
    </w:p>
    <w:p w14:paraId="2F32CD9F">
      <w:pPr>
        <w:pStyle w:val="12"/>
        <w:tabs>
          <w:tab w:val="left" w:pos="1069"/>
          <w:tab w:val="left" w:pos="2352"/>
        </w:tabs>
        <w:adjustRightInd w:val="0"/>
        <w:snapToGrid w:val="0"/>
        <w:spacing w:line="400" w:lineRule="exact"/>
        <w:ind w:firstLine="433" w:firstLineChars="197"/>
        <w:rPr>
          <w:rFonts w:hAnsi="宋体" w:cs="宋体"/>
          <w:b/>
          <w:bCs/>
          <w:color w:val="auto"/>
          <w:sz w:val="22"/>
          <w:highlight w:val="none"/>
          <w:u w:val="single"/>
        </w:rPr>
      </w:pPr>
      <w:r>
        <w:rPr>
          <w:rFonts w:hint="eastAsia" w:hAnsi="宋体" w:cs="宋体"/>
          <w:color w:val="auto"/>
          <w:sz w:val="22"/>
          <w:highlight w:val="none"/>
          <w:u w:val="single"/>
        </w:rPr>
        <w:t>1）未按竞争性磋商文件要求编制或字迹模糊、辨认不清的投标（响应）文件；</w:t>
      </w:r>
    </w:p>
    <w:p w14:paraId="6C0A4003">
      <w:pPr>
        <w:pStyle w:val="12"/>
        <w:tabs>
          <w:tab w:val="left" w:pos="1069"/>
          <w:tab w:val="left" w:pos="2352"/>
        </w:tabs>
        <w:adjustRightInd w:val="0"/>
        <w:snapToGrid w:val="0"/>
        <w:spacing w:line="400" w:lineRule="exact"/>
        <w:ind w:firstLine="433" w:firstLineChars="197"/>
        <w:rPr>
          <w:rFonts w:hAnsi="宋体" w:cs="宋体"/>
          <w:b/>
          <w:bCs/>
          <w:color w:val="auto"/>
          <w:sz w:val="22"/>
          <w:highlight w:val="none"/>
          <w:u w:val="single"/>
        </w:rPr>
      </w:pPr>
      <w:r>
        <w:rPr>
          <w:rFonts w:hint="eastAsia" w:hAnsi="宋体" w:cs="宋体"/>
          <w:color w:val="auto"/>
          <w:sz w:val="22"/>
          <w:highlight w:val="none"/>
          <w:u w:val="single"/>
        </w:rPr>
        <w:t>2）除2.3条款以外，出现其它明显不符合采购要求的投标（响应）文件；</w:t>
      </w:r>
    </w:p>
    <w:p w14:paraId="3CE67414">
      <w:pPr>
        <w:pStyle w:val="12"/>
        <w:tabs>
          <w:tab w:val="left" w:pos="1069"/>
          <w:tab w:val="left" w:pos="2352"/>
        </w:tabs>
        <w:adjustRightInd w:val="0"/>
        <w:snapToGrid w:val="0"/>
        <w:spacing w:line="400" w:lineRule="exact"/>
        <w:ind w:firstLine="433" w:firstLineChars="197"/>
        <w:rPr>
          <w:rFonts w:hAnsi="宋体" w:cs="宋体"/>
          <w:b/>
          <w:bCs/>
          <w:color w:val="auto"/>
          <w:sz w:val="22"/>
          <w:highlight w:val="none"/>
        </w:rPr>
      </w:pPr>
      <w:r>
        <w:rPr>
          <w:rFonts w:hint="eastAsia" w:hAnsi="宋体" w:cs="宋体"/>
          <w:color w:val="auto"/>
          <w:sz w:val="22"/>
          <w:highlight w:val="none"/>
          <w:u w:val="single"/>
        </w:rPr>
        <w:t>3）除2.3条款以外，出现其它不符合竞争性磋商文件中规定的实质性要求的投标（响应）文件，是否为偏离实质性要求由评审小组认定。</w:t>
      </w:r>
    </w:p>
    <w:p w14:paraId="08CCF3C5">
      <w:pPr>
        <w:pStyle w:val="12"/>
        <w:tabs>
          <w:tab w:val="left" w:pos="1069"/>
          <w:tab w:val="left" w:pos="2352"/>
        </w:tabs>
        <w:adjustRightInd w:val="0"/>
        <w:snapToGrid w:val="0"/>
        <w:spacing w:line="400" w:lineRule="exact"/>
        <w:ind w:firstLine="433" w:firstLineChars="197"/>
        <w:rPr>
          <w:rFonts w:hAnsi="宋体" w:cs="宋体"/>
          <w:b/>
          <w:bCs/>
          <w:color w:val="auto"/>
          <w:sz w:val="22"/>
          <w:highlight w:val="none"/>
          <w:u w:val="single"/>
        </w:rPr>
      </w:pPr>
      <w:r>
        <w:rPr>
          <w:rFonts w:hint="eastAsia" w:hAnsi="宋体" w:cs="宋体"/>
          <w:color w:val="auto"/>
          <w:sz w:val="22"/>
          <w:highlight w:val="none"/>
        </w:rPr>
        <w:t>2.5</w:t>
      </w:r>
      <w:r>
        <w:rPr>
          <w:rFonts w:hint="eastAsia" w:hAnsi="宋体" w:cs="宋体"/>
          <w:color w:val="auto"/>
          <w:sz w:val="22"/>
          <w:highlight w:val="none"/>
          <w:u w:val="single"/>
        </w:rPr>
        <w:t>▲评审小组认为供应商的最终报价明显低于其他有效供应商的最终报价，有可能影响采购质量或者不能诚信履约的，应当要求其在合理的时间内提供说明，必要时提交相关证明材料；供应商不能证明其报价合理性的，评审小组应当将其作为无效投标处理。</w:t>
      </w:r>
    </w:p>
    <w:p w14:paraId="227906FE">
      <w:pPr>
        <w:pStyle w:val="12"/>
        <w:tabs>
          <w:tab w:val="left" w:pos="1069"/>
          <w:tab w:val="left" w:pos="2352"/>
        </w:tabs>
        <w:adjustRightInd w:val="0"/>
        <w:snapToGrid w:val="0"/>
        <w:spacing w:line="400" w:lineRule="exact"/>
        <w:ind w:firstLine="433" w:firstLineChars="197"/>
        <w:rPr>
          <w:rFonts w:hAnsi="宋体" w:cs="宋体"/>
          <w:b/>
          <w:bCs/>
          <w:color w:val="auto"/>
          <w:sz w:val="22"/>
          <w:highlight w:val="none"/>
        </w:rPr>
      </w:pPr>
      <w:r>
        <w:rPr>
          <w:rFonts w:hint="eastAsia" w:hAnsi="宋体" w:cs="宋体"/>
          <w:color w:val="auto"/>
          <w:sz w:val="22"/>
          <w:highlight w:val="none"/>
        </w:rPr>
        <w:t>2.6 评审小组在评标中，不得改变竞争性磋商文件中规定的评标标准、方法和中标(成交)条件。</w:t>
      </w:r>
    </w:p>
    <w:p w14:paraId="6363E877">
      <w:pPr>
        <w:pStyle w:val="12"/>
        <w:tabs>
          <w:tab w:val="left" w:pos="1069"/>
          <w:tab w:val="left" w:pos="2352"/>
        </w:tabs>
        <w:adjustRightInd w:val="0"/>
        <w:snapToGrid w:val="0"/>
        <w:spacing w:line="400" w:lineRule="exact"/>
        <w:ind w:firstLine="433" w:firstLineChars="197"/>
        <w:rPr>
          <w:rFonts w:hAnsi="宋体" w:cs="宋体"/>
          <w:b/>
          <w:bCs/>
          <w:color w:val="auto"/>
          <w:sz w:val="22"/>
          <w:highlight w:val="none"/>
          <w:u w:val="single"/>
        </w:rPr>
      </w:pPr>
      <w:r>
        <w:rPr>
          <w:rFonts w:hint="eastAsia" w:hAnsi="宋体" w:cs="宋体"/>
          <w:color w:val="auto"/>
          <w:sz w:val="22"/>
          <w:highlight w:val="none"/>
          <w:u w:val="single"/>
        </w:rPr>
        <w:t>2.7 评标时如遇到竞争性磋商文件未规定的特殊情况，由评审小组按少数服从多数原则集体决定处理。</w:t>
      </w:r>
    </w:p>
    <w:p w14:paraId="385A5089">
      <w:pPr>
        <w:pStyle w:val="12"/>
        <w:tabs>
          <w:tab w:val="left" w:pos="1069"/>
          <w:tab w:val="left" w:pos="2352"/>
        </w:tabs>
        <w:adjustRightInd w:val="0"/>
        <w:snapToGrid w:val="0"/>
        <w:spacing w:line="400" w:lineRule="exact"/>
        <w:ind w:firstLine="433" w:firstLineChars="197"/>
        <w:rPr>
          <w:rFonts w:hAnsi="宋体" w:cs="宋体"/>
          <w:b/>
          <w:bCs/>
          <w:color w:val="auto"/>
          <w:sz w:val="22"/>
          <w:highlight w:val="none"/>
          <w:u w:val="single"/>
        </w:rPr>
      </w:pPr>
      <w:r>
        <w:rPr>
          <w:rFonts w:hint="eastAsia" w:hAnsi="宋体" w:cs="宋体"/>
          <w:color w:val="auto"/>
          <w:sz w:val="22"/>
          <w:highlight w:val="none"/>
          <w:u w:val="single"/>
        </w:rPr>
        <w:t>2.8评审小组对未中标(成交)的供应商不作解释。同时根据政府采购法实施条例第四十条规定，本项目不对供应商公布详细的评审情况，不公布具体评标细则中小项得分。</w:t>
      </w:r>
    </w:p>
    <w:p w14:paraId="6F1DB945">
      <w:pPr>
        <w:pStyle w:val="12"/>
        <w:tabs>
          <w:tab w:val="left" w:pos="1069"/>
          <w:tab w:val="left" w:pos="2352"/>
        </w:tabs>
        <w:adjustRightInd w:val="0"/>
        <w:snapToGrid w:val="0"/>
        <w:spacing w:line="400" w:lineRule="exact"/>
        <w:ind w:firstLine="435" w:firstLineChars="197"/>
        <w:rPr>
          <w:rFonts w:hAnsi="宋体" w:cs="宋体"/>
          <w:b/>
          <w:bCs/>
          <w:color w:val="auto"/>
          <w:sz w:val="22"/>
          <w:highlight w:val="none"/>
        </w:rPr>
      </w:pPr>
      <w:r>
        <w:rPr>
          <w:rFonts w:hint="eastAsia" w:hAnsi="宋体" w:cs="宋体"/>
          <w:b/>
          <w:bCs/>
          <w:color w:val="auto"/>
          <w:sz w:val="22"/>
          <w:highlight w:val="none"/>
        </w:rPr>
        <w:t>2.9</w:t>
      </w:r>
      <w:r>
        <w:rPr>
          <w:rFonts w:hint="eastAsia" w:hAnsi="宋体" w:cs="宋体"/>
          <w:b/>
          <w:bCs/>
          <w:color w:val="auto"/>
          <w:sz w:val="22"/>
          <w:highlight w:val="none"/>
          <w:u w:val="single"/>
        </w:rPr>
        <w:t>符合资格条件的投标供应商不足三家的不予开标。如进入磋商过程中，符合采购人技术等方面要求的供应商为2家的，根据评审小组意见，可以流标；也可以按财政部《关于政府采购竞争性磋商采购方式管理暂行办法有关问题的补充通知【财库〔2015〕124号】》文件规定执行</w:t>
      </w:r>
      <w:r>
        <w:rPr>
          <w:rFonts w:hint="eastAsia" w:hAnsi="宋体" w:cs="宋体"/>
          <w:b/>
          <w:bCs/>
          <w:color w:val="auto"/>
          <w:sz w:val="22"/>
          <w:highlight w:val="none"/>
        </w:rPr>
        <w:t>。</w:t>
      </w:r>
    </w:p>
    <w:p w14:paraId="2488949E">
      <w:pPr>
        <w:pStyle w:val="12"/>
        <w:tabs>
          <w:tab w:val="left" w:pos="1069"/>
          <w:tab w:val="left" w:pos="2352"/>
        </w:tabs>
        <w:adjustRightInd w:val="0"/>
        <w:snapToGrid w:val="0"/>
        <w:spacing w:line="400" w:lineRule="exact"/>
        <w:ind w:firstLine="440" w:firstLineChars="200"/>
        <w:rPr>
          <w:rFonts w:hAnsi="宋体" w:cs="宋体"/>
          <w:b/>
          <w:bCs/>
          <w:color w:val="auto"/>
          <w:sz w:val="22"/>
          <w:highlight w:val="none"/>
        </w:rPr>
      </w:pPr>
      <w:r>
        <w:rPr>
          <w:rFonts w:hint="eastAsia" w:hAnsi="宋体" w:cs="宋体"/>
          <w:color w:val="auto"/>
          <w:sz w:val="22"/>
          <w:highlight w:val="none"/>
        </w:rPr>
        <w:t>3.投标（响应）文件的澄清</w:t>
      </w:r>
    </w:p>
    <w:p w14:paraId="7759E204">
      <w:pPr>
        <w:tabs>
          <w:tab w:val="left" w:pos="1069"/>
          <w:tab w:val="left" w:pos="2352"/>
        </w:tabs>
        <w:adjustRightInd w:val="0"/>
        <w:snapToGrid w:val="0"/>
        <w:spacing w:line="400" w:lineRule="exact"/>
        <w:ind w:firstLine="433" w:firstLineChars="197"/>
        <w:rPr>
          <w:rFonts w:ascii="宋体" w:hAnsi="宋体" w:cs="宋体"/>
          <w:color w:val="auto"/>
          <w:sz w:val="22"/>
          <w:highlight w:val="none"/>
        </w:rPr>
      </w:pPr>
      <w:r>
        <w:rPr>
          <w:rFonts w:hint="eastAsia" w:ascii="宋体" w:hAnsi="宋体" w:cs="宋体"/>
          <w:color w:val="auto"/>
          <w:sz w:val="22"/>
          <w:highlight w:val="none"/>
        </w:rPr>
        <w:t>为有利于对投标（响应）文件的评议，必要时采购人及评审小组可要求供应商对投标（响应）文件及合同条款进行澄清，并做出答复。答复须有授权代表签字并作为报价内容的一部分。</w:t>
      </w:r>
    </w:p>
    <w:p w14:paraId="1DC939C7">
      <w:pPr>
        <w:pStyle w:val="12"/>
        <w:tabs>
          <w:tab w:val="left" w:pos="1069"/>
          <w:tab w:val="left" w:pos="2352"/>
        </w:tabs>
        <w:adjustRightInd w:val="0"/>
        <w:spacing w:line="400" w:lineRule="exact"/>
        <w:ind w:left="437" w:leftChars="208"/>
        <w:rPr>
          <w:rFonts w:hAnsi="宋体" w:cs="宋体"/>
          <w:color w:val="auto"/>
          <w:sz w:val="22"/>
          <w:highlight w:val="none"/>
        </w:rPr>
      </w:pPr>
      <w:r>
        <w:rPr>
          <w:rFonts w:hint="eastAsia" w:hAnsi="宋体" w:cs="宋体"/>
          <w:color w:val="auto"/>
          <w:sz w:val="22"/>
          <w:highlight w:val="none"/>
        </w:rPr>
        <w:t>4.有下列情形之一的，视为供应商相互串通投标：</w:t>
      </w:r>
    </w:p>
    <w:p w14:paraId="50DB29D9">
      <w:pPr>
        <w:pStyle w:val="12"/>
        <w:tabs>
          <w:tab w:val="left" w:pos="1069"/>
          <w:tab w:val="left" w:pos="2352"/>
        </w:tabs>
        <w:adjustRightInd w:val="0"/>
        <w:spacing w:line="400" w:lineRule="exact"/>
        <w:ind w:left="437" w:leftChars="208"/>
        <w:rPr>
          <w:rFonts w:hAnsi="宋体" w:cs="宋体"/>
          <w:color w:val="auto"/>
          <w:sz w:val="22"/>
          <w:highlight w:val="none"/>
        </w:rPr>
      </w:pPr>
      <w:r>
        <w:rPr>
          <w:rFonts w:hint="eastAsia" w:hAnsi="宋体" w:cs="宋体"/>
          <w:color w:val="auto"/>
          <w:sz w:val="22"/>
          <w:highlight w:val="none"/>
        </w:rPr>
        <w:t>4.1不同供应商的投标（响应）文件由同一单位或者个人编制；</w:t>
      </w:r>
    </w:p>
    <w:p w14:paraId="71DD61C9">
      <w:pPr>
        <w:pStyle w:val="12"/>
        <w:tabs>
          <w:tab w:val="left" w:pos="1069"/>
          <w:tab w:val="left" w:pos="2352"/>
        </w:tabs>
        <w:adjustRightInd w:val="0"/>
        <w:spacing w:line="400" w:lineRule="exact"/>
        <w:ind w:left="437" w:leftChars="208"/>
        <w:rPr>
          <w:rFonts w:hAnsi="宋体" w:cs="宋体"/>
          <w:color w:val="auto"/>
          <w:sz w:val="22"/>
          <w:highlight w:val="none"/>
        </w:rPr>
      </w:pPr>
      <w:r>
        <w:rPr>
          <w:rFonts w:hint="eastAsia" w:hAnsi="宋体" w:cs="宋体"/>
          <w:color w:val="auto"/>
          <w:sz w:val="22"/>
          <w:highlight w:val="none"/>
        </w:rPr>
        <w:t>4.2不同供应商委托同一单位或者个人办理投标事宜；</w:t>
      </w:r>
    </w:p>
    <w:p w14:paraId="1026F526">
      <w:pPr>
        <w:pStyle w:val="12"/>
        <w:tabs>
          <w:tab w:val="left" w:pos="1069"/>
          <w:tab w:val="left" w:pos="2352"/>
        </w:tabs>
        <w:adjustRightInd w:val="0"/>
        <w:spacing w:line="400" w:lineRule="exact"/>
        <w:ind w:left="437" w:leftChars="208"/>
        <w:rPr>
          <w:rFonts w:hAnsi="宋体" w:cs="宋体"/>
          <w:color w:val="auto"/>
          <w:sz w:val="22"/>
          <w:highlight w:val="none"/>
        </w:rPr>
      </w:pPr>
      <w:r>
        <w:rPr>
          <w:rFonts w:hint="eastAsia" w:hAnsi="宋体" w:cs="宋体"/>
          <w:color w:val="auto"/>
          <w:sz w:val="22"/>
          <w:highlight w:val="none"/>
        </w:rPr>
        <w:t>4.3不同供应商的投标（响应）文件载明的项目管理成员为同一人；</w:t>
      </w:r>
    </w:p>
    <w:p w14:paraId="6D7E943F">
      <w:pPr>
        <w:pStyle w:val="12"/>
        <w:tabs>
          <w:tab w:val="left" w:pos="1069"/>
          <w:tab w:val="left" w:pos="2352"/>
        </w:tabs>
        <w:adjustRightInd w:val="0"/>
        <w:spacing w:line="400" w:lineRule="exact"/>
        <w:ind w:left="437" w:leftChars="208"/>
        <w:rPr>
          <w:rFonts w:hAnsi="宋体" w:cs="宋体"/>
          <w:color w:val="auto"/>
          <w:sz w:val="22"/>
          <w:highlight w:val="none"/>
        </w:rPr>
      </w:pPr>
      <w:r>
        <w:rPr>
          <w:rFonts w:hint="eastAsia" w:hAnsi="宋体" w:cs="宋体"/>
          <w:color w:val="auto"/>
          <w:sz w:val="22"/>
          <w:highlight w:val="none"/>
        </w:rPr>
        <w:t>4.4不同供应商的投标（响应）文件异常一致或者投标报价呈规律性差异；</w:t>
      </w:r>
    </w:p>
    <w:p w14:paraId="32DBA885">
      <w:pPr>
        <w:pStyle w:val="12"/>
        <w:tabs>
          <w:tab w:val="left" w:pos="1069"/>
          <w:tab w:val="left" w:pos="2352"/>
        </w:tabs>
        <w:adjustRightInd w:val="0"/>
        <w:spacing w:line="400" w:lineRule="exact"/>
        <w:ind w:left="437" w:leftChars="208"/>
        <w:rPr>
          <w:rFonts w:hAnsi="宋体" w:cs="宋体"/>
          <w:color w:val="auto"/>
          <w:sz w:val="22"/>
          <w:highlight w:val="none"/>
        </w:rPr>
      </w:pPr>
      <w:r>
        <w:rPr>
          <w:rFonts w:hint="eastAsia" w:hAnsi="宋体" w:cs="宋体"/>
          <w:color w:val="auto"/>
          <w:sz w:val="22"/>
          <w:highlight w:val="none"/>
        </w:rPr>
        <w:t>4.5不同供应商的投标（响应）文件相互混装；</w:t>
      </w:r>
    </w:p>
    <w:p w14:paraId="433DF10B">
      <w:pPr>
        <w:pStyle w:val="12"/>
        <w:tabs>
          <w:tab w:val="left" w:pos="1069"/>
          <w:tab w:val="left" w:pos="2352"/>
        </w:tabs>
        <w:adjustRightInd w:val="0"/>
        <w:spacing w:line="400" w:lineRule="exact"/>
        <w:ind w:left="437" w:leftChars="208"/>
        <w:rPr>
          <w:rFonts w:hAnsi="宋体" w:cs="宋体"/>
          <w:b/>
          <w:bCs/>
          <w:color w:val="auto"/>
          <w:sz w:val="22"/>
          <w:highlight w:val="none"/>
        </w:rPr>
      </w:pPr>
      <w:r>
        <w:rPr>
          <w:rFonts w:hint="eastAsia" w:hAnsi="宋体" w:cs="宋体"/>
          <w:color w:val="auto"/>
          <w:sz w:val="22"/>
          <w:highlight w:val="none"/>
        </w:rPr>
        <w:t>4.6经评审小组认定供应商进行串通投标的，评审小组可以对相关供应商做出无效报价处理，并上报政府采购管理部门进行进一步处理。</w:t>
      </w:r>
    </w:p>
    <w:p w14:paraId="5BDE4824">
      <w:pPr>
        <w:pStyle w:val="12"/>
        <w:tabs>
          <w:tab w:val="left" w:pos="1069"/>
          <w:tab w:val="left" w:pos="2352"/>
        </w:tabs>
        <w:adjustRightInd w:val="0"/>
        <w:snapToGrid w:val="0"/>
        <w:spacing w:line="400" w:lineRule="exact"/>
        <w:ind w:firstLine="433" w:firstLineChars="197"/>
        <w:rPr>
          <w:rFonts w:hAnsi="宋体" w:cs="宋体"/>
          <w:b/>
          <w:bCs/>
          <w:color w:val="auto"/>
          <w:sz w:val="22"/>
          <w:highlight w:val="none"/>
        </w:rPr>
      </w:pPr>
      <w:r>
        <w:rPr>
          <w:rFonts w:hint="eastAsia" w:hAnsi="宋体" w:cs="宋体"/>
          <w:color w:val="auto"/>
          <w:sz w:val="22"/>
          <w:highlight w:val="none"/>
        </w:rPr>
        <w:t>5.评标原则</w:t>
      </w:r>
    </w:p>
    <w:p w14:paraId="456C7C25">
      <w:pPr>
        <w:pStyle w:val="12"/>
        <w:tabs>
          <w:tab w:val="left" w:pos="1069"/>
          <w:tab w:val="left" w:pos="2352"/>
        </w:tabs>
        <w:adjustRightInd w:val="0"/>
        <w:spacing w:line="400" w:lineRule="exact"/>
        <w:ind w:firstLine="440" w:firstLineChars="200"/>
        <w:rPr>
          <w:rFonts w:hAnsi="宋体" w:cs="宋体"/>
          <w:b/>
          <w:bCs/>
          <w:color w:val="auto"/>
          <w:sz w:val="22"/>
          <w:highlight w:val="none"/>
        </w:rPr>
      </w:pPr>
      <w:r>
        <w:rPr>
          <w:rFonts w:hint="eastAsia" w:hAnsi="宋体" w:cs="宋体"/>
          <w:color w:val="auto"/>
          <w:sz w:val="22"/>
          <w:highlight w:val="none"/>
        </w:rPr>
        <w:t>评标办法具体见本竞争性磋商文件第七部分。</w:t>
      </w:r>
    </w:p>
    <w:p w14:paraId="321779CD">
      <w:pPr>
        <w:pStyle w:val="12"/>
        <w:tabs>
          <w:tab w:val="left" w:pos="1069"/>
          <w:tab w:val="left" w:pos="2352"/>
        </w:tabs>
        <w:adjustRightInd w:val="0"/>
        <w:snapToGrid w:val="0"/>
        <w:spacing w:line="400" w:lineRule="exact"/>
        <w:ind w:firstLine="480"/>
        <w:outlineLvl w:val="0"/>
        <w:rPr>
          <w:rFonts w:hAnsi="宋体" w:cs="宋体"/>
          <w:b/>
          <w:bCs/>
          <w:color w:val="auto"/>
          <w:sz w:val="22"/>
          <w:highlight w:val="none"/>
        </w:rPr>
      </w:pPr>
      <w:bookmarkStart w:id="67" w:name="_Toc132124596"/>
      <w:bookmarkStart w:id="68" w:name="_Toc24884_WPSOffice_Level2"/>
      <w:bookmarkStart w:id="69" w:name="_Toc132125985"/>
      <w:bookmarkStart w:id="70" w:name="_Toc132123883"/>
      <w:bookmarkStart w:id="71" w:name="_Toc132126156"/>
      <w:bookmarkStart w:id="72" w:name="_Toc132123636"/>
      <w:bookmarkStart w:id="73" w:name="_Toc132123840"/>
      <w:bookmarkStart w:id="74" w:name="_Toc132122418"/>
      <w:bookmarkStart w:id="75" w:name="_Toc493530208"/>
      <w:bookmarkStart w:id="76" w:name="_Toc132125576"/>
      <w:bookmarkStart w:id="77" w:name="_Toc132123441"/>
      <w:bookmarkStart w:id="78" w:name="_Toc132122121"/>
      <w:bookmarkStart w:id="79" w:name="_Toc132655778"/>
      <w:bookmarkStart w:id="80" w:name="_Toc132125097"/>
      <w:bookmarkStart w:id="81" w:name="_Toc132125153"/>
      <w:bookmarkStart w:id="82" w:name="_Toc132125039"/>
      <w:bookmarkStart w:id="83" w:name="_Toc132123549"/>
      <w:r>
        <w:rPr>
          <w:rFonts w:hint="eastAsia" w:hAnsi="宋体" w:cs="宋体"/>
          <w:b/>
          <w:bCs/>
          <w:color w:val="auto"/>
          <w:sz w:val="22"/>
          <w:highlight w:val="none"/>
        </w:rPr>
        <w:t>六、授予合同</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212992D8">
      <w:pPr>
        <w:pStyle w:val="12"/>
        <w:tabs>
          <w:tab w:val="left" w:pos="1069"/>
          <w:tab w:val="left" w:pos="2352"/>
        </w:tabs>
        <w:adjustRightInd w:val="0"/>
        <w:snapToGrid w:val="0"/>
        <w:spacing w:line="400" w:lineRule="exact"/>
        <w:ind w:firstLine="433" w:firstLineChars="197"/>
        <w:rPr>
          <w:rFonts w:hAnsi="宋体" w:cs="宋体"/>
          <w:b/>
          <w:bCs/>
          <w:color w:val="auto"/>
          <w:sz w:val="22"/>
          <w:highlight w:val="none"/>
        </w:rPr>
      </w:pPr>
      <w:bookmarkStart w:id="84" w:name="_Toc23038_WPSOffice_Level3"/>
      <w:r>
        <w:rPr>
          <w:rFonts w:hint="eastAsia" w:hAnsi="宋体" w:cs="宋体"/>
          <w:color w:val="auto"/>
          <w:sz w:val="22"/>
          <w:highlight w:val="none"/>
        </w:rPr>
        <w:t>1.决标</w:t>
      </w:r>
      <w:bookmarkEnd w:id="84"/>
    </w:p>
    <w:p w14:paraId="4886909C">
      <w:pPr>
        <w:pStyle w:val="12"/>
        <w:tabs>
          <w:tab w:val="left" w:pos="1069"/>
          <w:tab w:val="left" w:pos="2352"/>
        </w:tabs>
        <w:adjustRightInd w:val="0"/>
        <w:snapToGrid w:val="0"/>
        <w:spacing w:line="400" w:lineRule="exact"/>
        <w:ind w:firstLine="433" w:firstLineChars="197"/>
        <w:rPr>
          <w:rFonts w:hAnsi="宋体" w:cs="宋体"/>
          <w:b/>
          <w:bCs/>
          <w:color w:val="auto"/>
          <w:sz w:val="22"/>
          <w:highlight w:val="none"/>
        </w:rPr>
      </w:pPr>
      <w:r>
        <w:rPr>
          <w:rFonts w:hint="eastAsia" w:hAnsi="宋体" w:cs="宋体"/>
          <w:color w:val="auto"/>
          <w:sz w:val="22"/>
          <w:highlight w:val="none"/>
        </w:rPr>
        <w:t>评标结束后，评审小组按照竞争性磋商文件确定的评标办法推荐中标（成交）供应商。</w:t>
      </w:r>
    </w:p>
    <w:p w14:paraId="3A91E326">
      <w:pPr>
        <w:pStyle w:val="12"/>
        <w:tabs>
          <w:tab w:val="left" w:pos="1069"/>
          <w:tab w:val="left" w:pos="2352"/>
        </w:tabs>
        <w:adjustRightInd w:val="0"/>
        <w:snapToGrid w:val="0"/>
        <w:spacing w:line="400" w:lineRule="exact"/>
        <w:ind w:firstLine="433" w:firstLineChars="197"/>
        <w:rPr>
          <w:rFonts w:hAnsi="宋体" w:cs="宋体"/>
          <w:b/>
          <w:bCs/>
          <w:color w:val="auto"/>
          <w:sz w:val="22"/>
          <w:highlight w:val="none"/>
        </w:rPr>
      </w:pPr>
      <w:bookmarkStart w:id="85" w:name="_Toc764_WPSOffice_Level3"/>
      <w:r>
        <w:rPr>
          <w:rFonts w:hint="eastAsia" w:hAnsi="宋体" w:cs="宋体"/>
          <w:color w:val="auto"/>
          <w:sz w:val="22"/>
          <w:highlight w:val="none"/>
        </w:rPr>
        <w:t>2.</w:t>
      </w:r>
      <w:bookmarkEnd w:id="85"/>
      <w:r>
        <w:rPr>
          <w:rFonts w:hint="eastAsia" w:hAnsi="宋体" w:cs="宋体"/>
          <w:color w:val="auto"/>
          <w:sz w:val="22"/>
          <w:highlight w:val="none"/>
        </w:rPr>
        <w:t>中标（成交）通知书</w:t>
      </w:r>
    </w:p>
    <w:p w14:paraId="6A2D3E02">
      <w:pPr>
        <w:tabs>
          <w:tab w:val="left" w:pos="1069"/>
          <w:tab w:val="left" w:pos="2352"/>
        </w:tabs>
        <w:spacing w:line="400" w:lineRule="exact"/>
        <w:ind w:firstLine="433" w:firstLineChars="197"/>
        <w:rPr>
          <w:rFonts w:ascii="宋体" w:hAnsi="宋体" w:cs="宋体"/>
          <w:color w:val="auto"/>
          <w:sz w:val="22"/>
          <w:highlight w:val="none"/>
        </w:rPr>
      </w:pPr>
      <w:r>
        <w:rPr>
          <w:rFonts w:hint="eastAsia" w:ascii="宋体" w:hAnsi="宋体" w:cs="宋体"/>
          <w:color w:val="auto"/>
          <w:sz w:val="22"/>
          <w:highlight w:val="none"/>
        </w:rPr>
        <w:t>2.1采购人依法确认中标（成交）供应商后，代理机构在浙江省政府采购网上公示中标（成交）供应商名单，公示期限为1个工作日。同时向中标（成交）供应商发出中标（成交）通知书。</w:t>
      </w:r>
    </w:p>
    <w:p w14:paraId="630AB4E2">
      <w:pPr>
        <w:tabs>
          <w:tab w:val="left" w:pos="1069"/>
          <w:tab w:val="left" w:pos="2352"/>
        </w:tabs>
        <w:adjustRightInd w:val="0"/>
        <w:snapToGrid w:val="0"/>
        <w:spacing w:line="400" w:lineRule="exact"/>
        <w:ind w:firstLine="433" w:firstLineChars="197"/>
        <w:rPr>
          <w:rFonts w:ascii="宋体" w:hAnsi="宋体" w:cs="宋体"/>
          <w:color w:val="auto"/>
          <w:sz w:val="22"/>
          <w:highlight w:val="none"/>
        </w:rPr>
      </w:pPr>
      <w:r>
        <w:rPr>
          <w:rFonts w:hint="eastAsia" w:ascii="宋体" w:hAnsi="宋体" w:cs="宋体"/>
          <w:color w:val="auto"/>
          <w:sz w:val="22"/>
          <w:highlight w:val="none"/>
        </w:rPr>
        <w:t>2.2中标（成交）通知书对采购人和中标（成交）供应商具有法律约束力。中标（成交）通知书发出后，采购人改变中标结果或者中标（成交）供应商放弃中标的，应当承担法律责任。</w:t>
      </w:r>
    </w:p>
    <w:p w14:paraId="000F3CD6">
      <w:pPr>
        <w:tabs>
          <w:tab w:val="left" w:pos="1069"/>
          <w:tab w:val="left" w:pos="2352"/>
        </w:tabs>
        <w:adjustRightInd w:val="0"/>
        <w:snapToGrid w:val="0"/>
        <w:spacing w:line="400" w:lineRule="exact"/>
        <w:ind w:firstLine="433" w:firstLineChars="197"/>
        <w:rPr>
          <w:rFonts w:ascii="宋体" w:hAnsi="宋体" w:cs="宋体"/>
          <w:color w:val="auto"/>
          <w:sz w:val="22"/>
          <w:highlight w:val="none"/>
        </w:rPr>
      </w:pPr>
      <w:r>
        <w:rPr>
          <w:rFonts w:hint="eastAsia" w:ascii="宋体" w:hAnsi="宋体" w:cs="宋体"/>
          <w:color w:val="auto"/>
          <w:sz w:val="22"/>
          <w:highlight w:val="none"/>
        </w:rPr>
        <w:t>3.中标（成交）无效</w:t>
      </w:r>
    </w:p>
    <w:p w14:paraId="48A9948D">
      <w:pPr>
        <w:tabs>
          <w:tab w:val="left" w:pos="1069"/>
          <w:tab w:val="left" w:pos="2352"/>
        </w:tabs>
        <w:adjustRightInd w:val="0"/>
        <w:snapToGrid w:val="0"/>
        <w:spacing w:line="400" w:lineRule="exact"/>
        <w:ind w:firstLine="433" w:firstLineChars="197"/>
        <w:rPr>
          <w:rFonts w:ascii="宋体" w:hAnsi="宋体" w:cs="宋体"/>
          <w:color w:val="auto"/>
          <w:sz w:val="22"/>
          <w:highlight w:val="none"/>
        </w:rPr>
      </w:pPr>
      <w:r>
        <w:rPr>
          <w:rFonts w:hint="eastAsia" w:ascii="宋体" w:hAnsi="宋体" w:cs="宋体"/>
          <w:color w:val="auto"/>
          <w:sz w:val="22"/>
          <w:highlight w:val="none"/>
        </w:rPr>
        <w:t>1）发现中标（成交）供应商资格无效或中标（成交）供应商放弃成交或拒绝与采购人签订合同的,按相关法律法规执行，原则上重新开展政府采购活动。</w:t>
      </w:r>
    </w:p>
    <w:p w14:paraId="2E2BFF75">
      <w:pPr>
        <w:tabs>
          <w:tab w:val="left" w:pos="1069"/>
          <w:tab w:val="left" w:pos="2352"/>
        </w:tabs>
        <w:adjustRightInd w:val="0"/>
        <w:snapToGrid w:val="0"/>
        <w:spacing w:line="400" w:lineRule="exact"/>
        <w:ind w:firstLine="433" w:firstLineChars="197"/>
        <w:rPr>
          <w:rFonts w:ascii="宋体" w:hAnsi="宋体" w:cs="宋体"/>
          <w:color w:val="auto"/>
          <w:sz w:val="22"/>
          <w:highlight w:val="none"/>
        </w:rPr>
      </w:pPr>
      <w:r>
        <w:rPr>
          <w:rFonts w:hint="eastAsia" w:ascii="宋体" w:hAnsi="宋体" w:cs="宋体"/>
          <w:color w:val="auto"/>
          <w:sz w:val="22"/>
          <w:highlight w:val="none"/>
        </w:rPr>
        <w:t>2）有《中华人民共和国政府采购法实施条例》第七十一条、第七十二条、第七十三条、第七十四条规定的违法行为之一，由政府采购监管部门依法处理。</w:t>
      </w:r>
    </w:p>
    <w:p w14:paraId="55957DD7">
      <w:pPr>
        <w:pStyle w:val="12"/>
        <w:tabs>
          <w:tab w:val="left" w:pos="1069"/>
          <w:tab w:val="left" w:pos="2352"/>
        </w:tabs>
        <w:adjustRightInd w:val="0"/>
        <w:snapToGrid w:val="0"/>
        <w:spacing w:line="400" w:lineRule="exact"/>
        <w:ind w:firstLine="433" w:firstLineChars="197"/>
        <w:rPr>
          <w:rFonts w:hAnsi="宋体" w:cs="宋体"/>
          <w:b/>
          <w:bCs/>
          <w:color w:val="auto"/>
          <w:sz w:val="22"/>
          <w:highlight w:val="none"/>
        </w:rPr>
      </w:pPr>
      <w:bookmarkStart w:id="86" w:name="_Toc3709_WPSOffice_Level3"/>
      <w:r>
        <w:rPr>
          <w:rFonts w:hint="eastAsia" w:hAnsi="宋体" w:cs="宋体"/>
          <w:color w:val="auto"/>
          <w:sz w:val="22"/>
          <w:highlight w:val="none"/>
        </w:rPr>
        <w:t>4.签订合同</w:t>
      </w:r>
      <w:bookmarkEnd w:id="86"/>
    </w:p>
    <w:p w14:paraId="78424EBC">
      <w:pPr>
        <w:tabs>
          <w:tab w:val="left" w:pos="1069"/>
          <w:tab w:val="left" w:pos="2352"/>
        </w:tabs>
        <w:adjustRightInd w:val="0"/>
        <w:snapToGrid w:val="0"/>
        <w:spacing w:line="400" w:lineRule="exact"/>
        <w:ind w:firstLine="433" w:firstLineChars="197"/>
        <w:rPr>
          <w:rFonts w:ascii="宋体" w:hAnsi="宋体" w:cs="宋体"/>
          <w:color w:val="auto"/>
          <w:sz w:val="22"/>
          <w:highlight w:val="none"/>
        </w:rPr>
      </w:pPr>
      <w:r>
        <w:rPr>
          <w:rFonts w:hint="eastAsia" w:ascii="宋体" w:hAnsi="宋体" w:cs="宋体"/>
          <w:color w:val="auto"/>
          <w:sz w:val="22"/>
          <w:highlight w:val="none"/>
        </w:rPr>
        <w:t>4.1 中标（成交）供应商须主动联系采购人或采购机构领取中标（成交）通知书。中标（成交）供应商应当在中标（成交）通知书发出之日起30日内与采购人签订合同。中标（成交）供应商未经采购人许可，在规定时间内未到采购人处与采购人签订合同，则视为拒签合同。</w:t>
      </w:r>
    </w:p>
    <w:p w14:paraId="6B530AB1">
      <w:pPr>
        <w:tabs>
          <w:tab w:val="left" w:pos="1069"/>
          <w:tab w:val="left" w:pos="2352"/>
        </w:tabs>
        <w:adjustRightInd w:val="0"/>
        <w:snapToGrid w:val="0"/>
        <w:spacing w:line="400" w:lineRule="exact"/>
        <w:ind w:firstLine="433" w:firstLineChars="197"/>
        <w:rPr>
          <w:rFonts w:ascii="宋体" w:hAnsi="宋体" w:cs="宋体"/>
          <w:color w:val="auto"/>
          <w:sz w:val="22"/>
          <w:highlight w:val="none"/>
        </w:rPr>
      </w:pPr>
      <w:r>
        <w:rPr>
          <w:rFonts w:hint="eastAsia" w:ascii="宋体" w:hAnsi="宋体" w:cs="宋体"/>
          <w:color w:val="auto"/>
          <w:sz w:val="22"/>
          <w:highlight w:val="none"/>
        </w:rPr>
        <w:t>4.2 竞争性磋商文件、中标（成交）供应商的投标（响应）文件及投标修改文件、评标过程中有关澄清文件及经双方签字的询标纪要（承诺）和中标（成交）通知书均作为合同附件。</w:t>
      </w:r>
    </w:p>
    <w:p w14:paraId="06710180">
      <w:pPr>
        <w:tabs>
          <w:tab w:val="left" w:pos="1069"/>
          <w:tab w:val="left" w:pos="2352"/>
        </w:tabs>
        <w:adjustRightInd w:val="0"/>
        <w:snapToGrid w:val="0"/>
        <w:spacing w:line="400" w:lineRule="exact"/>
        <w:ind w:firstLine="433" w:firstLineChars="197"/>
        <w:rPr>
          <w:rFonts w:ascii="宋体" w:hAnsi="宋体" w:cs="宋体"/>
          <w:color w:val="auto"/>
          <w:sz w:val="22"/>
          <w:highlight w:val="none"/>
        </w:rPr>
      </w:pPr>
      <w:r>
        <w:rPr>
          <w:rFonts w:hint="eastAsia" w:ascii="宋体" w:hAnsi="宋体" w:cs="宋体"/>
          <w:color w:val="auto"/>
          <w:sz w:val="22"/>
          <w:highlight w:val="none"/>
        </w:rPr>
        <w:t>4.3 拒签合同的责任</w:t>
      </w:r>
    </w:p>
    <w:p w14:paraId="5AC1D6F3">
      <w:pPr>
        <w:pStyle w:val="12"/>
        <w:tabs>
          <w:tab w:val="left" w:pos="1069"/>
          <w:tab w:val="left" w:pos="2352"/>
        </w:tabs>
        <w:adjustRightInd w:val="0"/>
        <w:snapToGrid w:val="0"/>
        <w:spacing w:line="400" w:lineRule="exact"/>
        <w:ind w:firstLine="433" w:firstLineChars="197"/>
        <w:rPr>
          <w:rFonts w:hAnsi="宋体" w:cs="宋体"/>
          <w:b/>
          <w:bCs/>
          <w:color w:val="auto"/>
          <w:sz w:val="22"/>
          <w:highlight w:val="none"/>
        </w:rPr>
      </w:pPr>
      <w:r>
        <w:rPr>
          <w:rFonts w:hint="eastAsia" w:hAnsi="宋体" w:cs="宋体"/>
          <w:color w:val="auto"/>
          <w:sz w:val="22"/>
          <w:highlight w:val="none"/>
        </w:rPr>
        <w:t>中标（成交）供应商在规定时间内（30日历天）借故否认已经承诺的条件、拒签合同者，以违约处理，并赔偿采购人由此造成的直接经济损失；采购人重新组织采购的，所需费用由原中标（成交）供应商承担。</w:t>
      </w:r>
    </w:p>
    <w:p w14:paraId="3605EE6B">
      <w:pPr>
        <w:pStyle w:val="12"/>
        <w:tabs>
          <w:tab w:val="left" w:pos="1069"/>
          <w:tab w:val="left" w:pos="2352"/>
        </w:tabs>
        <w:adjustRightInd w:val="0"/>
        <w:snapToGrid w:val="0"/>
        <w:spacing w:line="400" w:lineRule="exact"/>
        <w:ind w:firstLine="433" w:firstLineChars="197"/>
        <w:rPr>
          <w:rFonts w:hAnsi="宋体" w:cs="宋体"/>
          <w:b/>
          <w:bCs/>
          <w:color w:val="auto"/>
          <w:sz w:val="22"/>
          <w:highlight w:val="none"/>
        </w:rPr>
      </w:pPr>
      <w:bookmarkStart w:id="87" w:name="_Toc21884_WPSOffice_Level3"/>
      <w:r>
        <w:rPr>
          <w:rFonts w:hint="eastAsia" w:hAnsi="宋体" w:cs="宋体"/>
          <w:color w:val="auto"/>
          <w:sz w:val="22"/>
          <w:highlight w:val="none"/>
        </w:rPr>
        <w:t>5.</w:t>
      </w:r>
      <w:bookmarkEnd w:id="87"/>
      <w:r>
        <w:rPr>
          <w:rFonts w:hint="eastAsia" w:hAnsi="宋体" w:cs="宋体"/>
          <w:color w:val="auto"/>
          <w:sz w:val="22"/>
          <w:highlight w:val="none"/>
        </w:rPr>
        <w:t>履约保证金</w:t>
      </w:r>
    </w:p>
    <w:p w14:paraId="6ACD4EFA">
      <w:pPr>
        <w:tabs>
          <w:tab w:val="left" w:pos="2352"/>
        </w:tabs>
        <w:autoSpaceDE w:val="0"/>
        <w:autoSpaceDN w:val="0"/>
        <w:adjustRightInd w:val="0"/>
        <w:snapToGrid w:val="0"/>
        <w:spacing w:line="400" w:lineRule="exact"/>
        <w:ind w:firstLine="440" w:firstLineChars="200"/>
        <w:textAlignment w:val="bottom"/>
        <w:rPr>
          <w:rFonts w:ascii="宋体" w:hAnsi="宋体" w:cs="宋体"/>
          <w:color w:val="auto"/>
          <w:sz w:val="22"/>
          <w:highlight w:val="none"/>
        </w:rPr>
      </w:pPr>
      <w:r>
        <w:rPr>
          <w:rFonts w:hint="eastAsia" w:ascii="宋体" w:hAnsi="宋体" w:cs="宋体"/>
          <w:color w:val="auto"/>
          <w:kern w:val="0"/>
          <w:sz w:val="22"/>
          <w:highlight w:val="none"/>
          <w:lang w:eastAsia="zh-CN"/>
        </w:rPr>
        <w:t>中标（成交）供应商须在签订合同后5个工作日内向采购人提交合同金额1%的履约保证金（履约保证金可以是银行保函、转账支票、银行汇票等方式缴纳）</w:t>
      </w:r>
      <w:r>
        <w:rPr>
          <w:rFonts w:hint="eastAsia" w:ascii="宋体" w:hAnsi="宋体" w:cs="宋体"/>
          <w:color w:val="auto"/>
          <w:sz w:val="22"/>
          <w:highlight w:val="none"/>
        </w:rPr>
        <w:t>。</w:t>
      </w:r>
    </w:p>
    <w:p w14:paraId="74FBA685">
      <w:pPr>
        <w:tabs>
          <w:tab w:val="left" w:pos="1069"/>
          <w:tab w:val="left" w:pos="2352"/>
        </w:tabs>
        <w:spacing w:line="400" w:lineRule="exact"/>
        <w:ind w:firstLine="440" w:firstLineChars="200"/>
        <w:rPr>
          <w:rFonts w:ascii="宋体" w:hAnsi="宋体" w:cs="宋体"/>
          <w:b/>
          <w:color w:val="auto"/>
          <w:sz w:val="22"/>
          <w:highlight w:val="none"/>
        </w:rPr>
      </w:pPr>
      <w:r>
        <w:rPr>
          <w:rFonts w:hint="eastAsia" w:ascii="宋体" w:hAnsi="宋体" w:cs="宋体"/>
          <w:color w:val="auto"/>
          <w:sz w:val="22"/>
          <w:highlight w:val="none"/>
        </w:rPr>
        <w:t>6.招标代理服务费</w:t>
      </w:r>
    </w:p>
    <w:p w14:paraId="17C456F2">
      <w:pPr>
        <w:tabs>
          <w:tab w:val="left" w:pos="1069"/>
          <w:tab w:val="left" w:pos="2352"/>
        </w:tabs>
        <w:spacing w:line="400" w:lineRule="exact"/>
        <w:ind w:firstLine="440" w:firstLineChars="200"/>
        <w:rPr>
          <w:rFonts w:ascii="宋体" w:hAnsi="宋体" w:cs="宋体"/>
          <w:color w:val="auto"/>
          <w:highlight w:val="none"/>
        </w:rPr>
      </w:pPr>
      <w:r>
        <w:rPr>
          <w:rFonts w:hint="eastAsia" w:ascii="宋体" w:hAnsi="宋体" w:cs="宋体"/>
          <w:color w:val="auto"/>
          <w:sz w:val="22"/>
          <w:highlight w:val="none"/>
        </w:rPr>
        <w:t>本项目向</w:t>
      </w:r>
      <w:r>
        <w:rPr>
          <w:rFonts w:hint="eastAsia" w:ascii="宋体" w:hAnsi="宋体" w:cs="宋体"/>
          <w:color w:val="auto"/>
          <w:sz w:val="22"/>
          <w:highlight w:val="none"/>
          <w:lang w:eastAsia="zh-CN"/>
        </w:rPr>
        <w:t>中标（成交）供应商</w:t>
      </w:r>
      <w:r>
        <w:rPr>
          <w:rFonts w:hint="eastAsia" w:ascii="宋体" w:hAnsi="宋体" w:cs="宋体"/>
          <w:color w:val="auto"/>
          <w:sz w:val="22"/>
          <w:highlight w:val="none"/>
        </w:rPr>
        <w:t>收取招标代理服务费，</w:t>
      </w:r>
      <w:r>
        <w:rPr>
          <w:rFonts w:hint="eastAsia" w:ascii="宋体" w:hAnsi="宋体" w:cs="宋体"/>
          <w:color w:val="auto"/>
          <w:sz w:val="22"/>
          <w:highlight w:val="none"/>
          <w:lang w:val="zh-CN"/>
        </w:rPr>
        <w:t>按照《国家计委关于印发&lt;招标代理服务收费管理暂行办法&gt;的通知》（计价格[2002]1980号）</w:t>
      </w:r>
      <w:r>
        <w:rPr>
          <w:rFonts w:hint="eastAsia" w:ascii="宋体" w:hAnsi="宋体" w:cs="宋体"/>
          <w:color w:val="auto"/>
          <w:sz w:val="22"/>
          <w:highlight w:val="none"/>
          <w:lang w:val="en-US" w:eastAsia="zh-CN"/>
        </w:rPr>
        <w:t>服务类</w:t>
      </w:r>
      <w:r>
        <w:rPr>
          <w:rFonts w:hint="eastAsia" w:ascii="宋体" w:hAnsi="宋体" w:cs="宋体"/>
          <w:color w:val="auto"/>
          <w:sz w:val="22"/>
          <w:highlight w:val="none"/>
          <w:lang w:val="zh-CN"/>
        </w:rPr>
        <w:t>（</w:t>
      </w:r>
      <w:r>
        <w:rPr>
          <w:rFonts w:hint="eastAsia" w:ascii="宋体" w:hAnsi="宋体" w:cs="宋体"/>
          <w:color w:val="auto"/>
          <w:sz w:val="22"/>
          <w:highlight w:val="none"/>
        </w:rPr>
        <w:t>中标价</w:t>
      </w:r>
      <w:r>
        <w:rPr>
          <w:rFonts w:hint="eastAsia" w:ascii="宋体" w:hAnsi="宋体" w:cs="宋体"/>
          <w:color w:val="auto"/>
          <w:sz w:val="22"/>
          <w:highlight w:val="none"/>
          <w:lang w:val="zh-CN"/>
        </w:rPr>
        <w:t>）标准收取</w:t>
      </w:r>
      <w:r>
        <w:rPr>
          <w:rFonts w:hint="eastAsia" w:ascii="宋体" w:hAnsi="宋体" w:cs="宋体"/>
          <w:color w:val="auto"/>
          <w:sz w:val="22"/>
          <w:highlight w:val="none"/>
        </w:rPr>
        <w:t>。招标代理费汇入账号以招标代理机构提供的为准。</w:t>
      </w:r>
    </w:p>
    <w:p w14:paraId="63BCA041">
      <w:pPr>
        <w:tabs>
          <w:tab w:val="left" w:pos="1069"/>
          <w:tab w:val="left" w:pos="2352"/>
        </w:tabs>
        <w:adjustRightInd w:val="0"/>
        <w:snapToGrid w:val="0"/>
        <w:spacing w:line="400" w:lineRule="exact"/>
        <w:jc w:val="left"/>
        <w:rPr>
          <w:rFonts w:ascii="宋体" w:hAnsi="宋体" w:cs="宋体"/>
          <w:b/>
          <w:bCs/>
          <w:color w:val="auto"/>
          <w:sz w:val="22"/>
          <w:highlight w:val="none"/>
        </w:rPr>
      </w:pPr>
      <w:r>
        <w:rPr>
          <w:rFonts w:hint="eastAsia" w:ascii="宋体" w:hAnsi="宋体" w:cs="宋体"/>
          <w:b/>
          <w:bCs/>
          <w:color w:val="auto"/>
          <w:sz w:val="22"/>
          <w:highlight w:val="none"/>
        </w:rPr>
        <w:t>七、投诉质疑</w:t>
      </w:r>
    </w:p>
    <w:p w14:paraId="10218F59">
      <w:pPr>
        <w:pStyle w:val="44"/>
        <w:tabs>
          <w:tab w:val="left" w:pos="1069"/>
          <w:tab w:val="left" w:pos="2352"/>
        </w:tabs>
        <w:snapToGrid w:val="0"/>
        <w:spacing w:before="0" w:line="400" w:lineRule="exact"/>
        <w:ind w:firstLine="440"/>
        <w:rPr>
          <w:rFonts w:ascii="宋体" w:hAnsi="宋体" w:cs="宋体"/>
          <w:color w:val="auto"/>
          <w:sz w:val="22"/>
          <w:szCs w:val="22"/>
          <w:highlight w:val="none"/>
        </w:rPr>
      </w:pPr>
      <w:r>
        <w:rPr>
          <w:rFonts w:hint="eastAsia" w:ascii="宋体" w:hAnsi="宋体" w:cs="宋体"/>
          <w:color w:val="auto"/>
          <w:sz w:val="22"/>
          <w:szCs w:val="22"/>
          <w:highlight w:val="none"/>
        </w:rPr>
        <w:t>根据《中华人民共和国政府采购法》、《政府采购质疑和投诉办法》（中华人民共和国财政部令第94号）、《财政部关于加强政府采购供应商投诉受理审查工作的通知》(财库〔2007〕1号)和《浙江省政府采购供应商质疑处理办法》（浙财采监〔2012〕18号）的规定，政府采购供应商可以依法提起质疑和投诉。</w:t>
      </w:r>
    </w:p>
    <w:p w14:paraId="3FB065F2">
      <w:pPr>
        <w:pStyle w:val="44"/>
        <w:tabs>
          <w:tab w:val="left" w:pos="1069"/>
          <w:tab w:val="left" w:pos="2352"/>
        </w:tabs>
        <w:spacing w:before="0" w:line="400" w:lineRule="exact"/>
        <w:ind w:firstLine="0" w:firstLineChars="0"/>
        <w:rPr>
          <w:rFonts w:ascii="宋体" w:hAnsi="宋体" w:cs="宋体"/>
          <w:b/>
          <w:color w:val="auto"/>
          <w:sz w:val="22"/>
          <w:szCs w:val="22"/>
          <w:highlight w:val="none"/>
        </w:rPr>
      </w:pPr>
      <w:r>
        <w:rPr>
          <w:rFonts w:hint="eastAsia" w:ascii="宋体" w:hAnsi="宋体" w:cs="宋体"/>
          <w:b/>
          <w:color w:val="auto"/>
          <w:sz w:val="22"/>
          <w:szCs w:val="22"/>
          <w:highlight w:val="none"/>
        </w:rPr>
        <w:t>1.供应商询问</w:t>
      </w:r>
    </w:p>
    <w:p w14:paraId="0CF2583E">
      <w:pPr>
        <w:pStyle w:val="12"/>
        <w:tabs>
          <w:tab w:val="left" w:pos="1069"/>
          <w:tab w:val="left" w:pos="2352"/>
        </w:tabs>
        <w:spacing w:line="400" w:lineRule="exact"/>
        <w:ind w:firstLine="495" w:firstLineChars="225"/>
        <w:rPr>
          <w:rFonts w:hAnsi="宋体" w:cs="宋体"/>
          <w:color w:val="auto"/>
          <w:sz w:val="22"/>
          <w:szCs w:val="22"/>
          <w:highlight w:val="none"/>
        </w:rPr>
      </w:pPr>
      <w:r>
        <w:rPr>
          <w:rFonts w:hint="eastAsia" w:hAnsi="宋体" w:cs="宋体"/>
          <w:color w:val="auto"/>
          <w:sz w:val="22"/>
          <w:szCs w:val="22"/>
          <w:highlight w:val="none"/>
          <w:lang w:val="zh-CN"/>
        </w:rPr>
        <w:t>供应商对政府采购活动事项有疑问的，可以向招标代理机构提出询问，招标代理机构将对供应商依法提出的询问作出答复，但答复的内容不得涉及商业秘密。</w:t>
      </w:r>
    </w:p>
    <w:p w14:paraId="3FB94CF8">
      <w:pPr>
        <w:pStyle w:val="44"/>
        <w:tabs>
          <w:tab w:val="left" w:pos="1069"/>
          <w:tab w:val="left" w:pos="2352"/>
        </w:tabs>
        <w:spacing w:before="0" w:line="400" w:lineRule="exact"/>
        <w:ind w:firstLine="0" w:firstLineChars="0"/>
        <w:rPr>
          <w:rFonts w:ascii="宋体" w:hAnsi="宋体" w:cs="宋体"/>
          <w:b/>
          <w:color w:val="auto"/>
          <w:sz w:val="22"/>
          <w:szCs w:val="22"/>
          <w:highlight w:val="none"/>
        </w:rPr>
      </w:pPr>
      <w:r>
        <w:rPr>
          <w:rFonts w:hint="eastAsia" w:ascii="宋体" w:hAnsi="宋体" w:cs="宋体"/>
          <w:b/>
          <w:color w:val="auto"/>
          <w:sz w:val="22"/>
          <w:szCs w:val="22"/>
          <w:highlight w:val="none"/>
        </w:rPr>
        <w:t>2.供应商质疑</w:t>
      </w:r>
    </w:p>
    <w:p w14:paraId="6B77267B">
      <w:pPr>
        <w:pStyle w:val="12"/>
        <w:tabs>
          <w:tab w:val="left" w:pos="1069"/>
          <w:tab w:val="left" w:pos="2352"/>
        </w:tabs>
        <w:spacing w:line="400" w:lineRule="exact"/>
        <w:ind w:firstLine="495" w:firstLineChars="225"/>
        <w:rPr>
          <w:rFonts w:hAnsi="宋体" w:cs="宋体"/>
          <w:color w:val="auto"/>
          <w:sz w:val="22"/>
          <w:szCs w:val="22"/>
          <w:highlight w:val="none"/>
        </w:rPr>
      </w:pPr>
      <w:r>
        <w:rPr>
          <w:rFonts w:hint="eastAsia" w:hAnsi="宋体" w:cs="宋体"/>
          <w:color w:val="auto"/>
          <w:sz w:val="22"/>
          <w:szCs w:val="22"/>
          <w:highlight w:val="none"/>
        </w:rPr>
        <w:t>2.1供应商认为竞争性磋商文件、采购过程和中标、成交结果使自己的权益受到损害的，可以在知道或者应知其权益受到损害之日起七个工作日内，以书面形式向采购人、采购代理机构提出质疑，</w:t>
      </w:r>
      <w:r>
        <w:rPr>
          <w:rFonts w:hint="eastAsia" w:hAnsi="宋体" w:cs="宋体"/>
          <w:color w:val="auto"/>
          <w:sz w:val="22"/>
          <w:szCs w:val="22"/>
          <w:highlight w:val="none"/>
          <w:lang w:val="zh-CN"/>
        </w:rPr>
        <w:t>否则，不予受理：</w:t>
      </w:r>
    </w:p>
    <w:p w14:paraId="4BA5FF88">
      <w:pPr>
        <w:pStyle w:val="12"/>
        <w:tabs>
          <w:tab w:val="left" w:pos="1069"/>
          <w:tab w:val="left" w:pos="2352"/>
        </w:tabs>
        <w:spacing w:line="400" w:lineRule="exact"/>
        <w:rPr>
          <w:rFonts w:hAnsi="宋体" w:cs="宋体"/>
          <w:color w:val="auto"/>
          <w:sz w:val="22"/>
          <w:szCs w:val="22"/>
          <w:highlight w:val="none"/>
        </w:rPr>
      </w:pPr>
      <w:r>
        <w:rPr>
          <w:rFonts w:hint="eastAsia" w:hAnsi="宋体" w:cs="宋体"/>
          <w:color w:val="auto"/>
          <w:sz w:val="22"/>
          <w:szCs w:val="22"/>
          <w:highlight w:val="none"/>
        </w:rPr>
        <w:t xml:space="preserve">   （1）供应商如认为招标公告信息使自身的合法权益受到损害的，应于自招标公告发布之日起七个工作内以书面形式向招标代理机构提出质疑；</w:t>
      </w:r>
    </w:p>
    <w:p w14:paraId="507DD114">
      <w:pPr>
        <w:pStyle w:val="12"/>
        <w:tabs>
          <w:tab w:val="left" w:pos="1069"/>
          <w:tab w:val="left" w:pos="2352"/>
        </w:tabs>
        <w:spacing w:line="400" w:lineRule="exact"/>
        <w:rPr>
          <w:rFonts w:hAnsi="宋体" w:cs="宋体"/>
          <w:color w:val="auto"/>
          <w:sz w:val="22"/>
          <w:szCs w:val="22"/>
          <w:highlight w:val="none"/>
        </w:rPr>
      </w:pPr>
      <w:r>
        <w:rPr>
          <w:rFonts w:hint="eastAsia" w:hAnsi="宋体" w:cs="宋体"/>
          <w:color w:val="auto"/>
          <w:sz w:val="22"/>
          <w:szCs w:val="22"/>
          <w:highlight w:val="none"/>
        </w:rPr>
        <w:t xml:space="preserve">   （2）</w:t>
      </w:r>
      <w:r>
        <w:rPr>
          <w:rFonts w:hint="eastAsia" w:hAnsi="宋体" w:cs="宋体"/>
          <w:color w:val="auto"/>
          <w:sz w:val="22"/>
          <w:szCs w:val="22"/>
          <w:highlight w:val="none"/>
          <w:lang w:val="zh-CN"/>
        </w:rPr>
        <w:t>对竞争性磋商文件提出质疑的，质疑期限为供应商获得竞争性磋商文件之日或者竞争性磋商文件公告期限届满之日起计算。</w:t>
      </w:r>
    </w:p>
    <w:p w14:paraId="5BD7BBE9">
      <w:pPr>
        <w:tabs>
          <w:tab w:val="left" w:pos="1069"/>
          <w:tab w:val="left" w:pos="2352"/>
        </w:tabs>
        <w:autoSpaceDE w:val="0"/>
        <w:autoSpaceDN w:val="0"/>
        <w:spacing w:line="400" w:lineRule="exact"/>
        <w:jc w:val="left"/>
        <w:rPr>
          <w:rFonts w:ascii="宋体" w:hAnsi="宋体" w:cs="宋体"/>
          <w:color w:val="auto"/>
          <w:kern w:val="0"/>
          <w:sz w:val="22"/>
          <w:highlight w:val="none"/>
          <w:lang w:val="zh-CN"/>
        </w:rPr>
      </w:pPr>
      <w:r>
        <w:rPr>
          <w:rFonts w:hint="eastAsia" w:ascii="宋体" w:hAnsi="宋体" w:cs="宋体"/>
          <w:color w:val="auto"/>
          <w:sz w:val="22"/>
          <w:highlight w:val="none"/>
        </w:rPr>
        <w:t xml:space="preserve">   （3）</w:t>
      </w:r>
      <w:r>
        <w:rPr>
          <w:rFonts w:hint="eastAsia" w:ascii="宋体" w:hAnsi="宋体" w:cs="宋体"/>
          <w:color w:val="auto"/>
          <w:kern w:val="0"/>
          <w:sz w:val="22"/>
          <w:highlight w:val="none"/>
          <w:lang w:val="zh-CN"/>
        </w:rPr>
        <w:t>对采购过程提出质疑的，质疑期限为各采购程序环节结束之日起计算。</w:t>
      </w:r>
    </w:p>
    <w:p w14:paraId="3B3E4544">
      <w:pPr>
        <w:pStyle w:val="12"/>
        <w:tabs>
          <w:tab w:val="left" w:pos="1069"/>
          <w:tab w:val="left" w:pos="2352"/>
        </w:tabs>
        <w:spacing w:line="400" w:lineRule="exact"/>
        <w:rPr>
          <w:rFonts w:hint="eastAsia" w:hAnsi="宋体" w:cs="宋体"/>
          <w:color w:val="auto"/>
          <w:sz w:val="22"/>
          <w:szCs w:val="22"/>
          <w:highlight w:val="none"/>
          <w:lang w:val="zh-CN"/>
        </w:rPr>
      </w:pPr>
      <w:r>
        <w:rPr>
          <w:rFonts w:hint="eastAsia" w:hAnsi="宋体" w:cs="宋体"/>
          <w:color w:val="auto"/>
          <w:sz w:val="22"/>
          <w:szCs w:val="22"/>
          <w:highlight w:val="none"/>
          <w:lang w:val="zh-CN"/>
        </w:rPr>
        <w:t xml:space="preserve">   （4）对采购结果提出质疑的，质疑期限自采购结果公告（包括公示、预公告、结果变更公告等）期限届满之日起计算。</w:t>
      </w:r>
    </w:p>
    <w:p w14:paraId="2F0007E0">
      <w:pPr>
        <w:pStyle w:val="12"/>
        <w:tabs>
          <w:tab w:val="left" w:pos="1069"/>
          <w:tab w:val="left" w:pos="2352"/>
        </w:tabs>
        <w:spacing w:line="400" w:lineRule="exact"/>
        <w:ind w:firstLine="440" w:firstLineChars="200"/>
        <w:rPr>
          <w:rFonts w:hint="eastAsia" w:ascii="宋体" w:hAnsi="宋体" w:eastAsia="宋体" w:cs="宋体"/>
          <w:color w:val="auto"/>
          <w:kern w:val="0"/>
          <w:sz w:val="22"/>
          <w:szCs w:val="22"/>
          <w:highlight w:val="none"/>
          <w:lang w:val="zh-CN" w:eastAsia="zh-CN" w:bidi="ar-SA"/>
        </w:rPr>
      </w:pPr>
      <w:r>
        <w:rPr>
          <w:rFonts w:hint="eastAsia" w:hAnsi="宋体" w:cs="宋体"/>
          <w:color w:val="auto"/>
          <w:sz w:val="22"/>
          <w:szCs w:val="22"/>
          <w:highlight w:val="none"/>
          <w:lang w:eastAsia="zh-CN"/>
        </w:rPr>
        <w:t>（</w:t>
      </w:r>
      <w:r>
        <w:rPr>
          <w:rFonts w:hint="eastAsia" w:hAnsi="宋体" w:cs="宋体"/>
          <w:color w:val="auto"/>
          <w:sz w:val="22"/>
          <w:szCs w:val="22"/>
          <w:highlight w:val="none"/>
          <w:lang w:val="en-US" w:eastAsia="zh-CN"/>
        </w:rPr>
        <w:t>5</w:t>
      </w:r>
      <w:r>
        <w:rPr>
          <w:rFonts w:hint="eastAsia" w:ascii="宋体" w:hAnsi="宋体" w:eastAsia="宋体" w:cs="宋体"/>
          <w:color w:val="auto"/>
          <w:kern w:val="0"/>
          <w:sz w:val="22"/>
          <w:szCs w:val="22"/>
          <w:highlight w:val="none"/>
          <w:lang w:val="zh-CN" w:eastAsia="zh-CN" w:bidi="ar-SA"/>
        </w:rPr>
        <w:t>）供应商</w:t>
      </w:r>
      <w:r>
        <w:rPr>
          <w:rFonts w:hint="eastAsia" w:ascii="宋体" w:hAnsi="宋体" w:eastAsia="宋体" w:cs="宋体"/>
          <w:color w:val="auto"/>
          <w:kern w:val="0"/>
          <w:sz w:val="22"/>
          <w:szCs w:val="22"/>
          <w:highlight w:val="none"/>
          <w:lang w:val="en-US" w:eastAsia="zh-CN" w:bidi="ar-SA"/>
        </w:rPr>
        <w:t>须</w:t>
      </w:r>
      <w:r>
        <w:rPr>
          <w:rFonts w:hint="eastAsia" w:ascii="宋体" w:hAnsi="宋体" w:eastAsia="宋体" w:cs="宋体"/>
          <w:color w:val="auto"/>
          <w:kern w:val="0"/>
          <w:sz w:val="22"/>
          <w:szCs w:val="22"/>
          <w:highlight w:val="none"/>
          <w:lang w:val="zh-CN" w:eastAsia="zh-CN" w:bidi="ar-SA"/>
        </w:rPr>
        <w:t>在法定质疑期内一次性提出针对同一采购程序环节的质疑。</w:t>
      </w:r>
    </w:p>
    <w:p w14:paraId="30371A3D">
      <w:pPr>
        <w:pStyle w:val="12"/>
        <w:tabs>
          <w:tab w:val="left" w:pos="1069"/>
          <w:tab w:val="left" w:pos="2352"/>
        </w:tabs>
        <w:spacing w:line="400" w:lineRule="exact"/>
        <w:ind w:firstLine="495" w:firstLineChars="225"/>
        <w:rPr>
          <w:rFonts w:hAnsi="宋体" w:cs="宋体"/>
          <w:color w:val="auto"/>
          <w:sz w:val="22"/>
          <w:szCs w:val="22"/>
          <w:highlight w:val="none"/>
        </w:rPr>
      </w:pPr>
      <w:r>
        <w:rPr>
          <w:rFonts w:hint="eastAsia" w:hAnsi="宋体" w:cs="宋体"/>
          <w:color w:val="auto"/>
          <w:sz w:val="22"/>
          <w:szCs w:val="22"/>
          <w:highlight w:val="none"/>
        </w:rPr>
        <w:t>2.2供应商提交的质疑书由法定代表人签字（或盖章）并加盖单位公章。质疑书至少应包括下列主要内容：</w:t>
      </w:r>
    </w:p>
    <w:p w14:paraId="5A2B4B3A">
      <w:pPr>
        <w:pStyle w:val="12"/>
        <w:tabs>
          <w:tab w:val="left" w:pos="1069"/>
          <w:tab w:val="left" w:pos="2352"/>
        </w:tabs>
        <w:spacing w:line="400" w:lineRule="exact"/>
        <w:ind w:firstLine="495" w:firstLineChars="225"/>
        <w:rPr>
          <w:rFonts w:hAnsi="宋体" w:cs="宋体"/>
          <w:color w:val="auto"/>
          <w:sz w:val="22"/>
          <w:szCs w:val="22"/>
          <w:highlight w:val="none"/>
        </w:rPr>
      </w:pPr>
      <w:r>
        <w:rPr>
          <w:rFonts w:hint="eastAsia" w:hAnsi="宋体" w:cs="宋体"/>
          <w:color w:val="auto"/>
          <w:sz w:val="22"/>
          <w:szCs w:val="22"/>
          <w:highlight w:val="none"/>
        </w:rPr>
        <w:t>（1）供应商的名称、地址、邮政编码、联系人、联系电话；</w:t>
      </w:r>
    </w:p>
    <w:p w14:paraId="7B2955F0">
      <w:pPr>
        <w:pStyle w:val="12"/>
        <w:tabs>
          <w:tab w:val="left" w:pos="1069"/>
          <w:tab w:val="left" w:pos="2352"/>
        </w:tabs>
        <w:spacing w:line="400" w:lineRule="exact"/>
        <w:ind w:firstLine="495" w:firstLineChars="225"/>
        <w:rPr>
          <w:rFonts w:hAnsi="宋体" w:cs="宋体"/>
          <w:color w:val="auto"/>
          <w:sz w:val="22"/>
          <w:szCs w:val="22"/>
          <w:highlight w:val="none"/>
        </w:rPr>
      </w:pPr>
      <w:r>
        <w:rPr>
          <w:rFonts w:hint="eastAsia" w:hAnsi="宋体" w:cs="宋体"/>
          <w:color w:val="auto"/>
          <w:sz w:val="22"/>
          <w:szCs w:val="22"/>
          <w:highlight w:val="none"/>
        </w:rPr>
        <w:t>（2）质疑项目的名称、编号；</w:t>
      </w:r>
    </w:p>
    <w:p w14:paraId="61399A20">
      <w:pPr>
        <w:pStyle w:val="12"/>
        <w:tabs>
          <w:tab w:val="left" w:pos="1069"/>
          <w:tab w:val="left" w:pos="2352"/>
        </w:tabs>
        <w:spacing w:line="400" w:lineRule="exact"/>
        <w:ind w:firstLine="495" w:firstLineChars="225"/>
        <w:rPr>
          <w:rFonts w:hAnsi="宋体" w:cs="宋体"/>
          <w:color w:val="auto"/>
          <w:sz w:val="22"/>
          <w:szCs w:val="22"/>
          <w:highlight w:val="none"/>
        </w:rPr>
      </w:pPr>
      <w:r>
        <w:rPr>
          <w:rFonts w:hint="eastAsia" w:hAnsi="宋体" w:cs="宋体"/>
          <w:color w:val="auto"/>
          <w:sz w:val="22"/>
          <w:szCs w:val="22"/>
          <w:highlight w:val="none"/>
        </w:rPr>
        <w:t>（3）具体、明确的质疑事项和与质疑事项相关的请求；</w:t>
      </w:r>
    </w:p>
    <w:p w14:paraId="64F7DE39">
      <w:pPr>
        <w:pStyle w:val="12"/>
        <w:tabs>
          <w:tab w:val="left" w:pos="1069"/>
          <w:tab w:val="left" w:pos="2352"/>
        </w:tabs>
        <w:spacing w:line="400" w:lineRule="exact"/>
        <w:ind w:firstLine="495" w:firstLineChars="225"/>
        <w:rPr>
          <w:rFonts w:hAnsi="宋体" w:cs="宋体"/>
          <w:color w:val="auto"/>
          <w:sz w:val="22"/>
          <w:szCs w:val="22"/>
          <w:highlight w:val="none"/>
        </w:rPr>
      </w:pPr>
      <w:r>
        <w:rPr>
          <w:rFonts w:hint="eastAsia" w:hAnsi="宋体" w:cs="宋体"/>
          <w:color w:val="auto"/>
          <w:sz w:val="22"/>
          <w:szCs w:val="22"/>
          <w:highlight w:val="none"/>
        </w:rPr>
        <w:t>（4）事实依据；</w:t>
      </w:r>
    </w:p>
    <w:p w14:paraId="643920A0">
      <w:pPr>
        <w:pStyle w:val="12"/>
        <w:tabs>
          <w:tab w:val="left" w:pos="1069"/>
          <w:tab w:val="left" w:pos="2352"/>
        </w:tabs>
        <w:spacing w:line="400" w:lineRule="exact"/>
        <w:ind w:firstLine="495" w:firstLineChars="225"/>
        <w:rPr>
          <w:rFonts w:hAnsi="宋体" w:cs="宋体"/>
          <w:color w:val="auto"/>
          <w:sz w:val="22"/>
          <w:szCs w:val="22"/>
          <w:highlight w:val="none"/>
        </w:rPr>
      </w:pPr>
      <w:r>
        <w:rPr>
          <w:rFonts w:hint="eastAsia" w:hAnsi="宋体" w:cs="宋体"/>
          <w:color w:val="auto"/>
          <w:sz w:val="22"/>
          <w:szCs w:val="22"/>
          <w:highlight w:val="none"/>
        </w:rPr>
        <w:t>（5）必要的法律依据；</w:t>
      </w:r>
    </w:p>
    <w:p w14:paraId="6392B0A1">
      <w:pPr>
        <w:pStyle w:val="12"/>
        <w:tabs>
          <w:tab w:val="left" w:pos="1069"/>
          <w:tab w:val="left" w:pos="2352"/>
        </w:tabs>
        <w:spacing w:line="400" w:lineRule="exact"/>
        <w:ind w:firstLine="495" w:firstLineChars="225"/>
        <w:rPr>
          <w:rFonts w:hAnsi="宋体" w:cs="宋体"/>
          <w:color w:val="auto"/>
          <w:sz w:val="22"/>
          <w:szCs w:val="22"/>
          <w:highlight w:val="none"/>
        </w:rPr>
      </w:pPr>
      <w:r>
        <w:rPr>
          <w:rFonts w:hint="eastAsia" w:hAnsi="宋体" w:cs="宋体"/>
          <w:color w:val="auto"/>
          <w:sz w:val="22"/>
          <w:szCs w:val="22"/>
          <w:highlight w:val="none"/>
        </w:rPr>
        <w:t>（6）提出质疑的日期。</w:t>
      </w:r>
    </w:p>
    <w:p w14:paraId="55A81EEB">
      <w:pPr>
        <w:pStyle w:val="12"/>
        <w:tabs>
          <w:tab w:val="left" w:pos="1069"/>
          <w:tab w:val="left" w:pos="2352"/>
        </w:tabs>
        <w:spacing w:line="400" w:lineRule="exact"/>
        <w:ind w:firstLine="495" w:firstLineChars="225"/>
        <w:rPr>
          <w:rFonts w:hAnsi="宋体" w:cs="宋体"/>
          <w:color w:val="auto"/>
          <w:sz w:val="22"/>
          <w:szCs w:val="22"/>
          <w:highlight w:val="none"/>
        </w:rPr>
      </w:pPr>
      <w:r>
        <w:rPr>
          <w:rFonts w:hint="eastAsia" w:hAnsi="宋体" w:cs="宋体"/>
          <w:color w:val="auto"/>
          <w:sz w:val="22"/>
          <w:szCs w:val="22"/>
          <w:highlight w:val="none"/>
        </w:rPr>
        <w:t>供应商为自然人的，应当由本人签字；供应商为法人或其他组织的，应当由法定代表人、主要负责人，或者其授权代表签字或者盖章，并加盖公章。</w:t>
      </w:r>
    </w:p>
    <w:p w14:paraId="6E48AAFC">
      <w:pPr>
        <w:pStyle w:val="12"/>
        <w:tabs>
          <w:tab w:val="left" w:pos="1069"/>
          <w:tab w:val="left" w:pos="2352"/>
        </w:tabs>
        <w:spacing w:line="400" w:lineRule="exact"/>
        <w:ind w:firstLine="495" w:firstLineChars="225"/>
        <w:rPr>
          <w:rFonts w:hAnsi="宋体" w:cs="宋体"/>
          <w:color w:val="auto"/>
          <w:sz w:val="22"/>
          <w:szCs w:val="22"/>
          <w:highlight w:val="none"/>
        </w:rPr>
      </w:pPr>
      <w:r>
        <w:rPr>
          <w:rFonts w:hint="eastAsia" w:hAnsi="宋体" w:cs="宋体"/>
          <w:color w:val="auto"/>
          <w:sz w:val="22"/>
          <w:szCs w:val="22"/>
          <w:highlight w:val="none"/>
        </w:rPr>
        <w:t>2.3采购人、采购代理机构应当在收到供应商的书面质疑后七个工作日内作出答复，并以书面形式通知质疑供应商和其他有关供应商，但答复的内容不得涉及商业秘密。</w:t>
      </w:r>
    </w:p>
    <w:p w14:paraId="0D7C3E76">
      <w:pPr>
        <w:pStyle w:val="44"/>
        <w:tabs>
          <w:tab w:val="left" w:pos="1069"/>
          <w:tab w:val="left" w:pos="2352"/>
        </w:tabs>
        <w:spacing w:before="0" w:line="400" w:lineRule="exact"/>
        <w:ind w:firstLine="0" w:firstLineChars="0"/>
        <w:rPr>
          <w:rFonts w:ascii="宋体" w:hAnsi="宋体" w:cs="宋体"/>
          <w:b/>
          <w:color w:val="auto"/>
          <w:sz w:val="22"/>
          <w:szCs w:val="22"/>
          <w:highlight w:val="none"/>
        </w:rPr>
      </w:pPr>
      <w:r>
        <w:rPr>
          <w:rFonts w:hint="eastAsia" w:ascii="宋体" w:hAnsi="宋体" w:cs="宋体"/>
          <w:b/>
          <w:color w:val="auto"/>
          <w:sz w:val="22"/>
          <w:szCs w:val="22"/>
          <w:highlight w:val="none"/>
        </w:rPr>
        <w:t>3.供应商投诉</w:t>
      </w:r>
    </w:p>
    <w:p w14:paraId="09345CAC">
      <w:pPr>
        <w:pStyle w:val="12"/>
        <w:tabs>
          <w:tab w:val="left" w:pos="1069"/>
          <w:tab w:val="left" w:pos="2352"/>
        </w:tabs>
        <w:spacing w:line="400" w:lineRule="exact"/>
        <w:ind w:firstLine="495" w:firstLineChars="225"/>
        <w:rPr>
          <w:rFonts w:hAnsi="宋体" w:cs="宋体"/>
          <w:color w:val="auto"/>
          <w:sz w:val="22"/>
          <w:szCs w:val="22"/>
          <w:highlight w:val="none"/>
        </w:rPr>
      </w:pPr>
      <w:r>
        <w:rPr>
          <w:rFonts w:hint="eastAsia" w:hAnsi="宋体" w:cs="宋体"/>
          <w:color w:val="auto"/>
          <w:sz w:val="22"/>
          <w:szCs w:val="22"/>
          <w:highlight w:val="none"/>
        </w:rPr>
        <w:t>3.1供应商投诉应当提交投诉书和必要的证明材料。供应商投诉的事项不得超出已质疑事项的范围（基于质疑答复内容提出的投诉事项除外）。</w:t>
      </w:r>
    </w:p>
    <w:p w14:paraId="23AB51DF">
      <w:pPr>
        <w:pStyle w:val="12"/>
        <w:tabs>
          <w:tab w:val="left" w:pos="1069"/>
          <w:tab w:val="left" w:pos="2352"/>
        </w:tabs>
        <w:spacing w:line="400" w:lineRule="exact"/>
        <w:ind w:firstLine="495" w:firstLineChars="225"/>
        <w:rPr>
          <w:rFonts w:hAnsi="宋体" w:cs="宋体"/>
          <w:color w:val="auto"/>
          <w:sz w:val="22"/>
          <w:szCs w:val="22"/>
          <w:highlight w:val="none"/>
        </w:rPr>
      </w:pPr>
      <w:r>
        <w:rPr>
          <w:rFonts w:hint="eastAsia" w:hAnsi="宋体" w:cs="宋体"/>
          <w:color w:val="auto"/>
          <w:sz w:val="22"/>
          <w:szCs w:val="22"/>
          <w:highlight w:val="none"/>
        </w:rPr>
        <w:t>3.2质疑供应商对采购人、采购代理机构的答复不满意或者采购人、采购代理机构未在规定的时间内作出答复的，可以在答复期满后十五个工作日内向同级财政部门提出投诉。</w:t>
      </w:r>
    </w:p>
    <w:p w14:paraId="53B3D88A">
      <w:pPr>
        <w:pStyle w:val="30"/>
        <w:tabs>
          <w:tab w:val="left" w:pos="1069"/>
          <w:tab w:val="left" w:pos="2352"/>
        </w:tabs>
        <w:ind w:left="0" w:leftChars="0" w:firstLine="0" w:firstLineChars="0"/>
        <w:rPr>
          <w:rFonts w:ascii="宋体" w:hAnsi="宋体"/>
          <w:b/>
          <w:bCs/>
          <w:color w:val="auto"/>
          <w:highlight w:val="none"/>
        </w:rPr>
      </w:pPr>
      <w:r>
        <w:rPr>
          <w:rFonts w:hint="eastAsia" w:ascii="宋体" w:hAnsi="宋体"/>
          <w:color w:val="auto"/>
          <w:highlight w:val="none"/>
        </w:rPr>
        <w:t>质疑函范本、投诉书范本请至浙江省政府采购网下载专区下载。</w:t>
      </w:r>
    </w:p>
    <w:p w14:paraId="7191A7D2">
      <w:pPr>
        <w:pStyle w:val="42"/>
        <w:spacing w:line="400" w:lineRule="exact"/>
        <w:rPr>
          <w:rFonts w:hAnsi="宋体" w:cs="宋体"/>
          <w:color w:val="auto"/>
          <w:sz w:val="22"/>
          <w:szCs w:val="22"/>
          <w:highlight w:val="none"/>
        </w:rPr>
      </w:pPr>
      <w:bookmarkStart w:id="88" w:name="_Toc29876_WPSOffice_Level1"/>
      <w:r>
        <w:rPr>
          <w:rFonts w:hint="eastAsia" w:hAnsi="宋体" w:cs="宋体"/>
          <w:b/>
          <w:bCs/>
          <w:color w:val="auto"/>
          <w:sz w:val="22"/>
          <w:szCs w:val="22"/>
          <w:highlight w:val="none"/>
        </w:rPr>
        <w:t>4.线上质疑及投诉</w:t>
      </w:r>
    </w:p>
    <w:p w14:paraId="028A4F7D">
      <w:pPr>
        <w:pStyle w:val="42"/>
        <w:spacing w:line="400" w:lineRule="exact"/>
        <w:ind w:firstLine="440" w:firstLineChars="200"/>
        <w:rPr>
          <w:rFonts w:hAnsi="宋体" w:cs="宋体"/>
          <w:color w:val="auto"/>
          <w:sz w:val="22"/>
          <w:szCs w:val="22"/>
          <w:highlight w:val="none"/>
        </w:rPr>
      </w:pPr>
      <w:r>
        <w:rPr>
          <w:rFonts w:hint="eastAsia" w:hAnsi="宋体" w:cs="宋体"/>
          <w:color w:val="auto"/>
          <w:sz w:val="22"/>
          <w:szCs w:val="22"/>
          <w:highlight w:val="none"/>
        </w:rPr>
        <w:t>根据《浙江省财政厅关于进一步促进政府采购公平竞争打造最优营商环境的通知》（浙财采监（2021）22号）文件关于“健全行政裁决机制”要求，鼓励供应商在线提起询问，路径为：政采云-项目采购-询问质疑投诉-询问列表:鼓励供应商在线提起质疑，路径为：政采云-项目采购-询问质疑投诉-质疑列表。质疑供应商对在线质疑答复不满意的，可在线提起投诉，路径为：浙江政府服务网-政府采购投诉处理-在线办理。</w:t>
      </w:r>
    </w:p>
    <w:p w14:paraId="5958B658">
      <w:pPr>
        <w:pStyle w:val="42"/>
        <w:spacing w:line="400" w:lineRule="exact"/>
        <w:ind w:firstLine="440" w:firstLineChars="200"/>
        <w:rPr>
          <w:rFonts w:hAnsi="宋体" w:cs="宋体"/>
          <w:color w:val="auto"/>
          <w:sz w:val="22"/>
          <w:szCs w:val="22"/>
          <w:highlight w:val="none"/>
        </w:rPr>
      </w:pPr>
      <w:r>
        <w:rPr>
          <w:rFonts w:hint="eastAsia" w:hAnsi="宋体" w:cs="宋体"/>
          <w:color w:val="auto"/>
          <w:sz w:val="22"/>
          <w:szCs w:val="22"/>
          <w:highlight w:val="none"/>
        </w:rPr>
        <w:t>质疑函范本、投诉书范本请至浙江政府采购网下载专区下载。</w:t>
      </w:r>
    </w:p>
    <w:p w14:paraId="6DE5A86C">
      <w:pPr>
        <w:pStyle w:val="42"/>
        <w:spacing w:line="400" w:lineRule="exact"/>
        <w:ind w:firstLine="440" w:firstLineChars="200"/>
        <w:rPr>
          <w:rFonts w:hAnsi="宋体" w:cs="宋体"/>
          <w:color w:val="auto"/>
          <w:sz w:val="22"/>
          <w:szCs w:val="22"/>
          <w:highlight w:val="none"/>
        </w:rPr>
      </w:pPr>
    </w:p>
    <w:p w14:paraId="6303503A">
      <w:pPr>
        <w:tabs>
          <w:tab w:val="left" w:pos="1069"/>
          <w:tab w:val="left" w:pos="2352"/>
        </w:tabs>
        <w:jc w:val="center"/>
        <w:rPr>
          <w:rFonts w:ascii="宋体" w:hAnsi="宋体" w:cs="宋体"/>
          <w:b/>
          <w:color w:val="auto"/>
          <w:sz w:val="32"/>
          <w:szCs w:val="32"/>
          <w:highlight w:val="none"/>
        </w:rPr>
      </w:pPr>
    </w:p>
    <w:p w14:paraId="53644611">
      <w:pPr>
        <w:tabs>
          <w:tab w:val="left" w:pos="1069"/>
          <w:tab w:val="left" w:pos="2352"/>
        </w:tabs>
        <w:jc w:val="center"/>
        <w:rPr>
          <w:rFonts w:ascii="宋体" w:hAnsi="宋体" w:cs="宋体"/>
          <w:b/>
          <w:color w:val="auto"/>
          <w:sz w:val="32"/>
          <w:szCs w:val="32"/>
          <w:highlight w:val="none"/>
        </w:rPr>
      </w:pPr>
    </w:p>
    <w:p w14:paraId="4F451E7D">
      <w:pPr>
        <w:tabs>
          <w:tab w:val="left" w:pos="1069"/>
          <w:tab w:val="left" w:pos="2352"/>
        </w:tabs>
        <w:jc w:val="center"/>
        <w:rPr>
          <w:rFonts w:ascii="宋体" w:hAnsi="宋体" w:cs="宋体"/>
          <w:b/>
          <w:color w:val="auto"/>
          <w:sz w:val="32"/>
          <w:szCs w:val="32"/>
          <w:highlight w:val="none"/>
        </w:rPr>
      </w:pPr>
    </w:p>
    <w:p w14:paraId="2B593C7B">
      <w:pPr>
        <w:tabs>
          <w:tab w:val="left" w:pos="1069"/>
          <w:tab w:val="left" w:pos="2352"/>
        </w:tabs>
        <w:jc w:val="center"/>
        <w:rPr>
          <w:rFonts w:ascii="宋体" w:hAnsi="宋体" w:cs="宋体"/>
          <w:b/>
          <w:color w:val="auto"/>
          <w:sz w:val="32"/>
          <w:szCs w:val="32"/>
          <w:highlight w:val="none"/>
        </w:rPr>
      </w:pPr>
    </w:p>
    <w:p w14:paraId="4A220810">
      <w:pPr>
        <w:tabs>
          <w:tab w:val="left" w:pos="1069"/>
          <w:tab w:val="left" w:pos="2352"/>
        </w:tabs>
        <w:jc w:val="center"/>
        <w:rPr>
          <w:rFonts w:ascii="宋体" w:hAnsi="宋体" w:cs="宋体"/>
          <w:b/>
          <w:color w:val="auto"/>
          <w:sz w:val="32"/>
          <w:szCs w:val="32"/>
          <w:highlight w:val="none"/>
        </w:rPr>
      </w:pPr>
    </w:p>
    <w:p w14:paraId="475C345D">
      <w:pPr>
        <w:pStyle w:val="3"/>
        <w:rPr>
          <w:rFonts w:ascii="宋体" w:hAnsi="宋体" w:cs="宋体"/>
          <w:b/>
          <w:color w:val="auto"/>
          <w:sz w:val="32"/>
          <w:szCs w:val="32"/>
          <w:highlight w:val="none"/>
        </w:rPr>
      </w:pPr>
    </w:p>
    <w:p w14:paraId="24BD4B89">
      <w:pPr>
        <w:tabs>
          <w:tab w:val="left" w:pos="1069"/>
          <w:tab w:val="left" w:pos="2352"/>
        </w:tabs>
        <w:jc w:val="center"/>
        <w:rPr>
          <w:rFonts w:ascii="宋体" w:hAnsi="宋体" w:cs="宋体"/>
          <w:b/>
          <w:color w:val="auto"/>
          <w:sz w:val="32"/>
          <w:szCs w:val="32"/>
          <w:highlight w:val="none"/>
        </w:rPr>
      </w:pPr>
    </w:p>
    <w:p w14:paraId="4FEBF03E">
      <w:pPr>
        <w:tabs>
          <w:tab w:val="left" w:pos="1069"/>
          <w:tab w:val="left" w:pos="2352"/>
        </w:tabs>
        <w:jc w:val="center"/>
        <w:rPr>
          <w:rFonts w:ascii="宋体" w:hAnsi="宋体" w:cs="宋体"/>
          <w:b/>
          <w:color w:val="auto"/>
          <w:sz w:val="32"/>
          <w:szCs w:val="32"/>
          <w:highlight w:val="none"/>
        </w:rPr>
      </w:pPr>
    </w:p>
    <w:p w14:paraId="76E076DB">
      <w:pPr>
        <w:tabs>
          <w:tab w:val="left" w:pos="1069"/>
          <w:tab w:val="left" w:pos="2352"/>
        </w:tabs>
        <w:jc w:val="center"/>
        <w:rPr>
          <w:rFonts w:ascii="宋体" w:hAnsi="宋体" w:cs="宋体"/>
          <w:b/>
          <w:bCs/>
          <w:color w:val="auto"/>
          <w:sz w:val="32"/>
          <w:szCs w:val="32"/>
          <w:highlight w:val="none"/>
          <w:lang w:val="zh-CN"/>
        </w:rPr>
      </w:pPr>
      <w:r>
        <w:rPr>
          <w:rFonts w:hint="eastAsia" w:ascii="宋体" w:hAnsi="宋体" w:cs="宋体"/>
          <w:b/>
          <w:color w:val="auto"/>
          <w:sz w:val="32"/>
          <w:szCs w:val="32"/>
          <w:highlight w:val="none"/>
        </w:rPr>
        <w:t>第四部分、</w:t>
      </w:r>
      <w:r>
        <w:rPr>
          <w:rFonts w:hint="eastAsia" w:ascii="宋体" w:hAnsi="宋体" w:cs="宋体"/>
          <w:b/>
          <w:bCs/>
          <w:color w:val="auto"/>
          <w:sz w:val="32"/>
          <w:szCs w:val="32"/>
          <w:highlight w:val="none"/>
          <w:lang w:val="zh-CN"/>
        </w:rPr>
        <w:t>政府采购政策功能相关说明</w:t>
      </w:r>
    </w:p>
    <w:p w14:paraId="7B4C2128">
      <w:pPr>
        <w:tabs>
          <w:tab w:val="left" w:pos="1069"/>
          <w:tab w:val="left" w:pos="2352"/>
        </w:tabs>
        <w:jc w:val="left"/>
        <w:rPr>
          <w:rFonts w:ascii="宋体"/>
          <w:b/>
          <w:bCs/>
          <w:color w:val="auto"/>
          <w:sz w:val="22"/>
          <w:highlight w:val="none"/>
        </w:rPr>
      </w:pPr>
      <w:bookmarkStart w:id="89" w:name="_Toc25899_WPSOffice_Level2"/>
      <w:bookmarkStart w:id="90" w:name="_Toc10483_WPSOffice_Level2"/>
      <w:r>
        <w:rPr>
          <w:rFonts w:hint="eastAsia" w:ascii="宋体"/>
          <w:b/>
          <w:bCs/>
          <w:color w:val="auto"/>
          <w:sz w:val="22"/>
          <w:highlight w:val="none"/>
        </w:rPr>
        <w:t>一、</w:t>
      </w:r>
      <w:bookmarkEnd w:id="89"/>
      <w:r>
        <w:rPr>
          <w:rFonts w:hint="eastAsia" w:ascii="宋体"/>
          <w:b/>
          <w:bCs/>
          <w:color w:val="auto"/>
          <w:sz w:val="22"/>
          <w:highlight w:val="none"/>
        </w:rPr>
        <w:t>中小企业（含监狱企业、残疾人福利性单位）扶持政策说明</w:t>
      </w:r>
    </w:p>
    <w:p w14:paraId="3EE98BD0">
      <w:pPr>
        <w:tabs>
          <w:tab w:val="left" w:pos="1069"/>
          <w:tab w:val="left" w:pos="2352"/>
        </w:tabs>
        <w:spacing w:line="440" w:lineRule="atLeast"/>
        <w:jc w:val="left"/>
        <w:rPr>
          <w:rFonts w:ascii="宋体"/>
          <w:color w:val="auto"/>
          <w:sz w:val="22"/>
          <w:highlight w:val="none"/>
        </w:rPr>
      </w:pPr>
      <w:r>
        <w:rPr>
          <w:rFonts w:ascii="宋体"/>
          <w:color w:val="auto"/>
          <w:sz w:val="22"/>
          <w:highlight w:val="none"/>
        </w:rPr>
        <w:t>1</w:t>
      </w:r>
      <w:r>
        <w:rPr>
          <w:rFonts w:hint="eastAsia" w:ascii="宋体"/>
          <w:color w:val="auto"/>
          <w:sz w:val="22"/>
          <w:highlight w:val="none"/>
        </w:rPr>
        <w:t>、文件依据</w:t>
      </w:r>
    </w:p>
    <w:p w14:paraId="5C043EC5">
      <w:pPr>
        <w:tabs>
          <w:tab w:val="left" w:pos="1069"/>
          <w:tab w:val="left" w:pos="2352"/>
        </w:tabs>
        <w:spacing w:line="440" w:lineRule="atLeast"/>
        <w:jc w:val="left"/>
        <w:rPr>
          <w:rFonts w:ascii="宋体"/>
          <w:color w:val="auto"/>
          <w:sz w:val="22"/>
          <w:highlight w:val="none"/>
        </w:rPr>
      </w:pPr>
      <w:r>
        <w:rPr>
          <w:rFonts w:hint="eastAsia" w:ascii="宋体"/>
          <w:color w:val="auto"/>
          <w:sz w:val="22"/>
          <w:highlight w:val="none"/>
        </w:rPr>
        <w:t>（</w:t>
      </w:r>
      <w:r>
        <w:rPr>
          <w:rFonts w:ascii="宋体"/>
          <w:color w:val="auto"/>
          <w:sz w:val="22"/>
          <w:highlight w:val="none"/>
        </w:rPr>
        <w:t>1</w:t>
      </w:r>
      <w:r>
        <w:rPr>
          <w:rFonts w:hint="eastAsia" w:ascii="宋体"/>
          <w:color w:val="auto"/>
          <w:sz w:val="22"/>
          <w:highlight w:val="none"/>
        </w:rPr>
        <w:t>）《政府采购促进中小企业发展管理办法》（财库﹝2020﹞46 号）</w:t>
      </w:r>
    </w:p>
    <w:p w14:paraId="6E930FEE">
      <w:pPr>
        <w:tabs>
          <w:tab w:val="left" w:pos="1069"/>
          <w:tab w:val="left" w:pos="2352"/>
        </w:tabs>
        <w:spacing w:line="440" w:lineRule="atLeast"/>
        <w:jc w:val="left"/>
        <w:rPr>
          <w:rFonts w:ascii="宋体"/>
          <w:color w:val="auto"/>
          <w:sz w:val="22"/>
          <w:highlight w:val="none"/>
        </w:rPr>
      </w:pPr>
      <w:r>
        <w:rPr>
          <w:rFonts w:hint="eastAsia" w:ascii="宋体"/>
          <w:color w:val="auto"/>
          <w:sz w:val="22"/>
          <w:highlight w:val="none"/>
        </w:rPr>
        <w:t>（</w:t>
      </w:r>
      <w:r>
        <w:rPr>
          <w:rFonts w:ascii="宋体"/>
          <w:color w:val="auto"/>
          <w:sz w:val="22"/>
          <w:highlight w:val="none"/>
        </w:rPr>
        <w:t>2</w:t>
      </w:r>
      <w:r>
        <w:rPr>
          <w:rFonts w:hint="eastAsia" w:ascii="宋体"/>
          <w:color w:val="auto"/>
          <w:sz w:val="22"/>
          <w:highlight w:val="none"/>
        </w:rPr>
        <w:t>）浙江省省财政厅《关于开展政府采购供应商网上注册登记和诚信管理工作的通知》（浙财采监〔2010〕8号)</w:t>
      </w:r>
    </w:p>
    <w:p w14:paraId="6BA30D0A">
      <w:pPr>
        <w:tabs>
          <w:tab w:val="left" w:pos="1069"/>
          <w:tab w:val="left" w:pos="2352"/>
        </w:tabs>
        <w:spacing w:line="440" w:lineRule="atLeast"/>
        <w:jc w:val="left"/>
        <w:rPr>
          <w:rFonts w:ascii="宋体"/>
          <w:color w:val="auto"/>
          <w:sz w:val="22"/>
          <w:highlight w:val="none"/>
        </w:rPr>
      </w:pPr>
      <w:r>
        <w:rPr>
          <w:rFonts w:hint="eastAsia" w:ascii="宋体"/>
          <w:color w:val="auto"/>
          <w:sz w:val="22"/>
          <w:highlight w:val="none"/>
        </w:rPr>
        <w:t>（3）《工业和信息化部、国家统计局、国家发展和改革委员会、财政部关于印发中小企业划型标准规定的通知》（工信部联企业﹝2011﹞300号）</w:t>
      </w:r>
    </w:p>
    <w:p w14:paraId="6F6A1294">
      <w:pPr>
        <w:tabs>
          <w:tab w:val="left" w:pos="2352"/>
        </w:tabs>
        <w:spacing w:line="440" w:lineRule="atLeast"/>
        <w:jc w:val="left"/>
        <w:rPr>
          <w:rFonts w:ascii="宋体"/>
          <w:color w:val="auto"/>
          <w:sz w:val="22"/>
          <w:highlight w:val="none"/>
        </w:rPr>
      </w:pPr>
      <w:r>
        <w:rPr>
          <w:rFonts w:hint="eastAsia" w:ascii="宋体"/>
          <w:color w:val="auto"/>
          <w:sz w:val="22"/>
          <w:highlight w:val="none"/>
        </w:rPr>
        <w:t>（4）财政部、司法部《关于政府采购支持监狱企业发展有关问题的通知》（财库〔</w:t>
      </w:r>
      <w:r>
        <w:rPr>
          <w:rFonts w:ascii="宋体"/>
          <w:color w:val="auto"/>
          <w:sz w:val="22"/>
          <w:highlight w:val="none"/>
        </w:rPr>
        <w:t>2014</w:t>
      </w:r>
      <w:r>
        <w:rPr>
          <w:rFonts w:hint="eastAsia" w:ascii="宋体"/>
          <w:color w:val="auto"/>
          <w:sz w:val="22"/>
          <w:highlight w:val="none"/>
        </w:rPr>
        <w:t>〕</w:t>
      </w:r>
      <w:r>
        <w:rPr>
          <w:rFonts w:ascii="宋体"/>
          <w:color w:val="auto"/>
          <w:sz w:val="22"/>
          <w:highlight w:val="none"/>
        </w:rPr>
        <w:t>68</w:t>
      </w:r>
      <w:r>
        <w:rPr>
          <w:rFonts w:hint="eastAsia" w:ascii="宋体"/>
          <w:color w:val="auto"/>
          <w:sz w:val="22"/>
          <w:highlight w:val="none"/>
        </w:rPr>
        <w:t>号）</w:t>
      </w:r>
    </w:p>
    <w:p w14:paraId="728C531B">
      <w:pPr>
        <w:tabs>
          <w:tab w:val="left" w:pos="2352"/>
        </w:tabs>
        <w:spacing w:line="440" w:lineRule="atLeast"/>
        <w:jc w:val="left"/>
        <w:rPr>
          <w:rFonts w:ascii="宋体"/>
          <w:color w:val="auto"/>
          <w:sz w:val="22"/>
          <w:highlight w:val="none"/>
        </w:rPr>
      </w:pPr>
      <w:r>
        <w:rPr>
          <w:rFonts w:hint="eastAsia" w:ascii="宋体"/>
          <w:color w:val="auto"/>
          <w:sz w:val="22"/>
          <w:highlight w:val="none"/>
        </w:rPr>
        <w:t>（5）《财政部民政部中国残疾人联合会关于促进残疾人就业政府采购政策的通知》（财库〔</w:t>
      </w:r>
      <w:r>
        <w:rPr>
          <w:rFonts w:ascii="宋体"/>
          <w:color w:val="auto"/>
          <w:sz w:val="22"/>
          <w:highlight w:val="none"/>
        </w:rPr>
        <w:t>2017</w:t>
      </w:r>
      <w:r>
        <w:rPr>
          <w:rFonts w:hint="eastAsia" w:ascii="宋体"/>
          <w:color w:val="auto"/>
          <w:sz w:val="22"/>
          <w:highlight w:val="none"/>
        </w:rPr>
        <w:t>〕</w:t>
      </w:r>
      <w:r>
        <w:rPr>
          <w:rFonts w:ascii="宋体"/>
          <w:color w:val="auto"/>
          <w:sz w:val="22"/>
          <w:highlight w:val="none"/>
        </w:rPr>
        <w:t xml:space="preserve"> 141</w:t>
      </w:r>
      <w:r>
        <w:rPr>
          <w:rFonts w:hint="eastAsia" w:ascii="宋体"/>
          <w:color w:val="auto"/>
          <w:sz w:val="22"/>
          <w:highlight w:val="none"/>
        </w:rPr>
        <w:t>号）</w:t>
      </w:r>
    </w:p>
    <w:p w14:paraId="57FFDCE6">
      <w:pPr>
        <w:tabs>
          <w:tab w:val="left" w:pos="1069"/>
          <w:tab w:val="left" w:pos="2352"/>
        </w:tabs>
        <w:spacing w:line="440" w:lineRule="atLeast"/>
        <w:jc w:val="left"/>
        <w:rPr>
          <w:rFonts w:hAnsi="宋体"/>
          <w:color w:val="auto"/>
          <w:sz w:val="22"/>
          <w:highlight w:val="none"/>
        </w:rPr>
      </w:pPr>
      <w:r>
        <w:rPr>
          <w:rFonts w:hint="eastAsia" w:ascii="宋体"/>
          <w:color w:val="auto"/>
          <w:sz w:val="22"/>
          <w:highlight w:val="none"/>
        </w:rPr>
        <w:t>（6）</w:t>
      </w:r>
      <w:r>
        <w:rPr>
          <w:rFonts w:hint="eastAsia" w:hAnsi="宋体"/>
          <w:color w:val="auto"/>
          <w:sz w:val="22"/>
          <w:highlight w:val="none"/>
        </w:rPr>
        <w:t>《关于进一步加大政府采购支持中小企业力度的通知》（财库〔2022〕19号）；</w:t>
      </w:r>
    </w:p>
    <w:p w14:paraId="40B4717A">
      <w:pPr>
        <w:tabs>
          <w:tab w:val="left" w:pos="1069"/>
          <w:tab w:val="left" w:pos="2352"/>
        </w:tabs>
        <w:spacing w:line="440" w:lineRule="atLeast"/>
        <w:jc w:val="left"/>
        <w:rPr>
          <w:rFonts w:hAnsi="宋体"/>
          <w:color w:val="auto"/>
          <w:sz w:val="22"/>
          <w:highlight w:val="none"/>
        </w:rPr>
      </w:pPr>
      <w:r>
        <w:rPr>
          <w:rFonts w:hint="eastAsia" w:hAnsi="宋体" w:cs="宋体"/>
          <w:color w:val="auto"/>
          <w:sz w:val="22"/>
          <w:highlight w:val="none"/>
        </w:rPr>
        <w:t>（7）《浙江省财政厅关于进一步发挥政府采购政策 功能全力推动经济稳进提质的通知》（浙财采监〔2022〕3号）</w:t>
      </w:r>
      <w:r>
        <w:rPr>
          <w:rFonts w:hint="eastAsia" w:hAnsi="宋体"/>
          <w:color w:val="auto"/>
          <w:sz w:val="22"/>
          <w:highlight w:val="none"/>
        </w:rPr>
        <w:t>；</w:t>
      </w:r>
    </w:p>
    <w:p w14:paraId="07598E74">
      <w:pPr>
        <w:tabs>
          <w:tab w:val="left" w:pos="1069"/>
          <w:tab w:val="left" w:pos="2352"/>
        </w:tabs>
        <w:spacing w:line="440" w:lineRule="atLeast"/>
        <w:jc w:val="left"/>
        <w:rPr>
          <w:color w:val="auto"/>
          <w:highlight w:val="none"/>
        </w:rPr>
      </w:pPr>
      <w:r>
        <w:rPr>
          <w:rFonts w:hint="eastAsia" w:hAnsi="宋体" w:cs="宋体"/>
          <w:color w:val="auto"/>
          <w:sz w:val="22"/>
          <w:highlight w:val="none"/>
        </w:rPr>
        <w:t>（8）《关于进一步加大政府采购 支持中小企业力度 助力扎实稳住经济 的通知》（浙财采监〔2022〕8号）</w:t>
      </w:r>
    </w:p>
    <w:p w14:paraId="0BC18DF5">
      <w:pPr>
        <w:tabs>
          <w:tab w:val="left" w:pos="1069"/>
          <w:tab w:val="left" w:pos="2352"/>
        </w:tabs>
        <w:spacing w:line="440" w:lineRule="atLeast"/>
        <w:jc w:val="left"/>
        <w:rPr>
          <w:rFonts w:ascii="宋体" w:hAnsi="宋体" w:cs="宋体"/>
          <w:color w:val="auto"/>
          <w:sz w:val="22"/>
          <w:highlight w:val="none"/>
        </w:rPr>
      </w:pPr>
      <w:r>
        <w:rPr>
          <w:rFonts w:hint="eastAsia" w:ascii="宋体" w:hAnsi="宋体" w:cs="宋体"/>
          <w:color w:val="auto"/>
          <w:sz w:val="22"/>
          <w:highlight w:val="none"/>
        </w:rPr>
        <w:t>2、</w:t>
      </w:r>
      <w:r>
        <w:rPr>
          <w:rFonts w:hint="eastAsia" w:ascii="宋体" w:hAnsi="宋体" w:cs="宋体"/>
          <w:b/>
          <w:bCs/>
          <w:color w:val="auto"/>
          <w:sz w:val="22"/>
          <w:highlight w:val="none"/>
          <w:u w:val="single"/>
        </w:rPr>
        <w:t>符合要求提供以下证明材料（附在《</w:t>
      </w:r>
      <w:r>
        <w:rPr>
          <w:rFonts w:hint="eastAsia" w:ascii="宋体" w:hAnsi="宋体" w:cs="宋体"/>
          <w:b/>
          <w:bCs/>
          <w:color w:val="auto"/>
          <w:sz w:val="22"/>
          <w:highlight w:val="none"/>
          <w:u w:val="single"/>
          <w:lang w:val="en-US" w:eastAsia="zh-CN"/>
        </w:rPr>
        <w:t>资格</w:t>
      </w:r>
      <w:r>
        <w:rPr>
          <w:rFonts w:hint="eastAsia" w:ascii="宋体" w:hAnsi="宋体" w:cs="宋体"/>
          <w:b/>
          <w:bCs/>
          <w:color w:val="auto"/>
          <w:sz w:val="22"/>
          <w:highlight w:val="none"/>
          <w:u w:val="single"/>
        </w:rPr>
        <w:t>文件》中）</w:t>
      </w:r>
      <w:r>
        <w:rPr>
          <w:rFonts w:hint="eastAsia" w:ascii="宋体" w:hAnsi="宋体" w:cs="宋体"/>
          <w:color w:val="auto"/>
          <w:sz w:val="22"/>
          <w:highlight w:val="none"/>
        </w:rPr>
        <w:t>：</w:t>
      </w:r>
    </w:p>
    <w:p w14:paraId="54770B3E">
      <w:pPr>
        <w:tabs>
          <w:tab w:val="left" w:pos="2352"/>
        </w:tabs>
        <w:spacing w:line="440" w:lineRule="atLeast"/>
        <w:jc w:val="left"/>
        <w:rPr>
          <w:rFonts w:ascii="宋体"/>
          <w:color w:val="auto"/>
          <w:sz w:val="22"/>
          <w:highlight w:val="none"/>
        </w:rPr>
      </w:pPr>
      <w:r>
        <w:rPr>
          <w:rFonts w:hint="eastAsia" w:ascii="宋体"/>
          <w:color w:val="auto"/>
          <w:sz w:val="22"/>
          <w:highlight w:val="none"/>
        </w:rPr>
        <w:t>（1）中小企业：中小企业声明函（原件，加盖供应商公章，格式见附件1）</w:t>
      </w:r>
    </w:p>
    <w:p w14:paraId="5EBFD230">
      <w:pPr>
        <w:tabs>
          <w:tab w:val="left" w:pos="2352"/>
        </w:tabs>
        <w:spacing w:line="440" w:lineRule="atLeast"/>
        <w:jc w:val="left"/>
        <w:rPr>
          <w:rFonts w:ascii="宋体"/>
          <w:color w:val="auto"/>
          <w:sz w:val="22"/>
          <w:highlight w:val="none"/>
        </w:rPr>
      </w:pPr>
      <w:r>
        <w:rPr>
          <w:rFonts w:hint="eastAsia" w:ascii="宋体"/>
          <w:color w:val="auto"/>
          <w:sz w:val="22"/>
          <w:highlight w:val="none"/>
        </w:rPr>
        <w:t>（2）残疾人福利性单位：残疾人福利性单位声明函（原件，加盖供应商公章，格式见附件1）</w:t>
      </w:r>
    </w:p>
    <w:p w14:paraId="3D49D2A2">
      <w:pPr>
        <w:tabs>
          <w:tab w:val="left" w:pos="2352"/>
        </w:tabs>
        <w:spacing w:line="440" w:lineRule="atLeast"/>
        <w:jc w:val="left"/>
        <w:rPr>
          <w:rFonts w:ascii="宋体"/>
          <w:color w:val="auto"/>
          <w:sz w:val="22"/>
          <w:highlight w:val="none"/>
        </w:rPr>
      </w:pPr>
      <w:r>
        <w:rPr>
          <w:rFonts w:hint="eastAsia" w:ascii="宋体"/>
          <w:color w:val="auto"/>
          <w:sz w:val="22"/>
          <w:highlight w:val="none"/>
        </w:rPr>
        <w:t>（3）监狱企业：提供由省级以上监狱管理局、戒毒管理局（含新疆生产建设兵团）出具的属于监狱企业的证明文件（原件）</w:t>
      </w:r>
    </w:p>
    <w:p w14:paraId="172A5FEE">
      <w:pPr>
        <w:tabs>
          <w:tab w:val="left" w:pos="2352"/>
        </w:tabs>
        <w:spacing w:line="440" w:lineRule="atLeast"/>
        <w:jc w:val="left"/>
        <w:rPr>
          <w:rFonts w:ascii="宋体"/>
          <w:color w:val="auto"/>
          <w:sz w:val="22"/>
          <w:highlight w:val="none"/>
        </w:rPr>
      </w:pPr>
      <w:r>
        <w:rPr>
          <w:rFonts w:hint="eastAsia" w:ascii="宋体"/>
          <w:color w:val="auto"/>
          <w:sz w:val="22"/>
          <w:highlight w:val="none"/>
        </w:rPr>
        <w:t>3、扶持政策说明：</w:t>
      </w:r>
    </w:p>
    <w:p w14:paraId="5BF0D080">
      <w:pPr>
        <w:tabs>
          <w:tab w:val="left" w:pos="2352"/>
        </w:tabs>
        <w:spacing w:line="440" w:lineRule="atLeast"/>
        <w:jc w:val="left"/>
        <w:rPr>
          <w:rFonts w:ascii="宋体"/>
          <w:color w:val="auto"/>
          <w:sz w:val="22"/>
          <w:highlight w:val="none"/>
        </w:rPr>
      </w:pPr>
      <w:r>
        <w:rPr>
          <w:rFonts w:hint="eastAsia" w:ascii="宋体"/>
          <w:color w:val="auto"/>
          <w:sz w:val="22"/>
          <w:highlight w:val="none"/>
        </w:rPr>
        <w:t>残疾人福利性单位、监狱企业参加投标视同小微企业。</w:t>
      </w:r>
    </w:p>
    <w:p w14:paraId="1FA21131">
      <w:pPr>
        <w:tabs>
          <w:tab w:val="left" w:pos="2352"/>
        </w:tabs>
        <w:spacing w:line="440" w:lineRule="atLeast"/>
        <w:jc w:val="left"/>
        <w:rPr>
          <w:rFonts w:ascii="宋体"/>
          <w:color w:val="auto"/>
          <w:sz w:val="22"/>
          <w:highlight w:val="none"/>
        </w:rPr>
      </w:pPr>
      <w:r>
        <w:rPr>
          <w:rFonts w:hint="eastAsia" w:ascii="宋体"/>
          <w:color w:val="auto"/>
          <w:sz w:val="22"/>
          <w:highlight w:val="none"/>
        </w:rPr>
        <w:t>4、根据《浙江省财政厅关于进一步加大政府采购 支持中小企业力度 助力扎实稳住经济 的通知》（浙采监【2022]8号）文件规定“优先推荐专精特新中小企业、创新产品参加政府采购活动。对省级以上主管部门认定的首台套产品，自纳入《省推广应用指导目录》起三年内参加政府采购活动，视同已具备相应销售业绩，业绩分为满分。”</w:t>
      </w:r>
    </w:p>
    <w:p w14:paraId="3D2E034B">
      <w:pPr>
        <w:tabs>
          <w:tab w:val="left" w:pos="2352"/>
        </w:tabs>
        <w:spacing w:line="440" w:lineRule="atLeast"/>
        <w:jc w:val="left"/>
        <w:rPr>
          <w:rFonts w:ascii="宋体"/>
          <w:color w:val="auto"/>
          <w:sz w:val="22"/>
          <w:highlight w:val="none"/>
        </w:rPr>
      </w:pPr>
      <w:r>
        <w:rPr>
          <w:rFonts w:hint="eastAsia" w:ascii="宋体"/>
          <w:color w:val="auto"/>
          <w:sz w:val="22"/>
          <w:highlight w:val="none"/>
        </w:rPr>
        <w:t>5、</w:t>
      </w:r>
      <w:r>
        <w:rPr>
          <w:rFonts w:hint="eastAsia" w:ascii="宋体"/>
          <w:b/>
          <w:bCs/>
          <w:color w:val="auto"/>
          <w:sz w:val="22"/>
          <w:highlight w:val="none"/>
        </w:rPr>
        <w:t xml:space="preserve">本项目采购标的所属行业为  </w:t>
      </w:r>
      <w:r>
        <w:rPr>
          <w:rFonts w:hint="eastAsia" w:ascii="宋体"/>
          <w:b/>
          <w:bCs/>
          <w:color w:val="auto"/>
          <w:sz w:val="22"/>
          <w:highlight w:val="none"/>
          <w:u w:val="single"/>
        </w:rPr>
        <w:t>其他未列明行业</w:t>
      </w:r>
      <w:r>
        <w:rPr>
          <w:rFonts w:hint="eastAsia" w:ascii="宋体" w:hAnsi="宋体" w:cs="宋体"/>
          <w:b/>
          <w:bCs/>
          <w:color w:val="auto"/>
          <w:sz w:val="22"/>
          <w:highlight w:val="none"/>
          <w:u w:val="single"/>
        </w:rPr>
        <w:t>。</w:t>
      </w:r>
    </w:p>
    <w:p w14:paraId="0D182186">
      <w:pPr>
        <w:tabs>
          <w:tab w:val="left" w:pos="2352"/>
        </w:tabs>
        <w:snapToGrid w:val="0"/>
        <w:spacing w:line="360" w:lineRule="auto"/>
        <w:jc w:val="left"/>
        <w:rPr>
          <w:b/>
          <w:color w:val="auto"/>
          <w:sz w:val="28"/>
          <w:szCs w:val="28"/>
          <w:highlight w:val="none"/>
        </w:rPr>
      </w:pPr>
      <w:r>
        <w:rPr>
          <w:rFonts w:hint="eastAsia" w:ascii="宋体" w:eastAsia="宋体"/>
          <w:b/>
          <w:bCs/>
          <w:color w:val="auto"/>
          <w:sz w:val="22"/>
          <w:highlight w:val="none"/>
        </w:rPr>
        <w:t>6、本项目专门面向中小企业采购，不再执行价格评审优惠的扶持政策。</w:t>
      </w:r>
    </w:p>
    <w:p w14:paraId="1062E0AD">
      <w:pPr>
        <w:tabs>
          <w:tab w:val="left" w:pos="2352"/>
        </w:tabs>
        <w:snapToGrid w:val="0"/>
        <w:spacing w:line="360" w:lineRule="auto"/>
        <w:jc w:val="left"/>
        <w:rPr>
          <w:rFonts w:hint="eastAsia"/>
          <w:b/>
          <w:color w:val="auto"/>
          <w:sz w:val="28"/>
          <w:szCs w:val="28"/>
          <w:highlight w:val="none"/>
        </w:rPr>
      </w:pPr>
    </w:p>
    <w:p w14:paraId="5FA51A51">
      <w:pPr>
        <w:tabs>
          <w:tab w:val="left" w:pos="2352"/>
        </w:tabs>
        <w:snapToGrid w:val="0"/>
        <w:spacing w:line="360" w:lineRule="auto"/>
        <w:jc w:val="left"/>
        <w:rPr>
          <w:b/>
          <w:color w:val="auto"/>
          <w:sz w:val="28"/>
          <w:szCs w:val="28"/>
          <w:highlight w:val="none"/>
        </w:rPr>
      </w:pPr>
      <w:r>
        <w:rPr>
          <w:rFonts w:hint="eastAsia"/>
          <w:b/>
          <w:color w:val="auto"/>
          <w:sz w:val="28"/>
          <w:szCs w:val="28"/>
          <w:highlight w:val="none"/>
        </w:rPr>
        <w:t>附件1</w:t>
      </w:r>
    </w:p>
    <w:p w14:paraId="3AF9745F">
      <w:pPr>
        <w:tabs>
          <w:tab w:val="left" w:pos="2352"/>
        </w:tabs>
        <w:snapToGrid w:val="0"/>
        <w:spacing w:line="360" w:lineRule="auto"/>
        <w:jc w:val="center"/>
        <w:rPr>
          <w:b/>
          <w:color w:val="auto"/>
          <w:sz w:val="28"/>
          <w:szCs w:val="28"/>
          <w:highlight w:val="none"/>
        </w:rPr>
      </w:pPr>
      <w:r>
        <w:rPr>
          <w:rFonts w:hint="eastAsia"/>
          <w:b/>
          <w:color w:val="auto"/>
          <w:sz w:val="28"/>
          <w:szCs w:val="28"/>
          <w:highlight w:val="none"/>
        </w:rPr>
        <w:t>中小企业声明函（服务）</w:t>
      </w:r>
    </w:p>
    <w:p w14:paraId="1FEE0A5B">
      <w:pPr>
        <w:tabs>
          <w:tab w:val="left" w:pos="1069"/>
          <w:tab w:val="left" w:pos="2352"/>
        </w:tabs>
        <w:spacing w:line="400" w:lineRule="exact"/>
        <w:ind w:firstLine="440" w:firstLineChars="200"/>
        <w:rPr>
          <w:rFonts w:ascii="宋体" w:hAnsi="宋体" w:cs="宋体"/>
          <w:color w:val="auto"/>
          <w:sz w:val="22"/>
          <w:highlight w:val="none"/>
        </w:rPr>
      </w:pPr>
      <w:r>
        <w:rPr>
          <w:rFonts w:ascii="宋体" w:hAnsi="宋体" w:cs="宋体"/>
          <w:color w:val="auto"/>
          <w:sz w:val="22"/>
          <w:highlight w:val="none"/>
        </w:rPr>
        <w:t>本公司（联合体）郑重声明，根据《政府采购促进中小企业发展管理办法》（财库﹝2020﹞46 号）的规定，本公司 （联合体）参加</w:t>
      </w:r>
      <w:r>
        <w:rPr>
          <w:rFonts w:ascii="宋体" w:hAnsi="宋体" w:cs="宋体"/>
          <w:color w:val="auto"/>
          <w:sz w:val="22"/>
          <w:highlight w:val="none"/>
          <w:u w:val="single"/>
        </w:rPr>
        <w:t>（</w:t>
      </w:r>
      <w:r>
        <w:rPr>
          <w:rFonts w:hint="eastAsia" w:ascii="宋体" w:hAnsi="宋体" w:cs="宋体"/>
          <w:color w:val="auto"/>
          <w:sz w:val="22"/>
          <w:highlight w:val="none"/>
          <w:u w:val="single"/>
          <w:lang w:eastAsia="zh-CN"/>
        </w:rPr>
        <w:t>泰顺县罗阳镇人民政府</w:t>
      </w:r>
      <w:r>
        <w:rPr>
          <w:rFonts w:ascii="宋体" w:hAnsi="宋体" w:cs="宋体"/>
          <w:color w:val="auto"/>
          <w:sz w:val="22"/>
          <w:highlight w:val="none"/>
          <w:u w:val="single"/>
        </w:rPr>
        <w:t>）</w:t>
      </w:r>
      <w:r>
        <w:rPr>
          <w:rFonts w:ascii="宋体" w:hAnsi="宋体" w:cs="宋体"/>
          <w:color w:val="auto"/>
          <w:sz w:val="22"/>
          <w:highlight w:val="none"/>
        </w:rPr>
        <w:t>的</w:t>
      </w:r>
      <w:r>
        <w:rPr>
          <w:rFonts w:ascii="宋体" w:hAnsi="宋体" w:cs="宋体"/>
          <w:color w:val="auto"/>
          <w:sz w:val="22"/>
          <w:highlight w:val="none"/>
          <w:u w:val="single"/>
        </w:rPr>
        <w:t>（</w:t>
      </w:r>
      <w:r>
        <w:rPr>
          <w:rFonts w:hint="eastAsia" w:ascii="宋体" w:hAnsi="宋体" w:cs="宋体"/>
          <w:color w:val="auto"/>
          <w:sz w:val="22"/>
          <w:highlight w:val="none"/>
          <w:u w:val="single"/>
          <w:lang w:eastAsia="zh-CN"/>
        </w:rPr>
        <w:t>2024年泰顺县罗阳镇上洪村堆谷洋农田宜机化改造项目</w:t>
      </w:r>
      <w:r>
        <w:rPr>
          <w:rFonts w:ascii="宋体" w:hAnsi="宋体" w:cs="宋体"/>
          <w:color w:val="auto"/>
          <w:sz w:val="22"/>
          <w:highlight w:val="none"/>
          <w:u w:val="single"/>
        </w:rPr>
        <w:t>）</w:t>
      </w:r>
      <w:r>
        <w:rPr>
          <w:rFonts w:ascii="宋体" w:hAnsi="宋体" w:cs="宋体"/>
          <w:color w:val="auto"/>
          <w:sz w:val="22"/>
          <w:highlight w:val="none"/>
        </w:rPr>
        <w:t xml:space="preserve">采购活动，工程的施工单位全部为符合政策要求的中小企业（或者：服务全部由符合政策要求的中小企业承接）。相关企业（含联合体中的中小企业、签订分包意向协议的中小企业）的具体情况如下： </w:t>
      </w:r>
    </w:p>
    <w:p w14:paraId="461B5CC2">
      <w:pPr>
        <w:numPr>
          <w:ilvl w:val="0"/>
          <w:numId w:val="6"/>
        </w:numPr>
        <w:tabs>
          <w:tab w:val="left" w:pos="1069"/>
          <w:tab w:val="left" w:pos="2352"/>
        </w:tabs>
        <w:spacing w:line="400" w:lineRule="exact"/>
        <w:ind w:firstLine="442" w:firstLineChars="200"/>
        <w:rPr>
          <w:rFonts w:ascii="宋体" w:hAnsi="宋体" w:cs="宋体"/>
          <w:color w:val="auto"/>
          <w:sz w:val="22"/>
          <w:highlight w:val="none"/>
        </w:rPr>
      </w:pPr>
      <w:r>
        <w:rPr>
          <w:rFonts w:ascii="宋体" w:hAnsi="宋体" w:cs="宋体"/>
          <w:b/>
          <w:bCs/>
          <w:color w:val="auto"/>
          <w:sz w:val="22"/>
          <w:highlight w:val="none"/>
          <w:u w:val="single"/>
        </w:rPr>
        <w:t>（</w:t>
      </w:r>
      <w:r>
        <w:rPr>
          <w:rFonts w:hint="eastAsia" w:ascii="宋体" w:hAnsi="宋体" w:cs="宋体"/>
          <w:b/>
          <w:bCs/>
          <w:color w:val="auto"/>
          <w:sz w:val="22"/>
          <w:highlight w:val="none"/>
          <w:u w:val="single"/>
        </w:rPr>
        <w:t>标的名称</w:t>
      </w:r>
      <w:r>
        <w:rPr>
          <w:rFonts w:ascii="宋体" w:hAnsi="宋体" w:cs="宋体"/>
          <w:b/>
          <w:bCs/>
          <w:color w:val="auto"/>
          <w:sz w:val="22"/>
          <w:highlight w:val="none"/>
          <w:u w:val="single"/>
        </w:rPr>
        <w:t>）</w:t>
      </w:r>
      <w:r>
        <w:rPr>
          <w:rFonts w:ascii="宋体" w:hAnsi="宋体" w:cs="宋体"/>
          <w:b/>
          <w:bCs/>
          <w:color w:val="auto"/>
          <w:sz w:val="22"/>
          <w:highlight w:val="none"/>
        </w:rPr>
        <w:t xml:space="preserve"> </w:t>
      </w:r>
      <w:r>
        <w:rPr>
          <w:rFonts w:ascii="宋体" w:hAnsi="宋体" w:cs="宋体"/>
          <w:color w:val="auto"/>
          <w:sz w:val="22"/>
          <w:highlight w:val="none"/>
        </w:rPr>
        <w:t>，属于</w:t>
      </w:r>
      <w:r>
        <w:rPr>
          <w:rFonts w:hint="eastAsia" w:ascii="宋体" w:hAnsi="宋体" w:cs="宋体"/>
          <w:b/>
          <w:bCs/>
          <w:color w:val="auto"/>
          <w:sz w:val="22"/>
          <w:highlight w:val="none"/>
          <w:u w:val="single"/>
        </w:rPr>
        <w:t>（</w:t>
      </w:r>
      <w:r>
        <w:rPr>
          <w:rFonts w:ascii="宋体" w:hAnsi="宋体" w:cs="宋体"/>
          <w:b/>
          <w:bCs/>
          <w:color w:val="auto"/>
          <w:sz w:val="22"/>
          <w:highlight w:val="none"/>
          <w:u w:val="single"/>
        </w:rPr>
        <w:t>采购文件中明确的所属行业</w:t>
      </w:r>
      <w:r>
        <w:rPr>
          <w:rFonts w:hint="eastAsia" w:ascii="宋体" w:hAnsi="宋体" w:cs="宋体"/>
          <w:b/>
          <w:bCs/>
          <w:color w:val="auto"/>
          <w:sz w:val="22"/>
          <w:highlight w:val="none"/>
          <w:u w:val="single"/>
        </w:rPr>
        <w:t>）</w:t>
      </w:r>
      <w:r>
        <w:rPr>
          <w:rFonts w:ascii="宋体" w:hAnsi="宋体" w:cs="宋体"/>
          <w:b/>
          <w:bCs/>
          <w:color w:val="auto"/>
          <w:sz w:val="22"/>
          <w:highlight w:val="none"/>
        </w:rPr>
        <w:t>；</w:t>
      </w:r>
      <w:r>
        <w:rPr>
          <w:rFonts w:ascii="宋体" w:hAnsi="宋体" w:cs="宋体"/>
          <w:color w:val="auto"/>
          <w:sz w:val="22"/>
          <w:highlight w:val="none"/>
        </w:rPr>
        <w:t xml:space="preserve"> 承建（承接）企业为</w:t>
      </w:r>
      <w:r>
        <w:rPr>
          <w:rFonts w:ascii="宋体" w:hAnsi="宋体" w:cs="宋体"/>
          <w:color w:val="auto"/>
          <w:sz w:val="22"/>
          <w:highlight w:val="none"/>
          <w:u w:val="single"/>
        </w:rPr>
        <w:t>（企业名称）</w:t>
      </w:r>
      <w:r>
        <w:rPr>
          <w:rFonts w:ascii="宋体" w:hAnsi="宋体" w:cs="宋体"/>
          <w:color w:val="auto"/>
          <w:sz w:val="22"/>
          <w:highlight w:val="none"/>
        </w:rPr>
        <w:t>，从业人员</w:t>
      </w:r>
      <w:r>
        <w:rPr>
          <w:rFonts w:hint="eastAsia" w:ascii="宋体" w:hAnsi="宋体" w:cs="宋体"/>
          <w:color w:val="auto"/>
          <w:sz w:val="22"/>
          <w:highlight w:val="none"/>
          <w:u w:val="single"/>
        </w:rPr>
        <w:t xml:space="preserve">   </w:t>
      </w:r>
      <w:r>
        <w:rPr>
          <w:rFonts w:ascii="宋体" w:hAnsi="宋体" w:cs="宋体"/>
          <w:color w:val="auto"/>
          <w:sz w:val="22"/>
          <w:highlight w:val="none"/>
        </w:rPr>
        <w:t>人，营业收入为</w:t>
      </w:r>
      <w:r>
        <w:rPr>
          <w:rFonts w:hint="eastAsia" w:ascii="宋体" w:hAnsi="宋体" w:cs="宋体"/>
          <w:color w:val="auto"/>
          <w:sz w:val="22"/>
          <w:highlight w:val="none"/>
          <w:u w:val="single"/>
        </w:rPr>
        <w:t xml:space="preserve">   </w:t>
      </w:r>
      <w:r>
        <w:rPr>
          <w:rFonts w:ascii="宋体" w:hAnsi="宋体" w:cs="宋体"/>
          <w:color w:val="auto"/>
          <w:sz w:val="22"/>
          <w:highlight w:val="none"/>
        </w:rPr>
        <w:t>万元，资产总额为</w:t>
      </w:r>
      <w:r>
        <w:rPr>
          <w:rFonts w:hint="eastAsia" w:ascii="宋体" w:hAnsi="宋体" w:cs="宋体"/>
          <w:color w:val="auto"/>
          <w:sz w:val="22"/>
          <w:highlight w:val="none"/>
          <w:u w:val="single"/>
        </w:rPr>
        <w:t xml:space="preserve">   </w:t>
      </w:r>
      <w:r>
        <w:rPr>
          <w:rFonts w:ascii="宋体" w:hAnsi="宋体" w:cs="宋体"/>
          <w:color w:val="auto"/>
          <w:sz w:val="22"/>
          <w:highlight w:val="none"/>
        </w:rPr>
        <w:t>万元 ，属于</w:t>
      </w:r>
      <w:r>
        <w:rPr>
          <w:rFonts w:ascii="宋体" w:hAnsi="宋体" w:cs="宋体"/>
          <w:color w:val="auto"/>
          <w:sz w:val="22"/>
          <w:highlight w:val="none"/>
          <w:u w:val="single"/>
        </w:rPr>
        <w:t>（中型企业、 小型企业、微型企业）</w:t>
      </w:r>
      <w:r>
        <w:rPr>
          <w:rFonts w:ascii="宋体" w:hAnsi="宋体" w:cs="宋体"/>
          <w:color w:val="auto"/>
          <w:sz w:val="22"/>
          <w:highlight w:val="none"/>
        </w:rPr>
        <w:t xml:space="preserve">； </w:t>
      </w:r>
    </w:p>
    <w:p w14:paraId="1C4E7C47">
      <w:pPr>
        <w:tabs>
          <w:tab w:val="left" w:pos="1069"/>
          <w:tab w:val="left" w:pos="2352"/>
        </w:tabs>
        <w:spacing w:line="400" w:lineRule="exact"/>
        <w:ind w:firstLine="440" w:firstLineChars="200"/>
        <w:rPr>
          <w:rFonts w:ascii="宋体" w:hAnsi="宋体" w:cs="宋体"/>
          <w:color w:val="auto"/>
          <w:sz w:val="22"/>
          <w:highlight w:val="none"/>
        </w:rPr>
      </w:pPr>
      <w:r>
        <w:rPr>
          <w:rFonts w:ascii="宋体" w:hAnsi="宋体" w:cs="宋体"/>
          <w:color w:val="auto"/>
          <w:sz w:val="22"/>
          <w:highlight w:val="none"/>
        </w:rPr>
        <w:t>2.</w:t>
      </w:r>
      <w:r>
        <w:rPr>
          <w:rFonts w:ascii="宋体" w:hAnsi="宋体" w:cs="宋体"/>
          <w:color w:val="auto"/>
          <w:sz w:val="22"/>
          <w:highlight w:val="none"/>
          <w:u w:val="single"/>
        </w:rPr>
        <w:t xml:space="preserve"> （标的名称）</w:t>
      </w:r>
      <w:r>
        <w:rPr>
          <w:rFonts w:hint="eastAsia" w:ascii="宋体" w:hAnsi="宋体" w:cs="宋体"/>
          <w:color w:val="auto"/>
          <w:sz w:val="22"/>
          <w:highlight w:val="none"/>
          <w:u w:val="single"/>
        </w:rPr>
        <w:t xml:space="preserve">  </w:t>
      </w:r>
      <w:r>
        <w:rPr>
          <w:rFonts w:ascii="宋体" w:hAnsi="宋体" w:cs="宋体"/>
          <w:color w:val="auto"/>
          <w:sz w:val="22"/>
          <w:highlight w:val="none"/>
          <w:u w:val="single"/>
        </w:rPr>
        <w:t xml:space="preserve"> </w:t>
      </w:r>
      <w:r>
        <w:rPr>
          <w:rFonts w:ascii="宋体" w:hAnsi="宋体" w:cs="宋体"/>
          <w:color w:val="auto"/>
          <w:sz w:val="22"/>
          <w:highlight w:val="none"/>
        </w:rPr>
        <w:t>，属于</w:t>
      </w:r>
      <w:r>
        <w:rPr>
          <w:rFonts w:ascii="宋体" w:hAnsi="宋体" w:cs="宋体"/>
          <w:color w:val="auto"/>
          <w:sz w:val="22"/>
          <w:highlight w:val="none"/>
          <w:u w:val="single"/>
        </w:rPr>
        <w:t>（采购文件中明确的所属行业）</w:t>
      </w:r>
      <w:r>
        <w:rPr>
          <w:rFonts w:ascii="宋体" w:hAnsi="宋体" w:cs="宋体"/>
          <w:color w:val="auto"/>
          <w:sz w:val="22"/>
          <w:highlight w:val="none"/>
        </w:rPr>
        <w:t>； 承建（承接）企业为</w:t>
      </w:r>
      <w:r>
        <w:rPr>
          <w:rFonts w:ascii="宋体" w:hAnsi="宋体" w:cs="宋体"/>
          <w:color w:val="auto"/>
          <w:sz w:val="22"/>
          <w:highlight w:val="none"/>
          <w:u w:val="single"/>
        </w:rPr>
        <w:t>（企业名称）</w:t>
      </w:r>
      <w:r>
        <w:rPr>
          <w:rFonts w:ascii="宋体" w:hAnsi="宋体" w:cs="宋体"/>
          <w:color w:val="auto"/>
          <w:sz w:val="22"/>
          <w:highlight w:val="none"/>
        </w:rPr>
        <w:t>，从业人员</w:t>
      </w:r>
      <w:r>
        <w:rPr>
          <w:rFonts w:hint="eastAsia" w:ascii="宋体" w:hAnsi="宋体" w:cs="宋体"/>
          <w:color w:val="auto"/>
          <w:sz w:val="22"/>
          <w:highlight w:val="none"/>
          <w:u w:val="single"/>
        </w:rPr>
        <w:t xml:space="preserve">   </w:t>
      </w:r>
      <w:r>
        <w:rPr>
          <w:rFonts w:ascii="宋体" w:hAnsi="宋体" w:cs="宋体"/>
          <w:color w:val="auto"/>
          <w:sz w:val="22"/>
          <w:highlight w:val="none"/>
        </w:rPr>
        <w:t xml:space="preserve">人，营业收入为 </w:t>
      </w:r>
      <w:r>
        <w:rPr>
          <w:rFonts w:hint="eastAsia" w:ascii="宋体" w:hAnsi="宋体" w:cs="宋体"/>
          <w:color w:val="auto"/>
          <w:sz w:val="22"/>
          <w:highlight w:val="none"/>
          <w:u w:val="single"/>
        </w:rPr>
        <w:t xml:space="preserve">   </w:t>
      </w:r>
      <w:r>
        <w:rPr>
          <w:rFonts w:ascii="宋体" w:hAnsi="宋体" w:cs="宋体"/>
          <w:color w:val="auto"/>
          <w:sz w:val="22"/>
          <w:highlight w:val="none"/>
        </w:rPr>
        <w:t>万元，资产总额为</w:t>
      </w:r>
      <w:r>
        <w:rPr>
          <w:rFonts w:hint="eastAsia" w:ascii="宋体" w:hAnsi="宋体" w:cs="宋体"/>
          <w:color w:val="auto"/>
          <w:sz w:val="22"/>
          <w:highlight w:val="none"/>
          <w:u w:val="single"/>
        </w:rPr>
        <w:t xml:space="preserve">   </w:t>
      </w:r>
      <w:r>
        <w:rPr>
          <w:rFonts w:ascii="宋体" w:hAnsi="宋体" w:cs="宋体"/>
          <w:color w:val="auto"/>
          <w:sz w:val="22"/>
          <w:highlight w:val="none"/>
        </w:rPr>
        <w:t>万元，属于</w:t>
      </w:r>
      <w:r>
        <w:rPr>
          <w:rFonts w:ascii="宋体" w:hAnsi="宋体" w:cs="宋体"/>
          <w:color w:val="auto"/>
          <w:sz w:val="22"/>
          <w:highlight w:val="none"/>
          <w:u w:val="single"/>
        </w:rPr>
        <w:t>（中型企业、 小型企业、微型企业）</w:t>
      </w:r>
      <w:r>
        <w:rPr>
          <w:rFonts w:ascii="宋体" w:hAnsi="宋体" w:cs="宋体"/>
          <w:color w:val="auto"/>
          <w:sz w:val="22"/>
          <w:highlight w:val="none"/>
        </w:rPr>
        <w:t xml:space="preserve">； </w:t>
      </w:r>
    </w:p>
    <w:p w14:paraId="299AAC42">
      <w:pPr>
        <w:tabs>
          <w:tab w:val="left" w:pos="1069"/>
          <w:tab w:val="left" w:pos="2352"/>
        </w:tabs>
        <w:spacing w:line="400" w:lineRule="exact"/>
        <w:ind w:firstLine="440" w:firstLineChars="200"/>
        <w:rPr>
          <w:rFonts w:ascii="宋体" w:hAnsi="宋体" w:cs="宋体"/>
          <w:color w:val="auto"/>
          <w:sz w:val="22"/>
          <w:highlight w:val="none"/>
        </w:rPr>
      </w:pPr>
      <w:r>
        <w:rPr>
          <w:rFonts w:ascii="宋体" w:hAnsi="宋体" w:cs="宋体"/>
          <w:color w:val="auto"/>
          <w:sz w:val="22"/>
          <w:highlight w:val="none"/>
        </w:rPr>
        <w:t xml:space="preserve">…… 以上企业，不属于大企业的分支机构，不存在控股股东 为大企业的情形，也不存在与大企业的负责人为同一人的情形。 本企业对上述声明内容的真实性负责。如有虚假，将依法承担相应责任。 </w:t>
      </w:r>
    </w:p>
    <w:p w14:paraId="61983FD4">
      <w:pPr>
        <w:tabs>
          <w:tab w:val="left" w:pos="1069"/>
          <w:tab w:val="left" w:pos="2352"/>
        </w:tabs>
        <w:spacing w:line="400" w:lineRule="exact"/>
        <w:ind w:firstLine="440" w:firstLineChars="200"/>
        <w:rPr>
          <w:rFonts w:ascii="宋体" w:hAnsi="宋体" w:cs="宋体"/>
          <w:color w:val="auto"/>
          <w:sz w:val="22"/>
          <w:highlight w:val="none"/>
        </w:rPr>
      </w:pPr>
      <w:r>
        <w:rPr>
          <w:rFonts w:ascii="宋体" w:hAnsi="宋体" w:cs="宋体"/>
          <w:color w:val="auto"/>
          <w:sz w:val="22"/>
          <w:highlight w:val="none"/>
        </w:rPr>
        <w:t xml:space="preserve">企业名称（盖章）： </w:t>
      </w:r>
    </w:p>
    <w:p w14:paraId="13FD52D1">
      <w:pPr>
        <w:tabs>
          <w:tab w:val="left" w:pos="1069"/>
          <w:tab w:val="left" w:pos="2352"/>
        </w:tabs>
        <w:spacing w:line="400" w:lineRule="exact"/>
        <w:ind w:firstLine="440" w:firstLineChars="200"/>
        <w:rPr>
          <w:rFonts w:ascii="宋体" w:hAnsi="宋体" w:cs="宋体"/>
          <w:color w:val="auto"/>
          <w:sz w:val="22"/>
          <w:highlight w:val="none"/>
        </w:rPr>
      </w:pPr>
      <w:r>
        <w:rPr>
          <w:rFonts w:ascii="宋体" w:hAnsi="宋体" w:cs="宋体"/>
          <w:color w:val="auto"/>
          <w:sz w:val="22"/>
          <w:highlight w:val="none"/>
        </w:rPr>
        <w:t>日 期：</w:t>
      </w:r>
    </w:p>
    <w:p w14:paraId="0E53096E">
      <w:pPr>
        <w:tabs>
          <w:tab w:val="left" w:pos="1069"/>
          <w:tab w:val="left" w:pos="2352"/>
        </w:tabs>
        <w:spacing w:line="400" w:lineRule="exact"/>
        <w:ind w:firstLine="440" w:firstLineChars="200"/>
        <w:rPr>
          <w:rFonts w:ascii="宋体" w:hAnsi="宋体" w:cs="宋体"/>
          <w:color w:val="auto"/>
          <w:sz w:val="22"/>
          <w:highlight w:val="none"/>
        </w:rPr>
      </w:pPr>
      <w:r>
        <w:rPr>
          <w:rFonts w:hint="eastAsia" w:ascii="宋体" w:hAnsi="宋体" w:cs="宋体"/>
          <w:color w:val="auto"/>
          <w:sz w:val="22"/>
          <w:highlight w:val="none"/>
        </w:rPr>
        <w:t>注：</w:t>
      </w:r>
      <w:r>
        <w:rPr>
          <w:rFonts w:ascii="宋体" w:hAnsi="宋体" w:cs="宋体"/>
          <w:color w:val="auto"/>
          <w:sz w:val="22"/>
          <w:highlight w:val="none"/>
        </w:rPr>
        <w:t xml:space="preserve"> </w:t>
      </w:r>
    </w:p>
    <w:p w14:paraId="7864E4D9">
      <w:pPr>
        <w:tabs>
          <w:tab w:val="left" w:pos="1069"/>
          <w:tab w:val="left" w:pos="2352"/>
        </w:tabs>
        <w:spacing w:line="400" w:lineRule="exact"/>
        <w:ind w:firstLine="442" w:firstLineChars="200"/>
        <w:rPr>
          <w:rFonts w:ascii="宋体" w:hAnsi="宋体" w:cs="宋体"/>
          <w:b/>
          <w:bCs/>
          <w:color w:val="auto"/>
          <w:sz w:val="22"/>
          <w:highlight w:val="none"/>
        </w:rPr>
      </w:pPr>
      <w:r>
        <w:rPr>
          <w:rFonts w:hint="eastAsia" w:ascii="宋体" w:hAnsi="宋体" w:cs="宋体"/>
          <w:b/>
          <w:bCs/>
          <w:color w:val="auto"/>
          <w:sz w:val="22"/>
          <w:highlight w:val="none"/>
          <w:lang w:val="en-US" w:eastAsia="zh-CN"/>
        </w:rPr>
        <w:t>1.</w:t>
      </w:r>
      <w:r>
        <w:rPr>
          <w:rFonts w:ascii="宋体" w:hAnsi="宋体" w:cs="宋体"/>
          <w:b/>
          <w:bCs/>
          <w:color w:val="auto"/>
          <w:sz w:val="22"/>
          <w:highlight w:val="none"/>
        </w:rPr>
        <w:t>从业人员、营业收入、资产总额填报上一年度数据，无上一年度数据的新成立企业可不填报。</w:t>
      </w:r>
    </w:p>
    <w:p w14:paraId="4B352123">
      <w:pPr>
        <w:tabs>
          <w:tab w:val="left" w:pos="1069"/>
          <w:tab w:val="left" w:pos="2352"/>
        </w:tabs>
        <w:spacing w:line="400" w:lineRule="exact"/>
        <w:ind w:firstLine="442" w:firstLineChars="200"/>
        <w:rPr>
          <w:rFonts w:hint="default" w:ascii="宋体" w:hAnsi="宋体" w:eastAsia="宋体" w:cs="宋体"/>
          <w:b/>
          <w:bCs/>
          <w:color w:val="auto"/>
          <w:sz w:val="22"/>
          <w:highlight w:val="none"/>
          <w:u w:val="single"/>
          <w:lang w:val="en-US" w:eastAsia="zh-CN"/>
        </w:rPr>
      </w:pPr>
      <w:r>
        <w:rPr>
          <w:rFonts w:hint="eastAsia" w:ascii="宋体" w:hAnsi="宋体" w:cs="宋体"/>
          <w:b/>
          <w:bCs/>
          <w:color w:val="auto"/>
          <w:sz w:val="22"/>
          <w:highlight w:val="none"/>
          <w:u w:val="single"/>
          <w:lang w:val="en-US" w:eastAsia="zh-CN"/>
        </w:rPr>
        <w:t>2.若为联合体投标的，联合体企业均须中小企业，一一列明。</w:t>
      </w:r>
    </w:p>
    <w:p w14:paraId="56BBB806">
      <w:pPr>
        <w:pStyle w:val="10"/>
        <w:tabs>
          <w:tab w:val="left" w:pos="2352"/>
        </w:tabs>
        <w:rPr>
          <w:color w:val="auto"/>
          <w:highlight w:val="none"/>
        </w:rPr>
      </w:pPr>
    </w:p>
    <w:p w14:paraId="7F609FC0">
      <w:pPr>
        <w:tabs>
          <w:tab w:val="left" w:pos="2352"/>
        </w:tabs>
        <w:snapToGrid w:val="0"/>
        <w:spacing w:line="360" w:lineRule="auto"/>
        <w:jc w:val="left"/>
        <w:rPr>
          <w:b/>
          <w:color w:val="auto"/>
          <w:sz w:val="28"/>
          <w:szCs w:val="28"/>
          <w:highlight w:val="none"/>
        </w:rPr>
      </w:pPr>
    </w:p>
    <w:p w14:paraId="27C755C5">
      <w:pPr>
        <w:tabs>
          <w:tab w:val="left" w:pos="2352"/>
        </w:tabs>
        <w:snapToGrid w:val="0"/>
        <w:spacing w:line="360" w:lineRule="auto"/>
        <w:jc w:val="left"/>
        <w:rPr>
          <w:b/>
          <w:color w:val="auto"/>
          <w:sz w:val="28"/>
          <w:szCs w:val="28"/>
          <w:highlight w:val="none"/>
        </w:rPr>
      </w:pPr>
      <w:r>
        <w:rPr>
          <w:rFonts w:hint="eastAsia"/>
          <w:b/>
          <w:color w:val="auto"/>
          <w:sz w:val="28"/>
          <w:szCs w:val="28"/>
          <w:highlight w:val="none"/>
        </w:rPr>
        <w:t>附件2</w:t>
      </w:r>
    </w:p>
    <w:p w14:paraId="226F783F">
      <w:pPr>
        <w:tabs>
          <w:tab w:val="left" w:pos="2352"/>
        </w:tabs>
        <w:snapToGrid w:val="0"/>
        <w:spacing w:line="360" w:lineRule="auto"/>
        <w:jc w:val="center"/>
        <w:rPr>
          <w:b/>
          <w:color w:val="auto"/>
          <w:sz w:val="28"/>
          <w:szCs w:val="28"/>
          <w:highlight w:val="none"/>
        </w:rPr>
      </w:pPr>
      <w:r>
        <w:rPr>
          <w:rFonts w:hint="eastAsia"/>
          <w:b/>
          <w:color w:val="auto"/>
          <w:sz w:val="28"/>
          <w:szCs w:val="28"/>
          <w:highlight w:val="none"/>
        </w:rPr>
        <w:t>残疾人福利性单位声明函</w:t>
      </w:r>
    </w:p>
    <w:p w14:paraId="087F7F6A">
      <w:pPr>
        <w:tabs>
          <w:tab w:val="left" w:pos="2352"/>
        </w:tabs>
        <w:snapToGrid w:val="0"/>
        <w:spacing w:line="360" w:lineRule="auto"/>
        <w:ind w:firstLine="440" w:firstLineChars="200"/>
        <w:rPr>
          <w:color w:val="auto"/>
          <w:sz w:val="22"/>
          <w:highlight w:val="none"/>
        </w:rPr>
      </w:pPr>
      <w:r>
        <w:rPr>
          <w:rFonts w:hint="eastAsia"/>
          <w:color w:val="auto"/>
          <w:sz w:val="22"/>
          <w:highlight w:val="none"/>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14:paraId="157664FA">
      <w:pPr>
        <w:tabs>
          <w:tab w:val="left" w:pos="2352"/>
        </w:tabs>
        <w:snapToGrid w:val="0"/>
        <w:spacing w:line="360" w:lineRule="auto"/>
        <w:ind w:firstLine="440" w:firstLineChars="200"/>
        <w:rPr>
          <w:color w:val="auto"/>
          <w:sz w:val="22"/>
          <w:highlight w:val="none"/>
        </w:rPr>
      </w:pPr>
      <w:r>
        <w:rPr>
          <w:rFonts w:hint="eastAsia"/>
          <w:color w:val="auto"/>
          <w:sz w:val="22"/>
          <w:highlight w:val="none"/>
        </w:rPr>
        <w:t>本单位对上述声明的真实性负责。如有虚假，将依法承担相应责任。</w:t>
      </w:r>
    </w:p>
    <w:p w14:paraId="21651210">
      <w:pPr>
        <w:tabs>
          <w:tab w:val="left" w:pos="2352"/>
        </w:tabs>
        <w:snapToGrid w:val="0"/>
        <w:spacing w:line="360" w:lineRule="auto"/>
        <w:ind w:firstLine="440" w:firstLineChars="200"/>
        <w:rPr>
          <w:color w:val="auto"/>
          <w:sz w:val="22"/>
          <w:highlight w:val="none"/>
        </w:rPr>
      </w:pPr>
    </w:p>
    <w:p w14:paraId="34D615D6">
      <w:pPr>
        <w:tabs>
          <w:tab w:val="left" w:pos="2352"/>
          <w:tab w:val="left" w:pos="4860"/>
        </w:tabs>
        <w:snapToGrid w:val="0"/>
        <w:spacing w:line="360" w:lineRule="auto"/>
        <w:ind w:right="1560" w:firstLine="440" w:firstLineChars="200"/>
        <w:rPr>
          <w:color w:val="auto"/>
          <w:sz w:val="22"/>
          <w:highlight w:val="none"/>
        </w:rPr>
      </w:pPr>
      <w:r>
        <w:rPr>
          <w:rFonts w:hint="eastAsia"/>
          <w:color w:val="auto"/>
          <w:sz w:val="22"/>
          <w:highlight w:val="none"/>
        </w:rPr>
        <w:t xml:space="preserve">       单位名称（盖章）：</w:t>
      </w:r>
    </w:p>
    <w:p w14:paraId="30448537">
      <w:pPr>
        <w:tabs>
          <w:tab w:val="left" w:pos="2352"/>
          <w:tab w:val="left" w:pos="4860"/>
        </w:tabs>
        <w:snapToGrid w:val="0"/>
        <w:spacing w:line="360" w:lineRule="auto"/>
        <w:ind w:right="1560" w:firstLine="440" w:firstLineChars="200"/>
        <w:rPr>
          <w:color w:val="auto"/>
          <w:sz w:val="22"/>
          <w:highlight w:val="none"/>
        </w:rPr>
      </w:pPr>
      <w:r>
        <w:rPr>
          <w:rFonts w:hint="eastAsia"/>
          <w:color w:val="auto"/>
          <w:sz w:val="22"/>
          <w:highlight w:val="none"/>
        </w:rPr>
        <w:t xml:space="preserve">       日  期：</w:t>
      </w:r>
    </w:p>
    <w:bookmarkEnd w:id="90"/>
    <w:p w14:paraId="577A4141">
      <w:pPr>
        <w:pStyle w:val="9"/>
        <w:tabs>
          <w:tab w:val="left" w:pos="1069"/>
          <w:tab w:val="left" w:pos="2352"/>
        </w:tabs>
        <w:spacing w:line="480" w:lineRule="exact"/>
        <w:rPr>
          <w:rFonts w:ascii="宋体" w:hAnsi="宋体" w:cs="宋体"/>
          <w:b/>
          <w:bCs/>
          <w:color w:val="auto"/>
          <w:sz w:val="26"/>
          <w:szCs w:val="26"/>
          <w:highlight w:val="none"/>
        </w:rPr>
      </w:pPr>
      <w:r>
        <w:rPr>
          <w:rFonts w:hint="eastAsia" w:ascii="宋体" w:hAnsi="宋体" w:cs="宋体"/>
          <w:b/>
          <w:bCs/>
          <w:color w:val="auto"/>
          <w:sz w:val="26"/>
          <w:szCs w:val="26"/>
          <w:highlight w:val="none"/>
        </w:rPr>
        <w:t>三、信贷政策</w:t>
      </w:r>
    </w:p>
    <w:p w14:paraId="7D44D101">
      <w:pPr>
        <w:tabs>
          <w:tab w:val="left" w:pos="1069"/>
          <w:tab w:val="left" w:pos="2352"/>
        </w:tabs>
        <w:snapToGrid w:val="0"/>
        <w:spacing w:line="460" w:lineRule="atLeast"/>
        <w:ind w:firstLine="440" w:firstLineChars="200"/>
        <w:jc w:val="left"/>
        <w:rPr>
          <w:rFonts w:ascii="宋体" w:hAnsi="宋体" w:cs="宋体"/>
          <w:color w:val="auto"/>
          <w:sz w:val="22"/>
          <w:highlight w:val="none"/>
        </w:rPr>
      </w:pPr>
      <w:r>
        <w:rPr>
          <w:rFonts w:hint="eastAsia" w:ascii="宋体" w:hAnsi="宋体" w:cs="宋体"/>
          <w:color w:val="auto"/>
          <w:sz w:val="22"/>
          <w:highlight w:val="none"/>
        </w:rPr>
        <w:t>1、温州市财政局关于温州市政府采购支持中小企业信用融资的通知（温财采〔2020〕3号）</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73"/>
        <w:gridCol w:w="4201"/>
        <w:gridCol w:w="1000"/>
        <w:gridCol w:w="1820"/>
      </w:tblGrid>
      <w:tr w14:paraId="659795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94" w:type="dxa"/>
            <w:gridSpan w:val="4"/>
          </w:tcPr>
          <w:p w14:paraId="73B21766">
            <w:pPr>
              <w:tabs>
                <w:tab w:val="left" w:pos="1069"/>
                <w:tab w:val="left" w:pos="2352"/>
              </w:tabs>
              <w:jc w:val="center"/>
              <w:rPr>
                <w:rFonts w:ascii="宋体" w:hAnsi="宋体" w:cs="宋体"/>
                <w:color w:val="auto"/>
                <w:sz w:val="22"/>
                <w:highlight w:val="none"/>
              </w:rPr>
            </w:pPr>
            <w:r>
              <w:rPr>
                <w:rFonts w:hint="eastAsia" w:ascii="宋体" w:hAnsi="宋体" w:cs="宋体"/>
                <w:color w:val="auto"/>
                <w:sz w:val="22"/>
                <w:highlight w:val="none"/>
              </w:rPr>
              <w:t>温州市政府采购支持中小企业信用融资合作银行</w:t>
            </w:r>
          </w:p>
        </w:tc>
      </w:tr>
      <w:tr w14:paraId="55C985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 w:hRule="atLeast"/>
        </w:trPr>
        <w:tc>
          <w:tcPr>
            <w:tcW w:w="2373" w:type="dxa"/>
          </w:tcPr>
          <w:p w14:paraId="4F6E7021">
            <w:pPr>
              <w:pStyle w:val="46"/>
              <w:tabs>
                <w:tab w:val="left" w:pos="1069"/>
                <w:tab w:val="left" w:pos="2352"/>
              </w:tabs>
              <w:spacing w:line="360" w:lineRule="auto"/>
              <w:ind w:firstLine="0" w:firstLineChars="0"/>
              <w:jc w:val="center"/>
              <w:rPr>
                <w:rFonts w:ascii="宋体" w:hAnsi="宋体" w:eastAsia="宋体" w:cs="宋体"/>
                <w:color w:val="auto"/>
                <w:kern w:val="0"/>
                <w:sz w:val="22"/>
                <w:highlight w:val="none"/>
              </w:rPr>
            </w:pPr>
            <w:r>
              <w:rPr>
                <w:rFonts w:hint="eastAsia" w:ascii="宋体" w:hAnsi="宋体" w:eastAsia="宋体" w:cs="宋体"/>
                <w:color w:val="auto"/>
                <w:kern w:val="0"/>
                <w:sz w:val="22"/>
                <w:highlight w:val="none"/>
              </w:rPr>
              <w:t>银行名称</w:t>
            </w:r>
          </w:p>
        </w:tc>
        <w:tc>
          <w:tcPr>
            <w:tcW w:w="4201" w:type="dxa"/>
          </w:tcPr>
          <w:p w14:paraId="7AC749D5">
            <w:pPr>
              <w:pStyle w:val="46"/>
              <w:tabs>
                <w:tab w:val="left" w:pos="1069"/>
                <w:tab w:val="left" w:pos="2352"/>
              </w:tabs>
              <w:spacing w:line="360" w:lineRule="auto"/>
              <w:ind w:firstLine="0" w:firstLineChars="0"/>
              <w:jc w:val="center"/>
              <w:rPr>
                <w:rFonts w:ascii="宋体" w:hAnsi="宋体" w:eastAsia="宋体" w:cs="宋体"/>
                <w:color w:val="auto"/>
                <w:kern w:val="0"/>
                <w:sz w:val="22"/>
                <w:highlight w:val="none"/>
              </w:rPr>
            </w:pPr>
            <w:r>
              <w:rPr>
                <w:rFonts w:hint="eastAsia" w:ascii="宋体" w:hAnsi="宋体" w:eastAsia="宋体" w:cs="宋体"/>
                <w:color w:val="auto"/>
                <w:kern w:val="0"/>
                <w:sz w:val="22"/>
                <w:highlight w:val="none"/>
              </w:rPr>
              <w:t>产品特点（不超过120字）</w:t>
            </w:r>
          </w:p>
        </w:tc>
        <w:tc>
          <w:tcPr>
            <w:tcW w:w="1000" w:type="dxa"/>
          </w:tcPr>
          <w:p w14:paraId="0090F553">
            <w:pPr>
              <w:pStyle w:val="46"/>
              <w:tabs>
                <w:tab w:val="left" w:pos="1069"/>
                <w:tab w:val="left" w:pos="2352"/>
              </w:tabs>
              <w:spacing w:line="360" w:lineRule="auto"/>
              <w:ind w:firstLine="0" w:firstLineChars="0"/>
              <w:jc w:val="center"/>
              <w:rPr>
                <w:rFonts w:ascii="宋体" w:hAnsi="宋体" w:eastAsia="宋体" w:cs="宋体"/>
                <w:color w:val="auto"/>
                <w:kern w:val="0"/>
                <w:sz w:val="22"/>
                <w:highlight w:val="none"/>
              </w:rPr>
            </w:pPr>
            <w:r>
              <w:rPr>
                <w:rFonts w:hint="eastAsia" w:ascii="宋体" w:hAnsi="宋体" w:eastAsia="宋体" w:cs="宋体"/>
                <w:color w:val="auto"/>
                <w:kern w:val="0"/>
                <w:sz w:val="22"/>
                <w:highlight w:val="none"/>
              </w:rPr>
              <w:t>经办人</w:t>
            </w:r>
          </w:p>
        </w:tc>
        <w:tc>
          <w:tcPr>
            <w:tcW w:w="1820" w:type="dxa"/>
          </w:tcPr>
          <w:p w14:paraId="44579BAE">
            <w:pPr>
              <w:tabs>
                <w:tab w:val="left" w:pos="1069"/>
                <w:tab w:val="left" w:pos="2352"/>
              </w:tabs>
              <w:jc w:val="center"/>
              <w:rPr>
                <w:rFonts w:ascii="宋体" w:hAnsi="宋体" w:cs="宋体"/>
                <w:color w:val="auto"/>
                <w:sz w:val="22"/>
                <w:highlight w:val="none"/>
              </w:rPr>
            </w:pPr>
            <w:r>
              <w:rPr>
                <w:rFonts w:hint="eastAsia" w:ascii="宋体" w:hAnsi="宋体" w:cs="宋体"/>
                <w:color w:val="auto"/>
                <w:sz w:val="22"/>
                <w:highlight w:val="none"/>
              </w:rPr>
              <w:t>联系方式</w:t>
            </w:r>
          </w:p>
        </w:tc>
      </w:tr>
      <w:tr w14:paraId="014384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73" w:type="dxa"/>
          </w:tcPr>
          <w:p w14:paraId="44C3AD15">
            <w:pPr>
              <w:pStyle w:val="46"/>
              <w:tabs>
                <w:tab w:val="left" w:pos="1069"/>
                <w:tab w:val="left" w:pos="2352"/>
              </w:tabs>
              <w:spacing w:line="360" w:lineRule="auto"/>
              <w:ind w:firstLine="0" w:firstLineChars="0"/>
              <w:rPr>
                <w:rFonts w:ascii="宋体" w:hAnsi="宋体" w:eastAsia="宋体" w:cs="宋体"/>
                <w:color w:val="auto"/>
                <w:kern w:val="0"/>
                <w:sz w:val="22"/>
                <w:highlight w:val="none"/>
              </w:rPr>
            </w:pPr>
            <w:r>
              <w:rPr>
                <w:rFonts w:hint="eastAsia" w:ascii="宋体" w:hAnsi="宋体" w:eastAsia="宋体" w:cs="宋体"/>
                <w:color w:val="auto"/>
                <w:kern w:val="0"/>
                <w:sz w:val="22"/>
                <w:highlight w:val="none"/>
              </w:rPr>
              <w:t>中国工商银行股份有限公司温州分行</w:t>
            </w:r>
          </w:p>
        </w:tc>
        <w:tc>
          <w:tcPr>
            <w:tcW w:w="4201" w:type="dxa"/>
          </w:tcPr>
          <w:p w14:paraId="564F6C2D">
            <w:pPr>
              <w:tabs>
                <w:tab w:val="left" w:pos="1069"/>
                <w:tab w:val="left" w:pos="2352"/>
              </w:tabs>
              <w:rPr>
                <w:rFonts w:ascii="宋体" w:hAnsi="宋体" w:cs="宋体"/>
                <w:color w:val="auto"/>
                <w:sz w:val="22"/>
                <w:highlight w:val="none"/>
              </w:rPr>
            </w:pPr>
            <w:r>
              <w:rPr>
                <w:rFonts w:hint="eastAsia" w:ascii="宋体" w:hAnsi="宋体" w:cs="宋体"/>
                <w:color w:val="auto"/>
                <w:sz w:val="22"/>
                <w:highlight w:val="none"/>
              </w:rPr>
              <w:t>一、融资方式：采取简易方式,根据流水及纳税情况核定额度。信用方式。（融资200万以下）根据政府采购合同及供应商资金需求确定，以信用为主，追加采购合同项下的预期销货款为我行质押。（融资200万以上）二、融资利率：在我行一般中小企业信用贷款利率基础上下浮10%。</w:t>
            </w:r>
          </w:p>
        </w:tc>
        <w:tc>
          <w:tcPr>
            <w:tcW w:w="1000" w:type="dxa"/>
          </w:tcPr>
          <w:p w14:paraId="6D530CFC">
            <w:pPr>
              <w:pStyle w:val="46"/>
              <w:tabs>
                <w:tab w:val="left" w:pos="1069"/>
                <w:tab w:val="left" w:pos="2352"/>
              </w:tabs>
              <w:spacing w:line="360" w:lineRule="auto"/>
              <w:ind w:firstLine="0" w:firstLineChars="0"/>
              <w:rPr>
                <w:rFonts w:ascii="宋体" w:hAnsi="宋体" w:eastAsia="宋体" w:cs="宋体"/>
                <w:color w:val="auto"/>
                <w:kern w:val="0"/>
                <w:sz w:val="22"/>
                <w:highlight w:val="none"/>
              </w:rPr>
            </w:pPr>
            <w:r>
              <w:rPr>
                <w:rFonts w:hint="eastAsia" w:ascii="宋体" w:hAnsi="宋体" w:eastAsia="宋体" w:cs="宋体"/>
                <w:color w:val="auto"/>
                <w:kern w:val="0"/>
                <w:sz w:val="22"/>
                <w:highlight w:val="none"/>
              </w:rPr>
              <w:t>王经理</w:t>
            </w:r>
          </w:p>
        </w:tc>
        <w:tc>
          <w:tcPr>
            <w:tcW w:w="1820" w:type="dxa"/>
          </w:tcPr>
          <w:p w14:paraId="5BB2DEAB">
            <w:pPr>
              <w:tabs>
                <w:tab w:val="left" w:pos="1069"/>
                <w:tab w:val="left" w:pos="2352"/>
              </w:tabs>
              <w:jc w:val="left"/>
              <w:rPr>
                <w:rFonts w:ascii="宋体" w:hAnsi="宋体" w:cs="宋体"/>
                <w:color w:val="auto"/>
                <w:sz w:val="22"/>
                <w:highlight w:val="none"/>
              </w:rPr>
            </w:pPr>
            <w:r>
              <w:rPr>
                <w:rFonts w:hint="eastAsia" w:ascii="宋体" w:hAnsi="宋体" w:cs="宋体"/>
                <w:color w:val="auto"/>
                <w:sz w:val="22"/>
                <w:highlight w:val="none"/>
              </w:rPr>
              <w:t>0577-88186626</w:t>
            </w:r>
          </w:p>
          <w:p w14:paraId="0413A0A1">
            <w:pPr>
              <w:tabs>
                <w:tab w:val="left" w:pos="1069"/>
                <w:tab w:val="left" w:pos="2352"/>
              </w:tabs>
              <w:jc w:val="left"/>
              <w:rPr>
                <w:rFonts w:ascii="宋体" w:hAnsi="宋体" w:cs="宋体"/>
                <w:color w:val="auto"/>
                <w:sz w:val="22"/>
                <w:highlight w:val="none"/>
              </w:rPr>
            </w:pPr>
          </w:p>
        </w:tc>
      </w:tr>
      <w:tr w14:paraId="3933E7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8" w:hRule="atLeast"/>
        </w:trPr>
        <w:tc>
          <w:tcPr>
            <w:tcW w:w="2373" w:type="dxa"/>
          </w:tcPr>
          <w:p w14:paraId="20C0D2F0">
            <w:pPr>
              <w:tabs>
                <w:tab w:val="left" w:pos="1069"/>
                <w:tab w:val="left" w:pos="2352"/>
              </w:tabs>
              <w:rPr>
                <w:rFonts w:ascii="宋体" w:hAnsi="宋体" w:cs="宋体"/>
                <w:color w:val="auto"/>
                <w:sz w:val="22"/>
                <w:highlight w:val="none"/>
              </w:rPr>
            </w:pPr>
            <w:r>
              <w:rPr>
                <w:rFonts w:hint="eastAsia" w:ascii="宋体" w:hAnsi="宋体" w:cs="宋体"/>
                <w:color w:val="auto"/>
                <w:sz w:val="22"/>
                <w:highlight w:val="none"/>
              </w:rPr>
              <w:t>中国建设银行股份有限公司温州分行</w:t>
            </w:r>
          </w:p>
        </w:tc>
        <w:tc>
          <w:tcPr>
            <w:tcW w:w="4201" w:type="dxa"/>
          </w:tcPr>
          <w:p w14:paraId="195893CD">
            <w:pPr>
              <w:tabs>
                <w:tab w:val="left" w:pos="1069"/>
                <w:tab w:val="left" w:pos="2352"/>
              </w:tabs>
              <w:rPr>
                <w:rFonts w:ascii="宋体" w:hAnsi="宋体" w:cs="宋体"/>
                <w:color w:val="auto"/>
                <w:sz w:val="22"/>
                <w:highlight w:val="none"/>
              </w:rPr>
            </w:pPr>
            <w:r>
              <w:rPr>
                <w:rFonts w:hint="eastAsia" w:ascii="宋体" w:hAnsi="宋体" w:cs="宋体"/>
                <w:color w:val="auto"/>
                <w:sz w:val="22"/>
                <w:highlight w:val="none"/>
              </w:rPr>
              <w:t>申请手续简便：以政府采购合同为基础，无需额外抵押和担保；融资价格优惠：最低可享受4.15%的优惠利率，随LPR浮动调整；到账时间快速：最快可实现当日申请，当日放款；办理流程省心：线上操作流程，免去银行排队奔波。</w:t>
            </w:r>
          </w:p>
        </w:tc>
        <w:tc>
          <w:tcPr>
            <w:tcW w:w="1000" w:type="dxa"/>
          </w:tcPr>
          <w:p w14:paraId="01DD9A86">
            <w:pPr>
              <w:tabs>
                <w:tab w:val="left" w:pos="1069"/>
                <w:tab w:val="left" w:pos="2352"/>
              </w:tabs>
              <w:rPr>
                <w:rFonts w:ascii="宋体" w:hAnsi="宋体" w:cs="宋体"/>
                <w:color w:val="auto"/>
                <w:sz w:val="22"/>
                <w:highlight w:val="none"/>
              </w:rPr>
            </w:pPr>
            <w:r>
              <w:rPr>
                <w:rFonts w:hint="eastAsia" w:ascii="宋体" w:hAnsi="宋体" w:cs="宋体"/>
                <w:color w:val="auto"/>
                <w:sz w:val="22"/>
                <w:highlight w:val="none"/>
              </w:rPr>
              <w:t>张经理</w:t>
            </w:r>
          </w:p>
        </w:tc>
        <w:tc>
          <w:tcPr>
            <w:tcW w:w="1820" w:type="dxa"/>
          </w:tcPr>
          <w:p w14:paraId="7E4FBF07">
            <w:pPr>
              <w:tabs>
                <w:tab w:val="left" w:pos="1069"/>
                <w:tab w:val="left" w:pos="2352"/>
              </w:tabs>
              <w:jc w:val="left"/>
              <w:rPr>
                <w:rFonts w:ascii="宋体" w:hAnsi="宋体" w:cs="宋体"/>
                <w:color w:val="auto"/>
                <w:sz w:val="22"/>
                <w:highlight w:val="none"/>
              </w:rPr>
            </w:pPr>
            <w:r>
              <w:rPr>
                <w:rFonts w:hint="eastAsia" w:ascii="宋体" w:hAnsi="宋体" w:cs="宋体"/>
                <w:color w:val="auto"/>
                <w:sz w:val="22"/>
                <w:highlight w:val="none"/>
              </w:rPr>
              <w:t>0577-88093286</w:t>
            </w:r>
          </w:p>
        </w:tc>
      </w:tr>
      <w:tr w14:paraId="60DFB7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73" w:type="dxa"/>
          </w:tcPr>
          <w:p w14:paraId="6ABF276D">
            <w:pPr>
              <w:pStyle w:val="46"/>
              <w:tabs>
                <w:tab w:val="left" w:pos="1069"/>
                <w:tab w:val="left" w:pos="2352"/>
              </w:tabs>
              <w:spacing w:line="360" w:lineRule="auto"/>
              <w:ind w:firstLine="0" w:firstLineChars="0"/>
              <w:rPr>
                <w:rFonts w:ascii="宋体" w:hAnsi="宋体" w:eastAsia="宋体" w:cs="宋体"/>
                <w:color w:val="auto"/>
                <w:kern w:val="0"/>
                <w:sz w:val="22"/>
                <w:highlight w:val="none"/>
              </w:rPr>
            </w:pPr>
            <w:r>
              <w:rPr>
                <w:rFonts w:hint="eastAsia" w:ascii="宋体" w:hAnsi="宋体" w:eastAsia="宋体" w:cs="宋体"/>
                <w:color w:val="auto"/>
                <w:kern w:val="0"/>
                <w:sz w:val="22"/>
                <w:highlight w:val="none"/>
              </w:rPr>
              <w:t>中国邮政储蓄银行股份有限公司温州市分行</w:t>
            </w:r>
          </w:p>
        </w:tc>
        <w:tc>
          <w:tcPr>
            <w:tcW w:w="4201" w:type="dxa"/>
            <w:vAlign w:val="center"/>
          </w:tcPr>
          <w:p w14:paraId="0BEA9DB0">
            <w:pPr>
              <w:tabs>
                <w:tab w:val="left" w:pos="1069"/>
                <w:tab w:val="left" w:pos="2352"/>
              </w:tabs>
              <w:rPr>
                <w:rFonts w:ascii="宋体" w:hAnsi="宋体" w:cs="宋体"/>
                <w:color w:val="auto"/>
                <w:sz w:val="22"/>
                <w:highlight w:val="none"/>
              </w:rPr>
            </w:pPr>
            <w:r>
              <w:rPr>
                <w:rFonts w:hint="eastAsia" w:ascii="宋体" w:hAnsi="宋体" w:cs="宋体"/>
                <w:color w:val="auto"/>
                <w:sz w:val="22"/>
                <w:highlight w:val="none"/>
              </w:rPr>
              <w:t>“政府采购贷”业务，是指我行为政府采购项目中标企业发放的，用于中标企业合法生产经营活动的短期人民币流动资金贷款。贷款免抵押、免担保，手续便捷、审批快速，单笔金额最高500万元，单笔期限最长18个月。</w:t>
            </w:r>
          </w:p>
        </w:tc>
        <w:tc>
          <w:tcPr>
            <w:tcW w:w="1000" w:type="dxa"/>
            <w:vAlign w:val="center"/>
          </w:tcPr>
          <w:p w14:paraId="65DFA3A8">
            <w:pPr>
              <w:tabs>
                <w:tab w:val="left" w:pos="1069"/>
                <w:tab w:val="left" w:pos="2352"/>
              </w:tabs>
              <w:rPr>
                <w:rFonts w:ascii="宋体" w:hAnsi="宋体" w:cs="宋体"/>
                <w:color w:val="auto"/>
                <w:sz w:val="22"/>
                <w:highlight w:val="none"/>
              </w:rPr>
            </w:pPr>
            <w:r>
              <w:rPr>
                <w:rFonts w:hint="eastAsia" w:ascii="宋体" w:hAnsi="宋体" w:cs="宋体"/>
                <w:color w:val="auto"/>
                <w:sz w:val="22"/>
                <w:highlight w:val="none"/>
              </w:rPr>
              <w:t>郑经理</w:t>
            </w:r>
          </w:p>
        </w:tc>
        <w:tc>
          <w:tcPr>
            <w:tcW w:w="1820" w:type="dxa"/>
            <w:vAlign w:val="center"/>
          </w:tcPr>
          <w:p w14:paraId="5176672C">
            <w:pPr>
              <w:tabs>
                <w:tab w:val="left" w:pos="1069"/>
                <w:tab w:val="left" w:pos="2352"/>
              </w:tabs>
              <w:jc w:val="left"/>
              <w:rPr>
                <w:rFonts w:ascii="宋体" w:hAnsi="宋体" w:cs="宋体"/>
                <w:color w:val="auto"/>
                <w:sz w:val="22"/>
                <w:highlight w:val="none"/>
              </w:rPr>
            </w:pPr>
            <w:r>
              <w:rPr>
                <w:rFonts w:hint="eastAsia" w:ascii="宋体" w:hAnsi="宋体" w:cs="宋体"/>
                <w:color w:val="auto"/>
                <w:sz w:val="22"/>
                <w:highlight w:val="none"/>
              </w:rPr>
              <w:t>0577-88193910</w:t>
            </w:r>
          </w:p>
          <w:p w14:paraId="23ACE75C">
            <w:pPr>
              <w:tabs>
                <w:tab w:val="left" w:pos="1069"/>
                <w:tab w:val="left" w:pos="2352"/>
              </w:tabs>
              <w:jc w:val="left"/>
              <w:rPr>
                <w:rFonts w:ascii="宋体" w:hAnsi="宋体" w:cs="宋体"/>
                <w:color w:val="auto"/>
                <w:sz w:val="22"/>
                <w:highlight w:val="none"/>
              </w:rPr>
            </w:pPr>
          </w:p>
        </w:tc>
      </w:tr>
      <w:tr w14:paraId="4FC5CF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73" w:type="dxa"/>
          </w:tcPr>
          <w:p w14:paraId="131FF505">
            <w:pPr>
              <w:pStyle w:val="46"/>
              <w:tabs>
                <w:tab w:val="left" w:pos="1069"/>
                <w:tab w:val="left" w:pos="2352"/>
              </w:tabs>
              <w:spacing w:line="360" w:lineRule="auto"/>
              <w:ind w:firstLine="0" w:firstLineChars="0"/>
              <w:rPr>
                <w:rFonts w:ascii="宋体" w:hAnsi="宋体" w:eastAsia="宋体" w:cs="宋体"/>
                <w:color w:val="auto"/>
                <w:kern w:val="0"/>
                <w:sz w:val="22"/>
                <w:highlight w:val="none"/>
              </w:rPr>
            </w:pPr>
            <w:r>
              <w:rPr>
                <w:rFonts w:hint="eastAsia" w:ascii="宋体" w:hAnsi="宋体" w:eastAsia="宋体" w:cs="宋体"/>
                <w:color w:val="auto"/>
                <w:kern w:val="0"/>
                <w:sz w:val="22"/>
                <w:highlight w:val="none"/>
              </w:rPr>
              <w:t>中国民生银行股份有限公司温州分行</w:t>
            </w:r>
          </w:p>
        </w:tc>
        <w:tc>
          <w:tcPr>
            <w:tcW w:w="4201" w:type="dxa"/>
          </w:tcPr>
          <w:p w14:paraId="0A8D7544">
            <w:pPr>
              <w:tabs>
                <w:tab w:val="left" w:pos="1069"/>
                <w:tab w:val="left" w:pos="2352"/>
              </w:tabs>
              <w:jc w:val="left"/>
              <w:rPr>
                <w:rFonts w:ascii="宋体" w:hAnsi="宋体" w:cs="宋体"/>
                <w:color w:val="auto"/>
                <w:sz w:val="22"/>
                <w:highlight w:val="none"/>
              </w:rPr>
            </w:pPr>
            <w:r>
              <w:rPr>
                <w:rFonts w:hint="eastAsia" w:ascii="宋体" w:hAnsi="宋体" w:cs="宋体"/>
                <w:color w:val="auto"/>
                <w:sz w:val="22"/>
                <w:highlight w:val="none"/>
              </w:rPr>
              <w:t>民生银行供应链金融“政采贷”产品，专为政府采购场景下的中小企业融资而设计，最高融资额度可达政府采购合同交易金额的70%,最高单笔授信金额可达500万元，期限最长可达1年，无需抵押，无需办理应收账款质押，材料简单，流程便捷，利率优惠。</w:t>
            </w:r>
          </w:p>
        </w:tc>
        <w:tc>
          <w:tcPr>
            <w:tcW w:w="1000" w:type="dxa"/>
          </w:tcPr>
          <w:p w14:paraId="0CE42DAD">
            <w:pPr>
              <w:tabs>
                <w:tab w:val="left" w:pos="1069"/>
                <w:tab w:val="left" w:pos="2352"/>
              </w:tabs>
              <w:rPr>
                <w:rFonts w:ascii="宋体" w:hAnsi="宋体" w:cs="宋体"/>
                <w:color w:val="auto"/>
                <w:sz w:val="22"/>
                <w:highlight w:val="none"/>
              </w:rPr>
            </w:pPr>
            <w:r>
              <w:rPr>
                <w:rFonts w:hint="eastAsia" w:ascii="宋体" w:hAnsi="宋体" w:cs="宋体"/>
                <w:color w:val="auto"/>
                <w:sz w:val="22"/>
                <w:highlight w:val="none"/>
              </w:rPr>
              <w:t>项经理</w:t>
            </w:r>
          </w:p>
        </w:tc>
        <w:tc>
          <w:tcPr>
            <w:tcW w:w="1820" w:type="dxa"/>
          </w:tcPr>
          <w:p w14:paraId="0232A076">
            <w:pPr>
              <w:tabs>
                <w:tab w:val="left" w:pos="1069"/>
                <w:tab w:val="left" w:pos="2352"/>
              </w:tabs>
              <w:jc w:val="left"/>
              <w:rPr>
                <w:rFonts w:ascii="宋体" w:hAnsi="宋体" w:cs="宋体"/>
                <w:color w:val="auto"/>
                <w:sz w:val="22"/>
                <w:highlight w:val="none"/>
              </w:rPr>
            </w:pPr>
            <w:r>
              <w:rPr>
                <w:rFonts w:hint="eastAsia" w:ascii="宋体" w:hAnsi="宋体" w:cs="宋体"/>
                <w:color w:val="auto"/>
                <w:sz w:val="22"/>
                <w:highlight w:val="none"/>
              </w:rPr>
              <w:t>18057779630</w:t>
            </w:r>
          </w:p>
        </w:tc>
      </w:tr>
      <w:tr w14:paraId="3C5C3E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73" w:type="dxa"/>
          </w:tcPr>
          <w:p w14:paraId="7D48511E">
            <w:pPr>
              <w:pStyle w:val="46"/>
              <w:tabs>
                <w:tab w:val="left" w:pos="1069"/>
                <w:tab w:val="left" w:pos="2352"/>
              </w:tabs>
              <w:spacing w:line="360" w:lineRule="auto"/>
              <w:ind w:firstLine="0" w:firstLineChars="0"/>
              <w:rPr>
                <w:rFonts w:ascii="宋体" w:hAnsi="宋体" w:eastAsia="宋体" w:cs="宋体"/>
                <w:color w:val="auto"/>
                <w:kern w:val="0"/>
                <w:sz w:val="22"/>
                <w:highlight w:val="none"/>
              </w:rPr>
            </w:pPr>
            <w:r>
              <w:rPr>
                <w:rFonts w:hint="eastAsia" w:ascii="宋体" w:hAnsi="宋体" w:eastAsia="宋体" w:cs="宋体"/>
                <w:color w:val="auto"/>
                <w:kern w:val="0"/>
                <w:sz w:val="22"/>
                <w:highlight w:val="none"/>
              </w:rPr>
              <w:t>宁波银行股份有限公司温州分行</w:t>
            </w:r>
          </w:p>
        </w:tc>
        <w:tc>
          <w:tcPr>
            <w:tcW w:w="4201" w:type="dxa"/>
          </w:tcPr>
          <w:p w14:paraId="0FE1D6C6">
            <w:pPr>
              <w:tabs>
                <w:tab w:val="left" w:pos="1069"/>
                <w:tab w:val="left" w:pos="2352"/>
              </w:tabs>
              <w:rPr>
                <w:rFonts w:ascii="宋体" w:hAnsi="宋体" w:cs="宋体"/>
                <w:color w:val="auto"/>
                <w:sz w:val="22"/>
                <w:highlight w:val="none"/>
              </w:rPr>
            </w:pPr>
            <w:r>
              <w:rPr>
                <w:rFonts w:hint="eastAsia" w:ascii="宋体" w:hAnsi="宋体" w:cs="宋体"/>
                <w:color w:val="auto"/>
                <w:sz w:val="22"/>
                <w:highlight w:val="none"/>
              </w:rPr>
              <w:t>宁波银行政府采购融资指应供应商申请，以政府采购合同项下的回款为主要还款来源，为满足供应商履行采购合同所需资金而向其提供融资的信贷业务。提供中标通知书及其他授信材料即可申请，授信担保方式为信用，最长期限不超过一年，最大金额不超过2000万元。</w:t>
            </w:r>
          </w:p>
        </w:tc>
        <w:tc>
          <w:tcPr>
            <w:tcW w:w="1000" w:type="dxa"/>
          </w:tcPr>
          <w:p w14:paraId="52B8E293">
            <w:pPr>
              <w:tabs>
                <w:tab w:val="left" w:pos="1069"/>
                <w:tab w:val="left" w:pos="2352"/>
              </w:tabs>
              <w:rPr>
                <w:rFonts w:ascii="宋体" w:hAnsi="宋体" w:cs="宋体"/>
                <w:color w:val="auto"/>
                <w:sz w:val="22"/>
                <w:highlight w:val="none"/>
              </w:rPr>
            </w:pPr>
            <w:r>
              <w:rPr>
                <w:rFonts w:hint="eastAsia" w:ascii="宋体" w:hAnsi="宋体" w:cs="宋体"/>
                <w:color w:val="auto"/>
                <w:sz w:val="22"/>
                <w:highlight w:val="none"/>
              </w:rPr>
              <w:t>陈经理</w:t>
            </w:r>
          </w:p>
        </w:tc>
        <w:tc>
          <w:tcPr>
            <w:tcW w:w="1820" w:type="dxa"/>
          </w:tcPr>
          <w:p w14:paraId="1C2A014B">
            <w:pPr>
              <w:tabs>
                <w:tab w:val="left" w:pos="1069"/>
                <w:tab w:val="left" w:pos="2352"/>
              </w:tabs>
              <w:jc w:val="left"/>
              <w:rPr>
                <w:rFonts w:ascii="宋体" w:hAnsi="宋体" w:cs="宋体"/>
                <w:color w:val="auto"/>
                <w:sz w:val="22"/>
                <w:highlight w:val="none"/>
              </w:rPr>
            </w:pPr>
            <w:r>
              <w:rPr>
                <w:rFonts w:hint="eastAsia" w:ascii="宋体" w:hAnsi="宋体" w:cs="宋体"/>
                <w:color w:val="auto"/>
                <w:sz w:val="22"/>
                <w:highlight w:val="none"/>
              </w:rPr>
              <w:t>0577－88007377</w:t>
            </w:r>
          </w:p>
          <w:p w14:paraId="4125D6C7">
            <w:pPr>
              <w:tabs>
                <w:tab w:val="left" w:pos="1069"/>
                <w:tab w:val="left" w:pos="2352"/>
              </w:tabs>
              <w:jc w:val="left"/>
              <w:rPr>
                <w:rFonts w:ascii="宋体" w:hAnsi="宋体" w:cs="宋体"/>
                <w:color w:val="auto"/>
                <w:sz w:val="22"/>
                <w:highlight w:val="none"/>
              </w:rPr>
            </w:pPr>
          </w:p>
        </w:tc>
      </w:tr>
      <w:tr w14:paraId="184F34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73" w:type="dxa"/>
          </w:tcPr>
          <w:p w14:paraId="12EA2244">
            <w:pPr>
              <w:pStyle w:val="46"/>
              <w:tabs>
                <w:tab w:val="left" w:pos="1069"/>
                <w:tab w:val="left" w:pos="2352"/>
              </w:tabs>
              <w:spacing w:line="360" w:lineRule="auto"/>
              <w:ind w:firstLine="0" w:firstLineChars="0"/>
              <w:rPr>
                <w:rFonts w:ascii="宋体" w:hAnsi="宋体" w:eastAsia="宋体" w:cs="宋体"/>
                <w:color w:val="auto"/>
                <w:kern w:val="0"/>
                <w:sz w:val="22"/>
                <w:highlight w:val="none"/>
              </w:rPr>
            </w:pPr>
            <w:r>
              <w:rPr>
                <w:rFonts w:hint="eastAsia" w:ascii="宋体" w:hAnsi="宋体" w:eastAsia="宋体" w:cs="宋体"/>
                <w:color w:val="auto"/>
                <w:kern w:val="0"/>
                <w:sz w:val="22"/>
                <w:highlight w:val="none"/>
              </w:rPr>
              <w:t>杭州银行股份有限公司温州分行</w:t>
            </w:r>
          </w:p>
        </w:tc>
        <w:tc>
          <w:tcPr>
            <w:tcW w:w="4201" w:type="dxa"/>
          </w:tcPr>
          <w:p w14:paraId="48D921AA">
            <w:pPr>
              <w:tabs>
                <w:tab w:val="left" w:pos="1069"/>
                <w:tab w:val="left" w:pos="2352"/>
              </w:tabs>
              <w:rPr>
                <w:rFonts w:ascii="宋体" w:hAnsi="宋体" w:cs="宋体"/>
                <w:bCs/>
                <w:color w:val="auto"/>
                <w:sz w:val="22"/>
                <w:highlight w:val="none"/>
              </w:rPr>
            </w:pPr>
            <w:r>
              <w:rPr>
                <w:rFonts w:hint="eastAsia" w:ascii="宋体" w:hAnsi="宋体" w:cs="宋体"/>
                <w:bCs/>
                <w:color w:val="auto"/>
                <w:sz w:val="22"/>
                <w:highlight w:val="none"/>
              </w:rPr>
              <w:t>门槛低：纯信用，平台注册入库并取得采购合同即可申请</w:t>
            </w:r>
          </w:p>
          <w:p w14:paraId="0B9B9EAF">
            <w:pPr>
              <w:tabs>
                <w:tab w:val="left" w:pos="1069"/>
                <w:tab w:val="left" w:pos="2352"/>
              </w:tabs>
              <w:rPr>
                <w:rFonts w:ascii="宋体" w:hAnsi="宋体" w:cs="宋体"/>
                <w:bCs/>
                <w:color w:val="auto"/>
                <w:sz w:val="22"/>
                <w:highlight w:val="none"/>
              </w:rPr>
            </w:pPr>
            <w:r>
              <w:rPr>
                <w:rFonts w:hint="eastAsia" w:ascii="宋体" w:hAnsi="宋体" w:cs="宋体"/>
                <w:bCs/>
                <w:color w:val="auto"/>
                <w:sz w:val="22"/>
                <w:highlight w:val="none"/>
              </w:rPr>
              <w:t>手续简：线上申请+线上签约，足不出户</w:t>
            </w:r>
          </w:p>
          <w:p w14:paraId="033BF5A1">
            <w:pPr>
              <w:tabs>
                <w:tab w:val="left" w:pos="1069"/>
                <w:tab w:val="left" w:pos="2352"/>
              </w:tabs>
              <w:rPr>
                <w:rFonts w:ascii="宋体" w:hAnsi="宋体" w:cs="宋体"/>
                <w:bCs/>
                <w:color w:val="auto"/>
                <w:sz w:val="22"/>
                <w:highlight w:val="none"/>
              </w:rPr>
            </w:pPr>
            <w:r>
              <w:rPr>
                <w:rFonts w:hint="eastAsia" w:ascii="宋体" w:hAnsi="宋体" w:cs="宋体"/>
                <w:bCs/>
                <w:color w:val="auto"/>
                <w:sz w:val="22"/>
                <w:highlight w:val="none"/>
              </w:rPr>
              <w:t>利率优：按优于一般中小企业贷款利率执行</w:t>
            </w:r>
          </w:p>
          <w:p w14:paraId="3C5958AE">
            <w:pPr>
              <w:tabs>
                <w:tab w:val="left" w:pos="1069"/>
                <w:tab w:val="left" w:pos="2352"/>
              </w:tabs>
              <w:rPr>
                <w:rFonts w:ascii="宋体" w:hAnsi="宋体" w:cs="宋体"/>
                <w:color w:val="auto"/>
                <w:sz w:val="22"/>
                <w:highlight w:val="none"/>
              </w:rPr>
            </w:pPr>
            <w:r>
              <w:rPr>
                <w:rFonts w:hint="eastAsia" w:ascii="宋体" w:hAnsi="宋体" w:cs="宋体"/>
                <w:bCs/>
                <w:color w:val="auto"/>
                <w:sz w:val="22"/>
                <w:highlight w:val="none"/>
              </w:rPr>
              <w:t>额度高：最高为合同金额的80%</w:t>
            </w:r>
          </w:p>
        </w:tc>
        <w:tc>
          <w:tcPr>
            <w:tcW w:w="1000" w:type="dxa"/>
          </w:tcPr>
          <w:p w14:paraId="0A2F5B4B">
            <w:pPr>
              <w:tabs>
                <w:tab w:val="left" w:pos="1069"/>
                <w:tab w:val="left" w:pos="2352"/>
              </w:tabs>
              <w:rPr>
                <w:rFonts w:ascii="宋体" w:hAnsi="宋体" w:cs="宋体"/>
                <w:color w:val="auto"/>
                <w:sz w:val="22"/>
                <w:highlight w:val="none"/>
              </w:rPr>
            </w:pPr>
            <w:r>
              <w:rPr>
                <w:rFonts w:hint="eastAsia" w:ascii="宋体" w:hAnsi="宋体" w:cs="宋体"/>
                <w:color w:val="auto"/>
                <w:sz w:val="22"/>
                <w:highlight w:val="none"/>
              </w:rPr>
              <w:t>叶经理</w:t>
            </w:r>
          </w:p>
        </w:tc>
        <w:tc>
          <w:tcPr>
            <w:tcW w:w="1820" w:type="dxa"/>
          </w:tcPr>
          <w:p w14:paraId="241D1A7D">
            <w:pPr>
              <w:tabs>
                <w:tab w:val="left" w:pos="1069"/>
                <w:tab w:val="left" w:pos="2352"/>
              </w:tabs>
              <w:jc w:val="left"/>
              <w:rPr>
                <w:rFonts w:ascii="宋体" w:hAnsi="宋体" w:cs="宋体"/>
                <w:color w:val="auto"/>
                <w:sz w:val="22"/>
                <w:highlight w:val="none"/>
              </w:rPr>
            </w:pPr>
            <w:r>
              <w:rPr>
                <w:rFonts w:hint="eastAsia" w:ascii="宋体" w:hAnsi="宋体" w:cs="宋体"/>
                <w:color w:val="auto"/>
                <w:sz w:val="22"/>
                <w:highlight w:val="none"/>
              </w:rPr>
              <w:t>0577-88008933</w:t>
            </w:r>
          </w:p>
        </w:tc>
      </w:tr>
      <w:tr w14:paraId="1FA406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73" w:type="dxa"/>
          </w:tcPr>
          <w:p w14:paraId="5915DC3B">
            <w:pPr>
              <w:pStyle w:val="46"/>
              <w:tabs>
                <w:tab w:val="left" w:pos="1069"/>
                <w:tab w:val="left" w:pos="2352"/>
              </w:tabs>
              <w:spacing w:line="360" w:lineRule="auto"/>
              <w:ind w:firstLine="0" w:firstLineChars="0"/>
              <w:rPr>
                <w:rFonts w:ascii="宋体" w:hAnsi="宋体" w:eastAsia="宋体" w:cs="宋体"/>
                <w:color w:val="auto"/>
                <w:kern w:val="0"/>
                <w:sz w:val="22"/>
                <w:highlight w:val="none"/>
              </w:rPr>
            </w:pPr>
            <w:r>
              <w:rPr>
                <w:rFonts w:hint="eastAsia" w:ascii="宋体" w:hAnsi="宋体" w:eastAsia="宋体" w:cs="宋体"/>
                <w:color w:val="auto"/>
                <w:kern w:val="0"/>
                <w:sz w:val="22"/>
                <w:highlight w:val="none"/>
              </w:rPr>
              <w:t>招商银行股份有限公司温州分行</w:t>
            </w:r>
          </w:p>
        </w:tc>
        <w:tc>
          <w:tcPr>
            <w:tcW w:w="4201" w:type="dxa"/>
          </w:tcPr>
          <w:p w14:paraId="556D0071">
            <w:pPr>
              <w:tabs>
                <w:tab w:val="left" w:pos="1069"/>
                <w:tab w:val="left" w:pos="2352"/>
              </w:tabs>
              <w:rPr>
                <w:rFonts w:ascii="宋体" w:hAnsi="宋体" w:cs="宋体"/>
                <w:color w:val="auto"/>
                <w:sz w:val="22"/>
                <w:highlight w:val="none"/>
              </w:rPr>
            </w:pPr>
            <w:r>
              <w:rPr>
                <w:rFonts w:hint="eastAsia" w:ascii="宋体" w:hAnsi="宋体" w:cs="宋体"/>
                <w:color w:val="auto"/>
                <w:sz w:val="22"/>
                <w:highlight w:val="none"/>
              </w:rPr>
              <w:t>政采贷是招商银行针对政府采购招投标中标（成交）供应商，以政府采购合同项下未来应收账款为第一还款来源的融资业务，无需抵质押物。额度最高可达2000万，同时可开通自助贷款直通功能，自助贷款额度最高可达1000万，支持线上申请、随借随还。</w:t>
            </w:r>
          </w:p>
        </w:tc>
        <w:tc>
          <w:tcPr>
            <w:tcW w:w="1000" w:type="dxa"/>
          </w:tcPr>
          <w:p w14:paraId="7E5BF22F">
            <w:pPr>
              <w:tabs>
                <w:tab w:val="left" w:pos="1069"/>
                <w:tab w:val="left" w:pos="2352"/>
              </w:tabs>
              <w:rPr>
                <w:rFonts w:ascii="宋体" w:hAnsi="宋体" w:cs="宋体"/>
                <w:color w:val="auto"/>
                <w:sz w:val="22"/>
                <w:highlight w:val="none"/>
              </w:rPr>
            </w:pPr>
            <w:r>
              <w:rPr>
                <w:rFonts w:hint="eastAsia" w:ascii="宋体" w:hAnsi="宋体" w:cs="宋体"/>
                <w:color w:val="auto"/>
                <w:sz w:val="22"/>
                <w:highlight w:val="none"/>
              </w:rPr>
              <w:t>陈经理</w:t>
            </w:r>
          </w:p>
        </w:tc>
        <w:tc>
          <w:tcPr>
            <w:tcW w:w="1820" w:type="dxa"/>
          </w:tcPr>
          <w:p w14:paraId="183007FF">
            <w:pPr>
              <w:tabs>
                <w:tab w:val="left" w:pos="1069"/>
                <w:tab w:val="left" w:pos="2352"/>
              </w:tabs>
              <w:jc w:val="left"/>
              <w:rPr>
                <w:rFonts w:ascii="宋体" w:hAnsi="宋体" w:cs="宋体"/>
                <w:color w:val="auto"/>
                <w:sz w:val="22"/>
                <w:highlight w:val="none"/>
              </w:rPr>
            </w:pPr>
            <w:r>
              <w:rPr>
                <w:rFonts w:hint="eastAsia" w:ascii="宋体" w:hAnsi="宋体" w:cs="宋体"/>
                <w:color w:val="auto"/>
                <w:sz w:val="22"/>
                <w:highlight w:val="none"/>
              </w:rPr>
              <w:t>0577-88056876</w:t>
            </w:r>
          </w:p>
          <w:p w14:paraId="28E7E781">
            <w:pPr>
              <w:tabs>
                <w:tab w:val="left" w:pos="1069"/>
                <w:tab w:val="left" w:pos="2352"/>
              </w:tabs>
              <w:jc w:val="left"/>
              <w:rPr>
                <w:rFonts w:ascii="宋体" w:hAnsi="宋体" w:cs="宋体"/>
                <w:color w:val="auto"/>
                <w:sz w:val="22"/>
                <w:highlight w:val="none"/>
              </w:rPr>
            </w:pPr>
          </w:p>
        </w:tc>
      </w:tr>
      <w:tr w14:paraId="5C9493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73" w:type="dxa"/>
          </w:tcPr>
          <w:p w14:paraId="09D5D5DC">
            <w:pPr>
              <w:pStyle w:val="46"/>
              <w:tabs>
                <w:tab w:val="left" w:pos="1069"/>
                <w:tab w:val="left" w:pos="2352"/>
              </w:tabs>
              <w:spacing w:line="360" w:lineRule="auto"/>
              <w:ind w:firstLine="0" w:firstLineChars="0"/>
              <w:rPr>
                <w:rFonts w:ascii="宋体" w:hAnsi="宋体" w:eastAsia="宋体" w:cs="宋体"/>
                <w:color w:val="auto"/>
                <w:kern w:val="0"/>
                <w:sz w:val="22"/>
                <w:highlight w:val="none"/>
              </w:rPr>
            </w:pPr>
            <w:r>
              <w:rPr>
                <w:rFonts w:hint="eastAsia" w:ascii="宋体" w:hAnsi="宋体" w:eastAsia="宋体" w:cs="宋体"/>
                <w:color w:val="auto"/>
                <w:kern w:val="0"/>
                <w:sz w:val="22"/>
                <w:highlight w:val="none"/>
              </w:rPr>
              <w:t>兴业银行股份有限公司温州分行</w:t>
            </w:r>
          </w:p>
        </w:tc>
        <w:tc>
          <w:tcPr>
            <w:tcW w:w="4201" w:type="dxa"/>
            <w:vAlign w:val="center"/>
          </w:tcPr>
          <w:p w14:paraId="14486820">
            <w:pPr>
              <w:pStyle w:val="46"/>
              <w:tabs>
                <w:tab w:val="left" w:pos="1069"/>
                <w:tab w:val="left" w:pos="2352"/>
              </w:tabs>
              <w:spacing w:line="240" w:lineRule="auto"/>
              <w:ind w:firstLine="0" w:firstLineChars="0"/>
              <w:jc w:val="both"/>
              <w:rPr>
                <w:rFonts w:ascii="宋体" w:hAnsi="宋体" w:eastAsia="宋体" w:cs="宋体"/>
                <w:bCs/>
                <w:color w:val="auto"/>
                <w:kern w:val="0"/>
                <w:sz w:val="22"/>
                <w:highlight w:val="none"/>
              </w:rPr>
            </w:pPr>
            <w:r>
              <w:rPr>
                <w:rFonts w:hint="eastAsia" w:ascii="宋体" w:hAnsi="宋体" w:eastAsia="宋体" w:cs="宋体"/>
                <w:bCs/>
                <w:color w:val="auto"/>
                <w:kern w:val="0"/>
                <w:sz w:val="22"/>
                <w:highlight w:val="none"/>
              </w:rPr>
              <w:t>融资担保方式及融资金额：1、采取信用免抵押的企业，最高融资金额200万元；2、采取政府采购中标应收帐款质押的，最高融资金额不超过1000万元，单笔提款金额不超过采购合同金额的70%。融资利率：在本单位一般性中小企业信用贷款利率基础上下浮10%。</w:t>
            </w:r>
          </w:p>
        </w:tc>
        <w:tc>
          <w:tcPr>
            <w:tcW w:w="1000" w:type="dxa"/>
            <w:vAlign w:val="center"/>
          </w:tcPr>
          <w:p w14:paraId="66629360">
            <w:pPr>
              <w:tabs>
                <w:tab w:val="left" w:pos="1069"/>
                <w:tab w:val="left" w:pos="2352"/>
              </w:tabs>
              <w:rPr>
                <w:rFonts w:ascii="宋体" w:hAnsi="宋体" w:cs="宋体"/>
                <w:color w:val="auto"/>
                <w:sz w:val="22"/>
                <w:highlight w:val="none"/>
              </w:rPr>
            </w:pPr>
            <w:r>
              <w:rPr>
                <w:rFonts w:hint="eastAsia" w:ascii="宋体" w:hAnsi="宋体" w:cs="宋体"/>
                <w:color w:val="auto"/>
                <w:sz w:val="22"/>
                <w:highlight w:val="none"/>
              </w:rPr>
              <w:t>张经理</w:t>
            </w:r>
          </w:p>
          <w:p w14:paraId="1E251346">
            <w:pPr>
              <w:tabs>
                <w:tab w:val="left" w:pos="1069"/>
                <w:tab w:val="left" w:pos="2352"/>
              </w:tabs>
              <w:rPr>
                <w:rFonts w:ascii="宋体" w:hAnsi="宋体" w:cs="宋体"/>
                <w:color w:val="auto"/>
                <w:sz w:val="22"/>
                <w:highlight w:val="none"/>
              </w:rPr>
            </w:pPr>
            <w:r>
              <w:rPr>
                <w:rFonts w:hint="eastAsia" w:ascii="宋体" w:hAnsi="宋体" w:cs="宋体"/>
                <w:color w:val="auto"/>
                <w:sz w:val="22"/>
                <w:highlight w:val="none"/>
              </w:rPr>
              <w:t>陈经理</w:t>
            </w:r>
          </w:p>
        </w:tc>
        <w:tc>
          <w:tcPr>
            <w:tcW w:w="1820" w:type="dxa"/>
            <w:vAlign w:val="center"/>
          </w:tcPr>
          <w:p w14:paraId="6B535647">
            <w:pPr>
              <w:pStyle w:val="46"/>
              <w:tabs>
                <w:tab w:val="left" w:pos="1069"/>
                <w:tab w:val="left" w:pos="2352"/>
              </w:tabs>
              <w:spacing w:line="360" w:lineRule="auto"/>
              <w:ind w:firstLine="0" w:firstLineChars="0"/>
              <w:rPr>
                <w:rFonts w:ascii="宋体" w:hAnsi="宋体" w:eastAsia="宋体" w:cs="宋体"/>
                <w:color w:val="auto"/>
                <w:kern w:val="0"/>
                <w:sz w:val="22"/>
                <w:highlight w:val="none"/>
              </w:rPr>
            </w:pPr>
            <w:r>
              <w:rPr>
                <w:rFonts w:hint="eastAsia" w:ascii="宋体" w:hAnsi="宋体" w:eastAsia="宋体" w:cs="宋体"/>
                <w:color w:val="auto"/>
                <w:kern w:val="0"/>
                <w:sz w:val="22"/>
                <w:highlight w:val="none"/>
              </w:rPr>
              <w:t>0577-88369368/13857713118</w:t>
            </w:r>
          </w:p>
          <w:p w14:paraId="4972226E">
            <w:pPr>
              <w:pStyle w:val="46"/>
              <w:tabs>
                <w:tab w:val="left" w:pos="1069"/>
                <w:tab w:val="left" w:pos="2352"/>
              </w:tabs>
              <w:spacing w:line="360" w:lineRule="auto"/>
              <w:ind w:firstLine="0" w:firstLineChars="0"/>
              <w:rPr>
                <w:rFonts w:ascii="宋体" w:hAnsi="宋体" w:eastAsia="宋体" w:cs="宋体"/>
                <w:color w:val="auto"/>
                <w:kern w:val="0"/>
                <w:sz w:val="22"/>
                <w:highlight w:val="none"/>
              </w:rPr>
            </w:pPr>
            <w:r>
              <w:rPr>
                <w:rFonts w:hint="eastAsia" w:ascii="宋体" w:hAnsi="宋体" w:eastAsia="宋体" w:cs="宋体"/>
                <w:color w:val="auto"/>
                <w:kern w:val="0"/>
                <w:sz w:val="22"/>
                <w:highlight w:val="none"/>
              </w:rPr>
              <w:t>0577-56969696-526506</w:t>
            </w:r>
          </w:p>
        </w:tc>
      </w:tr>
      <w:tr w14:paraId="191DFF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73" w:type="dxa"/>
          </w:tcPr>
          <w:p w14:paraId="2D0C07C6">
            <w:pPr>
              <w:pStyle w:val="46"/>
              <w:tabs>
                <w:tab w:val="left" w:pos="1069"/>
                <w:tab w:val="left" w:pos="2352"/>
              </w:tabs>
              <w:spacing w:line="360" w:lineRule="auto"/>
              <w:ind w:firstLine="0" w:firstLineChars="0"/>
              <w:rPr>
                <w:rFonts w:ascii="宋体" w:hAnsi="宋体" w:eastAsia="宋体" w:cs="宋体"/>
                <w:color w:val="auto"/>
                <w:kern w:val="0"/>
                <w:sz w:val="22"/>
                <w:highlight w:val="none"/>
              </w:rPr>
            </w:pPr>
            <w:r>
              <w:rPr>
                <w:rFonts w:hint="eastAsia" w:ascii="宋体" w:hAnsi="宋体" w:eastAsia="宋体" w:cs="宋体"/>
                <w:color w:val="auto"/>
                <w:kern w:val="0"/>
                <w:sz w:val="22"/>
                <w:highlight w:val="none"/>
              </w:rPr>
              <w:t>温州银行股份有限公司温州分行</w:t>
            </w:r>
          </w:p>
        </w:tc>
        <w:tc>
          <w:tcPr>
            <w:tcW w:w="4201" w:type="dxa"/>
          </w:tcPr>
          <w:p w14:paraId="743D5470">
            <w:pPr>
              <w:tabs>
                <w:tab w:val="left" w:pos="1069"/>
                <w:tab w:val="left" w:pos="2352"/>
              </w:tabs>
              <w:rPr>
                <w:rFonts w:ascii="宋体" w:hAnsi="宋体" w:cs="宋体"/>
                <w:bCs/>
                <w:color w:val="auto"/>
                <w:sz w:val="22"/>
                <w:highlight w:val="none"/>
              </w:rPr>
            </w:pPr>
            <w:r>
              <w:rPr>
                <w:rFonts w:hint="eastAsia" w:ascii="宋体" w:hAnsi="宋体" w:cs="宋体"/>
                <w:bCs/>
                <w:color w:val="auto"/>
                <w:sz w:val="22"/>
                <w:highlight w:val="none"/>
              </w:rPr>
              <w:t>政采订单贷：订单在手，融资无忧。用于满足供应商订单采购所需资金周转的贷款产品。门槛低，无须抵押，凭中标通知书即可申请，额度高，最高可贷500万元，单笔业务金额可贷中标金额的80%，最长期限可贷1年。</w:t>
            </w:r>
          </w:p>
        </w:tc>
        <w:tc>
          <w:tcPr>
            <w:tcW w:w="1000" w:type="dxa"/>
          </w:tcPr>
          <w:p w14:paraId="7DBC02DA">
            <w:pPr>
              <w:tabs>
                <w:tab w:val="left" w:pos="1069"/>
                <w:tab w:val="left" w:pos="2352"/>
              </w:tabs>
              <w:rPr>
                <w:rFonts w:ascii="宋体" w:hAnsi="宋体" w:cs="宋体"/>
                <w:color w:val="auto"/>
                <w:sz w:val="22"/>
                <w:highlight w:val="none"/>
              </w:rPr>
            </w:pPr>
            <w:r>
              <w:rPr>
                <w:rFonts w:hint="eastAsia" w:ascii="宋体" w:hAnsi="宋体" w:cs="宋体"/>
                <w:color w:val="auto"/>
                <w:sz w:val="22"/>
                <w:highlight w:val="none"/>
              </w:rPr>
              <w:t>陈经理</w:t>
            </w:r>
          </w:p>
        </w:tc>
        <w:tc>
          <w:tcPr>
            <w:tcW w:w="1820" w:type="dxa"/>
          </w:tcPr>
          <w:p w14:paraId="5989F77B">
            <w:pPr>
              <w:tabs>
                <w:tab w:val="left" w:pos="1069"/>
                <w:tab w:val="left" w:pos="2352"/>
              </w:tabs>
              <w:jc w:val="left"/>
              <w:rPr>
                <w:rFonts w:ascii="宋体" w:hAnsi="宋体" w:cs="宋体"/>
                <w:color w:val="auto"/>
                <w:sz w:val="22"/>
                <w:highlight w:val="none"/>
              </w:rPr>
            </w:pPr>
            <w:r>
              <w:rPr>
                <w:rFonts w:hint="eastAsia" w:ascii="宋体" w:hAnsi="宋体" w:cs="宋体"/>
                <w:color w:val="auto"/>
                <w:sz w:val="22"/>
                <w:highlight w:val="none"/>
              </w:rPr>
              <w:t>13736355866</w:t>
            </w:r>
          </w:p>
        </w:tc>
      </w:tr>
      <w:tr w14:paraId="1ECCCA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73" w:type="dxa"/>
          </w:tcPr>
          <w:p w14:paraId="366558CB">
            <w:pPr>
              <w:pStyle w:val="46"/>
              <w:tabs>
                <w:tab w:val="left" w:pos="1069"/>
                <w:tab w:val="left" w:pos="2352"/>
              </w:tabs>
              <w:spacing w:line="360" w:lineRule="auto"/>
              <w:ind w:firstLine="0" w:firstLineChars="0"/>
              <w:rPr>
                <w:rFonts w:ascii="宋体" w:hAnsi="宋体" w:eastAsia="宋体" w:cs="宋体"/>
                <w:color w:val="auto"/>
                <w:kern w:val="0"/>
                <w:sz w:val="22"/>
                <w:highlight w:val="none"/>
              </w:rPr>
            </w:pPr>
            <w:r>
              <w:rPr>
                <w:rFonts w:hint="eastAsia" w:ascii="宋体" w:hAnsi="宋体" w:eastAsia="宋体" w:cs="宋体"/>
                <w:color w:val="auto"/>
                <w:kern w:val="0"/>
                <w:sz w:val="22"/>
                <w:highlight w:val="none"/>
              </w:rPr>
              <w:t>温州银行股份有限公司鹿城分行</w:t>
            </w:r>
          </w:p>
        </w:tc>
        <w:tc>
          <w:tcPr>
            <w:tcW w:w="4201" w:type="dxa"/>
          </w:tcPr>
          <w:p w14:paraId="7F3B9637">
            <w:pPr>
              <w:tabs>
                <w:tab w:val="left" w:pos="1069"/>
                <w:tab w:val="left" w:pos="2352"/>
              </w:tabs>
              <w:rPr>
                <w:rFonts w:ascii="宋体" w:hAnsi="宋体" w:cs="宋体"/>
                <w:color w:val="auto"/>
                <w:sz w:val="22"/>
                <w:highlight w:val="none"/>
              </w:rPr>
            </w:pPr>
            <w:r>
              <w:rPr>
                <w:rFonts w:hint="eastAsia" w:ascii="宋体" w:hAnsi="宋体" w:cs="宋体"/>
                <w:color w:val="auto"/>
                <w:sz w:val="22"/>
                <w:highlight w:val="none"/>
              </w:rPr>
              <w:t>政采订单贷：1、面向政府采购项目供应商，满足供应商资金周转需求，凭中标通知书即可申请，2、秒知额高，最高可贷500万元，单笔业务金额可贷中标金额的80%，</w:t>
            </w:r>
          </w:p>
          <w:p w14:paraId="32D4B4A9">
            <w:pPr>
              <w:pStyle w:val="45"/>
              <w:tabs>
                <w:tab w:val="left" w:pos="1069"/>
                <w:tab w:val="left" w:pos="2352"/>
              </w:tabs>
              <w:ind w:left="5" w:firstLine="0" w:firstLineChars="0"/>
              <w:rPr>
                <w:rFonts w:ascii="宋体" w:hAnsi="宋体" w:cs="宋体"/>
                <w:color w:val="auto"/>
                <w:sz w:val="22"/>
                <w:highlight w:val="none"/>
              </w:rPr>
            </w:pPr>
            <w:r>
              <w:rPr>
                <w:rFonts w:hint="eastAsia" w:ascii="宋体" w:hAnsi="宋体" w:cs="宋体"/>
                <w:color w:val="auto"/>
                <w:sz w:val="22"/>
                <w:highlight w:val="none"/>
              </w:rPr>
              <w:t>最长期限可贷1年。信保贷：1、额度最高可达500万元</w:t>
            </w:r>
          </w:p>
          <w:p w14:paraId="3383BB87">
            <w:pPr>
              <w:tabs>
                <w:tab w:val="left" w:pos="1069"/>
                <w:tab w:val="left" w:pos="2352"/>
              </w:tabs>
              <w:rPr>
                <w:rFonts w:ascii="宋体" w:hAnsi="宋体" w:cs="宋体"/>
                <w:color w:val="auto"/>
                <w:sz w:val="22"/>
                <w:highlight w:val="none"/>
              </w:rPr>
            </w:pPr>
            <w:r>
              <w:rPr>
                <w:rFonts w:hint="eastAsia" w:ascii="宋体" w:hAnsi="宋体" w:cs="宋体"/>
                <w:color w:val="auto"/>
                <w:sz w:val="22"/>
                <w:highlight w:val="none"/>
              </w:rPr>
              <w:t>2、担保灵活，信用贷款3、贷款年利率至少可享受本单位一般性中小企业信用贷款利率基础上下浮10 %</w:t>
            </w:r>
          </w:p>
        </w:tc>
        <w:tc>
          <w:tcPr>
            <w:tcW w:w="1000" w:type="dxa"/>
          </w:tcPr>
          <w:p w14:paraId="4BF10E70">
            <w:pPr>
              <w:tabs>
                <w:tab w:val="left" w:pos="1069"/>
                <w:tab w:val="left" w:pos="2352"/>
              </w:tabs>
              <w:rPr>
                <w:rFonts w:ascii="宋体" w:hAnsi="宋体" w:cs="宋体"/>
                <w:color w:val="auto"/>
                <w:sz w:val="22"/>
                <w:highlight w:val="none"/>
              </w:rPr>
            </w:pPr>
            <w:r>
              <w:rPr>
                <w:rFonts w:hint="eastAsia" w:ascii="宋体" w:hAnsi="宋体" w:cs="宋体"/>
                <w:color w:val="auto"/>
                <w:sz w:val="22"/>
                <w:highlight w:val="none"/>
              </w:rPr>
              <w:t>戴经理</w:t>
            </w:r>
          </w:p>
        </w:tc>
        <w:tc>
          <w:tcPr>
            <w:tcW w:w="1820" w:type="dxa"/>
          </w:tcPr>
          <w:p w14:paraId="3BD04E9C">
            <w:pPr>
              <w:tabs>
                <w:tab w:val="left" w:pos="1069"/>
                <w:tab w:val="left" w:pos="2352"/>
              </w:tabs>
              <w:rPr>
                <w:rFonts w:ascii="宋体" w:hAnsi="宋体" w:cs="宋体"/>
                <w:color w:val="auto"/>
                <w:sz w:val="22"/>
                <w:highlight w:val="none"/>
              </w:rPr>
            </w:pPr>
            <w:r>
              <w:rPr>
                <w:rFonts w:hint="eastAsia" w:ascii="宋体" w:hAnsi="宋体" w:cs="宋体"/>
                <w:color w:val="auto"/>
                <w:sz w:val="22"/>
                <w:highlight w:val="none"/>
              </w:rPr>
              <w:t>13605772302</w:t>
            </w:r>
          </w:p>
        </w:tc>
      </w:tr>
      <w:tr w14:paraId="1AF98E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73" w:type="dxa"/>
          </w:tcPr>
          <w:p w14:paraId="7167492D">
            <w:pPr>
              <w:pStyle w:val="46"/>
              <w:tabs>
                <w:tab w:val="left" w:pos="1069"/>
                <w:tab w:val="left" w:pos="2352"/>
              </w:tabs>
              <w:spacing w:line="360" w:lineRule="auto"/>
              <w:ind w:firstLine="0" w:firstLineChars="0"/>
              <w:rPr>
                <w:rFonts w:ascii="宋体" w:hAnsi="宋体" w:eastAsia="宋体" w:cs="宋体"/>
                <w:color w:val="auto"/>
                <w:kern w:val="0"/>
                <w:sz w:val="22"/>
                <w:highlight w:val="none"/>
              </w:rPr>
            </w:pPr>
            <w:r>
              <w:rPr>
                <w:rFonts w:hint="eastAsia" w:ascii="宋体" w:hAnsi="宋体" w:eastAsia="宋体" w:cs="宋体"/>
                <w:color w:val="auto"/>
                <w:kern w:val="0"/>
                <w:sz w:val="22"/>
                <w:highlight w:val="none"/>
              </w:rPr>
              <w:t>交通银行股份有限公司温州分行</w:t>
            </w:r>
          </w:p>
        </w:tc>
        <w:tc>
          <w:tcPr>
            <w:tcW w:w="4201" w:type="dxa"/>
          </w:tcPr>
          <w:p w14:paraId="2C23FDB6">
            <w:pPr>
              <w:tabs>
                <w:tab w:val="left" w:pos="1069"/>
                <w:tab w:val="left" w:pos="2352"/>
              </w:tabs>
              <w:autoSpaceDE w:val="0"/>
              <w:autoSpaceDN w:val="0"/>
              <w:adjustRightInd w:val="0"/>
              <w:jc w:val="left"/>
              <w:rPr>
                <w:rFonts w:ascii="宋体" w:hAnsi="宋体" w:cs="宋体"/>
                <w:color w:val="auto"/>
                <w:sz w:val="22"/>
                <w:highlight w:val="none"/>
              </w:rPr>
            </w:pPr>
            <w:r>
              <w:rPr>
                <w:rFonts w:hint="eastAsia" w:ascii="宋体" w:hAnsi="宋体" w:cs="宋体"/>
                <w:color w:val="auto"/>
                <w:sz w:val="22"/>
                <w:highlight w:val="none"/>
              </w:rPr>
              <w:t>手续便捷，授信审批全程上门服务；无需抵押，无抵押贷款一步到位；额度灵活，随借随贷，单户最高2000万元；期限匹配，与付款周期相吻合；利率优惠，本行中小企业信用贷款利率水平至少下浮10%；一对一增值服务方案—您的财富管理银行。</w:t>
            </w:r>
          </w:p>
        </w:tc>
        <w:tc>
          <w:tcPr>
            <w:tcW w:w="1000" w:type="dxa"/>
          </w:tcPr>
          <w:p w14:paraId="48C3A2E2">
            <w:pPr>
              <w:tabs>
                <w:tab w:val="left" w:pos="1069"/>
                <w:tab w:val="left" w:pos="2352"/>
              </w:tabs>
              <w:rPr>
                <w:rFonts w:ascii="宋体" w:hAnsi="宋体" w:cs="宋体"/>
                <w:color w:val="auto"/>
                <w:sz w:val="22"/>
                <w:highlight w:val="none"/>
              </w:rPr>
            </w:pPr>
            <w:r>
              <w:rPr>
                <w:rFonts w:hint="eastAsia" w:ascii="宋体" w:hAnsi="宋体" w:cs="宋体"/>
                <w:color w:val="auto"/>
                <w:sz w:val="22"/>
                <w:highlight w:val="none"/>
              </w:rPr>
              <w:t>缪经理</w:t>
            </w:r>
          </w:p>
        </w:tc>
        <w:tc>
          <w:tcPr>
            <w:tcW w:w="1820" w:type="dxa"/>
          </w:tcPr>
          <w:p w14:paraId="589D0455">
            <w:pPr>
              <w:tabs>
                <w:tab w:val="left" w:pos="1069"/>
                <w:tab w:val="left" w:pos="2352"/>
              </w:tabs>
              <w:rPr>
                <w:rFonts w:ascii="宋体" w:hAnsi="宋体" w:cs="宋体"/>
                <w:color w:val="auto"/>
                <w:sz w:val="22"/>
                <w:highlight w:val="none"/>
              </w:rPr>
            </w:pPr>
            <w:r>
              <w:rPr>
                <w:rFonts w:hint="eastAsia" w:ascii="宋体" w:hAnsi="宋体" w:cs="宋体"/>
                <w:color w:val="auto"/>
                <w:sz w:val="22"/>
                <w:highlight w:val="none"/>
              </w:rPr>
              <w:t>0577-88248454</w:t>
            </w:r>
          </w:p>
        </w:tc>
      </w:tr>
      <w:tr w14:paraId="537CF0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 w:hRule="atLeast"/>
        </w:trPr>
        <w:tc>
          <w:tcPr>
            <w:tcW w:w="2373" w:type="dxa"/>
          </w:tcPr>
          <w:p w14:paraId="74B11971">
            <w:pPr>
              <w:pStyle w:val="46"/>
              <w:tabs>
                <w:tab w:val="left" w:pos="1069"/>
                <w:tab w:val="left" w:pos="2352"/>
              </w:tabs>
              <w:spacing w:line="360" w:lineRule="auto"/>
              <w:ind w:firstLine="0" w:firstLineChars="0"/>
              <w:rPr>
                <w:rFonts w:ascii="宋体" w:hAnsi="宋体" w:eastAsia="宋体" w:cs="宋体"/>
                <w:color w:val="auto"/>
                <w:kern w:val="0"/>
                <w:sz w:val="22"/>
                <w:highlight w:val="none"/>
              </w:rPr>
            </w:pPr>
            <w:r>
              <w:rPr>
                <w:rFonts w:hint="eastAsia" w:ascii="宋体" w:hAnsi="宋体" w:eastAsia="宋体" w:cs="宋体"/>
                <w:color w:val="auto"/>
                <w:kern w:val="0"/>
                <w:sz w:val="22"/>
                <w:highlight w:val="none"/>
              </w:rPr>
              <w:t>上海浦东发展银行股份有限公司温州分行</w:t>
            </w:r>
          </w:p>
        </w:tc>
        <w:tc>
          <w:tcPr>
            <w:tcW w:w="4201" w:type="dxa"/>
          </w:tcPr>
          <w:p w14:paraId="5E6E3E5E">
            <w:pPr>
              <w:tabs>
                <w:tab w:val="left" w:pos="1069"/>
                <w:tab w:val="left" w:pos="2352"/>
              </w:tabs>
              <w:jc w:val="left"/>
              <w:rPr>
                <w:rFonts w:ascii="宋体" w:hAnsi="宋体" w:cs="宋体"/>
                <w:bCs/>
                <w:color w:val="auto"/>
                <w:sz w:val="22"/>
                <w:highlight w:val="none"/>
              </w:rPr>
            </w:pPr>
            <w:r>
              <w:rPr>
                <w:rFonts w:hint="eastAsia" w:ascii="宋体" w:hAnsi="宋体" w:cs="宋体"/>
                <w:bCs/>
                <w:color w:val="auto"/>
                <w:sz w:val="22"/>
                <w:highlight w:val="none"/>
              </w:rPr>
              <w:t>政采e贷：是浦发银行面向温州地区经营状况良好的小微企业政府采购项目供应商所提供的专属政府采购订单融资产品。产品特点：纯信用、免担保、门槛低、授信快、在线贷、秒放款</w:t>
            </w:r>
          </w:p>
          <w:p w14:paraId="07D869E6">
            <w:pPr>
              <w:shd w:val="clear" w:color="auto" w:fill="FFFFFF"/>
              <w:tabs>
                <w:tab w:val="left" w:pos="1069"/>
                <w:tab w:val="left" w:pos="2352"/>
              </w:tabs>
              <w:jc w:val="left"/>
              <w:rPr>
                <w:rFonts w:ascii="宋体" w:hAnsi="宋体" w:cs="宋体"/>
                <w:color w:val="auto"/>
                <w:sz w:val="22"/>
                <w:highlight w:val="none"/>
              </w:rPr>
            </w:pPr>
            <w:r>
              <w:rPr>
                <w:rFonts w:hint="eastAsia" w:ascii="宋体" w:hAnsi="宋体" w:cs="宋体"/>
                <w:bCs/>
                <w:color w:val="auto"/>
                <w:sz w:val="22"/>
                <w:highlight w:val="none"/>
              </w:rPr>
              <w:t>所需材料：企业基础证件、相关中标文件（中标通知书 、采购合同等）、其他必要文件</w:t>
            </w:r>
          </w:p>
        </w:tc>
        <w:tc>
          <w:tcPr>
            <w:tcW w:w="1000" w:type="dxa"/>
          </w:tcPr>
          <w:p w14:paraId="4B37DE2E">
            <w:pPr>
              <w:tabs>
                <w:tab w:val="left" w:pos="1069"/>
                <w:tab w:val="left" w:pos="2352"/>
              </w:tabs>
              <w:rPr>
                <w:rFonts w:ascii="宋体" w:hAnsi="宋体" w:cs="宋体"/>
                <w:color w:val="auto"/>
                <w:sz w:val="22"/>
                <w:highlight w:val="none"/>
              </w:rPr>
            </w:pPr>
            <w:r>
              <w:rPr>
                <w:rFonts w:hint="eastAsia" w:ascii="宋体" w:hAnsi="宋体" w:cs="宋体"/>
                <w:color w:val="auto"/>
                <w:sz w:val="22"/>
                <w:highlight w:val="none"/>
              </w:rPr>
              <w:t>叶经理</w:t>
            </w:r>
          </w:p>
        </w:tc>
        <w:tc>
          <w:tcPr>
            <w:tcW w:w="1820" w:type="dxa"/>
          </w:tcPr>
          <w:p w14:paraId="7D8A74AF">
            <w:pPr>
              <w:tabs>
                <w:tab w:val="left" w:pos="1069"/>
                <w:tab w:val="left" w:pos="2352"/>
              </w:tabs>
              <w:jc w:val="left"/>
              <w:rPr>
                <w:rFonts w:ascii="宋体" w:hAnsi="宋体" w:cs="宋体"/>
                <w:color w:val="auto"/>
                <w:sz w:val="22"/>
                <w:highlight w:val="none"/>
              </w:rPr>
            </w:pPr>
            <w:r>
              <w:rPr>
                <w:rFonts w:hint="eastAsia" w:ascii="宋体" w:hAnsi="宋体" w:cs="宋体"/>
                <w:color w:val="auto"/>
                <w:sz w:val="22"/>
                <w:highlight w:val="none"/>
              </w:rPr>
              <w:t>0577-55570829</w:t>
            </w:r>
          </w:p>
          <w:p w14:paraId="5645322A">
            <w:pPr>
              <w:tabs>
                <w:tab w:val="left" w:pos="1069"/>
                <w:tab w:val="left" w:pos="2352"/>
              </w:tabs>
              <w:jc w:val="left"/>
              <w:rPr>
                <w:rFonts w:ascii="宋体" w:hAnsi="宋体" w:cs="宋体"/>
                <w:color w:val="auto"/>
                <w:sz w:val="22"/>
                <w:highlight w:val="none"/>
              </w:rPr>
            </w:pPr>
          </w:p>
        </w:tc>
      </w:tr>
    </w:tbl>
    <w:p w14:paraId="05BC043D">
      <w:pPr>
        <w:tabs>
          <w:tab w:val="left" w:pos="1069"/>
          <w:tab w:val="left" w:pos="2352"/>
        </w:tabs>
        <w:snapToGrid w:val="0"/>
        <w:spacing w:line="460" w:lineRule="atLeast"/>
        <w:ind w:firstLine="440" w:firstLineChars="200"/>
        <w:jc w:val="left"/>
        <w:rPr>
          <w:rFonts w:ascii="宋体" w:hAnsi="宋体" w:cs="宋体"/>
          <w:color w:val="auto"/>
          <w:sz w:val="22"/>
          <w:highlight w:val="none"/>
        </w:rPr>
      </w:pPr>
    </w:p>
    <w:p w14:paraId="495CED34">
      <w:pPr>
        <w:tabs>
          <w:tab w:val="left" w:pos="1069"/>
          <w:tab w:val="left" w:pos="2352"/>
        </w:tabs>
        <w:jc w:val="center"/>
        <w:rPr>
          <w:rFonts w:ascii="宋体" w:hAnsi="宋体" w:cs="宋体"/>
          <w:color w:val="auto"/>
          <w:sz w:val="22"/>
          <w:highlight w:val="none"/>
        </w:rPr>
      </w:pPr>
      <w:r>
        <w:rPr>
          <w:rFonts w:hint="eastAsia" w:ascii="宋体" w:hAnsi="宋体" w:cs="宋体"/>
          <w:b/>
          <w:bCs/>
          <w:color w:val="auto"/>
          <w:sz w:val="28"/>
          <w:szCs w:val="28"/>
          <w:highlight w:val="none"/>
        </w:rPr>
        <w:t>温州市政府采购信用融资意向银行选择表</w:t>
      </w:r>
    </w:p>
    <w:p w14:paraId="666B45EF">
      <w:pPr>
        <w:tabs>
          <w:tab w:val="left" w:pos="1069"/>
          <w:tab w:val="left" w:pos="2352"/>
        </w:tabs>
        <w:jc w:val="center"/>
        <w:rPr>
          <w:rFonts w:ascii="宋体" w:hAnsi="宋体" w:cs="宋体"/>
          <w:color w:val="auto"/>
          <w:sz w:val="22"/>
          <w:highlight w:val="none"/>
        </w:rPr>
      </w:pPr>
      <w:r>
        <w:rPr>
          <w:rFonts w:hint="eastAsia" w:ascii="宋体" w:hAnsi="宋体" w:cs="宋体"/>
          <w:color w:val="auto"/>
          <w:sz w:val="22"/>
          <w:highlight w:val="none"/>
        </w:rPr>
        <w:t>（温州市供应商填写）</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8"/>
        <w:gridCol w:w="2268"/>
        <w:gridCol w:w="1417"/>
        <w:gridCol w:w="851"/>
        <w:gridCol w:w="1559"/>
        <w:gridCol w:w="2126"/>
      </w:tblGrid>
      <w:tr w14:paraId="3AA2D8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 w:hRule="atLeast"/>
        </w:trPr>
        <w:tc>
          <w:tcPr>
            <w:tcW w:w="1668" w:type="dxa"/>
          </w:tcPr>
          <w:p w14:paraId="4614F9DA">
            <w:pPr>
              <w:pStyle w:val="46"/>
              <w:tabs>
                <w:tab w:val="left" w:pos="1069"/>
                <w:tab w:val="left" w:pos="2352"/>
              </w:tabs>
              <w:spacing w:line="360" w:lineRule="auto"/>
              <w:ind w:firstLine="0" w:firstLineChars="0"/>
              <w:jc w:val="center"/>
              <w:rPr>
                <w:rFonts w:ascii="宋体" w:hAnsi="宋体" w:eastAsia="宋体" w:cs="宋体"/>
                <w:color w:val="auto"/>
                <w:kern w:val="0"/>
                <w:sz w:val="22"/>
                <w:highlight w:val="none"/>
              </w:rPr>
            </w:pPr>
            <w:r>
              <w:rPr>
                <w:rFonts w:hint="eastAsia" w:ascii="宋体" w:hAnsi="宋体" w:eastAsia="宋体" w:cs="宋体"/>
                <w:color w:val="auto"/>
                <w:kern w:val="0"/>
                <w:sz w:val="22"/>
                <w:highlight w:val="none"/>
              </w:rPr>
              <w:t>企业名称</w:t>
            </w:r>
          </w:p>
        </w:tc>
        <w:tc>
          <w:tcPr>
            <w:tcW w:w="8221" w:type="dxa"/>
            <w:gridSpan w:val="5"/>
          </w:tcPr>
          <w:p w14:paraId="61B64EF9">
            <w:pPr>
              <w:pStyle w:val="46"/>
              <w:tabs>
                <w:tab w:val="left" w:pos="1069"/>
                <w:tab w:val="left" w:pos="2352"/>
              </w:tabs>
              <w:spacing w:line="360" w:lineRule="auto"/>
              <w:ind w:firstLine="0" w:firstLineChars="0"/>
              <w:jc w:val="center"/>
              <w:rPr>
                <w:rFonts w:ascii="宋体" w:hAnsi="宋体" w:eastAsia="宋体" w:cs="宋体"/>
                <w:color w:val="auto"/>
                <w:kern w:val="0"/>
                <w:sz w:val="22"/>
                <w:highlight w:val="none"/>
              </w:rPr>
            </w:pPr>
          </w:p>
        </w:tc>
      </w:tr>
      <w:tr w14:paraId="7D2A09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 w:hRule="atLeast"/>
        </w:trPr>
        <w:tc>
          <w:tcPr>
            <w:tcW w:w="1668" w:type="dxa"/>
          </w:tcPr>
          <w:p w14:paraId="0690A2CD">
            <w:pPr>
              <w:pStyle w:val="46"/>
              <w:tabs>
                <w:tab w:val="left" w:pos="1069"/>
                <w:tab w:val="left" w:pos="2352"/>
              </w:tabs>
              <w:spacing w:line="360" w:lineRule="auto"/>
              <w:ind w:firstLine="0" w:firstLineChars="0"/>
              <w:jc w:val="center"/>
              <w:rPr>
                <w:rFonts w:ascii="宋体" w:hAnsi="宋体" w:eastAsia="宋体" w:cs="宋体"/>
                <w:color w:val="auto"/>
                <w:kern w:val="0"/>
                <w:sz w:val="22"/>
                <w:highlight w:val="none"/>
              </w:rPr>
            </w:pPr>
            <w:r>
              <w:rPr>
                <w:rFonts w:hint="eastAsia" w:ascii="宋体" w:hAnsi="宋体" w:eastAsia="宋体" w:cs="宋体"/>
                <w:color w:val="auto"/>
                <w:kern w:val="0"/>
                <w:sz w:val="22"/>
                <w:highlight w:val="none"/>
              </w:rPr>
              <w:t>企业注册地</w:t>
            </w:r>
          </w:p>
        </w:tc>
        <w:tc>
          <w:tcPr>
            <w:tcW w:w="3685" w:type="dxa"/>
            <w:gridSpan w:val="2"/>
          </w:tcPr>
          <w:p w14:paraId="7854DA8D">
            <w:pPr>
              <w:pStyle w:val="46"/>
              <w:tabs>
                <w:tab w:val="left" w:pos="1069"/>
                <w:tab w:val="left" w:pos="2352"/>
              </w:tabs>
              <w:spacing w:line="360" w:lineRule="auto"/>
              <w:ind w:firstLine="0" w:firstLineChars="0"/>
              <w:jc w:val="center"/>
              <w:rPr>
                <w:rFonts w:ascii="宋体" w:hAnsi="宋体" w:eastAsia="宋体" w:cs="宋体"/>
                <w:color w:val="auto"/>
                <w:kern w:val="0"/>
                <w:sz w:val="22"/>
                <w:highlight w:val="none"/>
              </w:rPr>
            </w:pPr>
          </w:p>
        </w:tc>
        <w:tc>
          <w:tcPr>
            <w:tcW w:w="2410" w:type="dxa"/>
            <w:gridSpan w:val="2"/>
          </w:tcPr>
          <w:p w14:paraId="0C083B53">
            <w:pPr>
              <w:pStyle w:val="46"/>
              <w:tabs>
                <w:tab w:val="left" w:pos="1069"/>
                <w:tab w:val="left" w:pos="2352"/>
              </w:tabs>
              <w:spacing w:line="360" w:lineRule="auto"/>
              <w:ind w:firstLine="0" w:firstLineChars="0"/>
              <w:jc w:val="center"/>
              <w:rPr>
                <w:rFonts w:ascii="宋体" w:hAnsi="宋体" w:eastAsia="宋体" w:cs="宋体"/>
                <w:color w:val="auto"/>
                <w:kern w:val="0"/>
                <w:sz w:val="22"/>
                <w:highlight w:val="none"/>
              </w:rPr>
            </w:pPr>
            <w:r>
              <w:rPr>
                <w:rFonts w:hint="eastAsia" w:ascii="宋体" w:hAnsi="宋体" w:eastAsia="宋体" w:cs="宋体"/>
                <w:color w:val="auto"/>
                <w:kern w:val="0"/>
                <w:sz w:val="22"/>
                <w:highlight w:val="none"/>
              </w:rPr>
              <w:t>是否有融资意向</w:t>
            </w:r>
          </w:p>
        </w:tc>
        <w:tc>
          <w:tcPr>
            <w:tcW w:w="2126" w:type="dxa"/>
          </w:tcPr>
          <w:p w14:paraId="0FD1F06F">
            <w:pPr>
              <w:pStyle w:val="46"/>
              <w:tabs>
                <w:tab w:val="left" w:pos="1069"/>
                <w:tab w:val="left" w:pos="2352"/>
              </w:tabs>
              <w:spacing w:line="360" w:lineRule="auto"/>
              <w:ind w:firstLine="0" w:firstLineChars="0"/>
              <w:jc w:val="center"/>
              <w:rPr>
                <w:rFonts w:ascii="宋体" w:hAnsi="宋体" w:eastAsia="宋体" w:cs="宋体"/>
                <w:color w:val="auto"/>
                <w:kern w:val="0"/>
                <w:sz w:val="22"/>
                <w:highlight w:val="none"/>
              </w:rPr>
            </w:pPr>
          </w:p>
        </w:tc>
      </w:tr>
      <w:tr w14:paraId="4EF0E3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1668" w:type="dxa"/>
          </w:tcPr>
          <w:p w14:paraId="42C318D4">
            <w:pPr>
              <w:pStyle w:val="46"/>
              <w:tabs>
                <w:tab w:val="left" w:pos="1069"/>
                <w:tab w:val="left" w:pos="2352"/>
              </w:tabs>
              <w:spacing w:line="360" w:lineRule="auto"/>
              <w:ind w:firstLine="0" w:firstLineChars="0"/>
              <w:jc w:val="center"/>
              <w:rPr>
                <w:rFonts w:ascii="宋体" w:hAnsi="宋体" w:eastAsia="宋体" w:cs="宋体"/>
                <w:color w:val="auto"/>
                <w:kern w:val="0"/>
                <w:sz w:val="22"/>
                <w:highlight w:val="none"/>
              </w:rPr>
            </w:pPr>
            <w:r>
              <w:rPr>
                <w:rFonts w:hint="eastAsia" w:ascii="宋体" w:hAnsi="宋体" w:eastAsia="宋体" w:cs="宋体"/>
                <w:color w:val="auto"/>
                <w:kern w:val="0"/>
                <w:sz w:val="22"/>
                <w:highlight w:val="none"/>
              </w:rPr>
              <w:t>融资联系人</w:t>
            </w:r>
          </w:p>
        </w:tc>
        <w:tc>
          <w:tcPr>
            <w:tcW w:w="2268" w:type="dxa"/>
          </w:tcPr>
          <w:p w14:paraId="66F9065E">
            <w:pPr>
              <w:pStyle w:val="46"/>
              <w:tabs>
                <w:tab w:val="left" w:pos="1069"/>
                <w:tab w:val="left" w:pos="2352"/>
              </w:tabs>
              <w:spacing w:line="360" w:lineRule="auto"/>
              <w:ind w:firstLine="0" w:firstLineChars="0"/>
              <w:jc w:val="center"/>
              <w:rPr>
                <w:rFonts w:ascii="宋体" w:hAnsi="宋体" w:eastAsia="宋体" w:cs="宋体"/>
                <w:color w:val="auto"/>
                <w:kern w:val="0"/>
                <w:sz w:val="22"/>
                <w:highlight w:val="none"/>
              </w:rPr>
            </w:pPr>
          </w:p>
        </w:tc>
        <w:tc>
          <w:tcPr>
            <w:tcW w:w="2268" w:type="dxa"/>
            <w:gridSpan w:val="2"/>
          </w:tcPr>
          <w:p w14:paraId="2D4F46FC">
            <w:pPr>
              <w:pStyle w:val="46"/>
              <w:tabs>
                <w:tab w:val="left" w:pos="1069"/>
                <w:tab w:val="left" w:pos="2352"/>
              </w:tabs>
              <w:spacing w:line="360" w:lineRule="auto"/>
              <w:ind w:firstLine="0" w:firstLineChars="0"/>
              <w:jc w:val="center"/>
              <w:rPr>
                <w:rFonts w:ascii="宋体" w:hAnsi="宋体" w:eastAsia="宋体" w:cs="宋体"/>
                <w:color w:val="auto"/>
                <w:kern w:val="0"/>
                <w:sz w:val="22"/>
                <w:highlight w:val="none"/>
              </w:rPr>
            </w:pPr>
            <w:r>
              <w:rPr>
                <w:rFonts w:hint="eastAsia" w:ascii="宋体" w:hAnsi="宋体" w:eastAsia="宋体" w:cs="宋体"/>
                <w:color w:val="auto"/>
                <w:kern w:val="0"/>
                <w:sz w:val="22"/>
                <w:highlight w:val="none"/>
              </w:rPr>
              <w:t>联系方式</w:t>
            </w:r>
          </w:p>
        </w:tc>
        <w:tc>
          <w:tcPr>
            <w:tcW w:w="3685" w:type="dxa"/>
            <w:gridSpan w:val="2"/>
          </w:tcPr>
          <w:p w14:paraId="37C79074">
            <w:pPr>
              <w:pStyle w:val="46"/>
              <w:tabs>
                <w:tab w:val="left" w:pos="1069"/>
                <w:tab w:val="left" w:pos="2352"/>
              </w:tabs>
              <w:spacing w:line="360" w:lineRule="auto"/>
              <w:ind w:firstLine="0" w:firstLineChars="0"/>
              <w:jc w:val="center"/>
              <w:rPr>
                <w:rFonts w:ascii="宋体" w:hAnsi="宋体" w:eastAsia="宋体" w:cs="宋体"/>
                <w:color w:val="auto"/>
                <w:kern w:val="0"/>
                <w:sz w:val="22"/>
                <w:highlight w:val="none"/>
              </w:rPr>
            </w:pPr>
          </w:p>
        </w:tc>
      </w:tr>
      <w:tr w14:paraId="078604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 w:hRule="atLeast"/>
        </w:trPr>
        <w:tc>
          <w:tcPr>
            <w:tcW w:w="6204" w:type="dxa"/>
            <w:gridSpan w:val="4"/>
            <w:vAlign w:val="center"/>
          </w:tcPr>
          <w:p w14:paraId="7D3257DD">
            <w:pPr>
              <w:pStyle w:val="46"/>
              <w:tabs>
                <w:tab w:val="left" w:pos="1069"/>
                <w:tab w:val="left" w:pos="2352"/>
              </w:tabs>
              <w:spacing w:line="360" w:lineRule="auto"/>
              <w:ind w:firstLine="0" w:firstLineChars="0"/>
              <w:jc w:val="center"/>
              <w:rPr>
                <w:rFonts w:ascii="宋体" w:hAnsi="宋体" w:eastAsia="宋体" w:cs="宋体"/>
                <w:color w:val="auto"/>
                <w:kern w:val="0"/>
                <w:sz w:val="22"/>
                <w:highlight w:val="none"/>
              </w:rPr>
            </w:pPr>
            <w:r>
              <w:rPr>
                <w:rFonts w:hint="eastAsia" w:ascii="宋体" w:hAnsi="宋体" w:eastAsia="宋体" w:cs="宋体"/>
                <w:color w:val="auto"/>
                <w:kern w:val="0"/>
                <w:sz w:val="22"/>
                <w:highlight w:val="none"/>
              </w:rPr>
              <w:t>温州市政府采购信用融资合作银行</w:t>
            </w:r>
          </w:p>
        </w:tc>
        <w:tc>
          <w:tcPr>
            <w:tcW w:w="3685" w:type="dxa"/>
            <w:gridSpan w:val="2"/>
          </w:tcPr>
          <w:p w14:paraId="7F562180">
            <w:pPr>
              <w:pStyle w:val="46"/>
              <w:tabs>
                <w:tab w:val="left" w:pos="1069"/>
                <w:tab w:val="left" w:pos="2352"/>
              </w:tabs>
              <w:spacing w:line="360" w:lineRule="auto"/>
              <w:ind w:firstLine="0" w:firstLineChars="0"/>
              <w:jc w:val="center"/>
              <w:rPr>
                <w:rFonts w:ascii="宋体" w:hAnsi="宋体" w:eastAsia="宋体" w:cs="宋体"/>
                <w:color w:val="auto"/>
                <w:kern w:val="0"/>
                <w:sz w:val="22"/>
                <w:highlight w:val="none"/>
              </w:rPr>
            </w:pPr>
            <w:r>
              <w:rPr>
                <w:rFonts w:hint="eastAsia" w:ascii="宋体" w:hAnsi="宋体" w:eastAsia="宋体" w:cs="宋体"/>
                <w:color w:val="auto"/>
                <w:kern w:val="0"/>
                <w:sz w:val="22"/>
                <w:highlight w:val="none"/>
              </w:rPr>
              <w:t>选择作为意向融资银行（可多选）</w:t>
            </w:r>
          </w:p>
        </w:tc>
      </w:tr>
      <w:tr w14:paraId="2220E3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 w:hRule="atLeast"/>
        </w:trPr>
        <w:tc>
          <w:tcPr>
            <w:tcW w:w="6204" w:type="dxa"/>
            <w:gridSpan w:val="4"/>
          </w:tcPr>
          <w:p w14:paraId="39E038D8">
            <w:pPr>
              <w:pStyle w:val="46"/>
              <w:tabs>
                <w:tab w:val="left" w:pos="1069"/>
                <w:tab w:val="left" w:pos="2352"/>
              </w:tabs>
              <w:spacing w:line="360" w:lineRule="auto"/>
              <w:ind w:firstLine="0" w:firstLineChars="0"/>
              <w:rPr>
                <w:rFonts w:ascii="宋体" w:hAnsi="宋体" w:eastAsia="宋体" w:cs="宋体"/>
                <w:color w:val="auto"/>
                <w:kern w:val="0"/>
                <w:sz w:val="22"/>
                <w:highlight w:val="none"/>
              </w:rPr>
            </w:pPr>
            <w:r>
              <w:rPr>
                <w:rFonts w:hint="eastAsia" w:ascii="宋体" w:hAnsi="宋体" w:eastAsia="宋体" w:cs="宋体"/>
                <w:color w:val="auto"/>
                <w:kern w:val="0"/>
                <w:sz w:val="22"/>
                <w:highlight w:val="none"/>
              </w:rPr>
              <w:t>温州银行股份有限公司温州分行</w:t>
            </w:r>
          </w:p>
        </w:tc>
        <w:tc>
          <w:tcPr>
            <w:tcW w:w="3685" w:type="dxa"/>
            <w:gridSpan w:val="2"/>
          </w:tcPr>
          <w:p w14:paraId="1871D7FA">
            <w:pPr>
              <w:pStyle w:val="46"/>
              <w:tabs>
                <w:tab w:val="left" w:pos="1069"/>
                <w:tab w:val="left" w:pos="2352"/>
              </w:tabs>
              <w:spacing w:line="360" w:lineRule="auto"/>
              <w:ind w:firstLine="0" w:firstLineChars="0"/>
              <w:rPr>
                <w:rFonts w:ascii="宋体" w:hAnsi="宋体" w:eastAsia="宋体" w:cs="宋体"/>
                <w:color w:val="auto"/>
                <w:kern w:val="0"/>
                <w:sz w:val="22"/>
                <w:highlight w:val="none"/>
              </w:rPr>
            </w:pPr>
          </w:p>
        </w:tc>
      </w:tr>
      <w:tr w14:paraId="789BB1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 w:hRule="atLeast"/>
        </w:trPr>
        <w:tc>
          <w:tcPr>
            <w:tcW w:w="6204" w:type="dxa"/>
            <w:gridSpan w:val="4"/>
          </w:tcPr>
          <w:p w14:paraId="1B93C3FE">
            <w:pPr>
              <w:pStyle w:val="46"/>
              <w:tabs>
                <w:tab w:val="left" w:pos="1069"/>
                <w:tab w:val="left" w:pos="2352"/>
              </w:tabs>
              <w:spacing w:line="360" w:lineRule="auto"/>
              <w:ind w:firstLine="0" w:firstLineChars="0"/>
              <w:rPr>
                <w:rFonts w:ascii="宋体" w:hAnsi="宋体" w:eastAsia="宋体" w:cs="宋体"/>
                <w:color w:val="auto"/>
                <w:kern w:val="0"/>
                <w:sz w:val="22"/>
                <w:highlight w:val="none"/>
              </w:rPr>
            </w:pPr>
            <w:r>
              <w:rPr>
                <w:rFonts w:hint="eastAsia" w:ascii="宋体" w:hAnsi="宋体" w:eastAsia="宋体" w:cs="宋体"/>
                <w:color w:val="auto"/>
                <w:kern w:val="0"/>
                <w:sz w:val="22"/>
                <w:highlight w:val="none"/>
              </w:rPr>
              <w:t>温州银行股份有限公司鹿城分行</w:t>
            </w:r>
          </w:p>
        </w:tc>
        <w:tc>
          <w:tcPr>
            <w:tcW w:w="3685" w:type="dxa"/>
            <w:gridSpan w:val="2"/>
          </w:tcPr>
          <w:p w14:paraId="1FA06D0F">
            <w:pPr>
              <w:pStyle w:val="46"/>
              <w:tabs>
                <w:tab w:val="left" w:pos="1069"/>
                <w:tab w:val="left" w:pos="2352"/>
              </w:tabs>
              <w:spacing w:line="360" w:lineRule="auto"/>
              <w:ind w:firstLine="0" w:firstLineChars="0"/>
              <w:rPr>
                <w:rFonts w:ascii="宋体" w:hAnsi="宋体" w:eastAsia="宋体" w:cs="宋体"/>
                <w:color w:val="auto"/>
                <w:kern w:val="0"/>
                <w:sz w:val="22"/>
                <w:highlight w:val="none"/>
              </w:rPr>
            </w:pPr>
          </w:p>
        </w:tc>
      </w:tr>
      <w:tr w14:paraId="415F0F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04" w:type="dxa"/>
            <w:gridSpan w:val="4"/>
          </w:tcPr>
          <w:p w14:paraId="3438D402">
            <w:pPr>
              <w:pStyle w:val="46"/>
              <w:tabs>
                <w:tab w:val="left" w:pos="1069"/>
                <w:tab w:val="left" w:pos="2352"/>
              </w:tabs>
              <w:spacing w:line="360" w:lineRule="auto"/>
              <w:ind w:firstLine="0" w:firstLineChars="0"/>
              <w:rPr>
                <w:rFonts w:ascii="宋体" w:hAnsi="宋体" w:eastAsia="宋体" w:cs="宋体"/>
                <w:color w:val="auto"/>
                <w:kern w:val="0"/>
                <w:sz w:val="22"/>
                <w:highlight w:val="none"/>
              </w:rPr>
            </w:pPr>
            <w:r>
              <w:rPr>
                <w:rFonts w:hint="eastAsia" w:ascii="宋体" w:hAnsi="宋体" w:eastAsia="宋体" w:cs="宋体"/>
                <w:color w:val="auto"/>
                <w:kern w:val="0"/>
                <w:sz w:val="22"/>
                <w:highlight w:val="none"/>
              </w:rPr>
              <w:t>中国工商银行股份有限公司温州分行</w:t>
            </w:r>
          </w:p>
        </w:tc>
        <w:tc>
          <w:tcPr>
            <w:tcW w:w="3685" w:type="dxa"/>
            <w:gridSpan w:val="2"/>
          </w:tcPr>
          <w:p w14:paraId="51F87A62">
            <w:pPr>
              <w:pStyle w:val="46"/>
              <w:tabs>
                <w:tab w:val="left" w:pos="1069"/>
                <w:tab w:val="left" w:pos="2352"/>
              </w:tabs>
              <w:spacing w:line="360" w:lineRule="auto"/>
              <w:ind w:firstLine="0" w:firstLineChars="0"/>
              <w:rPr>
                <w:rFonts w:ascii="宋体" w:hAnsi="宋体" w:eastAsia="宋体" w:cs="宋体"/>
                <w:color w:val="auto"/>
                <w:kern w:val="0"/>
                <w:sz w:val="22"/>
                <w:highlight w:val="none"/>
              </w:rPr>
            </w:pPr>
          </w:p>
        </w:tc>
      </w:tr>
      <w:tr w14:paraId="5B7059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trPr>
        <w:tc>
          <w:tcPr>
            <w:tcW w:w="6204" w:type="dxa"/>
            <w:gridSpan w:val="4"/>
          </w:tcPr>
          <w:p w14:paraId="642CE07D">
            <w:pPr>
              <w:tabs>
                <w:tab w:val="left" w:pos="1069"/>
                <w:tab w:val="left" w:pos="2352"/>
              </w:tabs>
              <w:rPr>
                <w:rFonts w:ascii="宋体" w:hAnsi="宋体" w:cs="宋体"/>
                <w:color w:val="auto"/>
                <w:sz w:val="22"/>
                <w:highlight w:val="none"/>
              </w:rPr>
            </w:pPr>
            <w:r>
              <w:rPr>
                <w:rFonts w:hint="eastAsia" w:ascii="宋体" w:hAnsi="宋体" w:cs="宋体"/>
                <w:color w:val="auto"/>
                <w:sz w:val="22"/>
                <w:highlight w:val="none"/>
              </w:rPr>
              <w:t>中国建设银行股份有限公司温州分行</w:t>
            </w:r>
          </w:p>
        </w:tc>
        <w:tc>
          <w:tcPr>
            <w:tcW w:w="3685" w:type="dxa"/>
            <w:gridSpan w:val="2"/>
          </w:tcPr>
          <w:p w14:paraId="0DA79318">
            <w:pPr>
              <w:tabs>
                <w:tab w:val="left" w:pos="1069"/>
                <w:tab w:val="left" w:pos="2352"/>
              </w:tabs>
              <w:rPr>
                <w:rFonts w:ascii="宋体" w:hAnsi="宋体" w:cs="宋体"/>
                <w:color w:val="auto"/>
                <w:sz w:val="22"/>
                <w:highlight w:val="none"/>
              </w:rPr>
            </w:pPr>
          </w:p>
        </w:tc>
      </w:tr>
      <w:tr w14:paraId="3F57C0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04" w:type="dxa"/>
            <w:gridSpan w:val="4"/>
          </w:tcPr>
          <w:p w14:paraId="320FF025">
            <w:pPr>
              <w:pStyle w:val="46"/>
              <w:tabs>
                <w:tab w:val="left" w:pos="1069"/>
                <w:tab w:val="left" w:pos="2352"/>
              </w:tabs>
              <w:spacing w:line="360" w:lineRule="auto"/>
              <w:ind w:firstLine="0" w:firstLineChars="0"/>
              <w:rPr>
                <w:rFonts w:ascii="宋体" w:hAnsi="宋体" w:eastAsia="宋体" w:cs="宋体"/>
                <w:color w:val="auto"/>
                <w:kern w:val="0"/>
                <w:sz w:val="22"/>
                <w:highlight w:val="none"/>
              </w:rPr>
            </w:pPr>
            <w:r>
              <w:rPr>
                <w:rFonts w:hint="eastAsia" w:ascii="宋体" w:hAnsi="宋体" w:eastAsia="宋体" w:cs="宋体"/>
                <w:color w:val="auto"/>
                <w:kern w:val="0"/>
                <w:sz w:val="22"/>
                <w:highlight w:val="none"/>
              </w:rPr>
              <w:t>中国邮政储蓄银行股份有限公司温州市分行</w:t>
            </w:r>
          </w:p>
        </w:tc>
        <w:tc>
          <w:tcPr>
            <w:tcW w:w="3685" w:type="dxa"/>
            <w:gridSpan w:val="2"/>
          </w:tcPr>
          <w:p w14:paraId="2A350959">
            <w:pPr>
              <w:pStyle w:val="46"/>
              <w:tabs>
                <w:tab w:val="left" w:pos="1069"/>
                <w:tab w:val="left" w:pos="2352"/>
              </w:tabs>
              <w:spacing w:line="360" w:lineRule="auto"/>
              <w:ind w:firstLine="0" w:firstLineChars="0"/>
              <w:rPr>
                <w:rFonts w:ascii="宋体" w:hAnsi="宋体" w:eastAsia="宋体" w:cs="宋体"/>
                <w:color w:val="auto"/>
                <w:kern w:val="0"/>
                <w:sz w:val="22"/>
                <w:highlight w:val="none"/>
              </w:rPr>
            </w:pPr>
          </w:p>
        </w:tc>
      </w:tr>
      <w:tr w14:paraId="197870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04" w:type="dxa"/>
            <w:gridSpan w:val="4"/>
          </w:tcPr>
          <w:p w14:paraId="5357B5F0">
            <w:pPr>
              <w:pStyle w:val="46"/>
              <w:tabs>
                <w:tab w:val="left" w:pos="1069"/>
                <w:tab w:val="left" w:pos="2352"/>
              </w:tabs>
              <w:spacing w:line="360" w:lineRule="auto"/>
              <w:ind w:firstLine="0" w:firstLineChars="0"/>
              <w:rPr>
                <w:rFonts w:ascii="宋体" w:hAnsi="宋体" w:eastAsia="宋体" w:cs="宋体"/>
                <w:color w:val="auto"/>
                <w:kern w:val="0"/>
                <w:sz w:val="22"/>
                <w:highlight w:val="none"/>
              </w:rPr>
            </w:pPr>
            <w:r>
              <w:rPr>
                <w:rFonts w:hint="eastAsia" w:ascii="宋体" w:hAnsi="宋体" w:eastAsia="宋体" w:cs="宋体"/>
                <w:color w:val="auto"/>
                <w:kern w:val="0"/>
                <w:sz w:val="22"/>
                <w:highlight w:val="none"/>
              </w:rPr>
              <w:t>中国民生银行股份有限公司温州分行</w:t>
            </w:r>
          </w:p>
        </w:tc>
        <w:tc>
          <w:tcPr>
            <w:tcW w:w="3685" w:type="dxa"/>
            <w:gridSpan w:val="2"/>
          </w:tcPr>
          <w:p w14:paraId="385EE027">
            <w:pPr>
              <w:pStyle w:val="46"/>
              <w:tabs>
                <w:tab w:val="left" w:pos="1069"/>
                <w:tab w:val="left" w:pos="2352"/>
              </w:tabs>
              <w:spacing w:line="360" w:lineRule="auto"/>
              <w:ind w:firstLine="0" w:firstLineChars="0"/>
              <w:rPr>
                <w:rFonts w:ascii="宋体" w:hAnsi="宋体" w:eastAsia="宋体" w:cs="宋体"/>
                <w:color w:val="auto"/>
                <w:kern w:val="0"/>
                <w:sz w:val="22"/>
                <w:highlight w:val="none"/>
              </w:rPr>
            </w:pPr>
          </w:p>
        </w:tc>
      </w:tr>
      <w:tr w14:paraId="4B06EC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04" w:type="dxa"/>
            <w:gridSpan w:val="4"/>
          </w:tcPr>
          <w:p w14:paraId="5655FA98">
            <w:pPr>
              <w:pStyle w:val="46"/>
              <w:tabs>
                <w:tab w:val="left" w:pos="1069"/>
                <w:tab w:val="left" w:pos="2352"/>
              </w:tabs>
              <w:spacing w:line="360" w:lineRule="auto"/>
              <w:ind w:firstLine="0" w:firstLineChars="0"/>
              <w:rPr>
                <w:rFonts w:ascii="宋体" w:hAnsi="宋体" w:eastAsia="宋体" w:cs="宋体"/>
                <w:color w:val="auto"/>
                <w:kern w:val="0"/>
                <w:sz w:val="22"/>
                <w:highlight w:val="none"/>
              </w:rPr>
            </w:pPr>
            <w:r>
              <w:rPr>
                <w:rFonts w:hint="eastAsia" w:ascii="宋体" w:hAnsi="宋体" w:eastAsia="宋体" w:cs="宋体"/>
                <w:color w:val="auto"/>
                <w:kern w:val="0"/>
                <w:sz w:val="22"/>
                <w:highlight w:val="none"/>
              </w:rPr>
              <w:t>宁波银行股份有限公司温州分行</w:t>
            </w:r>
          </w:p>
        </w:tc>
        <w:tc>
          <w:tcPr>
            <w:tcW w:w="3685" w:type="dxa"/>
            <w:gridSpan w:val="2"/>
          </w:tcPr>
          <w:p w14:paraId="594AE929">
            <w:pPr>
              <w:pStyle w:val="46"/>
              <w:tabs>
                <w:tab w:val="left" w:pos="1069"/>
                <w:tab w:val="left" w:pos="2352"/>
              </w:tabs>
              <w:spacing w:line="360" w:lineRule="auto"/>
              <w:ind w:firstLine="0" w:firstLineChars="0"/>
              <w:rPr>
                <w:rFonts w:ascii="宋体" w:hAnsi="宋体" w:eastAsia="宋体" w:cs="宋体"/>
                <w:color w:val="auto"/>
                <w:kern w:val="0"/>
                <w:sz w:val="22"/>
                <w:highlight w:val="none"/>
              </w:rPr>
            </w:pPr>
          </w:p>
        </w:tc>
      </w:tr>
      <w:tr w14:paraId="704F3E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04" w:type="dxa"/>
            <w:gridSpan w:val="4"/>
          </w:tcPr>
          <w:p w14:paraId="67990D7C">
            <w:pPr>
              <w:pStyle w:val="46"/>
              <w:tabs>
                <w:tab w:val="left" w:pos="1069"/>
                <w:tab w:val="left" w:pos="2352"/>
              </w:tabs>
              <w:spacing w:line="360" w:lineRule="auto"/>
              <w:ind w:firstLine="0" w:firstLineChars="0"/>
              <w:rPr>
                <w:rFonts w:ascii="宋体" w:hAnsi="宋体" w:eastAsia="宋体" w:cs="宋体"/>
                <w:color w:val="auto"/>
                <w:kern w:val="0"/>
                <w:sz w:val="22"/>
                <w:highlight w:val="none"/>
              </w:rPr>
            </w:pPr>
            <w:r>
              <w:rPr>
                <w:rFonts w:hint="eastAsia" w:ascii="宋体" w:hAnsi="宋体" w:eastAsia="宋体" w:cs="宋体"/>
                <w:color w:val="auto"/>
                <w:kern w:val="0"/>
                <w:sz w:val="22"/>
                <w:highlight w:val="none"/>
              </w:rPr>
              <w:t>杭州银行股份有限公司温州分行</w:t>
            </w:r>
          </w:p>
        </w:tc>
        <w:tc>
          <w:tcPr>
            <w:tcW w:w="3685" w:type="dxa"/>
            <w:gridSpan w:val="2"/>
          </w:tcPr>
          <w:p w14:paraId="5EF5B286">
            <w:pPr>
              <w:pStyle w:val="46"/>
              <w:tabs>
                <w:tab w:val="left" w:pos="1069"/>
                <w:tab w:val="left" w:pos="2352"/>
              </w:tabs>
              <w:spacing w:line="360" w:lineRule="auto"/>
              <w:ind w:firstLine="0" w:firstLineChars="0"/>
              <w:rPr>
                <w:rFonts w:ascii="宋体" w:hAnsi="宋体" w:eastAsia="宋体" w:cs="宋体"/>
                <w:color w:val="auto"/>
                <w:kern w:val="0"/>
                <w:sz w:val="22"/>
                <w:highlight w:val="none"/>
              </w:rPr>
            </w:pPr>
          </w:p>
        </w:tc>
      </w:tr>
      <w:tr w14:paraId="1A7A0D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04" w:type="dxa"/>
            <w:gridSpan w:val="4"/>
          </w:tcPr>
          <w:p w14:paraId="3E78F85B">
            <w:pPr>
              <w:pStyle w:val="46"/>
              <w:tabs>
                <w:tab w:val="left" w:pos="1069"/>
                <w:tab w:val="left" w:pos="2352"/>
              </w:tabs>
              <w:spacing w:line="360" w:lineRule="auto"/>
              <w:ind w:firstLine="0" w:firstLineChars="0"/>
              <w:rPr>
                <w:rFonts w:ascii="宋体" w:hAnsi="宋体" w:eastAsia="宋体" w:cs="宋体"/>
                <w:color w:val="auto"/>
                <w:kern w:val="0"/>
                <w:sz w:val="22"/>
                <w:highlight w:val="none"/>
              </w:rPr>
            </w:pPr>
            <w:r>
              <w:rPr>
                <w:rFonts w:hint="eastAsia" w:ascii="宋体" w:hAnsi="宋体" w:eastAsia="宋体" w:cs="宋体"/>
                <w:color w:val="auto"/>
                <w:kern w:val="0"/>
                <w:sz w:val="22"/>
                <w:highlight w:val="none"/>
              </w:rPr>
              <w:t>招商银行股份有限公司温州分行</w:t>
            </w:r>
          </w:p>
        </w:tc>
        <w:tc>
          <w:tcPr>
            <w:tcW w:w="3685" w:type="dxa"/>
            <w:gridSpan w:val="2"/>
          </w:tcPr>
          <w:p w14:paraId="5E994127">
            <w:pPr>
              <w:pStyle w:val="46"/>
              <w:tabs>
                <w:tab w:val="left" w:pos="1069"/>
                <w:tab w:val="left" w:pos="2352"/>
              </w:tabs>
              <w:spacing w:line="360" w:lineRule="auto"/>
              <w:ind w:firstLine="0" w:firstLineChars="0"/>
              <w:rPr>
                <w:rFonts w:ascii="宋体" w:hAnsi="宋体" w:eastAsia="宋体" w:cs="宋体"/>
                <w:color w:val="auto"/>
                <w:kern w:val="0"/>
                <w:sz w:val="22"/>
                <w:highlight w:val="none"/>
              </w:rPr>
            </w:pPr>
          </w:p>
        </w:tc>
      </w:tr>
      <w:tr w14:paraId="3D51D5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04" w:type="dxa"/>
            <w:gridSpan w:val="4"/>
          </w:tcPr>
          <w:p w14:paraId="15DE5C9C">
            <w:pPr>
              <w:pStyle w:val="46"/>
              <w:tabs>
                <w:tab w:val="left" w:pos="1069"/>
                <w:tab w:val="left" w:pos="2352"/>
              </w:tabs>
              <w:spacing w:line="360" w:lineRule="auto"/>
              <w:ind w:firstLine="0" w:firstLineChars="0"/>
              <w:rPr>
                <w:rFonts w:ascii="宋体" w:hAnsi="宋体" w:eastAsia="宋体" w:cs="宋体"/>
                <w:color w:val="auto"/>
                <w:kern w:val="0"/>
                <w:sz w:val="22"/>
                <w:highlight w:val="none"/>
              </w:rPr>
            </w:pPr>
            <w:r>
              <w:rPr>
                <w:rFonts w:hint="eastAsia" w:ascii="宋体" w:hAnsi="宋体" w:eastAsia="宋体" w:cs="宋体"/>
                <w:color w:val="auto"/>
                <w:kern w:val="0"/>
                <w:sz w:val="22"/>
                <w:highlight w:val="none"/>
              </w:rPr>
              <w:t>兴业银行股份有限公司温州分行</w:t>
            </w:r>
          </w:p>
        </w:tc>
        <w:tc>
          <w:tcPr>
            <w:tcW w:w="3685" w:type="dxa"/>
            <w:gridSpan w:val="2"/>
          </w:tcPr>
          <w:p w14:paraId="4BFC2656">
            <w:pPr>
              <w:pStyle w:val="46"/>
              <w:tabs>
                <w:tab w:val="left" w:pos="1069"/>
                <w:tab w:val="left" w:pos="2352"/>
              </w:tabs>
              <w:spacing w:line="360" w:lineRule="auto"/>
              <w:ind w:firstLine="0" w:firstLineChars="0"/>
              <w:rPr>
                <w:rFonts w:ascii="宋体" w:hAnsi="宋体" w:eastAsia="宋体" w:cs="宋体"/>
                <w:color w:val="auto"/>
                <w:kern w:val="0"/>
                <w:sz w:val="22"/>
                <w:highlight w:val="none"/>
              </w:rPr>
            </w:pPr>
          </w:p>
        </w:tc>
      </w:tr>
      <w:tr w14:paraId="7822EC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04" w:type="dxa"/>
            <w:gridSpan w:val="4"/>
          </w:tcPr>
          <w:p w14:paraId="0418BB38">
            <w:pPr>
              <w:pStyle w:val="46"/>
              <w:tabs>
                <w:tab w:val="left" w:pos="1069"/>
                <w:tab w:val="left" w:pos="2352"/>
              </w:tabs>
              <w:spacing w:line="360" w:lineRule="auto"/>
              <w:ind w:firstLine="0" w:firstLineChars="0"/>
              <w:rPr>
                <w:rFonts w:ascii="宋体" w:hAnsi="宋体" w:eastAsia="宋体" w:cs="宋体"/>
                <w:color w:val="auto"/>
                <w:kern w:val="0"/>
                <w:sz w:val="22"/>
                <w:highlight w:val="none"/>
              </w:rPr>
            </w:pPr>
            <w:r>
              <w:rPr>
                <w:rFonts w:hint="eastAsia" w:ascii="宋体" w:hAnsi="宋体" w:eastAsia="宋体" w:cs="宋体"/>
                <w:color w:val="auto"/>
                <w:kern w:val="0"/>
                <w:sz w:val="22"/>
                <w:highlight w:val="none"/>
              </w:rPr>
              <w:t>交通银行股份有限公司温州分行</w:t>
            </w:r>
          </w:p>
        </w:tc>
        <w:tc>
          <w:tcPr>
            <w:tcW w:w="3685" w:type="dxa"/>
            <w:gridSpan w:val="2"/>
          </w:tcPr>
          <w:p w14:paraId="5A850D83">
            <w:pPr>
              <w:pStyle w:val="46"/>
              <w:tabs>
                <w:tab w:val="left" w:pos="1069"/>
                <w:tab w:val="left" w:pos="2352"/>
              </w:tabs>
              <w:spacing w:line="360" w:lineRule="auto"/>
              <w:ind w:firstLine="0" w:firstLineChars="0"/>
              <w:rPr>
                <w:rFonts w:ascii="宋体" w:hAnsi="宋体" w:eastAsia="宋体" w:cs="宋体"/>
                <w:color w:val="auto"/>
                <w:kern w:val="0"/>
                <w:sz w:val="22"/>
                <w:highlight w:val="none"/>
              </w:rPr>
            </w:pPr>
          </w:p>
        </w:tc>
      </w:tr>
      <w:tr w14:paraId="4652AD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 w:hRule="atLeast"/>
        </w:trPr>
        <w:tc>
          <w:tcPr>
            <w:tcW w:w="6204" w:type="dxa"/>
            <w:gridSpan w:val="4"/>
          </w:tcPr>
          <w:p w14:paraId="721A82ED">
            <w:pPr>
              <w:pStyle w:val="46"/>
              <w:tabs>
                <w:tab w:val="left" w:pos="1069"/>
                <w:tab w:val="left" w:pos="2352"/>
              </w:tabs>
              <w:spacing w:line="360" w:lineRule="auto"/>
              <w:ind w:firstLine="0" w:firstLineChars="0"/>
              <w:rPr>
                <w:rFonts w:ascii="宋体" w:hAnsi="宋体" w:eastAsia="宋体" w:cs="宋体"/>
                <w:color w:val="auto"/>
                <w:kern w:val="0"/>
                <w:sz w:val="22"/>
                <w:highlight w:val="none"/>
              </w:rPr>
            </w:pPr>
            <w:r>
              <w:rPr>
                <w:rFonts w:hint="eastAsia" w:ascii="宋体" w:hAnsi="宋体" w:eastAsia="宋体" w:cs="宋体"/>
                <w:color w:val="auto"/>
                <w:kern w:val="0"/>
                <w:sz w:val="22"/>
                <w:highlight w:val="none"/>
              </w:rPr>
              <w:t>上海浦东发展银行股份有限公司温州分行</w:t>
            </w:r>
          </w:p>
        </w:tc>
        <w:tc>
          <w:tcPr>
            <w:tcW w:w="3685" w:type="dxa"/>
            <w:gridSpan w:val="2"/>
          </w:tcPr>
          <w:p w14:paraId="10F2F6DF">
            <w:pPr>
              <w:pStyle w:val="46"/>
              <w:tabs>
                <w:tab w:val="left" w:pos="1069"/>
                <w:tab w:val="left" w:pos="2352"/>
              </w:tabs>
              <w:spacing w:line="360" w:lineRule="auto"/>
              <w:ind w:firstLine="0" w:firstLineChars="0"/>
              <w:rPr>
                <w:rFonts w:ascii="宋体" w:hAnsi="宋体" w:eastAsia="宋体" w:cs="宋体"/>
                <w:color w:val="auto"/>
                <w:kern w:val="0"/>
                <w:sz w:val="22"/>
                <w:highlight w:val="none"/>
              </w:rPr>
            </w:pPr>
          </w:p>
        </w:tc>
      </w:tr>
    </w:tbl>
    <w:p w14:paraId="29754A67">
      <w:pPr>
        <w:tabs>
          <w:tab w:val="left" w:pos="1069"/>
          <w:tab w:val="left" w:pos="2352"/>
        </w:tabs>
        <w:rPr>
          <w:rFonts w:ascii="宋体" w:hAnsi="宋体" w:cs="宋体"/>
          <w:color w:val="auto"/>
          <w:sz w:val="22"/>
          <w:highlight w:val="none"/>
        </w:rPr>
      </w:pPr>
    </w:p>
    <w:p w14:paraId="23243F74">
      <w:pPr>
        <w:tabs>
          <w:tab w:val="left" w:pos="1069"/>
          <w:tab w:val="left" w:pos="2352"/>
        </w:tabs>
        <w:rPr>
          <w:rFonts w:ascii="宋体" w:hAnsi="宋体" w:cs="宋体"/>
          <w:color w:val="auto"/>
          <w:sz w:val="22"/>
          <w:highlight w:val="none"/>
        </w:rPr>
      </w:pPr>
      <w:r>
        <w:rPr>
          <w:rFonts w:hint="eastAsia" w:ascii="宋体" w:hAnsi="宋体" w:cs="宋体"/>
          <w:color w:val="auto"/>
          <w:sz w:val="22"/>
          <w:highlight w:val="none"/>
        </w:rPr>
        <w:t>注：1、本表填写对象为注册地在温州市域内的供应商。</w:t>
      </w:r>
    </w:p>
    <w:p w14:paraId="5EEBB7DE">
      <w:pPr>
        <w:tabs>
          <w:tab w:val="left" w:pos="1069"/>
          <w:tab w:val="left" w:pos="2352"/>
        </w:tabs>
        <w:spacing w:line="588" w:lineRule="exact"/>
        <w:ind w:firstLine="440" w:firstLineChars="200"/>
        <w:rPr>
          <w:rFonts w:ascii="宋体" w:hAnsi="宋体" w:cs="宋体"/>
          <w:b/>
          <w:color w:val="auto"/>
          <w:sz w:val="22"/>
          <w:highlight w:val="none"/>
        </w:rPr>
      </w:pPr>
      <w:r>
        <w:rPr>
          <w:rFonts w:hint="eastAsia" w:ascii="宋体" w:hAnsi="宋体" w:cs="宋体"/>
          <w:color w:val="auto"/>
          <w:sz w:val="22"/>
          <w:highlight w:val="none"/>
        </w:rPr>
        <w:t>2、财政部门根据企业自行选择，将本表及企业相关信息推送至相对应的融资意向银行经办人。</w:t>
      </w:r>
    </w:p>
    <w:p w14:paraId="3C9F91E1">
      <w:pPr>
        <w:pStyle w:val="10"/>
        <w:tabs>
          <w:tab w:val="left" w:pos="1069"/>
          <w:tab w:val="left" w:pos="2352"/>
        </w:tabs>
        <w:rPr>
          <w:rFonts w:ascii="宋体" w:hAnsi="宋体" w:cs="宋体"/>
          <w:b/>
          <w:color w:val="auto"/>
          <w:sz w:val="32"/>
          <w:szCs w:val="32"/>
          <w:highlight w:val="none"/>
        </w:rPr>
      </w:pPr>
    </w:p>
    <w:p w14:paraId="49B3E2D9">
      <w:pPr>
        <w:tabs>
          <w:tab w:val="left" w:pos="1069"/>
          <w:tab w:val="left" w:pos="2352"/>
        </w:tabs>
        <w:snapToGrid w:val="0"/>
        <w:spacing w:line="380" w:lineRule="exact"/>
        <w:jc w:val="center"/>
        <w:rPr>
          <w:rFonts w:ascii="宋体" w:hAnsi="宋体" w:cs="宋体"/>
          <w:b/>
          <w:color w:val="auto"/>
          <w:sz w:val="32"/>
          <w:szCs w:val="32"/>
          <w:highlight w:val="none"/>
        </w:rPr>
      </w:pPr>
    </w:p>
    <w:p w14:paraId="40A4AF55">
      <w:pPr>
        <w:tabs>
          <w:tab w:val="left" w:pos="1069"/>
          <w:tab w:val="left" w:pos="2352"/>
        </w:tabs>
        <w:snapToGrid w:val="0"/>
        <w:spacing w:line="380" w:lineRule="exact"/>
        <w:jc w:val="center"/>
        <w:rPr>
          <w:rFonts w:ascii="宋体" w:hAnsi="宋体" w:cs="宋体"/>
          <w:b/>
          <w:color w:val="auto"/>
          <w:sz w:val="32"/>
          <w:szCs w:val="32"/>
          <w:highlight w:val="none"/>
        </w:rPr>
      </w:pPr>
    </w:p>
    <w:p w14:paraId="3F1D89AE">
      <w:pPr>
        <w:tabs>
          <w:tab w:val="left" w:pos="1069"/>
          <w:tab w:val="left" w:pos="2352"/>
        </w:tabs>
        <w:snapToGrid w:val="0"/>
        <w:spacing w:line="380" w:lineRule="exact"/>
        <w:jc w:val="center"/>
        <w:rPr>
          <w:rFonts w:ascii="宋体" w:hAnsi="宋体" w:cs="宋体"/>
          <w:b/>
          <w:color w:val="auto"/>
          <w:sz w:val="32"/>
          <w:szCs w:val="32"/>
          <w:highlight w:val="none"/>
        </w:rPr>
      </w:pPr>
    </w:p>
    <w:p w14:paraId="6152E30D">
      <w:pPr>
        <w:tabs>
          <w:tab w:val="left" w:pos="1069"/>
          <w:tab w:val="left" w:pos="2352"/>
        </w:tabs>
        <w:snapToGrid w:val="0"/>
        <w:spacing w:line="380" w:lineRule="exact"/>
        <w:jc w:val="center"/>
        <w:rPr>
          <w:rFonts w:ascii="宋体" w:hAnsi="宋体" w:cs="宋体"/>
          <w:b/>
          <w:bCs/>
          <w:color w:val="auto"/>
          <w:sz w:val="28"/>
          <w:szCs w:val="28"/>
          <w:highlight w:val="none"/>
        </w:rPr>
      </w:pPr>
      <w:r>
        <w:rPr>
          <w:rFonts w:hint="eastAsia" w:ascii="宋体" w:hAnsi="宋体" w:cs="宋体"/>
          <w:b/>
          <w:color w:val="auto"/>
          <w:sz w:val="32"/>
          <w:szCs w:val="32"/>
          <w:highlight w:val="none"/>
        </w:rPr>
        <w:t>第五部分、合同格式</w:t>
      </w:r>
      <w:bookmarkEnd w:id="88"/>
      <w:bookmarkStart w:id="91" w:name="_Toc11700_WPSOffice_Level1"/>
    </w:p>
    <w:p w14:paraId="612D7CD8">
      <w:pPr>
        <w:rPr>
          <w:rFonts w:eastAsia="仿宋"/>
          <w:b/>
          <w:bCs/>
          <w:color w:val="auto"/>
          <w:sz w:val="28"/>
          <w:highlight w:val="none"/>
        </w:rPr>
      </w:pPr>
    </w:p>
    <w:p w14:paraId="2A49A6AE">
      <w:pPr>
        <w:widowControl/>
        <w:spacing w:before="100" w:beforeAutospacing="1" w:after="100" w:afterAutospacing="1"/>
        <w:outlineLvl w:val="2"/>
        <w:rPr>
          <w:rFonts w:ascii="黑体" w:hAnsi="黑体" w:eastAsia="黑体" w:cs="宋体"/>
          <w:b/>
          <w:bCs/>
          <w:color w:val="auto"/>
          <w:kern w:val="0"/>
          <w:sz w:val="56"/>
          <w:szCs w:val="56"/>
          <w:highlight w:val="none"/>
        </w:rPr>
      </w:pPr>
      <w:r>
        <w:rPr>
          <w:rFonts w:hint="eastAsia" w:ascii="黑体" w:hAnsi="黑体" w:eastAsia="黑体" w:cs="宋体"/>
          <w:b/>
          <w:bCs/>
          <w:color w:val="auto"/>
          <w:kern w:val="0"/>
          <w:sz w:val="56"/>
          <w:szCs w:val="56"/>
          <w:highlight w:val="none"/>
        </w:rPr>
        <w:t xml:space="preserve">  </w:t>
      </w:r>
      <w:r>
        <w:rPr>
          <w:rFonts w:hint="eastAsia" w:cs="宋体" w:asciiTheme="minorEastAsia" w:hAnsiTheme="minorEastAsia"/>
          <w:bCs/>
          <w:color w:val="auto"/>
          <w:kern w:val="0"/>
          <w:sz w:val="56"/>
          <w:szCs w:val="56"/>
          <w:highlight w:val="none"/>
        </w:rPr>
        <w:t xml:space="preserve"> </w:t>
      </w:r>
    </w:p>
    <w:p w14:paraId="3680C5AD">
      <w:pPr>
        <w:widowControl/>
        <w:spacing w:before="100" w:beforeAutospacing="1" w:after="100" w:afterAutospacing="1"/>
        <w:jc w:val="center"/>
        <w:outlineLvl w:val="2"/>
        <w:rPr>
          <w:rFonts w:hint="eastAsia" w:ascii="华文中宋" w:hAnsi="华文中宋" w:eastAsia="华文中宋" w:cs="华文中宋"/>
          <w:b/>
          <w:bCs/>
          <w:color w:val="auto"/>
          <w:kern w:val="0"/>
          <w:sz w:val="56"/>
          <w:szCs w:val="56"/>
          <w:highlight w:val="none"/>
          <w:lang w:eastAsia="zh-CN"/>
        </w:rPr>
      </w:pPr>
      <w:r>
        <w:rPr>
          <w:rFonts w:hint="eastAsia" w:ascii="华文中宋" w:hAnsi="华文中宋" w:eastAsia="华文中宋" w:cs="华文中宋"/>
          <w:b/>
          <w:bCs/>
          <w:color w:val="auto"/>
          <w:kern w:val="0"/>
          <w:sz w:val="56"/>
          <w:szCs w:val="56"/>
          <w:highlight w:val="none"/>
          <w:lang w:eastAsia="zh-CN"/>
        </w:rPr>
        <w:t>2024年泰顺县罗阳镇上洪村堆谷洋农田宜机化改造项目</w:t>
      </w:r>
    </w:p>
    <w:p w14:paraId="1DF42663">
      <w:pPr>
        <w:widowControl/>
        <w:spacing w:before="100" w:beforeAutospacing="1" w:after="100" w:afterAutospacing="1"/>
        <w:jc w:val="center"/>
        <w:outlineLvl w:val="2"/>
        <w:rPr>
          <w:rFonts w:ascii="华文中宋" w:hAnsi="华文中宋" w:eastAsia="华文中宋" w:cs="华文中宋"/>
          <w:b/>
          <w:bCs/>
          <w:color w:val="auto"/>
          <w:kern w:val="0"/>
          <w:sz w:val="56"/>
          <w:szCs w:val="56"/>
          <w:highlight w:val="none"/>
        </w:rPr>
      </w:pPr>
      <w:r>
        <w:rPr>
          <w:rFonts w:hint="eastAsia" w:ascii="华文中宋" w:hAnsi="华文中宋" w:eastAsia="华文中宋" w:cs="华文中宋"/>
          <w:b/>
          <w:bCs/>
          <w:color w:val="auto"/>
          <w:kern w:val="0"/>
          <w:sz w:val="56"/>
          <w:szCs w:val="56"/>
          <w:highlight w:val="none"/>
        </w:rPr>
        <w:t>合同</w:t>
      </w:r>
    </w:p>
    <w:p w14:paraId="600B3500">
      <w:pPr>
        <w:widowControl/>
        <w:spacing w:before="100" w:beforeAutospacing="1" w:after="100" w:afterAutospacing="1"/>
        <w:jc w:val="center"/>
        <w:outlineLvl w:val="2"/>
        <w:rPr>
          <w:rFonts w:ascii="黑体" w:hAnsi="黑体" w:eastAsia="黑体" w:cs="宋体"/>
          <w:b/>
          <w:bCs/>
          <w:color w:val="auto"/>
          <w:kern w:val="0"/>
          <w:sz w:val="44"/>
          <w:szCs w:val="44"/>
          <w:highlight w:val="none"/>
        </w:rPr>
      </w:pPr>
    </w:p>
    <w:p w14:paraId="69291043">
      <w:pPr>
        <w:widowControl/>
        <w:spacing w:before="100" w:beforeAutospacing="1" w:after="100" w:afterAutospacing="1" w:line="390" w:lineRule="atLeast"/>
        <w:jc w:val="left"/>
        <w:rPr>
          <w:rFonts w:ascii="宋体" w:hAnsi="宋体" w:cs="宋体"/>
          <w:bCs/>
          <w:color w:val="auto"/>
          <w:sz w:val="30"/>
          <w:szCs w:val="30"/>
          <w:highlight w:val="none"/>
        </w:rPr>
      </w:pPr>
      <w:r>
        <w:rPr>
          <w:rFonts w:hint="eastAsia" w:ascii="宋体" w:hAnsi="宋体" w:cs="宋体"/>
          <w:color w:val="auto"/>
          <w:kern w:val="0"/>
          <w:sz w:val="28"/>
          <w:szCs w:val="28"/>
          <w:highlight w:val="none"/>
        </w:rPr>
        <w:t>　</w:t>
      </w:r>
      <w:r>
        <w:rPr>
          <w:rFonts w:hint="eastAsia" w:ascii="黑体" w:hAnsi="黑体" w:eastAsia="黑体" w:cs="宋体"/>
          <w:color w:val="auto"/>
          <w:kern w:val="0"/>
          <w:sz w:val="28"/>
          <w:szCs w:val="28"/>
          <w:highlight w:val="none"/>
        </w:rPr>
        <w:t>　</w:t>
      </w:r>
    </w:p>
    <w:p w14:paraId="22F63F5A">
      <w:pPr>
        <w:snapToGrid w:val="0"/>
        <w:spacing w:line="760" w:lineRule="exact"/>
        <w:ind w:left="596" w:leftChars="284"/>
        <w:rPr>
          <w:rFonts w:ascii="宋体" w:hAnsi="宋体" w:cs="宋体"/>
          <w:bCs/>
          <w:color w:val="auto"/>
          <w:sz w:val="30"/>
          <w:szCs w:val="30"/>
          <w:highlight w:val="none"/>
          <w:u w:val="single"/>
        </w:rPr>
      </w:pPr>
      <w:r>
        <w:rPr>
          <w:rFonts w:hint="eastAsia" w:ascii="宋体" w:hAnsi="宋体" w:cs="宋体"/>
          <w:bCs/>
          <w:color w:val="auto"/>
          <w:sz w:val="30"/>
          <w:szCs w:val="30"/>
          <w:highlight w:val="none"/>
        </w:rPr>
        <w:t>签订日期：</w:t>
      </w:r>
      <w:r>
        <w:rPr>
          <w:rFonts w:hint="eastAsia" w:ascii="宋体" w:hAnsi="宋体" w:cs="宋体"/>
          <w:bCs/>
          <w:color w:val="auto"/>
          <w:sz w:val="30"/>
          <w:szCs w:val="30"/>
          <w:highlight w:val="none"/>
          <w:u w:val="single"/>
        </w:rPr>
        <w:t xml:space="preserve">        年 月 日  </w:t>
      </w:r>
    </w:p>
    <w:p w14:paraId="55B2BBFA">
      <w:pPr>
        <w:snapToGrid w:val="0"/>
        <w:spacing w:line="760" w:lineRule="exact"/>
        <w:ind w:left="596" w:leftChars="284"/>
        <w:rPr>
          <w:rFonts w:ascii="宋体" w:hAnsi="宋体" w:cs="宋体"/>
          <w:bCs/>
          <w:color w:val="auto"/>
          <w:sz w:val="30"/>
          <w:szCs w:val="30"/>
          <w:highlight w:val="none"/>
          <w:u w:val="single"/>
        </w:rPr>
      </w:pPr>
      <w:r>
        <w:rPr>
          <w:rFonts w:hint="eastAsia" w:ascii="宋体" w:hAnsi="宋体" w:cs="宋体"/>
          <w:bCs/>
          <w:color w:val="auto"/>
          <w:sz w:val="30"/>
          <w:szCs w:val="30"/>
          <w:highlight w:val="none"/>
        </w:rPr>
        <w:t>签订地点：</w:t>
      </w:r>
      <w:r>
        <w:rPr>
          <w:rFonts w:hint="eastAsia" w:ascii="宋体" w:hAnsi="宋体" w:cs="宋体"/>
          <w:bCs/>
          <w:color w:val="auto"/>
          <w:sz w:val="30"/>
          <w:szCs w:val="30"/>
          <w:highlight w:val="none"/>
          <w:u w:val="single"/>
        </w:rPr>
        <w:t xml:space="preserve">    温州市泰顺县  </w:t>
      </w:r>
    </w:p>
    <w:p w14:paraId="3B689E43">
      <w:pPr>
        <w:pStyle w:val="6"/>
        <w:rPr>
          <w:color w:val="auto"/>
          <w:highlight w:val="none"/>
        </w:rPr>
      </w:pPr>
    </w:p>
    <w:p w14:paraId="0C53C589">
      <w:pPr>
        <w:spacing w:line="460" w:lineRule="exact"/>
        <w:rPr>
          <w:rFonts w:ascii="宋体"/>
          <w:color w:val="auto"/>
          <w:sz w:val="22"/>
          <w:highlight w:val="none"/>
        </w:rPr>
        <w:sectPr>
          <w:headerReference r:id="rId9" w:type="default"/>
          <w:footerReference r:id="rId10" w:type="default"/>
          <w:pgSz w:w="11906" w:h="16838"/>
          <w:pgMar w:top="1440" w:right="1800" w:bottom="1440" w:left="1800" w:header="851" w:footer="992" w:gutter="0"/>
          <w:pgNumType w:fmt="decimal"/>
          <w:cols w:space="425" w:num="1"/>
          <w:docGrid w:type="lines" w:linePitch="312" w:charSpace="0"/>
        </w:sectPr>
      </w:pPr>
    </w:p>
    <w:p w14:paraId="61E9B64B">
      <w:pPr>
        <w:keepNext w:val="0"/>
        <w:keepLines w:val="0"/>
        <w:pageBreakBefore w:val="0"/>
        <w:widowControl/>
        <w:kinsoku/>
        <w:wordWrap/>
        <w:overflowPunct/>
        <w:topLinePunct w:val="0"/>
        <w:bidi w:val="0"/>
        <w:spacing w:line="400" w:lineRule="exact"/>
        <w:ind w:firstLine="440" w:firstLineChars="200"/>
        <w:textAlignment w:val="auto"/>
        <w:rPr>
          <w:rFonts w:hint="eastAsia" w:ascii="宋体" w:hAnsi="宋体" w:eastAsia="宋体" w:cs="宋体"/>
          <w:color w:val="auto"/>
          <w:sz w:val="22"/>
          <w:szCs w:val="22"/>
          <w:highlight w:val="none"/>
          <w:u w:val="single"/>
        </w:rPr>
      </w:pPr>
      <w:bookmarkStart w:id="92" w:name="_Toc482363049"/>
      <w:bookmarkStart w:id="93" w:name="_Toc367900908"/>
      <w:bookmarkStart w:id="94" w:name="_Toc482718664"/>
      <w:bookmarkStart w:id="95" w:name="_Toc482362963"/>
    </w:p>
    <w:bookmarkEnd w:id="92"/>
    <w:bookmarkEnd w:id="93"/>
    <w:bookmarkEnd w:id="94"/>
    <w:bookmarkEnd w:id="95"/>
    <w:p w14:paraId="118F6726">
      <w:pPr>
        <w:keepNext w:val="0"/>
        <w:keepLines w:val="0"/>
        <w:pageBreakBefore w:val="0"/>
        <w:widowControl w:val="0"/>
        <w:kinsoku/>
        <w:wordWrap/>
        <w:overflowPunct/>
        <w:topLinePunct w:val="0"/>
        <w:bidi w:val="0"/>
        <w:spacing w:line="400" w:lineRule="exact"/>
        <w:ind w:firstLine="496"/>
        <w:jc w:val="center"/>
        <w:textAlignment w:val="auto"/>
        <w:rPr>
          <w:rFonts w:hint="eastAsia" w:ascii="宋体" w:hAnsi="宋体" w:eastAsia="宋体" w:cs="宋体"/>
          <w:b/>
          <w:bCs/>
          <w:snapToGrid w:val="0"/>
          <w:color w:val="auto"/>
          <w:kern w:val="0"/>
          <w:sz w:val="32"/>
          <w:szCs w:val="32"/>
          <w:highlight w:val="none"/>
        </w:rPr>
      </w:pPr>
      <w:r>
        <w:rPr>
          <w:rFonts w:hint="eastAsia" w:ascii="宋体" w:hAnsi="宋体" w:eastAsia="宋体" w:cs="宋体"/>
          <w:b/>
          <w:bCs/>
          <w:snapToGrid w:val="0"/>
          <w:color w:val="auto"/>
          <w:kern w:val="0"/>
          <w:sz w:val="32"/>
          <w:szCs w:val="32"/>
          <w:highlight w:val="none"/>
        </w:rPr>
        <w:t>第一节  合同协议书</w:t>
      </w:r>
    </w:p>
    <w:p w14:paraId="37184520">
      <w:pPr>
        <w:keepNext w:val="0"/>
        <w:keepLines w:val="0"/>
        <w:pageBreakBefore w:val="0"/>
        <w:widowControl/>
        <w:kinsoku/>
        <w:wordWrap/>
        <w:overflowPunct/>
        <w:topLinePunct w:val="0"/>
        <w:bidi w:val="0"/>
        <w:spacing w:line="400" w:lineRule="exact"/>
        <w:ind w:firstLine="440" w:firstLineChars="200"/>
        <w:textAlignment w:val="auto"/>
        <w:rPr>
          <w:rFonts w:hint="eastAsia" w:ascii="宋体" w:hAnsi="宋体" w:eastAsia="宋体" w:cs="宋体"/>
          <w:color w:val="auto"/>
          <w:sz w:val="22"/>
          <w:szCs w:val="22"/>
          <w:highlight w:val="none"/>
          <w:u w:val="single"/>
        </w:rPr>
      </w:pPr>
    </w:p>
    <w:p w14:paraId="37B815D7">
      <w:pPr>
        <w:keepNext w:val="0"/>
        <w:keepLines w:val="0"/>
        <w:pageBreakBefore w:val="0"/>
        <w:widowControl/>
        <w:kinsoku/>
        <w:wordWrap/>
        <w:overflowPunct/>
        <w:topLinePunct w:val="0"/>
        <w:bidi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u w:val="none"/>
          <w:lang w:val="en-US" w:eastAsia="zh-CN"/>
        </w:rPr>
        <w:t>采购人：</w:t>
      </w:r>
      <w:r>
        <w:rPr>
          <w:rFonts w:hint="eastAsia" w:hAnsi="宋体" w:cs="宋体"/>
          <w:color w:val="auto"/>
          <w:sz w:val="22"/>
          <w:szCs w:val="22"/>
          <w:highlight w:val="none"/>
          <w:u w:val="single"/>
          <w:lang w:val="en-US" w:eastAsia="zh-CN"/>
        </w:rPr>
        <w:t>泰顺县罗阳镇人民政府</w:t>
      </w:r>
      <w:r>
        <w:rPr>
          <w:rFonts w:hint="eastAsia" w:ascii="宋体" w:hAnsi="宋体" w:eastAsia="宋体" w:cs="宋体"/>
          <w:color w:val="auto"/>
          <w:sz w:val="22"/>
          <w:szCs w:val="22"/>
          <w:highlight w:val="none"/>
        </w:rPr>
        <w:t>（以下简称“</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w:t>
      </w:r>
    </w:p>
    <w:p w14:paraId="4B54C7C2">
      <w:pPr>
        <w:keepNext w:val="0"/>
        <w:keepLines w:val="0"/>
        <w:pageBreakBefore w:val="0"/>
        <w:widowControl/>
        <w:kinsoku/>
        <w:wordWrap/>
        <w:overflowPunct/>
        <w:topLinePunct w:val="0"/>
        <w:bidi w:val="0"/>
        <w:spacing w:line="400" w:lineRule="exact"/>
        <w:ind w:left="382" w:leftChars="182" w:firstLine="0"/>
        <w:textAlignment w:val="auto"/>
        <w:rPr>
          <w:rFonts w:hint="eastAsia" w:ascii="宋体" w:hAnsi="宋体" w:eastAsia="宋体" w:cs="宋体"/>
          <w:color w:val="auto"/>
          <w:sz w:val="22"/>
          <w:szCs w:val="22"/>
          <w:highlight w:val="none"/>
          <w:lang w:val="en-US" w:eastAsia="zh-CN"/>
        </w:rPr>
      </w:pPr>
      <w:r>
        <w:rPr>
          <w:rFonts w:hint="eastAsia" w:hAnsi="宋体" w:cs="宋体"/>
          <w:color w:val="auto"/>
          <w:sz w:val="22"/>
          <w:szCs w:val="22"/>
          <w:highlight w:val="none"/>
          <w:lang w:val="en-US" w:eastAsia="zh-CN"/>
        </w:rPr>
        <w:t>中标供应商</w:t>
      </w:r>
      <w:r>
        <w:rPr>
          <w:rFonts w:hint="eastAsia" w:ascii="宋体" w:hAnsi="宋体" w:eastAsia="宋体" w:cs="宋体"/>
          <w:color w:val="auto"/>
          <w:sz w:val="22"/>
          <w:szCs w:val="22"/>
          <w:highlight w:val="none"/>
          <w:lang w:val="en-US" w:eastAsia="zh-CN"/>
        </w:rPr>
        <w:t>：</w:t>
      </w:r>
      <w:r>
        <w:rPr>
          <w:rFonts w:hint="eastAsia" w:hAnsi="宋体" w:cs="宋体"/>
          <w:color w:val="auto"/>
          <w:sz w:val="22"/>
          <w:szCs w:val="22"/>
          <w:highlight w:val="none"/>
          <w:u w:val="single"/>
          <w:lang w:val="en-US" w:eastAsia="zh-CN"/>
        </w:rPr>
        <w:t xml:space="preserve">                       </w:t>
      </w:r>
      <w:r>
        <w:rPr>
          <w:rFonts w:hint="eastAsia" w:ascii="宋体" w:hAnsi="宋体" w:eastAsia="宋体" w:cs="宋体"/>
          <w:color w:val="auto"/>
          <w:sz w:val="22"/>
          <w:szCs w:val="22"/>
          <w:highlight w:val="none"/>
        </w:rPr>
        <w:t>（以下简称“</w:t>
      </w:r>
      <w:r>
        <w:rPr>
          <w:rFonts w:hint="eastAsia" w:ascii="宋体" w:hAnsi="宋体" w:eastAsia="宋体" w:cs="宋体"/>
          <w:color w:val="auto"/>
          <w:sz w:val="22"/>
          <w:szCs w:val="22"/>
          <w:highlight w:val="none"/>
          <w:lang w:val="en-US" w:eastAsia="zh-CN"/>
        </w:rPr>
        <w:t>乙</w:t>
      </w:r>
      <w:r>
        <w:rPr>
          <w:rFonts w:hint="eastAsia" w:ascii="宋体" w:hAnsi="宋体" w:eastAsia="宋体" w:cs="宋体"/>
          <w:color w:val="auto"/>
          <w:sz w:val="22"/>
          <w:szCs w:val="22"/>
          <w:highlight w:val="none"/>
          <w:lang w:eastAsia="zh-CN"/>
        </w:rPr>
        <w:t>方</w:t>
      </w:r>
      <w:r>
        <w:rPr>
          <w:rFonts w:hint="eastAsia" w:ascii="宋体" w:hAnsi="宋体" w:eastAsia="宋体" w:cs="宋体"/>
          <w:color w:val="auto"/>
          <w:sz w:val="22"/>
          <w:szCs w:val="22"/>
          <w:highlight w:val="none"/>
        </w:rPr>
        <w:t>”）</w:t>
      </w:r>
    </w:p>
    <w:p w14:paraId="2038491C">
      <w:pPr>
        <w:keepNext w:val="0"/>
        <w:keepLines w:val="0"/>
        <w:pageBreakBefore w:val="0"/>
        <w:widowControl/>
        <w:kinsoku/>
        <w:wordWrap/>
        <w:overflowPunct/>
        <w:topLinePunct w:val="0"/>
        <w:bidi w:val="0"/>
        <w:spacing w:line="400" w:lineRule="exact"/>
        <w:ind w:left="382" w:leftChars="182" w:firstLine="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sz w:val="22"/>
          <w:szCs w:val="22"/>
          <w:highlight w:val="none"/>
          <w:lang w:val="en-US" w:eastAsia="zh-CN"/>
        </w:rPr>
        <w:t>建设单位：</w:t>
      </w:r>
      <w:r>
        <w:rPr>
          <w:rFonts w:hint="eastAsia" w:ascii="宋体" w:hAnsi="宋体" w:eastAsia="宋体" w:cs="宋体"/>
          <w:color w:val="auto"/>
          <w:sz w:val="22"/>
          <w:szCs w:val="22"/>
          <w:highlight w:val="none"/>
          <w:u w:val="single"/>
          <w:lang w:val="en-US" w:eastAsia="zh-CN"/>
        </w:rPr>
        <w:t>泰顺县农业农村局</w:t>
      </w:r>
      <w:r>
        <w:rPr>
          <w:rFonts w:hint="eastAsia" w:ascii="宋体" w:hAnsi="宋体" w:eastAsia="宋体" w:cs="宋体"/>
          <w:color w:val="auto"/>
          <w:sz w:val="22"/>
          <w:szCs w:val="22"/>
          <w:highlight w:val="none"/>
          <w:lang w:val="en-US" w:eastAsia="zh-CN"/>
        </w:rPr>
        <w:t xml:space="preserve"> </w:t>
      </w:r>
      <w:r>
        <w:rPr>
          <w:rFonts w:hint="eastAsia" w:ascii="宋体" w:hAnsi="宋体" w:eastAsia="宋体" w:cs="宋体"/>
          <w:color w:val="auto"/>
          <w:sz w:val="22"/>
          <w:szCs w:val="22"/>
          <w:highlight w:val="none"/>
        </w:rPr>
        <w:t>（以下简称“</w:t>
      </w:r>
      <w:r>
        <w:rPr>
          <w:rFonts w:hint="eastAsia" w:ascii="宋体" w:hAnsi="宋体" w:eastAsia="宋体" w:cs="宋体"/>
          <w:color w:val="auto"/>
          <w:sz w:val="22"/>
          <w:szCs w:val="22"/>
          <w:highlight w:val="none"/>
          <w:lang w:val="en-US" w:eastAsia="zh-CN"/>
        </w:rPr>
        <w:t>丙</w:t>
      </w:r>
      <w:r>
        <w:rPr>
          <w:rFonts w:hint="eastAsia" w:ascii="宋体" w:hAnsi="宋体" w:eastAsia="宋体" w:cs="宋体"/>
          <w:color w:val="auto"/>
          <w:sz w:val="22"/>
          <w:szCs w:val="22"/>
          <w:highlight w:val="none"/>
          <w:lang w:eastAsia="zh-CN"/>
        </w:rPr>
        <w:t>方</w:t>
      </w:r>
      <w:r>
        <w:rPr>
          <w:rFonts w:hint="eastAsia" w:ascii="宋体" w:hAnsi="宋体" w:eastAsia="宋体" w:cs="宋体"/>
          <w:color w:val="auto"/>
          <w:sz w:val="22"/>
          <w:szCs w:val="22"/>
          <w:highlight w:val="none"/>
        </w:rPr>
        <w:t>”）</w:t>
      </w:r>
      <w:r>
        <w:rPr>
          <w:rFonts w:hint="eastAsia" w:ascii="宋体" w:hAnsi="宋体" w:eastAsia="宋体" w:cs="宋体"/>
          <w:color w:val="auto"/>
          <w:sz w:val="22"/>
          <w:szCs w:val="22"/>
          <w:highlight w:val="none"/>
          <w:lang w:val="en-US" w:eastAsia="zh-CN"/>
        </w:rPr>
        <w:br w:type="textWrapping"/>
      </w:r>
      <w:r>
        <w:rPr>
          <w:rFonts w:hint="eastAsia" w:ascii="宋体" w:hAnsi="宋体" w:eastAsia="宋体" w:cs="宋体"/>
          <w:color w:val="auto"/>
          <w:sz w:val="22"/>
          <w:szCs w:val="22"/>
          <w:highlight w:val="none"/>
        </w:rPr>
        <w:t>为实施</w:t>
      </w:r>
      <w:r>
        <w:rPr>
          <w:rFonts w:hint="eastAsia" w:ascii="宋体" w:hAnsi="宋体" w:cs="宋体"/>
          <w:color w:val="auto"/>
          <w:sz w:val="22"/>
          <w:szCs w:val="22"/>
          <w:highlight w:val="none"/>
          <w:u w:val="single"/>
          <w:lang w:val="en-US" w:eastAsia="zh-CN"/>
        </w:rPr>
        <w:t xml:space="preserve">  </w:t>
      </w:r>
      <w:r>
        <w:rPr>
          <w:rFonts w:hint="eastAsia" w:hAnsi="宋体" w:cs="宋体"/>
          <w:color w:val="auto"/>
          <w:sz w:val="22"/>
          <w:szCs w:val="22"/>
          <w:highlight w:val="none"/>
          <w:u w:val="single"/>
          <w:lang w:val="en-US" w:eastAsia="zh-CN"/>
        </w:rPr>
        <w:t>2024年泰顺县罗阳镇上洪村堆谷洋农田宜机化改造项目</w:t>
      </w:r>
      <w:r>
        <w:rPr>
          <w:rFonts w:hint="eastAsia" w:ascii="宋体" w:hAnsi="宋体" w:eastAsia="宋体" w:cs="宋体"/>
          <w:color w:val="auto"/>
          <w:sz w:val="22"/>
          <w:szCs w:val="22"/>
          <w:highlight w:val="none"/>
        </w:rPr>
        <w:t>，</w:t>
      </w:r>
      <w:r>
        <w:rPr>
          <w:rFonts w:hint="eastAsia" w:ascii="宋体" w:hAnsi="宋体" w:eastAsia="宋体" w:cs="宋体"/>
          <w:color w:val="auto"/>
          <w:sz w:val="22"/>
          <w:szCs w:val="22"/>
          <w:highlight w:val="none"/>
          <w:lang w:val="en-US" w:eastAsia="zh-CN"/>
        </w:rPr>
        <w:t>甲方、丙方</w:t>
      </w:r>
      <w:r>
        <w:rPr>
          <w:rFonts w:hint="eastAsia" w:ascii="宋体" w:hAnsi="宋体" w:eastAsia="宋体" w:cs="宋体"/>
          <w:color w:val="auto"/>
          <w:sz w:val="22"/>
          <w:szCs w:val="22"/>
          <w:highlight w:val="none"/>
        </w:rPr>
        <w:t>已接受</w:t>
      </w:r>
      <w:r>
        <w:rPr>
          <w:rFonts w:hint="eastAsia" w:ascii="宋体" w:hAnsi="宋体" w:eastAsia="宋体" w:cs="宋体"/>
          <w:color w:val="auto"/>
          <w:sz w:val="22"/>
          <w:szCs w:val="22"/>
          <w:highlight w:val="none"/>
          <w:u w:val="single"/>
        </w:rPr>
        <w:t xml:space="preserve"> </w:t>
      </w:r>
      <w:r>
        <w:rPr>
          <w:rFonts w:hint="eastAsia" w:hAnsi="宋体" w:cs="宋体"/>
          <w:color w:val="auto"/>
          <w:sz w:val="22"/>
          <w:szCs w:val="22"/>
          <w:highlight w:val="none"/>
          <w:u w:val="single"/>
          <w:lang w:val="en-US" w:eastAsia="zh-CN"/>
        </w:rPr>
        <w:t xml:space="preserve">        </w:t>
      </w:r>
      <w:r>
        <w:rPr>
          <w:rFonts w:hint="eastAsia" w:ascii="宋体" w:hAnsi="宋体" w:eastAsia="宋体" w:cs="宋体"/>
          <w:color w:val="auto"/>
          <w:sz w:val="22"/>
          <w:szCs w:val="22"/>
          <w:highlight w:val="none"/>
          <w:u w:val="single"/>
        </w:rPr>
        <w:t xml:space="preserve">  </w:t>
      </w:r>
      <w:r>
        <w:rPr>
          <w:rFonts w:hint="eastAsia" w:hAnsi="宋体" w:cs="宋体"/>
          <w:color w:val="auto"/>
          <w:sz w:val="22"/>
          <w:szCs w:val="22"/>
          <w:highlight w:val="none"/>
          <w:u w:val="single"/>
          <w:lang w:val="en-US" w:eastAsia="zh-CN"/>
        </w:rPr>
        <w:t xml:space="preserve">    </w:t>
      </w:r>
      <w:r>
        <w:rPr>
          <w:rFonts w:hint="eastAsia" w:ascii="宋体" w:hAnsi="宋体" w:eastAsia="宋体" w:cs="宋体"/>
          <w:color w:val="auto"/>
          <w:sz w:val="22"/>
          <w:szCs w:val="22"/>
          <w:highlight w:val="none"/>
          <w:u w:val="single"/>
          <w:lang w:val="en-US" w:eastAsia="zh-CN"/>
        </w:rPr>
        <w:t xml:space="preserve">  </w:t>
      </w:r>
      <w:r>
        <w:rPr>
          <w:rFonts w:hint="eastAsia" w:ascii="宋体" w:hAnsi="宋体" w:eastAsia="宋体" w:cs="宋体"/>
          <w:color w:val="auto"/>
          <w:sz w:val="22"/>
          <w:szCs w:val="22"/>
          <w:highlight w:val="none"/>
        </w:rPr>
        <w:t>对该项目投标。</w:t>
      </w:r>
      <w:r>
        <w:rPr>
          <w:rFonts w:hint="eastAsia" w:ascii="宋体" w:hAnsi="宋体" w:eastAsia="宋体" w:cs="宋体"/>
          <w:color w:val="auto"/>
          <w:sz w:val="22"/>
          <w:szCs w:val="22"/>
          <w:highlight w:val="none"/>
          <w:lang w:val="en-US" w:eastAsia="zh-CN"/>
        </w:rPr>
        <w:t>三方</w:t>
      </w:r>
      <w:r>
        <w:rPr>
          <w:rFonts w:hint="eastAsia" w:ascii="宋体" w:hAnsi="宋体" w:eastAsia="宋体" w:cs="宋体"/>
          <w:color w:val="auto"/>
          <w:sz w:val="22"/>
          <w:szCs w:val="22"/>
          <w:highlight w:val="none"/>
        </w:rPr>
        <w:t>共同达成如下协议。</w:t>
      </w:r>
    </w:p>
    <w:p w14:paraId="2EAF265F">
      <w:pPr>
        <w:keepNext w:val="0"/>
        <w:keepLines w:val="0"/>
        <w:pageBreakBefore w:val="0"/>
        <w:widowControl/>
        <w:kinsoku/>
        <w:wordWrap/>
        <w:overflowPunct/>
        <w:topLinePunct w:val="0"/>
        <w:bidi w:val="0"/>
        <w:spacing w:line="400" w:lineRule="exact"/>
        <w:ind w:firstLine="440" w:firstLineChars="200"/>
        <w:textAlignment w:val="auto"/>
        <w:rPr>
          <w:rFonts w:ascii="宋体" w:hAnsi="宋体" w:eastAsia="宋体" w:cs="宋体"/>
          <w:color w:val="auto"/>
          <w:kern w:val="2"/>
          <w:sz w:val="22"/>
          <w:szCs w:val="22"/>
          <w:highlight w:val="none"/>
          <w:lang w:val="en-US" w:eastAsia="zh-CN"/>
        </w:rPr>
      </w:pPr>
      <w:r>
        <w:rPr>
          <w:rFonts w:hint="eastAsia" w:ascii="宋体" w:hAnsi="宋体" w:eastAsia="宋体" w:cs="宋体"/>
          <w:color w:val="auto"/>
          <w:kern w:val="2"/>
          <w:sz w:val="22"/>
          <w:szCs w:val="22"/>
          <w:highlight w:val="none"/>
          <w:lang w:val="en-US" w:eastAsia="zh-CN"/>
        </w:rPr>
        <w:t>1.</w:t>
      </w:r>
      <w:r>
        <w:rPr>
          <w:rFonts w:hint="eastAsia" w:ascii="宋体" w:hAnsi="宋体" w:eastAsia="宋体" w:cs="宋体"/>
          <w:color w:val="auto"/>
          <w:kern w:val="2"/>
          <w:sz w:val="22"/>
          <w:szCs w:val="22"/>
          <w:highlight w:val="none"/>
        </w:rPr>
        <w:t>项目名称：</w:t>
      </w:r>
      <w:r>
        <w:rPr>
          <w:rFonts w:hint="eastAsia" w:ascii="宋体" w:hAnsi="宋体" w:cs="宋体"/>
          <w:color w:val="auto"/>
          <w:sz w:val="22"/>
          <w:szCs w:val="22"/>
          <w:highlight w:val="none"/>
          <w:u w:val="single"/>
          <w:lang w:val="en-US" w:eastAsia="zh-CN"/>
        </w:rPr>
        <w:t xml:space="preserve">  </w:t>
      </w:r>
      <w:r>
        <w:rPr>
          <w:rFonts w:hint="eastAsia" w:hAnsi="宋体" w:cs="宋体"/>
          <w:color w:val="auto"/>
          <w:sz w:val="22"/>
          <w:szCs w:val="22"/>
          <w:highlight w:val="none"/>
          <w:u w:val="single"/>
          <w:lang w:val="en-US" w:eastAsia="zh-CN"/>
        </w:rPr>
        <w:t>2024年泰顺县罗阳镇上洪村堆谷洋农田宜机化改造项目</w:t>
      </w:r>
    </w:p>
    <w:p w14:paraId="6546C8CB">
      <w:pPr>
        <w:keepNext w:val="0"/>
        <w:keepLines w:val="0"/>
        <w:pageBreakBefore w:val="0"/>
        <w:widowControl/>
        <w:kinsoku/>
        <w:wordWrap/>
        <w:overflowPunct/>
        <w:topLinePunct w:val="0"/>
        <w:bidi w:val="0"/>
        <w:spacing w:line="400" w:lineRule="exact"/>
        <w:ind w:firstLine="440" w:firstLineChars="200"/>
        <w:textAlignment w:val="auto"/>
        <w:rPr>
          <w:rFonts w:hint="eastAsia" w:ascii="宋体" w:hAnsi="宋体" w:eastAsia="宋体" w:cs="宋体"/>
          <w:color w:val="auto"/>
          <w:kern w:val="2"/>
          <w:sz w:val="22"/>
          <w:szCs w:val="22"/>
          <w:highlight w:val="none"/>
        </w:rPr>
      </w:pPr>
      <w:r>
        <w:rPr>
          <w:rFonts w:hint="eastAsia" w:ascii="宋体" w:hAnsi="宋体" w:eastAsia="宋体" w:cs="宋体"/>
          <w:color w:val="auto"/>
          <w:kern w:val="2"/>
          <w:sz w:val="22"/>
          <w:szCs w:val="22"/>
          <w:highlight w:val="none"/>
          <w:lang w:val="en-US" w:eastAsia="zh-CN"/>
        </w:rPr>
        <w:t>2.</w:t>
      </w:r>
      <w:r>
        <w:rPr>
          <w:rFonts w:hint="eastAsia" w:ascii="宋体" w:hAnsi="宋体" w:eastAsia="宋体" w:cs="宋体"/>
          <w:color w:val="auto"/>
          <w:kern w:val="2"/>
          <w:sz w:val="22"/>
          <w:szCs w:val="22"/>
          <w:highlight w:val="none"/>
        </w:rPr>
        <w:t>项目地点：</w:t>
      </w:r>
      <w:r>
        <w:rPr>
          <w:rFonts w:hint="eastAsia" w:ascii="宋体" w:hAnsi="宋体" w:eastAsia="宋体" w:cs="宋体"/>
          <w:color w:val="auto"/>
          <w:sz w:val="22"/>
          <w:szCs w:val="22"/>
          <w:highlight w:val="none"/>
          <w:u w:val="single"/>
        </w:rPr>
        <w:t>泰顺县</w:t>
      </w:r>
    </w:p>
    <w:p w14:paraId="5F1E998A">
      <w:pPr>
        <w:pStyle w:val="12"/>
        <w:keepNext w:val="0"/>
        <w:keepLines w:val="0"/>
        <w:pageBreakBefore w:val="0"/>
        <w:widowControl/>
        <w:kinsoku/>
        <w:wordWrap/>
        <w:overflowPunct/>
        <w:topLinePunct w:val="0"/>
        <w:autoSpaceDE/>
        <w:autoSpaceDN/>
        <w:bidi w:val="0"/>
        <w:adjustRightInd w:val="0"/>
        <w:snapToGrid w:val="0"/>
        <w:spacing w:line="400" w:lineRule="exact"/>
        <w:ind w:firstLine="444" w:firstLineChars="202"/>
        <w:jc w:val="left"/>
        <w:textAlignment w:val="auto"/>
        <w:outlineLvl w:val="0"/>
        <w:rPr>
          <w:rFonts w:hint="default" w:ascii="宋体" w:hAnsi="宋体" w:eastAsia="宋体" w:cs="宋体"/>
          <w:bCs/>
          <w:color w:val="auto"/>
          <w:kern w:val="0"/>
          <w:sz w:val="22"/>
          <w:szCs w:val="22"/>
          <w:highlight w:val="none"/>
          <w:u w:val="single"/>
          <w:lang w:val="en-US" w:eastAsia="zh-CN"/>
        </w:rPr>
      </w:pPr>
      <w:r>
        <w:rPr>
          <w:rFonts w:hint="eastAsia" w:ascii="宋体" w:hAnsi="宋体" w:eastAsia="宋体" w:cs="宋体"/>
          <w:color w:val="auto"/>
          <w:kern w:val="2"/>
          <w:sz w:val="22"/>
          <w:szCs w:val="22"/>
          <w:highlight w:val="none"/>
          <w:lang w:val="en-US" w:eastAsia="zh-CN"/>
        </w:rPr>
        <w:t>3.</w:t>
      </w:r>
      <w:r>
        <w:rPr>
          <w:rFonts w:hint="eastAsia" w:ascii="宋体" w:hAnsi="宋体" w:eastAsia="宋体" w:cs="宋体"/>
          <w:color w:val="auto"/>
          <w:kern w:val="2"/>
          <w:sz w:val="22"/>
          <w:szCs w:val="22"/>
          <w:highlight w:val="none"/>
        </w:rPr>
        <w:t>项目服务范围：</w:t>
      </w:r>
      <w:r>
        <w:rPr>
          <w:rFonts w:hint="eastAsia" w:ascii="宋体" w:hAnsi="宋体" w:cs="宋体"/>
          <w:bCs/>
          <w:color w:val="auto"/>
          <w:kern w:val="0"/>
          <w:sz w:val="22"/>
          <w:szCs w:val="22"/>
          <w:highlight w:val="none"/>
          <w:u w:val="single"/>
          <w:lang w:val="en-US" w:eastAsia="zh-CN"/>
        </w:rPr>
        <w:t xml:space="preserve"> </w:t>
      </w:r>
      <w:r>
        <w:rPr>
          <w:rFonts w:hint="eastAsia" w:hAnsi="宋体" w:cs="宋体"/>
          <w:bCs/>
          <w:color w:val="auto"/>
          <w:kern w:val="0"/>
          <w:sz w:val="22"/>
          <w:szCs w:val="22"/>
          <w:highlight w:val="none"/>
          <w:u w:val="single"/>
          <w:lang w:val="en-US" w:eastAsia="zh-CN"/>
        </w:rPr>
        <w:t>泰顺县罗阳镇上洪村堆谷洋，设计面积约82亩。</w:t>
      </w:r>
    </w:p>
    <w:p w14:paraId="066773DF">
      <w:pPr>
        <w:keepNext w:val="0"/>
        <w:keepLines w:val="0"/>
        <w:pageBreakBefore w:val="0"/>
        <w:widowControl/>
        <w:kinsoku/>
        <w:wordWrap/>
        <w:overflowPunct/>
        <w:topLinePunct w:val="0"/>
        <w:bidi w:val="0"/>
        <w:spacing w:line="400" w:lineRule="exact"/>
        <w:ind w:firstLine="440" w:firstLineChars="200"/>
        <w:textAlignment w:val="auto"/>
        <w:rPr>
          <w:rFonts w:hint="eastAsia" w:ascii="宋体" w:hAnsi="宋体" w:eastAsia="宋体" w:cs="宋体"/>
          <w:color w:val="auto"/>
          <w:kern w:val="2"/>
          <w:sz w:val="22"/>
          <w:szCs w:val="22"/>
          <w:highlight w:val="none"/>
          <w:u w:val="single"/>
          <w:lang w:eastAsia="zh-CN"/>
        </w:rPr>
      </w:pPr>
      <w:r>
        <w:rPr>
          <w:rFonts w:hint="eastAsia" w:ascii="宋体" w:hAnsi="宋体" w:eastAsia="宋体" w:cs="宋体"/>
          <w:color w:val="auto"/>
          <w:kern w:val="2"/>
          <w:sz w:val="22"/>
          <w:szCs w:val="22"/>
          <w:highlight w:val="none"/>
          <w:lang w:val="en-US" w:eastAsia="zh-CN"/>
        </w:rPr>
        <w:t>4.</w:t>
      </w:r>
      <w:r>
        <w:rPr>
          <w:rFonts w:hint="eastAsia" w:ascii="宋体" w:hAnsi="宋体" w:eastAsia="宋体" w:cs="宋体"/>
          <w:color w:val="auto"/>
          <w:kern w:val="2"/>
          <w:sz w:val="22"/>
          <w:szCs w:val="22"/>
          <w:highlight w:val="none"/>
        </w:rPr>
        <w:t>项目类型：</w:t>
      </w:r>
      <w:r>
        <w:rPr>
          <w:rFonts w:hint="eastAsia" w:ascii="宋体" w:hAnsi="宋体" w:cs="宋体"/>
          <w:color w:val="auto"/>
          <w:kern w:val="2"/>
          <w:sz w:val="22"/>
          <w:szCs w:val="22"/>
          <w:highlight w:val="none"/>
          <w:u w:val="single"/>
          <w:lang w:val="en-US" w:eastAsia="zh-CN"/>
        </w:rPr>
        <w:t>农田</w:t>
      </w:r>
      <w:r>
        <w:rPr>
          <w:rFonts w:hint="eastAsia" w:ascii="宋体" w:hAnsi="宋体" w:eastAsia="宋体" w:cs="宋体"/>
          <w:color w:val="auto"/>
          <w:kern w:val="2"/>
          <w:sz w:val="22"/>
          <w:szCs w:val="22"/>
          <w:highlight w:val="none"/>
          <w:u w:val="single"/>
          <w:lang w:eastAsia="zh-CN"/>
        </w:rPr>
        <w:t>。</w:t>
      </w:r>
    </w:p>
    <w:p w14:paraId="515207D1">
      <w:pPr>
        <w:keepNext w:val="0"/>
        <w:keepLines w:val="0"/>
        <w:pageBreakBefore w:val="0"/>
        <w:widowControl/>
        <w:kinsoku/>
        <w:wordWrap/>
        <w:overflowPunct/>
        <w:topLinePunct w:val="0"/>
        <w:bidi w:val="0"/>
        <w:spacing w:line="400" w:lineRule="exact"/>
        <w:ind w:left="0" w:firstLine="440" w:firstLineChars="200"/>
        <w:textAlignment w:val="auto"/>
        <w:rPr>
          <w:rFonts w:hint="eastAsia" w:ascii="宋体" w:hAnsi="宋体" w:eastAsia="宋体" w:cs="宋体"/>
          <w:color w:val="auto"/>
          <w:kern w:val="2"/>
          <w:sz w:val="22"/>
          <w:szCs w:val="22"/>
          <w:highlight w:val="none"/>
          <w:u w:val="single"/>
        </w:rPr>
      </w:pPr>
      <w:r>
        <w:rPr>
          <w:rFonts w:hint="eastAsia" w:ascii="宋体" w:hAnsi="宋体" w:eastAsia="宋体" w:cs="宋体"/>
          <w:color w:val="auto"/>
          <w:kern w:val="2"/>
          <w:sz w:val="22"/>
          <w:szCs w:val="22"/>
          <w:highlight w:val="none"/>
          <w:lang w:val="en-US" w:eastAsia="zh-CN"/>
        </w:rPr>
        <w:t>5.</w:t>
      </w:r>
      <w:r>
        <w:rPr>
          <w:rFonts w:hint="eastAsia" w:ascii="宋体" w:hAnsi="宋体" w:eastAsia="宋体" w:cs="宋体"/>
          <w:color w:val="auto"/>
          <w:kern w:val="2"/>
          <w:sz w:val="22"/>
          <w:szCs w:val="22"/>
          <w:highlight w:val="none"/>
        </w:rPr>
        <w:t>项目</w:t>
      </w:r>
      <w:r>
        <w:rPr>
          <w:rFonts w:hint="eastAsia" w:ascii="宋体" w:hAnsi="宋体" w:eastAsia="宋体" w:cs="宋体"/>
          <w:color w:val="auto"/>
          <w:kern w:val="2"/>
          <w:sz w:val="22"/>
          <w:szCs w:val="22"/>
          <w:highlight w:val="none"/>
          <w:lang w:eastAsia="zh-CN"/>
        </w:rPr>
        <w:t>实施</w:t>
      </w:r>
      <w:r>
        <w:rPr>
          <w:rFonts w:hint="eastAsia" w:ascii="宋体" w:hAnsi="宋体" w:eastAsia="宋体" w:cs="宋体"/>
          <w:color w:val="auto"/>
          <w:kern w:val="2"/>
          <w:sz w:val="22"/>
          <w:szCs w:val="22"/>
          <w:highlight w:val="none"/>
        </w:rPr>
        <w:t>方式：</w:t>
      </w:r>
      <w:r>
        <w:rPr>
          <w:rFonts w:hint="eastAsia" w:ascii="宋体" w:hAnsi="宋体" w:eastAsia="宋体" w:cs="宋体"/>
          <w:bCs/>
          <w:color w:val="auto"/>
          <w:kern w:val="0"/>
          <w:sz w:val="22"/>
          <w:szCs w:val="22"/>
          <w:highlight w:val="none"/>
          <w:u w:val="single"/>
          <w:lang w:val="en-US" w:eastAsia="zh-CN"/>
        </w:rPr>
        <w:t>农村土地</w:t>
      </w:r>
      <w:r>
        <w:rPr>
          <w:rFonts w:hint="eastAsia" w:hAnsi="宋体" w:cs="宋体"/>
          <w:bCs/>
          <w:color w:val="auto"/>
          <w:kern w:val="0"/>
          <w:sz w:val="22"/>
          <w:szCs w:val="22"/>
          <w:highlight w:val="none"/>
          <w:u w:val="single"/>
          <w:lang w:val="en-US" w:eastAsia="zh-CN"/>
        </w:rPr>
        <w:t>宜机化改造</w:t>
      </w:r>
      <w:r>
        <w:rPr>
          <w:rFonts w:hint="eastAsia" w:ascii="宋体" w:hAnsi="宋体" w:eastAsia="宋体" w:cs="宋体"/>
          <w:bCs/>
          <w:color w:val="auto"/>
          <w:kern w:val="0"/>
          <w:sz w:val="22"/>
          <w:szCs w:val="22"/>
          <w:highlight w:val="none"/>
          <w:u w:val="single"/>
          <w:lang w:val="en-US" w:eastAsia="zh-CN"/>
        </w:rPr>
        <w:t>及项目运营</w:t>
      </w:r>
      <w:r>
        <w:rPr>
          <w:rFonts w:hint="eastAsia" w:ascii="宋体" w:hAnsi="宋体" w:eastAsia="宋体" w:cs="宋体"/>
          <w:color w:val="auto"/>
          <w:kern w:val="2"/>
          <w:sz w:val="22"/>
          <w:szCs w:val="22"/>
          <w:highlight w:val="none"/>
          <w:u w:val="single"/>
        </w:rPr>
        <w:t>。</w:t>
      </w:r>
    </w:p>
    <w:p w14:paraId="217E6FAF">
      <w:pPr>
        <w:pStyle w:val="12"/>
        <w:keepNext w:val="0"/>
        <w:keepLines w:val="0"/>
        <w:pageBreakBefore w:val="0"/>
        <w:widowControl/>
        <w:kinsoku/>
        <w:wordWrap/>
        <w:overflowPunct/>
        <w:topLinePunct w:val="0"/>
        <w:autoSpaceDE/>
        <w:autoSpaceDN/>
        <w:bidi w:val="0"/>
        <w:adjustRightInd w:val="0"/>
        <w:snapToGrid w:val="0"/>
        <w:spacing w:line="400" w:lineRule="exact"/>
        <w:ind w:firstLine="444" w:firstLineChars="202"/>
        <w:jc w:val="left"/>
        <w:textAlignment w:val="auto"/>
        <w:outlineLvl w:val="0"/>
        <w:rPr>
          <w:rFonts w:ascii="宋体" w:hAnsi="宋体" w:eastAsia="宋体" w:cs="宋体"/>
          <w:bCs/>
          <w:color w:val="auto"/>
          <w:kern w:val="0"/>
          <w:sz w:val="22"/>
          <w:szCs w:val="22"/>
          <w:highlight w:val="none"/>
          <w:u w:val="none"/>
          <w:lang w:val="en-US" w:eastAsia="zh-CN"/>
        </w:rPr>
      </w:pPr>
      <w:r>
        <w:rPr>
          <w:rFonts w:hint="eastAsia" w:ascii="宋体" w:hAnsi="宋体" w:eastAsia="宋体" w:cs="宋体"/>
          <w:bCs/>
          <w:color w:val="auto"/>
          <w:kern w:val="0"/>
          <w:sz w:val="22"/>
          <w:szCs w:val="22"/>
          <w:highlight w:val="none"/>
          <w:u w:val="none"/>
          <w:lang w:val="en-US" w:eastAsia="zh-CN"/>
        </w:rPr>
        <w:t>具体内容为：</w:t>
      </w:r>
    </w:p>
    <w:p w14:paraId="0C5C1CFB">
      <w:pPr>
        <w:pStyle w:val="12"/>
        <w:keepNext w:val="0"/>
        <w:keepLines w:val="0"/>
        <w:pageBreakBefore w:val="0"/>
        <w:widowControl/>
        <w:kinsoku/>
        <w:wordWrap/>
        <w:overflowPunct/>
        <w:topLinePunct w:val="0"/>
        <w:autoSpaceDE/>
        <w:autoSpaceDN/>
        <w:bidi w:val="0"/>
        <w:adjustRightInd w:val="0"/>
        <w:snapToGrid w:val="0"/>
        <w:spacing w:line="400" w:lineRule="exact"/>
        <w:ind w:firstLine="444" w:firstLineChars="202"/>
        <w:jc w:val="left"/>
        <w:textAlignment w:val="auto"/>
        <w:outlineLvl w:val="0"/>
        <w:rPr>
          <w:rFonts w:ascii="宋体" w:hAnsi="宋体" w:eastAsia="宋体" w:cs="宋体"/>
          <w:bCs/>
          <w:color w:val="auto"/>
          <w:kern w:val="0"/>
          <w:sz w:val="22"/>
          <w:szCs w:val="22"/>
          <w:highlight w:val="none"/>
          <w:u w:val="none"/>
          <w:lang w:val="en-US" w:eastAsia="zh-CN"/>
        </w:rPr>
      </w:pPr>
      <w:r>
        <w:rPr>
          <w:rFonts w:hint="eastAsia" w:ascii="宋体" w:hAnsi="宋体" w:eastAsia="宋体" w:cs="宋体"/>
          <w:bCs/>
          <w:color w:val="auto"/>
          <w:kern w:val="0"/>
          <w:sz w:val="22"/>
          <w:szCs w:val="22"/>
          <w:highlight w:val="none"/>
          <w:u w:val="none"/>
          <w:lang w:val="en-US" w:eastAsia="zh-CN"/>
        </w:rPr>
        <w:t>1）</w:t>
      </w:r>
      <w:r>
        <w:rPr>
          <w:rFonts w:hint="eastAsia" w:hAnsi="宋体" w:cs="宋体"/>
          <w:bCs/>
          <w:color w:val="auto"/>
          <w:kern w:val="0"/>
          <w:sz w:val="22"/>
          <w:szCs w:val="22"/>
          <w:highlight w:val="none"/>
          <w:u w:val="none"/>
          <w:lang w:val="en-US" w:eastAsia="zh-CN"/>
        </w:rPr>
        <w:t>宜机化改造部分</w:t>
      </w:r>
      <w:r>
        <w:rPr>
          <w:rFonts w:hint="eastAsia" w:ascii="宋体" w:hAnsi="宋体" w:eastAsia="宋体" w:cs="宋体"/>
          <w:bCs/>
          <w:color w:val="auto"/>
          <w:kern w:val="0"/>
          <w:sz w:val="22"/>
          <w:szCs w:val="22"/>
          <w:highlight w:val="none"/>
          <w:u w:val="none"/>
          <w:lang w:val="en-US" w:eastAsia="zh-CN"/>
        </w:rPr>
        <w:t>：包含农田田块整治、灌溉与排水、田间道路、农田防护与生态环境保持、 耕作层土壤改良（肥料等） 、不可预见费等全部费用，详见工程量清单，甲方按实际数量结算费用。实施期须在10个月内完成改造，改造质量要求为合格，改造质保期为自工程部分验收合格之日起至少1年。</w:t>
      </w:r>
    </w:p>
    <w:p w14:paraId="7666647F">
      <w:pPr>
        <w:pStyle w:val="12"/>
        <w:keepNext w:val="0"/>
        <w:keepLines w:val="0"/>
        <w:pageBreakBefore w:val="0"/>
        <w:widowControl/>
        <w:kinsoku/>
        <w:wordWrap/>
        <w:overflowPunct/>
        <w:topLinePunct w:val="0"/>
        <w:autoSpaceDE/>
        <w:autoSpaceDN/>
        <w:bidi w:val="0"/>
        <w:adjustRightInd w:val="0"/>
        <w:snapToGrid w:val="0"/>
        <w:spacing w:line="400" w:lineRule="exact"/>
        <w:ind w:firstLine="444" w:firstLineChars="202"/>
        <w:jc w:val="left"/>
        <w:textAlignment w:val="auto"/>
        <w:outlineLvl w:val="0"/>
        <w:rPr>
          <w:rFonts w:hint="eastAsia" w:ascii="宋体" w:hAnsi="宋体" w:eastAsia="宋体" w:cs="宋体"/>
          <w:bCs/>
          <w:color w:val="auto"/>
          <w:kern w:val="0"/>
          <w:sz w:val="22"/>
          <w:szCs w:val="22"/>
          <w:highlight w:val="none"/>
          <w:u w:val="none"/>
          <w:lang w:val="en-US" w:eastAsia="zh-CN"/>
        </w:rPr>
      </w:pPr>
      <w:r>
        <w:rPr>
          <w:rFonts w:hint="eastAsia" w:ascii="宋体" w:hAnsi="宋体" w:eastAsia="宋体" w:cs="宋体"/>
          <w:bCs/>
          <w:color w:val="auto"/>
          <w:kern w:val="0"/>
          <w:sz w:val="22"/>
          <w:szCs w:val="22"/>
          <w:highlight w:val="none"/>
          <w:u w:val="none"/>
          <w:lang w:val="en-US" w:eastAsia="zh-CN"/>
        </w:rPr>
        <w:t>2）项目运营部分：</w:t>
      </w:r>
      <w:r>
        <w:rPr>
          <w:rFonts w:hint="eastAsia" w:hAnsi="宋体" w:cs="宋体"/>
          <w:bCs/>
          <w:color w:val="auto"/>
          <w:kern w:val="0"/>
          <w:sz w:val="22"/>
          <w:szCs w:val="22"/>
          <w:highlight w:val="none"/>
          <w:u w:val="none"/>
          <w:lang w:val="en-US" w:eastAsia="zh-CN"/>
        </w:rPr>
        <w:t>改造</w:t>
      </w:r>
      <w:r>
        <w:rPr>
          <w:rFonts w:hint="eastAsia" w:ascii="宋体" w:hAnsi="宋体" w:eastAsia="宋体" w:cs="宋体"/>
          <w:bCs/>
          <w:color w:val="auto"/>
          <w:kern w:val="0"/>
          <w:sz w:val="22"/>
          <w:szCs w:val="22"/>
          <w:highlight w:val="none"/>
          <w:u w:val="none"/>
          <w:lang w:val="en-US" w:eastAsia="zh-CN"/>
        </w:rPr>
        <w:t>实施完成后，进行耕种和管理养护。改造后耕种，主要负责水稻等粮油农作物、其他类作物的种植、培肥等；管理养护，主要负责项目</w:t>
      </w:r>
      <w:r>
        <w:rPr>
          <w:rFonts w:hint="eastAsia" w:hAnsi="宋体" w:cs="宋体"/>
          <w:bCs/>
          <w:color w:val="auto"/>
          <w:kern w:val="0"/>
          <w:sz w:val="22"/>
          <w:szCs w:val="22"/>
          <w:highlight w:val="none"/>
          <w:u w:val="none"/>
          <w:lang w:val="en-US" w:eastAsia="zh-CN"/>
        </w:rPr>
        <w:t>改造</w:t>
      </w:r>
      <w:r>
        <w:rPr>
          <w:rFonts w:hint="eastAsia" w:ascii="宋体" w:hAnsi="宋体" w:eastAsia="宋体" w:cs="宋体"/>
          <w:bCs/>
          <w:color w:val="auto"/>
          <w:kern w:val="0"/>
          <w:sz w:val="22"/>
          <w:szCs w:val="22"/>
          <w:highlight w:val="none"/>
          <w:u w:val="none"/>
          <w:lang w:val="en-US" w:eastAsia="zh-CN"/>
        </w:rPr>
        <w:t>后工程建设的基础设施完整和修缮。按照</w:t>
      </w:r>
      <w:r>
        <w:rPr>
          <w:rFonts w:hint="eastAsia" w:hAnsi="宋体" w:cs="宋体"/>
          <w:bCs/>
          <w:color w:val="auto"/>
          <w:kern w:val="0"/>
          <w:sz w:val="22"/>
          <w:szCs w:val="22"/>
          <w:highlight w:val="none"/>
          <w:u w:val="none"/>
          <w:lang w:val="en-US" w:eastAsia="zh-CN"/>
        </w:rPr>
        <w:t>甲方</w:t>
      </w:r>
      <w:r>
        <w:rPr>
          <w:rFonts w:hint="eastAsia" w:ascii="宋体" w:hAnsi="宋体" w:eastAsia="宋体" w:cs="宋体"/>
          <w:bCs/>
          <w:color w:val="auto"/>
          <w:kern w:val="0"/>
          <w:sz w:val="22"/>
          <w:szCs w:val="22"/>
          <w:highlight w:val="none"/>
          <w:u w:val="none"/>
          <w:lang w:val="en-US" w:eastAsia="zh-CN"/>
        </w:rPr>
        <w:t>、主管部门要求进行种植，每年至少种植一季粮油作物，不得抛荒，种植耕种补助范围及规定按上级补助要求。垦后耕种要求达到县农业农村局的验收标准。由运营单位享有种植成果，运营单位应精耕细作，努力提高耕种的质量和产量。管理养护要求满足项目实施的质量控制标准，并由县主管部门进行验收。改造</w:t>
      </w:r>
      <w:r>
        <w:rPr>
          <w:rFonts w:hint="eastAsia" w:hAnsi="宋体" w:cs="宋体"/>
          <w:bCs/>
          <w:color w:val="auto"/>
          <w:kern w:val="0"/>
          <w:sz w:val="22"/>
          <w:szCs w:val="22"/>
          <w:highlight w:val="none"/>
          <w:u w:val="none"/>
          <w:lang w:val="en-US" w:eastAsia="zh-CN"/>
        </w:rPr>
        <w:t>验收</w:t>
      </w:r>
      <w:r>
        <w:rPr>
          <w:rFonts w:hint="eastAsia" w:ascii="宋体" w:hAnsi="宋体" w:eastAsia="宋体" w:cs="宋体"/>
          <w:bCs/>
          <w:color w:val="auto"/>
          <w:kern w:val="0"/>
          <w:sz w:val="22"/>
          <w:szCs w:val="22"/>
          <w:highlight w:val="none"/>
          <w:u w:val="none"/>
          <w:lang w:val="en-US" w:eastAsia="zh-CN"/>
        </w:rPr>
        <w:t>后</w:t>
      </w:r>
      <w:r>
        <w:rPr>
          <w:rFonts w:hint="eastAsia" w:hAnsi="宋体" w:cs="宋体"/>
          <w:bCs/>
          <w:color w:val="auto"/>
          <w:kern w:val="0"/>
          <w:sz w:val="22"/>
          <w:szCs w:val="22"/>
          <w:highlight w:val="none"/>
          <w:u w:val="none"/>
          <w:lang w:val="en-US" w:eastAsia="zh-CN"/>
        </w:rPr>
        <w:t>的</w:t>
      </w:r>
      <w:r>
        <w:rPr>
          <w:rFonts w:hint="eastAsia" w:ascii="宋体" w:hAnsi="宋体" w:eastAsia="宋体" w:cs="宋体"/>
          <w:bCs/>
          <w:color w:val="auto"/>
          <w:kern w:val="0"/>
          <w:sz w:val="22"/>
          <w:szCs w:val="22"/>
          <w:highlight w:val="none"/>
          <w:u w:val="none"/>
          <w:lang w:val="en-US" w:eastAsia="zh-CN"/>
        </w:rPr>
        <w:t>一年</w:t>
      </w:r>
      <w:r>
        <w:rPr>
          <w:rFonts w:hint="eastAsia" w:hAnsi="宋体" w:cs="宋体"/>
          <w:bCs/>
          <w:color w:val="auto"/>
          <w:kern w:val="0"/>
          <w:sz w:val="22"/>
          <w:szCs w:val="22"/>
          <w:highlight w:val="none"/>
          <w:u w:val="none"/>
          <w:lang w:val="en-US" w:eastAsia="zh-CN"/>
        </w:rPr>
        <w:t>为项目运营过渡期</w:t>
      </w:r>
      <w:r>
        <w:rPr>
          <w:rFonts w:hint="eastAsia" w:ascii="宋体" w:hAnsi="宋体" w:eastAsia="宋体" w:cs="宋体"/>
          <w:bCs/>
          <w:color w:val="auto"/>
          <w:kern w:val="0"/>
          <w:sz w:val="22"/>
          <w:szCs w:val="22"/>
          <w:highlight w:val="none"/>
          <w:u w:val="none"/>
          <w:lang w:val="en-US" w:eastAsia="zh-CN"/>
        </w:rPr>
        <w:t>，</w:t>
      </w:r>
      <w:r>
        <w:rPr>
          <w:rFonts w:hint="eastAsia" w:hAnsi="宋体" w:cs="宋体"/>
          <w:bCs/>
          <w:color w:val="auto"/>
          <w:kern w:val="0"/>
          <w:sz w:val="22"/>
          <w:szCs w:val="22"/>
          <w:highlight w:val="none"/>
          <w:u w:val="none"/>
          <w:lang w:val="en-US" w:eastAsia="zh-CN"/>
        </w:rPr>
        <w:t>收益缴纳按上级政策和主管部门规定为准。</w:t>
      </w:r>
      <w:r>
        <w:rPr>
          <w:rFonts w:hint="eastAsia" w:ascii="宋体" w:hAnsi="宋体" w:eastAsia="宋体" w:cs="宋体"/>
          <w:bCs/>
          <w:color w:val="auto"/>
          <w:kern w:val="0"/>
          <w:sz w:val="22"/>
          <w:szCs w:val="22"/>
          <w:highlight w:val="none"/>
          <w:u w:val="none"/>
          <w:lang w:val="en-US" w:eastAsia="zh-CN"/>
        </w:rPr>
        <w:t>正式运营服务期：</w:t>
      </w:r>
      <w:r>
        <w:rPr>
          <w:rFonts w:hint="eastAsia" w:hAnsi="宋体" w:cs="宋体"/>
          <w:bCs/>
          <w:color w:val="auto"/>
          <w:kern w:val="0"/>
          <w:sz w:val="22"/>
          <w:szCs w:val="22"/>
          <w:highlight w:val="none"/>
          <w:u w:val="none"/>
          <w:lang w:val="en-US" w:eastAsia="zh-CN"/>
        </w:rPr>
        <w:t>三年</w:t>
      </w:r>
      <w:r>
        <w:rPr>
          <w:rFonts w:hint="eastAsia" w:ascii="宋体" w:hAnsi="宋体" w:eastAsia="宋体" w:cs="宋体"/>
          <w:bCs/>
          <w:color w:val="auto"/>
          <w:kern w:val="0"/>
          <w:sz w:val="22"/>
          <w:szCs w:val="22"/>
          <w:highlight w:val="none"/>
          <w:u w:val="none"/>
          <w:lang w:val="en-US" w:eastAsia="zh-CN"/>
        </w:rPr>
        <w:t>（</w:t>
      </w:r>
      <w:r>
        <w:rPr>
          <w:rFonts w:hint="eastAsia" w:hAnsi="宋体" w:cs="宋体"/>
          <w:bCs/>
          <w:color w:val="auto"/>
          <w:kern w:val="0"/>
          <w:sz w:val="22"/>
          <w:szCs w:val="22"/>
          <w:highlight w:val="none"/>
          <w:u w:val="none"/>
          <w:lang w:val="en-US" w:eastAsia="zh-CN"/>
        </w:rPr>
        <w:t>自过渡期满后开始计算，若上级政策及主管部门另有要求的，以其规定为准，乙方须无条件响应</w:t>
      </w:r>
      <w:r>
        <w:rPr>
          <w:rFonts w:hint="eastAsia" w:ascii="宋体" w:hAnsi="宋体" w:eastAsia="宋体" w:cs="宋体"/>
          <w:bCs/>
          <w:color w:val="auto"/>
          <w:kern w:val="0"/>
          <w:sz w:val="22"/>
          <w:szCs w:val="22"/>
          <w:highlight w:val="none"/>
          <w:u w:val="none"/>
          <w:lang w:val="en-US" w:eastAsia="zh-CN"/>
        </w:rPr>
        <w:t>）</w:t>
      </w:r>
      <w:r>
        <w:rPr>
          <w:rFonts w:hint="eastAsia" w:hAnsi="宋体" w:cs="宋体"/>
          <w:bCs/>
          <w:color w:val="auto"/>
          <w:kern w:val="0"/>
          <w:sz w:val="22"/>
          <w:szCs w:val="22"/>
          <w:highlight w:val="none"/>
          <w:u w:val="none"/>
          <w:lang w:val="en-US" w:eastAsia="zh-CN"/>
        </w:rPr>
        <w:t>，运营期满后以</w:t>
      </w:r>
      <w:r>
        <w:rPr>
          <w:rFonts w:hint="eastAsia" w:ascii="宋体" w:hAnsi="宋体" w:eastAsia="宋体" w:cs="宋体"/>
          <w:bCs/>
          <w:color w:val="auto"/>
          <w:kern w:val="0"/>
          <w:sz w:val="22"/>
          <w:szCs w:val="22"/>
          <w:highlight w:val="none"/>
          <w:u w:val="none"/>
          <w:lang w:val="en-US" w:eastAsia="zh-CN"/>
        </w:rPr>
        <w:t>上级政策及主管部门</w:t>
      </w:r>
      <w:r>
        <w:rPr>
          <w:rFonts w:hint="eastAsia" w:hAnsi="宋体" w:cs="宋体"/>
          <w:bCs/>
          <w:color w:val="auto"/>
          <w:kern w:val="0"/>
          <w:sz w:val="22"/>
          <w:szCs w:val="22"/>
          <w:highlight w:val="none"/>
          <w:u w:val="none"/>
          <w:lang w:val="en-US" w:eastAsia="zh-CN"/>
        </w:rPr>
        <w:t>为准</w:t>
      </w:r>
      <w:r>
        <w:rPr>
          <w:rFonts w:hint="eastAsia" w:ascii="宋体" w:hAnsi="宋体" w:eastAsia="宋体" w:cs="宋体"/>
          <w:bCs/>
          <w:color w:val="auto"/>
          <w:kern w:val="0"/>
          <w:sz w:val="22"/>
          <w:szCs w:val="22"/>
          <w:highlight w:val="none"/>
          <w:u w:val="none"/>
          <w:lang w:val="en-US" w:eastAsia="zh-CN"/>
        </w:rPr>
        <w:t>。</w:t>
      </w:r>
    </w:p>
    <w:p w14:paraId="50991946">
      <w:pPr>
        <w:pStyle w:val="12"/>
        <w:keepNext w:val="0"/>
        <w:keepLines w:val="0"/>
        <w:pageBreakBefore w:val="0"/>
        <w:widowControl/>
        <w:kinsoku/>
        <w:wordWrap/>
        <w:overflowPunct/>
        <w:topLinePunct w:val="0"/>
        <w:autoSpaceDE/>
        <w:autoSpaceDN/>
        <w:bidi w:val="0"/>
        <w:adjustRightInd w:val="0"/>
        <w:snapToGrid w:val="0"/>
        <w:spacing w:line="400" w:lineRule="exact"/>
        <w:ind w:firstLine="444" w:firstLineChars="202"/>
        <w:jc w:val="left"/>
        <w:textAlignment w:val="auto"/>
        <w:outlineLvl w:val="0"/>
        <w:rPr>
          <w:rFonts w:hint="eastAsia" w:ascii="宋体" w:hAnsi="宋体" w:eastAsia="宋体" w:cs="宋体"/>
          <w:bCs/>
          <w:color w:val="auto"/>
          <w:kern w:val="0"/>
          <w:sz w:val="22"/>
          <w:szCs w:val="22"/>
          <w:highlight w:val="none"/>
        </w:rPr>
      </w:pPr>
      <w:r>
        <w:rPr>
          <w:rFonts w:hint="eastAsia" w:ascii="宋体" w:hAnsi="宋体" w:eastAsia="宋体" w:cs="宋体"/>
          <w:bCs/>
          <w:color w:val="auto"/>
          <w:kern w:val="0"/>
          <w:sz w:val="22"/>
          <w:szCs w:val="22"/>
          <w:highlight w:val="none"/>
          <w:u w:val="none"/>
          <w:lang w:val="en-US" w:eastAsia="zh-CN"/>
        </w:rPr>
        <w:t>3）项目按立项文件要求，并通过县级验收，实现最终入库，完成</w:t>
      </w:r>
      <w:r>
        <w:rPr>
          <w:rFonts w:hint="eastAsia" w:hAnsi="宋体" w:cs="宋体"/>
          <w:bCs/>
          <w:color w:val="auto"/>
          <w:kern w:val="0"/>
          <w:sz w:val="22"/>
          <w:szCs w:val="22"/>
          <w:highlight w:val="none"/>
          <w:u w:val="none"/>
          <w:lang w:val="en-US" w:eastAsia="zh-CN"/>
        </w:rPr>
        <w:t>报备入库</w:t>
      </w:r>
      <w:r>
        <w:rPr>
          <w:rFonts w:hint="eastAsia" w:ascii="宋体" w:hAnsi="宋体" w:eastAsia="宋体" w:cs="宋体"/>
          <w:bCs/>
          <w:color w:val="auto"/>
          <w:kern w:val="0"/>
          <w:sz w:val="22"/>
          <w:szCs w:val="22"/>
          <w:highlight w:val="none"/>
        </w:rPr>
        <w:t>、</w:t>
      </w:r>
      <w:r>
        <w:rPr>
          <w:rFonts w:hint="eastAsia" w:ascii="宋体" w:hAnsi="宋体" w:eastAsia="宋体" w:cs="宋体"/>
          <w:bCs/>
          <w:color w:val="auto"/>
          <w:kern w:val="0"/>
          <w:sz w:val="22"/>
          <w:szCs w:val="22"/>
          <w:highlight w:val="none"/>
          <w:lang w:val="en-US" w:eastAsia="zh-CN"/>
        </w:rPr>
        <w:t>协助</w:t>
      </w:r>
      <w:r>
        <w:rPr>
          <w:rFonts w:hint="eastAsia" w:hAnsi="宋体" w:cs="宋体"/>
          <w:bCs/>
          <w:color w:val="auto"/>
          <w:kern w:val="0"/>
          <w:sz w:val="22"/>
          <w:szCs w:val="22"/>
          <w:highlight w:val="none"/>
          <w:lang w:val="en-US" w:eastAsia="zh-CN"/>
        </w:rPr>
        <w:t>甲方</w:t>
      </w:r>
      <w:r>
        <w:rPr>
          <w:rFonts w:hint="eastAsia" w:ascii="宋体" w:hAnsi="宋体" w:eastAsia="宋体" w:cs="宋体"/>
          <w:bCs/>
          <w:color w:val="auto"/>
          <w:kern w:val="0"/>
          <w:sz w:val="22"/>
          <w:szCs w:val="22"/>
          <w:highlight w:val="none"/>
          <w:lang w:val="en-US" w:eastAsia="zh-CN"/>
        </w:rPr>
        <w:t>备案、项目实施</w:t>
      </w:r>
      <w:r>
        <w:rPr>
          <w:rFonts w:hint="eastAsia" w:ascii="宋体" w:hAnsi="宋体" w:eastAsia="宋体" w:cs="宋体"/>
          <w:bCs/>
          <w:color w:val="auto"/>
          <w:kern w:val="0"/>
          <w:sz w:val="22"/>
          <w:szCs w:val="22"/>
          <w:highlight w:val="none"/>
        </w:rPr>
        <w:t>保险</w:t>
      </w:r>
      <w:r>
        <w:rPr>
          <w:rFonts w:hint="eastAsia" w:ascii="宋体" w:hAnsi="宋体" w:eastAsia="宋体" w:cs="宋体"/>
          <w:bCs/>
          <w:color w:val="auto"/>
          <w:kern w:val="0"/>
          <w:sz w:val="22"/>
          <w:szCs w:val="22"/>
          <w:highlight w:val="none"/>
          <w:lang w:eastAsia="zh-CN"/>
        </w:rPr>
        <w:t>、立项验收资料归档</w:t>
      </w:r>
      <w:r>
        <w:rPr>
          <w:rFonts w:hint="eastAsia" w:ascii="宋体" w:hAnsi="宋体" w:eastAsia="宋体" w:cs="宋体"/>
          <w:bCs/>
          <w:color w:val="auto"/>
          <w:kern w:val="0"/>
          <w:sz w:val="22"/>
          <w:szCs w:val="22"/>
          <w:highlight w:val="none"/>
          <w:lang w:val="en-US" w:eastAsia="zh-CN"/>
        </w:rPr>
        <w:t>等</w:t>
      </w:r>
      <w:r>
        <w:rPr>
          <w:rFonts w:hint="eastAsia" w:ascii="宋体" w:hAnsi="宋体" w:eastAsia="宋体" w:cs="宋体"/>
          <w:bCs/>
          <w:color w:val="auto"/>
          <w:kern w:val="0"/>
          <w:sz w:val="22"/>
          <w:szCs w:val="22"/>
          <w:highlight w:val="none"/>
        </w:rPr>
        <w:t>。</w:t>
      </w:r>
    </w:p>
    <w:p w14:paraId="6E447C24">
      <w:pPr>
        <w:pStyle w:val="12"/>
        <w:keepNext w:val="0"/>
        <w:keepLines w:val="0"/>
        <w:pageBreakBefore w:val="0"/>
        <w:widowControl/>
        <w:kinsoku/>
        <w:wordWrap/>
        <w:overflowPunct/>
        <w:topLinePunct w:val="0"/>
        <w:autoSpaceDE/>
        <w:autoSpaceDN/>
        <w:bidi w:val="0"/>
        <w:adjustRightInd w:val="0"/>
        <w:snapToGrid w:val="0"/>
        <w:spacing w:line="400" w:lineRule="exact"/>
        <w:ind w:firstLine="444" w:firstLineChars="202"/>
        <w:jc w:val="left"/>
        <w:textAlignment w:val="auto"/>
        <w:outlineLvl w:val="0"/>
        <w:rPr>
          <w:rFonts w:hint="eastAsia" w:ascii="宋体" w:hAnsi="宋体" w:eastAsia="宋体" w:cs="宋体"/>
          <w:bCs/>
          <w:color w:val="auto"/>
          <w:kern w:val="0"/>
          <w:sz w:val="22"/>
          <w:szCs w:val="22"/>
          <w:highlight w:val="none"/>
          <w:u w:val="none"/>
          <w:lang w:val="en-US" w:eastAsia="zh-CN"/>
        </w:rPr>
      </w:pPr>
      <w:r>
        <w:rPr>
          <w:rFonts w:hint="eastAsia" w:hAnsi="宋体" w:cs="宋体"/>
          <w:bCs/>
          <w:color w:val="auto"/>
          <w:kern w:val="0"/>
          <w:sz w:val="22"/>
          <w:szCs w:val="22"/>
          <w:highlight w:val="none"/>
          <w:u w:val="none"/>
          <w:lang w:val="en-US" w:eastAsia="zh-CN"/>
        </w:rPr>
        <w:t>6</w:t>
      </w:r>
      <w:r>
        <w:rPr>
          <w:rFonts w:hint="eastAsia" w:ascii="宋体" w:hAnsi="宋体" w:eastAsia="宋体" w:cs="宋体"/>
          <w:bCs/>
          <w:color w:val="auto"/>
          <w:kern w:val="0"/>
          <w:sz w:val="22"/>
          <w:szCs w:val="22"/>
          <w:highlight w:val="none"/>
          <w:u w:val="none"/>
          <w:lang w:val="en-US" w:eastAsia="zh-CN"/>
        </w:rPr>
        <w:t>.本项目通过</w:t>
      </w:r>
      <w:r>
        <w:rPr>
          <w:rFonts w:hint="eastAsia" w:hAnsi="宋体" w:cs="宋体"/>
          <w:bCs/>
          <w:color w:val="auto"/>
          <w:kern w:val="0"/>
          <w:sz w:val="22"/>
          <w:szCs w:val="22"/>
          <w:highlight w:val="none"/>
          <w:u w:val="none"/>
          <w:lang w:val="en-US" w:eastAsia="zh-CN"/>
        </w:rPr>
        <w:t>改造</w:t>
      </w:r>
      <w:r>
        <w:rPr>
          <w:rFonts w:hint="eastAsia" w:ascii="宋体" w:hAnsi="宋体" w:eastAsia="宋体" w:cs="宋体"/>
          <w:bCs/>
          <w:color w:val="auto"/>
          <w:kern w:val="0"/>
          <w:sz w:val="22"/>
          <w:szCs w:val="22"/>
          <w:highlight w:val="none"/>
          <w:u w:val="none"/>
          <w:lang w:val="en-US" w:eastAsia="zh-CN"/>
        </w:rPr>
        <w:t>后，对项目进行整体运营，采取运营收益上缴方式，</w:t>
      </w:r>
      <w:r>
        <w:rPr>
          <w:rFonts w:hint="eastAsia" w:hAnsi="宋体" w:cs="宋体"/>
          <w:bCs/>
          <w:color w:val="auto"/>
          <w:kern w:val="0"/>
          <w:sz w:val="22"/>
          <w:szCs w:val="22"/>
          <w:highlight w:val="none"/>
          <w:u w:val="none"/>
          <w:lang w:val="en-US" w:eastAsia="zh-CN"/>
        </w:rPr>
        <w:t>收益为</w:t>
      </w:r>
      <w:r>
        <w:rPr>
          <w:rFonts w:hint="eastAsia" w:hAnsi="宋体" w:cs="宋体"/>
          <w:bCs/>
          <w:color w:val="auto"/>
          <w:kern w:val="0"/>
          <w:sz w:val="22"/>
          <w:szCs w:val="22"/>
          <w:highlight w:val="none"/>
          <w:u w:val="single"/>
          <w:lang w:val="en-US" w:eastAsia="zh-CN"/>
        </w:rPr>
        <w:t xml:space="preserve">   </w:t>
      </w:r>
      <w:r>
        <w:rPr>
          <w:rFonts w:hint="eastAsia" w:ascii="宋体" w:hAnsi="宋体" w:eastAsia="宋体" w:cs="宋体"/>
          <w:bCs/>
          <w:color w:val="auto"/>
          <w:kern w:val="0"/>
          <w:sz w:val="22"/>
          <w:szCs w:val="22"/>
          <w:highlight w:val="none"/>
          <w:u w:val="none"/>
          <w:lang w:val="en-US" w:eastAsia="zh-CN"/>
        </w:rPr>
        <w:t>元/亩/年，按实际亩数计算上缴费用</w:t>
      </w:r>
      <w:r>
        <w:rPr>
          <w:rFonts w:hint="eastAsia" w:hAnsi="宋体" w:cs="宋体"/>
          <w:bCs/>
          <w:color w:val="auto"/>
          <w:kern w:val="0"/>
          <w:sz w:val="22"/>
          <w:szCs w:val="22"/>
          <w:highlight w:val="none"/>
          <w:u w:val="none"/>
          <w:lang w:val="en-US" w:eastAsia="zh-CN"/>
        </w:rPr>
        <w:t>，</w:t>
      </w:r>
      <w:r>
        <w:rPr>
          <w:rFonts w:hint="eastAsia" w:ascii="宋体" w:hAnsi="宋体" w:eastAsia="宋体" w:cs="宋体"/>
          <w:bCs/>
          <w:color w:val="auto"/>
          <w:kern w:val="0"/>
          <w:sz w:val="22"/>
          <w:szCs w:val="22"/>
          <w:highlight w:val="none"/>
          <w:u w:val="none"/>
          <w:lang w:val="en-US" w:eastAsia="zh-CN"/>
        </w:rPr>
        <w:t>运营收益</w:t>
      </w:r>
      <w:r>
        <w:rPr>
          <w:rFonts w:hint="eastAsia" w:hAnsi="宋体" w:cs="宋体"/>
          <w:bCs/>
          <w:color w:val="auto"/>
          <w:kern w:val="0"/>
          <w:sz w:val="22"/>
          <w:szCs w:val="22"/>
          <w:highlight w:val="none"/>
          <w:u w:val="none"/>
          <w:lang w:val="en-US" w:eastAsia="zh-CN"/>
        </w:rPr>
        <w:t>自</w:t>
      </w:r>
      <w:r>
        <w:rPr>
          <w:rFonts w:hint="eastAsia" w:ascii="宋体" w:hAnsi="宋体" w:eastAsia="宋体" w:cs="宋体"/>
          <w:bCs/>
          <w:color w:val="auto"/>
          <w:kern w:val="0"/>
          <w:sz w:val="22"/>
          <w:szCs w:val="22"/>
          <w:highlight w:val="none"/>
          <w:u w:val="none"/>
          <w:lang w:val="en-US" w:eastAsia="zh-CN"/>
        </w:rPr>
        <w:t>改造验收后的一年后开始缴纳，一年一交，在每年度3月前缴纳当年收益，统一交入县或相应乡镇财政专户。另有规定的，按上级政策和主管部门规定为准。同时</w:t>
      </w:r>
      <w:r>
        <w:rPr>
          <w:rFonts w:hint="eastAsia" w:hAnsi="宋体" w:cs="宋体"/>
          <w:bCs/>
          <w:color w:val="auto"/>
          <w:kern w:val="0"/>
          <w:sz w:val="22"/>
          <w:szCs w:val="22"/>
          <w:highlight w:val="none"/>
          <w:u w:val="none"/>
          <w:lang w:val="en-US" w:eastAsia="zh-CN"/>
        </w:rPr>
        <w:t>乙方</w:t>
      </w:r>
      <w:r>
        <w:rPr>
          <w:rFonts w:hint="eastAsia" w:ascii="宋体" w:hAnsi="宋体" w:eastAsia="宋体" w:cs="宋体"/>
          <w:bCs/>
          <w:color w:val="auto"/>
          <w:kern w:val="0"/>
          <w:sz w:val="22"/>
          <w:szCs w:val="22"/>
          <w:highlight w:val="none"/>
          <w:u w:val="none"/>
          <w:lang w:val="en-US" w:eastAsia="zh-CN"/>
        </w:rPr>
        <w:t>须根据实际</w:t>
      </w:r>
      <w:r>
        <w:rPr>
          <w:rFonts w:hint="eastAsia" w:hAnsi="宋体" w:cs="宋体"/>
          <w:bCs/>
          <w:color w:val="auto"/>
          <w:kern w:val="0"/>
          <w:sz w:val="22"/>
          <w:szCs w:val="22"/>
          <w:highlight w:val="none"/>
          <w:u w:val="none"/>
          <w:lang w:val="en-US" w:eastAsia="zh-CN"/>
        </w:rPr>
        <w:t>改造</w:t>
      </w:r>
      <w:r>
        <w:rPr>
          <w:rFonts w:hint="eastAsia" w:ascii="宋体" w:hAnsi="宋体" w:eastAsia="宋体" w:cs="宋体"/>
          <w:bCs/>
          <w:color w:val="auto"/>
          <w:kern w:val="0"/>
          <w:sz w:val="22"/>
          <w:szCs w:val="22"/>
          <w:highlight w:val="none"/>
          <w:u w:val="none"/>
          <w:lang w:val="en-US" w:eastAsia="zh-CN"/>
        </w:rPr>
        <w:t>亩数支付土地租金费用给村集体，本项目</w:t>
      </w:r>
      <w:r>
        <w:rPr>
          <w:rFonts w:hint="eastAsia" w:hAnsi="宋体" w:cs="宋体"/>
          <w:bCs/>
          <w:color w:val="auto"/>
          <w:kern w:val="0"/>
          <w:sz w:val="22"/>
          <w:szCs w:val="22"/>
          <w:highlight w:val="none"/>
          <w:u w:val="none"/>
          <w:lang w:val="en-US" w:eastAsia="zh-CN"/>
        </w:rPr>
        <w:t>与村集体协商确定</w:t>
      </w:r>
      <w:r>
        <w:rPr>
          <w:rFonts w:hint="eastAsia" w:ascii="宋体" w:hAnsi="宋体" w:eastAsia="宋体" w:cs="宋体"/>
          <w:bCs/>
          <w:color w:val="auto"/>
          <w:kern w:val="0"/>
          <w:sz w:val="22"/>
          <w:szCs w:val="22"/>
          <w:highlight w:val="none"/>
          <w:u w:val="none"/>
          <w:lang w:val="en-US" w:eastAsia="zh-CN"/>
        </w:rPr>
        <w:t>租金费用</w:t>
      </w:r>
      <w:r>
        <w:rPr>
          <w:rFonts w:hint="eastAsia" w:hAnsi="宋体" w:cs="宋体"/>
          <w:bCs/>
          <w:color w:val="auto"/>
          <w:kern w:val="0"/>
          <w:sz w:val="22"/>
          <w:szCs w:val="22"/>
          <w:highlight w:val="none"/>
          <w:u w:val="none"/>
          <w:lang w:val="en-US" w:eastAsia="zh-CN"/>
        </w:rPr>
        <w:t>为</w:t>
      </w:r>
      <w:r>
        <w:rPr>
          <w:rFonts w:hint="eastAsia" w:ascii="宋体" w:hAnsi="宋体" w:eastAsia="宋体" w:cs="宋体"/>
          <w:bCs/>
          <w:color w:val="auto"/>
          <w:kern w:val="0"/>
          <w:sz w:val="22"/>
          <w:szCs w:val="22"/>
          <w:highlight w:val="none"/>
          <w:u w:val="single"/>
          <w:lang w:val="en-US" w:eastAsia="zh-CN"/>
        </w:rPr>
        <w:t xml:space="preserve">      </w:t>
      </w:r>
      <w:r>
        <w:rPr>
          <w:rFonts w:hint="eastAsia" w:ascii="宋体" w:hAnsi="宋体" w:eastAsia="宋体" w:cs="宋体"/>
          <w:bCs/>
          <w:color w:val="auto"/>
          <w:kern w:val="0"/>
          <w:sz w:val="22"/>
          <w:szCs w:val="22"/>
          <w:highlight w:val="none"/>
          <w:u w:val="none"/>
          <w:lang w:val="en-US" w:eastAsia="zh-CN"/>
        </w:rPr>
        <w:t>元/亩/年，</w:t>
      </w:r>
      <w:r>
        <w:rPr>
          <w:rFonts w:hint="eastAsia" w:hAnsi="宋体" w:cs="宋体"/>
          <w:bCs/>
          <w:color w:val="auto"/>
          <w:kern w:val="0"/>
          <w:sz w:val="22"/>
          <w:szCs w:val="22"/>
          <w:highlight w:val="none"/>
          <w:u w:val="none"/>
          <w:lang w:val="en-US" w:eastAsia="zh-CN"/>
        </w:rPr>
        <w:t>租金自实施改造进场施工之日起开始计算并一次性缴纳</w:t>
      </w:r>
      <w:r>
        <w:rPr>
          <w:rFonts w:hint="eastAsia" w:ascii="宋体" w:hAnsi="宋体" w:eastAsia="宋体" w:cs="宋体"/>
          <w:bCs/>
          <w:color w:val="auto"/>
          <w:kern w:val="0"/>
          <w:sz w:val="22"/>
          <w:szCs w:val="22"/>
          <w:highlight w:val="none"/>
          <w:u w:val="none"/>
          <w:lang w:val="en-US" w:eastAsia="zh-CN"/>
        </w:rPr>
        <w:t>。</w:t>
      </w:r>
    </w:p>
    <w:p w14:paraId="46585D3A">
      <w:pPr>
        <w:keepNext w:val="0"/>
        <w:keepLines w:val="0"/>
        <w:pageBreakBefore w:val="0"/>
        <w:widowControl w:val="0"/>
        <w:kinsoku/>
        <w:wordWrap/>
        <w:overflowPunct/>
        <w:topLinePunct w:val="0"/>
        <w:autoSpaceDE/>
        <w:autoSpaceDN/>
        <w:bidi w:val="0"/>
        <w:spacing w:line="400" w:lineRule="exact"/>
        <w:ind w:firstLine="440" w:firstLineChars="200"/>
        <w:textAlignment w:val="auto"/>
        <w:outlineLvl w:val="9"/>
        <w:rPr>
          <w:rFonts w:hint="eastAsia" w:ascii="宋体" w:hAnsi="宋体" w:eastAsia="宋体" w:cs="宋体"/>
          <w:bCs/>
          <w:color w:val="auto"/>
          <w:kern w:val="0"/>
          <w:sz w:val="22"/>
          <w:szCs w:val="22"/>
          <w:highlight w:val="none"/>
          <w:u w:val="none"/>
          <w:lang w:val="en-US" w:eastAsia="zh-CN"/>
        </w:rPr>
      </w:pPr>
      <w:r>
        <w:rPr>
          <w:rFonts w:hint="eastAsia" w:ascii="宋体" w:hAnsi="宋体" w:cs="宋体"/>
          <w:bCs/>
          <w:color w:val="auto"/>
          <w:kern w:val="0"/>
          <w:sz w:val="22"/>
          <w:szCs w:val="22"/>
          <w:highlight w:val="none"/>
          <w:u w:val="none"/>
          <w:lang w:val="en-US" w:eastAsia="zh-CN"/>
        </w:rPr>
        <w:t>7</w:t>
      </w:r>
      <w:r>
        <w:rPr>
          <w:rFonts w:hint="eastAsia" w:ascii="宋体" w:hAnsi="宋体" w:eastAsia="宋体" w:cs="宋体"/>
          <w:bCs/>
          <w:color w:val="auto"/>
          <w:kern w:val="0"/>
          <w:sz w:val="22"/>
          <w:szCs w:val="22"/>
          <w:highlight w:val="none"/>
          <w:u w:val="none"/>
          <w:lang w:val="en-US" w:eastAsia="zh-CN"/>
        </w:rPr>
        <w:t>.未经</w:t>
      </w:r>
      <w:r>
        <w:rPr>
          <w:rFonts w:hint="eastAsia" w:ascii="宋体" w:hAnsi="宋体" w:cs="宋体"/>
          <w:bCs/>
          <w:color w:val="auto"/>
          <w:kern w:val="0"/>
          <w:sz w:val="22"/>
          <w:szCs w:val="22"/>
          <w:highlight w:val="none"/>
          <w:u w:val="none"/>
          <w:lang w:val="en-US" w:eastAsia="zh-CN"/>
        </w:rPr>
        <w:t>甲方、丙方</w:t>
      </w:r>
      <w:r>
        <w:rPr>
          <w:rFonts w:hint="eastAsia" w:ascii="宋体" w:hAnsi="宋体" w:eastAsia="宋体" w:cs="宋体"/>
          <w:bCs/>
          <w:color w:val="auto"/>
          <w:kern w:val="0"/>
          <w:sz w:val="22"/>
          <w:szCs w:val="22"/>
          <w:highlight w:val="none"/>
          <w:u w:val="none"/>
          <w:lang w:val="en-US" w:eastAsia="zh-CN"/>
        </w:rPr>
        <w:t>书面同意，不得进行转包、分包。</w:t>
      </w:r>
    </w:p>
    <w:p w14:paraId="663F4BDF">
      <w:pPr>
        <w:keepNext w:val="0"/>
        <w:keepLines w:val="0"/>
        <w:pageBreakBefore w:val="0"/>
        <w:widowControl w:val="0"/>
        <w:kinsoku/>
        <w:wordWrap/>
        <w:overflowPunct/>
        <w:topLinePunct w:val="0"/>
        <w:autoSpaceDE/>
        <w:autoSpaceDN/>
        <w:bidi w:val="0"/>
        <w:spacing w:line="400" w:lineRule="exact"/>
        <w:ind w:firstLine="440" w:firstLineChars="200"/>
        <w:textAlignment w:val="auto"/>
        <w:outlineLvl w:val="9"/>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8</w:t>
      </w:r>
      <w:r>
        <w:rPr>
          <w:rFonts w:hint="eastAsia" w:ascii="宋体" w:hAnsi="宋体" w:eastAsia="宋体" w:cs="宋体"/>
          <w:color w:val="auto"/>
          <w:sz w:val="22"/>
          <w:szCs w:val="22"/>
          <w:highlight w:val="none"/>
        </w:rPr>
        <w:t>.下列文件应视为构成合同文件的组成部分：</w:t>
      </w:r>
    </w:p>
    <w:p w14:paraId="7290A4C6">
      <w:pPr>
        <w:keepNext w:val="0"/>
        <w:keepLines w:val="0"/>
        <w:pageBreakBefore w:val="0"/>
        <w:widowControl w:val="0"/>
        <w:kinsoku/>
        <w:wordWrap/>
        <w:overflowPunct/>
        <w:topLinePunct w:val="0"/>
        <w:bidi w:val="0"/>
        <w:snapToGrid w:val="0"/>
        <w:spacing w:line="400" w:lineRule="exact"/>
        <w:ind w:firstLine="387" w:firstLineChars="176"/>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（1）合同协议书及各种合同附件(含补充协议、评标期间和合同谈判过程中的澄清文件和补充资料)；</w:t>
      </w:r>
    </w:p>
    <w:p w14:paraId="189D4186">
      <w:pPr>
        <w:keepNext w:val="0"/>
        <w:keepLines w:val="0"/>
        <w:pageBreakBefore w:val="0"/>
        <w:widowControl w:val="0"/>
        <w:kinsoku/>
        <w:wordWrap/>
        <w:overflowPunct/>
        <w:topLinePunct w:val="0"/>
        <w:bidi w:val="0"/>
        <w:snapToGrid w:val="0"/>
        <w:spacing w:line="400" w:lineRule="exact"/>
        <w:ind w:firstLine="387" w:firstLineChars="176"/>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（2）</w:t>
      </w:r>
      <w:r>
        <w:rPr>
          <w:rFonts w:hint="eastAsia" w:ascii="宋体" w:hAnsi="宋体" w:eastAsia="宋体" w:cs="宋体"/>
          <w:color w:val="auto"/>
          <w:sz w:val="22"/>
          <w:szCs w:val="22"/>
          <w:highlight w:val="none"/>
          <w:lang w:val="en-US" w:eastAsia="zh-CN"/>
        </w:rPr>
        <w:t>招标文件</w:t>
      </w:r>
      <w:r>
        <w:rPr>
          <w:rFonts w:hint="eastAsia" w:ascii="宋体" w:hAnsi="宋体" w:eastAsia="宋体" w:cs="宋体"/>
          <w:color w:val="auto"/>
          <w:sz w:val="22"/>
          <w:szCs w:val="22"/>
          <w:highlight w:val="none"/>
        </w:rPr>
        <w:t>；</w:t>
      </w:r>
    </w:p>
    <w:p w14:paraId="5E4FDC61">
      <w:pPr>
        <w:keepNext w:val="0"/>
        <w:keepLines w:val="0"/>
        <w:pageBreakBefore w:val="0"/>
        <w:widowControl w:val="0"/>
        <w:kinsoku/>
        <w:wordWrap/>
        <w:overflowPunct/>
        <w:topLinePunct w:val="0"/>
        <w:bidi w:val="0"/>
        <w:snapToGrid w:val="0"/>
        <w:spacing w:line="400" w:lineRule="exact"/>
        <w:ind w:firstLine="387" w:firstLineChars="176"/>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（3）</w:t>
      </w:r>
      <w:r>
        <w:rPr>
          <w:rFonts w:hint="eastAsia" w:ascii="宋体" w:hAnsi="宋体" w:eastAsia="宋体" w:cs="宋体"/>
          <w:color w:val="auto"/>
          <w:sz w:val="22"/>
          <w:szCs w:val="22"/>
          <w:highlight w:val="none"/>
          <w:lang w:val="en-US" w:eastAsia="zh-CN"/>
        </w:rPr>
        <w:t>中标（成交）</w:t>
      </w:r>
      <w:r>
        <w:rPr>
          <w:rFonts w:hint="eastAsia" w:ascii="宋体" w:hAnsi="宋体" w:eastAsia="宋体" w:cs="宋体"/>
          <w:color w:val="auto"/>
          <w:sz w:val="22"/>
          <w:szCs w:val="22"/>
          <w:highlight w:val="none"/>
        </w:rPr>
        <w:t>通知书；</w:t>
      </w:r>
    </w:p>
    <w:p w14:paraId="7EA958B8">
      <w:pPr>
        <w:keepNext w:val="0"/>
        <w:keepLines w:val="0"/>
        <w:pageBreakBefore w:val="0"/>
        <w:widowControl w:val="0"/>
        <w:kinsoku/>
        <w:wordWrap/>
        <w:overflowPunct/>
        <w:topLinePunct w:val="0"/>
        <w:bidi w:val="0"/>
        <w:snapToGrid w:val="0"/>
        <w:spacing w:line="400" w:lineRule="exact"/>
        <w:ind w:firstLine="387" w:firstLineChars="176"/>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（4）国家及行业标准、规范及有关技术资料</w:t>
      </w:r>
    </w:p>
    <w:p w14:paraId="5A34EF22">
      <w:pPr>
        <w:keepNext w:val="0"/>
        <w:keepLines w:val="0"/>
        <w:pageBreakBefore w:val="0"/>
        <w:widowControl w:val="0"/>
        <w:kinsoku/>
        <w:wordWrap/>
        <w:overflowPunct/>
        <w:topLinePunct w:val="0"/>
        <w:bidi w:val="0"/>
        <w:snapToGrid w:val="0"/>
        <w:spacing w:line="400" w:lineRule="exact"/>
        <w:ind w:firstLine="387" w:firstLineChars="176"/>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eastAsia="zh-CN"/>
        </w:rPr>
        <w:t>（</w:t>
      </w:r>
      <w:r>
        <w:rPr>
          <w:rFonts w:hint="eastAsia" w:ascii="宋体" w:hAnsi="宋体" w:eastAsia="宋体" w:cs="宋体"/>
          <w:color w:val="auto"/>
          <w:sz w:val="22"/>
          <w:szCs w:val="22"/>
          <w:highlight w:val="none"/>
          <w:lang w:val="en-US" w:eastAsia="zh-CN"/>
        </w:rPr>
        <w:t>5</w:t>
      </w:r>
      <w:r>
        <w:rPr>
          <w:rFonts w:hint="eastAsia" w:ascii="宋体" w:hAnsi="宋体" w:eastAsia="宋体" w:cs="宋体"/>
          <w:color w:val="auto"/>
          <w:sz w:val="22"/>
          <w:szCs w:val="22"/>
          <w:highlight w:val="none"/>
          <w:lang w:eastAsia="zh-CN"/>
        </w:rPr>
        <w:t>）</w:t>
      </w:r>
      <w:r>
        <w:rPr>
          <w:rFonts w:hint="eastAsia" w:ascii="宋体" w:hAnsi="宋体" w:eastAsia="宋体" w:cs="宋体"/>
          <w:color w:val="auto"/>
          <w:sz w:val="22"/>
          <w:szCs w:val="22"/>
          <w:highlight w:val="none"/>
          <w:lang w:val="en-US" w:eastAsia="zh-CN"/>
        </w:rPr>
        <w:t>投标文件</w:t>
      </w:r>
      <w:r>
        <w:rPr>
          <w:rFonts w:hint="eastAsia" w:ascii="宋体" w:hAnsi="宋体" w:eastAsia="宋体" w:cs="宋体"/>
          <w:color w:val="auto"/>
          <w:sz w:val="22"/>
          <w:szCs w:val="22"/>
          <w:highlight w:val="none"/>
        </w:rPr>
        <w:t>；</w:t>
      </w:r>
    </w:p>
    <w:p w14:paraId="04EBF165">
      <w:pPr>
        <w:keepNext w:val="0"/>
        <w:keepLines w:val="0"/>
        <w:pageBreakBefore w:val="0"/>
        <w:widowControl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w:t>
      </w:r>
      <w:r>
        <w:rPr>
          <w:rFonts w:hint="eastAsia" w:ascii="宋体" w:hAnsi="宋体" w:eastAsia="宋体" w:cs="宋体"/>
          <w:color w:val="auto"/>
          <w:sz w:val="22"/>
          <w:szCs w:val="22"/>
          <w:highlight w:val="none"/>
          <w:lang w:val="en-US" w:eastAsia="zh-CN"/>
        </w:rPr>
        <w:t>6</w:t>
      </w:r>
      <w:r>
        <w:rPr>
          <w:rFonts w:hint="eastAsia" w:ascii="宋体" w:hAnsi="宋体" w:eastAsia="宋体" w:cs="宋体"/>
          <w:color w:val="auto"/>
          <w:sz w:val="22"/>
          <w:szCs w:val="22"/>
          <w:highlight w:val="none"/>
        </w:rPr>
        <w:t>）其他合同文件。</w:t>
      </w:r>
    </w:p>
    <w:p w14:paraId="47FADFB8">
      <w:pPr>
        <w:keepNext w:val="0"/>
        <w:keepLines w:val="0"/>
        <w:pageBreakBefore w:val="0"/>
        <w:widowControl w:val="0"/>
        <w:kinsoku/>
        <w:wordWrap/>
        <w:overflowPunct/>
        <w:topLinePunct w:val="0"/>
        <w:bidi w:val="0"/>
        <w:snapToGrid w:val="0"/>
        <w:spacing w:line="400" w:lineRule="exact"/>
        <w:ind w:firstLine="387" w:firstLineChars="176"/>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9</w:t>
      </w:r>
      <w:r>
        <w:rPr>
          <w:rFonts w:hint="eastAsia" w:ascii="宋体" w:hAnsi="宋体" w:eastAsia="宋体" w:cs="宋体"/>
          <w:color w:val="auto"/>
          <w:sz w:val="22"/>
          <w:szCs w:val="22"/>
          <w:highlight w:val="none"/>
        </w:rPr>
        <w:t>.上述文件互相补充和解释，如有不明确或不一致之处，以合同约定次序在先者为准。</w:t>
      </w:r>
    </w:p>
    <w:p w14:paraId="4781D14E">
      <w:pPr>
        <w:keepNext w:val="0"/>
        <w:keepLines w:val="0"/>
        <w:pageBreakBefore w:val="0"/>
        <w:widowControl w:val="0"/>
        <w:kinsoku/>
        <w:wordWrap/>
        <w:overflowPunct/>
        <w:topLinePunct w:val="0"/>
        <w:bidi w:val="0"/>
        <w:snapToGrid w:val="0"/>
        <w:spacing w:line="400" w:lineRule="exact"/>
        <w:ind w:firstLine="387" w:firstLineChars="176"/>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10</w:t>
      </w:r>
      <w:r>
        <w:rPr>
          <w:rFonts w:hint="eastAsia" w:ascii="宋体" w:hAnsi="宋体" w:eastAsia="宋体" w:cs="宋体"/>
          <w:color w:val="auto"/>
          <w:sz w:val="22"/>
          <w:szCs w:val="22"/>
          <w:highlight w:val="none"/>
        </w:rPr>
        <w:t>.签约合同价：</w:t>
      </w:r>
    </w:p>
    <w:p w14:paraId="77EE133D">
      <w:pPr>
        <w:keepNext w:val="0"/>
        <w:keepLines w:val="0"/>
        <w:pageBreakBefore w:val="0"/>
        <w:widowControl w:val="0"/>
        <w:kinsoku/>
        <w:wordWrap/>
        <w:overflowPunct/>
        <w:topLinePunct w:val="0"/>
        <w:bidi w:val="0"/>
        <w:snapToGrid w:val="0"/>
        <w:spacing w:line="400" w:lineRule="exact"/>
        <w:ind w:firstLine="389" w:firstLineChars="176"/>
        <w:textAlignment w:val="auto"/>
        <w:rPr>
          <w:rFonts w:hint="eastAsia" w:ascii="宋体" w:hAnsi="宋体" w:eastAsia="宋体" w:cs="宋体"/>
          <w:b/>
          <w:bCs/>
          <w:color w:val="auto"/>
          <w:kern w:val="2"/>
          <w:sz w:val="22"/>
          <w:szCs w:val="22"/>
          <w:highlight w:val="none"/>
          <w:u w:val="none"/>
          <w:lang w:eastAsia="zh-CN"/>
        </w:rPr>
      </w:pPr>
      <w:r>
        <w:rPr>
          <w:rFonts w:hint="eastAsia" w:ascii="宋体" w:hAnsi="宋体" w:eastAsia="宋体" w:cs="宋体"/>
          <w:b/>
          <w:bCs/>
          <w:color w:val="auto"/>
          <w:kern w:val="2"/>
          <w:sz w:val="22"/>
          <w:szCs w:val="22"/>
          <w:highlight w:val="none"/>
          <w:u w:val="none"/>
        </w:rPr>
        <w:t>本项目为</w:t>
      </w:r>
      <w:r>
        <w:rPr>
          <w:rFonts w:hint="eastAsia" w:ascii="宋体" w:hAnsi="宋体" w:eastAsia="宋体" w:cs="宋体"/>
          <w:b/>
          <w:bCs/>
          <w:color w:val="auto"/>
          <w:kern w:val="2"/>
          <w:sz w:val="22"/>
          <w:szCs w:val="22"/>
          <w:highlight w:val="none"/>
          <w:u w:val="single"/>
        </w:rPr>
        <w:t>固定</w:t>
      </w:r>
      <w:r>
        <w:rPr>
          <w:rFonts w:hint="eastAsia" w:ascii="宋体" w:hAnsi="宋体" w:eastAsia="宋体" w:cs="宋体"/>
          <w:b/>
          <w:bCs/>
          <w:color w:val="auto"/>
          <w:kern w:val="2"/>
          <w:sz w:val="22"/>
          <w:szCs w:val="22"/>
          <w:highlight w:val="none"/>
          <w:u w:val="single"/>
          <w:lang w:val="en-US" w:eastAsia="zh-CN"/>
        </w:rPr>
        <w:t>单价</w:t>
      </w:r>
      <w:r>
        <w:rPr>
          <w:rFonts w:hint="eastAsia" w:ascii="宋体" w:hAnsi="宋体" w:eastAsia="宋体" w:cs="宋体"/>
          <w:b/>
          <w:bCs/>
          <w:color w:val="auto"/>
          <w:kern w:val="2"/>
          <w:sz w:val="22"/>
          <w:szCs w:val="22"/>
          <w:highlight w:val="none"/>
          <w:u w:val="single"/>
        </w:rPr>
        <w:t>合同</w:t>
      </w:r>
      <w:r>
        <w:rPr>
          <w:rFonts w:hint="eastAsia" w:ascii="宋体" w:hAnsi="宋体" w:cs="宋体"/>
          <w:b/>
          <w:bCs/>
          <w:color w:val="auto"/>
          <w:kern w:val="2"/>
          <w:sz w:val="22"/>
          <w:szCs w:val="22"/>
          <w:highlight w:val="none"/>
          <w:u w:val="single"/>
          <w:lang w:eastAsia="zh-CN"/>
        </w:rPr>
        <w:t>，</w:t>
      </w:r>
      <w:r>
        <w:rPr>
          <w:rFonts w:hint="eastAsia" w:ascii="宋体" w:hAnsi="宋体" w:cs="宋体"/>
          <w:b/>
          <w:bCs/>
          <w:color w:val="auto"/>
          <w:kern w:val="2"/>
          <w:sz w:val="22"/>
          <w:szCs w:val="22"/>
          <w:highlight w:val="none"/>
          <w:u w:val="single"/>
          <w:lang w:val="en-US" w:eastAsia="zh-CN"/>
        </w:rPr>
        <w:t>参照中标下浮率计算单价</w:t>
      </w:r>
      <w:r>
        <w:rPr>
          <w:rFonts w:hint="eastAsia" w:ascii="宋体" w:hAnsi="宋体" w:eastAsia="宋体" w:cs="宋体"/>
          <w:b/>
          <w:bCs/>
          <w:color w:val="auto"/>
          <w:kern w:val="2"/>
          <w:sz w:val="22"/>
          <w:szCs w:val="22"/>
          <w:highlight w:val="none"/>
          <w:u w:val="none"/>
          <w:lang w:eastAsia="zh-CN"/>
        </w:rPr>
        <w:t>。</w:t>
      </w:r>
    </w:p>
    <w:p w14:paraId="4477779F">
      <w:pPr>
        <w:pStyle w:val="12"/>
        <w:keepNext w:val="0"/>
        <w:keepLines w:val="0"/>
        <w:pageBreakBefore w:val="0"/>
        <w:widowControl/>
        <w:kinsoku/>
        <w:wordWrap/>
        <w:overflowPunct/>
        <w:topLinePunct w:val="0"/>
        <w:autoSpaceDE/>
        <w:autoSpaceDN/>
        <w:bidi w:val="0"/>
        <w:adjustRightInd w:val="0"/>
        <w:snapToGrid w:val="0"/>
        <w:spacing w:line="400" w:lineRule="exact"/>
        <w:ind w:firstLine="444" w:firstLineChars="202"/>
        <w:jc w:val="left"/>
        <w:textAlignment w:val="auto"/>
        <w:outlineLvl w:val="0"/>
        <w:rPr>
          <w:rFonts w:hint="eastAsia" w:ascii="宋体" w:hAnsi="宋体" w:eastAsia="宋体" w:cs="宋体"/>
          <w:bCs/>
          <w:color w:val="auto"/>
          <w:kern w:val="0"/>
          <w:sz w:val="22"/>
          <w:szCs w:val="22"/>
          <w:highlight w:val="none"/>
          <w:u w:val="none"/>
          <w:lang w:val="en-US" w:eastAsia="zh-CN"/>
        </w:rPr>
      </w:pPr>
      <w:r>
        <w:rPr>
          <w:rFonts w:hint="eastAsia" w:hAnsi="宋体" w:cs="宋体"/>
          <w:bCs/>
          <w:color w:val="auto"/>
          <w:kern w:val="0"/>
          <w:sz w:val="22"/>
          <w:szCs w:val="22"/>
          <w:highlight w:val="none"/>
          <w:u w:val="none"/>
          <w:lang w:val="en-US" w:eastAsia="zh-CN"/>
        </w:rPr>
        <w:t>10.1改造</w:t>
      </w:r>
      <w:r>
        <w:rPr>
          <w:rFonts w:hint="eastAsia" w:ascii="宋体" w:hAnsi="宋体" w:eastAsia="宋体" w:cs="宋体"/>
          <w:bCs/>
          <w:color w:val="auto"/>
          <w:kern w:val="0"/>
          <w:sz w:val="22"/>
          <w:szCs w:val="22"/>
          <w:highlight w:val="none"/>
          <w:u w:val="none"/>
          <w:lang w:val="en-US" w:eastAsia="zh-CN"/>
        </w:rPr>
        <w:t>实施部分</w:t>
      </w:r>
      <w:r>
        <w:rPr>
          <w:rFonts w:hint="eastAsia" w:hAnsi="宋体" w:cs="宋体"/>
          <w:bCs/>
          <w:color w:val="auto"/>
          <w:kern w:val="0"/>
          <w:sz w:val="22"/>
          <w:szCs w:val="22"/>
          <w:highlight w:val="none"/>
          <w:u w:val="none"/>
          <w:lang w:val="en-US" w:eastAsia="zh-CN"/>
        </w:rPr>
        <w:t>价格</w:t>
      </w:r>
      <w:r>
        <w:rPr>
          <w:rFonts w:hint="eastAsia" w:ascii="宋体" w:hAnsi="宋体" w:eastAsia="宋体" w:cs="宋体"/>
          <w:bCs/>
          <w:color w:val="auto"/>
          <w:kern w:val="0"/>
          <w:sz w:val="22"/>
          <w:szCs w:val="22"/>
          <w:highlight w:val="none"/>
          <w:u w:val="none"/>
          <w:lang w:val="en-US" w:eastAsia="zh-CN"/>
        </w:rPr>
        <w:t>。即完成该项目</w:t>
      </w:r>
      <w:r>
        <w:rPr>
          <w:rFonts w:hint="eastAsia" w:hAnsi="宋体" w:cs="宋体"/>
          <w:bCs/>
          <w:color w:val="auto"/>
          <w:kern w:val="0"/>
          <w:sz w:val="22"/>
          <w:szCs w:val="22"/>
          <w:highlight w:val="none"/>
          <w:u w:val="none"/>
          <w:lang w:val="en-US" w:eastAsia="zh-CN"/>
        </w:rPr>
        <w:t>改造</w:t>
      </w:r>
      <w:r>
        <w:rPr>
          <w:rFonts w:hint="eastAsia" w:ascii="宋体" w:hAnsi="宋体" w:eastAsia="宋体" w:cs="宋体"/>
          <w:bCs/>
          <w:color w:val="auto"/>
          <w:kern w:val="0"/>
          <w:sz w:val="22"/>
          <w:szCs w:val="22"/>
          <w:highlight w:val="none"/>
          <w:u w:val="none"/>
          <w:lang w:val="en-US" w:eastAsia="zh-CN"/>
        </w:rPr>
        <w:t>实施所需的一切费用，根据工程量清单进行下浮率</w:t>
      </w:r>
      <w:r>
        <w:rPr>
          <w:rFonts w:hint="eastAsia" w:hAnsi="宋体" w:cs="宋体"/>
          <w:bCs/>
          <w:color w:val="auto"/>
          <w:kern w:val="0"/>
          <w:sz w:val="22"/>
          <w:szCs w:val="22"/>
          <w:highlight w:val="none"/>
          <w:u w:val="none"/>
          <w:lang w:val="en-US" w:eastAsia="zh-CN"/>
        </w:rPr>
        <w:t>结算</w:t>
      </w:r>
      <w:r>
        <w:rPr>
          <w:rFonts w:hint="eastAsia" w:ascii="宋体" w:hAnsi="宋体" w:eastAsia="宋体" w:cs="宋体"/>
          <w:bCs/>
          <w:color w:val="auto"/>
          <w:kern w:val="0"/>
          <w:sz w:val="22"/>
          <w:szCs w:val="22"/>
          <w:highlight w:val="none"/>
          <w:u w:val="none"/>
          <w:lang w:val="en-US" w:eastAsia="zh-CN"/>
        </w:rPr>
        <w:t>。</w:t>
      </w:r>
    </w:p>
    <w:p w14:paraId="440092D8">
      <w:pPr>
        <w:pStyle w:val="12"/>
        <w:keepNext w:val="0"/>
        <w:keepLines w:val="0"/>
        <w:pageBreakBefore w:val="0"/>
        <w:widowControl/>
        <w:kinsoku/>
        <w:wordWrap/>
        <w:overflowPunct/>
        <w:topLinePunct w:val="0"/>
        <w:autoSpaceDE/>
        <w:autoSpaceDN/>
        <w:bidi w:val="0"/>
        <w:adjustRightInd w:val="0"/>
        <w:snapToGrid w:val="0"/>
        <w:spacing w:line="400" w:lineRule="exact"/>
        <w:ind w:firstLine="444" w:firstLineChars="202"/>
        <w:jc w:val="left"/>
        <w:textAlignment w:val="auto"/>
        <w:outlineLvl w:val="0"/>
        <w:rPr>
          <w:rFonts w:hint="eastAsia" w:ascii="宋体" w:hAnsi="宋体" w:eastAsia="宋体" w:cs="宋体"/>
          <w:bCs/>
          <w:color w:val="auto"/>
          <w:kern w:val="0"/>
          <w:sz w:val="22"/>
          <w:szCs w:val="22"/>
          <w:highlight w:val="none"/>
          <w:u w:val="none"/>
          <w:lang w:val="en-US" w:eastAsia="zh-CN"/>
        </w:rPr>
      </w:pPr>
      <w:r>
        <w:rPr>
          <w:rFonts w:hint="eastAsia" w:ascii="宋体" w:hAnsi="宋体" w:eastAsia="宋体" w:cs="宋体"/>
          <w:bCs/>
          <w:color w:val="auto"/>
          <w:kern w:val="0"/>
          <w:sz w:val="22"/>
          <w:szCs w:val="22"/>
          <w:highlight w:val="none"/>
          <w:u w:val="none"/>
          <w:lang w:val="en-US" w:eastAsia="zh-CN"/>
        </w:rPr>
        <w:t>按照县农业农村部门、县财政部门审定的项目规划设计文件，由</w:t>
      </w:r>
      <w:r>
        <w:rPr>
          <w:rFonts w:hint="eastAsia" w:hAnsi="宋体" w:cs="宋体"/>
          <w:bCs/>
          <w:color w:val="auto"/>
          <w:kern w:val="0"/>
          <w:sz w:val="22"/>
          <w:szCs w:val="22"/>
          <w:highlight w:val="none"/>
          <w:u w:val="none"/>
          <w:lang w:val="en-US" w:eastAsia="zh-CN"/>
        </w:rPr>
        <w:t>乙方</w:t>
      </w:r>
      <w:r>
        <w:rPr>
          <w:rFonts w:hint="eastAsia" w:ascii="宋体" w:hAnsi="宋体" w:eastAsia="宋体" w:cs="宋体"/>
          <w:bCs/>
          <w:color w:val="auto"/>
          <w:kern w:val="0"/>
          <w:sz w:val="22"/>
          <w:szCs w:val="22"/>
          <w:highlight w:val="none"/>
          <w:u w:val="none"/>
          <w:lang w:val="en-US" w:eastAsia="zh-CN"/>
        </w:rPr>
        <w:t>以中标单价结算，包含实施工程量增加、变更等不可预见风险，不包含国家或部门法律、法规等政策变化造成的损失，但由</w:t>
      </w:r>
      <w:r>
        <w:rPr>
          <w:rFonts w:hint="eastAsia" w:hAnsi="宋体" w:cs="宋体"/>
          <w:bCs/>
          <w:color w:val="auto"/>
          <w:kern w:val="0"/>
          <w:sz w:val="22"/>
          <w:szCs w:val="22"/>
          <w:highlight w:val="none"/>
          <w:u w:val="none"/>
          <w:lang w:val="en-US" w:eastAsia="zh-CN"/>
        </w:rPr>
        <w:t>乙方</w:t>
      </w:r>
      <w:r>
        <w:rPr>
          <w:rFonts w:hint="eastAsia" w:ascii="宋体" w:hAnsi="宋体" w:eastAsia="宋体" w:cs="宋体"/>
          <w:bCs/>
          <w:color w:val="auto"/>
          <w:kern w:val="0"/>
          <w:sz w:val="22"/>
          <w:szCs w:val="22"/>
          <w:highlight w:val="none"/>
          <w:u w:val="none"/>
          <w:lang w:val="en-US" w:eastAsia="zh-CN"/>
        </w:rPr>
        <w:t>责任引起实施期延误的除外。</w:t>
      </w:r>
    </w:p>
    <w:p w14:paraId="22A0F869">
      <w:pPr>
        <w:pStyle w:val="12"/>
        <w:keepNext w:val="0"/>
        <w:keepLines w:val="0"/>
        <w:pageBreakBefore w:val="0"/>
        <w:widowControl/>
        <w:kinsoku/>
        <w:wordWrap/>
        <w:overflowPunct/>
        <w:topLinePunct w:val="0"/>
        <w:autoSpaceDE/>
        <w:autoSpaceDN/>
        <w:bidi w:val="0"/>
        <w:adjustRightInd w:val="0"/>
        <w:snapToGrid w:val="0"/>
        <w:spacing w:line="400" w:lineRule="exact"/>
        <w:ind w:firstLine="444" w:firstLineChars="202"/>
        <w:jc w:val="left"/>
        <w:textAlignment w:val="auto"/>
        <w:outlineLvl w:val="0"/>
        <w:rPr>
          <w:rFonts w:hint="eastAsia" w:ascii="宋体" w:hAnsi="宋体" w:eastAsia="宋体" w:cs="宋体"/>
          <w:bCs/>
          <w:color w:val="auto"/>
          <w:kern w:val="0"/>
          <w:sz w:val="22"/>
          <w:szCs w:val="22"/>
          <w:highlight w:val="none"/>
          <w:u w:val="none"/>
          <w:lang w:val="en-US" w:eastAsia="zh-CN"/>
        </w:rPr>
      </w:pPr>
      <w:r>
        <w:rPr>
          <w:rFonts w:hint="eastAsia" w:hAnsi="宋体" w:cs="宋体"/>
          <w:bCs/>
          <w:color w:val="auto"/>
          <w:kern w:val="0"/>
          <w:sz w:val="22"/>
          <w:szCs w:val="22"/>
          <w:highlight w:val="none"/>
          <w:u w:val="none"/>
          <w:lang w:val="en-US" w:eastAsia="zh-CN"/>
        </w:rPr>
        <w:t>宜机化改造部分</w:t>
      </w:r>
      <w:r>
        <w:rPr>
          <w:rFonts w:hint="eastAsia" w:ascii="宋体" w:hAnsi="宋体" w:eastAsia="宋体" w:cs="宋体"/>
          <w:bCs/>
          <w:color w:val="auto"/>
          <w:kern w:val="0"/>
          <w:sz w:val="22"/>
          <w:szCs w:val="22"/>
          <w:highlight w:val="none"/>
          <w:u w:val="none"/>
          <w:lang w:val="en-US" w:eastAsia="zh-CN"/>
        </w:rPr>
        <w:t>验收后，其结算价=实际工程量*（1-</w:t>
      </w:r>
      <w:r>
        <w:rPr>
          <w:rFonts w:hint="eastAsia" w:hAnsi="宋体" w:cs="宋体"/>
          <w:bCs/>
          <w:color w:val="auto"/>
          <w:kern w:val="0"/>
          <w:sz w:val="22"/>
          <w:szCs w:val="22"/>
          <w:highlight w:val="none"/>
          <w:u w:val="single"/>
          <w:lang w:val="en-US" w:eastAsia="zh-CN"/>
        </w:rPr>
        <w:t xml:space="preserve">  中标下浮率%</w:t>
      </w:r>
      <w:r>
        <w:rPr>
          <w:rFonts w:hint="eastAsia" w:hAnsi="宋体" w:cs="宋体"/>
          <w:bCs/>
          <w:color w:val="auto"/>
          <w:kern w:val="0"/>
          <w:sz w:val="22"/>
          <w:szCs w:val="22"/>
          <w:highlight w:val="none"/>
          <w:u w:val="none"/>
          <w:lang w:val="en-US" w:eastAsia="zh-CN"/>
        </w:rPr>
        <w:t xml:space="preserve"> </w:t>
      </w:r>
      <w:r>
        <w:rPr>
          <w:rFonts w:hint="eastAsia" w:ascii="宋体" w:hAnsi="宋体" w:eastAsia="宋体" w:cs="宋体"/>
          <w:bCs/>
          <w:color w:val="auto"/>
          <w:kern w:val="0"/>
          <w:sz w:val="22"/>
          <w:szCs w:val="22"/>
          <w:highlight w:val="none"/>
          <w:u w:val="none"/>
          <w:lang w:val="en-US" w:eastAsia="zh-CN"/>
        </w:rPr>
        <w:t>）*单价，暂列金、预留金、暂估价等不下浮。</w:t>
      </w:r>
    </w:p>
    <w:p w14:paraId="5F18ED59">
      <w:pPr>
        <w:pStyle w:val="12"/>
        <w:keepNext w:val="0"/>
        <w:keepLines w:val="0"/>
        <w:pageBreakBefore w:val="0"/>
        <w:widowControl/>
        <w:kinsoku/>
        <w:wordWrap/>
        <w:overflowPunct/>
        <w:topLinePunct w:val="0"/>
        <w:autoSpaceDE/>
        <w:autoSpaceDN/>
        <w:bidi w:val="0"/>
        <w:adjustRightInd w:val="0"/>
        <w:snapToGrid w:val="0"/>
        <w:spacing w:line="400" w:lineRule="exact"/>
        <w:ind w:firstLine="444" w:firstLineChars="202"/>
        <w:jc w:val="left"/>
        <w:textAlignment w:val="auto"/>
        <w:outlineLvl w:val="0"/>
        <w:rPr>
          <w:rFonts w:hint="eastAsia" w:ascii="宋体" w:hAnsi="宋体" w:eastAsia="宋体" w:cs="宋体"/>
          <w:bCs w:val="0"/>
          <w:color w:val="auto"/>
          <w:kern w:val="2"/>
          <w:sz w:val="22"/>
          <w:szCs w:val="22"/>
          <w:highlight w:val="none"/>
          <w:lang w:val="en-US" w:eastAsia="zh-CN"/>
        </w:rPr>
      </w:pPr>
      <w:r>
        <w:rPr>
          <w:rFonts w:hint="eastAsia" w:hAnsi="宋体" w:cs="宋体"/>
          <w:bCs/>
          <w:color w:val="auto"/>
          <w:kern w:val="0"/>
          <w:sz w:val="22"/>
          <w:szCs w:val="22"/>
          <w:highlight w:val="none"/>
          <w:u w:val="none"/>
          <w:lang w:val="en-US" w:eastAsia="zh-CN"/>
        </w:rPr>
        <w:t>10.2</w:t>
      </w:r>
      <w:r>
        <w:rPr>
          <w:rFonts w:hint="eastAsia" w:ascii="宋体" w:hAnsi="宋体" w:eastAsia="宋体" w:cs="宋体"/>
          <w:bCs/>
          <w:color w:val="auto"/>
          <w:kern w:val="0"/>
          <w:sz w:val="22"/>
          <w:szCs w:val="22"/>
          <w:highlight w:val="none"/>
          <w:u w:val="none"/>
          <w:lang w:val="en-US" w:eastAsia="zh-CN"/>
        </w:rPr>
        <w:t>项目运营收益部分</w:t>
      </w:r>
      <w:r>
        <w:rPr>
          <w:rFonts w:hint="eastAsia" w:hAnsi="宋体" w:cs="宋体"/>
          <w:bCs/>
          <w:color w:val="auto"/>
          <w:kern w:val="0"/>
          <w:sz w:val="22"/>
          <w:szCs w:val="22"/>
          <w:highlight w:val="none"/>
          <w:u w:val="none"/>
          <w:lang w:val="en-US" w:eastAsia="zh-CN"/>
        </w:rPr>
        <w:t>价格</w:t>
      </w:r>
      <w:r>
        <w:rPr>
          <w:rFonts w:hint="eastAsia" w:ascii="宋体" w:hAnsi="宋体" w:eastAsia="宋体" w:cs="宋体"/>
          <w:bCs/>
          <w:color w:val="auto"/>
          <w:kern w:val="0"/>
          <w:sz w:val="22"/>
          <w:szCs w:val="22"/>
          <w:highlight w:val="none"/>
          <w:u w:val="none"/>
          <w:lang w:val="en-US" w:eastAsia="zh-CN"/>
        </w:rPr>
        <w:t>。每亩年收益价格</w:t>
      </w:r>
      <w:r>
        <w:rPr>
          <w:rFonts w:hint="eastAsia" w:ascii="宋体" w:hAnsi="宋体" w:eastAsia="宋体" w:cs="宋体"/>
          <w:bCs/>
          <w:color w:val="auto"/>
          <w:kern w:val="0"/>
          <w:sz w:val="22"/>
          <w:szCs w:val="22"/>
          <w:highlight w:val="none"/>
          <w:u w:val="single"/>
          <w:lang w:val="en-US" w:eastAsia="zh-CN"/>
        </w:rPr>
        <w:t xml:space="preserve">  </w:t>
      </w:r>
      <w:r>
        <w:rPr>
          <w:rFonts w:hint="eastAsia" w:hAnsi="宋体" w:cs="宋体"/>
          <w:bCs/>
          <w:color w:val="auto"/>
          <w:kern w:val="0"/>
          <w:sz w:val="22"/>
          <w:szCs w:val="22"/>
          <w:highlight w:val="none"/>
          <w:u w:val="single"/>
          <w:lang w:val="en-US" w:eastAsia="zh-CN"/>
        </w:rPr>
        <w:t xml:space="preserve">   </w:t>
      </w:r>
      <w:r>
        <w:rPr>
          <w:rFonts w:hint="eastAsia" w:ascii="宋体" w:hAnsi="宋体" w:eastAsia="宋体" w:cs="宋体"/>
          <w:bCs/>
          <w:color w:val="auto"/>
          <w:kern w:val="0"/>
          <w:sz w:val="22"/>
          <w:szCs w:val="22"/>
          <w:highlight w:val="none"/>
          <w:u w:val="none"/>
          <w:lang w:val="en-US" w:eastAsia="zh-CN"/>
        </w:rPr>
        <w:t>元/亩/年。</w:t>
      </w:r>
    </w:p>
    <w:p w14:paraId="623682FE">
      <w:pPr>
        <w:keepNext w:val="0"/>
        <w:keepLines w:val="0"/>
        <w:pageBreakBefore w:val="0"/>
        <w:widowControl/>
        <w:kinsoku/>
        <w:wordWrap/>
        <w:overflowPunct/>
        <w:topLinePunct w:val="0"/>
        <w:bidi w:val="0"/>
        <w:snapToGrid w:val="0"/>
        <w:spacing w:line="400" w:lineRule="exact"/>
        <w:ind w:left="0" w:firstLine="387" w:firstLineChars="176"/>
        <w:textAlignment w:val="auto"/>
        <w:rPr>
          <w:rFonts w:hint="eastAsia" w:ascii="宋体" w:hAnsi="宋体" w:eastAsia="宋体" w:cs="宋体"/>
          <w:b w:val="0"/>
          <w:bCs w:val="0"/>
          <w:color w:val="auto"/>
          <w:sz w:val="22"/>
          <w:szCs w:val="22"/>
          <w:highlight w:val="none"/>
          <w:lang w:val="en-US" w:eastAsia="zh-CN"/>
        </w:rPr>
      </w:pPr>
      <w:r>
        <w:rPr>
          <w:rFonts w:hint="eastAsia" w:ascii="宋体" w:hAnsi="宋体" w:eastAsia="宋体" w:cs="宋体"/>
          <w:b w:val="0"/>
          <w:bCs w:val="0"/>
          <w:color w:val="auto"/>
          <w:sz w:val="22"/>
          <w:szCs w:val="22"/>
          <w:highlight w:val="none"/>
          <w:lang w:val="en-US" w:eastAsia="zh-CN"/>
        </w:rPr>
        <w:t>注：以上费用均包含税费。</w:t>
      </w:r>
    </w:p>
    <w:p w14:paraId="2DEEA229">
      <w:pPr>
        <w:keepNext w:val="0"/>
        <w:keepLines w:val="0"/>
        <w:pageBreakBefore w:val="0"/>
        <w:widowControl/>
        <w:kinsoku/>
        <w:wordWrap/>
        <w:overflowPunct/>
        <w:topLinePunct w:val="0"/>
        <w:bidi w:val="0"/>
        <w:snapToGrid w:val="0"/>
        <w:spacing w:line="400" w:lineRule="exact"/>
        <w:ind w:left="420"/>
        <w:jc w:val="left"/>
        <w:textAlignment w:val="auto"/>
        <w:rPr>
          <w:rFonts w:hint="eastAsia" w:ascii="宋体" w:hAnsi="宋体" w:eastAsia="宋体" w:cs="宋体"/>
          <w:color w:val="auto"/>
          <w:kern w:val="2"/>
          <w:sz w:val="22"/>
          <w:szCs w:val="22"/>
          <w:highlight w:val="none"/>
          <w:u w:val="none"/>
        </w:rPr>
      </w:pPr>
      <w:r>
        <w:rPr>
          <w:rFonts w:hint="eastAsia" w:ascii="宋体" w:hAnsi="宋体" w:eastAsia="宋体" w:cs="宋体"/>
          <w:bCs w:val="0"/>
          <w:color w:val="auto"/>
          <w:kern w:val="2"/>
          <w:sz w:val="22"/>
          <w:szCs w:val="22"/>
          <w:highlight w:val="none"/>
          <w:lang w:val="en-US" w:eastAsia="zh-CN"/>
        </w:rPr>
        <w:t>11.</w:t>
      </w:r>
      <w:r>
        <w:rPr>
          <w:rFonts w:hint="eastAsia" w:ascii="宋体" w:hAnsi="宋体" w:eastAsia="宋体" w:cs="宋体"/>
          <w:color w:val="auto"/>
          <w:kern w:val="2"/>
          <w:sz w:val="22"/>
          <w:szCs w:val="22"/>
          <w:highlight w:val="none"/>
          <w:u w:val="none"/>
          <w:lang w:val="en-US" w:eastAsia="zh-CN"/>
        </w:rPr>
        <w:t>乙方</w:t>
      </w:r>
      <w:r>
        <w:rPr>
          <w:rFonts w:hint="eastAsia" w:ascii="宋体" w:hAnsi="宋体" w:eastAsia="宋体" w:cs="宋体"/>
          <w:color w:val="auto"/>
          <w:kern w:val="2"/>
          <w:sz w:val="22"/>
          <w:szCs w:val="22"/>
          <w:highlight w:val="none"/>
          <w:u w:val="none"/>
        </w:rPr>
        <w:t>认为为完成本</w:t>
      </w:r>
      <w:r>
        <w:rPr>
          <w:rFonts w:hint="eastAsia" w:ascii="宋体" w:hAnsi="宋体" w:eastAsia="宋体" w:cs="宋体"/>
          <w:color w:val="auto"/>
          <w:kern w:val="2"/>
          <w:sz w:val="22"/>
          <w:szCs w:val="22"/>
          <w:highlight w:val="none"/>
          <w:u w:val="none"/>
          <w:lang w:val="en-US" w:eastAsia="zh-CN"/>
        </w:rPr>
        <w:t>合同</w:t>
      </w:r>
      <w:r>
        <w:rPr>
          <w:rFonts w:hint="eastAsia" w:ascii="宋体" w:hAnsi="宋体" w:eastAsia="宋体" w:cs="宋体"/>
          <w:color w:val="auto"/>
          <w:kern w:val="2"/>
          <w:sz w:val="22"/>
          <w:szCs w:val="22"/>
          <w:highlight w:val="none"/>
          <w:u w:val="none"/>
        </w:rPr>
        <w:t>规定的项目承包内容所需发生的直接成本、间接成本、利润、税</w:t>
      </w:r>
    </w:p>
    <w:p w14:paraId="59BD2F48">
      <w:pPr>
        <w:keepNext w:val="0"/>
        <w:keepLines w:val="0"/>
        <w:pageBreakBefore w:val="0"/>
        <w:widowControl/>
        <w:kinsoku/>
        <w:wordWrap/>
        <w:overflowPunct/>
        <w:topLinePunct w:val="0"/>
        <w:bidi w:val="0"/>
        <w:snapToGrid w:val="0"/>
        <w:spacing w:line="400" w:lineRule="exact"/>
        <w:jc w:val="left"/>
        <w:textAlignment w:val="auto"/>
        <w:rPr>
          <w:rFonts w:hint="eastAsia" w:ascii="宋体" w:hAnsi="宋体" w:eastAsia="宋体" w:cs="宋体"/>
          <w:bCs w:val="0"/>
          <w:color w:val="auto"/>
          <w:kern w:val="2"/>
          <w:sz w:val="22"/>
          <w:szCs w:val="22"/>
          <w:highlight w:val="none"/>
          <w:lang w:val="en-US" w:eastAsia="zh-CN"/>
        </w:rPr>
      </w:pPr>
      <w:r>
        <w:rPr>
          <w:rFonts w:hint="eastAsia" w:ascii="宋体" w:hAnsi="宋体" w:eastAsia="宋体" w:cs="宋体"/>
          <w:color w:val="auto"/>
          <w:kern w:val="2"/>
          <w:sz w:val="22"/>
          <w:szCs w:val="22"/>
          <w:highlight w:val="none"/>
          <w:u w:val="none"/>
        </w:rPr>
        <w:t>金、政策性文件规定的费用等一切费用均应计入</w:t>
      </w:r>
      <w:r>
        <w:rPr>
          <w:rFonts w:hint="eastAsia" w:ascii="宋体" w:hAnsi="宋体" w:eastAsia="宋体" w:cs="宋体"/>
          <w:color w:val="auto"/>
          <w:kern w:val="2"/>
          <w:sz w:val="22"/>
          <w:szCs w:val="22"/>
          <w:highlight w:val="none"/>
          <w:u w:val="none"/>
          <w:lang w:val="en-US" w:eastAsia="zh-CN"/>
        </w:rPr>
        <w:t>合同价</w:t>
      </w:r>
      <w:r>
        <w:rPr>
          <w:rFonts w:hint="eastAsia" w:ascii="宋体" w:hAnsi="宋体" w:eastAsia="宋体" w:cs="宋体"/>
          <w:color w:val="auto"/>
          <w:kern w:val="2"/>
          <w:sz w:val="22"/>
          <w:szCs w:val="22"/>
          <w:highlight w:val="none"/>
          <w:u w:val="none"/>
        </w:rPr>
        <w:t>；凡未列入的，将被认为均已包含在</w:t>
      </w:r>
      <w:r>
        <w:rPr>
          <w:rFonts w:hint="eastAsia" w:ascii="宋体" w:hAnsi="宋体" w:eastAsia="宋体" w:cs="宋体"/>
          <w:color w:val="auto"/>
          <w:kern w:val="2"/>
          <w:sz w:val="22"/>
          <w:szCs w:val="22"/>
          <w:highlight w:val="none"/>
          <w:u w:val="none"/>
          <w:lang w:val="en-US" w:eastAsia="zh-CN"/>
        </w:rPr>
        <w:t>合同价</w:t>
      </w:r>
      <w:r>
        <w:rPr>
          <w:rFonts w:hint="eastAsia" w:ascii="宋体" w:hAnsi="宋体" w:eastAsia="宋体" w:cs="宋体"/>
          <w:color w:val="auto"/>
          <w:kern w:val="2"/>
          <w:sz w:val="22"/>
          <w:szCs w:val="22"/>
          <w:highlight w:val="none"/>
          <w:u w:val="none"/>
        </w:rPr>
        <w:t>中，今后不得以任何理由追加或调整。</w:t>
      </w:r>
    </w:p>
    <w:p w14:paraId="015353CB">
      <w:pPr>
        <w:keepNext w:val="0"/>
        <w:keepLines w:val="0"/>
        <w:pageBreakBefore w:val="0"/>
        <w:widowControl w:val="0"/>
        <w:kinsoku/>
        <w:wordWrap/>
        <w:overflowPunct/>
        <w:topLinePunct w:val="0"/>
        <w:bidi w:val="0"/>
        <w:snapToGrid w:val="0"/>
        <w:spacing w:line="400" w:lineRule="exact"/>
        <w:ind w:firstLine="440" w:firstLineChars="200"/>
        <w:textAlignment w:val="auto"/>
        <w:rPr>
          <w:rFonts w:hint="default" w:ascii="宋体" w:hAnsi="宋体" w:eastAsia="宋体" w:cs="宋体"/>
          <w:color w:val="auto"/>
          <w:sz w:val="22"/>
          <w:szCs w:val="22"/>
          <w:highlight w:val="none"/>
          <w:u w:val="single"/>
          <w:lang w:val="en-US" w:eastAsia="zh-CN"/>
        </w:rPr>
      </w:pPr>
      <w:r>
        <w:rPr>
          <w:rFonts w:hint="eastAsia" w:ascii="宋体" w:hAnsi="宋体" w:eastAsia="宋体" w:cs="宋体"/>
          <w:color w:val="auto"/>
          <w:sz w:val="22"/>
          <w:szCs w:val="22"/>
          <w:highlight w:val="none"/>
          <w:lang w:val="en-US" w:eastAsia="zh-CN"/>
        </w:rPr>
        <w:t>12</w:t>
      </w:r>
      <w:r>
        <w:rPr>
          <w:rFonts w:hint="eastAsia" w:ascii="宋体" w:hAnsi="宋体" w:eastAsia="宋体" w:cs="宋体"/>
          <w:color w:val="auto"/>
          <w:sz w:val="22"/>
          <w:szCs w:val="22"/>
          <w:highlight w:val="none"/>
        </w:rPr>
        <w:t>.</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lang w:val="en-US" w:eastAsia="zh-CN"/>
        </w:rPr>
        <w:t>运营部分</w:t>
      </w:r>
      <w:r>
        <w:rPr>
          <w:rFonts w:hint="eastAsia" w:ascii="宋体" w:hAnsi="宋体" w:eastAsia="宋体" w:cs="宋体"/>
          <w:color w:val="auto"/>
          <w:sz w:val="22"/>
          <w:szCs w:val="22"/>
          <w:highlight w:val="none"/>
        </w:rPr>
        <w:t>项目负责人：</w:t>
      </w:r>
      <w:r>
        <w:rPr>
          <w:rFonts w:hint="eastAsia" w:hAnsi="宋体" w:cs="宋体"/>
          <w:color w:val="auto"/>
          <w:sz w:val="22"/>
          <w:szCs w:val="22"/>
          <w:highlight w:val="none"/>
          <w:u w:val="single"/>
          <w:lang w:val="en-US" w:eastAsia="zh-CN"/>
        </w:rPr>
        <w:t xml:space="preserve">       </w:t>
      </w:r>
    </w:p>
    <w:p w14:paraId="076401B6">
      <w:pPr>
        <w:keepNext w:val="0"/>
        <w:keepLines w:val="0"/>
        <w:pageBreakBefore w:val="0"/>
        <w:widowControl w:val="0"/>
        <w:kinsoku/>
        <w:wordWrap/>
        <w:overflowPunct/>
        <w:topLinePunct w:val="0"/>
        <w:bidi w:val="0"/>
        <w:snapToGrid w:val="0"/>
        <w:spacing w:line="400" w:lineRule="exact"/>
        <w:ind w:firstLine="660" w:firstLineChars="300"/>
        <w:textAlignment w:val="auto"/>
        <w:rPr>
          <w:rFonts w:hint="default" w:ascii="宋体" w:hAnsi="宋体" w:eastAsia="宋体" w:cs="宋体"/>
          <w:color w:val="auto"/>
          <w:sz w:val="22"/>
          <w:szCs w:val="22"/>
          <w:highlight w:val="none"/>
          <w:u w:val="single"/>
          <w:lang w:val="en-US" w:eastAsia="zh-CN"/>
        </w:rPr>
      </w:pPr>
      <w:r>
        <w:rPr>
          <w:rFonts w:hint="eastAsia" w:ascii="宋体" w:hAnsi="宋体" w:cs="宋体"/>
          <w:color w:val="auto"/>
          <w:sz w:val="22"/>
          <w:szCs w:val="22"/>
          <w:highlight w:val="none"/>
          <w:lang w:val="en-US" w:eastAsia="zh-CN"/>
        </w:rPr>
        <w:t>宜机化改造部分</w:t>
      </w:r>
      <w:r>
        <w:rPr>
          <w:rFonts w:hint="eastAsia" w:ascii="宋体" w:hAnsi="宋体" w:eastAsia="宋体" w:cs="宋体"/>
          <w:color w:val="auto"/>
          <w:sz w:val="22"/>
          <w:szCs w:val="22"/>
          <w:highlight w:val="none"/>
          <w:lang w:val="en-US" w:eastAsia="zh-CN"/>
        </w:rPr>
        <w:t>项目</w:t>
      </w:r>
      <w:r>
        <w:rPr>
          <w:rFonts w:hint="eastAsia" w:ascii="宋体" w:hAnsi="宋体" w:eastAsia="宋体" w:cs="宋体"/>
          <w:color w:val="auto"/>
          <w:sz w:val="22"/>
          <w:szCs w:val="22"/>
          <w:highlight w:val="none"/>
        </w:rPr>
        <w:t>负责人：</w:t>
      </w:r>
      <w:r>
        <w:rPr>
          <w:rFonts w:hint="eastAsia" w:hAnsi="宋体" w:cs="宋体"/>
          <w:color w:val="auto"/>
          <w:sz w:val="22"/>
          <w:szCs w:val="22"/>
          <w:highlight w:val="none"/>
          <w:u w:val="single"/>
          <w:lang w:val="en-US" w:eastAsia="zh-CN"/>
        </w:rPr>
        <w:t xml:space="preserve">        </w:t>
      </w:r>
    </w:p>
    <w:p w14:paraId="1796099C">
      <w:pPr>
        <w:keepNext w:val="0"/>
        <w:keepLines w:val="0"/>
        <w:pageBreakBefore w:val="0"/>
        <w:widowControl w:val="0"/>
        <w:kinsoku/>
        <w:wordWrap/>
        <w:overflowPunct/>
        <w:topLinePunct w:val="0"/>
        <w:bidi w:val="0"/>
        <w:spacing w:line="400" w:lineRule="exact"/>
        <w:ind w:firstLine="440" w:firstLineChars="200"/>
        <w:textAlignment w:val="auto"/>
        <w:outlineLvl w:val="0"/>
        <w:rPr>
          <w:rFonts w:hint="eastAsia" w:ascii="宋体" w:hAnsi="宋体" w:eastAsia="宋体" w:cs="宋体"/>
          <w:color w:val="auto"/>
          <w:sz w:val="22"/>
          <w:szCs w:val="22"/>
          <w:highlight w:val="none"/>
        </w:rPr>
      </w:pPr>
      <w:bookmarkStart w:id="96" w:name="_Toc22005"/>
      <w:r>
        <w:rPr>
          <w:rFonts w:hint="eastAsia" w:ascii="宋体" w:hAnsi="宋体" w:eastAsia="宋体" w:cs="宋体"/>
          <w:color w:val="auto"/>
          <w:sz w:val="22"/>
          <w:szCs w:val="22"/>
          <w:highlight w:val="none"/>
          <w:lang w:val="en-US" w:eastAsia="zh-CN"/>
        </w:rPr>
        <w:t>13</w:t>
      </w:r>
      <w:r>
        <w:rPr>
          <w:rFonts w:hint="eastAsia" w:ascii="宋体" w:hAnsi="宋体" w:eastAsia="宋体" w:cs="宋体"/>
          <w:color w:val="auto"/>
          <w:sz w:val="22"/>
          <w:szCs w:val="22"/>
          <w:highlight w:val="none"/>
        </w:rPr>
        <w:t>.</w:t>
      </w:r>
      <w:bookmarkEnd w:id="96"/>
      <w:r>
        <w:rPr>
          <w:rFonts w:hint="eastAsia" w:ascii="宋体" w:hAnsi="宋体" w:eastAsia="宋体" w:cs="宋体"/>
          <w:bCs/>
          <w:color w:val="auto"/>
          <w:kern w:val="0"/>
          <w:sz w:val="22"/>
          <w:szCs w:val="22"/>
          <w:highlight w:val="none"/>
          <w:u w:val="none"/>
          <w:lang w:val="en-US" w:eastAsia="zh-CN"/>
        </w:rPr>
        <w:t>项目验收</w:t>
      </w:r>
    </w:p>
    <w:p w14:paraId="6847198A">
      <w:pPr>
        <w:pStyle w:val="12"/>
        <w:keepNext w:val="0"/>
        <w:keepLines w:val="0"/>
        <w:pageBreakBefore w:val="0"/>
        <w:widowControl/>
        <w:kinsoku/>
        <w:wordWrap/>
        <w:overflowPunct/>
        <w:topLinePunct w:val="0"/>
        <w:autoSpaceDE/>
        <w:autoSpaceDN/>
        <w:bidi w:val="0"/>
        <w:adjustRightInd w:val="0"/>
        <w:snapToGrid w:val="0"/>
        <w:spacing w:line="400" w:lineRule="exact"/>
        <w:ind w:firstLine="444" w:firstLineChars="202"/>
        <w:jc w:val="left"/>
        <w:textAlignment w:val="auto"/>
        <w:outlineLvl w:val="0"/>
        <w:rPr>
          <w:rFonts w:hint="eastAsia" w:ascii="宋体" w:hAnsi="宋体" w:eastAsia="宋体" w:cs="宋体"/>
          <w:bCs/>
          <w:color w:val="auto"/>
          <w:kern w:val="0"/>
          <w:sz w:val="22"/>
          <w:szCs w:val="22"/>
          <w:highlight w:val="none"/>
          <w:u w:val="none"/>
          <w:lang w:val="en-US" w:eastAsia="zh-CN"/>
        </w:rPr>
      </w:pPr>
      <w:r>
        <w:rPr>
          <w:rFonts w:hint="eastAsia" w:hAnsi="宋体" w:cs="宋体"/>
          <w:bCs/>
          <w:color w:val="auto"/>
          <w:kern w:val="0"/>
          <w:sz w:val="22"/>
          <w:szCs w:val="22"/>
          <w:highlight w:val="none"/>
          <w:u w:val="none"/>
          <w:lang w:val="en-US" w:eastAsia="zh-CN"/>
        </w:rPr>
        <w:t>乙方</w:t>
      </w:r>
      <w:r>
        <w:rPr>
          <w:rFonts w:hint="eastAsia" w:ascii="宋体" w:hAnsi="宋体" w:eastAsia="宋体" w:cs="宋体"/>
          <w:bCs/>
          <w:color w:val="auto"/>
          <w:kern w:val="0"/>
          <w:sz w:val="22"/>
          <w:szCs w:val="22"/>
          <w:highlight w:val="none"/>
          <w:u w:val="none"/>
          <w:lang w:val="en-US" w:eastAsia="zh-CN"/>
        </w:rPr>
        <w:t>完成项目</w:t>
      </w:r>
      <w:r>
        <w:rPr>
          <w:rFonts w:hint="eastAsia" w:hAnsi="宋体" w:cs="宋体"/>
          <w:bCs/>
          <w:color w:val="auto"/>
          <w:kern w:val="0"/>
          <w:sz w:val="22"/>
          <w:szCs w:val="22"/>
          <w:highlight w:val="none"/>
          <w:u w:val="none"/>
          <w:lang w:val="en-US" w:eastAsia="zh-CN"/>
        </w:rPr>
        <w:t>改造</w:t>
      </w:r>
      <w:r>
        <w:rPr>
          <w:rFonts w:hint="eastAsia" w:ascii="宋体" w:hAnsi="宋体" w:eastAsia="宋体" w:cs="宋体"/>
          <w:bCs/>
          <w:color w:val="auto"/>
          <w:kern w:val="0"/>
          <w:sz w:val="22"/>
          <w:szCs w:val="22"/>
          <w:highlight w:val="none"/>
          <w:u w:val="none"/>
          <w:lang w:val="en-US" w:eastAsia="zh-CN"/>
        </w:rPr>
        <w:t>后，项目乡镇政府组织项目设计、监理等单位对项目进行自验，自验合格的，项目乡镇政府向县农业农村部门申请项目验收。县农业农村部门会同财政部门，组织相关部门专家组成员进行项目验收。项目通过验收后，</w:t>
      </w:r>
      <w:r>
        <w:rPr>
          <w:rFonts w:hint="eastAsia" w:hAnsi="宋体" w:cs="宋体"/>
          <w:bCs/>
          <w:color w:val="auto"/>
          <w:kern w:val="0"/>
          <w:sz w:val="22"/>
          <w:szCs w:val="22"/>
          <w:highlight w:val="none"/>
          <w:u w:val="none"/>
          <w:lang w:val="en-US" w:eastAsia="zh-CN"/>
        </w:rPr>
        <w:t>乙方</w:t>
      </w:r>
      <w:r>
        <w:rPr>
          <w:rFonts w:hint="eastAsia" w:ascii="宋体" w:hAnsi="宋体" w:eastAsia="宋体" w:cs="宋体"/>
          <w:bCs/>
          <w:color w:val="auto"/>
          <w:kern w:val="0"/>
          <w:sz w:val="22"/>
          <w:szCs w:val="22"/>
          <w:highlight w:val="none"/>
          <w:u w:val="none"/>
          <w:lang w:val="en-US" w:eastAsia="zh-CN"/>
        </w:rPr>
        <w:t>开展竣工验收相关材料编制整理等工作，做好项目报备入库工作。</w:t>
      </w:r>
    </w:p>
    <w:p w14:paraId="191B6AFE">
      <w:pPr>
        <w:pStyle w:val="12"/>
        <w:keepNext w:val="0"/>
        <w:keepLines w:val="0"/>
        <w:pageBreakBefore w:val="0"/>
        <w:widowControl/>
        <w:kinsoku/>
        <w:wordWrap/>
        <w:overflowPunct/>
        <w:topLinePunct w:val="0"/>
        <w:autoSpaceDE/>
        <w:autoSpaceDN/>
        <w:bidi w:val="0"/>
        <w:adjustRightInd w:val="0"/>
        <w:snapToGrid w:val="0"/>
        <w:spacing w:line="400" w:lineRule="exact"/>
        <w:ind w:firstLine="444" w:firstLineChars="202"/>
        <w:jc w:val="left"/>
        <w:textAlignment w:val="auto"/>
        <w:outlineLvl w:val="0"/>
        <w:rPr>
          <w:rFonts w:hint="eastAsia" w:ascii="宋体" w:hAnsi="宋体" w:eastAsia="宋体" w:cs="宋体"/>
          <w:bCs/>
          <w:color w:val="auto"/>
          <w:kern w:val="0"/>
          <w:sz w:val="22"/>
          <w:szCs w:val="22"/>
          <w:highlight w:val="none"/>
          <w:u w:val="none"/>
          <w:lang w:val="en-US" w:eastAsia="zh-CN"/>
        </w:rPr>
      </w:pPr>
      <w:r>
        <w:rPr>
          <w:rFonts w:hint="eastAsia" w:ascii="宋体" w:hAnsi="宋体" w:eastAsia="宋体" w:cs="宋体"/>
          <w:bCs/>
          <w:color w:val="auto"/>
          <w:kern w:val="0"/>
          <w:sz w:val="22"/>
          <w:szCs w:val="22"/>
          <w:highlight w:val="none"/>
          <w:u w:val="none"/>
          <w:lang w:val="en-US" w:eastAsia="zh-CN"/>
        </w:rPr>
        <w:t>垦后耕种验收：改造后耕种验收：</w:t>
      </w:r>
      <w:r>
        <w:rPr>
          <w:rFonts w:hint="eastAsia" w:hAnsi="宋体" w:cs="宋体"/>
          <w:bCs/>
          <w:color w:val="auto"/>
          <w:kern w:val="0"/>
          <w:sz w:val="22"/>
          <w:szCs w:val="22"/>
          <w:highlight w:val="none"/>
          <w:u w:val="none"/>
          <w:lang w:val="en-US" w:eastAsia="zh-CN"/>
        </w:rPr>
        <w:t>改造</w:t>
      </w:r>
      <w:r>
        <w:rPr>
          <w:rFonts w:hint="eastAsia" w:ascii="宋体" w:hAnsi="宋体" w:eastAsia="宋体" w:cs="宋体"/>
          <w:bCs/>
          <w:color w:val="auto"/>
          <w:kern w:val="0"/>
          <w:sz w:val="22"/>
          <w:szCs w:val="22"/>
          <w:highlight w:val="none"/>
          <w:u w:val="none"/>
          <w:lang w:val="en-US" w:eastAsia="zh-CN"/>
        </w:rPr>
        <w:t>实施完成后，种植养护项目一年验收一次。</w:t>
      </w:r>
      <w:r>
        <w:rPr>
          <w:rFonts w:hint="eastAsia" w:hAnsi="宋体" w:cs="宋体"/>
          <w:bCs/>
          <w:color w:val="auto"/>
          <w:kern w:val="0"/>
          <w:sz w:val="22"/>
          <w:szCs w:val="22"/>
          <w:highlight w:val="none"/>
          <w:u w:val="none"/>
          <w:lang w:val="en-US" w:eastAsia="zh-CN"/>
        </w:rPr>
        <w:t>乙方</w:t>
      </w:r>
      <w:r>
        <w:rPr>
          <w:rFonts w:hint="eastAsia" w:ascii="宋体" w:hAnsi="宋体" w:eastAsia="宋体" w:cs="宋体"/>
          <w:bCs/>
          <w:color w:val="auto"/>
          <w:kern w:val="0"/>
          <w:sz w:val="22"/>
          <w:szCs w:val="22"/>
          <w:highlight w:val="none"/>
          <w:u w:val="none"/>
          <w:lang w:val="en-US" w:eastAsia="zh-CN"/>
        </w:rPr>
        <w:t>根据县农业农村部门的统一要求，提交验收材料，县农业农村部门会同财政部门，组织相关部门专家组成员对项目的耕种情况，进行实地勘察验收。</w:t>
      </w:r>
    </w:p>
    <w:p w14:paraId="09F93DD1">
      <w:pPr>
        <w:keepNext w:val="0"/>
        <w:keepLines w:val="0"/>
        <w:pageBreakBefore w:val="0"/>
        <w:widowControl/>
        <w:kinsoku/>
        <w:wordWrap/>
        <w:overflowPunct/>
        <w:topLinePunct w:val="0"/>
        <w:bidi w:val="0"/>
        <w:snapToGrid w:val="0"/>
        <w:spacing w:line="400" w:lineRule="exact"/>
        <w:ind w:left="0" w:firstLine="387" w:firstLineChars="176"/>
        <w:textAlignment w:val="auto"/>
        <w:rPr>
          <w:rFonts w:hint="eastAsia" w:ascii="宋体" w:hAnsi="宋体" w:eastAsia="宋体" w:cs="宋体"/>
          <w:color w:val="auto"/>
          <w:kern w:val="2"/>
          <w:sz w:val="22"/>
          <w:szCs w:val="22"/>
          <w:highlight w:val="none"/>
          <w:u w:val="none"/>
        </w:rPr>
      </w:pPr>
      <w:r>
        <w:rPr>
          <w:rFonts w:hint="eastAsia" w:ascii="宋体" w:hAnsi="宋体" w:eastAsia="宋体" w:cs="宋体"/>
          <w:bCs/>
          <w:color w:val="auto"/>
          <w:kern w:val="0"/>
          <w:sz w:val="22"/>
          <w:szCs w:val="22"/>
          <w:highlight w:val="none"/>
          <w:u w:val="none"/>
          <w:lang w:val="en-US" w:eastAsia="zh-CN"/>
        </w:rPr>
        <w:t>管理养护要求：满足项目实施的质量控制标准收</w:t>
      </w:r>
      <w:r>
        <w:rPr>
          <w:rFonts w:hint="eastAsia" w:ascii="宋体" w:hAnsi="宋体" w:cs="宋体"/>
          <w:bCs w:val="0"/>
          <w:color w:val="auto"/>
          <w:kern w:val="2"/>
          <w:sz w:val="22"/>
          <w:szCs w:val="22"/>
          <w:highlight w:val="none"/>
          <w:u w:val="none"/>
          <w:lang w:val="en-US" w:eastAsia="zh-CN"/>
        </w:rPr>
        <w:t>。</w:t>
      </w:r>
    </w:p>
    <w:p w14:paraId="5C3C1D84">
      <w:pPr>
        <w:keepNext w:val="0"/>
        <w:keepLines w:val="0"/>
        <w:pageBreakBefore w:val="0"/>
        <w:widowControl w:val="0"/>
        <w:kinsoku/>
        <w:wordWrap/>
        <w:overflowPunct/>
        <w:topLinePunct w:val="0"/>
        <w:bidi w:val="0"/>
        <w:snapToGri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14</w:t>
      </w:r>
      <w:r>
        <w:rPr>
          <w:rFonts w:hint="eastAsia" w:ascii="宋体" w:hAnsi="宋体" w:eastAsia="宋体" w:cs="宋体"/>
          <w:color w:val="auto"/>
          <w:sz w:val="22"/>
          <w:szCs w:val="22"/>
          <w:highlight w:val="none"/>
        </w:rPr>
        <w:t>.本合同一式七份，</w:t>
      </w:r>
      <w:r>
        <w:rPr>
          <w:rFonts w:hint="eastAsia" w:ascii="宋体" w:hAnsi="宋体" w:eastAsia="宋体" w:cs="宋体"/>
          <w:color w:val="auto"/>
          <w:sz w:val="22"/>
          <w:szCs w:val="22"/>
          <w:highlight w:val="none"/>
          <w:lang w:eastAsia="zh-CN"/>
        </w:rPr>
        <w:t>三方</w:t>
      </w:r>
      <w:r>
        <w:rPr>
          <w:rFonts w:hint="eastAsia" w:ascii="宋体" w:hAnsi="宋体" w:eastAsia="宋体" w:cs="宋体"/>
          <w:color w:val="auto"/>
          <w:sz w:val="22"/>
          <w:szCs w:val="22"/>
          <w:highlight w:val="none"/>
        </w:rPr>
        <w:t>各执</w:t>
      </w:r>
      <w:r>
        <w:rPr>
          <w:rFonts w:hint="eastAsia" w:ascii="宋体" w:hAnsi="宋体" w:eastAsia="宋体" w:cs="宋体"/>
          <w:color w:val="auto"/>
          <w:sz w:val="22"/>
          <w:szCs w:val="22"/>
          <w:highlight w:val="none"/>
          <w:lang w:val="en-US" w:eastAsia="zh-CN"/>
        </w:rPr>
        <w:t>二</w:t>
      </w:r>
      <w:r>
        <w:rPr>
          <w:rFonts w:hint="eastAsia" w:ascii="宋体" w:hAnsi="宋体" w:eastAsia="宋体" w:cs="宋体"/>
          <w:color w:val="auto"/>
          <w:sz w:val="22"/>
          <w:szCs w:val="22"/>
          <w:highlight w:val="none"/>
        </w:rPr>
        <w:t>份，具有同等效力，招标代理单位备案一份。</w:t>
      </w:r>
    </w:p>
    <w:p w14:paraId="6B8E6C77">
      <w:pPr>
        <w:keepNext w:val="0"/>
        <w:keepLines w:val="0"/>
        <w:pageBreakBefore w:val="0"/>
        <w:widowControl w:val="0"/>
        <w:kinsoku/>
        <w:wordWrap/>
        <w:overflowPunct/>
        <w:topLinePunct w:val="0"/>
        <w:bidi w:val="0"/>
        <w:snapToGri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15</w:t>
      </w:r>
      <w:r>
        <w:rPr>
          <w:rFonts w:hint="eastAsia" w:ascii="宋体" w:hAnsi="宋体" w:eastAsia="宋体" w:cs="宋体"/>
          <w:color w:val="auto"/>
          <w:sz w:val="22"/>
          <w:szCs w:val="22"/>
          <w:highlight w:val="none"/>
        </w:rPr>
        <w:t>.根据项目实施及管理需要，本合同未尽事宜，</w:t>
      </w:r>
      <w:r>
        <w:rPr>
          <w:rFonts w:hint="eastAsia" w:ascii="宋体" w:hAnsi="宋体" w:eastAsia="宋体" w:cs="宋体"/>
          <w:color w:val="auto"/>
          <w:sz w:val="22"/>
          <w:szCs w:val="22"/>
          <w:highlight w:val="none"/>
          <w:lang w:eastAsia="zh-CN"/>
        </w:rPr>
        <w:t>三方</w:t>
      </w:r>
      <w:r>
        <w:rPr>
          <w:rFonts w:hint="eastAsia" w:ascii="宋体" w:hAnsi="宋体" w:eastAsia="宋体" w:cs="宋体"/>
          <w:color w:val="auto"/>
          <w:sz w:val="22"/>
          <w:szCs w:val="22"/>
          <w:highlight w:val="none"/>
        </w:rPr>
        <w:t>另行签订补充协议。补充协议是合同的组成部分。</w:t>
      </w:r>
    </w:p>
    <w:p w14:paraId="36C5251F">
      <w:pPr>
        <w:keepNext w:val="0"/>
        <w:keepLines w:val="0"/>
        <w:pageBreakBefore w:val="0"/>
        <w:widowControl w:val="0"/>
        <w:kinsoku/>
        <w:wordWrap/>
        <w:overflowPunct/>
        <w:topLinePunct w:val="0"/>
        <w:bidi w:val="0"/>
        <w:snapToGrid w:val="0"/>
        <w:spacing w:line="400" w:lineRule="exact"/>
        <w:ind w:firstLine="389" w:firstLineChars="177"/>
        <w:textAlignment w:val="auto"/>
        <w:rPr>
          <w:rFonts w:hint="eastAsia" w:ascii="宋体" w:hAnsi="宋体" w:eastAsia="宋体" w:cs="宋体"/>
          <w:color w:val="auto"/>
          <w:sz w:val="22"/>
          <w:szCs w:val="22"/>
          <w:highlight w:val="none"/>
          <w:lang w:eastAsia="zh-CN"/>
        </w:rPr>
      </w:pPr>
    </w:p>
    <w:p w14:paraId="1673EC67">
      <w:pPr>
        <w:keepNext w:val="0"/>
        <w:keepLines w:val="0"/>
        <w:pageBreakBefore w:val="0"/>
        <w:widowControl w:val="0"/>
        <w:kinsoku/>
        <w:wordWrap/>
        <w:overflowPunct/>
        <w:topLinePunct w:val="0"/>
        <w:bidi w:val="0"/>
        <w:snapToGrid w:val="0"/>
        <w:spacing w:line="400" w:lineRule="exact"/>
        <w:ind w:firstLine="389" w:firstLineChars="177"/>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：（盖单位章）</w:t>
      </w:r>
    </w:p>
    <w:p w14:paraId="33E64B96">
      <w:pPr>
        <w:keepNext w:val="0"/>
        <w:keepLines w:val="0"/>
        <w:pageBreakBefore w:val="0"/>
        <w:widowControl w:val="0"/>
        <w:kinsoku/>
        <w:wordWrap/>
        <w:overflowPunct/>
        <w:topLinePunct w:val="0"/>
        <w:bidi w:val="0"/>
        <w:snapToGrid w:val="0"/>
        <w:spacing w:line="400" w:lineRule="exact"/>
        <w:ind w:firstLine="389" w:firstLineChars="177"/>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法定代表人或其委托代理人：（签字）</w:t>
      </w:r>
    </w:p>
    <w:p w14:paraId="069F0566">
      <w:pPr>
        <w:keepNext w:val="0"/>
        <w:keepLines w:val="0"/>
        <w:pageBreakBefore w:val="0"/>
        <w:widowControl w:val="0"/>
        <w:kinsoku/>
        <w:wordWrap/>
        <w:overflowPunct/>
        <w:topLinePunct w:val="0"/>
        <w:bidi w:val="0"/>
        <w:snapToGrid w:val="0"/>
        <w:spacing w:line="400" w:lineRule="exact"/>
        <w:ind w:firstLine="389" w:firstLineChars="177"/>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 xml:space="preserve">         年     月     日</w:t>
      </w:r>
    </w:p>
    <w:p w14:paraId="25959996">
      <w:pPr>
        <w:keepNext w:val="0"/>
        <w:keepLines w:val="0"/>
        <w:pageBreakBefore w:val="0"/>
        <w:widowControl w:val="0"/>
        <w:kinsoku/>
        <w:wordWrap/>
        <w:overflowPunct/>
        <w:topLinePunct w:val="0"/>
        <w:bidi w:val="0"/>
        <w:snapToGrid w:val="0"/>
        <w:spacing w:line="400" w:lineRule="exact"/>
        <w:ind w:firstLine="389" w:firstLineChars="177"/>
        <w:textAlignment w:val="auto"/>
        <w:rPr>
          <w:rFonts w:hint="eastAsia" w:ascii="宋体" w:hAnsi="宋体" w:eastAsia="宋体" w:cs="宋体"/>
          <w:color w:val="auto"/>
          <w:sz w:val="22"/>
          <w:szCs w:val="22"/>
          <w:highlight w:val="none"/>
        </w:rPr>
      </w:pPr>
    </w:p>
    <w:p w14:paraId="68F314EE">
      <w:pPr>
        <w:keepNext w:val="0"/>
        <w:keepLines w:val="0"/>
        <w:pageBreakBefore w:val="0"/>
        <w:widowControl w:val="0"/>
        <w:kinsoku/>
        <w:wordWrap/>
        <w:overflowPunct/>
        <w:topLinePunct w:val="0"/>
        <w:bidi w:val="0"/>
        <w:snapToGrid w:val="0"/>
        <w:spacing w:line="400" w:lineRule="exact"/>
        <w:ind w:firstLine="389" w:firstLineChars="177"/>
        <w:textAlignment w:val="auto"/>
        <w:rPr>
          <w:rFonts w:hint="eastAsia" w:ascii="宋体" w:hAnsi="宋体" w:eastAsia="宋体" w:cs="宋体"/>
          <w:color w:val="auto"/>
          <w:sz w:val="22"/>
          <w:szCs w:val="22"/>
          <w:highlight w:val="none"/>
          <w:lang w:eastAsia="zh-CN"/>
        </w:rPr>
      </w:pPr>
    </w:p>
    <w:p w14:paraId="01C9D316">
      <w:pPr>
        <w:keepNext w:val="0"/>
        <w:keepLines w:val="0"/>
        <w:pageBreakBefore w:val="0"/>
        <w:widowControl w:val="0"/>
        <w:kinsoku/>
        <w:wordWrap/>
        <w:overflowPunct/>
        <w:topLinePunct w:val="0"/>
        <w:bidi w:val="0"/>
        <w:snapToGrid w:val="0"/>
        <w:spacing w:line="400" w:lineRule="exact"/>
        <w:ind w:firstLine="389" w:firstLineChars="177"/>
        <w:textAlignment w:val="auto"/>
        <w:rPr>
          <w:rFonts w:hint="eastAsia" w:ascii="宋体" w:hAnsi="宋体" w:eastAsia="宋体" w:cs="宋体"/>
          <w:color w:val="auto"/>
          <w:sz w:val="22"/>
          <w:szCs w:val="22"/>
          <w:highlight w:val="none"/>
          <w:lang w:eastAsia="zh-CN"/>
        </w:rPr>
      </w:pPr>
    </w:p>
    <w:p w14:paraId="7D418AB8">
      <w:pPr>
        <w:keepNext w:val="0"/>
        <w:keepLines w:val="0"/>
        <w:pageBreakBefore w:val="0"/>
        <w:widowControl w:val="0"/>
        <w:kinsoku/>
        <w:wordWrap/>
        <w:overflowPunct/>
        <w:topLinePunct w:val="0"/>
        <w:bidi w:val="0"/>
        <w:snapToGrid w:val="0"/>
        <w:spacing w:line="400" w:lineRule="exact"/>
        <w:ind w:firstLine="389" w:firstLineChars="177"/>
        <w:textAlignment w:val="auto"/>
        <w:rPr>
          <w:rFonts w:hint="eastAsia" w:ascii="宋体" w:hAnsi="宋体" w:eastAsia="宋体" w:cs="宋体"/>
          <w:color w:val="auto"/>
          <w:sz w:val="22"/>
          <w:szCs w:val="22"/>
          <w:highlight w:val="none"/>
          <w:lang w:eastAsia="zh-CN"/>
        </w:rPr>
      </w:pPr>
    </w:p>
    <w:p w14:paraId="2867478D">
      <w:pPr>
        <w:keepNext w:val="0"/>
        <w:keepLines w:val="0"/>
        <w:pageBreakBefore w:val="0"/>
        <w:widowControl w:val="0"/>
        <w:kinsoku/>
        <w:wordWrap/>
        <w:overflowPunct/>
        <w:topLinePunct w:val="0"/>
        <w:bidi w:val="0"/>
        <w:snapToGrid w:val="0"/>
        <w:spacing w:line="400" w:lineRule="exact"/>
        <w:ind w:firstLine="389" w:firstLineChars="177"/>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（联合体牵头人）：（盖单位章）</w:t>
      </w:r>
    </w:p>
    <w:p w14:paraId="2390F49D">
      <w:pPr>
        <w:keepNext w:val="0"/>
        <w:keepLines w:val="0"/>
        <w:pageBreakBefore w:val="0"/>
        <w:widowControl w:val="0"/>
        <w:kinsoku/>
        <w:wordWrap/>
        <w:overflowPunct/>
        <w:topLinePunct w:val="0"/>
        <w:bidi w:val="0"/>
        <w:snapToGrid w:val="0"/>
        <w:spacing w:line="400" w:lineRule="exact"/>
        <w:ind w:firstLine="389" w:firstLineChars="177"/>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法定代表人或其委托代理人：（签字）</w:t>
      </w:r>
    </w:p>
    <w:p w14:paraId="3D0511CA">
      <w:pPr>
        <w:keepNext w:val="0"/>
        <w:keepLines w:val="0"/>
        <w:pageBreakBefore w:val="0"/>
        <w:widowControl w:val="0"/>
        <w:kinsoku/>
        <w:wordWrap/>
        <w:overflowPunct/>
        <w:topLinePunct w:val="0"/>
        <w:bidi w:val="0"/>
        <w:snapToGrid w:val="0"/>
        <w:spacing w:line="400" w:lineRule="exact"/>
        <w:ind w:firstLine="389" w:firstLineChars="177"/>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 xml:space="preserve">         年     月     日</w:t>
      </w:r>
    </w:p>
    <w:p w14:paraId="14B3E0D6">
      <w:pPr>
        <w:keepNext w:val="0"/>
        <w:keepLines w:val="0"/>
        <w:pageBreakBefore w:val="0"/>
        <w:widowControl w:val="0"/>
        <w:kinsoku/>
        <w:wordWrap/>
        <w:overflowPunct/>
        <w:topLinePunct w:val="0"/>
        <w:bidi w:val="0"/>
        <w:snapToGrid w:val="0"/>
        <w:spacing w:line="400" w:lineRule="exact"/>
        <w:ind w:firstLine="389" w:firstLineChars="177"/>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（联合体成员）</w:t>
      </w:r>
      <w:r>
        <w:rPr>
          <w:rFonts w:hint="eastAsia" w:ascii="宋体" w:hAnsi="宋体" w:eastAsia="宋体" w:cs="宋体"/>
          <w:b/>
          <w:bCs/>
          <w:color w:val="auto"/>
          <w:sz w:val="22"/>
          <w:szCs w:val="22"/>
          <w:highlight w:val="none"/>
          <w:lang w:eastAsia="zh-CN"/>
        </w:rPr>
        <w:t>（</w:t>
      </w:r>
      <w:r>
        <w:rPr>
          <w:rFonts w:hint="eastAsia" w:ascii="宋体" w:hAnsi="宋体" w:eastAsia="宋体" w:cs="宋体"/>
          <w:b/>
          <w:bCs/>
          <w:color w:val="auto"/>
          <w:sz w:val="22"/>
          <w:szCs w:val="22"/>
          <w:highlight w:val="none"/>
          <w:lang w:val="en-US" w:eastAsia="zh-CN"/>
        </w:rPr>
        <w:t>如有</w:t>
      </w:r>
      <w:r>
        <w:rPr>
          <w:rFonts w:hint="eastAsia" w:ascii="宋体" w:hAnsi="宋体" w:eastAsia="宋体" w:cs="宋体"/>
          <w:b/>
          <w:bCs/>
          <w:color w:val="auto"/>
          <w:sz w:val="22"/>
          <w:szCs w:val="22"/>
          <w:highlight w:val="none"/>
          <w:lang w:eastAsia="zh-CN"/>
        </w:rPr>
        <w:t>）</w:t>
      </w:r>
      <w:r>
        <w:rPr>
          <w:rFonts w:hint="eastAsia" w:ascii="宋体" w:hAnsi="宋体" w:eastAsia="宋体" w:cs="宋体"/>
          <w:color w:val="auto"/>
          <w:sz w:val="22"/>
          <w:szCs w:val="22"/>
          <w:highlight w:val="none"/>
        </w:rPr>
        <w:t>：（盖单位章）</w:t>
      </w:r>
    </w:p>
    <w:p w14:paraId="6EFB91E7">
      <w:pPr>
        <w:keepNext w:val="0"/>
        <w:keepLines w:val="0"/>
        <w:pageBreakBefore w:val="0"/>
        <w:widowControl w:val="0"/>
        <w:kinsoku/>
        <w:wordWrap/>
        <w:overflowPunct/>
        <w:topLinePunct w:val="0"/>
        <w:bidi w:val="0"/>
        <w:snapToGrid w:val="0"/>
        <w:spacing w:line="400" w:lineRule="exact"/>
        <w:ind w:firstLine="389" w:firstLineChars="177"/>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法定代表人或其委托代理人：（签字）</w:t>
      </w:r>
    </w:p>
    <w:p w14:paraId="40082E28">
      <w:pPr>
        <w:keepNext w:val="0"/>
        <w:keepLines w:val="0"/>
        <w:pageBreakBefore w:val="0"/>
        <w:widowControl w:val="0"/>
        <w:kinsoku/>
        <w:wordWrap/>
        <w:overflowPunct/>
        <w:topLinePunct w:val="0"/>
        <w:bidi w:val="0"/>
        <w:snapToGrid w:val="0"/>
        <w:spacing w:line="400" w:lineRule="exact"/>
        <w:ind w:firstLine="389" w:firstLineChars="177"/>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 xml:space="preserve">         年     月     日</w:t>
      </w:r>
    </w:p>
    <w:p w14:paraId="60BC4392">
      <w:pPr>
        <w:pStyle w:val="38"/>
        <w:keepNext w:val="0"/>
        <w:keepLines w:val="0"/>
        <w:pageBreakBefore w:val="0"/>
        <w:kinsoku/>
        <w:wordWrap/>
        <w:overflowPunct/>
        <w:topLinePunct w:val="0"/>
        <w:bidi w:val="0"/>
        <w:spacing w:line="400" w:lineRule="exact"/>
        <w:textAlignment w:val="auto"/>
        <w:rPr>
          <w:rFonts w:hint="eastAsia" w:ascii="宋体" w:hAnsi="宋体" w:eastAsia="宋体" w:cs="宋体"/>
          <w:color w:val="auto"/>
          <w:sz w:val="22"/>
          <w:szCs w:val="22"/>
          <w:highlight w:val="none"/>
          <w:lang w:val="en-US" w:eastAsia="zh-CN"/>
        </w:rPr>
      </w:pPr>
    </w:p>
    <w:p w14:paraId="4AF91755">
      <w:pPr>
        <w:keepNext w:val="0"/>
        <w:keepLines w:val="0"/>
        <w:pageBreakBefore w:val="0"/>
        <w:widowControl w:val="0"/>
        <w:kinsoku/>
        <w:wordWrap/>
        <w:overflowPunct/>
        <w:topLinePunct w:val="0"/>
        <w:bidi w:val="0"/>
        <w:snapToGrid w:val="0"/>
        <w:spacing w:line="400" w:lineRule="exact"/>
        <w:ind w:firstLine="389" w:firstLineChars="177"/>
        <w:textAlignment w:val="auto"/>
        <w:rPr>
          <w:rFonts w:hint="eastAsia" w:ascii="宋体" w:hAnsi="宋体" w:eastAsia="宋体" w:cs="宋体"/>
          <w:color w:val="auto"/>
          <w:sz w:val="22"/>
          <w:szCs w:val="22"/>
          <w:highlight w:val="none"/>
          <w:lang w:val="en-US" w:eastAsia="zh-CN"/>
        </w:rPr>
      </w:pPr>
    </w:p>
    <w:p w14:paraId="25055F95">
      <w:pPr>
        <w:keepNext w:val="0"/>
        <w:keepLines w:val="0"/>
        <w:pageBreakBefore w:val="0"/>
        <w:widowControl w:val="0"/>
        <w:kinsoku/>
        <w:wordWrap/>
        <w:overflowPunct/>
        <w:topLinePunct w:val="0"/>
        <w:bidi w:val="0"/>
        <w:snapToGrid w:val="0"/>
        <w:spacing w:line="400" w:lineRule="exact"/>
        <w:ind w:firstLine="389" w:firstLineChars="177"/>
        <w:textAlignment w:val="auto"/>
        <w:rPr>
          <w:rFonts w:hint="eastAsia" w:ascii="宋体" w:hAnsi="宋体" w:eastAsia="宋体" w:cs="宋体"/>
          <w:color w:val="auto"/>
          <w:sz w:val="22"/>
          <w:szCs w:val="22"/>
          <w:highlight w:val="none"/>
          <w:lang w:val="en-US" w:eastAsia="zh-CN"/>
        </w:rPr>
      </w:pPr>
    </w:p>
    <w:p w14:paraId="747FF2CB">
      <w:pPr>
        <w:keepNext w:val="0"/>
        <w:keepLines w:val="0"/>
        <w:pageBreakBefore w:val="0"/>
        <w:widowControl w:val="0"/>
        <w:kinsoku/>
        <w:wordWrap/>
        <w:overflowPunct/>
        <w:topLinePunct w:val="0"/>
        <w:bidi w:val="0"/>
        <w:snapToGrid w:val="0"/>
        <w:spacing w:line="400" w:lineRule="exact"/>
        <w:ind w:firstLine="389" w:firstLineChars="177"/>
        <w:textAlignment w:val="auto"/>
        <w:rPr>
          <w:rFonts w:hint="eastAsia" w:ascii="宋体" w:hAnsi="宋体" w:eastAsia="宋体" w:cs="宋体"/>
          <w:color w:val="auto"/>
          <w:sz w:val="22"/>
          <w:szCs w:val="22"/>
          <w:highlight w:val="none"/>
          <w:lang w:val="en-US" w:eastAsia="zh-CN"/>
        </w:rPr>
      </w:pPr>
    </w:p>
    <w:p w14:paraId="267A8FDA">
      <w:pPr>
        <w:keepNext w:val="0"/>
        <w:keepLines w:val="0"/>
        <w:pageBreakBefore w:val="0"/>
        <w:widowControl w:val="0"/>
        <w:kinsoku/>
        <w:wordWrap/>
        <w:overflowPunct/>
        <w:topLinePunct w:val="0"/>
        <w:bidi w:val="0"/>
        <w:snapToGrid w:val="0"/>
        <w:spacing w:line="400" w:lineRule="exact"/>
        <w:ind w:firstLine="389" w:firstLineChars="177"/>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丙</w:t>
      </w:r>
      <w:r>
        <w:rPr>
          <w:rFonts w:hint="eastAsia" w:ascii="宋体" w:hAnsi="宋体" w:eastAsia="宋体" w:cs="宋体"/>
          <w:color w:val="auto"/>
          <w:sz w:val="22"/>
          <w:szCs w:val="22"/>
          <w:highlight w:val="none"/>
          <w:lang w:eastAsia="zh-CN"/>
        </w:rPr>
        <w:t>方</w:t>
      </w:r>
      <w:r>
        <w:rPr>
          <w:rFonts w:hint="eastAsia" w:ascii="宋体" w:hAnsi="宋体" w:eastAsia="宋体" w:cs="宋体"/>
          <w:color w:val="auto"/>
          <w:sz w:val="22"/>
          <w:szCs w:val="22"/>
          <w:highlight w:val="none"/>
        </w:rPr>
        <w:t>：（盖单位章）</w:t>
      </w:r>
    </w:p>
    <w:p w14:paraId="24110DA6">
      <w:pPr>
        <w:keepNext w:val="0"/>
        <w:keepLines w:val="0"/>
        <w:pageBreakBefore w:val="0"/>
        <w:widowControl w:val="0"/>
        <w:kinsoku/>
        <w:wordWrap/>
        <w:overflowPunct/>
        <w:topLinePunct w:val="0"/>
        <w:bidi w:val="0"/>
        <w:snapToGrid w:val="0"/>
        <w:spacing w:line="400" w:lineRule="exact"/>
        <w:ind w:firstLine="389" w:firstLineChars="177"/>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法定代表人或其委托代理人：（签字）</w:t>
      </w:r>
    </w:p>
    <w:p w14:paraId="1138ACFF">
      <w:pPr>
        <w:keepNext w:val="0"/>
        <w:keepLines w:val="0"/>
        <w:pageBreakBefore w:val="0"/>
        <w:widowControl w:val="0"/>
        <w:kinsoku/>
        <w:wordWrap/>
        <w:overflowPunct/>
        <w:topLinePunct w:val="0"/>
        <w:bidi w:val="0"/>
        <w:snapToGrid w:val="0"/>
        <w:spacing w:line="400" w:lineRule="exact"/>
        <w:ind w:firstLine="1269" w:firstLineChars="577"/>
        <w:textAlignment w:val="auto"/>
        <w:rPr>
          <w:rFonts w:hint="eastAsia" w:ascii="宋体" w:hAnsi="宋体" w:eastAsia="宋体" w:cs="宋体"/>
          <w:color w:val="auto"/>
          <w:sz w:val="22"/>
          <w:szCs w:val="22"/>
          <w:highlight w:val="none"/>
        </w:rPr>
      </w:pPr>
    </w:p>
    <w:p w14:paraId="14A3FAB9">
      <w:pPr>
        <w:keepNext w:val="0"/>
        <w:keepLines w:val="0"/>
        <w:pageBreakBefore w:val="0"/>
        <w:widowControl w:val="0"/>
        <w:kinsoku/>
        <w:wordWrap/>
        <w:overflowPunct/>
        <w:topLinePunct w:val="0"/>
        <w:bidi w:val="0"/>
        <w:snapToGrid w:val="0"/>
        <w:spacing w:line="400" w:lineRule="exact"/>
        <w:ind w:firstLine="1269" w:firstLineChars="577"/>
        <w:textAlignment w:val="auto"/>
        <w:rPr>
          <w:rFonts w:hint="eastAsia" w:ascii="宋体" w:hAnsi="宋体" w:eastAsia="宋体" w:cs="宋体"/>
          <w:color w:val="auto"/>
          <w:sz w:val="22"/>
          <w:szCs w:val="22"/>
          <w:highlight w:val="none"/>
        </w:rPr>
      </w:pPr>
    </w:p>
    <w:p w14:paraId="5ADD235C">
      <w:pPr>
        <w:keepNext w:val="0"/>
        <w:keepLines w:val="0"/>
        <w:pageBreakBefore w:val="0"/>
        <w:widowControl w:val="0"/>
        <w:kinsoku/>
        <w:wordWrap/>
        <w:overflowPunct/>
        <w:topLinePunct w:val="0"/>
        <w:bidi w:val="0"/>
        <w:snapToGrid w:val="0"/>
        <w:spacing w:line="400" w:lineRule="exact"/>
        <w:ind w:firstLine="1927" w:firstLineChars="876"/>
        <w:textAlignment w:val="auto"/>
        <w:rPr>
          <w:rFonts w:hint="eastAsia" w:ascii="宋体" w:hAnsi="宋体" w:eastAsia="宋体" w:cs="宋体"/>
          <w:color w:val="auto"/>
          <w:sz w:val="22"/>
          <w:szCs w:val="22"/>
          <w:highlight w:val="none"/>
          <w:lang w:val="en-US" w:eastAsia="zh-CN"/>
        </w:rPr>
      </w:pPr>
    </w:p>
    <w:p w14:paraId="3F38F645">
      <w:pPr>
        <w:keepNext w:val="0"/>
        <w:keepLines w:val="0"/>
        <w:pageBreakBefore w:val="0"/>
        <w:widowControl w:val="0"/>
        <w:kinsoku/>
        <w:wordWrap/>
        <w:overflowPunct/>
        <w:topLinePunct w:val="0"/>
        <w:bidi w:val="0"/>
        <w:snapToGrid w:val="0"/>
        <w:spacing w:line="400" w:lineRule="exact"/>
        <w:ind w:firstLine="1927" w:firstLineChars="876"/>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 xml:space="preserve">签订日期：     </w:t>
      </w:r>
      <w:r>
        <w:rPr>
          <w:rFonts w:hint="eastAsia" w:ascii="宋体" w:hAnsi="宋体" w:eastAsia="宋体" w:cs="宋体"/>
          <w:color w:val="auto"/>
          <w:sz w:val="22"/>
          <w:szCs w:val="22"/>
          <w:highlight w:val="none"/>
        </w:rPr>
        <w:t>年     月     日</w:t>
      </w:r>
    </w:p>
    <w:p w14:paraId="58DB1DCD">
      <w:pPr>
        <w:keepNext w:val="0"/>
        <w:keepLines w:val="0"/>
        <w:pageBreakBefore w:val="0"/>
        <w:widowControl w:val="0"/>
        <w:kinsoku/>
        <w:wordWrap/>
        <w:overflowPunct/>
        <w:topLinePunct w:val="0"/>
        <w:bidi w:val="0"/>
        <w:spacing w:line="400" w:lineRule="exact"/>
        <w:ind w:firstLine="496"/>
        <w:jc w:val="center"/>
        <w:textAlignment w:val="auto"/>
        <w:rPr>
          <w:rFonts w:hint="eastAsia" w:ascii="宋体" w:hAnsi="宋体" w:eastAsia="宋体" w:cs="宋体"/>
          <w:b/>
          <w:bCs/>
          <w:snapToGrid w:val="0"/>
          <w:color w:val="auto"/>
          <w:kern w:val="0"/>
          <w:sz w:val="32"/>
          <w:szCs w:val="32"/>
          <w:highlight w:val="none"/>
        </w:rPr>
      </w:pPr>
      <w:r>
        <w:rPr>
          <w:rFonts w:hint="eastAsia" w:ascii="宋体" w:hAnsi="宋体" w:eastAsia="宋体" w:cs="宋体"/>
          <w:bCs/>
          <w:snapToGrid w:val="0"/>
          <w:color w:val="auto"/>
          <w:kern w:val="0"/>
          <w:szCs w:val="24"/>
          <w:highlight w:val="none"/>
        </w:rPr>
        <w:br w:type="page"/>
      </w:r>
      <w:bookmarkStart w:id="97" w:name="_Toc520988778"/>
      <w:bookmarkStart w:id="98" w:name="_Toc521917364"/>
      <w:bookmarkStart w:id="99" w:name="_Toc28013178"/>
      <w:bookmarkStart w:id="100" w:name="_Toc520967257"/>
      <w:bookmarkStart w:id="101" w:name="_Toc17290093"/>
      <w:r>
        <w:rPr>
          <w:rFonts w:hint="eastAsia" w:ascii="宋体" w:hAnsi="宋体" w:eastAsia="宋体" w:cs="宋体"/>
          <w:b/>
          <w:bCs/>
          <w:snapToGrid w:val="0"/>
          <w:color w:val="auto"/>
          <w:kern w:val="0"/>
          <w:sz w:val="32"/>
          <w:szCs w:val="32"/>
          <w:highlight w:val="none"/>
        </w:rPr>
        <w:t>第二节 合同条款</w:t>
      </w:r>
      <w:bookmarkEnd w:id="97"/>
      <w:bookmarkEnd w:id="98"/>
      <w:bookmarkEnd w:id="99"/>
      <w:bookmarkEnd w:id="100"/>
      <w:bookmarkEnd w:id="101"/>
    </w:p>
    <w:p w14:paraId="57FEA4A9">
      <w:pPr>
        <w:keepNext w:val="0"/>
        <w:keepLines w:val="0"/>
        <w:pageBreakBefore w:val="0"/>
        <w:widowControl w:val="0"/>
        <w:numPr>
          <w:ilvl w:val="0"/>
          <w:numId w:val="7"/>
        </w:numPr>
        <w:tabs>
          <w:tab w:val="left" w:pos="672"/>
        </w:tabs>
        <w:kinsoku/>
        <w:wordWrap/>
        <w:overflowPunct/>
        <w:topLinePunct w:val="0"/>
        <w:bidi w:val="0"/>
        <w:spacing w:line="400" w:lineRule="exact"/>
        <w:ind w:left="0" w:firstLine="426"/>
        <w:jc w:val="left"/>
        <w:textAlignment w:val="auto"/>
        <w:outlineLvl w:val="3"/>
        <w:rPr>
          <w:rFonts w:hint="eastAsia" w:ascii="宋体" w:hAnsi="宋体" w:eastAsia="宋体" w:cs="宋体"/>
          <w:b/>
          <w:snapToGrid w:val="0"/>
          <w:color w:val="auto"/>
          <w:kern w:val="2"/>
          <w:sz w:val="22"/>
          <w:szCs w:val="22"/>
          <w:highlight w:val="none"/>
          <w:lang w:val="en-US" w:eastAsia="zh-CN" w:bidi="ar-SA"/>
        </w:rPr>
      </w:pPr>
      <w:bookmarkStart w:id="102" w:name="_Toc359839703"/>
      <w:bookmarkStart w:id="103" w:name="_Toc359839315"/>
      <w:bookmarkStart w:id="104" w:name="_Toc354478012"/>
      <w:bookmarkStart w:id="105" w:name="_Toc354494030"/>
      <w:bookmarkStart w:id="106" w:name="_Toc354478272"/>
      <w:bookmarkStart w:id="107" w:name="_Toc359838518"/>
      <w:bookmarkStart w:id="108" w:name="_Toc359839844"/>
      <w:r>
        <w:rPr>
          <w:rFonts w:hint="eastAsia" w:ascii="宋体" w:hAnsi="宋体" w:eastAsia="宋体" w:cs="宋体"/>
          <w:b/>
          <w:snapToGrid w:val="0"/>
          <w:color w:val="auto"/>
          <w:kern w:val="2"/>
          <w:sz w:val="22"/>
          <w:szCs w:val="22"/>
          <w:highlight w:val="none"/>
          <w:lang w:val="en-US" w:eastAsia="zh-CN" w:bidi="ar-SA"/>
        </w:rPr>
        <w:t>一般约定</w:t>
      </w:r>
    </w:p>
    <w:p w14:paraId="208B8193">
      <w:pPr>
        <w:keepNext w:val="0"/>
        <w:keepLines w:val="0"/>
        <w:pageBreakBefore w:val="0"/>
        <w:widowControl w:val="0"/>
        <w:kinsoku/>
        <w:wordWrap/>
        <w:overflowPunct/>
        <w:topLinePunct w:val="0"/>
        <w:bidi w:val="0"/>
        <w:spacing w:before="0" w:after="0" w:line="400" w:lineRule="exact"/>
        <w:ind w:firstLine="426"/>
        <w:jc w:val="both"/>
        <w:textAlignment w:val="auto"/>
        <w:outlineLvl w:val="4"/>
        <w:rPr>
          <w:rFonts w:hint="eastAsia" w:ascii="宋体" w:hAnsi="宋体" w:eastAsia="宋体" w:cs="宋体"/>
          <w:b/>
          <w:bCs/>
          <w:snapToGrid w:val="0"/>
          <w:color w:val="auto"/>
          <w:kern w:val="2"/>
          <w:sz w:val="22"/>
          <w:szCs w:val="22"/>
          <w:highlight w:val="none"/>
          <w:lang w:val="en-US" w:eastAsia="zh-CN" w:bidi="ar-SA"/>
        </w:rPr>
      </w:pPr>
      <w:r>
        <w:rPr>
          <w:rFonts w:hint="eastAsia" w:ascii="宋体" w:hAnsi="宋体" w:eastAsia="宋体" w:cs="宋体"/>
          <w:b/>
          <w:bCs/>
          <w:snapToGrid w:val="0"/>
          <w:color w:val="auto"/>
          <w:kern w:val="2"/>
          <w:sz w:val="22"/>
          <w:szCs w:val="22"/>
          <w:highlight w:val="none"/>
          <w:lang w:val="en-US" w:eastAsia="zh-CN" w:bidi="ar-SA"/>
        </w:rPr>
        <w:t>1.1词语</w:t>
      </w:r>
      <w:r>
        <w:rPr>
          <w:rFonts w:hint="eastAsia" w:ascii="宋体" w:hAnsi="宋体" w:eastAsia="宋体" w:cs="宋体"/>
          <w:b/>
          <w:bCs/>
          <w:color w:val="auto"/>
          <w:kern w:val="2"/>
          <w:sz w:val="22"/>
          <w:szCs w:val="22"/>
          <w:highlight w:val="none"/>
          <w:lang w:val="en-US" w:eastAsia="zh-CN" w:bidi="ar-SA"/>
        </w:rPr>
        <w:t>定义</w:t>
      </w:r>
      <w:bookmarkEnd w:id="102"/>
      <w:bookmarkEnd w:id="103"/>
      <w:bookmarkEnd w:id="104"/>
      <w:bookmarkEnd w:id="105"/>
      <w:bookmarkEnd w:id="106"/>
      <w:bookmarkEnd w:id="107"/>
      <w:bookmarkEnd w:id="108"/>
    </w:p>
    <w:p w14:paraId="207E1510">
      <w:pPr>
        <w:keepNext w:val="0"/>
        <w:keepLines w:val="0"/>
        <w:pageBreakBefore w:val="0"/>
        <w:widowControl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在本合同中，下列名词或术语，除文中另有要求或说明外，应具有本条所赋予的定义：</w:t>
      </w:r>
    </w:p>
    <w:p w14:paraId="6F12864A">
      <w:pPr>
        <w:keepNext w:val="0"/>
        <w:keepLines w:val="0"/>
        <w:pageBreakBefore w:val="0"/>
        <w:widowControl w:val="0"/>
        <w:tabs>
          <w:tab w:val="left" w:pos="1440"/>
        </w:tabs>
        <w:kinsoku/>
        <w:wordWrap/>
        <w:overflowPunct/>
        <w:topLinePunct w:val="0"/>
        <w:bidi w:val="0"/>
        <w:spacing w:before="0" w:after="0" w:line="400" w:lineRule="exact"/>
        <w:ind w:left="1080" w:leftChars="226" w:hanging="605" w:hangingChars="260"/>
        <w:jc w:val="left"/>
        <w:textAlignment w:val="auto"/>
        <w:outlineLvl w:val="5"/>
        <w:rPr>
          <w:rFonts w:hint="eastAsia" w:ascii="宋体" w:hAnsi="宋体" w:eastAsia="宋体" w:cs="宋体"/>
          <w:b/>
          <w:bCs/>
          <w:snapToGrid w:val="0"/>
          <w:color w:val="auto"/>
          <w:spacing w:val="6"/>
          <w:kern w:val="2"/>
          <w:sz w:val="22"/>
          <w:szCs w:val="22"/>
          <w:highlight w:val="none"/>
          <w:lang w:val="en-US" w:eastAsia="zh-CN" w:bidi="ar-SA"/>
        </w:rPr>
      </w:pPr>
      <w:r>
        <w:rPr>
          <w:rFonts w:hint="eastAsia" w:ascii="宋体" w:hAnsi="宋体" w:eastAsia="宋体" w:cs="宋体"/>
          <w:b/>
          <w:bCs/>
          <w:snapToGrid w:val="0"/>
          <w:color w:val="auto"/>
          <w:spacing w:val="6"/>
          <w:kern w:val="2"/>
          <w:sz w:val="22"/>
          <w:szCs w:val="22"/>
          <w:highlight w:val="none"/>
          <w:lang w:val="en-US" w:eastAsia="zh-CN" w:bidi="ar-SA"/>
        </w:rPr>
        <w:t>1.1.1合同</w:t>
      </w:r>
    </w:p>
    <w:p w14:paraId="7A6541AC">
      <w:pPr>
        <w:keepNext w:val="0"/>
        <w:keepLines w:val="0"/>
        <w:pageBreakBefore w:val="0"/>
        <w:widowControl w:val="0"/>
        <w:kinsoku/>
        <w:wordWrap/>
        <w:overflowPunct/>
        <w:topLinePunct w:val="0"/>
        <w:bidi w:val="0"/>
        <w:spacing w:line="400" w:lineRule="exact"/>
        <w:ind w:firstLine="426" w:firstLineChars="20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b/>
          <w:color w:val="auto"/>
          <w:spacing w:val="-4"/>
          <w:sz w:val="22"/>
          <w:szCs w:val="22"/>
          <w:highlight w:val="none"/>
        </w:rPr>
        <w:t>1.1.1.1</w:t>
      </w:r>
      <w:r>
        <w:rPr>
          <w:rFonts w:hint="eastAsia" w:ascii="宋体" w:hAnsi="宋体" w:eastAsia="宋体" w:cs="宋体"/>
          <w:color w:val="auto"/>
          <w:spacing w:val="-4"/>
          <w:sz w:val="22"/>
          <w:szCs w:val="22"/>
          <w:highlight w:val="none"/>
        </w:rPr>
        <w:t>本项目:</w:t>
      </w:r>
      <w:r>
        <w:rPr>
          <w:rFonts w:hint="eastAsia" w:ascii="宋体" w:hAnsi="宋体" w:eastAsia="宋体" w:cs="宋体"/>
          <w:color w:val="auto"/>
          <w:sz w:val="22"/>
          <w:szCs w:val="22"/>
          <w:highlight w:val="none"/>
        </w:rPr>
        <w:t>指</w:t>
      </w:r>
      <w:r>
        <w:rPr>
          <w:rFonts w:hint="eastAsia" w:hAnsi="宋体" w:cs="宋体"/>
          <w:color w:val="auto"/>
          <w:sz w:val="22"/>
          <w:szCs w:val="22"/>
          <w:highlight w:val="none"/>
          <w:lang w:eastAsia="zh-CN"/>
        </w:rPr>
        <w:t>2024年泰顺县罗阳镇上洪村堆谷洋农田宜机化改造项目</w:t>
      </w:r>
      <w:r>
        <w:rPr>
          <w:rFonts w:hint="eastAsia" w:ascii="宋体" w:hAnsi="宋体" w:eastAsia="宋体" w:cs="宋体"/>
          <w:color w:val="auto"/>
          <w:kern w:val="0"/>
          <w:sz w:val="22"/>
          <w:szCs w:val="22"/>
          <w:highlight w:val="none"/>
          <w:lang w:eastAsia="zh-CN"/>
        </w:rPr>
        <w:t>。</w:t>
      </w:r>
    </w:p>
    <w:p w14:paraId="34225F1B">
      <w:pPr>
        <w:keepNext w:val="0"/>
        <w:keepLines w:val="0"/>
        <w:pageBreakBefore w:val="0"/>
        <w:widowControl w:val="0"/>
        <w:kinsoku/>
        <w:wordWrap/>
        <w:overflowPunct/>
        <w:topLinePunct w:val="0"/>
        <w:bidi w:val="0"/>
        <w:adjustRightInd w:val="0"/>
        <w:spacing w:line="400" w:lineRule="exact"/>
        <w:ind w:firstLine="426" w:firstLineChars="200"/>
        <w:textAlignment w:val="auto"/>
        <w:rPr>
          <w:rFonts w:hint="eastAsia" w:ascii="宋体" w:hAnsi="宋体" w:eastAsia="宋体" w:cs="宋体"/>
          <w:color w:val="auto"/>
          <w:sz w:val="22"/>
          <w:szCs w:val="22"/>
          <w:highlight w:val="none"/>
        </w:rPr>
      </w:pPr>
      <w:r>
        <w:rPr>
          <w:rFonts w:hint="eastAsia" w:ascii="宋体" w:hAnsi="宋体" w:eastAsia="宋体" w:cs="宋体"/>
          <w:b/>
          <w:color w:val="auto"/>
          <w:spacing w:val="-4"/>
          <w:sz w:val="22"/>
          <w:szCs w:val="22"/>
          <w:highlight w:val="none"/>
        </w:rPr>
        <w:t>1.1.1.2</w:t>
      </w:r>
      <w:r>
        <w:rPr>
          <w:rFonts w:hint="eastAsia" w:ascii="宋体" w:hAnsi="宋体" w:eastAsia="宋体" w:cs="宋体"/>
          <w:color w:val="auto"/>
          <w:sz w:val="22"/>
          <w:szCs w:val="22"/>
          <w:highlight w:val="none"/>
        </w:rPr>
        <w:t>合同文件（或称合同）：指合同协议书、</w:t>
      </w:r>
      <w:r>
        <w:rPr>
          <w:rFonts w:hint="eastAsia" w:ascii="宋体" w:hAnsi="宋体" w:eastAsia="宋体" w:cs="宋体"/>
          <w:color w:val="auto"/>
          <w:sz w:val="22"/>
          <w:szCs w:val="22"/>
          <w:highlight w:val="none"/>
          <w:lang w:eastAsia="zh-CN"/>
        </w:rPr>
        <w:t>中标（成交）通知书</w:t>
      </w:r>
      <w:r>
        <w:rPr>
          <w:rFonts w:hint="eastAsia" w:ascii="宋体" w:hAnsi="宋体" w:eastAsia="宋体" w:cs="宋体"/>
          <w:color w:val="auto"/>
          <w:sz w:val="22"/>
          <w:szCs w:val="22"/>
          <w:highlight w:val="none"/>
        </w:rPr>
        <w:t>、投标函、合同条款、</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要求、</w:t>
      </w:r>
      <w:r>
        <w:rPr>
          <w:rFonts w:hint="eastAsia" w:ascii="宋体" w:hAnsi="宋体" w:eastAsia="宋体" w:cs="宋体"/>
          <w:color w:val="auto"/>
          <w:sz w:val="22"/>
          <w:szCs w:val="22"/>
          <w:highlight w:val="none"/>
          <w:lang w:val="en-US" w:eastAsia="zh-CN"/>
        </w:rPr>
        <w:t>开标一览表等</w:t>
      </w:r>
      <w:r>
        <w:rPr>
          <w:rFonts w:hint="eastAsia" w:ascii="宋体" w:hAnsi="宋体" w:eastAsia="宋体" w:cs="宋体"/>
          <w:color w:val="auto"/>
          <w:sz w:val="22"/>
          <w:szCs w:val="22"/>
          <w:highlight w:val="none"/>
        </w:rPr>
        <w:t>其他构成合同组成部分的文件。</w:t>
      </w:r>
    </w:p>
    <w:p w14:paraId="7C475825">
      <w:pPr>
        <w:keepNext w:val="0"/>
        <w:keepLines w:val="0"/>
        <w:pageBreakBefore w:val="0"/>
        <w:widowControl w:val="0"/>
        <w:kinsoku/>
        <w:wordWrap/>
        <w:overflowPunct/>
        <w:topLinePunct w:val="0"/>
        <w:bidi w:val="0"/>
        <w:adjustRightInd w:val="0"/>
        <w:spacing w:line="400" w:lineRule="exact"/>
        <w:ind w:firstLine="442" w:firstLineChars="200"/>
        <w:textAlignment w:val="auto"/>
        <w:rPr>
          <w:rFonts w:hint="eastAsia" w:ascii="宋体" w:hAnsi="宋体" w:eastAsia="宋体" w:cs="宋体"/>
          <w:color w:val="auto"/>
          <w:sz w:val="22"/>
          <w:szCs w:val="22"/>
          <w:highlight w:val="none"/>
        </w:rPr>
      </w:pPr>
      <w:r>
        <w:rPr>
          <w:rFonts w:hint="eastAsia" w:ascii="宋体" w:hAnsi="宋体" w:eastAsia="宋体" w:cs="宋体"/>
          <w:b/>
          <w:color w:val="auto"/>
          <w:sz w:val="22"/>
          <w:szCs w:val="22"/>
          <w:highlight w:val="none"/>
        </w:rPr>
        <w:t>1.1.1.3</w:t>
      </w:r>
      <w:r>
        <w:rPr>
          <w:rFonts w:hint="eastAsia" w:ascii="宋体" w:hAnsi="宋体" w:eastAsia="宋体" w:cs="宋体"/>
          <w:color w:val="auto"/>
          <w:sz w:val="22"/>
          <w:szCs w:val="22"/>
          <w:highlight w:val="none"/>
        </w:rPr>
        <w:t>合同协议书：指</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按</w:t>
      </w:r>
      <w:r>
        <w:rPr>
          <w:rFonts w:hint="eastAsia" w:ascii="宋体" w:hAnsi="宋体" w:eastAsia="宋体" w:cs="宋体"/>
          <w:color w:val="auto"/>
          <w:sz w:val="22"/>
          <w:szCs w:val="22"/>
          <w:highlight w:val="none"/>
          <w:lang w:eastAsia="zh-CN"/>
        </w:rPr>
        <w:t>中标（成交）通知书</w:t>
      </w:r>
      <w:r>
        <w:rPr>
          <w:rFonts w:hint="eastAsia" w:ascii="宋体" w:hAnsi="宋体" w:eastAsia="宋体" w:cs="宋体"/>
          <w:color w:val="auto"/>
          <w:sz w:val="22"/>
          <w:szCs w:val="22"/>
          <w:highlight w:val="none"/>
        </w:rPr>
        <w:t>规定的时间与</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签订合同协议书。若为联合体成交的，联合体各方应当共同与</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签订合同。除法律另有规定或合同另有约定外，</w:t>
      </w:r>
      <w:r>
        <w:rPr>
          <w:rFonts w:hint="eastAsia" w:hAnsi="宋体" w:cs="宋体"/>
          <w:color w:val="auto"/>
          <w:sz w:val="22"/>
          <w:szCs w:val="22"/>
          <w:highlight w:val="none"/>
          <w:lang w:val="en-US" w:eastAsia="zh-CN"/>
        </w:rPr>
        <w:t>甲乙丙三方</w:t>
      </w:r>
      <w:r>
        <w:rPr>
          <w:rFonts w:hint="eastAsia" w:ascii="宋体" w:hAnsi="宋体" w:eastAsia="宋体" w:cs="宋体"/>
          <w:color w:val="auto"/>
          <w:sz w:val="22"/>
          <w:szCs w:val="22"/>
          <w:highlight w:val="none"/>
        </w:rPr>
        <w:t>的法定代表人或其委托代理人在合同协议书上签字并盖单位章后，合同生效。</w:t>
      </w:r>
    </w:p>
    <w:p w14:paraId="76FFAE69">
      <w:pPr>
        <w:keepNext w:val="0"/>
        <w:keepLines w:val="0"/>
        <w:pageBreakBefore w:val="0"/>
        <w:widowControl w:val="0"/>
        <w:kinsoku/>
        <w:wordWrap/>
        <w:overflowPunct/>
        <w:topLinePunct w:val="0"/>
        <w:bidi w:val="0"/>
        <w:adjustRightInd w:val="0"/>
        <w:spacing w:line="400" w:lineRule="exact"/>
        <w:ind w:firstLine="446" w:firstLineChars="202"/>
        <w:textAlignment w:val="auto"/>
        <w:rPr>
          <w:rFonts w:hint="eastAsia" w:ascii="宋体" w:hAnsi="宋体" w:eastAsia="宋体" w:cs="宋体"/>
          <w:color w:val="auto"/>
          <w:sz w:val="22"/>
          <w:szCs w:val="22"/>
          <w:highlight w:val="none"/>
        </w:rPr>
      </w:pPr>
      <w:r>
        <w:rPr>
          <w:rFonts w:hint="eastAsia" w:ascii="宋体" w:hAnsi="宋体" w:eastAsia="宋体" w:cs="宋体"/>
          <w:b/>
          <w:color w:val="auto"/>
          <w:sz w:val="22"/>
          <w:szCs w:val="22"/>
          <w:highlight w:val="none"/>
        </w:rPr>
        <w:t>1.1.1.4</w:t>
      </w:r>
      <w:r>
        <w:rPr>
          <w:rFonts w:hint="eastAsia" w:ascii="宋体" w:hAnsi="宋体" w:eastAsia="宋体" w:cs="宋体"/>
          <w:color w:val="auto"/>
          <w:sz w:val="22"/>
          <w:szCs w:val="22"/>
          <w:highlight w:val="none"/>
          <w:lang w:eastAsia="zh-CN"/>
        </w:rPr>
        <w:t>中标（成交）通知书</w:t>
      </w:r>
      <w:r>
        <w:rPr>
          <w:rFonts w:hint="eastAsia" w:ascii="宋体" w:hAnsi="宋体" w:eastAsia="宋体" w:cs="宋体"/>
          <w:color w:val="auto"/>
          <w:sz w:val="22"/>
          <w:szCs w:val="22"/>
          <w:highlight w:val="none"/>
        </w:rPr>
        <w:t>：指</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通知</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成交的函件。</w:t>
      </w:r>
      <w:r>
        <w:rPr>
          <w:rFonts w:hint="eastAsia" w:ascii="宋体" w:hAnsi="宋体" w:eastAsia="宋体" w:cs="宋体"/>
          <w:color w:val="auto"/>
          <w:sz w:val="22"/>
          <w:szCs w:val="22"/>
          <w:highlight w:val="none"/>
          <w:lang w:eastAsia="zh-CN"/>
        </w:rPr>
        <w:t>中标（成交）通知书</w:t>
      </w:r>
      <w:r>
        <w:rPr>
          <w:rFonts w:hint="eastAsia" w:ascii="宋体" w:hAnsi="宋体" w:eastAsia="宋体" w:cs="宋体"/>
          <w:color w:val="auto"/>
          <w:sz w:val="22"/>
          <w:szCs w:val="22"/>
          <w:highlight w:val="none"/>
        </w:rPr>
        <w:t>随附的澄清、说明、补正事项纪要等，是</w:t>
      </w:r>
      <w:r>
        <w:rPr>
          <w:rFonts w:hint="eastAsia" w:ascii="宋体" w:hAnsi="宋体" w:eastAsia="宋体" w:cs="宋体"/>
          <w:color w:val="auto"/>
          <w:sz w:val="22"/>
          <w:szCs w:val="22"/>
          <w:highlight w:val="none"/>
          <w:lang w:eastAsia="zh-CN"/>
        </w:rPr>
        <w:t>中标（成交）通知书</w:t>
      </w:r>
      <w:r>
        <w:rPr>
          <w:rFonts w:hint="eastAsia" w:ascii="宋体" w:hAnsi="宋体" w:eastAsia="宋体" w:cs="宋体"/>
          <w:color w:val="auto"/>
          <w:sz w:val="22"/>
          <w:szCs w:val="22"/>
          <w:highlight w:val="none"/>
        </w:rPr>
        <w:t>的组成部分。</w:t>
      </w:r>
    </w:p>
    <w:p w14:paraId="1B0070F2">
      <w:pPr>
        <w:keepNext w:val="0"/>
        <w:keepLines w:val="0"/>
        <w:pageBreakBefore w:val="0"/>
        <w:widowControl w:val="0"/>
        <w:kinsoku/>
        <w:wordWrap/>
        <w:overflowPunct/>
        <w:topLinePunct w:val="0"/>
        <w:bidi w:val="0"/>
        <w:adjustRightInd w:val="0"/>
        <w:spacing w:line="400" w:lineRule="exact"/>
        <w:ind w:firstLine="442" w:firstLineChars="200"/>
        <w:textAlignment w:val="auto"/>
        <w:rPr>
          <w:rFonts w:hint="eastAsia" w:ascii="宋体" w:hAnsi="宋体" w:eastAsia="宋体" w:cs="宋体"/>
          <w:color w:val="auto"/>
          <w:sz w:val="22"/>
          <w:szCs w:val="22"/>
          <w:highlight w:val="none"/>
        </w:rPr>
      </w:pPr>
      <w:r>
        <w:rPr>
          <w:rFonts w:hint="eastAsia" w:ascii="宋体" w:hAnsi="宋体" w:eastAsia="宋体" w:cs="宋体"/>
          <w:b/>
          <w:color w:val="auto"/>
          <w:sz w:val="22"/>
          <w:szCs w:val="22"/>
          <w:highlight w:val="none"/>
        </w:rPr>
        <w:t>1.1.1.5</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要求：指构成合同文件组成部分的名为</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要求的文件，包括招标项目的目的、范围、设计与其他技术标准和要求，以及合同</w:t>
      </w:r>
      <w:r>
        <w:rPr>
          <w:rFonts w:hint="eastAsia" w:ascii="宋体" w:hAnsi="宋体" w:eastAsia="宋体" w:cs="宋体"/>
          <w:color w:val="auto"/>
          <w:sz w:val="22"/>
          <w:szCs w:val="22"/>
          <w:highlight w:val="none"/>
          <w:lang w:eastAsia="zh-CN"/>
        </w:rPr>
        <w:t>三方</w:t>
      </w:r>
      <w:r>
        <w:rPr>
          <w:rFonts w:hint="eastAsia" w:ascii="宋体" w:hAnsi="宋体" w:eastAsia="宋体" w:cs="宋体"/>
          <w:color w:val="auto"/>
          <w:sz w:val="22"/>
          <w:szCs w:val="22"/>
          <w:highlight w:val="none"/>
        </w:rPr>
        <w:t>当事人约定对其所作的修改或补充。</w:t>
      </w:r>
    </w:p>
    <w:p w14:paraId="5A4F4E0A">
      <w:pPr>
        <w:keepNext w:val="0"/>
        <w:keepLines w:val="0"/>
        <w:pageBreakBefore w:val="0"/>
        <w:widowControl w:val="0"/>
        <w:kinsoku/>
        <w:wordWrap/>
        <w:overflowPunct/>
        <w:topLinePunct w:val="0"/>
        <w:bidi w:val="0"/>
        <w:adjustRightInd w:val="0"/>
        <w:spacing w:line="400" w:lineRule="exact"/>
        <w:ind w:firstLine="446" w:firstLineChars="202"/>
        <w:textAlignment w:val="auto"/>
        <w:rPr>
          <w:rFonts w:hint="eastAsia" w:ascii="宋体" w:hAnsi="宋体" w:eastAsia="宋体" w:cs="宋体"/>
          <w:color w:val="auto"/>
          <w:sz w:val="22"/>
          <w:szCs w:val="22"/>
          <w:highlight w:val="none"/>
        </w:rPr>
      </w:pPr>
      <w:r>
        <w:rPr>
          <w:rFonts w:hint="eastAsia" w:ascii="宋体" w:hAnsi="宋体" w:eastAsia="宋体" w:cs="宋体"/>
          <w:b/>
          <w:color w:val="auto"/>
          <w:sz w:val="22"/>
          <w:szCs w:val="22"/>
          <w:highlight w:val="none"/>
        </w:rPr>
        <w:t>1.1.1.6</w:t>
      </w:r>
      <w:r>
        <w:rPr>
          <w:rFonts w:hint="eastAsia" w:ascii="宋体" w:hAnsi="宋体" w:eastAsia="宋体" w:cs="宋体"/>
          <w:color w:val="auto"/>
          <w:sz w:val="22"/>
          <w:szCs w:val="22"/>
          <w:highlight w:val="none"/>
        </w:rPr>
        <w:t>价格清单：指构成合同文件组成部分的由</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按规定的格式和要求填写并标明价格的清单。</w:t>
      </w:r>
    </w:p>
    <w:p w14:paraId="7C051E99">
      <w:pPr>
        <w:keepNext w:val="0"/>
        <w:keepLines w:val="0"/>
        <w:pageBreakBefore w:val="0"/>
        <w:widowControl w:val="0"/>
        <w:kinsoku/>
        <w:wordWrap/>
        <w:overflowPunct/>
        <w:topLinePunct w:val="0"/>
        <w:bidi w:val="0"/>
        <w:adjustRightInd w:val="0"/>
        <w:spacing w:line="400" w:lineRule="exact"/>
        <w:ind w:firstLine="446" w:firstLineChars="202"/>
        <w:textAlignment w:val="auto"/>
        <w:rPr>
          <w:rFonts w:hint="eastAsia" w:ascii="宋体" w:hAnsi="宋体" w:eastAsia="宋体" w:cs="宋体"/>
          <w:color w:val="auto"/>
          <w:sz w:val="22"/>
          <w:szCs w:val="22"/>
          <w:highlight w:val="none"/>
        </w:rPr>
      </w:pPr>
      <w:r>
        <w:rPr>
          <w:rFonts w:hint="eastAsia" w:ascii="宋体" w:hAnsi="宋体" w:eastAsia="宋体" w:cs="宋体"/>
          <w:b/>
          <w:color w:val="auto"/>
          <w:sz w:val="22"/>
          <w:szCs w:val="22"/>
          <w:highlight w:val="none"/>
        </w:rPr>
        <w:t>1.1.1.7</w:t>
      </w:r>
      <w:r>
        <w:rPr>
          <w:rFonts w:hint="eastAsia" w:ascii="宋体" w:hAnsi="宋体" w:eastAsia="宋体" w:cs="宋体"/>
          <w:color w:val="auto"/>
          <w:sz w:val="22"/>
          <w:szCs w:val="22"/>
          <w:highlight w:val="none"/>
        </w:rPr>
        <w:t>其他合同文件：指经合同</w:t>
      </w:r>
      <w:r>
        <w:rPr>
          <w:rFonts w:hint="eastAsia" w:ascii="宋体" w:hAnsi="宋体" w:eastAsia="宋体" w:cs="宋体"/>
          <w:color w:val="auto"/>
          <w:sz w:val="22"/>
          <w:szCs w:val="22"/>
          <w:highlight w:val="none"/>
          <w:lang w:eastAsia="zh-CN"/>
        </w:rPr>
        <w:t>三方</w:t>
      </w:r>
      <w:r>
        <w:rPr>
          <w:rFonts w:hint="eastAsia" w:ascii="宋体" w:hAnsi="宋体" w:eastAsia="宋体" w:cs="宋体"/>
          <w:color w:val="auto"/>
          <w:sz w:val="22"/>
          <w:szCs w:val="22"/>
          <w:highlight w:val="none"/>
        </w:rPr>
        <w:t>当事人确认构成合同文件的其他文件。</w:t>
      </w:r>
    </w:p>
    <w:p w14:paraId="1685CE62">
      <w:pPr>
        <w:keepNext w:val="0"/>
        <w:keepLines w:val="0"/>
        <w:pageBreakBefore w:val="0"/>
        <w:widowControl w:val="0"/>
        <w:tabs>
          <w:tab w:val="left" w:pos="1440"/>
        </w:tabs>
        <w:kinsoku/>
        <w:wordWrap/>
        <w:overflowPunct/>
        <w:topLinePunct w:val="0"/>
        <w:bidi w:val="0"/>
        <w:spacing w:before="0" w:after="0" w:line="400" w:lineRule="exact"/>
        <w:ind w:left="0" w:leftChars="0" w:firstLine="466" w:firstLineChars="200"/>
        <w:jc w:val="left"/>
        <w:textAlignment w:val="auto"/>
        <w:outlineLvl w:val="5"/>
        <w:rPr>
          <w:rFonts w:hint="eastAsia" w:ascii="宋体" w:hAnsi="宋体" w:eastAsia="宋体" w:cs="宋体"/>
          <w:b/>
          <w:bCs/>
          <w:snapToGrid w:val="0"/>
          <w:color w:val="auto"/>
          <w:spacing w:val="6"/>
          <w:kern w:val="2"/>
          <w:sz w:val="22"/>
          <w:szCs w:val="22"/>
          <w:highlight w:val="none"/>
          <w:lang w:val="en-US" w:eastAsia="zh-CN" w:bidi="ar-SA"/>
        </w:rPr>
      </w:pPr>
      <w:r>
        <w:rPr>
          <w:rFonts w:hint="eastAsia" w:ascii="宋体" w:hAnsi="宋体" w:eastAsia="宋体" w:cs="宋体"/>
          <w:b/>
          <w:bCs/>
          <w:snapToGrid w:val="0"/>
          <w:color w:val="auto"/>
          <w:spacing w:val="6"/>
          <w:kern w:val="2"/>
          <w:sz w:val="22"/>
          <w:szCs w:val="22"/>
          <w:highlight w:val="none"/>
          <w:lang w:val="en-US" w:eastAsia="zh-CN" w:bidi="ar-SA"/>
        </w:rPr>
        <w:t>1.1.2合同当事人和人员</w:t>
      </w:r>
    </w:p>
    <w:p w14:paraId="2D0AE97B">
      <w:pPr>
        <w:keepNext w:val="0"/>
        <w:keepLines w:val="0"/>
        <w:pageBreakBefore w:val="0"/>
        <w:widowControl w:val="0"/>
        <w:kinsoku/>
        <w:wordWrap/>
        <w:overflowPunct/>
        <w:topLinePunct w:val="0"/>
        <w:bidi w:val="0"/>
        <w:adjustRightInd w:val="0"/>
        <w:spacing w:line="400" w:lineRule="exact"/>
        <w:ind w:firstLine="442" w:firstLineChars="200"/>
        <w:textAlignment w:val="auto"/>
        <w:rPr>
          <w:rFonts w:hint="eastAsia" w:ascii="宋体" w:hAnsi="宋体" w:eastAsia="宋体" w:cs="宋体"/>
          <w:color w:val="auto"/>
          <w:sz w:val="22"/>
          <w:szCs w:val="22"/>
          <w:highlight w:val="none"/>
        </w:rPr>
      </w:pPr>
      <w:r>
        <w:rPr>
          <w:rFonts w:hint="eastAsia" w:ascii="宋体" w:hAnsi="宋体" w:eastAsia="宋体" w:cs="宋体"/>
          <w:b/>
          <w:color w:val="auto"/>
          <w:sz w:val="22"/>
          <w:szCs w:val="22"/>
          <w:highlight w:val="none"/>
        </w:rPr>
        <w:t>1.1.2.1</w:t>
      </w:r>
      <w:r>
        <w:rPr>
          <w:rFonts w:hint="eastAsia" w:ascii="宋体" w:hAnsi="宋体" w:eastAsia="宋体" w:cs="宋体"/>
          <w:color w:val="auto"/>
          <w:sz w:val="22"/>
          <w:szCs w:val="22"/>
          <w:highlight w:val="none"/>
        </w:rPr>
        <w:t>合同当事人：指</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和（或）</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和（或）</w:t>
      </w:r>
      <w:r>
        <w:rPr>
          <w:rFonts w:hint="eastAsia" w:ascii="宋体" w:hAnsi="宋体" w:eastAsia="宋体" w:cs="宋体"/>
          <w:color w:val="auto"/>
          <w:sz w:val="22"/>
          <w:szCs w:val="22"/>
          <w:highlight w:val="none"/>
          <w:lang w:val="en-US" w:eastAsia="zh-CN"/>
        </w:rPr>
        <w:t>丙</w:t>
      </w:r>
      <w:r>
        <w:rPr>
          <w:rFonts w:hint="eastAsia" w:ascii="宋体" w:hAnsi="宋体" w:eastAsia="宋体" w:cs="宋体"/>
          <w:color w:val="auto"/>
          <w:sz w:val="22"/>
          <w:szCs w:val="22"/>
          <w:highlight w:val="none"/>
          <w:lang w:eastAsia="zh-CN"/>
        </w:rPr>
        <w:t>方</w:t>
      </w:r>
      <w:r>
        <w:rPr>
          <w:rFonts w:hint="eastAsia" w:ascii="宋体" w:hAnsi="宋体" w:eastAsia="宋体" w:cs="宋体"/>
          <w:color w:val="auto"/>
          <w:sz w:val="22"/>
          <w:szCs w:val="22"/>
          <w:highlight w:val="none"/>
        </w:rPr>
        <w:t>。</w:t>
      </w:r>
    </w:p>
    <w:p w14:paraId="342BF29D">
      <w:pPr>
        <w:keepNext w:val="0"/>
        <w:keepLines w:val="0"/>
        <w:pageBreakBefore w:val="0"/>
        <w:widowControl w:val="0"/>
        <w:kinsoku/>
        <w:wordWrap/>
        <w:overflowPunct/>
        <w:topLinePunct w:val="0"/>
        <w:bidi w:val="0"/>
        <w:adjustRightInd w:val="0"/>
        <w:spacing w:line="400" w:lineRule="exact"/>
        <w:ind w:firstLine="442" w:firstLineChars="200"/>
        <w:textAlignment w:val="auto"/>
        <w:rPr>
          <w:rFonts w:hint="eastAsia" w:ascii="宋体" w:hAnsi="宋体" w:eastAsia="宋体" w:cs="宋体"/>
          <w:color w:val="auto"/>
          <w:sz w:val="22"/>
          <w:szCs w:val="22"/>
          <w:highlight w:val="none"/>
        </w:rPr>
      </w:pPr>
      <w:r>
        <w:rPr>
          <w:rFonts w:hint="eastAsia" w:ascii="宋体" w:hAnsi="宋体" w:eastAsia="宋体" w:cs="宋体"/>
          <w:b/>
          <w:color w:val="auto"/>
          <w:sz w:val="22"/>
          <w:szCs w:val="22"/>
          <w:highlight w:val="none"/>
        </w:rPr>
        <w:t>1.1.2.2</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：是指出面与</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lang w:val="en-US" w:eastAsia="zh-CN"/>
        </w:rPr>
        <w:t>丙方</w:t>
      </w:r>
      <w:r>
        <w:rPr>
          <w:rFonts w:hint="eastAsia" w:ascii="宋体" w:hAnsi="宋体" w:eastAsia="宋体" w:cs="宋体"/>
          <w:color w:val="auto"/>
          <w:sz w:val="22"/>
          <w:szCs w:val="22"/>
          <w:highlight w:val="none"/>
        </w:rPr>
        <w:t>签订合同的项目</w:t>
      </w:r>
      <w:r>
        <w:rPr>
          <w:rFonts w:hint="eastAsia" w:ascii="宋体" w:hAnsi="宋体" w:eastAsia="宋体" w:cs="宋体"/>
          <w:color w:val="auto"/>
          <w:sz w:val="22"/>
          <w:szCs w:val="22"/>
          <w:highlight w:val="none"/>
          <w:lang w:val="en-US" w:eastAsia="zh-CN"/>
        </w:rPr>
        <w:t>采购人</w:t>
      </w:r>
      <w:r>
        <w:rPr>
          <w:rFonts w:hint="eastAsia" w:ascii="宋体" w:hAnsi="宋体" w:eastAsia="宋体" w:cs="宋体"/>
          <w:color w:val="auto"/>
          <w:sz w:val="22"/>
          <w:szCs w:val="22"/>
          <w:highlight w:val="none"/>
        </w:rPr>
        <w:t>。</w:t>
      </w:r>
    </w:p>
    <w:p w14:paraId="6B6F93E3">
      <w:pPr>
        <w:keepNext w:val="0"/>
        <w:keepLines w:val="0"/>
        <w:pageBreakBefore w:val="0"/>
        <w:widowControl w:val="0"/>
        <w:kinsoku/>
        <w:wordWrap/>
        <w:overflowPunct/>
        <w:topLinePunct w:val="0"/>
        <w:bidi w:val="0"/>
        <w:adjustRightInd w:val="0"/>
        <w:spacing w:line="400" w:lineRule="exact"/>
        <w:ind w:firstLine="442" w:firstLineChars="200"/>
        <w:textAlignment w:val="auto"/>
        <w:rPr>
          <w:rFonts w:hint="eastAsia" w:ascii="宋体" w:hAnsi="宋体" w:eastAsia="宋体" w:cs="宋体"/>
          <w:color w:val="auto"/>
          <w:sz w:val="22"/>
          <w:szCs w:val="22"/>
          <w:highlight w:val="none"/>
          <w:u w:val="single"/>
          <w:lang w:eastAsia="zh-CN"/>
        </w:rPr>
      </w:pPr>
      <w:r>
        <w:rPr>
          <w:rFonts w:hint="eastAsia" w:ascii="宋体" w:hAnsi="宋体" w:eastAsia="宋体" w:cs="宋体"/>
          <w:b/>
          <w:color w:val="auto"/>
          <w:sz w:val="22"/>
          <w:szCs w:val="22"/>
          <w:highlight w:val="none"/>
        </w:rPr>
        <w:t>1.1.2.3</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：是指与</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lang w:val="en-US" w:eastAsia="zh-CN"/>
        </w:rPr>
        <w:t>丙方</w:t>
      </w:r>
      <w:r>
        <w:rPr>
          <w:rFonts w:hint="eastAsia" w:ascii="宋体" w:hAnsi="宋体" w:eastAsia="宋体" w:cs="宋体"/>
          <w:color w:val="auto"/>
          <w:sz w:val="22"/>
          <w:szCs w:val="22"/>
          <w:highlight w:val="none"/>
        </w:rPr>
        <w:t>签订项目合同的</w:t>
      </w:r>
      <w:r>
        <w:rPr>
          <w:rFonts w:hint="eastAsia" w:ascii="宋体" w:hAnsi="宋体" w:eastAsia="宋体" w:cs="宋体"/>
          <w:color w:val="auto"/>
          <w:sz w:val="22"/>
          <w:szCs w:val="22"/>
          <w:highlight w:val="none"/>
          <w:lang w:eastAsia="zh-CN"/>
        </w:rPr>
        <w:t>乙方。</w:t>
      </w:r>
    </w:p>
    <w:p w14:paraId="3C60601A">
      <w:pPr>
        <w:keepNext w:val="0"/>
        <w:keepLines w:val="0"/>
        <w:pageBreakBefore w:val="0"/>
        <w:widowControl w:val="0"/>
        <w:kinsoku/>
        <w:wordWrap/>
        <w:overflowPunct/>
        <w:topLinePunct w:val="0"/>
        <w:bidi w:val="0"/>
        <w:adjustRightInd w:val="0"/>
        <w:spacing w:line="400" w:lineRule="exact"/>
        <w:ind w:firstLine="442" w:firstLineChars="200"/>
        <w:textAlignment w:val="auto"/>
        <w:rPr>
          <w:rFonts w:hint="eastAsia" w:ascii="宋体" w:hAnsi="宋体" w:eastAsia="宋体" w:cs="宋体"/>
          <w:color w:val="auto"/>
          <w:sz w:val="22"/>
          <w:szCs w:val="22"/>
          <w:highlight w:val="none"/>
          <w:lang w:val="en-US" w:eastAsia="zh-CN"/>
        </w:rPr>
      </w:pPr>
      <w:r>
        <w:rPr>
          <w:rFonts w:hint="eastAsia" w:ascii="宋体" w:hAnsi="宋体" w:eastAsia="宋体" w:cs="宋体"/>
          <w:b/>
          <w:color w:val="auto"/>
          <w:sz w:val="22"/>
          <w:szCs w:val="22"/>
          <w:highlight w:val="none"/>
        </w:rPr>
        <w:t>1.1.2.4</w:t>
      </w:r>
      <w:r>
        <w:rPr>
          <w:rFonts w:hint="eastAsia" w:ascii="宋体" w:hAnsi="宋体" w:eastAsia="宋体" w:cs="宋体"/>
          <w:color w:val="auto"/>
          <w:sz w:val="22"/>
          <w:szCs w:val="22"/>
          <w:highlight w:val="none"/>
          <w:lang w:val="en-US" w:eastAsia="zh-CN"/>
        </w:rPr>
        <w:t>丙方：是指出面与甲方、乙方签订合同并按该合同进行支付价款的项目建设单位。</w:t>
      </w:r>
    </w:p>
    <w:p w14:paraId="42FEA6B3">
      <w:pPr>
        <w:keepNext w:val="0"/>
        <w:keepLines w:val="0"/>
        <w:pageBreakBefore w:val="0"/>
        <w:widowControl w:val="0"/>
        <w:kinsoku/>
        <w:wordWrap/>
        <w:overflowPunct/>
        <w:topLinePunct w:val="0"/>
        <w:bidi w:val="0"/>
        <w:adjustRightInd w:val="0"/>
        <w:spacing w:line="400" w:lineRule="exact"/>
        <w:ind w:firstLine="442" w:firstLineChars="200"/>
        <w:textAlignment w:val="auto"/>
        <w:rPr>
          <w:rFonts w:hint="eastAsia" w:ascii="宋体" w:hAnsi="宋体" w:eastAsia="宋体" w:cs="宋体"/>
          <w:b/>
          <w:color w:val="auto"/>
          <w:sz w:val="22"/>
          <w:szCs w:val="22"/>
          <w:highlight w:val="none"/>
        </w:rPr>
      </w:pPr>
      <w:r>
        <w:rPr>
          <w:rFonts w:hint="eastAsia" w:ascii="宋体" w:hAnsi="宋体" w:eastAsia="宋体" w:cs="宋体"/>
          <w:b/>
          <w:color w:val="auto"/>
          <w:sz w:val="22"/>
          <w:szCs w:val="22"/>
          <w:highlight w:val="none"/>
        </w:rPr>
        <w:t>1.1.2.</w:t>
      </w:r>
      <w:r>
        <w:rPr>
          <w:rFonts w:hint="eastAsia" w:ascii="宋体" w:hAnsi="宋体" w:eastAsia="宋体" w:cs="宋体"/>
          <w:b/>
          <w:color w:val="auto"/>
          <w:sz w:val="22"/>
          <w:szCs w:val="22"/>
          <w:highlight w:val="none"/>
          <w:lang w:val="en-US" w:eastAsia="zh-CN"/>
        </w:rPr>
        <w:t>5</w:t>
      </w:r>
      <w:r>
        <w:rPr>
          <w:rFonts w:hint="eastAsia" w:ascii="宋体" w:hAnsi="宋体" w:eastAsia="宋体" w:cs="宋体"/>
          <w:color w:val="auto"/>
          <w:sz w:val="22"/>
          <w:szCs w:val="22"/>
          <w:highlight w:val="none"/>
        </w:rPr>
        <w:t>项目经理部：是指由</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根据项目管理及</w:t>
      </w:r>
      <w:r>
        <w:rPr>
          <w:rFonts w:hint="eastAsia" w:ascii="宋体" w:hAnsi="宋体" w:cs="宋体"/>
          <w:color w:val="auto"/>
          <w:sz w:val="22"/>
          <w:szCs w:val="22"/>
          <w:highlight w:val="none"/>
          <w:lang w:val="en-US" w:eastAsia="zh-CN"/>
        </w:rPr>
        <w:t>项目实施</w:t>
      </w:r>
      <w:r>
        <w:rPr>
          <w:rFonts w:hint="eastAsia" w:ascii="宋体" w:hAnsi="宋体" w:eastAsia="宋体" w:cs="宋体"/>
          <w:color w:val="auto"/>
          <w:sz w:val="22"/>
          <w:szCs w:val="22"/>
          <w:highlight w:val="none"/>
        </w:rPr>
        <w:t>要求按照采购文件、响应文件及有关法律规定而在</w:t>
      </w:r>
      <w:r>
        <w:rPr>
          <w:rFonts w:hint="eastAsia" w:ascii="宋体" w:hAnsi="宋体" w:eastAsia="宋体" w:cs="宋体"/>
          <w:color w:val="auto"/>
          <w:sz w:val="22"/>
          <w:szCs w:val="22"/>
          <w:highlight w:val="none"/>
          <w:lang w:val="en-US" w:eastAsia="zh-CN"/>
        </w:rPr>
        <w:t>项目</w:t>
      </w:r>
      <w:r>
        <w:rPr>
          <w:rFonts w:hint="eastAsia" w:ascii="宋体" w:hAnsi="宋体" w:eastAsia="宋体" w:cs="宋体"/>
          <w:color w:val="auto"/>
          <w:sz w:val="22"/>
          <w:szCs w:val="22"/>
          <w:highlight w:val="none"/>
        </w:rPr>
        <w:t>现场组建的机构。</w:t>
      </w:r>
    </w:p>
    <w:p w14:paraId="6957732A">
      <w:pPr>
        <w:keepNext w:val="0"/>
        <w:keepLines w:val="0"/>
        <w:pageBreakBefore w:val="0"/>
        <w:widowControl w:val="0"/>
        <w:kinsoku/>
        <w:wordWrap/>
        <w:overflowPunct/>
        <w:topLinePunct w:val="0"/>
        <w:bidi w:val="0"/>
        <w:adjustRightInd w:val="0"/>
        <w:spacing w:line="400" w:lineRule="exact"/>
        <w:ind w:firstLine="442" w:firstLineChars="200"/>
        <w:textAlignment w:val="auto"/>
        <w:rPr>
          <w:rFonts w:hint="eastAsia" w:ascii="宋体" w:hAnsi="宋体" w:eastAsia="宋体" w:cs="宋体"/>
          <w:color w:val="auto"/>
          <w:sz w:val="22"/>
          <w:szCs w:val="22"/>
          <w:highlight w:val="none"/>
        </w:rPr>
      </w:pPr>
      <w:r>
        <w:rPr>
          <w:rFonts w:hint="eastAsia" w:ascii="宋体" w:hAnsi="宋体" w:eastAsia="宋体" w:cs="宋体"/>
          <w:b/>
          <w:color w:val="auto"/>
          <w:sz w:val="22"/>
          <w:szCs w:val="22"/>
          <w:highlight w:val="none"/>
        </w:rPr>
        <w:t>1.1.2.</w:t>
      </w:r>
      <w:r>
        <w:rPr>
          <w:rFonts w:hint="eastAsia" w:ascii="宋体" w:hAnsi="宋体" w:eastAsia="宋体" w:cs="宋体"/>
          <w:b/>
          <w:color w:val="auto"/>
          <w:sz w:val="22"/>
          <w:szCs w:val="22"/>
          <w:highlight w:val="none"/>
          <w:lang w:val="en-US" w:eastAsia="zh-CN"/>
        </w:rPr>
        <w:t>6</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项目负责人：指</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指定代表</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履行义务，具体实施本项目的</w:t>
      </w:r>
      <w:r>
        <w:rPr>
          <w:rFonts w:hint="eastAsia" w:ascii="宋体" w:hAnsi="宋体" w:eastAsia="宋体" w:cs="宋体"/>
          <w:color w:val="auto"/>
          <w:sz w:val="22"/>
          <w:szCs w:val="22"/>
          <w:highlight w:val="none"/>
          <w:lang w:val="en-US" w:eastAsia="zh-CN"/>
        </w:rPr>
        <w:t>实施</w:t>
      </w:r>
      <w:r>
        <w:rPr>
          <w:rFonts w:hint="eastAsia" w:ascii="宋体" w:hAnsi="宋体" w:eastAsia="宋体" w:cs="宋体"/>
          <w:color w:val="auto"/>
          <w:sz w:val="22"/>
          <w:szCs w:val="22"/>
          <w:highlight w:val="none"/>
        </w:rPr>
        <w:t>、协调及管理的总负责人。</w:t>
      </w:r>
    </w:p>
    <w:p w14:paraId="0A5CB6DE">
      <w:pPr>
        <w:keepNext w:val="0"/>
        <w:keepLines w:val="0"/>
        <w:pageBreakBefore w:val="0"/>
        <w:widowControl w:val="0"/>
        <w:kinsoku/>
        <w:wordWrap/>
        <w:overflowPunct/>
        <w:topLinePunct w:val="0"/>
        <w:bidi w:val="0"/>
        <w:adjustRightInd w:val="0"/>
        <w:spacing w:line="400" w:lineRule="exact"/>
        <w:ind w:firstLine="442" w:firstLineChars="200"/>
        <w:textAlignment w:val="auto"/>
        <w:rPr>
          <w:rFonts w:hint="eastAsia" w:ascii="宋体" w:hAnsi="宋体" w:eastAsia="宋体" w:cs="宋体"/>
          <w:color w:val="auto"/>
          <w:sz w:val="22"/>
          <w:szCs w:val="22"/>
          <w:highlight w:val="none"/>
        </w:rPr>
      </w:pPr>
      <w:r>
        <w:rPr>
          <w:rFonts w:hint="eastAsia" w:ascii="宋体" w:hAnsi="宋体" w:eastAsia="宋体" w:cs="宋体"/>
          <w:b/>
          <w:color w:val="auto"/>
          <w:sz w:val="22"/>
          <w:szCs w:val="22"/>
          <w:highlight w:val="none"/>
        </w:rPr>
        <w:t>1.1.2.</w:t>
      </w:r>
      <w:r>
        <w:rPr>
          <w:rFonts w:hint="eastAsia" w:ascii="宋体" w:hAnsi="宋体" w:eastAsia="宋体" w:cs="宋体"/>
          <w:b/>
          <w:color w:val="auto"/>
          <w:sz w:val="22"/>
          <w:szCs w:val="22"/>
          <w:highlight w:val="none"/>
          <w:lang w:val="en-US" w:eastAsia="zh-CN"/>
        </w:rPr>
        <w:t>7</w:t>
      </w:r>
      <w:r>
        <w:rPr>
          <w:rFonts w:hint="eastAsia" w:ascii="宋体" w:hAnsi="宋体" w:eastAsia="宋体" w:cs="宋体"/>
          <w:color w:val="auto"/>
          <w:sz w:val="22"/>
          <w:szCs w:val="22"/>
          <w:highlight w:val="none"/>
        </w:rPr>
        <w:t>监理人：指受</w:t>
      </w:r>
      <w:r>
        <w:rPr>
          <w:rFonts w:hint="eastAsia" w:ascii="宋体" w:hAnsi="宋体" w:eastAsia="宋体" w:cs="宋体"/>
          <w:color w:val="auto"/>
          <w:sz w:val="22"/>
          <w:szCs w:val="22"/>
          <w:highlight w:val="none"/>
          <w:lang w:eastAsia="zh-CN"/>
        </w:rPr>
        <w:t>甲方</w:t>
      </w:r>
      <w:r>
        <w:rPr>
          <w:rFonts w:hint="eastAsia" w:hAnsi="宋体" w:cs="宋体"/>
          <w:color w:val="auto"/>
          <w:sz w:val="22"/>
          <w:szCs w:val="22"/>
          <w:highlight w:val="none"/>
          <w:lang w:eastAsia="zh-CN"/>
        </w:rPr>
        <w:t>、</w:t>
      </w:r>
      <w:r>
        <w:rPr>
          <w:rFonts w:hint="eastAsia" w:hAnsi="宋体" w:cs="宋体"/>
          <w:color w:val="auto"/>
          <w:sz w:val="22"/>
          <w:szCs w:val="22"/>
          <w:highlight w:val="none"/>
          <w:lang w:val="en-US" w:eastAsia="zh-CN"/>
        </w:rPr>
        <w:t>丙方</w:t>
      </w:r>
      <w:r>
        <w:rPr>
          <w:rFonts w:hint="eastAsia" w:ascii="宋体" w:hAnsi="宋体" w:eastAsia="宋体" w:cs="宋体"/>
          <w:color w:val="auto"/>
          <w:sz w:val="22"/>
          <w:szCs w:val="22"/>
          <w:highlight w:val="none"/>
        </w:rPr>
        <w:t>委托，依照法律、行政法规及有关的技术标准、设计文件和本项目合同，对</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在</w:t>
      </w:r>
      <w:r>
        <w:rPr>
          <w:rFonts w:hint="eastAsia" w:ascii="宋体" w:hAnsi="宋体" w:eastAsia="宋体" w:cs="宋体"/>
          <w:color w:val="auto"/>
          <w:sz w:val="22"/>
          <w:szCs w:val="22"/>
          <w:highlight w:val="none"/>
          <w:lang w:val="en-US" w:eastAsia="zh-CN"/>
        </w:rPr>
        <w:t>项目</w:t>
      </w:r>
      <w:r>
        <w:rPr>
          <w:rFonts w:hint="eastAsia" w:ascii="宋体" w:hAnsi="宋体" w:eastAsia="宋体" w:cs="宋体"/>
          <w:color w:val="auto"/>
          <w:sz w:val="22"/>
          <w:szCs w:val="22"/>
          <w:highlight w:val="none"/>
        </w:rPr>
        <w:t>质量、</w:t>
      </w:r>
      <w:r>
        <w:rPr>
          <w:rFonts w:hint="eastAsia" w:ascii="宋体" w:hAnsi="宋体" w:eastAsia="宋体" w:cs="宋体"/>
          <w:color w:val="auto"/>
          <w:sz w:val="22"/>
          <w:szCs w:val="22"/>
          <w:highlight w:val="none"/>
          <w:lang w:val="en-US" w:eastAsia="zh-CN"/>
        </w:rPr>
        <w:t>服务周</w:t>
      </w:r>
      <w:r>
        <w:rPr>
          <w:rFonts w:hint="eastAsia" w:ascii="宋体" w:hAnsi="宋体" w:eastAsia="宋体" w:cs="宋体"/>
          <w:color w:val="auto"/>
          <w:sz w:val="22"/>
          <w:szCs w:val="22"/>
          <w:highlight w:val="none"/>
        </w:rPr>
        <w:t>期和</w:t>
      </w:r>
      <w:r>
        <w:rPr>
          <w:rFonts w:hint="eastAsia" w:ascii="宋体" w:hAnsi="宋体" w:cs="宋体"/>
          <w:color w:val="auto"/>
          <w:sz w:val="22"/>
          <w:szCs w:val="22"/>
          <w:highlight w:val="none"/>
          <w:lang w:val="en-US" w:eastAsia="zh-CN"/>
        </w:rPr>
        <w:t>实施</w:t>
      </w:r>
      <w:r>
        <w:rPr>
          <w:rFonts w:hint="eastAsia" w:ascii="宋体" w:hAnsi="宋体" w:eastAsia="宋体" w:cs="宋体"/>
          <w:color w:val="auto"/>
          <w:sz w:val="22"/>
          <w:szCs w:val="22"/>
          <w:highlight w:val="none"/>
        </w:rPr>
        <w:t>资金使用等方面，代表</w:t>
      </w:r>
      <w:r>
        <w:rPr>
          <w:rFonts w:hint="eastAsia" w:ascii="宋体" w:hAnsi="宋体" w:eastAsia="宋体" w:cs="宋体"/>
          <w:color w:val="auto"/>
          <w:sz w:val="22"/>
          <w:szCs w:val="22"/>
          <w:highlight w:val="none"/>
          <w:lang w:eastAsia="zh-CN"/>
        </w:rPr>
        <w:t>甲方</w:t>
      </w:r>
      <w:r>
        <w:rPr>
          <w:rFonts w:hint="eastAsia" w:hAnsi="宋体" w:cs="宋体"/>
          <w:color w:val="auto"/>
          <w:sz w:val="22"/>
          <w:szCs w:val="22"/>
          <w:highlight w:val="none"/>
          <w:lang w:eastAsia="zh-CN"/>
        </w:rPr>
        <w:t>、</w:t>
      </w:r>
      <w:r>
        <w:rPr>
          <w:rFonts w:hint="eastAsia" w:hAnsi="宋体" w:cs="宋体"/>
          <w:color w:val="auto"/>
          <w:sz w:val="22"/>
          <w:szCs w:val="22"/>
          <w:highlight w:val="none"/>
          <w:lang w:val="en-US" w:eastAsia="zh-CN"/>
        </w:rPr>
        <w:t>丙方</w:t>
      </w:r>
      <w:r>
        <w:rPr>
          <w:rFonts w:hint="eastAsia" w:ascii="宋体" w:hAnsi="宋体" w:eastAsia="宋体" w:cs="宋体"/>
          <w:color w:val="auto"/>
          <w:sz w:val="22"/>
          <w:szCs w:val="22"/>
          <w:highlight w:val="none"/>
        </w:rPr>
        <w:t>实施监督的独立法人。</w:t>
      </w:r>
    </w:p>
    <w:p w14:paraId="5F05E554">
      <w:pPr>
        <w:keepNext w:val="0"/>
        <w:keepLines w:val="0"/>
        <w:pageBreakBefore w:val="0"/>
        <w:widowControl w:val="0"/>
        <w:kinsoku/>
        <w:wordWrap/>
        <w:overflowPunct/>
        <w:topLinePunct w:val="0"/>
        <w:bidi w:val="0"/>
        <w:adjustRightInd w:val="0"/>
        <w:spacing w:line="400" w:lineRule="exact"/>
        <w:ind w:firstLine="442" w:firstLineChars="200"/>
        <w:textAlignment w:val="auto"/>
        <w:rPr>
          <w:rFonts w:hint="eastAsia" w:ascii="宋体" w:hAnsi="宋体" w:eastAsia="宋体" w:cs="宋体"/>
          <w:color w:val="auto"/>
          <w:sz w:val="22"/>
          <w:szCs w:val="22"/>
          <w:highlight w:val="none"/>
        </w:rPr>
      </w:pPr>
      <w:r>
        <w:rPr>
          <w:rFonts w:hint="eastAsia" w:ascii="宋体" w:hAnsi="宋体" w:eastAsia="宋体" w:cs="宋体"/>
          <w:b/>
          <w:color w:val="auto"/>
          <w:sz w:val="22"/>
          <w:szCs w:val="22"/>
          <w:highlight w:val="none"/>
        </w:rPr>
        <w:t>1.1.2.</w:t>
      </w:r>
      <w:r>
        <w:rPr>
          <w:rFonts w:hint="eastAsia" w:ascii="宋体" w:hAnsi="宋体" w:eastAsia="宋体" w:cs="宋体"/>
          <w:b/>
          <w:color w:val="auto"/>
          <w:sz w:val="22"/>
          <w:szCs w:val="22"/>
          <w:highlight w:val="none"/>
          <w:lang w:val="en-US" w:eastAsia="zh-CN"/>
        </w:rPr>
        <w:t>8</w:t>
      </w:r>
      <w:r>
        <w:rPr>
          <w:rFonts w:hint="eastAsia" w:ascii="宋体" w:hAnsi="宋体" w:eastAsia="宋体" w:cs="宋体"/>
          <w:color w:val="auto"/>
          <w:sz w:val="22"/>
          <w:szCs w:val="22"/>
          <w:highlight w:val="none"/>
        </w:rPr>
        <w:t>总监理工程师：指由监理人委派对合同履行实施管理的全权负责人。</w:t>
      </w:r>
    </w:p>
    <w:p w14:paraId="48E1AB56">
      <w:pPr>
        <w:keepNext w:val="0"/>
        <w:keepLines w:val="0"/>
        <w:pageBreakBefore w:val="0"/>
        <w:widowControl w:val="0"/>
        <w:tabs>
          <w:tab w:val="left" w:pos="1440"/>
        </w:tabs>
        <w:kinsoku/>
        <w:wordWrap/>
        <w:overflowPunct/>
        <w:topLinePunct w:val="0"/>
        <w:bidi w:val="0"/>
        <w:spacing w:before="0" w:after="0" w:line="400" w:lineRule="exact"/>
        <w:ind w:left="1080" w:leftChars="226" w:hanging="605" w:hangingChars="260"/>
        <w:jc w:val="left"/>
        <w:textAlignment w:val="auto"/>
        <w:outlineLvl w:val="5"/>
        <w:rPr>
          <w:rFonts w:hint="eastAsia" w:ascii="宋体" w:hAnsi="宋体" w:eastAsia="宋体" w:cs="宋体"/>
          <w:b/>
          <w:bCs/>
          <w:snapToGrid w:val="0"/>
          <w:color w:val="auto"/>
          <w:spacing w:val="6"/>
          <w:kern w:val="2"/>
          <w:sz w:val="22"/>
          <w:szCs w:val="22"/>
          <w:highlight w:val="none"/>
          <w:lang w:val="en-US" w:eastAsia="zh-CN" w:bidi="ar-SA"/>
        </w:rPr>
      </w:pPr>
      <w:r>
        <w:rPr>
          <w:rFonts w:hint="eastAsia" w:ascii="宋体" w:hAnsi="宋体" w:eastAsia="宋体" w:cs="宋体"/>
          <w:b/>
          <w:bCs/>
          <w:snapToGrid w:val="0"/>
          <w:color w:val="auto"/>
          <w:spacing w:val="6"/>
          <w:kern w:val="2"/>
          <w:sz w:val="22"/>
          <w:szCs w:val="22"/>
          <w:highlight w:val="none"/>
          <w:lang w:val="en-US" w:eastAsia="zh-CN" w:bidi="ar-SA"/>
        </w:rPr>
        <w:t>1.1.3项目和设备</w:t>
      </w:r>
    </w:p>
    <w:p w14:paraId="09F1C82C">
      <w:pPr>
        <w:keepNext w:val="0"/>
        <w:keepLines w:val="0"/>
        <w:pageBreakBefore w:val="0"/>
        <w:widowControl w:val="0"/>
        <w:kinsoku/>
        <w:wordWrap/>
        <w:overflowPunct/>
        <w:topLinePunct w:val="0"/>
        <w:bidi w:val="0"/>
        <w:adjustRightInd w:val="0"/>
        <w:spacing w:line="400" w:lineRule="exact"/>
        <w:ind w:firstLine="442" w:firstLineChars="200"/>
        <w:textAlignment w:val="auto"/>
        <w:rPr>
          <w:rFonts w:hint="eastAsia" w:ascii="宋体" w:hAnsi="宋体" w:eastAsia="宋体" w:cs="宋体"/>
          <w:color w:val="auto"/>
          <w:sz w:val="22"/>
          <w:szCs w:val="22"/>
          <w:highlight w:val="none"/>
        </w:rPr>
      </w:pPr>
      <w:r>
        <w:rPr>
          <w:rFonts w:hint="eastAsia" w:ascii="宋体" w:hAnsi="宋体" w:eastAsia="宋体" w:cs="宋体"/>
          <w:b/>
          <w:color w:val="auto"/>
          <w:sz w:val="22"/>
          <w:szCs w:val="22"/>
          <w:highlight w:val="none"/>
        </w:rPr>
        <w:t>1.1.3.1</w:t>
      </w:r>
      <w:r>
        <w:rPr>
          <w:rFonts w:hint="eastAsia" w:ascii="宋体" w:hAnsi="宋体" w:eastAsia="宋体" w:cs="宋体"/>
          <w:color w:val="auto"/>
          <w:sz w:val="22"/>
          <w:szCs w:val="22"/>
          <w:highlight w:val="none"/>
          <w:lang w:val="en-US" w:eastAsia="zh-CN"/>
        </w:rPr>
        <w:t>项目</w:t>
      </w:r>
      <w:r>
        <w:rPr>
          <w:rFonts w:hint="eastAsia" w:ascii="宋体" w:hAnsi="宋体" w:eastAsia="宋体" w:cs="宋体"/>
          <w:color w:val="auto"/>
          <w:sz w:val="22"/>
          <w:szCs w:val="22"/>
          <w:highlight w:val="none"/>
        </w:rPr>
        <w:t>：指</w:t>
      </w:r>
      <w:r>
        <w:rPr>
          <w:rFonts w:hint="eastAsia" w:ascii="宋体" w:hAnsi="宋体" w:eastAsia="宋体" w:cs="宋体"/>
          <w:color w:val="auto"/>
          <w:sz w:val="22"/>
          <w:szCs w:val="22"/>
          <w:highlight w:val="none"/>
          <w:lang w:val="en-US" w:eastAsia="zh-CN"/>
        </w:rPr>
        <w:t>甲方</w:t>
      </w:r>
      <w:r>
        <w:rPr>
          <w:rFonts w:hint="eastAsia" w:hAnsi="宋体" w:cs="宋体"/>
          <w:color w:val="auto"/>
          <w:sz w:val="22"/>
          <w:szCs w:val="22"/>
          <w:highlight w:val="none"/>
          <w:lang w:eastAsia="zh-CN"/>
        </w:rPr>
        <w:t>、</w:t>
      </w:r>
      <w:r>
        <w:rPr>
          <w:rFonts w:hint="eastAsia" w:hAnsi="宋体" w:cs="宋体"/>
          <w:color w:val="auto"/>
          <w:sz w:val="22"/>
          <w:szCs w:val="22"/>
          <w:highlight w:val="none"/>
          <w:lang w:val="en-US" w:eastAsia="zh-CN"/>
        </w:rPr>
        <w:t>丙方</w:t>
      </w:r>
      <w:r>
        <w:rPr>
          <w:rFonts w:hint="eastAsia" w:ascii="宋体" w:hAnsi="宋体" w:eastAsia="宋体" w:cs="宋体"/>
          <w:color w:val="auto"/>
          <w:sz w:val="22"/>
          <w:szCs w:val="22"/>
          <w:highlight w:val="none"/>
          <w:lang w:val="en-US" w:eastAsia="zh-CN"/>
        </w:rPr>
        <w:t>委托乙方实施及管理的项目</w:t>
      </w:r>
      <w:r>
        <w:rPr>
          <w:rFonts w:hint="eastAsia" w:ascii="宋体" w:hAnsi="宋体" w:eastAsia="宋体" w:cs="宋体"/>
          <w:color w:val="auto"/>
          <w:sz w:val="22"/>
          <w:szCs w:val="22"/>
          <w:highlight w:val="none"/>
        </w:rPr>
        <w:t>。</w:t>
      </w:r>
    </w:p>
    <w:p w14:paraId="385C97BD">
      <w:pPr>
        <w:keepNext w:val="0"/>
        <w:keepLines w:val="0"/>
        <w:pageBreakBefore w:val="0"/>
        <w:widowControl w:val="0"/>
        <w:kinsoku/>
        <w:wordWrap/>
        <w:overflowPunct/>
        <w:topLinePunct w:val="0"/>
        <w:bidi w:val="0"/>
        <w:adjustRightInd w:val="0"/>
        <w:spacing w:line="400" w:lineRule="exact"/>
        <w:ind w:firstLine="442" w:firstLineChars="200"/>
        <w:textAlignment w:val="auto"/>
        <w:rPr>
          <w:rFonts w:hint="eastAsia" w:ascii="宋体" w:hAnsi="宋体" w:eastAsia="宋体" w:cs="宋体"/>
          <w:color w:val="auto"/>
          <w:sz w:val="22"/>
          <w:szCs w:val="22"/>
          <w:highlight w:val="none"/>
        </w:rPr>
      </w:pPr>
      <w:r>
        <w:rPr>
          <w:rFonts w:hint="eastAsia" w:ascii="宋体" w:hAnsi="宋体" w:eastAsia="宋体" w:cs="宋体"/>
          <w:b/>
          <w:color w:val="auto"/>
          <w:sz w:val="22"/>
          <w:szCs w:val="22"/>
          <w:highlight w:val="none"/>
        </w:rPr>
        <w:t>1.1.3.</w:t>
      </w:r>
      <w:r>
        <w:rPr>
          <w:rFonts w:hint="eastAsia" w:ascii="宋体" w:hAnsi="宋体" w:eastAsia="宋体" w:cs="宋体"/>
          <w:b/>
          <w:color w:val="auto"/>
          <w:sz w:val="22"/>
          <w:szCs w:val="22"/>
          <w:highlight w:val="none"/>
          <w:lang w:eastAsia="zh-CN"/>
        </w:rPr>
        <w:t>2</w:t>
      </w:r>
      <w:r>
        <w:rPr>
          <w:rFonts w:hint="eastAsia" w:ascii="宋体" w:hAnsi="宋体" w:eastAsia="宋体" w:cs="宋体"/>
          <w:color w:val="auto"/>
          <w:sz w:val="22"/>
          <w:szCs w:val="22"/>
          <w:highlight w:val="none"/>
        </w:rPr>
        <w:t>临时</w:t>
      </w:r>
      <w:r>
        <w:rPr>
          <w:rFonts w:hint="eastAsia" w:ascii="宋体" w:hAnsi="宋体" w:cs="宋体"/>
          <w:color w:val="auto"/>
          <w:sz w:val="22"/>
          <w:szCs w:val="22"/>
          <w:highlight w:val="none"/>
          <w:lang w:val="en-US" w:eastAsia="zh-CN"/>
        </w:rPr>
        <w:t>实施</w:t>
      </w:r>
      <w:r>
        <w:rPr>
          <w:rFonts w:hint="eastAsia" w:ascii="宋体" w:hAnsi="宋体" w:eastAsia="宋体" w:cs="宋体"/>
          <w:color w:val="auto"/>
          <w:sz w:val="22"/>
          <w:szCs w:val="22"/>
          <w:highlight w:val="none"/>
          <w:lang w:val="en-US" w:eastAsia="zh-CN"/>
        </w:rPr>
        <w:t>内容</w:t>
      </w:r>
      <w:r>
        <w:rPr>
          <w:rFonts w:hint="eastAsia" w:ascii="宋体" w:hAnsi="宋体" w:eastAsia="宋体" w:cs="宋体"/>
          <w:color w:val="auto"/>
          <w:sz w:val="22"/>
          <w:szCs w:val="22"/>
          <w:highlight w:val="none"/>
        </w:rPr>
        <w:t>：指为完成合同约定的</w:t>
      </w:r>
      <w:r>
        <w:rPr>
          <w:rFonts w:hint="eastAsia" w:ascii="宋体" w:hAnsi="宋体" w:eastAsia="宋体" w:cs="宋体"/>
          <w:color w:val="auto"/>
          <w:sz w:val="22"/>
          <w:szCs w:val="22"/>
          <w:highlight w:val="none"/>
          <w:lang w:val="en-US" w:eastAsia="zh-CN"/>
        </w:rPr>
        <w:t>项目</w:t>
      </w:r>
      <w:r>
        <w:rPr>
          <w:rFonts w:hint="eastAsia" w:ascii="宋体" w:hAnsi="宋体" w:eastAsia="宋体" w:cs="宋体"/>
          <w:color w:val="auto"/>
          <w:sz w:val="22"/>
          <w:szCs w:val="22"/>
          <w:highlight w:val="none"/>
        </w:rPr>
        <w:t>所修建的各类临时性</w:t>
      </w:r>
      <w:r>
        <w:rPr>
          <w:rFonts w:hint="eastAsia" w:ascii="宋体" w:hAnsi="宋体" w:cs="宋体"/>
          <w:color w:val="auto"/>
          <w:sz w:val="22"/>
          <w:szCs w:val="22"/>
          <w:highlight w:val="none"/>
          <w:lang w:val="en-US" w:eastAsia="zh-CN"/>
        </w:rPr>
        <w:t>实施</w:t>
      </w:r>
      <w:r>
        <w:rPr>
          <w:rFonts w:hint="eastAsia" w:ascii="宋体" w:hAnsi="宋体" w:eastAsia="宋体" w:cs="宋体"/>
          <w:color w:val="auto"/>
          <w:sz w:val="22"/>
          <w:szCs w:val="22"/>
          <w:highlight w:val="none"/>
          <w:lang w:val="en-US" w:eastAsia="zh-CN"/>
        </w:rPr>
        <w:t>内容</w:t>
      </w:r>
      <w:r>
        <w:rPr>
          <w:rFonts w:hint="eastAsia" w:ascii="宋体" w:hAnsi="宋体" w:eastAsia="宋体" w:cs="宋体"/>
          <w:color w:val="auto"/>
          <w:sz w:val="22"/>
          <w:szCs w:val="22"/>
          <w:highlight w:val="none"/>
        </w:rPr>
        <w:t>，不包括</w:t>
      </w:r>
      <w:r>
        <w:rPr>
          <w:rFonts w:hint="eastAsia" w:ascii="宋体" w:hAnsi="宋体" w:eastAsia="宋体" w:cs="宋体"/>
          <w:color w:val="auto"/>
          <w:sz w:val="22"/>
          <w:szCs w:val="22"/>
          <w:highlight w:val="none"/>
          <w:lang w:val="en-US" w:eastAsia="zh-CN"/>
        </w:rPr>
        <w:t>项目实施</w:t>
      </w:r>
      <w:r>
        <w:rPr>
          <w:rFonts w:hint="eastAsia" w:ascii="宋体" w:hAnsi="宋体" w:eastAsia="宋体" w:cs="宋体"/>
          <w:color w:val="auto"/>
          <w:sz w:val="22"/>
          <w:szCs w:val="22"/>
          <w:highlight w:val="none"/>
        </w:rPr>
        <w:t>设备。</w:t>
      </w:r>
    </w:p>
    <w:p w14:paraId="07E33511">
      <w:pPr>
        <w:keepNext w:val="0"/>
        <w:keepLines w:val="0"/>
        <w:pageBreakBefore w:val="0"/>
        <w:widowControl w:val="0"/>
        <w:kinsoku/>
        <w:wordWrap/>
        <w:overflowPunct/>
        <w:topLinePunct w:val="0"/>
        <w:bidi w:val="0"/>
        <w:adjustRightInd w:val="0"/>
        <w:spacing w:line="400" w:lineRule="exact"/>
        <w:ind w:firstLine="442" w:firstLineChars="200"/>
        <w:textAlignment w:val="auto"/>
        <w:rPr>
          <w:rFonts w:hint="eastAsia" w:ascii="宋体" w:hAnsi="宋体" w:eastAsia="宋体" w:cs="宋体"/>
          <w:color w:val="auto"/>
          <w:sz w:val="22"/>
          <w:szCs w:val="22"/>
          <w:highlight w:val="none"/>
        </w:rPr>
      </w:pPr>
      <w:r>
        <w:rPr>
          <w:rFonts w:hint="eastAsia" w:ascii="宋体" w:hAnsi="宋体" w:eastAsia="宋体" w:cs="宋体"/>
          <w:b/>
          <w:color w:val="auto"/>
          <w:sz w:val="22"/>
          <w:szCs w:val="22"/>
          <w:highlight w:val="none"/>
        </w:rPr>
        <w:t>1.1.3.</w:t>
      </w:r>
      <w:r>
        <w:rPr>
          <w:rFonts w:hint="eastAsia" w:ascii="宋体" w:hAnsi="宋体" w:eastAsia="宋体" w:cs="宋体"/>
          <w:b/>
          <w:color w:val="auto"/>
          <w:sz w:val="22"/>
          <w:szCs w:val="22"/>
          <w:highlight w:val="none"/>
          <w:lang w:eastAsia="zh-CN"/>
        </w:rPr>
        <w:t>3</w:t>
      </w:r>
      <w:r>
        <w:rPr>
          <w:rFonts w:hint="eastAsia" w:ascii="宋体" w:hAnsi="宋体" w:eastAsia="宋体" w:cs="宋体"/>
          <w:color w:val="auto"/>
          <w:sz w:val="22"/>
          <w:szCs w:val="22"/>
          <w:highlight w:val="none"/>
          <w:lang w:val="en-US" w:eastAsia="zh-CN"/>
        </w:rPr>
        <w:t>项目实施</w:t>
      </w:r>
      <w:r>
        <w:rPr>
          <w:rFonts w:hint="eastAsia" w:ascii="宋体" w:hAnsi="宋体" w:eastAsia="宋体" w:cs="宋体"/>
          <w:color w:val="auto"/>
          <w:sz w:val="22"/>
          <w:szCs w:val="22"/>
          <w:highlight w:val="none"/>
        </w:rPr>
        <w:t>设备：指为完成合同约定的各项工作所需的设备、器具和其他物品，不包括临时</w:t>
      </w:r>
      <w:r>
        <w:rPr>
          <w:rFonts w:hint="eastAsia" w:ascii="宋体" w:hAnsi="宋体" w:cs="宋体"/>
          <w:color w:val="auto"/>
          <w:sz w:val="22"/>
          <w:szCs w:val="22"/>
          <w:highlight w:val="none"/>
          <w:lang w:val="en-US" w:eastAsia="zh-CN"/>
        </w:rPr>
        <w:t>实施</w:t>
      </w:r>
      <w:r>
        <w:rPr>
          <w:rFonts w:hint="eastAsia" w:ascii="宋体" w:hAnsi="宋体" w:eastAsia="宋体" w:cs="宋体"/>
          <w:color w:val="auto"/>
          <w:sz w:val="22"/>
          <w:szCs w:val="22"/>
          <w:highlight w:val="none"/>
          <w:lang w:val="en-US" w:eastAsia="zh-CN"/>
        </w:rPr>
        <w:t>内容</w:t>
      </w:r>
      <w:r>
        <w:rPr>
          <w:rFonts w:hint="eastAsia" w:ascii="宋体" w:hAnsi="宋体" w:eastAsia="宋体" w:cs="宋体"/>
          <w:color w:val="auto"/>
          <w:sz w:val="22"/>
          <w:szCs w:val="22"/>
          <w:highlight w:val="none"/>
        </w:rPr>
        <w:t>和材料。</w:t>
      </w:r>
    </w:p>
    <w:p w14:paraId="373EF4E1">
      <w:pPr>
        <w:keepNext w:val="0"/>
        <w:keepLines w:val="0"/>
        <w:pageBreakBefore w:val="0"/>
        <w:widowControl w:val="0"/>
        <w:kinsoku/>
        <w:wordWrap/>
        <w:overflowPunct/>
        <w:topLinePunct w:val="0"/>
        <w:bidi w:val="0"/>
        <w:adjustRightInd w:val="0"/>
        <w:spacing w:line="400" w:lineRule="exact"/>
        <w:ind w:firstLine="442" w:firstLineChars="200"/>
        <w:textAlignment w:val="auto"/>
        <w:rPr>
          <w:rFonts w:hint="eastAsia" w:ascii="宋体" w:hAnsi="宋体" w:eastAsia="宋体" w:cs="宋体"/>
          <w:color w:val="auto"/>
          <w:sz w:val="22"/>
          <w:szCs w:val="22"/>
          <w:highlight w:val="none"/>
        </w:rPr>
      </w:pPr>
      <w:r>
        <w:rPr>
          <w:rFonts w:hint="eastAsia" w:ascii="宋体" w:hAnsi="宋体" w:eastAsia="宋体" w:cs="宋体"/>
          <w:b/>
          <w:color w:val="auto"/>
          <w:sz w:val="22"/>
          <w:szCs w:val="22"/>
          <w:highlight w:val="none"/>
        </w:rPr>
        <w:t>1.1.3.</w:t>
      </w:r>
      <w:r>
        <w:rPr>
          <w:rFonts w:hint="eastAsia" w:ascii="宋体" w:hAnsi="宋体" w:eastAsia="宋体" w:cs="宋体"/>
          <w:b/>
          <w:color w:val="auto"/>
          <w:sz w:val="22"/>
          <w:szCs w:val="22"/>
          <w:highlight w:val="none"/>
          <w:lang w:eastAsia="zh-CN"/>
        </w:rPr>
        <w:t>4</w:t>
      </w:r>
      <w:r>
        <w:rPr>
          <w:rFonts w:hint="eastAsia" w:ascii="宋体" w:hAnsi="宋体" w:eastAsia="宋体" w:cs="宋体"/>
          <w:color w:val="auto"/>
          <w:sz w:val="22"/>
          <w:szCs w:val="22"/>
          <w:highlight w:val="none"/>
        </w:rPr>
        <w:t>临时设施：指为完成合同约定的各项工作所服务的临时性生产和生活设施。</w:t>
      </w:r>
    </w:p>
    <w:p w14:paraId="0CEBA023">
      <w:pPr>
        <w:keepNext w:val="0"/>
        <w:keepLines w:val="0"/>
        <w:pageBreakBefore w:val="0"/>
        <w:widowControl w:val="0"/>
        <w:kinsoku/>
        <w:wordWrap/>
        <w:overflowPunct/>
        <w:topLinePunct w:val="0"/>
        <w:bidi w:val="0"/>
        <w:adjustRightInd w:val="0"/>
        <w:spacing w:line="400" w:lineRule="exact"/>
        <w:ind w:firstLine="442" w:firstLineChars="200"/>
        <w:textAlignment w:val="auto"/>
        <w:rPr>
          <w:rFonts w:hint="eastAsia" w:ascii="宋体" w:hAnsi="宋体" w:eastAsia="宋体" w:cs="宋体"/>
          <w:color w:val="auto"/>
          <w:sz w:val="22"/>
          <w:szCs w:val="22"/>
          <w:highlight w:val="none"/>
        </w:rPr>
      </w:pPr>
      <w:r>
        <w:rPr>
          <w:rFonts w:hint="eastAsia" w:ascii="宋体" w:hAnsi="宋体" w:eastAsia="宋体" w:cs="宋体"/>
          <w:b/>
          <w:color w:val="auto"/>
          <w:sz w:val="22"/>
          <w:szCs w:val="22"/>
          <w:highlight w:val="none"/>
        </w:rPr>
        <w:t>1.1.3.</w:t>
      </w:r>
      <w:r>
        <w:rPr>
          <w:rFonts w:hint="eastAsia" w:ascii="宋体" w:hAnsi="宋体" w:eastAsia="宋体" w:cs="宋体"/>
          <w:b/>
          <w:color w:val="auto"/>
          <w:sz w:val="22"/>
          <w:szCs w:val="22"/>
          <w:highlight w:val="none"/>
          <w:lang w:eastAsia="zh-CN"/>
        </w:rPr>
        <w:t>5</w:t>
      </w:r>
      <w:r>
        <w:rPr>
          <w:rFonts w:hint="eastAsia" w:ascii="宋体" w:hAnsi="宋体" w:eastAsia="宋体" w:cs="宋体"/>
          <w:b w:val="0"/>
          <w:color w:val="auto"/>
          <w:sz w:val="22"/>
          <w:szCs w:val="22"/>
          <w:highlight w:val="none"/>
          <w:lang w:val="en-US" w:eastAsia="zh-CN"/>
        </w:rPr>
        <w:t>项目</w:t>
      </w:r>
      <w:r>
        <w:rPr>
          <w:rFonts w:hint="eastAsia" w:ascii="宋体" w:hAnsi="宋体" w:eastAsia="宋体" w:cs="宋体"/>
          <w:color w:val="auto"/>
          <w:sz w:val="22"/>
          <w:szCs w:val="22"/>
          <w:highlight w:val="none"/>
          <w:lang w:val="en-US" w:eastAsia="zh-CN"/>
        </w:rPr>
        <w:t>实施</w:t>
      </w:r>
      <w:r>
        <w:rPr>
          <w:rFonts w:hint="eastAsia" w:ascii="宋体" w:hAnsi="宋体" w:eastAsia="宋体" w:cs="宋体"/>
          <w:color w:val="auto"/>
          <w:sz w:val="22"/>
          <w:szCs w:val="22"/>
          <w:highlight w:val="none"/>
        </w:rPr>
        <w:t>场地（或称现场）：指用于合同</w:t>
      </w:r>
      <w:r>
        <w:rPr>
          <w:rFonts w:hint="eastAsia" w:ascii="宋体" w:hAnsi="宋体" w:eastAsia="宋体" w:cs="宋体"/>
          <w:color w:val="auto"/>
          <w:sz w:val="22"/>
          <w:szCs w:val="22"/>
          <w:highlight w:val="none"/>
          <w:lang w:val="en-US" w:eastAsia="zh-CN"/>
        </w:rPr>
        <w:t>内容实施</w:t>
      </w:r>
      <w:r>
        <w:rPr>
          <w:rFonts w:hint="eastAsia" w:ascii="宋体" w:hAnsi="宋体" w:eastAsia="宋体" w:cs="宋体"/>
          <w:color w:val="auto"/>
          <w:sz w:val="22"/>
          <w:szCs w:val="22"/>
          <w:highlight w:val="none"/>
        </w:rPr>
        <w:t>的场所，以及在合同中指定作为</w:t>
      </w:r>
      <w:r>
        <w:rPr>
          <w:rFonts w:hint="eastAsia" w:ascii="宋体" w:hAnsi="宋体" w:eastAsia="宋体" w:cs="宋体"/>
          <w:color w:val="auto"/>
          <w:sz w:val="22"/>
          <w:szCs w:val="22"/>
          <w:highlight w:val="none"/>
          <w:lang w:val="en-US" w:eastAsia="zh-CN"/>
        </w:rPr>
        <w:t>实施</w:t>
      </w:r>
      <w:r>
        <w:rPr>
          <w:rFonts w:hint="eastAsia" w:ascii="宋体" w:hAnsi="宋体" w:eastAsia="宋体" w:cs="宋体"/>
          <w:color w:val="auto"/>
          <w:sz w:val="22"/>
          <w:szCs w:val="22"/>
          <w:highlight w:val="none"/>
        </w:rPr>
        <w:t>场地组成部分的其他场所。</w:t>
      </w:r>
    </w:p>
    <w:p w14:paraId="49C44B83">
      <w:pPr>
        <w:keepNext w:val="0"/>
        <w:keepLines w:val="0"/>
        <w:pageBreakBefore w:val="0"/>
        <w:widowControl w:val="0"/>
        <w:tabs>
          <w:tab w:val="left" w:pos="1440"/>
        </w:tabs>
        <w:kinsoku/>
        <w:wordWrap/>
        <w:overflowPunct/>
        <w:topLinePunct w:val="0"/>
        <w:bidi w:val="0"/>
        <w:spacing w:before="0" w:after="0" w:line="400" w:lineRule="exact"/>
        <w:ind w:left="1080" w:leftChars="226" w:hanging="605" w:hangingChars="260"/>
        <w:jc w:val="left"/>
        <w:textAlignment w:val="auto"/>
        <w:outlineLvl w:val="5"/>
        <w:rPr>
          <w:rFonts w:hint="eastAsia" w:ascii="宋体" w:hAnsi="宋体" w:eastAsia="宋体" w:cs="宋体"/>
          <w:b/>
          <w:bCs/>
          <w:snapToGrid w:val="0"/>
          <w:color w:val="auto"/>
          <w:spacing w:val="6"/>
          <w:kern w:val="2"/>
          <w:sz w:val="22"/>
          <w:szCs w:val="22"/>
          <w:highlight w:val="none"/>
          <w:lang w:val="en-US" w:eastAsia="zh-CN" w:bidi="ar-SA"/>
        </w:rPr>
      </w:pPr>
      <w:r>
        <w:rPr>
          <w:rFonts w:hint="eastAsia" w:ascii="宋体" w:hAnsi="宋体" w:eastAsia="宋体" w:cs="宋体"/>
          <w:b/>
          <w:bCs/>
          <w:snapToGrid w:val="0"/>
          <w:color w:val="auto"/>
          <w:spacing w:val="6"/>
          <w:kern w:val="2"/>
          <w:sz w:val="22"/>
          <w:szCs w:val="22"/>
          <w:highlight w:val="none"/>
          <w:lang w:val="en-US" w:eastAsia="zh-CN" w:bidi="ar-SA"/>
        </w:rPr>
        <w:t>1.1.4日期、检验和完工</w:t>
      </w:r>
    </w:p>
    <w:p w14:paraId="3DB24B05">
      <w:pPr>
        <w:keepNext w:val="0"/>
        <w:keepLines w:val="0"/>
        <w:pageBreakBefore w:val="0"/>
        <w:widowControl w:val="0"/>
        <w:kinsoku/>
        <w:wordWrap/>
        <w:overflowPunct/>
        <w:topLinePunct w:val="0"/>
        <w:bidi w:val="0"/>
        <w:adjustRightInd w:val="0"/>
        <w:spacing w:line="400" w:lineRule="exact"/>
        <w:ind w:firstLine="442" w:firstLineChars="200"/>
        <w:textAlignment w:val="auto"/>
        <w:rPr>
          <w:rFonts w:hint="eastAsia" w:ascii="宋体" w:hAnsi="宋体" w:eastAsia="宋体" w:cs="宋体"/>
          <w:color w:val="auto"/>
          <w:sz w:val="22"/>
          <w:szCs w:val="22"/>
          <w:highlight w:val="none"/>
        </w:rPr>
      </w:pPr>
      <w:r>
        <w:rPr>
          <w:rFonts w:hint="eastAsia" w:ascii="宋体" w:hAnsi="宋体" w:eastAsia="宋体" w:cs="宋体"/>
          <w:b/>
          <w:color w:val="auto"/>
          <w:sz w:val="22"/>
          <w:szCs w:val="22"/>
          <w:highlight w:val="none"/>
        </w:rPr>
        <w:t>1.1.4.1</w:t>
      </w:r>
      <w:r>
        <w:rPr>
          <w:rFonts w:hint="eastAsia" w:ascii="宋体" w:hAnsi="宋体" w:eastAsia="宋体" w:cs="宋体"/>
          <w:color w:val="auto"/>
          <w:sz w:val="22"/>
          <w:szCs w:val="22"/>
          <w:highlight w:val="none"/>
        </w:rPr>
        <w:t>开始工作通知：指</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通知</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开始工作的函件。</w:t>
      </w:r>
    </w:p>
    <w:p w14:paraId="720E1FE4">
      <w:pPr>
        <w:keepNext w:val="0"/>
        <w:keepLines w:val="0"/>
        <w:pageBreakBefore w:val="0"/>
        <w:widowControl w:val="0"/>
        <w:kinsoku/>
        <w:wordWrap/>
        <w:overflowPunct/>
        <w:topLinePunct w:val="0"/>
        <w:bidi w:val="0"/>
        <w:adjustRightInd w:val="0"/>
        <w:spacing w:line="400" w:lineRule="exact"/>
        <w:ind w:firstLine="442" w:firstLineChars="200"/>
        <w:textAlignment w:val="auto"/>
        <w:rPr>
          <w:rFonts w:hint="eastAsia" w:ascii="宋体" w:hAnsi="宋体" w:eastAsia="宋体" w:cs="宋体"/>
          <w:color w:val="auto"/>
          <w:sz w:val="22"/>
          <w:szCs w:val="22"/>
          <w:highlight w:val="none"/>
        </w:rPr>
      </w:pPr>
      <w:r>
        <w:rPr>
          <w:rFonts w:hint="eastAsia" w:ascii="宋体" w:hAnsi="宋体" w:eastAsia="宋体" w:cs="宋体"/>
          <w:b/>
          <w:color w:val="auto"/>
          <w:sz w:val="22"/>
          <w:szCs w:val="22"/>
          <w:highlight w:val="none"/>
        </w:rPr>
        <w:t>1.1.4.2</w:t>
      </w:r>
      <w:r>
        <w:rPr>
          <w:rFonts w:hint="eastAsia" w:ascii="宋体" w:hAnsi="宋体" w:eastAsia="宋体" w:cs="宋体"/>
          <w:color w:val="auto"/>
          <w:sz w:val="22"/>
          <w:szCs w:val="22"/>
          <w:highlight w:val="none"/>
        </w:rPr>
        <w:t>开始工作日期：指</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发出的开始工作通知中写明的开始工作日期。</w:t>
      </w:r>
    </w:p>
    <w:p w14:paraId="676C3460">
      <w:pPr>
        <w:keepNext w:val="0"/>
        <w:keepLines w:val="0"/>
        <w:pageBreakBefore w:val="0"/>
        <w:widowControl w:val="0"/>
        <w:kinsoku/>
        <w:wordWrap/>
        <w:overflowPunct/>
        <w:topLinePunct w:val="0"/>
        <w:bidi w:val="0"/>
        <w:adjustRightInd w:val="0"/>
        <w:spacing w:line="400" w:lineRule="exact"/>
        <w:ind w:firstLine="442" w:firstLineChars="200"/>
        <w:textAlignment w:val="auto"/>
        <w:rPr>
          <w:rFonts w:hint="eastAsia" w:ascii="宋体" w:hAnsi="宋体" w:eastAsia="宋体" w:cs="宋体"/>
          <w:color w:val="auto"/>
          <w:sz w:val="22"/>
          <w:szCs w:val="22"/>
          <w:highlight w:val="none"/>
        </w:rPr>
      </w:pPr>
      <w:r>
        <w:rPr>
          <w:rFonts w:hint="eastAsia" w:ascii="宋体" w:hAnsi="宋体" w:eastAsia="宋体" w:cs="宋体"/>
          <w:b/>
          <w:color w:val="auto"/>
          <w:sz w:val="22"/>
          <w:szCs w:val="22"/>
          <w:highlight w:val="none"/>
        </w:rPr>
        <w:t>1.1.4.3</w:t>
      </w:r>
      <w:r>
        <w:rPr>
          <w:rFonts w:hint="eastAsia" w:ascii="宋体" w:hAnsi="宋体" w:eastAsia="宋体" w:cs="宋体"/>
          <w:color w:val="auto"/>
          <w:sz w:val="22"/>
          <w:szCs w:val="22"/>
          <w:highlight w:val="none"/>
        </w:rPr>
        <w:t>合同期：指本合同签署生效之日始至本合同规定的各项权利、义务行使及履行完毕的期限。</w:t>
      </w:r>
    </w:p>
    <w:p w14:paraId="3753C523">
      <w:pPr>
        <w:keepNext w:val="0"/>
        <w:keepLines w:val="0"/>
        <w:pageBreakBefore w:val="0"/>
        <w:widowControl w:val="0"/>
        <w:kinsoku/>
        <w:wordWrap/>
        <w:overflowPunct/>
        <w:topLinePunct w:val="0"/>
        <w:bidi w:val="0"/>
        <w:adjustRightInd w:val="0"/>
        <w:spacing w:line="400" w:lineRule="exact"/>
        <w:ind w:firstLine="442" w:firstLineChars="200"/>
        <w:textAlignment w:val="auto"/>
        <w:rPr>
          <w:rFonts w:hint="eastAsia" w:ascii="宋体" w:hAnsi="宋体" w:eastAsia="宋体" w:cs="宋体"/>
          <w:color w:val="auto"/>
          <w:sz w:val="22"/>
          <w:szCs w:val="22"/>
          <w:highlight w:val="none"/>
        </w:rPr>
      </w:pPr>
      <w:r>
        <w:rPr>
          <w:rFonts w:hint="eastAsia" w:ascii="宋体" w:hAnsi="宋体" w:eastAsia="宋体" w:cs="宋体"/>
          <w:b/>
          <w:color w:val="auto"/>
          <w:sz w:val="22"/>
          <w:szCs w:val="22"/>
          <w:highlight w:val="none"/>
        </w:rPr>
        <w:t>1.1.4.4</w:t>
      </w:r>
      <w:r>
        <w:rPr>
          <w:rFonts w:hint="eastAsia" w:ascii="宋体" w:hAnsi="宋体" w:eastAsia="宋体" w:cs="宋体"/>
          <w:color w:val="auto"/>
          <w:sz w:val="22"/>
          <w:szCs w:val="22"/>
          <w:highlight w:val="none"/>
          <w:lang w:eastAsia="zh-CN"/>
        </w:rPr>
        <w:t>服务期</w:t>
      </w:r>
      <w:r>
        <w:rPr>
          <w:rFonts w:hint="eastAsia" w:ascii="宋体" w:hAnsi="宋体" w:eastAsia="宋体" w:cs="宋体"/>
          <w:color w:val="auto"/>
          <w:sz w:val="22"/>
          <w:szCs w:val="22"/>
          <w:highlight w:val="none"/>
        </w:rPr>
        <w:t>：</w:t>
      </w:r>
      <w:r>
        <w:rPr>
          <w:rFonts w:hint="eastAsia" w:ascii="宋体" w:hAnsi="宋体" w:eastAsia="宋体" w:cs="宋体"/>
          <w:bCs/>
          <w:color w:val="auto"/>
          <w:kern w:val="0"/>
          <w:sz w:val="22"/>
          <w:szCs w:val="22"/>
          <w:highlight w:val="none"/>
          <w:u w:val="none"/>
          <w:lang w:val="en-US" w:eastAsia="zh-CN"/>
        </w:rPr>
        <w:t>实施期要求：须在10个月内完成改造</w:t>
      </w:r>
      <w:r>
        <w:rPr>
          <w:rFonts w:hint="eastAsia" w:ascii="宋体" w:hAnsi="宋体" w:eastAsia="宋体" w:cs="宋体"/>
          <w:color w:val="auto"/>
          <w:sz w:val="22"/>
          <w:szCs w:val="22"/>
          <w:highlight w:val="none"/>
          <w:u w:val="none"/>
        </w:rPr>
        <w:t>，开工时间以监理工程师签发的单个项目的开工令为准。</w:t>
      </w:r>
      <w:r>
        <w:rPr>
          <w:rFonts w:hint="eastAsia" w:ascii="宋体" w:hAnsi="宋体" w:eastAsia="宋体" w:cs="宋体"/>
          <w:color w:val="auto"/>
          <w:sz w:val="22"/>
          <w:szCs w:val="22"/>
          <w:highlight w:val="none"/>
          <w:lang w:val="en-US" w:eastAsia="zh-CN"/>
        </w:rPr>
        <w:t>正式运营服务期：</w:t>
      </w:r>
      <w:r>
        <w:rPr>
          <w:rFonts w:hint="eastAsia" w:hAnsi="宋体" w:cs="宋体"/>
          <w:color w:val="auto"/>
          <w:sz w:val="22"/>
          <w:szCs w:val="22"/>
          <w:highlight w:val="none"/>
          <w:lang w:val="en-US" w:eastAsia="zh-CN"/>
        </w:rPr>
        <w:t>三年</w:t>
      </w:r>
      <w:r>
        <w:rPr>
          <w:rFonts w:hint="eastAsia" w:ascii="宋体" w:hAnsi="宋体" w:eastAsia="宋体" w:cs="宋体"/>
          <w:color w:val="auto"/>
          <w:sz w:val="22"/>
          <w:szCs w:val="22"/>
          <w:highlight w:val="none"/>
          <w:lang w:val="en-US" w:eastAsia="zh-CN"/>
        </w:rPr>
        <w:t>（</w:t>
      </w:r>
      <w:r>
        <w:rPr>
          <w:rFonts w:hint="eastAsia" w:hAnsi="宋体" w:cs="宋体"/>
          <w:color w:val="auto"/>
          <w:sz w:val="22"/>
          <w:szCs w:val="22"/>
          <w:highlight w:val="none"/>
          <w:lang w:val="en-US" w:eastAsia="zh-CN"/>
        </w:rPr>
        <w:t>自过渡期满后开始计算，若上级政策及主管部门另有要求的，以其规定为准，乙方须无条件响应</w:t>
      </w:r>
      <w:r>
        <w:rPr>
          <w:rFonts w:hint="eastAsia" w:ascii="宋体" w:hAnsi="宋体" w:eastAsia="宋体" w:cs="宋体"/>
          <w:color w:val="auto"/>
          <w:sz w:val="22"/>
          <w:szCs w:val="22"/>
          <w:highlight w:val="none"/>
          <w:lang w:val="en-US" w:eastAsia="zh-CN"/>
        </w:rPr>
        <w:t>），运营期满后以上级政策及主管部门为准。</w:t>
      </w:r>
    </w:p>
    <w:p w14:paraId="5EFF4E8F">
      <w:pPr>
        <w:keepNext w:val="0"/>
        <w:keepLines w:val="0"/>
        <w:pageBreakBefore w:val="0"/>
        <w:widowControl w:val="0"/>
        <w:kinsoku/>
        <w:wordWrap/>
        <w:overflowPunct/>
        <w:topLinePunct w:val="0"/>
        <w:bidi w:val="0"/>
        <w:adjustRightInd w:val="0"/>
        <w:spacing w:line="400" w:lineRule="exact"/>
        <w:ind w:left="382" w:leftChars="182" w:firstLine="0" w:firstLineChars="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1.1.4.5过渡期</w:t>
      </w:r>
      <w:r>
        <w:rPr>
          <w:rFonts w:hint="eastAsia" w:hAnsi="宋体" w:cs="宋体"/>
          <w:color w:val="auto"/>
          <w:sz w:val="22"/>
          <w:szCs w:val="22"/>
          <w:highlight w:val="none"/>
          <w:lang w:eastAsia="zh-CN"/>
        </w:rPr>
        <w:t>：</w:t>
      </w:r>
      <w:r>
        <w:rPr>
          <w:rFonts w:hint="eastAsia" w:hAnsi="宋体" w:cs="宋体"/>
          <w:color w:val="auto"/>
          <w:sz w:val="22"/>
          <w:szCs w:val="22"/>
          <w:highlight w:val="none"/>
          <w:lang w:val="en-US" w:eastAsia="zh-CN"/>
        </w:rPr>
        <w:t>指改造验收后的一年为项目过渡期。</w:t>
      </w:r>
      <w:r>
        <w:rPr>
          <w:rFonts w:hint="eastAsia" w:hAnsi="宋体" w:cs="宋体"/>
          <w:color w:val="auto"/>
          <w:sz w:val="22"/>
          <w:szCs w:val="22"/>
          <w:highlight w:val="none"/>
          <w:lang w:eastAsia="zh-CN"/>
        </w:rPr>
        <w:br w:type="textWrapping"/>
      </w:r>
      <w:r>
        <w:rPr>
          <w:rFonts w:hint="eastAsia" w:ascii="宋体" w:hAnsi="宋体" w:eastAsia="宋体" w:cs="宋体"/>
          <w:color w:val="auto"/>
          <w:sz w:val="22"/>
          <w:szCs w:val="22"/>
          <w:highlight w:val="none"/>
        </w:rPr>
        <w:t>1.1.4.6完工日期：指完成项目立项文件规定的</w:t>
      </w:r>
      <w:r>
        <w:rPr>
          <w:rFonts w:hint="eastAsia" w:ascii="宋体" w:hAnsi="宋体" w:eastAsia="宋体" w:cs="宋体"/>
          <w:color w:val="auto"/>
          <w:sz w:val="22"/>
          <w:szCs w:val="22"/>
          <w:highlight w:val="none"/>
          <w:lang w:val="en-US" w:eastAsia="zh-CN"/>
        </w:rPr>
        <w:t>服务</w:t>
      </w:r>
      <w:r>
        <w:rPr>
          <w:rFonts w:hint="eastAsia" w:ascii="宋体" w:hAnsi="宋体" w:eastAsia="宋体" w:cs="宋体"/>
          <w:color w:val="auto"/>
          <w:sz w:val="22"/>
          <w:szCs w:val="22"/>
          <w:highlight w:val="none"/>
        </w:rPr>
        <w:t>内容，并通过验收之日</w:t>
      </w:r>
      <w:r>
        <w:rPr>
          <w:rFonts w:hint="eastAsia" w:ascii="宋体" w:hAnsi="宋体" w:eastAsia="宋体" w:cs="宋体"/>
          <w:color w:val="auto"/>
          <w:sz w:val="22"/>
          <w:szCs w:val="22"/>
          <w:highlight w:val="none"/>
          <w:lang w:eastAsia="zh-CN"/>
        </w:rPr>
        <w:t>，</w:t>
      </w:r>
      <w:r>
        <w:rPr>
          <w:rFonts w:hint="eastAsia" w:ascii="宋体" w:hAnsi="宋体" w:eastAsia="宋体" w:cs="宋体"/>
          <w:color w:val="auto"/>
          <w:sz w:val="22"/>
          <w:szCs w:val="22"/>
          <w:highlight w:val="none"/>
          <w:lang w:val="en-US" w:eastAsia="zh-CN"/>
        </w:rPr>
        <w:t>进入</w:t>
      </w:r>
      <w:r>
        <w:rPr>
          <w:rFonts w:hint="eastAsia" w:hAnsi="宋体" w:cs="宋体"/>
          <w:color w:val="auto"/>
          <w:sz w:val="22"/>
          <w:szCs w:val="22"/>
          <w:highlight w:val="none"/>
          <w:lang w:val="en-US" w:eastAsia="zh-CN"/>
        </w:rPr>
        <w:t>过渡期、</w:t>
      </w:r>
      <w:r>
        <w:rPr>
          <w:rFonts w:hint="eastAsia" w:ascii="宋体" w:hAnsi="宋体" w:eastAsia="宋体" w:cs="宋体"/>
          <w:color w:val="auto"/>
          <w:sz w:val="22"/>
          <w:szCs w:val="22"/>
          <w:highlight w:val="none"/>
          <w:lang w:val="en-US" w:eastAsia="zh-CN"/>
        </w:rPr>
        <w:t>运营期，运营期满后结束</w:t>
      </w:r>
      <w:r>
        <w:rPr>
          <w:rFonts w:hint="eastAsia" w:ascii="宋体" w:hAnsi="宋体" w:eastAsia="宋体" w:cs="宋体"/>
          <w:color w:val="auto"/>
          <w:sz w:val="22"/>
          <w:szCs w:val="22"/>
          <w:highlight w:val="none"/>
        </w:rPr>
        <w:t>。</w:t>
      </w:r>
    </w:p>
    <w:p w14:paraId="4F5DB14E">
      <w:pPr>
        <w:keepNext w:val="0"/>
        <w:keepLines w:val="0"/>
        <w:pageBreakBefore w:val="0"/>
        <w:widowControl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1.1.4.</w:t>
      </w:r>
      <w:r>
        <w:rPr>
          <w:rFonts w:hint="eastAsia" w:hAnsi="宋体" w:cs="宋体"/>
          <w:color w:val="auto"/>
          <w:sz w:val="22"/>
          <w:szCs w:val="22"/>
          <w:highlight w:val="none"/>
          <w:lang w:val="en-US" w:eastAsia="zh-CN"/>
        </w:rPr>
        <w:t>7</w:t>
      </w:r>
      <w:r>
        <w:rPr>
          <w:rFonts w:hint="eastAsia" w:ascii="宋体" w:hAnsi="宋体" w:eastAsia="宋体" w:cs="宋体"/>
          <w:color w:val="auto"/>
          <w:sz w:val="22"/>
          <w:szCs w:val="22"/>
          <w:highlight w:val="none"/>
        </w:rPr>
        <w:t>项目交付：系指</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将通过完工验收并将已完成</w:t>
      </w:r>
      <w:r>
        <w:rPr>
          <w:rFonts w:hint="eastAsia" w:ascii="宋体" w:hAnsi="宋体" w:eastAsia="宋体" w:cs="宋体"/>
          <w:color w:val="auto"/>
          <w:sz w:val="22"/>
          <w:szCs w:val="22"/>
          <w:highlight w:val="none"/>
          <w:lang w:val="en-US" w:eastAsia="zh-CN"/>
        </w:rPr>
        <w:t>项目</w:t>
      </w:r>
      <w:r>
        <w:rPr>
          <w:rFonts w:hint="eastAsia" w:ascii="宋体" w:hAnsi="宋体" w:eastAsia="宋体" w:cs="宋体"/>
          <w:color w:val="auto"/>
          <w:sz w:val="22"/>
          <w:szCs w:val="22"/>
          <w:highlight w:val="none"/>
        </w:rPr>
        <w:t>交付给</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w:t>
      </w:r>
    </w:p>
    <w:p w14:paraId="6765784A">
      <w:pPr>
        <w:keepNext w:val="0"/>
        <w:keepLines w:val="0"/>
        <w:pageBreakBefore w:val="0"/>
        <w:widowControl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1.1.4.</w:t>
      </w:r>
      <w:r>
        <w:rPr>
          <w:rFonts w:hint="eastAsia" w:hAnsi="宋体" w:cs="宋体"/>
          <w:color w:val="auto"/>
          <w:sz w:val="22"/>
          <w:szCs w:val="22"/>
          <w:highlight w:val="none"/>
          <w:lang w:val="en-US" w:eastAsia="zh-CN"/>
        </w:rPr>
        <w:t>8</w:t>
      </w:r>
      <w:r>
        <w:rPr>
          <w:rFonts w:hint="eastAsia" w:ascii="宋体" w:hAnsi="宋体" w:eastAsia="宋体" w:cs="宋体"/>
          <w:color w:val="auto"/>
          <w:sz w:val="22"/>
          <w:szCs w:val="22"/>
          <w:highlight w:val="none"/>
        </w:rPr>
        <w:t>天：除特别指明外，指日历天。合同中按天计算时间的，开始当天不计入，从次日开始计算。期限最后一天的截止时间为当天24:00。</w:t>
      </w:r>
    </w:p>
    <w:p w14:paraId="1E469744">
      <w:pPr>
        <w:keepNext w:val="0"/>
        <w:keepLines w:val="0"/>
        <w:pageBreakBefore w:val="0"/>
        <w:widowControl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1.1.4.</w:t>
      </w:r>
      <w:r>
        <w:rPr>
          <w:rFonts w:hint="eastAsia" w:hAnsi="宋体" w:cs="宋体"/>
          <w:color w:val="auto"/>
          <w:sz w:val="22"/>
          <w:szCs w:val="22"/>
          <w:highlight w:val="none"/>
          <w:lang w:val="en-US" w:eastAsia="zh-CN"/>
        </w:rPr>
        <w:t>9</w:t>
      </w:r>
      <w:r>
        <w:rPr>
          <w:rFonts w:hint="eastAsia" w:ascii="宋体" w:hAnsi="宋体" w:eastAsia="宋体" w:cs="宋体"/>
          <w:color w:val="auto"/>
          <w:sz w:val="22"/>
          <w:szCs w:val="22"/>
          <w:highlight w:val="none"/>
        </w:rPr>
        <w:t>支付日：指</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按合同约定时间向</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支付应得款项的日期。若合同约定的支付日为非银行营业日，则应顺延至原约定支付日之后的第一个银行营业日。</w:t>
      </w:r>
    </w:p>
    <w:p w14:paraId="3C793323">
      <w:pPr>
        <w:keepNext w:val="0"/>
        <w:keepLines w:val="0"/>
        <w:pageBreakBefore w:val="0"/>
        <w:widowControl w:val="0"/>
        <w:tabs>
          <w:tab w:val="left" w:pos="1440"/>
        </w:tabs>
        <w:kinsoku/>
        <w:wordWrap/>
        <w:overflowPunct/>
        <w:topLinePunct w:val="0"/>
        <w:bidi w:val="0"/>
        <w:spacing w:before="0" w:after="0" w:line="400" w:lineRule="exact"/>
        <w:ind w:left="1080" w:leftChars="226" w:hanging="605" w:hangingChars="260"/>
        <w:jc w:val="left"/>
        <w:textAlignment w:val="auto"/>
        <w:outlineLvl w:val="5"/>
        <w:rPr>
          <w:rFonts w:hint="eastAsia" w:ascii="宋体" w:hAnsi="宋体" w:eastAsia="宋体" w:cs="宋体"/>
          <w:b/>
          <w:bCs/>
          <w:snapToGrid w:val="0"/>
          <w:color w:val="auto"/>
          <w:spacing w:val="6"/>
          <w:kern w:val="2"/>
          <w:sz w:val="22"/>
          <w:szCs w:val="22"/>
          <w:highlight w:val="none"/>
          <w:lang w:val="en-US" w:eastAsia="zh-CN" w:bidi="ar-SA"/>
        </w:rPr>
      </w:pPr>
      <w:r>
        <w:rPr>
          <w:rFonts w:hint="eastAsia" w:ascii="宋体" w:hAnsi="宋体" w:eastAsia="宋体" w:cs="宋体"/>
          <w:b/>
          <w:bCs/>
          <w:snapToGrid w:val="0"/>
          <w:color w:val="auto"/>
          <w:spacing w:val="6"/>
          <w:kern w:val="2"/>
          <w:sz w:val="22"/>
          <w:szCs w:val="22"/>
          <w:highlight w:val="none"/>
          <w:lang w:val="en-US" w:eastAsia="zh-CN" w:bidi="ar-SA"/>
        </w:rPr>
        <w:t>1.1.5合同价格和费用</w:t>
      </w:r>
    </w:p>
    <w:p w14:paraId="264D00D9">
      <w:pPr>
        <w:keepNext w:val="0"/>
        <w:keepLines w:val="0"/>
        <w:pageBreakBefore w:val="0"/>
        <w:widowControl w:val="0"/>
        <w:kinsoku/>
        <w:wordWrap/>
        <w:overflowPunct/>
        <w:topLinePunct w:val="0"/>
        <w:bidi w:val="0"/>
        <w:adjustRightInd w:val="0"/>
        <w:spacing w:line="400" w:lineRule="exact"/>
        <w:ind w:firstLine="442" w:firstLineChars="200"/>
        <w:textAlignment w:val="auto"/>
        <w:rPr>
          <w:rFonts w:hint="eastAsia" w:ascii="宋体" w:hAnsi="宋体" w:eastAsia="宋体" w:cs="宋体"/>
          <w:color w:val="auto"/>
          <w:sz w:val="22"/>
          <w:szCs w:val="22"/>
          <w:highlight w:val="none"/>
        </w:rPr>
      </w:pPr>
      <w:r>
        <w:rPr>
          <w:rFonts w:hint="eastAsia" w:ascii="宋体" w:hAnsi="宋体" w:eastAsia="宋体" w:cs="宋体"/>
          <w:b/>
          <w:color w:val="auto"/>
          <w:sz w:val="22"/>
          <w:szCs w:val="22"/>
          <w:highlight w:val="none"/>
        </w:rPr>
        <w:t>1.1.5.1</w:t>
      </w:r>
      <w:r>
        <w:rPr>
          <w:rFonts w:hint="eastAsia" w:ascii="宋体" w:hAnsi="宋体" w:eastAsia="宋体" w:cs="宋体"/>
          <w:color w:val="auto"/>
          <w:sz w:val="22"/>
          <w:szCs w:val="22"/>
          <w:highlight w:val="none"/>
        </w:rPr>
        <w:t>签约合同价：指</w:t>
      </w:r>
      <w:r>
        <w:rPr>
          <w:rFonts w:hint="eastAsia" w:ascii="宋体" w:hAnsi="宋体" w:eastAsia="宋体" w:cs="宋体"/>
          <w:color w:val="auto"/>
          <w:sz w:val="22"/>
          <w:szCs w:val="22"/>
          <w:highlight w:val="none"/>
          <w:lang w:eastAsia="zh-CN"/>
        </w:rPr>
        <w:t>中标（成交）通知书</w:t>
      </w:r>
      <w:r>
        <w:rPr>
          <w:rFonts w:hint="eastAsia" w:ascii="宋体" w:hAnsi="宋体" w:eastAsia="宋体" w:cs="宋体"/>
          <w:color w:val="auto"/>
          <w:sz w:val="22"/>
          <w:szCs w:val="22"/>
          <w:highlight w:val="none"/>
        </w:rPr>
        <w:t>明确的并在签订合同时于合同协议书中写明的合同总金额。</w:t>
      </w:r>
    </w:p>
    <w:p w14:paraId="3F1834AC">
      <w:pPr>
        <w:keepNext w:val="0"/>
        <w:keepLines w:val="0"/>
        <w:pageBreakBefore w:val="0"/>
        <w:widowControl w:val="0"/>
        <w:kinsoku/>
        <w:wordWrap/>
        <w:overflowPunct/>
        <w:topLinePunct w:val="0"/>
        <w:bidi w:val="0"/>
        <w:adjustRightInd w:val="0"/>
        <w:spacing w:line="400" w:lineRule="exact"/>
        <w:ind w:firstLine="442" w:firstLineChars="200"/>
        <w:textAlignment w:val="auto"/>
        <w:rPr>
          <w:rFonts w:hint="eastAsia" w:ascii="宋体" w:hAnsi="宋体" w:eastAsia="宋体" w:cs="宋体"/>
          <w:color w:val="auto"/>
          <w:sz w:val="22"/>
          <w:szCs w:val="22"/>
          <w:highlight w:val="none"/>
        </w:rPr>
      </w:pPr>
      <w:r>
        <w:rPr>
          <w:rFonts w:hint="eastAsia" w:ascii="宋体" w:hAnsi="宋体" w:eastAsia="宋体" w:cs="宋体"/>
          <w:b/>
          <w:color w:val="auto"/>
          <w:sz w:val="22"/>
          <w:szCs w:val="22"/>
          <w:highlight w:val="none"/>
        </w:rPr>
        <w:t>1.1.5.2</w:t>
      </w:r>
      <w:r>
        <w:rPr>
          <w:rFonts w:hint="eastAsia" w:ascii="宋体" w:hAnsi="宋体" w:eastAsia="宋体" w:cs="宋体"/>
          <w:color w:val="auto"/>
          <w:sz w:val="22"/>
          <w:szCs w:val="22"/>
          <w:highlight w:val="none"/>
        </w:rPr>
        <w:t>合同价格：指</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按合同约定完成了包括缺陷责任期</w:t>
      </w:r>
      <w:r>
        <w:rPr>
          <w:rFonts w:hint="eastAsia" w:ascii="宋体" w:hAnsi="宋体" w:eastAsia="宋体" w:cs="宋体"/>
          <w:color w:val="auto"/>
          <w:sz w:val="22"/>
          <w:szCs w:val="22"/>
          <w:highlight w:val="none"/>
          <w:lang w:val="en-US" w:eastAsia="zh-CN"/>
        </w:rPr>
        <w:t>和</w:t>
      </w:r>
      <w:r>
        <w:rPr>
          <w:rFonts w:hint="eastAsia" w:ascii="宋体" w:hAnsi="宋体" w:cs="宋体"/>
          <w:color w:val="auto"/>
          <w:sz w:val="22"/>
          <w:szCs w:val="22"/>
          <w:highlight w:val="none"/>
          <w:lang w:val="en-US" w:eastAsia="zh-CN"/>
        </w:rPr>
        <w:t>垦后管护</w:t>
      </w:r>
      <w:r>
        <w:rPr>
          <w:rFonts w:hint="eastAsia" w:ascii="宋体" w:hAnsi="宋体" w:eastAsia="宋体" w:cs="宋体"/>
          <w:color w:val="auto"/>
          <w:sz w:val="22"/>
          <w:szCs w:val="22"/>
          <w:highlight w:val="none"/>
          <w:lang w:val="en-US" w:eastAsia="zh-CN"/>
        </w:rPr>
        <w:t>期</w:t>
      </w:r>
      <w:r>
        <w:rPr>
          <w:rFonts w:hint="eastAsia" w:ascii="宋体" w:hAnsi="宋体" w:eastAsia="宋体" w:cs="宋体"/>
          <w:color w:val="auto"/>
          <w:sz w:val="22"/>
          <w:szCs w:val="22"/>
          <w:highlight w:val="none"/>
        </w:rPr>
        <w:t>内的全部承包工作后，</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应付给</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的金额，包括在履行合同过程中按合同约定进行的变更和调整。</w:t>
      </w:r>
    </w:p>
    <w:p w14:paraId="27B0C806">
      <w:pPr>
        <w:keepNext w:val="0"/>
        <w:keepLines w:val="0"/>
        <w:pageBreakBefore w:val="0"/>
        <w:widowControl w:val="0"/>
        <w:kinsoku/>
        <w:wordWrap/>
        <w:overflowPunct/>
        <w:topLinePunct w:val="0"/>
        <w:bidi w:val="0"/>
        <w:adjustRightInd w:val="0"/>
        <w:spacing w:line="400" w:lineRule="exact"/>
        <w:ind w:firstLine="442" w:firstLineChars="200"/>
        <w:textAlignment w:val="auto"/>
        <w:rPr>
          <w:rFonts w:hint="eastAsia" w:ascii="宋体" w:hAnsi="宋体" w:eastAsia="宋体" w:cs="宋体"/>
          <w:color w:val="auto"/>
          <w:sz w:val="22"/>
          <w:szCs w:val="22"/>
          <w:highlight w:val="none"/>
        </w:rPr>
      </w:pPr>
      <w:r>
        <w:rPr>
          <w:rFonts w:hint="eastAsia" w:ascii="宋体" w:hAnsi="宋体" w:eastAsia="宋体" w:cs="宋体"/>
          <w:b/>
          <w:color w:val="auto"/>
          <w:sz w:val="22"/>
          <w:szCs w:val="22"/>
          <w:highlight w:val="none"/>
        </w:rPr>
        <w:t>1.1.5.3</w:t>
      </w:r>
      <w:r>
        <w:rPr>
          <w:rFonts w:hint="eastAsia" w:ascii="宋体" w:hAnsi="宋体" w:eastAsia="宋体" w:cs="宋体"/>
          <w:color w:val="auto"/>
          <w:sz w:val="22"/>
          <w:szCs w:val="22"/>
          <w:highlight w:val="none"/>
        </w:rPr>
        <w:t>费用：指为履行合同所发生的或将要发生的所有合理开支，包括管理费和应分摊的其他费用，但不包括利润。</w:t>
      </w:r>
    </w:p>
    <w:p w14:paraId="6E457A1B">
      <w:pPr>
        <w:keepNext w:val="0"/>
        <w:keepLines w:val="0"/>
        <w:pageBreakBefore w:val="0"/>
        <w:widowControl w:val="0"/>
        <w:kinsoku/>
        <w:wordWrap/>
        <w:overflowPunct/>
        <w:topLinePunct w:val="0"/>
        <w:bidi w:val="0"/>
        <w:adjustRightInd w:val="0"/>
        <w:spacing w:line="400" w:lineRule="exact"/>
        <w:ind w:firstLine="442" w:firstLineChars="200"/>
        <w:textAlignment w:val="auto"/>
        <w:rPr>
          <w:rFonts w:hint="eastAsia" w:ascii="宋体" w:hAnsi="宋体" w:eastAsia="宋体" w:cs="宋体"/>
          <w:color w:val="auto"/>
          <w:sz w:val="22"/>
          <w:szCs w:val="22"/>
          <w:highlight w:val="none"/>
        </w:rPr>
      </w:pPr>
      <w:r>
        <w:rPr>
          <w:rFonts w:hint="eastAsia" w:ascii="宋体" w:hAnsi="宋体" w:eastAsia="宋体" w:cs="宋体"/>
          <w:b/>
          <w:color w:val="auto"/>
          <w:sz w:val="22"/>
          <w:szCs w:val="22"/>
          <w:highlight w:val="none"/>
        </w:rPr>
        <w:t>1.1.5.4</w:t>
      </w:r>
      <w:r>
        <w:rPr>
          <w:rFonts w:hint="eastAsia" w:ascii="宋体" w:hAnsi="宋体" w:eastAsia="宋体" w:cs="宋体"/>
          <w:color w:val="auto"/>
          <w:sz w:val="22"/>
          <w:szCs w:val="22"/>
          <w:highlight w:val="none"/>
        </w:rPr>
        <w:t>预留金（暂列金）：指采购文件中给定的，用于在签订协议书时尚未确定或不可预见变更的设计、</w:t>
      </w:r>
      <w:r>
        <w:rPr>
          <w:rFonts w:hint="eastAsia" w:ascii="宋体" w:hAnsi="宋体" w:cs="宋体"/>
          <w:color w:val="auto"/>
          <w:sz w:val="22"/>
          <w:szCs w:val="22"/>
          <w:highlight w:val="none"/>
          <w:lang w:val="en-US" w:eastAsia="zh-CN"/>
        </w:rPr>
        <w:t>项目实施</w:t>
      </w:r>
      <w:r>
        <w:rPr>
          <w:rFonts w:hint="eastAsia" w:ascii="宋体" w:hAnsi="宋体" w:eastAsia="宋体" w:cs="宋体"/>
          <w:color w:val="auto"/>
          <w:sz w:val="22"/>
          <w:szCs w:val="22"/>
          <w:highlight w:val="none"/>
        </w:rPr>
        <w:t>及其所需材料、设备、服务等的金额。</w:t>
      </w:r>
    </w:p>
    <w:p w14:paraId="2E3562EA">
      <w:pPr>
        <w:keepNext w:val="0"/>
        <w:keepLines w:val="0"/>
        <w:pageBreakBefore w:val="0"/>
        <w:widowControl w:val="0"/>
        <w:kinsoku/>
        <w:wordWrap/>
        <w:overflowPunct/>
        <w:topLinePunct w:val="0"/>
        <w:bidi w:val="0"/>
        <w:adjustRightInd w:val="0"/>
        <w:spacing w:line="400" w:lineRule="exact"/>
        <w:ind w:firstLine="442" w:firstLineChars="200"/>
        <w:textAlignment w:val="auto"/>
        <w:rPr>
          <w:rFonts w:hint="eastAsia" w:ascii="宋体" w:hAnsi="宋体" w:eastAsia="宋体" w:cs="宋体"/>
          <w:color w:val="auto"/>
          <w:sz w:val="22"/>
          <w:szCs w:val="22"/>
          <w:highlight w:val="none"/>
        </w:rPr>
      </w:pPr>
      <w:r>
        <w:rPr>
          <w:rFonts w:hint="eastAsia" w:ascii="宋体" w:hAnsi="宋体" w:eastAsia="宋体" w:cs="宋体"/>
          <w:b/>
          <w:color w:val="auto"/>
          <w:sz w:val="22"/>
          <w:szCs w:val="22"/>
          <w:highlight w:val="none"/>
        </w:rPr>
        <w:t>1.1.5.5</w:t>
      </w:r>
      <w:r>
        <w:rPr>
          <w:rFonts w:hint="eastAsia" w:ascii="宋体" w:hAnsi="宋体" w:eastAsia="宋体" w:cs="宋体"/>
          <w:color w:val="auto"/>
          <w:sz w:val="22"/>
          <w:szCs w:val="22"/>
          <w:highlight w:val="none"/>
        </w:rPr>
        <w:t>暂估价：指采购文件中给定的，用于支付必然发生但暂时不能确定价格的专业服务、材料、设备的金额。</w:t>
      </w:r>
    </w:p>
    <w:p w14:paraId="5D1A41E1">
      <w:pPr>
        <w:keepNext w:val="0"/>
        <w:keepLines w:val="0"/>
        <w:pageBreakBefore w:val="0"/>
        <w:widowControl w:val="0"/>
        <w:kinsoku/>
        <w:wordWrap/>
        <w:overflowPunct/>
        <w:topLinePunct w:val="0"/>
        <w:bidi w:val="0"/>
        <w:adjustRightInd w:val="0"/>
        <w:snapToGrid w:val="0"/>
        <w:spacing w:line="400" w:lineRule="exact"/>
        <w:ind w:firstLine="442" w:firstLineChars="200"/>
        <w:textAlignment w:val="auto"/>
        <w:rPr>
          <w:rFonts w:hint="eastAsia" w:ascii="宋体" w:hAnsi="宋体" w:eastAsia="宋体" w:cs="宋体"/>
          <w:color w:val="auto"/>
          <w:sz w:val="22"/>
          <w:szCs w:val="22"/>
          <w:highlight w:val="none"/>
        </w:rPr>
      </w:pPr>
      <w:r>
        <w:rPr>
          <w:rFonts w:hint="eastAsia" w:ascii="宋体" w:hAnsi="宋体" w:eastAsia="宋体" w:cs="宋体"/>
          <w:b/>
          <w:color w:val="auto"/>
          <w:sz w:val="22"/>
          <w:szCs w:val="22"/>
          <w:highlight w:val="none"/>
        </w:rPr>
        <w:t>1.1.5.6</w:t>
      </w:r>
      <w:r>
        <w:rPr>
          <w:rFonts w:hint="eastAsia" w:ascii="宋体" w:hAnsi="宋体" w:eastAsia="宋体" w:cs="宋体"/>
          <w:color w:val="auto"/>
          <w:sz w:val="22"/>
          <w:szCs w:val="22"/>
          <w:highlight w:val="none"/>
        </w:rPr>
        <w:t>计息利率：指按中国人民银行公布的一年（含）年期贷款基准利率为基础设置的利率。如果中国人民银行贷款基准利率调整，则项目服务期间的计息利率同步调整，即人民银行贷款基准利率的调整日即为本项目计息利率的调整日。</w:t>
      </w:r>
    </w:p>
    <w:p w14:paraId="4CBD17A2">
      <w:pPr>
        <w:keepNext w:val="0"/>
        <w:keepLines w:val="0"/>
        <w:pageBreakBefore w:val="0"/>
        <w:widowControl w:val="0"/>
        <w:tabs>
          <w:tab w:val="left" w:pos="1440"/>
        </w:tabs>
        <w:kinsoku/>
        <w:wordWrap/>
        <w:overflowPunct/>
        <w:topLinePunct w:val="0"/>
        <w:bidi w:val="0"/>
        <w:spacing w:before="0" w:after="0" w:line="400" w:lineRule="exact"/>
        <w:ind w:left="1080" w:leftChars="226" w:hanging="605" w:hangingChars="260"/>
        <w:jc w:val="left"/>
        <w:textAlignment w:val="auto"/>
        <w:outlineLvl w:val="5"/>
        <w:rPr>
          <w:rFonts w:hint="eastAsia" w:ascii="宋体" w:hAnsi="宋体" w:eastAsia="宋体" w:cs="宋体"/>
          <w:b/>
          <w:bCs/>
          <w:snapToGrid w:val="0"/>
          <w:color w:val="auto"/>
          <w:spacing w:val="6"/>
          <w:kern w:val="2"/>
          <w:sz w:val="22"/>
          <w:szCs w:val="22"/>
          <w:highlight w:val="none"/>
          <w:lang w:val="en-US" w:eastAsia="zh-CN" w:bidi="ar-SA"/>
        </w:rPr>
      </w:pPr>
      <w:r>
        <w:rPr>
          <w:rFonts w:hint="eastAsia" w:ascii="宋体" w:hAnsi="宋体" w:eastAsia="宋体" w:cs="宋体"/>
          <w:b/>
          <w:bCs/>
          <w:snapToGrid w:val="0"/>
          <w:color w:val="auto"/>
          <w:spacing w:val="6"/>
          <w:kern w:val="2"/>
          <w:sz w:val="22"/>
          <w:szCs w:val="22"/>
          <w:highlight w:val="none"/>
          <w:lang w:val="en-US" w:eastAsia="zh-CN" w:bidi="ar-SA"/>
        </w:rPr>
        <w:t>1.1.6其他</w:t>
      </w:r>
    </w:p>
    <w:p w14:paraId="7740CE58">
      <w:pPr>
        <w:keepNext w:val="0"/>
        <w:keepLines w:val="0"/>
        <w:pageBreakBefore w:val="0"/>
        <w:widowControl w:val="0"/>
        <w:kinsoku/>
        <w:wordWrap/>
        <w:overflowPunct/>
        <w:topLinePunct w:val="0"/>
        <w:bidi w:val="0"/>
        <w:adjustRightInd w:val="0"/>
        <w:spacing w:line="400" w:lineRule="exact"/>
        <w:ind w:firstLine="442" w:firstLineChars="200"/>
        <w:textAlignment w:val="auto"/>
        <w:rPr>
          <w:rFonts w:hint="eastAsia" w:ascii="宋体" w:hAnsi="宋体" w:eastAsia="宋体" w:cs="宋体"/>
          <w:color w:val="auto"/>
          <w:sz w:val="22"/>
          <w:szCs w:val="22"/>
          <w:highlight w:val="none"/>
        </w:rPr>
      </w:pPr>
      <w:r>
        <w:rPr>
          <w:rFonts w:hint="eastAsia" w:ascii="宋体" w:hAnsi="宋体" w:eastAsia="宋体" w:cs="宋体"/>
          <w:b/>
          <w:color w:val="auto"/>
          <w:sz w:val="22"/>
          <w:szCs w:val="22"/>
          <w:highlight w:val="none"/>
        </w:rPr>
        <w:t>1.1.6.1</w:t>
      </w:r>
      <w:r>
        <w:rPr>
          <w:rFonts w:hint="eastAsia" w:ascii="宋体" w:hAnsi="宋体" w:eastAsia="宋体" w:cs="宋体"/>
          <w:color w:val="auto"/>
          <w:sz w:val="22"/>
          <w:szCs w:val="22"/>
          <w:highlight w:val="none"/>
        </w:rPr>
        <w:t>书面形式：指合同文件、信函、电报、传真、数据电文、电子邮件、会议纪要等可以有形地表现所载内容的形式。</w:t>
      </w:r>
    </w:p>
    <w:p w14:paraId="7873A48C">
      <w:pPr>
        <w:keepNext w:val="0"/>
        <w:keepLines w:val="0"/>
        <w:pageBreakBefore w:val="0"/>
        <w:widowControl w:val="0"/>
        <w:kinsoku/>
        <w:wordWrap/>
        <w:overflowPunct/>
        <w:topLinePunct w:val="0"/>
        <w:bidi w:val="0"/>
        <w:adjustRightInd w:val="0"/>
        <w:spacing w:line="400" w:lineRule="exact"/>
        <w:ind w:firstLine="442" w:firstLineChars="200"/>
        <w:textAlignment w:val="auto"/>
        <w:rPr>
          <w:rFonts w:hint="eastAsia" w:ascii="宋体" w:hAnsi="宋体" w:eastAsia="宋体" w:cs="宋体"/>
          <w:color w:val="auto"/>
          <w:sz w:val="22"/>
          <w:szCs w:val="22"/>
          <w:highlight w:val="none"/>
        </w:rPr>
      </w:pPr>
      <w:r>
        <w:rPr>
          <w:rFonts w:hint="eastAsia" w:ascii="宋体" w:hAnsi="宋体" w:eastAsia="宋体" w:cs="宋体"/>
          <w:b/>
          <w:color w:val="auto"/>
          <w:sz w:val="22"/>
          <w:szCs w:val="22"/>
          <w:highlight w:val="none"/>
        </w:rPr>
        <w:t>1.1.6.2</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文件：指由</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根据合同应提交的所有图纸、手册、模型、计算书、软件和其他文件。</w:t>
      </w:r>
    </w:p>
    <w:p w14:paraId="2187CF5C">
      <w:pPr>
        <w:keepNext w:val="0"/>
        <w:keepLines w:val="0"/>
        <w:pageBreakBefore w:val="0"/>
        <w:widowControl w:val="0"/>
        <w:kinsoku/>
        <w:wordWrap/>
        <w:overflowPunct/>
        <w:topLinePunct w:val="0"/>
        <w:bidi w:val="0"/>
        <w:adjustRightInd w:val="0"/>
        <w:spacing w:line="400" w:lineRule="exact"/>
        <w:ind w:firstLine="442" w:firstLineChars="200"/>
        <w:textAlignment w:val="auto"/>
        <w:rPr>
          <w:rFonts w:hint="eastAsia" w:ascii="宋体" w:hAnsi="宋体" w:eastAsia="宋体" w:cs="宋体"/>
          <w:color w:val="auto"/>
          <w:sz w:val="22"/>
          <w:szCs w:val="22"/>
          <w:highlight w:val="none"/>
        </w:rPr>
      </w:pPr>
      <w:r>
        <w:rPr>
          <w:rFonts w:hint="eastAsia" w:ascii="宋体" w:hAnsi="宋体" w:eastAsia="宋体" w:cs="宋体"/>
          <w:b/>
          <w:color w:val="auto"/>
          <w:sz w:val="22"/>
          <w:szCs w:val="22"/>
          <w:highlight w:val="none"/>
        </w:rPr>
        <w:t>1.1.6.3</w:t>
      </w:r>
      <w:r>
        <w:rPr>
          <w:rFonts w:hint="eastAsia" w:ascii="宋体" w:hAnsi="宋体" w:eastAsia="宋体" w:cs="宋体"/>
          <w:color w:val="auto"/>
          <w:sz w:val="22"/>
          <w:szCs w:val="22"/>
          <w:highlight w:val="none"/>
        </w:rPr>
        <w:t>现场：指用于</w:t>
      </w:r>
      <w:r>
        <w:rPr>
          <w:rFonts w:hint="eastAsia" w:ascii="宋体" w:hAnsi="宋体" w:eastAsia="宋体" w:cs="宋体"/>
          <w:color w:val="auto"/>
          <w:sz w:val="22"/>
          <w:szCs w:val="22"/>
          <w:highlight w:val="none"/>
          <w:lang w:val="en-US" w:eastAsia="zh-CN"/>
        </w:rPr>
        <w:t>实施</w:t>
      </w:r>
      <w:r>
        <w:rPr>
          <w:rFonts w:hint="eastAsia" w:ascii="宋体" w:hAnsi="宋体" w:eastAsia="宋体" w:cs="宋体"/>
          <w:color w:val="auto"/>
          <w:sz w:val="22"/>
          <w:szCs w:val="22"/>
          <w:highlight w:val="none"/>
        </w:rPr>
        <w:t>本</w:t>
      </w:r>
      <w:r>
        <w:rPr>
          <w:rFonts w:hint="eastAsia" w:ascii="宋体" w:hAnsi="宋体" w:eastAsia="宋体" w:cs="宋体"/>
          <w:color w:val="auto"/>
          <w:sz w:val="22"/>
          <w:szCs w:val="22"/>
          <w:highlight w:val="none"/>
          <w:lang w:val="en-US" w:eastAsia="zh-CN"/>
        </w:rPr>
        <w:t>项目</w:t>
      </w:r>
      <w:r>
        <w:rPr>
          <w:rFonts w:hint="eastAsia" w:ascii="宋体" w:hAnsi="宋体" w:eastAsia="宋体" w:cs="宋体"/>
          <w:color w:val="auto"/>
          <w:sz w:val="22"/>
          <w:szCs w:val="22"/>
          <w:highlight w:val="none"/>
        </w:rPr>
        <w:t>的场所，以及在合同中可能明确指定作为现场组成部分的任何场所。</w:t>
      </w:r>
    </w:p>
    <w:p w14:paraId="7591C4A6">
      <w:pPr>
        <w:keepNext w:val="0"/>
        <w:keepLines w:val="0"/>
        <w:pageBreakBefore w:val="0"/>
        <w:widowControl w:val="0"/>
        <w:kinsoku/>
        <w:wordWrap/>
        <w:overflowPunct/>
        <w:topLinePunct w:val="0"/>
        <w:bidi w:val="0"/>
        <w:adjustRightInd w:val="0"/>
        <w:spacing w:line="400" w:lineRule="exact"/>
        <w:ind w:firstLine="442" w:firstLineChars="200"/>
        <w:textAlignment w:val="auto"/>
        <w:rPr>
          <w:rFonts w:hint="eastAsia" w:ascii="宋体" w:hAnsi="宋体" w:eastAsia="宋体" w:cs="宋体"/>
          <w:color w:val="auto"/>
          <w:sz w:val="22"/>
          <w:szCs w:val="22"/>
          <w:highlight w:val="none"/>
        </w:rPr>
      </w:pPr>
      <w:r>
        <w:rPr>
          <w:rFonts w:hint="eastAsia" w:ascii="宋体" w:hAnsi="宋体" w:eastAsia="宋体" w:cs="宋体"/>
          <w:b/>
          <w:color w:val="auto"/>
          <w:sz w:val="22"/>
          <w:szCs w:val="22"/>
          <w:highlight w:val="none"/>
        </w:rPr>
        <w:t>1.1.6.4</w:t>
      </w:r>
      <w:r>
        <w:rPr>
          <w:rFonts w:hint="eastAsia" w:ascii="宋体" w:hAnsi="宋体" w:eastAsia="宋体" w:cs="宋体"/>
          <w:color w:val="auto"/>
          <w:sz w:val="22"/>
          <w:szCs w:val="22"/>
          <w:highlight w:val="none"/>
        </w:rPr>
        <w:t>变更是指根据合同约定，经指示或批准对</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要求或</w:t>
      </w:r>
      <w:r>
        <w:rPr>
          <w:rFonts w:hint="eastAsia" w:ascii="宋体" w:hAnsi="宋体" w:eastAsia="宋体" w:cs="宋体"/>
          <w:color w:val="auto"/>
          <w:sz w:val="22"/>
          <w:szCs w:val="22"/>
          <w:highlight w:val="none"/>
          <w:lang w:val="en-US" w:eastAsia="zh-CN"/>
        </w:rPr>
        <w:t>项目</w:t>
      </w:r>
      <w:r>
        <w:rPr>
          <w:rFonts w:hint="eastAsia" w:ascii="宋体" w:hAnsi="宋体" w:eastAsia="宋体" w:cs="宋体"/>
          <w:color w:val="auto"/>
          <w:sz w:val="22"/>
          <w:szCs w:val="22"/>
          <w:highlight w:val="none"/>
        </w:rPr>
        <w:t>所做的改变。</w:t>
      </w:r>
    </w:p>
    <w:p w14:paraId="0A7EF575">
      <w:pPr>
        <w:keepNext w:val="0"/>
        <w:keepLines w:val="0"/>
        <w:pageBreakBefore w:val="0"/>
        <w:widowControl w:val="0"/>
        <w:kinsoku/>
        <w:wordWrap/>
        <w:overflowPunct/>
        <w:topLinePunct w:val="0"/>
        <w:bidi w:val="0"/>
        <w:adjustRightInd w:val="0"/>
        <w:spacing w:line="400" w:lineRule="exact"/>
        <w:ind w:firstLine="442" w:firstLineChars="200"/>
        <w:textAlignment w:val="auto"/>
        <w:rPr>
          <w:rFonts w:hint="eastAsia" w:ascii="宋体" w:hAnsi="宋体" w:eastAsia="宋体" w:cs="宋体"/>
          <w:color w:val="auto"/>
          <w:sz w:val="22"/>
          <w:szCs w:val="22"/>
          <w:highlight w:val="none"/>
        </w:rPr>
      </w:pPr>
      <w:r>
        <w:rPr>
          <w:rFonts w:hint="eastAsia" w:ascii="宋体" w:hAnsi="宋体" w:eastAsia="宋体" w:cs="宋体"/>
          <w:b/>
          <w:color w:val="auto"/>
          <w:sz w:val="22"/>
          <w:szCs w:val="22"/>
          <w:highlight w:val="none"/>
        </w:rPr>
        <w:t>1.1.6.5</w:t>
      </w:r>
      <w:r>
        <w:rPr>
          <w:rFonts w:hint="eastAsia" w:ascii="宋体" w:hAnsi="宋体" w:eastAsia="宋体" w:cs="宋体"/>
          <w:color w:val="auto"/>
          <w:sz w:val="22"/>
          <w:szCs w:val="22"/>
          <w:highlight w:val="none"/>
        </w:rPr>
        <w:t>一般设计变更：指在本合同项下的某单项</w:t>
      </w:r>
      <w:r>
        <w:rPr>
          <w:rFonts w:hint="eastAsia" w:ascii="宋体" w:hAnsi="宋体" w:eastAsia="宋体" w:cs="宋体"/>
          <w:color w:val="auto"/>
          <w:sz w:val="22"/>
          <w:szCs w:val="22"/>
          <w:highlight w:val="none"/>
          <w:lang w:val="en-US" w:eastAsia="zh-CN"/>
        </w:rPr>
        <w:t>服务内容</w:t>
      </w:r>
      <w:r>
        <w:rPr>
          <w:rFonts w:hint="eastAsia" w:ascii="宋体" w:hAnsi="宋体" w:eastAsia="宋体" w:cs="宋体"/>
          <w:color w:val="auto"/>
          <w:sz w:val="22"/>
          <w:szCs w:val="22"/>
          <w:highlight w:val="none"/>
        </w:rPr>
        <w:t>在实际</w:t>
      </w:r>
      <w:r>
        <w:rPr>
          <w:rFonts w:hint="eastAsia" w:ascii="宋体" w:hAnsi="宋体" w:eastAsia="宋体" w:cs="宋体"/>
          <w:color w:val="auto"/>
          <w:sz w:val="22"/>
          <w:szCs w:val="22"/>
          <w:highlight w:val="none"/>
          <w:lang w:val="en-US" w:eastAsia="zh-CN"/>
        </w:rPr>
        <w:t>实施</w:t>
      </w:r>
      <w:r>
        <w:rPr>
          <w:rFonts w:hint="eastAsia" w:ascii="宋体" w:hAnsi="宋体" w:eastAsia="宋体" w:cs="宋体"/>
          <w:color w:val="auto"/>
          <w:sz w:val="22"/>
          <w:szCs w:val="22"/>
          <w:highlight w:val="none"/>
        </w:rPr>
        <w:t>过程中出现了与签订该单项</w:t>
      </w:r>
      <w:r>
        <w:rPr>
          <w:rFonts w:hint="eastAsia" w:ascii="宋体" w:hAnsi="宋体" w:eastAsia="宋体" w:cs="宋体"/>
          <w:color w:val="auto"/>
          <w:sz w:val="22"/>
          <w:szCs w:val="22"/>
          <w:highlight w:val="none"/>
          <w:lang w:val="en-US" w:eastAsia="zh-CN"/>
        </w:rPr>
        <w:t>服务内容</w:t>
      </w:r>
      <w:r>
        <w:rPr>
          <w:rFonts w:hint="eastAsia" w:ascii="宋体" w:hAnsi="宋体" w:eastAsia="宋体" w:cs="宋体"/>
          <w:color w:val="auto"/>
          <w:sz w:val="22"/>
          <w:szCs w:val="22"/>
          <w:highlight w:val="none"/>
        </w:rPr>
        <w:t>合同时的预计条件不一致的情况，而需要改变原定</w:t>
      </w:r>
      <w:r>
        <w:rPr>
          <w:rFonts w:hint="eastAsia" w:ascii="宋体" w:hAnsi="宋体" w:eastAsia="宋体" w:cs="宋体"/>
          <w:color w:val="auto"/>
          <w:sz w:val="22"/>
          <w:szCs w:val="22"/>
          <w:highlight w:val="none"/>
          <w:lang w:val="en-US" w:eastAsia="zh-CN"/>
        </w:rPr>
        <w:t>实施</w:t>
      </w:r>
      <w:r>
        <w:rPr>
          <w:rFonts w:hint="eastAsia" w:ascii="宋体" w:hAnsi="宋体" w:eastAsia="宋体" w:cs="宋体"/>
          <w:color w:val="auto"/>
          <w:sz w:val="22"/>
          <w:szCs w:val="22"/>
          <w:highlight w:val="none"/>
        </w:rPr>
        <w:t>范围内的某些工作内容。如</w:t>
      </w:r>
      <w:r>
        <w:rPr>
          <w:rFonts w:hint="eastAsia" w:ascii="宋体" w:hAnsi="宋体" w:eastAsia="宋体" w:cs="宋体"/>
          <w:color w:val="auto"/>
          <w:sz w:val="22"/>
          <w:szCs w:val="22"/>
          <w:highlight w:val="none"/>
          <w:lang w:val="en-US" w:eastAsia="zh-CN"/>
        </w:rPr>
        <w:t>实施工作量</w:t>
      </w:r>
      <w:r>
        <w:rPr>
          <w:rFonts w:hint="eastAsia" w:ascii="宋体" w:hAnsi="宋体" w:eastAsia="宋体" w:cs="宋体"/>
          <w:color w:val="auto"/>
          <w:sz w:val="22"/>
          <w:szCs w:val="22"/>
          <w:highlight w:val="none"/>
        </w:rPr>
        <w:t>、合同价款、</w:t>
      </w:r>
      <w:r>
        <w:rPr>
          <w:rFonts w:hint="eastAsia" w:ascii="宋体" w:hAnsi="宋体" w:eastAsia="宋体" w:cs="宋体"/>
          <w:color w:val="auto"/>
          <w:sz w:val="22"/>
          <w:szCs w:val="22"/>
          <w:highlight w:val="none"/>
          <w:lang w:val="en-US" w:eastAsia="zh-CN"/>
        </w:rPr>
        <w:t>服务周</w:t>
      </w:r>
      <w:r>
        <w:rPr>
          <w:rFonts w:hint="eastAsia" w:ascii="宋体" w:hAnsi="宋体" w:eastAsia="宋体" w:cs="宋体"/>
          <w:color w:val="auto"/>
          <w:sz w:val="22"/>
          <w:szCs w:val="22"/>
          <w:highlight w:val="none"/>
        </w:rPr>
        <w:t>期、质量要求、位置、标高尺寸及</w:t>
      </w:r>
      <w:r>
        <w:rPr>
          <w:rFonts w:hint="eastAsia" w:ascii="宋体" w:hAnsi="宋体" w:eastAsia="宋体" w:cs="宋体"/>
          <w:color w:val="auto"/>
          <w:sz w:val="22"/>
          <w:szCs w:val="22"/>
          <w:highlight w:val="none"/>
          <w:lang w:val="en-US" w:eastAsia="zh-CN"/>
        </w:rPr>
        <w:t>实施</w:t>
      </w:r>
      <w:r>
        <w:rPr>
          <w:rFonts w:hint="eastAsia" w:ascii="宋体" w:hAnsi="宋体" w:eastAsia="宋体" w:cs="宋体"/>
          <w:color w:val="auto"/>
          <w:sz w:val="22"/>
          <w:szCs w:val="22"/>
          <w:highlight w:val="none"/>
        </w:rPr>
        <w:t>方法等方面的变化，且此变化控制在相关技术标准的变量范围之内。</w:t>
      </w:r>
    </w:p>
    <w:p w14:paraId="1DA39829">
      <w:pPr>
        <w:keepNext w:val="0"/>
        <w:keepLines w:val="0"/>
        <w:pageBreakBefore w:val="0"/>
        <w:widowControl w:val="0"/>
        <w:kinsoku/>
        <w:wordWrap/>
        <w:overflowPunct/>
        <w:topLinePunct w:val="0"/>
        <w:bidi w:val="0"/>
        <w:adjustRightInd w:val="0"/>
        <w:spacing w:line="400" w:lineRule="exact"/>
        <w:ind w:firstLine="442" w:firstLineChars="200"/>
        <w:textAlignment w:val="auto"/>
        <w:rPr>
          <w:rFonts w:hint="eastAsia" w:ascii="宋体" w:hAnsi="宋体" w:eastAsia="宋体" w:cs="宋体"/>
          <w:color w:val="auto"/>
          <w:sz w:val="22"/>
          <w:szCs w:val="22"/>
          <w:highlight w:val="none"/>
        </w:rPr>
      </w:pPr>
      <w:r>
        <w:rPr>
          <w:rFonts w:hint="eastAsia" w:ascii="宋体" w:hAnsi="宋体" w:eastAsia="宋体" w:cs="宋体"/>
          <w:b/>
          <w:color w:val="auto"/>
          <w:sz w:val="22"/>
          <w:szCs w:val="22"/>
          <w:highlight w:val="none"/>
        </w:rPr>
        <w:t>1.1.6.6</w:t>
      </w:r>
      <w:r>
        <w:rPr>
          <w:rFonts w:hint="eastAsia" w:ascii="宋体" w:hAnsi="宋体" w:eastAsia="宋体" w:cs="宋体"/>
          <w:color w:val="auto"/>
          <w:sz w:val="22"/>
          <w:szCs w:val="22"/>
          <w:highlight w:val="none"/>
        </w:rPr>
        <w:t>重大设计变更：指由</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lang w:val="en-US" w:eastAsia="zh-CN"/>
        </w:rPr>
        <w:t>丙方</w:t>
      </w:r>
      <w:r>
        <w:rPr>
          <w:rFonts w:hint="eastAsia" w:ascii="宋体" w:hAnsi="宋体" w:eastAsia="宋体" w:cs="宋体"/>
          <w:color w:val="auto"/>
          <w:sz w:val="22"/>
          <w:szCs w:val="22"/>
          <w:highlight w:val="none"/>
        </w:rPr>
        <w:t>（或</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）提出的并由</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lang w:val="en-US" w:eastAsia="zh-CN"/>
        </w:rPr>
        <w:t>丙方</w:t>
      </w:r>
      <w:r>
        <w:rPr>
          <w:rFonts w:hint="eastAsia" w:ascii="宋体" w:hAnsi="宋体" w:eastAsia="宋体" w:cs="宋体"/>
          <w:color w:val="auto"/>
          <w:sz w:val="22"/>
          <w:szCs w:val="22"/>
          <w:highlight w:val="none"/>
        </w:rPr>
        <w:t>确认的关于引起</w:t>
      </w:r>
      <w:r>
        <w:rPr>
          <w:rFonts w:hint="eastAsia" w:hAnsi="宋体" w:cs="宋体"/>
          <w:color w:val="auto"/>
          <w:sz w:val="22"/>
          <w:szCs w:val="22"/>
          <w:highlight w:val="none"/>
          <w:lang w:val="en-US" w:eastAsia="zh-CN"/>
        </w:rPr>
        <w:t>改造</w:t>
      </w:r>
      <w:r>
        <w:rPr>
          <w:rFonts w:hint="eastAsia" w:ascii="宋体" w:hAnsi="宋体" w:eastAsia="宋体" w:cs="宋体"/>
          <w:color w:val="auto"/>
          <w:sz w:val="22"/>
          <w:szCs w:val="22"/>
          <w:highlight w:val="none"/>
        </w:rPr>
        <w:t>面积等重大变动且变动超出原设计控制范围的变更。</w:t>
      </w:r>
    </w:p>
    <w:p w14:paraId="5D93744E">
      <w:pPr>
        <w:keepNext w:val="0"/>
        <w:keepLines w:val="0"/>
        <w:pageBreakBefore w:val="0"/>
        <w:widowControl w:val="0"/>
        <w:kinsoku/>
        <w:wordWrap/>
        <w:overflowPunct/>
        <w:topLinePunct w:val="0"/>
        <w:bidi w:val="0"/>
        <w:adjustRightInd w:val="0"/>
        <w:spacing w:line="400" w:lineRule="exact"/>
        <w:ind w:firstLine="442" w:firstLineChars="200"/>
        <w:textAlignment w:val="auto"/>
        <w:rPr>
          <w:rFonts w:hint="eastAsia" w:ascii="宋体" w:hAnsi="宋体" w:eastAsia="宋体" w:cs="宋体"/>
          <w:color w:val="auto"/>
          <w:sz w:val="22"/>
          <w:szCs w:val="22"/>
          <w:highlight w:val="none"/>
        </w:rPr>
      </w:pPr>
      <w:r>
        <w:rPr>
          <w:rFonts w:hint="eastAsia" w:ascii="宋体" w:hAnsi="宋体" w:eastAsia="宋体" w:cs="宋体"/>
          <w:b/>
          <w:color w:val="auto"/>
          <w:sz w:val="22"/>
          <w:szCs w:val="22"/>
          <w:highlight w:val="none"/>
        </w:rPr>
        <w:t>1.1.6.7</w:t>
      </w:r>
      <w:r>
        <w:rPr>
          <w:rFonts w:hint="eastAsia" w:ascii="宋体" w:hAnsi="宋体" w:eastAsia="宋体" w:cs="宋体"/>
          <w:color w:val="auto"/>
          <w:sz w:val="22"/>
          <w:szCs w:val="22"/>
          <w:highlight w:val="none"/>
        </w:rPr>
        <w:t>项目文件：指本合同及与本项目有关的文件。</w:t>
      </w:r>
    </w:p>
    <w:p w14:paraId="74F62246">
      <w:pPr>
        <w:keepNext w:val="0"/>
        <w:keepLines w:val="0"/>
        <w:pageBreakBefore w:val="0"/>
        <w:widowControl w:val="0"/>
        <w:kinsoku/>
        <w:wordWrap/>
        <w:overflowPunct/>
        <w:topLinePunct w:val="0"/>
        <w:bidi w:val="0"/>
        <w:adjustRightInd w:val="0"/>
        <w:spacing w:line="400" w:lineRule="exact"/>
        <w:ind w:firstLine="442" w:firstLineChars="200"/>
        <w:textAlignment w:val="auto"/>
        <w:rPr>
          <w:rFonts w:hint="eastAsia" w:ascii="宋体" w:hAnsi="宋体" w:eastAsia="宋体" w:cs="宋体"/>
          <w:color w:val="auto"/>
          <w:sz w:val="22"/>
          <w:szCs w:val="22"/>
          <w:highlight w:val="none"/>
        </w:rPr>
      </w:pPr>
      <w:r>
        <w:rPr>
          <w:rFonts w:hint="eastAsia" w:ascii="宋体" w:hAnsi="宋体" w:eastAsia="宋体" w:cs="宋体"/>
          <w:b/>
          <w:color w:val="auto"/>
          <w:sz w:val="22"/>
          <w:szCs w:val="22"/>
          <w:highlight w:val="none"/>
        </w:rPr>
        <w:t>1.1.6.8</w:t>
      </w:r>
      <w:r>
        <w:rPr>
          <w:rFonts w:hint="eastAsia" w:ascii="宋体" w:hAnsi="宋体" w:eastAsia="宋体" w:cs="宋体"/>
          <w:color w:val="auto"/>
          <w:sz w:val="22"/>
          <w:szCs w:val="22"/>
          <w:highlight w:val="none"/>
        </w:rPr>
        <w:t>进度计划：指</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的项目实施方案中确定并经</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批准的</w:t>
      </w:r>
      <w:r>
        <w:rPr>
          <w:rFonts w:hint="eastAsia" w:ascii="宋体" w:hAnsi="宋体" w:eastAsia="宋体" w:cs="宋体"/>
          <w:color w:val="auto"/>
          <w:sz w:val="22"/>
          <w:szCs w:val="22"/>
          <w:highlight w:val="none"/>
          <w:lang w:val="en-US" w:eastAsia="zh-CN"/>
        </w:rPr>
        <w:t>项目实施</w:t>
      </w:r>
      <w:r>
        <w:rPr>
          <w:rFonts w:hint="eastAsia" w:ascii="宋体" w:hAnsi="宋体" w:eastAsia="宋体" w:cs="宋体"/>
          <w:color w:val="auto"/>
          <w:sz w:val="22"/>
          <w:szCs w:val="22"/>
          <w:highlight w:val="none"/>
        </w:rPr>
        <w:t>进度计划。</w:t>
      </w:r>
      <w:bookmarkStart w:id="109" w:name="_Toc354494031"/>
    </w:p>
    <w:bookmarkEnd w:id="109"/>
    <w:p w14:paraId="136EA0EB">
      <w:pPr>
        <w:keepNext w:val="0"/>
        <w:keepLines w:val="0"/>
        <w:pageBreakBefore w:val="0"/>
        <w:widowControl w:val="0"/>
        <w:kinsoku/>
        <w:wordWrap/>
        <w:overflowPunct/>
        <w:topLinePunct w:val="0"/>
        <w:bidi w:val="0"/>
        <w:spacing w:before="0" w:after="0" w:line="400" w:lineRule="exact"/>
        <w:ind w:firstLine="426"/>
        <w:jc w:val="both"/>
        <w:textAlignment w:val="auto"/>
        <w:outlineLvl w:val="4"/>
        <w:rPr>
          <w:rFonts w:hint="eastAsia" w:ascii="宋体" w:hAnsi="宋体" w:eastAsia="宋体" w:cs="宋体"/>
          <w:b/>
          <w:bCs/>
          <w:snapToGrid w:val="0"/>
          <w:color w:val="auto"/>
          <w:kern w:val="2"/>
          <w:sz w:val="22"/>
          <w:szCs w:val="22"/>
          <w:highlight w:val="none"/>
          <w:lang w:val="en-US" w:eastAsia="zh-CN" w:bidi="ar-SA"/>
        </w:rPr>
      </w:pPr>
      <w:r>
        <w:rPr>
          <w:rFonts w:hint="eastAsia" w:ascii="宋体" w:hAnsi="宋体" w:eastAsia="宋体" w:cs="宋体"/>
          <w:b/>
          <w:bCs/>
          <w:snapToGrid w:val="0"/>
          <w:color w:val="auto"/>
          <w:kern w:val="2"/>
          <w:sz w:val="22"/>
          <w:szCs w:val="22"/>
          <w:highlight w:val="none"/>
          <w:lang w:val="en-US" w:eastAsia="zh-CN" w:bidi="ar-SA"/>
        </w:rPr>
        <w:t>1.2语言文字</w:t>
      </w:r>
    </w:p>
    <w:p w14:paraId="10D0BE48">
      <w:pPr>
        <w:keepNext w:val="0"/>
        <w:keepLines w:val="0"/>
        <w:pageBreakBefore w:val="0"/>
        <w:widowControl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本合同使用的语言文字为中文。专用术语使用外文的，应附有中文注释。</w:t>
      </w:r>
    </w:p>
    <w:p w14:paraId="7526DCAF">
      <w:pPr>
        <w:keepNext w:val="0"/>
        <w:keepLines w:val="0"/>
        <w:pageBreakBefore w:val="0"/>
        <w:widowControl w:val="0"/>
        <w:kinsoku/>
        <w:wordWrap/>
        <w:overflowPunct/>
        <w:topLinePunct w:val="0"/>
        <w:bidi w:val="0"/>
        <w:spacing w:before="0" w:after="0" w:line="400" w:lineRule="exact"/>
        <w:ind w:firstLine="426"/>
        <w:jc w:val="both"/>
        <w:textAlignment w:val="auto"/>
        <w:outlineLvl w:val="4"/>
        <w:rPr>
          <w:rFonts w:hint="eastAsia" w:ascii="宋体" w:hAnsi="宋体" w:eastAsia="宋体" w:cs="宋体"/>
          <w:b/>
          <w:bCs/>
          <w:snapToGrid w:val="0"/>
          <w:color w:val="auto"/>
          <w:kern w:val="2"/>
          <w:sz w:val="22"/>
          <w:szCs w:val="22"/>
          <w:highlight w:val="none"/>
          <w:lang w:val="en-US" w:eastAsia="zh-CN" w:bidi="ar-SA"/>
        </w:rPr>
      </w:pPr>
      <w:r>
        <w:rPr>
          <w:rFonts w:hint="eastAsia" w:ascii="宋体" w:hAnsi="宋体" w:eastAsia="宋体" w:cs="宋体"/>
          <w:b/>
          <w:bCs/>
          <w:snapToGrid w:val="0"/>
          <w:color w:val="auto"/>
          <w:kern w:val="2"/>
          <w:sz w:val="22"/>
          <w:szCs w:val="22"/>
          <w:highlight w:val="none"/>
          <w:lang w:val="en-US" w:eastAsia="zh-CN" w:bidi="ar-SA"/>
        </w:rPr>
        <w:t>1.3法律</w:t>
      </w:r>
    </w:p>
    <w:p w14:paraId="1F066EED">
      <w:pPr>
        <w:keepNext w:val="0"/>
        <w:keepLines w:val="0"/>
        <w:pageBreakBefore w:val="0"/>
        <w:widowControl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适用于本合同的法律包括中华人民共和国法律、行政法规、部门规章，以及</w:t>
      </w:r>
      <w:r>
        <w:rPr>
          <w:rFonts w:hint="eastAsia" w:ascii="宋体" w:hAnsi="宋体" w:eastAsia="宋体" w:cs="宋体"/>
          <w:color w:val="auto"/>
          <w:sz w:val="22"/>
          <w:szCs w:val="22"/>
          <w:highlight w:val="none"/>
          <w:lang w:val="en-US" w:eastAsia="zh-CN"/>
        </w:rPr>
        <w:t>项目</w:t>
      </w:r>
      <w:r>
        <w:rPr>
          <w:rFonts w:hint="eastAsia" w:ascii="宋体" w:hAnsi="宋体" w:eastAsia="宋体" w:cs="宋体"/>
          <w:color w:val="auto"/>
          <w:sz w:val="22"/>
          <w:szCs w:val="22"/>
          <w:highlight w:val="none"/>
        </w:rPr>
        <w:t>所在地的地方性法规、自治条例、单行条例和地方政府规章。</w:t>
      </w:r>
    </w:p>
    <w:p w14:paraId="40D7AF73">
      <w:pPr>
        <w:keepNext w:val="0"/>
        <w:keepLines w:val="0"/>
        <w:pageBreakBefore w:val="0"/>
        <w:widowControl w:val="0"/>
        <w:numPr>
          <w:ilvl w:val="0"/>
          <w:numId w:val="7"/>
        </w:numPr>
        <w:tabs>
          <w:tab w:val="left" w:pos="658"/>
        </w:tabs>
        <w:kinsoku/>
        <w:wordWrap/>
        <w:overflowPunct/>
        <w:topLinePunct w:val="0"/>
        <w:bidi w:val="0"/>
        <w:spacing w:line="400" w:lineRule="exact"/>
        <w:ind w:left="0" w:firstLine="426"/>
        <w:jc w:val="left"/>
        <w:textAlignment w:val="auto"/>
        <w:outlineLvl w:val="3"/>
        <w:rPr>
          <w:rFonts w:hint="eastAsia" w:ascii="宋体" w:hAnsi="宋体" w:eastAsia="宋体" w:cs="宋体"/>
          <w:b/>
          <w:snapToGrid w:val="0"/>
          <w:color w:val="auto"/>
          <w:kern w:val="2"/>
          <w:sz w:val="22"/>
          <w:szCs w:val="22"/>
          <w:highlight w:val="none"/>
          <w:lang w:val="en-US" w:eastAsia="zh-CN" w:bidi="ar-SA"/>
        </w:rPr>
      </w:pPr>
      <w:r>
        <w:rPr>
          <w:rFonts w:hint="eastAsia" w:ascii="宋体" w:hAnsi="宋体" w:eastAsia="宋体" w:cs="宋体"/>
          <w:b/>
          <w:snapToGrid w:val="0"/>
          <w:color w:val="auto"/>
          <w:kern w:val="2"/>
          <w:sz w:val="22"/>
          <w:szCs w:val="22"/>
          <w:highlight w:val="none"/>
          <w:lang w:val="en-US" w:eastAsia="zh-CN" w:bidi="ar-SA"/>
        </w:rPr>
        <w:t>合同的优先解释顺序</w:t>
      </w:r>
    </w:p>
    <w:p w14:paraId="31F4C538">
      <w:pPr>
        <w:keepNext w:val="0"/>
        <w:keepLines w:val="0"/>
        <w:pageBreakBefore w:val="0"/>
        <w:widowControl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组成合同的各项文件应互相解释，互为说明。解释合同文件的优先顺序如下：</w:t>
      </w:r>
    </w:p>
    <w:p w14:paraId="29EEE04D">
      <w:pPr>
        <w:keepNext w:val="0"/>
        <w:keepLines w:val="0"/>
        <w:pageBreakBefore w:val="0"/>
        <w:widowControl w:val="0"/>
        <w:kinsoku/>
        <w:wordWrap/>
        <w:overflowPunct/>
        <w:topLinePunct w:val="0"/>
        <w:bidi w:val="0"/>
        <w:snapToGrid w:val="0"/>
        <w:spacing w:line="400" w:lineRule="exact"/>
        <w:ind w:firstLine="387" w:firstLineChars="176"/>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（1）合同协议书及各种合同附件(含补充协议、评标期间和合同谈判过程中的澄清文件和补充资料)；</w:t>
      </w:r>
    </w:p>
    <w:p w14:paraId="6FA3A2F3">
      <w:pPr>
        <w:keepNext w:val="0"/>
        <w:keepLines w:val="0"/>
        <w:pageBreakBefore w:val="0"/>
        <w:widowControl w:val="0"/>
        <w:kinsoku/>
        <w:wordWrap/>
        <w:overflowPunct/>
        <w:topLinePunct w:val="0"/>
        <w:bidi w:val="0"/>
        <w:snapToGrid w:val="0"/>
        <w:spacing w:line="400" w:lineRule="exact"/>
        <w:ind w:firstLine="387" w:firstLineChars="176"/>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（2）</w:t>
      </w:r>
      <w:r>
        <w:rPr>
          <w:rFonts w:hint="eastAsia" w:ascii="宋体" w:hAnsi="宋体" w:eastAsia="宋体" w:cs="宋体"/>
          <w:color w:val="auto"/>
          <w:sz w:val="22"/>
          <w:szCs w:val="22"/>
          <w:highlight w:val="none"/>
          <w:lang w:val="en-US" w:eastAsia="zh-CN"/>
        </w:rPr>
        <w:t>招标文件</w:t>
      </w:r>
      <w:r>
        <w:rPr>
          <w:rFonts w:hint="eastAsia" w:ascii="宋体" w:hAnsi="宋体" w:eastAsia="宋体" w:cs="宋体"/>
          <w:color w:val="auto"/>
          <w:sz w:val="22"/>
          <w:szCs w:val="22"/>
          <w:highlight w:val="none"/>
        </w:rPr>
        <w:t>；</w:t>
      </w:r>
    </w:p>
    <w:p w14:paraId="1CE8A883">
      <w:pPr>
        <w:keepNext w:val="0"/>
        <w:keepLines w:val="0"/>
        <w:pageBreakBefore w:val="0"/>
        <w:widowControl w:val="0"/>
        <w:kinsoku/>
        <w:wordWrap/>
        <w:overflowPunct/>
        <w:topLinePunct w:val="0"/>
        <w:bidi w:val="0"/>
        <w:snapToGrid w:val="0"/>
        <w:spacing w:line="400" w:lineRule="exact"/>
        <w:ind w:firstLine="387" w:firstLineChars="176"/>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（3）</w:t>
      </w:r>
      <w:r>
        <w:rPr>
          <w:rFonts w:hint="eastAsia" w:ascii="宋体" w:hAnsi="宋体" w:eastAsia="宋体" w:cs="宋体"/>
          <w:color w:val="auto"/>
          <w:sz w:val="22"/>
          <w:szCs w:val="22"/>
          <w:highlight w:val="none"/>
          <w:lang w:val="en-US" w:eastAsia="zh-CN"/>
        </w:rPr>
        <w:t>中标（成交）</w:t>
      </w:r>
      <w:r>
        <w:rPr>
          <w:rFonts w:hint="eastAsia" w:ascii="宋体" w:hAnsi="宋体" w:eastAsia="宋体" w:cs="宋体"/>
          <w:color w:val="auto"/>
          <w:sz w:val="22"/>
          <w:szCs w:val="22"/>
          <w:highlight w:val="none"/>
        </w:rPr>
        <w:t>通知书；</w:t>
      </w:r>
    </w:p>
    <w:p w14:paraId="4D7AC187">
      <w:pPr>
        <w:keepNext w:val="0"/>
        <w:keepLines w:val="0"/>
        <w:pageBreakBefore w:val="0"/>
        <w:widowControl w:val="0"/>
        <w:kinsoku/>
        <w:wordWrap/>
        <w:overflowPunct/>
        <w:topLinePunct w:val="0"/>
        <w:bidi w:val="0"/>
        <w:snapToGrid w:val="0"/>
        <w:spacing w:line="400" w:lineRule="exact"/>
        <w:ind w:firstLine="387" w:firstLineChars="176"/>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（4）国家及行业标准、规范及有关技术资料</w:t>
      </w:r>
    </w:p>
    <w:p w14:paraId="7AAECF2D">
      <w:pPr>
        <w:keepNext w:val="0"/>
        <w:keepLines w:val="0"/>
        <w:pageBreakBefore w:val="0"/>
        <w:widowControl w:val="0"/>
        <w:kinsoku/>
        <w:wordWrap/>
        <w:overflowPunct/>
        <w:topLinePunct w:val="0"/>
        <w:bidi w:val="0"/>
        <w:snapToGrid w:val="0"/>
        <w:spacing w:line="400" w:lineRule="exact"/>
        <w:ind w:firstLine="387" w:firstLineChars="176"/>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eastAsia="zh-CN"/>
        </w:rPr>
        <w:t>（</w:t>
      </w:r>
      <w:r>
        <w:rPr>
          <w:rFonts w:hint="eastAsia" w:ascii="宋体" w:hAnsi="宋体" w:eastAsia="宋体" w:cs="宋体"/>
          <w:color w:val="auto"/>
          <w:sz w:val="22"/>
          <w:szCs w:val="22"/>
          <w:highlight w:val="none"/>
          <w:lang w:val="en-US" w:eastAsia="zh-CN"/>
        </w:rPr>
        <w:t>5</w:t>
      </w:r>
      <w:r>
        <w:rPr>
          <w:rFonts w:hint="eastAsia" w:ascii="宋体" w:hAnsi="宋体" w:eastAsia="宋体" w:cs="宋体"/>
          <w:color w:val="auto"/>
          <w:sz w:val="22"/>
          <w:szCs w:val="22"/>
          <w:highlight w:val="none"/>
          <w:lang w:eastAsia="zh-CN"/>
        </w:rPr>
        <w:t>）</w:t>
      </w:r>
      <w:r>
        <w:rPr>
          <w:rFonts w:hint="eastAsia" w:ascii="宋体" w:hAnsi="宋体" w:eastAsia="宋体" w:cs="宋体"/>
          <w:color w:val="auto"/>
          <w:sz w:val="22"/>
          <w:szCs w:val="22"/>
          <w:highlight w:val="none"/>
          <w:lang w:val="en-US" w:eastAsia="zh-CN"/>
        </w:rPr>
        <w:t>投标文件</w:t>
      </w:r>
      <w:r>
        <w:rPr>
          <w:rFonts w:hint="eastAsia" w:ascii="宋体" w:hAnsi="宋体" w:eastAsia="宋体" w:cs="宋体"/>
          <w:color w:val="auto"/>
          <w:sz w:val="22"/>
          <w:szCs w:val="22"/>
          <w:highlight w:val="none"/>
        </w:rPr>
        <w:t>；</w:t>
      </w:r>
    </w:p>
    <w:p w14:paraId="40C67A8C">
      <w:pPr>
        <w:keepNext w:val="0"/>
        <w:keepLines w:val="0"/>
        <w:pageBreakBefore w:val="0"/>
        <w:widowControl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w:t>
      </w:r>
      <w:r>
        <w:rPr>
          <w:rFonts w:hint="eastAsia" w:ascii="宋体" w:hAnsi="宋体" w:eastAsia="宋体" w:cs="宋体"/>
          <w:color w:val="auto"/>
          <w:sz w:val="22"/>
          <w:szCs w:val="22"/>
          <w:highlight w:val="none"/>
          <w:lang w:val="en-US" w:eastAsia="zh-CN"/>
        </w:rPr>
        <w:t>6</w:t>
      </w:r>
      <w:r>
        <w:rPr>
          <w:rFonts w:hint="eastAsia" w:ascii="宋体" w:hAnsi="宋体" w:eastAsia="宋体" w:cs="宋体"/>
          <w:color w:val="auto"/>
          <w:sz w:val="22"/>
          <w:szCs w:val="22"/>
          <w:highlight w:val="none"/>
        </w:rPr>
        <w:t>）其他合同文件。</w:t>
      </w:r>
    </w:p>
    <w:p w14:paraId="4DFED9B3">
      <w:pPr>
        <w:keepNext w:val="0"/>
        <w:keepLines w:val="0"/>
        <w:pageBreakBefore w:val="0"/>
        <w:widowControl w:val="0"/>
        <w:numPr>
          <w:ilvl w:val="0"/>
          <w:numId w:val="7"/>
        </w:numPr>
        <w:tabs>
          <w:tab w:val="left" w:pos="658"/>
        </w:tabs>
        <w:kinsoku/>
        <w:wordWrap/>
        <w:overflowPunct/>
        <w:topLinePunct w:val="0"/>
        <w:bidi w:val="0"/>
        <w:spacing w:line="400" w:lineRule="exact"/>
        <w:ind w:left="0" w:firstLine="426"/>
        <w:jc w:val="left"/>
        <w:textAlignment w:val="auto"/>
        <w:outlineLvl w:val="3"/>
        <w:rPr>
          <w:rFonts w:hint="eastAsia" w:ascii="宋体" w:hAnsi="宋体" w:eastAsia="宋体" w:cs="宋体"/>
          <w:b/>
          <w:snapToGrid w:val="0"/>
          <w:color w:val="auto"/>
          <w:kern w:val="2"/>
          <w:sz w:val="22"/>
          <w:szCs w:val="22"/>
          <w:highlight w:val="none"/>
          <w:lang w:val="en-US" w:eastAsia="zh-CN" w:bidi="ar-SA"/>
        </w:rPr>
      </w:pPr>
      <w:bookmarkStart w:id="110" w:name="_Toc359838520"/>
      <w:bookmarkStart w:id="111" w:name="_Toc354494032"/>
      <w:bookmarkStart w:id="112" w:name="_Toc359839846"/>
      <w:bookmarkStart w:id="113" w:name="_Toc359839317"/>
      <w:bookmarkStart w:id="114" w:name="_Toc354478273"/>
      <w:bookmarkStart w:id="115" w:name="_Toc359839705"/>
      <w:bookmarkStart w:id="116" w:name="_Toc354478013"/>
      <w:r>
        <w:rPr>
          <w:rFonts w:hint="eastAsia" w:ascii="宋体" w:hAnsi="宋体" w:eastAsia="宋体" w:cs="宋体"/>
          <w:b/>
          <w:snapToGrid w:val="0"/>
          <w:color w:val="auto"/>
          <w:kern w:val="2"/>
          <w:sz w:val="22"/>
          <w:szCs w:val="22"/>
          <w:highlight w:val="none"/>
          <w:lang w:val="en-US" w:eastAsia="zh-CN" w:bidi="ar-SA"/>
        </w:rPr>
        <w:t>合同价款的计算、支付</w:t>
      </w:r>
      <w:bookmarkEnd w:id="110"/>
      <w:bookmarkEnd w:id="111"/>
      <w:bookmarkEnd w:id="112"/>
      <w:bookmarkEnd w:id="113"/>
      <w:bookmarkEnd w:id="114"/>
      <w:bookmarkEnd w:id="115"/>
      <w:bookmarkEnd w:id="116"/>
    </w:p>
    <w:p w14:paraId="3D8316AB">
      <w:pPr>
        <w:keepNext w:val="0"/>
        <w:keepLines w:val="0"/>
        <w:pageBreakBefore w:val="0"/>
        <w:widowControl w:val="0"/>
        <w:kinsoku/>
        <w:wordWrap/>
        <w:overflowPunct/>
        <w:topLinePunct w:val="0"/>
        <w:bidi w:val="0"/>
        <w:spacing w:before="0" w:after="0" w:line="400" w:lineRule="exact"/>
        <w:ind w:firstLine="426"/>
        <w:jc w:val="both"/>
        <w:textAlignment w:val="auto"/>
        <w:outlineLvl w:val="4"/>
        <w:rPr>
          <w:rFonts w:hint="eastAsia" w:ascii="宋体" w:hAnsi="宋体" w:eastAsia="宋体" w:cs="宋体"/>
          <w:b/>
          <w:bCs/>
          <w:snapToGrid w:val="0"/>
          <w:color w:val="auto"/>
          <w:kern w:val="2"/>
          <w:sz w:val="22"/>
          <w:szCs w:val="22"/>
          <w:highlight w:val="none"/>
          <w:lang w:val="en-US" w:eastAsia="zh-CN" w:bidi="ar-SA"/>
        </w:rPr>
      </w:pPr>
      <w:bookmarkStart w:id="117" w:name="_Toc354478274"/>
      <w:bookmarkStart w:id="118" w:name="_Toc354494033"/>
      <w:r>
        <w:rPr>
          <w:rFonts w:hint="eastAsia" w:ascii="宋体" w:hAnsi="宋体" w:eastAsia="宋体" w:cs="宋体"/>
          <w:b/>
          <w:bCs/>
          <w:snapToGrid w:val="0"/>
          <w:color w:val="auto"/>
          <w:kern w:val="2"/>
          <w:sz w:val="22"/>
          <w:szCs w:val="22"/>
          <w:highlight w:val="none"/>
          <w:lang w:val="en-US" w:eastAsia="zh-CN" w:bidi="ar-SA"/>
        </w:rPr>
        <w:t>3.1合同总价款的构成</w:t>
      </w:r>
      <w:bookmarkEnd w:id="117"/>
      <w:bookmarkEnd w:id="118"/>
    </w:p>
    <w:p w14:paraId="3566749E">
      <w:pPr>
        <w:keepNext w:val="0"/>
        <w:keepLines w:val="0"/>
        <w:pageBreakBefore w:val="0"/>
        <w:widowControl/>
        <w:kinsoku/>
        <w:wordWrap/>
        <w:overflowPunct/>
        <w:topLinePunct w:val="0"/>
        <w:bidi w:val="0"/>
        <w:spacing w:line="400" w:lineRule="exact"/>
        <w:ind w:left="420"/>
        <w:textAlignment w:val="auto"/>
        <w:rPr>
          <w:rFonts w:hint="eastAsia" w:ascii="宋体" w:hAnsi="宋体" w:eastAsia="宋体" w:cs="宋体"/>
          <w:bCs w:val="0"/>
          <w:color w:val="auto"/>
          <w:kern w:val="2"/>
          <w:sz w:val="22"/>
          <w:szCs w:val="22"/>
          <w:highlight w:val="none"/>
          <w:lang w:val="en-US" w:eastAsia="zh-CN"/>
        </w:rPr>
      </w:pPr>
      <w:r>
        <w:rPr>
          <w:rFonts w:hint="eastAsia" w:ascii="宋体" w:hAnsi="宋体" w:eastAsia="宋体" w:cs="宋体"/>
          <w:bCs/>
          <w:color w:val="auto"/>
          <w:kern w:val="0"/>
          <w:sz w:val="22"/>
          <w:szCs w:val="22"/>
          <w:highlight w:val="none"/>
          <w:u w:val="none"/>
          <w:lang w:val="en-US" w:eastAsia="zh-CN"/>
        </w:rPr>
        <w:t>农村土地整治</w:t>
      </w:r>
      <w:r>
        <w:rPr>
          <w:rFonts w:hint="eastAsia" w:ascii="宋体" w:hAnsi="宋体" w:cs="宋体"/>
          <w:bCs/>
          <w:color w:val="auto"/>
          <w:kern w:val="0"/>
          <w:sz w:val="22"/>
          <w:szCs w:val="22"/>
          <w:highlight w:val="none"/>
          <w:u w:val="none"/>
          <w:lang w:val="en-US" w:eastAsia="zh-CN"/>
        </w:rPr>
        <w:t>改造、</w:t>
      </w:r>
      <w:r>
        <w:rPr>
          <w:rFonts w:hint="eastAsia" w:ascii="宋体" w:hAnsi="宋体" w:eastAsia="宋体" w:cs="宋体"/>
          <w:bCs/>
          <w:color w:val="auto"/>
          <w:kern w:val="0"/>
          <w:sz w:val="22"/>
          <w:szCs w:val="22"/>
          <w:highlight w:val="none"/>
          <w:u w:val="none"/>
          <w:lang w:val="en-US" w:eastAsia="zh-CN"/>
        </w:rPr>
        <w:t>项目运营等</w:t>
      </w:r>
      <w:r>
        <w:rPr>
          <w:rFonts w:hint="eastAsia" w:ascii="宋体" w:hAnsi="宋体" w:eastAsia="宋体" w:cs="宋体"/>
          <w:bCs w:val="0"/>
          <w:color w:val="auto"/>
          <w:kern w:val="2"/>
          <w:sz w:val="22"/>
          <w:szCs w:val="22"/>
          <w:highlight w:val="none"/>
          <w:lang w:val="en-US" w:eastAsia="zh-CN"/>
        </w:rPr>
        <w:t>。</w:t>
      </w:r>
    </w:p>
    <w:p w14:paraId="3B8A3DE5">
      <w:pPr>
        <w:keepNext w:val="0"/>
        <w:keepLines w:val="0"/>
        <w:pageBreakBefore w:val="0"/>
        <w:widowControl/>
        <w:kinsoku/>
        <w:wordWrap/>
        <w:overflowPunct/>
        <w:topLinePunct w:val="0"/>
        <w:bidi w:val="0"/>
        <w:spacing w:line="400" w:lineRule="exact"/>
        <w:ind w:left="420"/>
        <w:jc w:val="left"/>
        <w:textAlignment w:val="auto"/>
        <w:rPr>
          <w:rFonts w:hint="eastAsia" w:ascii="宋体" w:hAnsi="宋体" w:eastAsia="宋体" w:cs="宋体"/>
          <w:bCs w:val="0"/>
          <w:color w:val="auto"/>
          <w:kern w:val="2"/>
          <w:sz w:val="22"/>
          <w:szCs w:val="22"/>
          <w:highlight w:val="none"/>
          <w:lang w:val="en-US" w:eastAsia="zh-CN"/>
        </w:rPr>
      </w:pPr>
      <w:r>
        <w:rPr>
          <w:rFonts w:hint="eastAsia" w:ascii="宋体" w:hAnsi="宋体" w:eastAsia="宋体" w:cs="宋体"/>
          <w:color w:val="auto"/>
          <w:kern w:val="2"/>
          <w:sz w:val="22"/>
          <w:szCs w:val="22"/>
          <w:highlight w:val="none"/>
          <w:u w:val="none"/>
          <w:lang w:val="en-US" w:eastAsia="zh-CN"/>
        </w:rPr>
        <w:t>乙方</w:t>
      </w:r>
      <w:r>
        <w:rPr>
          <w:rFonts w:hint="eastAsia" w:ascii="宋体" w:hAnsi="宋体" w:eastAsia="宋体" w:cs="宋体"/>
          <w:color w:val="auto"/>
          <w:kern w:val="2"/>
          <w:sz w:val="22"/>
          <w:szCs w:val="22"/>
          <w:highlight w:val="none"/>
          <w:u w:val="none"/>
        </w:rPr>
        <w:t>认为为完成本</w:t>
      </w:r>
      <w:r>
        <w:rPr>
          <w:rFonts w:hint="eastAsia" w:ascii="宋体" w:hAnsi="宋体" w:eastAsia="宋体" w:cs="宋体"/>
          <w:color w:val="auto"/>
          <w:kern w:val="2"/>
          <w:sz w:val="22"/>
          <w:szCs w:val="22"/>
          <w:highlight w:val="none"/>
          <w:u w:val="none"/>
          <w:lang w:val="en-US" w:eastAsia="zh-CN"/>
        </w:rPr>
        <w:t>合同</w:t>
      </w:r>
      <w:r>
        <w:rPr>
          <w:rFonts w:hint="eastAsia" w:ascii="宋体" w:hAnsi="宋体" w:eastAsia="宋体" w:cs="宋体"/>
          <w:color w:val="auto"/>
          <w:kern w:val="2"/>
          <w:sz w:val="22"/>
          <w:szCs w:val="22"/>
          <w:highlight w:val="none"/>
          <w:u w:val="none"/>
        </w:rPr>
        <w:t>规定的项目承包内容所需发生的直接成本、间接成本、利润、税金、政策性文件规定的费用等一切费用均应计入</w:t>
      </w:r>
      <w:r>
        <w:rPr>
          <w:rFonts w:hint="eastAsia" w:ascii="宋体" w:hAnsi="宋体" w:eastAsia="宋体" w:cs="宋体"/>
          <w:color w:val="auto"/>
          <w:kern w:val="2"/>
          <w:sz w:val="22"/>
          <w:szCs w:val="22"/>
          <w:highlight w:val="none"/>
          <w:u w:val="none"/>
          <w:lang w:val="en-US" w:eastAsia="zh-CN"/>
        </w:rPr>
        <w:t>合同价</w:t>
      </w:r>
      <w:r>
        <w:rPr>
          <w:rFonts w:hint="eastAsia" w:ascii="宋体" w:hAnsi="宋体" w:eastAsia="宋体" w:cs="宋体"/>
          <w:color w:val="auto"/>
          <w:kern w:val="2"/>
          <w:sz w:val="22"/>
          <w:szCs w:val="22"/>
          <w:highlight w:val="none"/>
          <w:u w:val="none"/>
        </w:rPr>
        <w:t>；凡未列入的，将被认为均已包含在亩均单价中，今后不得以任何理由追加或调整。</w:t>
      </w:r>
    </w:p>
    <w:p w14:paraId="4A5E676F">
      <w:pPr>
        <w:keepNext w:val="0"/>
        <w:keepLines w:val="0"/>
        <w:pageBreakBefore w:val="0"/>
        <w:widowControl w:val="0"/>
        <w:kinsoku/>
        <w:wordWrap/>
        <w:overflowPunct/>
        <w:topLinePunct w:val="0"/>
        <w:bidi w:val="0"/>
        <w:spacing w:before="0" w:after="0" w:line="400" w:lineRule="exact"/>
        <w:ind w:firstLine="426"/>
        <w:jc w:val="both"/>
        <w:textAlignment w:val="auto"/>
        <w:outlineLvl w:val="4"/>
        <w:rPr>
          <w:rFonts w:hint="eastAsia" w:ascii="宋体" w:hAnsi="宋体" w:eastAsia="宋体" w:cs="宋体"/>
          <w:b/>
          <w:bCs/>
          <w:snapToGrid w:val="0"/>
          <w:color w:val="auto"/>
          <w:kern w:val="2"/>
          <w:sz w:val="22"/>
          <w:szCs w:val="22"/>
          <w:highlight w:val="none"/>
          <w:lang w:val="en-US" w:eastAsia="zh-CN" w:bidi="ar-SA"/>
        </w:rPr>
      </w:pPr>
      <w:r>
        <w:rPr>
          <w:rFonts w:hint="eastAsia" w:ascii="宋体" w:hAnsi="宋体" w:eastAsia="宋体" w:cs="宋体"/>
          <w:b/>
          <w:bCs/>
          <w:snapToGrid w:val="0"/>
          <w:color w:val="auto"/>
          <w:kern w:val="2"/>
          <w:sz w:val="22"/>
          <w:szCs w:val="22"/>
          <w:highlight w:val="none"/>
          <w:lang w:val="en-US" w:eastAsia="zh-CN" w:bidi="ar-SA"/>
        </w:rPr>
        <w:t>3.2合同总价款的支付</w:t>
      </w:r>
    </w:p>
    <w:p w14:paraId="5ED25453">
      <w:pPr>
        <w:keepNext w:val="0"/>
        <w:keepLines w:val="0"/>
        <w:pageBreakBefore w:val="0"/>
        <w:widowControl w:val="0"/>
        <w:tabs>
          <w:tab w:val="left" w:pos="2700"/>
        </w:tabs>
        <w:kinsoku/>
        <w:wordWrap/>
        <w:overflowPunct/>
        <w:topLinePunct w:val="0"/>
        <w:bidi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3.2.1项目支付方式：</w:t>
      </w:r>
    </w:p>
    <w:p w14:paraId="0FF25791">
      <w:pPr>
        <w:pStyle w:val="12"/>
        <w:keepNext w:val="0"/>
        <w:keepLines w:val="0"/>
        <w:pageBreakBefore w:val="0"/>
        <w:widowControl/>
        <w:kinsoku/>
        <w:wordWrap/>
        <w:overflowPunct/>
        <w:topLinePunct w:val="0"/>
        <w:autoSpaceDE/>
        <w:autoSpaceDN/>
        <w:bidi w:val="0"/>
        <w:adjustRightInd w:val="0"/>
        <w:snapToGrid w:val="0"/>
        <w:spacing w:line="400" w:lineRule="exact"/>
        <w:ind w:left="437" w:leftChars="208" w:firstLine="0"/>
        <w:jc w:val="left"/>
        <w:textAlignment w:val="auto"/>
        <w:outlineLvl w:val="0"/>
        <w:rPr>
          <w:rFonts w:hint="eastAsia" w:ascii="宋体" w:hAnsi="宋体" w:eastAsia="宋体" w:cs="宋体"/>
          <w:bCs/>
          <w:color w:val="auto"/>
          <w:kern w:val="0"/>
          <w:sz w:val="22"/>
          <w:szCs w:val="22"/>
          <w:highlight w:val="none"/>
          <w:u w:val="none"/>
          <w:lang w:val="en-US" w:eastAsia="zh-CN"/>
        </w:rPr>
      </w:pPr>
      <w:r>
        <w:rPr>
          <w:rFonts w:hint="eastAsia" w:ascii="宋体" w:hAnsi="宋体" w:eastAsia="宋体" w:cs="宋体"/>
          <w:bCs/>
          <w:color w:val="auto"/>
          <w:kern w:val="0"/>
          <w:sz w:val="22"/>
          <w:szCs w:val="22"/>
          <w:highlight w:val="none"/>
          <w:u w:val="none"/>
          <w:lang w:val="en-US" w:eastAsia="zh-CN"/>
        </w:rPr>
        <w:t>1.</w:t>
      </w:r>
      <w:r>
        <w:rPr>
          <w:rFonts w:hint="eastAsia" w:hAnsi="宋体" w:cs="宋体"/>
          <w:bCs/>
          <w:color w:val="auto"/>
          <w:kern w:val="0"/>
          <w:sz w:val="22"/>
          <w:szCs w:val="22"/>
          <w:highlight w:val="none"/>
          <w:u w:val="none"/>
          <w:lang w:val="en-US" w:eastAsia="zh-CN"/>
        </w:rPr>
        <w:t>改造</w:t>
      </w:r>
      <w:r>
        <w:rPr>
          <w:rFonts w:hint="eastAsia" w:ascii="宋体" w:hAnsi="宋体" w:eastAsia="宋体" w:cs="宋体"/>
          <w:bCs/>
          <w:color w:val="auto"/>
          <w:kern w:val="0"/>
          <w:sz w:val="22"/>
          <w:szCs w:val="22"/>
          <w:highlight w:val="none"/>
          <w:u w:val="none"/>
          <w:lang w:val="en-US" w:eastAsia="zh-CN"/>
        </w:rPr>
        <w:t>实施部分</w:t>
      </w:r>
    </w:p>
    <w:p w14:paraId="2084788D">
      <w:pPr>
        <w:pStyle w:val="12"/>
        <w:keepNext w:val="0"/>
        <w:keepLines w:val="0"/>
        <w:pageBreakBefore w:val="0"/>
        <w:widowControl/>
        <w:kinsoku/>
        <w:wordWrap/>
        <w:overflowPunct/>
        <w:topLinePunct w:val="0"/>
        <w:autoSpaceDE/>
        <w:autoSpaceDN/>
        <w:bidi w:val="0"/>
        <w:adjustRightInd w:val="0"/>
        <w:snapToGrid w:val="0"/>
        <w:spacing w:line="400" w:lineRule="exact"/>
        <w:ind w:firstLine="444" w:firstLineChars="202"/>
        <w:jc w:val="left"/>
        <w:textAlignment w:val="auto"/>
        <w:outlineLvl w:val="0"/>
        <w:rPr>
          <w:rFonts w:ascii="宋体" w:hAnsi="宋体" w:eastAsia="宋体" w:cs="宋体"/>
          <w:bCs/>
          <w:color w:val="auto"/>
          <w:kern w:val="0"/>
          <w:sz w:val="22"/>
          <w:szCs w:val="22"/>
          <w:highlight w:val="none"/>
          <w:u w:val="none"/>
          <w:lang w:val="en-US" w:eastAsia="zh-CN"/>
        </w:rPr>
      </w:pPr>
      <w:r>
        <w:rPr>
          <w:rFonts w:hint="eastAsia" w:ascii="宋体" w:hAnsi="宋体" w:eastAsia="宋体" w:cs="宋体"/>
          <w:bCs/>
          <w:color w:val="auto"/>
          <w:kern w:val="0"/>
          <w:sz w:val="22"/>
          <w:szCs w:val="22"/>
          <w:highlight w:val="none"/>
          <w:u w:val="none"/>
          <w:lang w:val="en-US" w:eastAsia="zh-CN"/>
        </w:rPr>
        <w:t>本部分费用由本项目的建设单位（泰顺县农业农村局）</w:t>
      </w:r>
      <w:r>
        <w:rPr>
          <w:rFonts w:hint="eastAsia" w:hAnsi="宋体" w:cs="宋体"/>
          <w:bCs/>
          <w:color w:val="auto"/>
          <w:kern w:val="0"/>
          <w:sz w:val="22"/>
          <w:szCs w:val="22"/>
          <w:highlight w:val="none"/>
          <w:u w:val="none"/>
          <w:lang w:val="en-US" w:eastAsia="zh-CN"/>
        </w:rPr>
        <w:t>丙方</w:t>
      </w:r>
      <w:r>
        <w:rPr>
          <w:rFonts w:hint="eastAsia" w:ascii="宋体" w:hAnsi="宋体" w:eastAsia="宋体" w:cs="宋体"/>
          <w:bCs/>
          <w:color w:val="auto"/>
          <w:kern w:val="0"/>
          <w:sz w:val="22"/>
          <w:szCs w:val="22"/>
          <w:highlight w:val="none"/>
          <w:u w:val="none"/>
          <w:lang w:val="en-US" w:eastAsia="zh-CN"/>
        </w:rPr>
        <w:t>统一支付给</w:t>
      </w:r>
      <w:r>
        <w:rPr>
          <w:rFonts w:hint="eastAsia" w:hAnsi="宋体" w:cs="宋体"/>
          <w:bCs/>
          <w:color w:val="auto"/>
          <w:kern w:val="0"/>
          <w:sz w:val="22"/>
          <w:szCs w:val="22"/>
          <w:highlight w:val="none"/>
          <w:u w:val="none"/>
          <w:lang w:val="en-US" w:eastAsia="zh-CN"/>
        </w:rPr>
        <w:t>乙方</w:t>
      </w:r>
      <w:r>
        <w:rPr>
          <w:rFonts w:hint="eastAsia" w:ascii="宋体" w:hAnsi="宋体" w:eastAsia="宋体" w:cs="宋体"/>
          <w:bCs/>
          <w:color w:val="auto"/>
          <w:kern w:val="0"/>
          <w:sz w:val="22"/>
          <w:szCs w:val="22"/>
          <w:highlight w:val="none"/>
          <w:u w:val="none"/>
          <w:lang w:val="en-US" w:eastAsia="zh-CN"/>
        </w:rPr>
        <w:t>。</w:t>
      </w:r>
    </w:p>
    <w:p w14:paraId="58F94693">
      <w:pPr>
        <w:pStyle w:val="12"/>
        <w:keepNext w:val="0"/>
        <w:keepLines w:val="0"/>
        <w:pageBreakBefore w:val="0"/>
        <w:widowControl/>
        <w:kinsoku/>
        <w:wordWrap/>
        <w:overflowPunct/>
        <w:topLinePunct w:val="0"/>
        <w:autoSpaceDE/>
        <w:autoSpaceDN/>
        <w:bidi w:val="0"/>
        <w:adjustRightInd w:val="0"/>
        <w:snapToGrid w:val="0"/>
        <w:spacing w:line="400" w:lineRule="exact"/>
        <w:ind w:firstLine="444" w:firstLineChars="202"/>
        <w:jc w:val="left"/>
        <w:textAlignment w:val="auto"/>
        <w:outlineLvl w:val="0"/>
        <w:rPr>
          <w:rFonts w:hint="eastAsia" w:ascii="宋体" w:hAnsi="宋体" w:eastAsia="宋体" w:cs="宋体"/>
          <w:bCs/>
          <w:color w:val="auto"/>
          <w:kern w:val="0"/>
          <w:sz w:val="22"/>
          <w:szCs w:val="22"/>
          <w:highlight w:val="none"/>
          <w:u w:val="none"/>
          <w:lang w:val="en-US" w:eastAsia="zh-CN"/>
        </w:rPr>
      </w:pPr>
      <w:r>
        <w:rPr>
          <w:rFonts w:hint="eastAsia" w:ascii="宋体" w:hAnsi="宋体" w:eastAsia="宋体" w:cs="宋体"/>
          <w:bCs/>
          <w:color w:val="auto"/>
          <w:kern w:val="0"/>
          <w:sz w:val="22"/>
          <w:szCs w:val="22"/>
          <w:highlight w:val="none"/>
          <w:u w:val="none"/>
          <w:lang w:val="en-US" w:eastAsia="zh-CN"/>
        </w:rPr>
        <w:t>1.1预付款</w:t>
      </w:r>
    </w:p>
    <w:p w14:paraId="6AB8CEDD">
      <w:pPr>
        <w:pStyle w:val="12"/>
        <w:keepNext w:val="0"/>
        <w:keepLines w:val="0"/>
        <w:pageBreakBefore w:val="0"/>
        <w:widowControl/>
        <w:kinsoku/>
        <w:wordWrap/>
        <w:overflowPunct/>
        <w:topLinePunct w:val="0"/>
        <w:autoSpaceDE/>
        <w:autoSpaceDN/>
        <w:bidi w:val="0"/>
        <w:adjustRightInd w:val="0"/>
        <w:snapToGrid w:val="0"/>
        <w:spacing w:line="400" w:lineRule="exact"/>
        <w:ind w:firstLine="444" w:firstLineChars="202"/>
        <w:jc w:val="left"/>
        <w:textAlignment w:val="auto"/>
        <w:outlineLvl w:val="0"/>
        <w:rPr>
          <w:rFonts w:hint="eastAsia" w:ascii="宋体" w:hAnsi="宋体" w:eastAsia="宋体" w:cs="宋体"/>
          <w:bCs/>
          <w:color w:val="auto"/>
          <w:kern w:val="0"/>
          <w:sz w:val="22"/>
          <w:szCs w:val="22"/>
          <w:highlight w:val="none"/>
          <w:u w:val="none"/>
          <w:lang w:val="en-US" w:eastAsia="zh-CN"/>
        </w:rPr>
      </w:pPr>
      <w:r>
        <w:rPr>
          <w:rFonts w:hint="eastAsia" w:ascii="宋体" w:hAnsi="宋体" w:eastAsia="宋体" w:cs="宋体"/>
          <w:bCs/>
          <w:color w:val="auto"/>
          <w:kern w:val="0"/>
          <w:sz w:val="22"/>
          <w:szCs w:val="22"/>
          <w:highlight w:val="none"/>
          <w:u w:val="none"/>
          <w:lang w:val="en-US" w:eastAsia="zh-CN"/>
        </w:rPr>
        <w:t>1.1.2 预付款的支付</w:t>
      </w:r>
    </w:p>
    <w:p w14:paraId="2886359C">
      <w:pPr>
        <w:pStyle w:val="12"/>
        <w:keepNext w:val="0"/>
        <w:keepLines w:val="0"/>
        <w:pageBreakBefore w:val="0"/>
        <w:widowControl/>
        <w:kinsoku/>
        <w:wordWrap/>
        <w:overflowPunct/>
        <w:topLinePunct w:val="0"/>
        <w:autoSpaceDE/>
        <w:autoSpaceDN/>
        <w:bidi w:val="0"/>
        <w:adjustRightInd w:val="0"/>
        <w:snapToGrid w:val="0"/>
        <w:spacing w:line="400" w:lineRule="exact"/>
        <w:ind w:firstLine="444" w:firstLineChars="202"/>
        <w:jc w:val="left"/>
        <w:textAlignment w:val="auto"/>
        <w:outlineLvl w:val="0"/>
        <w:rPr>
          <w:rFonts w:hint="eastAsia" w:ascii="宋体" w:hAnsi="宋体" w:eastAsia="宋体" w:cs="宋体"/>
          <w:bCs/>
          <w:color w:val="auto"/>
          <w:kern w:val="0"/>
          <w:sz w:val="22"/>
          <w:szCs w:val="22"/>
          <w:highlight w:val="none"/>
          <w:u w:val="none"/>
          <w:lang w:val="en-US" w:eastAsia="zh-CN"/>
        </w:rPr>
      </w:pPr>
      <w:r>
        <w:rPr>
          <w:rFonts w:hint="eastAsia" w:ascii="宋体" w:hAnsi="宋体" w:eastAsia="宋体" w:cs="宋体"/>
          <w:bCs/>
          <w:color w:val="auto"/>
          <w:kern w:val="0"/>
          <w:sz w:val="22"/>
          <w:szCs w:val="22"/>
          <w:highlight w:val="none"/>
          <w:u w:val="none"/>
          <w:lang w:val="en-US" w:eastAsia="zh-CN"/>
        </w:rPr>
        <w:t>预付款支付比例或金额：合同价款总额的30%(由</w:t>
      </w:r>
      <w:r>
        <w:rPr>
          <w:rFonts w:hint="eastAsia" w:hAnsi="宋体" w:cs="宋体"/>
          <w:bCs/>
          <w:color w:val="auto"/>
          <w:kern w:val="0"/>
          <w:sz w:val="22"/>
          <w:szCs w:val="22"/>
          <w:highlight w:val="none"/>
          <w:u w:val="none"/>
          <w:lang w:val="en-US" w:eastAsia="zh-CN"/>
        </w:rPr>
        <w:t>丙方</w:t>
      </w:r>
      <w:r>
        <w:rPr>
          <w:rFonts w:hint="eastAsia" w:ascii="宋体" w:hAnsi="宋体" w:eastAsia="宋体" w:cs="宋体"/>
          <w:bCs/>
          <w:color w:val="auto"/>
          <w:kern w:val="0"/>
          <w:sz w:val="22"/>
          <w:szCs w:val="22"/>
          <w:highlight w:val="none"/>
          <w:u w:val="none"/>
          <w:lang w:val="en-US" w:eastAsia="zh-CN"/>
        </w:rPr>
        <w:t>根据项目实际情况及资金情况分批支付)。</w:t>
      </w:r>
    </w:p>
    <w:p w14:paraId="7EB7D1F9">
      <w:pPr>
        <w:pStyle w:val="12"/>
        <w:keepNext w:val="0"/>
        <w:keepLines w:val="0"/>
        <w:pageBreakBefore w:val="0"/>
        <w:widowControl/>
        <w:kinsoku/>
        <w:wordWrap/>
        <w:overflowPunct/>
        <w:topLinePunct w:val="0"/>
        <w:autoSpaceDE/>
        <w:autoSpaceDN/>
        <w:bidi w:val="0"/>
        <w:adjustRightInd w:val="0"/>
        <w:snapToGrid w:val="0"/>
        <w:spacing w:line="400" w:lineRule="exact"/>
        <w:ind w:firstLine="444" w:firstLineChars="202"/>
        <w:jc w:val="left"/>
        <w:textAlignment w:val="auto"/>
        <w:outlineLvl w:val="0"/>
        <w:rPr>
          <w:rFonts w:hint="eastAsia" w:ascii="宋体" w:hAnsi="宋体" w:eastAsia="宋体" w:cs="宋体"/>
          <w:bCs/>
          <w:color w:val="auto"/>
          <w:kern w:val="0"/>
          <w:sz w:val="22"/>
          <w:szCs w:val="22"/>
          <w:highlight w:val="none"/>
          <w:u w:val="none"/>
          <w:lang w:val="en-US" w:eastAsia="zh-CN"/>
        </w:rPr>
      </w:pPr>
      <w:r>
        <w:rPr>
          <w:rFonts w:hint="eastAsia" w:ascii="宋体" w:hAnsi="宋体" w:eastAsia="宋体" w:cs="宋体"/>
          <w:bCs/>
          <w:color w:val="auto"/>
          <w:kern w:val="0"/>
          <w:sz w:val="22"/>
          <w:szCs w:val="22"/>
          <w:highlight w:val="none"/>
          <w:u w:val="none"/>
          <w:lang w:val="en-US" w:eastAsia="zh-CN"/>
        </w:rPr>
        <w:t>预付款支付期限：合同生效后，主要人员、机械设备进场并经本项目建设单位（丙方）、甲方、监理单位确认后，丙方向乙方预付合同价款总额的30%。</w:t>
      </w:r>
    </w:p>
    <w:p w14:paraId="0B9ADC7C">
      <w:pPr>
        <w:pStyle w:val="12"/>
        <w:keepNext w:val="0"/>
        <w:keepLines w:val="0"/>
        <w:pageBreakBefore w:val="0"/>
        <w:widowControl/>
        <w:kinsoku/>
        <w:wordWrap/>
        <w:overflowPunct/>
        <w:topLinePunct w:val="0"/>
        <w:autoSpaceDE/>
        <w:autoSpaceDN/>
        <w:bidi w:val="0"/>
        <w:adjustRightInd w:val="0"/>
        <w:snapToGrid w:val="0"/>
        <w:spacing w:line="400" w:lineRule="exact"/>
        <w:ind w:firstLine="444" w:firstLineChars="202"/>
        <w:jc w:val="left"/>
        <w:textAlignment w:val="auto"/>
        <w:outlineLvl w:val="0"/>
        <w:rPr>
          <w:rFonts w:hint="eastAsia" w:ascii="宋体" w:hAnsi="宋体" w:eastAsia="宋体" w:cs="宋体"/>
          <w:bCs/>
          <w:color w:val="auto"/>
          <w:kern w:val="0"/>
          <w:sz w:val="22"/>
          <w:szCs w:val="22"/>
          <w:highlight w:val="none"/>
          <w:u w:val="none"/>
          <w:lang w:val="en-US" w:eastAsia="zh-CN"/>
        </w:rPr>
      </w:pPr>
      <w:r>
        <w:rPr>
          <w:rFonts w:hint="eastAsia" w:ascii="宋体" w:hAnsi="宋体" w:eastAsia="宋体" w:cs="宋体"/>
          <w:bCs/>
          <w:color w:val="auto"/>
          <w:kern w:val="0"/>
          <w:sz w:val="22"/>
          <w:szCs w:val="22"/>
          <w:highlight w:val="none"/>
          <w:u w:val="none"/>
          <w:lang w:val="en-US" w:eastAsia="zh-CN"/>
        </w:rPr>
        <w:t>预付款扣回的方式：从第二个月起按工程进度比例逐月扣回，扣完为止。</w:t>
      </w:r>
    </w:p>
    <w:p w14:paraId="04947879">
      <w:pPr>
        <w:pStyle w:val="12"/>
        <w:keepNext w:val="0"/>
        <w:keepLines w:val="0"/>
        <w:pageBreakBefore w:val="0"/>
        <w:widowControl/>
        <w:kinsoku/>
        <w:wordWrap/>
        <w:overflowPunct/>
        <w:topLinePunct w:val="0"/>
        <w:autoSpaceDE/>
        <w:autoSpaceDN/>
        <w:bidi w:val="0"/>
        <w:adjustRightInd w:val="0"/>
        <w:snapToGrid w:val="0"/>
        <w:spacing w:line="400" w:lineRule="exact"/>
        <w:ind w:firstLine="444" w:firstLineChars="202"/>
        <w:jc w:val="left"/>
        <w:textAlignment w:val="auto"/>
        <w:outlineLvl w:val="0"/>
        <w:rPr>
          <w:rFonts w:hint="eastAsia" w:ascii="宋体" w:hAnsi="宋体" w:eastAsia="宋体" w:cs="宋体"/>
          <w:bCs/>
          <w:color w:val="auto"/>
          <w:kern w:val="0"/>
          <w:sz w:val="22"/>
          <w:szCs w:val="22"/>
          <w:highlight w:val="none"/>
          <w:u w:val="none"/>
          <w:lang w:val="en-US" w:eastAsia="zh-CN"/>
        </w:rPr>
      </w:pPr>
      <w:r>
        <w:rPr>
          <w:rFonts w:hint="eastAsia" w:ascii="宋体" w:hAnsi="宋体" w:eastAsia="宋体" w:cs="宋体"/>
          <w:bCs/>
          <w:color w:val="auto"/>
          <w:kern w:val="0"/>
          <w:sz w:val="22"/>
          <w:szCs w:val="22"/>
          <w:highlight w:val="none"/>
          <w:u w:val="none"/>
          <w:lang w:val="en-US" w:eastAsia="zh-CN"/>
        </w:rPr>
        <w:t>发包人支付进度款的期限：期限按通用条款执行；</w:t>
      </w:r>
      <w:r>
        <w:rPr>
          <w:rFonts w:hint="eastAsia" w:hAnsi="宋体" w:cs="宋体"/>
          <w:bCs/>
          <w:color w:val="auto"/>
          <w:kern w:val="0"/>
          <w:sz w:val="22"/>
          <w:szCs w:val="22"/>
          <w:highlight w:val="none"/>
          <w:u w:val="none"/>
          <w:lang w:val="en-US" w:eastAsia="zh-CN"/>
        </w:rPr>
        <w:t>乙方</w:t>
      </w:r>
      <w:r>
        <w:rPr>
          <w:rFonts w:hint="eastAsia" w:ascii="宋体" w:hAnsi="宋体" w:eastAsia="宋体" w:cs="宋体"/>
          <w:bCs/>
          <w:color w:val="auto"/>
          <w:kern w:val="0"/>
          <w:sz w:val="22"/>
          <w:szCs w:val="22"/>
          <w:highlight w:val="none"/>
          <w:u w:val="none"/>
          <w:lang w:val="en-US" w:eastAsia="zh-CN"/>
        </w:rPr>
        <w:t>每月25日前提交已完成合格工程量月报表，作为工程价款支付的依据。</w:t>
      </w:r>
    </w:p>
    <w:p w14:paraId="10268835">
      <w:pPr>
        <w:pStyle w:val="12"/>
        <w:keepNext w:val="0"/>
        <w:keepLines w:val="0"/>
        <w:pageBreakBefore w:val="0"/>
        <w:widowControl/>
        <w:kinsoku/>
        <w:wordWrap/>
        <w:overflowPunct/>
        <w:topLinePunct w:val="0"/>
        <w:autoSpaceDE/>
        <w:autoSpaceDN/>
        <w:bidi w:val="0"/>
        <w:adjustRightInd w:val="0"/>
        <w:snapToGrid w:val="0"/>
        <w:spacing w:line="400" w:lineRule="exact"/>
        <w:ind w:firstLine="444" w:firstLineChars="202"/>
        <w:jc w:val="left"/>
        <w:textAlignment w:val="auto"/>
        <w:outlineLvl w:val="0"/>
        <w:rPr>
          <w:rFonts w:hint="eastAsia" w:ascii="宋体" w:hAnsi="宋体" w:eastAsia="宋体" w:cs="宋体"/>
          <w:bCs/>
          <w:color w:val="auto"/>
          <w:kern w:val="0"/>
          <w:sz w:val="22"/>
          <w:szCs w:val="22"/>
          <w:highlight w:val="none"/>
          <w:u w:val="none"/>
          <w:lang w:val="en-US" w:eastAsia="zh-CN"/>
        </w:rPr>
      </w:pPr>
      <w:r>
        <w:rPr>
          <w:rFonts w:hint="eastAsia" w:ascii="宋体" w:hAnsi="宋体" w:eastAsia="宋体" w:cs="宋体"/>
          <w:bCs/>
          <w:color w:val="auto"/>
          <w:kern w:val="0"/>
          <w:sz w:val="22"/>
          <w:szCs w:val="22"/>
          <w:highlight w:val="none"/>
          <w:u w:val="none"/>
          <w:lang w:val="en-US" w:eastAsia="zh-CN"/>
        </w:rPr>
        <w:t>支付金额经监理单位签发和建设单位（丙方）、甲方审核后，丙方向乙方支付经核实的工程款，支付比例为审核签发后工程量造价的85%，当本工程进度款支付至合同价的85%时，将停止支付工程进度款。待</w:t>
      </w:r>
      <w:r>
        <w:rPr>
          <w:rFonts w:hint="eastAsia" w:hAnsi="宋体" w:cs="宋体"/>
          <w:bCs/>
          <w:color w:val="auto"/>
          <w:kern w:val="0"/>
          <w:sz w:val="22"/>
          <w:szCs w:val="22"/>
          <w:highlight w:val="none"/>
          <w:u w:val="none"/>
          <w:lang w:val="en-US" w:eastAsia="zh-CN"/>
        </w:rPr>
        <w:t>宜机化改造部分</w:t>
      </w:r>
      <w:r>
        <w:rPr>
          <w:rFonts w:hint="eastAsia" w:ascii="宋体" w:hAnsi="宋体" w:eastAsia="宋体" w:cs="宋体"/>
          <w:bCs/>
          <w:color w:val="auto"/>
          <w:kern w:val="0"/>
          <w:sz w:val="22"/>
          <w:szCs w:val="22"/>
          <w:highlight w:val="none"/>
          <w:u w:val="none"/>
          <w:lang w:val="en-US" w:eastAsia="zh-CN"/>
        </w:rPr>
        <w:t>项目竣工验收合格后并办理竣工结算，经相关单位审定并经城建档案馆备案，付至最终审定价款的98.5%后，扣留结算造价1.5%保修金。缺陷责任期满，经验收无缺陷后，全部质量保修金一次性退还（质量保修金不计息）。</w:t>
      </w:r>
    </w:p>
    <w:p w14:paraId="0F6C97C5">
      <w:pPr>
        <w:pStyle w:val="12"/>
        <w:keepNext w:val="0"/>
        <w:keepLines w:val="0"/>
        <w:pageBreakBefore w:val="0"/>
        <w:widowControl/>
        <w:kinsoku/>
        <w:wordWrap/>
        <w:overflowPunct/>
        <w:topLinePunct w:val="0"/>
        <w:autoSpaceDE/>
        <w:autoSpaceDN/>
        <w:bidi w:val="0"/>
        <w:adjustRightInd w:val="0"/>
        <w:snapToGrid w:val="0"/>
        <w:spacing w:line="400" w:lineRule="exact"/>
        <w:ind w:firstLine="444" w:firstLineChars="202"/>
        <w:jc w:val="left"/>
        <w:textAlignment w:val="auto"/>
        <w:outlineLvl w:val="0"/>
        <w:rPr>
          <w:rFonts w:hint="eastAsia" w:ascii="宋体" w:hAnsi="宋体" w:eastAsia="宋体" w:cs="宋体"/>
          <w:bCs w:val="0"/>
          <w:color w:val="auto"/>
          <w:kern w:val="2"/>
          <w:sz w:val="22"/>
          <w:szCs w:val="22"/>
          <w:highlight w:val="none"/>
        </w:rPr>
      </w:pPr>
      <w:r>
        <w:rPr>
          <w:rFonts w:hint="eastAsia" w:ascii="宋体" w:hAnsi="宋体" w:eastAsia="宋体" w:cs="宋体"/>
          <w:bCs/>
          <w:color w:val="auto"/>
          <w:kern w:val="0"/>
          <w:sz w:val="22"/>
          <w:szCs w:val="22"/>
          <w:highlight w:val="none"/>
          <w:u w:val="none"/>
          <w:lang w:val="en-US" w:eastAsia="zh-CN"/>
        </w:rPr>
        <w:t>2.说明:（1）对于满足合同支付约定条件的，</w:t>
      </w:r>
      <w:r>
        <w:rPr>
          <w:rFonts w:hint="eastAsia" w:hAnsi="宋体" w:cs="宋体"/>
          <w:bCs/>
          <w:color w:val="auto"/>
          <w:kern w:val="0"/>
          <w:sz w:val="22"/>
          <w:szCs w:val="22"/>
          <w:highlight w:val="none"/>
          <w:u w:val="none"/>
          <w:lang w:val="en-US" w:eastAsia="zh-CN"/>
        </w:rPr>
        <w:t>丙方</w:t>
      </w:r>
      <w:r>
        <w:rPr>
          <w:rFonts w:hint="eastAsia" w:ascii="宋体" w:hAnsi="宋体" w:eastAsia="宋体" w:cs="宋体"/>
          <w:bCs/>
          <w:color w:val="auto"/>
          <w:kern w:val="0"/>
          <w:sz w:val="22"/>
          <w:szCs w:val="22"/>
          <w:highlight w:val="none"/>
          <w:u w:val="none"/>
          <w:lang w:val="en-US" w:eastAsia="zh-CN"/>
        </w:rPr>
        <w:t>于收到</w:t>
      </w:r>
      <w:r>
        <w:rPr>
          <w:rFonts w:hint="eastAsia" w:hAnsi="宋体" w:cs="宋体"/>
          <w:bCs/>
          <w:color w:val="auto"/>
          <w:kern w:val="0"/>
          <w:sz w:val="22"/>
          <w:szCs w:val="22"/>
          <w:highlight w:val="none"/>
          <w:u w:val="none"/>
          <w:lang w:val="en-US" w:eastAsia="zh-CN"/>
        </w:rPr>
        <w:t>乙方</w:t>
      </w:r>
      <w:r>
        <w:rPr>
          <w:rFonts w:hint="eastAsia" w:ascii="宋体" w:hAnsi="宋体" w:eastAsia="宋体" w:cs="宋体"/>
          <w:bCs/>
          <w:color w:val="auto"/>
          <w:kern w:val="0"/>
          <w:sz w:val="22"/>
          <w:szCs w:val="22"/>
          <w:highlight w:val="none"/>
          <w:u w:val="none"/>
          <w:lang w:val="en-US" w:eastAsia="zh-CN"/>
        </w:rPr>
        <w:t>开具的正式税务发票后15日内予以支付相应合同价款。（2）若为联合体中标的，本项目所有费用拨付至</w:t>
      </w:r>
      <w:r>
        <w:rPr>
          <w:rFonts w:hint="eastAsia" w:hAnsi="宋体" w:cs="宋体"/>
          <w:bCs/>
          <w:color w:val="auto"/>
          <w:kern w:val="0"/>
          <w:sz w:val="22"/>
          <w:szCs w:val="22"/>
          <w:highlight w:val="none"/>
          <w:u w:val="none"/>
          <w:lang w:val="en-US" w:eastAsia="zh-CN"/>
        </w:rPr>
        <w:t>乙方</w:t>
      </w:r>
      <w:r>
        <w:rPr>
          <w:rFonts w:hint="eastAsia" w:ascii="宋体" w:hAnsi="宋体" w:eastAsia="宋体" w:cs="宋体"/>
          <w:bCs/>
          <w:color w:val="auto"/>
          <w:kern w:val="0"/>
          <w:sz w:val="22"/>
          <w:szCs w:val="22"/>
          <w:highlight w:val="none"/>
          <w:u w:val="none"/>
          <w:lang w:val="en-US" w:eastAsia="zh-CN"/>
        </w:rPr>
        <w:t>牵头人基本账户</w:t>
      </w:r>
      <w:r>
        <w:rPr>
          <w:rFonts w:hint="eastAsia" w:ascii="宋体" w:hAnsi="宋体" w:eastAsia="宋体" w:cs="宋体"/>
          <w:bCs w:val="0"/>
          <w:color w:val="auto"/>
          <w:kern w:val="2"/>
          <w:sz w:val="22"/>
          <w:szCs w:val="22"/>
          <w:highlight w:val="none"/>
        </w:rPr>
        <w:t>。</w:t>
      </w:r>
    </w:p>
    <w:p w14:paraId="7582CFA1">
      <w:pPr>
        <w:keepNext w:val="0"/>
        <w:keepLines w:val="0"/>
        <w:pageBreakBefore w:val="0"/>
        <w:widowControl w:val="0"/>
        <w:kinsoku/>
        <w:wordWrap/>
        <w:overflowPunct/>
        <w:topLinePunct w:val="0"/>
        <w:bidi w:val="0"/>
        <w:spacing w:before="0" w:after="0" w:line="400" w:lineRule="exact"/>
        <w:ind w:firstLine="426"/>
        <w:jc w:val="both"/>
        <w:textAlignment w:val="auto"/>
        <w:outlineLvl w:val="4"/>
        <w:rPr>
          <w:rFonts w:hint="eastAsia" w:ascii="宋体" w:hAnsi="宋体" w:eastAsia="宋体" w:cs="宋体"/>
          <w:b/>
          <w:bCs/>
          <w:snapToGrid w:val="0"/>
          <w:color w:val="auto"/>
          <w:kern w:val="2"/>
          <w:sz w:val="22"/>
          <w:szCs w:val="22"/>
          <w:highlight w:val="none"/>
          <w:lang w:val="en-US" w:eastAsia="zh-CN" w:bidi="ar-SA"/>
        </w:rPr>
      </w:pPr>
      <w:r>
        <w:rPr>
          <w:rFonts w:hint="eastAsia" w:ascii="宋体" w:hAnsi="宋体" w:eastAsia="宋体" w:cs="宋体"/>
          <w:b/>
          <w:bCs/>
          <w:snapToGrid w:val="0"/>
          <w:color w:val="auto"/>
          <w:kern w:val="2"/>
          <w:sz w:val="22"/>
          <w:szCs w:val="22"/>
          <w:highlight w:val="none"/>
          <w:lang w:val="en-US" w:eastAsia="zh-CN" w:bidi="ar-SA"/>
        </w:rPr>
        <w:t>3.3税费</w:t>
      </w:r>
    </w:p>
    <w:p w14:paraId="3B4D6ECC">
      <w:pPr>
        <w:keepNext w:val="0"/>
        <w:keepLines w:val="0"/>
        <w:pageBreakBefore w:val="0"/>
        <w:widowControl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本项目可能涉及的相关税费由</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自行考虑计入合同总价。</w:t>
      </w:r>
    </w:p>
    <w:p w14:paraId="4C439038">
      <w:pPr>
        <w:keepNext w:val="0"/>
        <w:keepLines w:val="0"/>
        <w:pageBreakBefore w:val="0"/>
        <w:widowControl w:val="0"/>
        <w:kinsoku/>
        <w:wordWrap/>
        <w:overflowPunct/>
        <w:topLinePunct w:val="0"/>
        <w:bidi w:val="0"/>
        <w:spacing w:before="0" w:after="0" w:line="400" w:lineRule="exact"/>
        <w:ind w:firstLine="426"/>
        <w:jc w:val="both"/>
        <w:textAlignment w:val="auto"/>
        <w:outlineLvl w:val="4"/>
        <w:rPr>
          <w:rFonts w:hint="eastAsia" w:ascii="宋体" w:hAnsi="宋体" w:eastAsia="宋体" w:cs="宋体"/>
          <w:b/>
          <w:bCs/>
          <w:snapToGrid w:val="0"/>
          <w:color w:val="auto"/>
          <w:kern w:val="2"/>
          <w:sz w:val="22"/>
          <w:szCs w:val="22"/>
          <w:highlight w:val="none"/>
          <w:lang w:val="en-US" w:eastAsia="zh-CN" w:bidi="ar-SA"/>
        </w:rPr>
      </w:pPr>
      <w:r>
        <w:rPr>
          <w:rFonts w:hint="eastAsia" w:ascii="宋体" w:hAnsi="宋体" w:eastAsia="宋体" w:cs="宋体"/>
          <w:b/>
          <w:bCs/>
          <w:snapToGrid w:val="0"/>
          <w:color w:val="auto"/>
          <w:kern w:val="2"/>
          <w:sz w:val="22"/>
          <w:szCs w:val="22"/>
          <w:highlight w:val="none"/>
          <w:lang w:val="en-US" w:eastAsia="zh-CN" w:bidi="ar-SA"/>
        </w:rPr>
        <w:t>3.4履约保证金</w:t>
      </w:r>
    </w:p>
    <w:p w14:paraId="3A969F39">
      <w:pPr>
        <w:pStyle w:val="12"/>
        <w:keepNext w:val="0"/>
        <w:keepLines w:val="0"/>
        <w:pageBreakBefore w:val="0"/>
        <w:widowControl/>
        <w:kinsoku/>
        <w:wordWrap/>
        <w:overflowPunct/>
        <w:topLinePunct w:val="0"/>
        <w:autoSpaceDE/>
        <w:autoSpaceDN/>
        <w:bidi w:val="0"/>
        <w:adjustRightInd w:val="0"/>
        <w:snapToGrid w:val="0"/>
        <w:spacing w:line="400" w:lineRule="exact"/>
        <w:ind w:firstLine="444" w:firstLineChars="202"/>
        <w:jc w:val="left"/>
        <w:textAlignment w:val="auto"/>
        <w:outlineLvl w:val="0"/>
        <w:rPr>
          <w:rFonts w:hint="eastAsia" w:ascii="宋体" w:hAnsi="宋体" w:eastAsia="宋体" w:cs="宋体"/>
          <w:bCs/>
          <w:color w:val="auto"/>
          <w:kern w:val="0"/>
          <w:sz w:val="22"/>
          <w:szCs w:val="22"/>
          <w:highlight w:val="none"/>
          <w:u w:val="none"/>
          <w:lang w:val="en-US" w:eastAsia="zh-CN"/>
        </w:rPr>
      </w:pPr>
      <w:r>
        <w:rPr>
          <w:rFonts w:hint="eastAsia" w:hAnsi="宋体" w:cs="宋体"/>
          <w:color w:val="auto"/>
          <w:kern w:val="0"/>
          <w:sz w:val="22"/>
          <w:highlight w:val="none"/>
          <w:lang w:val="en-US" w:eastAsia="zh-CN"/>
        </w:rPr>
        <w:t>乙方</w:t>
      </w:r>
      <w:r>
        <w:rPr>
          <w:rFonts w:hint="eastAsia" w:ascii="宋体" w:hAnsi="宋体" w:cs="宋体"/>
          <w:color w:val="auto"/>
          <w:kern w:val="0"/>
          <w:sz w:val="22"/>
          <w:highlight w:val="none"/>
          <w:lang w:eastAsia="zh-CN"/>
        </w:rPr>
        <w:t>须在签订合同后5个工作日内向</w:t>
      </w:r>
      <w:r>
        <w:rPr>
          <w:rFonts w:hint="eastAsia" w:hAnsi="宋体" w:cs="宋体"/>
          <w:color w:val="auto"/>
          <w:kern w:val="0"/>
          <w:sz w:val="22"/>
          <w:highlight w:val="none"/>
          <w:lang w:val="en-US" w:eastAsia="zh-CN"/>
        </w:rPr>
        <w:t>丙方</w:t>
      </w:r>
      <w:r>
        <w:rPr>
          <w:rFonts w:hint="eastAsia" w:ascii="宋体" w:hAnsi="宋体" w:cs="宋体"/>
          <w:color w:val="auto"/>
          <w:kern w:val="0"/>
          <w:sz w:val="22"/>
          <w:highlight w:val="none"/>
          <w:lang w:eastAsia="zh-CN"/>
        </w:rPr>
        <w:t>提交合同金额1%的履约保证金（履约保证金可以是银行保函、转账支票、银行汇票等方式缴纳）</w:t>
      </w:r>
      <w:r>
        <w:rPr>
          <w:rFonts w:hint="eastAsia" w:ascii="宋体" w:hAnsi="宋体" w:eastAsia="宋体" w:cs="宋体"/>
          <w:bCs/>
          <w:color w:val="auto"/>
          <w:kern w:val="0"/>
          <w:sz w:val="22"/>
          <w:szCs w:val="22"/>
          <w:highlight w:val="none"/>
          <w:u w:val="none"/>
          <w:lang w:val="en-US" w:eastAsia="zh-CN"/>
        </w:rPr>
        <w:t>。</w:t>
      </w:r>
    </w:p>
    <w:p w14:paraId="66BD4295">
      <w:pPr>
        <w:keepNext w:val="0"/>
        <w:keepLines w:val="0"/>
        <w:pageBreakBefore w:val="0"/>
        <w:widowControl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bCs/>
          <w:color w:val="auto"/>
          <w:kern w:val="0"/>
          <w:sz w:val="22"/>
          <w:szCs w:val="22"/>
          <w:highlight w:val="none"/>
          <w:u w:val="none"/>
          <w:lang w:val="en-US" w:eastAsia="zh-CN"/>
        </w:rPr>
        <w:t>保函应满足以下几个条件：①保函期限：担保有效期自</w:t>
      </w:r>
      <w:r>
        <w:rPr>
          <w:rFonts w:hint="eastAsia" w:hAnsi="宋体" w:cs="宋体"/>
          <w:bCs/>
          <w:color w:val="auto"/>
          <w:kern w:val="0"/>
          <w:sz w:val="22"/>
          <w:szCs w:val="22"/>
          <w:highlight w:val="none"/>
          <w:u w:val="none"/>
          <w:lang w:val="en-US" w:eastAsia="zh-CN"/>
        </w:rPr>
        <w:t>甲方、丙方</w:t>
      </w:r>
      <w:r>
        <w:rPr>
          <w:rFonts w:hint="eastAsia" w:ascii="宋体" w:hAnsi="宋体" w:eastAsia="宋体" w:cs="宋体"/>
          <w:bCs/>
          <w:color w:val="auto"/>
          <w:kern w:val="0"/>
          <w:sz w:val="22"/>
          <w:szCs w:val="22"/>
          <w:highlight w:val="none"/>
          <w:u w:val="none"/>
          <w:lang w:val="en-US" w:eastAsia="zh-CN"/>
        </w:rPr>
        <w:t>与</w:t>
      </w:r>
      <w:r>
        <w:rPr>
          <w:rFonts w:hint="eastAsia" w:hAnsi="宋体" w:cs="宋体"/>
          <w:bCs/>
          <w:color w:val="auto"/>
          <w:kern w:val="0"/>
          <w:sz w:val="22"/>
          <w:szCs w:val="22"/>
          <w:highlight w:val="none"/>
          <w:u w:val="none"/>
          <w:lang w:val="en-US" w:eastAsia="zh-CN"/>
        </w:rPr>
        <w:t>乙方</w:t>
      </w:r>
      <w:r>
        <w:rPr>
          <w:rFonts w:hint="eastAsia" w:ascii="宋体" w:hAnsi="宋体" w:eastAsia="宋体" w:cs="宋体"/>
          <w:bCs/>
          <w:color w:val="auto"/>
          <w:kern w:val="0"/>
          <w:sz w:val="22"/>
          <w:szCs w:val="22"/>
          <w:highlight w:val="none"/>
          <w:u w:val="none"/>
          <w:lang w:val="en-US" w:eastAsia="zh-CN"/>
        </w:rPr>
        <w:t>签订的合同生效之日起至整体项目全面验收（运营期满）并无履约问题之日起15日后失效或无息退还；③如果由于实施期延误或保函出具机构要求分期出具保函的，则在前一份保函有效期满之日2个月前必须重新出具相同内容的保函；若不出具，</w:t>
      </w:r>
      <w:r>
        <w:rPr>
          <w:rFonts w:hint="eastAsia" w:hAnsi="宋体" w:cs="宋体"/>
          <w:bCs/>
          <w:color w:val="auto"/>
          <w:kern w:val="0"/>
          <w:sz w:val="22"/>
          <w:szCs w:val="22"/>
          <w:highlight w:val="none"/>
          <w:u w:val="none"/>
          <w:lang w:val="en-US" w:eastAsia="zh-CN"/>
        </w:rPr>
        <w:t>甲方、丙方</w:t>
      </w:r>
      <w:r>
        <w:rPr>
          <w:rFonts w:hint="eastAsia" w:ascii="宋体" w:hAnsi="宋体" w:eastAsia="宋体" w:cs="宋体"/>
          <w:bCs/>
          <w:color w:val="auto"/>
          <w:kern w:val="0"/>
          <w:sz w:val="22"/>
          <w:szCs w:val="22"/>
          <w:highlight w:val="none"/>
          <w:u w:val="none"/>
          <w:lang w:val="en-US" w:eastAsia="zh-CN"/>
        </w:rPr>
        <w:t>有权对保函进行收兑</w:t>
      </w:r>
      <w:r>
        <w:rPr>
          <w:rFonts w:hint="eastAsia" w:ascii="宋体" w:hAnsi="宋体" w:eastAsia="宋体" w:cs="宋体"/>
          <w:color w:val="auto"/>
          <w:sz w:val="22"/>
          <w:szCs w:val="22"/>
          <w:highlight w:val="none"/>
        </w:rPr>
        <w:t>。</w:t>
      </w:r>
    </w:p>
    <w:p w14:paraId="1BA4FF08">
      <w:pPr>
        <w:keepNext w:val="0"/>
        <w:keepLines w:val="0"/>
        <w:pageBreakBefore w:val="0"/>
        <w:widowControl w:val="0"/>
        <w:numPr>
          <w:ilvl w:val="0"/>
          <w:numId w:val="7"/>
        </w:numPr>
        <w:tabs>
          <w:tab w:val="left" w:pos="658"/>
        </w:tabs>
        <w:kinsoku/>
        <w:wordWrap/>
        <w:overflowPunct/>
        <w:topLinePunct w:val="0"/>
        <w:bidi w:val="0"/>
        <w:spacing w:line="400" w:lineRule="exact"/>
        <w:ind w:left="0" w:firstLine="426"/>
        <w:jc w:val="left"/>
        <w:textAlignment w:val="auto"/>
        <w:outlineLvl w:val="3"/>
        <w:rPr>
          <w:rFonts w:hint="eastAsia" w:ascii="宋体" w:hAnsi="宋体" w:eastAsia="宋体" w:cs="宋体"/>
          <w:b/>
          <w:snapToGrid w:val="0"/>
          <w:color w:val="auto"/>
          <w:kern w:val="2"/>
          <w:sz w:val="22"/>
          <w:szCs w:val="22"/>
          <w:highlight w:val="none"/>
          <w:lang w:val="en-US" w:eastAsia="zh-CN" w:bidi="ar-SA"/>
        </w:rPr>
      </w:pPr>
      <w:r>
        <w:rPr>
          <w:rFonts w:hint="eastAsia" w:ascii="宋体" w:hAnsi="宋体" w:eastAsia="宋体" w:cs="宋体"/>
          <w:b/>
          <w:snapToGrid w:val="0"/>
          <w:color w:val="auto"/>
          <w:kern w:val="2"/>
          <w:sz w:val="22"/>
          <w:szCs w:val="22"/>
          <w:highlight w:val="none"/>
          <w:lang w:val="en-US" w:eastAsia="zh-CN" w:bidi="ar-SA"/>
        </w:rPr>
        <w:t>服务期</w:t>
      </w:r>
    </w:p>
    <w:p w14:paraId="6C4A5526">
      <w:pPr>
        <w:keepNext w:val="0"/>
        <w:keepLines w:val="0"/>
        <w:pageBreakBefore w:val="0"/>
        <w:widowControl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bCs/>
          <w:color w:val="auto"/>
          <w:kern w:val="0"/>
          <w:sz w:val="22"/>
          <w:szCs w:val="22"/>
          <w:highlight w:val="none"/>
          <w:u w:val="none"/>
          <w:lang w:val="en-US" w:eastAsia="zh-CN"/>
        </w:rPr>
        <w:t>实施期要求：须在10个月内完成改造</w:t>
      </w:r>
      <w:r>
        <w:rPr>
          <w:rFonts w:hint="eastAsia" w:ascii="宋体" w:hAnsi="宋体" w:eastAsia="宋体" w:cs="宋体"/>
          <w:color w:val="auto"/>
          <w:sz w:val="22"/>
          <w:szCs w:val="22"/>
          <w:highlight w:val="none"/>
          <w:u w:val="none"/>
        </w:rPr>
        <w:t>，开工时间以监理工程师签发的单个项目的开工令为准。</w:t>
      </w:r>
      <w:r>
        <w:rPr>
          <w:rFonts w:hint="eastAsia" w:ascii="宋体" w:hAnsi="宋体" w:eastAsia="宋体" w:cs="宋体"/>
          <w:color w:val="auto"/>
          <w:sz w:val="22"/>
          <w:szCs w:val="22"/>
          <w:highlight w:val="none"/>
          <w:lang w:val="en-US" w:eastAsia="zh-CN"/>
        </w:rPr>
        <w:t>正式运营服务期：</w:t>
      </w:r>
      <w:r>
        <w:rPr>
          <w:rFonts w:hint="eastAsia" w:hAnsi="宋体" w:cs="宋体"/>
          <w:color w:val="auto"/>
          <w:sz w:val="22"/>
          <w:szCs w:val="22"/>
          <w:highlight w:val="none"/>
          <w:lang w:val="en-US" w:eastAsia="zh-CN"/>
        </w:rPr>
        <w:t>三年</w:t>
      </w:r>
      <w:r>
        <w:rPr>
          <w:rFonts w:hint="eastAsia" w:ascii="宋体" w:hAnsi="宋体" w:eastAsia="宋体" w:cs="宋体"/>
          <w:color w:val="auto"/>
          <w:sz w:val="22"/>
          <w:szCs w:val="22"/>
          <w:highlight w:val="none"/>
          <w:lang w:val="en-US" w:eastAsia="zh-CN"/>
        </w:rPr>
        <w:t>（</w:t>
      </w:r>
      <w:r>
        <w:rPr>
          <w:rFonts w:hint="eastAsia" w:hAnsi="宋体" w:cs="宋体"/>
          <w:color w:val="auto"/>
          <w:sz w:val="22"/>
          <w:szCs w:val="22"/>
          <w:highlight w:val="none"/>
          <w:lang w:val="en-US" w:eastAsia="zh-CN"/>
        </w:rPr>
        <w:t>自过渡期满后开始计算，若上级政策及主管部门另有要求的，以其规定为准，乙方须无条件响应</w:t>
      </w:r>
      <w:r>
        <w:rPr>
          <w:rFonts w:hint="eastAsia" w:ascii="宋体" w:hAnsi="宋体" w:eastAsia="宋体" w:cs="宋体"/>
          <w:color w:val="auto"/>
          <w:sz w:val="22"/>
          <w:szCs w:val="22"/>
          <w:highlight w:val="none"/>
          <w:lang w:val="en-US" w:eastAsia="zh-CN"/>
        </w:rPr>
        <w:t>），运营期满后以上级政策及主管部门为准</w:t>
      </w:r>
      <w:r>
        <w:rPr>
          <w:rFonts w:hint="eastAsia" w:ascii="宋体" w:hAnsi="宋体" w:eastAsia="宋体" w:cs="宋体"/>
          <w:color w:val="auto"/>
          <w:sz w:val="22"/>
          <w:szCs w:val="22"/>
          <w:highlight w:val="none"/>
        </w:rPr>
        <w:t>。</w:t>
      </w:r>
    </w:p>
    <w:p w14:paraId="606B4E13">
      <w:pPr>
        <w:keepNext w:val="0"/>
        <w:keepLines w:val="0"/>
        <w:pageBreakBefore w:val="0"/>
        <w:widowControl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由于下述原因之一而影响</w:t>
      </w:r>
      <w:r>
        <w:rPr>
          <w:rFonts w:hint="eastAsia" w:ascii="宋体" w:hAnsi="宋体" w:eastAsia="宋体" w:cs="宋体"/>
          <w:color w:val="auto"/>
          <w:sz w:val="22"/>
          <w:szCs w:val="22"/>
          <w:highlight w:val="none"/>
          <w:lang w:val="en-US" w:eastAsia="zh-CN"/>
        </w:rPr>
        <w:t>项目实施</w:t>
      </w:r>
      <w:r>
        <w:rPr>
          <w:rFonts w:hint="eastAsia" w:ascii="宋体" w:hAnsi="宋体" w:eastAsia="宋体" w:cs="宋体"/>
          <w:color w:val="auto"/>
          <w:sz w:val="22"/>
          <w:szCs w:val="22"/>
          <w:highlight w:val="none"/>
        </w:rPr>
        <w:t>进度，而且受影响的</w:t>
      </w:r>
      <w:r>
        <w:rPr>
          <w:rFonts w:hint="eastAsia" w:ascii="宋体" w:hAnsi="宋体" w:eastAsia="宋体" w:cs="宋体"/>
          <w:color w:val="auto"/>
          <w:sz w:val="22"/>
          <w:szCs w:val="22"/>
          <w:highlight w:val="none"/>
          <w:lang w:val="en-US" w:eastAsia="zh-CN"/>
        </w:rPr>
        <w:t>项目服务内容</w:t>
      </w:r>
      <w:r>
        <w:rPr>
          <w:rFonts w:hint="eastAsia" w:ascii="宋体" w:hAnsi="宋体" w:eastAsia="宋体" w:cs="宋体"/>
          <w:color w:val="auto"/>
          <w:sz w:val="22"/>
          <w:szCs w:val="22"/>
          <w:highlight w:val="none"/>
        </w:rPr>
        <w:t>是处在</w:t>
      </w:r>
      <w:r>
        <w:rPr>
          <w:rFonts w:hint="eastAsia" w:ascii="宋体" w:hAnsi="宋体" w:eastAsia="宋体" w:cs="宋体"/>
          <w:color w:val="auto"/>
          <w:sz w:val="22"/>
          <w:szCs w:val="22"/>
          <w:highlight w:val="none"/>
          <w:lang w:val="en-US" w:eastAsia="zh-CN"/>
        </w:rPr>
        <w:t>项目实施</w:t>
      </w:r>
      <w:r>
        <w:rPr>
          <w:rFonts w:hint="eastAsia" w:ascii="宋体" w:hAnsi="宋体" w:eastAsia="宋体" w:cs="宋体"/>
          <w:color w:val="auto"/>
          <w:sz w:val="22"/>
          <w:szCs w:val="22"/>
          <w:highlight w:val="none"/>
        </w:rPr>
        <w:t>进度网络计划的关键线路上，</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有权要求延长</w:t>
      </w:r>
      <w:r>
        <w:rPr>
          <w:rFonts w:hint="eastAsia" w:ascii="宋体" w:hAnsi="宋体" w:eastAsia="宋体" w:cs="宋体"/>
          <w:color w:val="auto"/>
          <w:sz w:val="22"/>
          <w:szCs w:val="22"/>
          <w:highlight w:val="none"/>
          <w:lang w:val="en-US" w:eastAsia="zh-CN"/>
        </w:rPr>
        <w:t>项目实施</w:t>
      </w:r>
      <w:r>
        <w:rPr>
          <w:rFonts w:hint="eastAsia" w:ascii="宋体" w:hAnsi="宋体" w:eastAsia="宋体" w:cs="宋体"/>
          <w:color w:val="auto"/>
          <w:sz w:val="22"/>
          <w:szCs w:val="22"/>
          <w:highlight w:val="none"/>
        </w:rPr>
        <w:t>期：</w:t>
      </w:r>
    </w:p>
    <w:p w14:paraId="614A2604">
      <w:pPr>
        <w:keepNext w:val="0"/>
        <w:keepLines w:val="0"/>
        <w:pageBreakBefore w:val="0"/>
        <w:widowControl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(1)组织验收时间超过</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申请验收时间30天；</w:t>
      </w:r>
    </w:p>
    <w:p w14:paraId="427CEA03">
      <w:pPr>
        <w:keepNext w:val="0"/>
        <w:keepLines w:val="0"/>
        <w:pageBreakBefore w:val="0"/>
        <w:widowControl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(2)保护文物；</w:t>
      </w:r>
    </w:p>
    <w:p w14:paraId="1A865131">
      <w:pPr>
        <w:keepNext w:val="0"/>
        <w:keepLines w:val="0"/>
        <w:pageBreakBefore w:val="0"/>
        <w:widowControl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(3)政策处理工作未能按计划如期完成；</w:t>
      </w:r>
    </w:p>
    <w:p w14:paraId="45321874">
      <w:pPr>
        <w:keepNext w:val="0"/>
        <w:keepLines w:val="0"/>
        <w:pageBreakBefore w:val="0"/>
        <w:widowControl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(4)因规划调整、</w:t>
      </w:r>
      <w:r>
        <w:rPr>
          <w:rFonts w:hint="eastAsia" w:ascii="宋体" w:hAnsi="宋体" w:eastAsia="宋体" w:cs="宋体"/>
          <w:color w:val="auto"/>
          <w:sz w:val="22"/>
          <w:szCs w:val="22"/>
          <w:highlight w:val="none"/>
          <w:lang w:val="en-US" w:eastAsia="zh-CN"/>
        </w:rPr>
        <w:t>项目</w:t>
      </w:r>
      <w:r>
        <w:rPr>
          <w:rFonts w:hint="eastAsia" w:ascii="宋体" w:hAnsi="宋体" w:eastAsia="宋体" w:cs="宋体"/>
          <w:color w:val="auto"/>
          <w:sz w:val="22"/>
          <w:szCs w:val="22"/>
          <w:highlight w:val="none"/>
        </w:rPr>
        <w:t>地质条件变化导致</w:t>
      </w:r>
      <w:r>
        <w:rPr>
          <w:rFonts w:hint="eastAsia" w:ascii="宋体" w:hAnsi="宋体" w:eastAsia="宋体" w:cs="宋体"/>
          <w:color w:val="auto"/>
          <w:sz w:val="22"/>
          <w:szCs w:val="22"/>
          <w:highlight w:val="none"/>
          <w:lang w:val="en-US" w:eastAsia="zh-CN"/>
        </w:rPr>
        <w:t>实施工作量</w:t>
      </w:r>
      <w:r>
        <w:rPr>
          <w:rFonts w:hint="eastAsia" w:ascii="宋体" w:hAnsi="宋体" w:eastAsia="宋体" w:cs="宋体"/>
          <w:color w:val="auto"/>
          <w:sz w:val="22"/>
          <w:szCs w:val="22"/>
          <w:highlight w:val="none"/>
        </w:rPr>
        <w:t>的增加；</w:t>
      </w:r>
    </w:p>
    <w:p w14:paraId="50BEE57C">
      <w:pPr>
        <w:keepNext w:val="0"/>
        <w:keepLines w:val="0"/>
        <w:pageBreakBefore w:val="0"/>
        <w:widowControl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(5)不可抗力造成的</w:t>
      </w:r>
      <w:r>
        <w:rPr>
          <w:rFonts w:hint="eastAsia" w:ascii="宋体" w:hAnsi="宋体" w:eastAsia="宋体" w:cs="宋体"/>
          <w:color w:val="auto"/>
          <w:sz w:val="22"/>
          <w:szCs w:val="22"/>
          <w:highlight w:val="none"/>
          <w:lang w:val="en-US" w:eastAsia="zh-CN"/>
        </w:rPr>
        <w:t>项目实施</w:t>
      </w:r>
      <w:r>
        <w:rPr>
          <w:rFonts w:hint="eastAsia" w:ascii="宋体" w:hAnsi="宋体" w:eastAsia="宋体" w:cs="宋体"/>
          <w:color w:val="auto"/>
          <w:sz w:val="22"/>
          <w:szCs w:val="22"/>
          <w:highlight w:val="none"/>
        </w:rPr>
        <w:t>期延误。</w:t>
      </w:r>
    </w:p>
    <w:p w14:paraId="1E27B059">
      <w:pPr>
        <w:keepNext w:val="0"/>
        <w:keepLines w:val="0"/>
        <w:pageBreakBefore w:val="0"/>
        <w:widowControl w:val="0"/>
        <w:kinsoku/>
        <w:wordWrap/>
        <w:overflowPunct/>
        <w:topLinePunct w:val="0"/>
        <w:bidi w:val="0"/>
        <w:adjustRightInd w:val="0"/>
        <w:spacing w:line="400" w:lineRule="exact"/>
        <w:ind w:firstLine="442" w:firstLineChars="200"/>
        <w:textAlignment w:val="auto"/>
        <w:rPr>
          <w:rFonts w:hint="eastAsia" w:ascii="宋体" w:hAnsi="宋体" w:eastAsia="宋体" w:cs="宋体"/>
          <w:color w:val="auto"/>
          <w:sz w:val="22"/>
          <w:szCs w:val="22"/>
          <w:highlight w:val="none"/>
        </w:rPr>
      </w:pPr>
      <w:r>
        <w:rPr>
          <w:rFonts w:hint="eastAsia" w:ascii="宋体" w:hAnsi="宋体" w:eastAsia="宋体" w:cs="宋体"/>
          <w:b/>
          <w:color w:val="auto"/>
          <w:sz w:val="22"/>
          <w:szCs w:val="22"/>
          <w:highlight w:val="none"/>
        </w:rPr>
        <w:t>4.2</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应在第4.1款第（1）项所述情况发生后14天内向</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发出要求延长</w:t>
      </w:r>
      <w:r>
        <w:rPr>
          <w:rFonts w:hint="eastAsia" w:ascii="宋体" w:hAnsi="宋体" w:eastAsia="宋体" w:cs="宋体"/>
          <w:color w:val="auto"/>
          <w:sz w:val="22"/>
          <w:szCs w:val="22"/>
          <w:highlight w:val="none"/>
          <w:lang w:val="en-US" w:eastAsia="zh-CN"/>
        </w:rPr>
        <w:t>项目实施</w:t>
      </w:r>
      <w:r>
        <w:rPr>
          <w:rFonts w:hint="eastAsia" w:ascii="宋体" w:hAnsi="宋体" w:eastAsia="宋体" w:cs="宋体"/>
          <w:color w:val="auto"/>
          <w:sz w:val="22"/>
          <w:szCs w:val="22"/>
          <w:highlight w:val="none"/>
        </w:rPr>
        <w:t>期的书面通知，同时递交要求延长</w:t>
      </w:r>
      <w:r>
        <w:rPr>
          <w:rFonts w:hint="eastAsia" w:ascii="宋体" w:hAnsi="宋体" w:eastAsia="宋体" w:cs="宋体"/>
          <w:color w:val="auto"/>
          <w:sz w:val="22"/>
          <w:szCs w:val="22"/>
          <w:highlight w:val="none"/>
          <w:lang w:val="en-US" w:eastAsia="zh-CN"/>
        </w:rPr>
        <w:t>项目实施</w:t>
      </w:r>
      <w:r>
        <w:rPr>
          <w:rFonts w:hint="eastAsia" w:ascii="宋体" w:hAnsi="宋体" w:eastAsia="宋体" w:cs="宋体"/>
          <w:color w:val="auto"/>
          <w:sz w:val="22"/>
          <w:szCs w:val="22"/>
          <w:highlight w:val="none"/>
        </w:rPr>
        <w:t>期的相关证明材料，供</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核实。在第4.1款第(2)-(5)项所述情况发生后14天内向监理工程师发出要求延长</w:t>
      </w:r>
      <w:r>
        <w:rPr>
          <w:rFonts w:hint="eastAsia" w:ascii="宋体" w:hAnsi="宋体" w:eastAsia="宋体" w:cs="宋体"/>
          <w:color w:val="auto"/>
          <w:sz w:val="22"/>
          <w:szCs w:val="22"/>
          <w:highlight w:val="none"/>
          <w:lang w:val="en-US" w:eastAsia="zh-CN"/>
        </w:rPr>
        <w:t>项目实施</w:t>
      </w:r>
      <w:r>
        <w:rPr>
          <w:rFonts w:hint="eastAsia" w:ascii="宋体" w:hAnsi="宋体" w:eastAsia="宋体" w:cs="宋体"/>
          <w:color w:val="auto"/>
          <w:sz w:val="22"/>
          <w:szCs w:val="22"/>
          <w:highlight w:val="none"/>
        </w:rPr>
        <w:t>期的书面通知，并抄送</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，同时递交要求延长</w:t>
      </w:r>
      <w:r>
        <w:rPr>
          <w:rFonts w:hint="eastAsia" w:ascii="宋体" w:hAnsi="宋体" w:eastAsia="宋体" w:cs="宋体"/>
          <w:color w:val="auto"/>
          <w:sz w:val="22"/>
          <w:szCs w:val="22"/>
          <w:highlight w:val="none"/>
          <w:lang w:val="en-US" w:eastAsia="zh-CN"/>
        </w:rPr>
        <w:t>项目实施</w:t>
      </w:r>
      <w:r>
        <w:rPr>
          <w:rFonts w:hint="eastAsia" w:ascii="宋体" w:hAnsi="宋体" w:eastAsia="宋体" w:cs="宋体"/>
          <w:color w:val="auto"/>
          <w:sz w:val="22"/>
          <w:szCs w:val="22"/>
          <w:highlight w:val="none"/>
        </w:rPr>
        <w:t>期的相关证明材料，供监理工程师核实。</w:t>
      </w:r>
    </w:p>
    <w:p w14:paraId="22E93F2D">
      <w:pPr>
        <w:keepNext w:val="0"/>
        <w:keepLines w:val="0"/>
        <w:pageBreakBefore w:val="0"/>
        <w:widowControl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监理工程师在与</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适当协商并报经</w:t>
      </w:r>
      <w:r>
        <w:rPr>
          <w:rFonts w:hint="eastAsia" w:ascii="宋体" w:hAnsi="宋体" w:eastAsia="宋体" w:cs="宋体"/>
          <w:color w:val="auto"/>
          <w:sz w:val="22"/>
          <w:szCs w:val="22"/>
          <w:highlight w:val="none"/>
          <w:lang w:eastAsia="zh-CN"/>
        </w:rPr>
        <w:t>甲方</w:t>
      </w:r>
      <w:r>
        <w:rPr>
          <w:rFonts w:hint="eastAsia" w:hAnsi="宋体" w:cs="宋体"/>
          <w:color w:val="auto"/>
          <w:sz w:val="22"/>
          <w:szCs w:val="22"/>
          <w:highlight w:val="none"/>
          <w:lang w:eastAsia="zh-CN"/>
        </w:rPr>
        <w:t>、</w:t>
      </w:r>
      <w:r>
        <w:rPr>
          <w:rFonts w:hint="eastAsia" w:hAnsi="宋体" w:cs="宋体"/>
          <w:color w:val="auto"/>
          <w:sz w:val="22"/>
          <w:szCs w:val="22"/>
          <w:highlight w:val="none"/>
          <w:lang w:val="en-US" w:eastAsia="zh-CN"/>
        </w:rPr>
        <w:t xml:space="preserve"> 丙方</w:t>
      </w:r>
      <w:r>
        <w:rPr>
          <w:rFonts w:hint="eastAsia" w:ascii="宋体" w:hAnsi="宋体" w:eastAsia="宋体" w:cs="宋体"/>
          <w:color w:val="auto"/>
          <w:sz w:val="22"/>
          <w:szCs w:val="22"/>
          <w:highlight w:val="none"/>
        </w:rPr>
        <w:t>批准后应确定延长</w:t>
      </w:r>
      <w:r>
        <w:rPr>
          <w:rFonts w:hint="eastAsia" w:ascii="宋体" w:hAnsi="宋体" w:eastAsia="宋体" w:cs="宋体"/>
          <w:color w:val="auto"/>
          <w:sz w:val="22"/>
          <w:szCs w:val="22"/>
          <w:highlight w:val="none"/>
          <w:lang w:val="en-US" w:eastAsia="zh-CN"/>
        </w:rPr>
        <w:t>项目实施</w:t>
      </w:r>
      <w:r>
        <w:rPr>
          <w:rFonts w:hint="eastAsia" w:ascii="宋体" w:hAnsi="宋体" w:eastAsia="宋体" w:cs="宋体"/>
          <w:color w:val="auto"/>
          <w:sz w:val="22"/>
          <w:szCs w:val="22"/>
          <w:highlight w:val="none"/>
        </w:rPr>
        <w:t>期的天数，并通知</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。在上述任何情况下，</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均不能降低</w:t>
      </w:r>
      <w:r>
        <w:rPr>
          <w:rFonts w:hint="eastAsia" w:ascii="宋体" w:hAnsi="宋体" w:eastAsia="宋体" w:cs="宋体"/>
          <w:color w:val="auto"/>
          <w:sz w:val="22"/>
          <w:szCs w:val="22"/>
          <w:highlight w:val="none"/>
          <w:lang w:val="en-US" w:eastAsia="zh-CN"/>
        </w:rPr>
        <w:t>项目服务</w:t>
      </w:r>
      <w:r>
        <w:rPr>
          <w:rFonts w:hint="eastAsia" w:ascii="宋体" w:hAnsi="宋体" w:eastAsia="宋体" w:cs="宋体"/>
          <w:color w:val="auto"/>
          <w:sz w:val="22"/>
          <w:szCs w:val="22"/>
          <w:highlight w:val="none"/>
        </w:rPr>
        <w:t>质量标准。</w:t>
      </w:r>
    </w:p>
    <w:p w14:paraId="1F93400A">
      <w:pPr>
        <w:keepNext w:val="0"/>
        <w:keepLines w:val="0"/>
        <w:pageBreakBefore w:val="0"/>
        <w:widowControl w:val="0"/>
        <w:numPr>
          <w:ilvl w:val="0"/>
          <w:numId w:val="7"/>
        </w:numPr>
        <w:tabs>
          <w:tab w:val="left" w:pos="658"/>
        </w:tabs>
        <w:kinsoku/>
        <w:wordWrap/>
        <w:overflowPunct/>
        <w:topLinePunct w:val="0"/>
        <w:bidi w:val="0"/>
        <w:spacing w:line="400" w:lineRule="exact"/>
        <w:ind w:left="0" w:firstLine="426"/>
        <w:jc w:val="left"/>
        <w:textAlignment w:val="auto"/>
        <w:outlineLvl w:val="3"/>
        <w:rPr>
          <w:rFonts w:hint="eastAsia" w:ascii="宋体" w:hAnsi="宋体" w:eastAsia="宋体" w:cs="宋体"/>
          <w:b/>
          <w:snapToGrid w:val="0"/>
          <w:color w:val="auto"/>
          <w:kern w:val="2"/>
          <w:sz w:val="22"/>
          <w:szCs w:val="22"/>
          <w:highlight w:val="none"/>
          <w:lang w:val="en-US" w:eastAsia="zh-CN" w:bidi="ar-SA"/>
        </w:rPr>
      </w:pPr>
      <w:bookmarkStart w:id="119" w:name="_Toc354478015"/>
      <w:bookmarkStart w:id="120" w:name="_Toc359839319"/>
      <w:bookmarkStart w:id="121" w:name="_Toc359838522"/>
      <w:bookmarkStart w:id="122" w:name="_Toc359839707"/>
      <w:bookmarkStart w:id="123" w:name="_Toc354494037"/>
      <w:bookmarkStart w:id="124" w:name="_Toc354478278"/>
      <w:bookmarkStart w:id="125" w:name="_Toc359839848"/>
      <w:r>
        <w:rPr>
          <w:rFonts w:hint="eastAsia" w:ascii="宋体" w:hAnsi="宋体" w:eastAsia="宋体" w:cs="宋体"/>
          <w:b/>
          <w:snapToGrid w:val="0"/>
          <w:color w:val="auto"/>
          <w:kern w:val="2"/>
          <w:sz w:val="22"/>
          <w:szCs w:val="22"/>
          <w:highlight w:val="none"/>
          <w:lang w:val="en-US" w:eastAsia="zh-CN" w:bidi="ar-SA"/>
        </w:rPr>
        <w:t>项目进度</w:t>
      </w:r>
      <w:bookmarkEnd w:id="119"/>
      <w:bookmarkEnd w:id="120"/>
      <w:bookmarkEnd w:id="121"/>
      <w:bookmarkEnd w:id="122"/>
      <w:bookmarkEnd w:id="123"/>
      <w:bookmarkEnd w:id="124"/>
      <w:bookmarkEnd w:id="125"/>
    </w:p>
    <w:p w14:paraId="365511BF">
      <w:pPr>
        <w:keepNext w:val="0"/>
        <w:keepLines w:val="0"/>
        <w:pageBreakBefore w:val="0"/>
        <w:widowControl w:val="0"/>
        <w:kinsoku/>
        <w:wordWrap/>
        <w:overflowPunct/>
        <w:topLinePunct w:val="0"/>
        <w:bidi w:val="0"/>
        <w:adjustRightInd w:val="0"/>
        <w:spacing w:line="400" w:lineRule="exact"/>
        <w:ind w:firstLine="442" w:firstLineChars="200"/>
        <w:textAlignment w:val="auto"/>
        <w:rPr>
          <w:rFonts w:hint="eastAsia" w:ascii="宋体" w:hAnsi="宋体" w:eastAsia="宋体" w:cs="宋体"/>
          <w:color w:val="auto"/>
          <w:sz w:val="22"/>
          <w:szCs w:val="22"/>
          <w:highlight w:val="none"/>
        </w:rPr>
      </w:pPr>
      <w:r>
        <w:rPr>
          <w:rFonts w:hint="eastAsia" w:ascii="宋体" w:hAnsi="宋体" w:eastAsia="宋体" w:cs="宋体"/>
          <w:b/>
          <w:color w:val="auto"/>
          <w:sz w:val="22"/>
          <w:szCs w:val="22"/>
          <w:highlight w:val="none"/>
        </w:rPr>
        <w:t>5.1</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必须按照合同规定的日期开始工作。</w:t>
      </w:r>
    </w:p>
    <w:p w14:paraId="6A046430">
      <w:pPr>
        <w:keepNext w:val="0"/>
        <w:keepLines w:val="0"/>
        <w:pageBreakBefore w:val="0"/>
        <w:widowControl w:val="0"/>
        <w:kinsoku/>
        <w:wordWrap/>
        <w:overflowPunct/>
        <w:topLinePunct w:val="0"/>
        <w:bidi w:val="0"/>
        <w:adjustRightInd w:val="0"/>
        <w:spacing w:line="400" w:lineRule="exact"/>
        <w:ind w:firstLine="442" w:firstLineChars="200"/>
        <w:textAlignment w:val="auto"/>
        <w:rPr>
          <w:rFonts w:hint="eastAsia" w:ascii="宋体" w:hAnsi="宋体" w:eastAsia="宋体" w:cs="宋体"/>
          <w:color w:val="auto"/>
          <w:sz w:val="22"/>
          <w:szCs w:val="22"/>
          <w:highlight w:val="none"/>
        </w:rPr>
      </w:pPr>
      <w:r>
        <w:rPr>
          <w:rFonts w:hint="eastAsia" w:ascii="宋体" w:hAnsi="宋体" w:eastAsia="宋体" w:cs="宋体"/>
          <w:b/>
          <w:color w:val="auto"/>
          <w:sz w:val="22"/>
          <w:szCs w:val="22"/>
          <w:highlight w:val="none"/>
        </w:rPr>
        <w:t>5.2</w:t>
      </w:r>
      <w:r>
        <w:rPr>
          <w:rFonts w:hint="eastAsia" w:ascii="宋体" w:hAnsi="宋体" w:eastAsia="宋体" w:cs="宋体"/>
          <w:color w:val="auto"/>
          <w:sz w:val="22"/>
          <w:szCs w:val="22"/>
          <w:highlight w:val="none"/>
        </w:rPr>
        <w:t>各期</w:t>
      </w:r>
      <w:r>
        <w:rPr>
          <w:rFonts w:hint="eastAsia" w:ascii="宋体" w:hAnsi="宋体" w:eastAsia="宋体" w:cs="宋体"/>
          <w:color w:val="auto"/>
          <w:sz w:val="22"/>
          <w:szCs w:val="22"/>
          <w:highlight w:val="none"/>
          <w:lang w:val="en-US" w:eastAsia="zh-CN"/>
        </w:rPr>
        <w:t>项目实施</w:t>
      </w:r>
      <w:r>
        <w:rPr>
          <w:rFonts w:hint="eastAsia" w:ascii="宋体" w:hAnsi="宋体" w:eastAsia="宋体" w:cs="宋体"/>
          <w:color w:val="auto"/>
          <w:sz w:val="22"/>
          <w:szCs w:val="22"/>
          <w:highlight w:val="none"/>
        </w:rPr>
        <w:t>前1个月，</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应向监理人提交各期</w:t>
      </w:r>
      <w:r>
        <w:rPr>
          <w:rFonts w:hint="eastAsia" w:ascii="宋体" w:hAnsi="宋体" w:eastAsia="宋体" w:cs="宋体"/>
          <w:color w:val="auto"/>
          <w:sz w:val="22"/>
          <w:szCs w:val="22"/>
          <w:highlight w:val="none"/>
          <w:lang w:val="en-US" w:eastAsia="zh-CN"/>
        </w:rPr>
        <w:t>项目实施</w:t>
      </w:r>
      <w:r>
        <w:rPr>
          <w:rFonts w:hint="eastAsia" w:ascii="宋体" w:hAnsi="宋体" w:eastAsia="宋体" w:cs="宋体"/>
          <w:color w:val="auto"/>
          <w:sz w:val="22"/>
          <w:szCs w:val="22"/>
          <w:highlight w:val="none"/>
        </w:rPr>
        <w:t>组织计划和进度计划，</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应以书面形式提供为实施</w:t>
      </w:r>
      <w:r>
        <w:rPr>
          <w:rFonts w:hint="eastAsia" w:ascii="宋体" w:hAnsi="宋体" w:eastAsia="宋体" w:cs="宋体"/>
          <w:color w:val="auto"/>
          <w:sz w:val="22"/>
          <w:szCs w:val="22"/>
          <w:highlight w:val="none"/>
          <w:lang w:val="en-US" w:eastAsia="zh-CN"/>
        </w:rPr>
        <w:t>项目</w:t>
      </w:r>
      <w:r>
        <w:rPr>
          <w:rFonts w:hint="eastAsia" w:ascii="宋体" w:hAnsi="宋体" w:eastAsia="宋体" w:cs="宋体"/>
          <w:color w:val="auto"/>
          <w:sz w:val="22"/>
          <w:szCs w:val="22"/>
          <w:highlight w:val="none"/>
        </w:rPr>
        <w:t>计划采用的</w:t>
      </w:r>
      <w:r>
        <w:rPr>
          <w:rFonts w:hint="eastAsia" w:ascii="宋体" w:hAnsi="宋体" w:eastAsia="宋体" w:cs="宋体"/>
          <w:color w:val="auto"/>
          <w:sz w:val="22"/>
          <w:szCs w:val="22"/>
          <w:highlight w:val="none"/>
          <w:lang w:val="en-US" w:eastAsia="zh-CN"/>
        </w:rPr>
        <w:t>项目实施</w:t>
      </w:r>
      <w:r>
        <w:rPr>
          <w:rFonts w:hint="eastAsia" w:ascii="宋体" w:hAnsi="宋体" w:eastAsia="宋体" w:cs="宋体"/>
          <w:color w:val="auto"/>
          <w:sz w:val="22"/>
          <w:szCs w:val="22"/>
          <w:highlight w:val="none"/>
        </w:rPr>
        <w:t>期安排和方法的总体说明报监理人审批，监理人在10日内审核后书面确认。</w:t>
      </w:r>
    </w:p>
    <w:p w14:paraId="6C0846CC">
      <w:pPr>
        <w:keepNext w:val="0"/>
        <w:keepLines w:val="0"/>
        <w:pageBreakBefore w:val="0"/>
        <w:widowControl w:val="0"/>
        <w:kinsoku/>
        <w:wordWrap/>
        <w:overflowPunct/>
        <w:topLinePunct w:val="0"/>
        <w:bidi w:val="0"/>
        <w:adjustRightInd w:val="0"/>
        <w:spacing w:line="400" w:lineRule="exact"/>
        <w:ind w:firstLine="442" w:firstLineChars="200"/>
        <w:textAlignment w:val="auto"/>
        <w:rPr>
          <w:rFonts w:hint="eastAsia" w:ascii="宋体" w:hAnsi="宋体" w:eastAsia="宋体" w:cs="宋体"/>
          <w:color w:val="auto"/>
          <w:sz w:val="22"/>
          <w:szCs w:val="22"/>
          <w:highlight w:val="none"/>
        </w:rPr>
      </w:pPr>
      <w:r>
        <w:rPr>
          <w:rFonts w:hint="eastAsia" w:ascii="宋体" w:hAnsi="宋体" w:eastAsia="宋体" w:cs="宋体"/>
          <w:b/>
          <w:color w:val="auto"/>
          <w:sz w:val="22"/>
          <w:szCs w:val="22"/>
          <w:highlight w:val="none"/>
        </w:rPr>
        <w:t>5.3</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编制各期项目的总体</w:t>
      </w:r>
      <w:r>
        <w:rPr>
          <w:rFonts w:hint="eastAsia" w:ascii="宋体" w:hAnsi="宋体" w:eastAsia="宋体" w:cs="宋体"/>
          <w:color w:val="auto"/>
          <w:sz w:val="22"/>
          <w:szCs w:val="22"/>
          <w:highlight w:val="none"/>
          <w:lang w:val="en-US" w:eastAsia="zh-CN"/>
        </w:rPr>
        <w:t>实施</w:t>
      </w:r>
      <w:r>
        <w:rPr>
          <w:rFonts w:hint="eastAsia" w:ascii="宋体" w:hAnsi="宋体" w:eastAsia="宋体" w:cs="宋体"/>
          <w:color w:val="auto"/>
          <w:sz w:val="22"/>
          <w:szCs w:val="22"/>
          <w:highlight w:val="none"/>
        </w:rPr>
        <w:t>组织计划和进度计划时，应按日历天为单位考虑工作量，</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将对照该进度计划进行考核，以每30日历天为一个考核周期，作为项目进度计划考核的依据。</w:t>
      </w:r>
    </w:p>
    <w:p w14:paraId="0D6FB632">
      <w:pPr>
        <w:keepNext w:val="0"/>
        <w:keepLines w:val="0"/>
        <w:pageBreakBefore w:val="0"/>
        <w:widowControl w:val="0"/>
        <w:kinsoku/>
        <w:wordWrap/>
        <w:overflowPunct/>
        <w:topLinePunct w:val="0"/>
        <w:bidi w:val="0"/>
        <w:adjustRightInd w:val="0"/>
        <w:spacing w:line="400" w:lineRule="exact"/>
        <w:ind w:firstLine="442" w:firstLineChars="200"/>
        <w:textAlignment w:val="auto"/>
        <w:rPr>
          <w:rFonts w:hint="eastAsia" w:ascii="宋体" w:hAnsi="宋体" w:eastAsia="宋体" w:cs="宋体"/>
          <w:color w:val="auto"/>
          <w:sz w:val="22"/>
          <w:szCs w:val="22"/>
          <w:highlight w:val="none"/>
        </w:rPr>
      </w:pPr>
      <w:r>
        <w:rPr>
          <w:rFonts w:hint="eastAsia" w:ascii="宋体" w:hAnsi="宋体" w:eastAsia="宋体" w:cs="宋体"/>
          <w:b/>
          <w:color w:val="auto"/>
          <w:sz w:val="22"/>
          <w:szCs w:val="22"/>
          <w:highlight w:val="none"/>
        </w:rPr>
        <w:t>5.4</w:t>
      </w:r>
      <w:r>
        <w:rPr>
          <w:rFonts w:hint="eastAsia" w:ascii="宋体" w:hAnsi="宋体" w:eastAsia="宋体" w:cs="宋体"/>
          <w:color w:val="auto"/>
          <w:sz w:val="22"/>
          <w:szCs w:val="22"/>
          <w:highlight w:val="none"/>
        </w:rPr>
        <w:t>各期项目的总进度计划或安排都不应有重大更改，如果任何一方对进度或安排有重大更改，须提前10日书面通知另一方并征得另一方书面同意，如果在未经另一方同意的情况下私自变更，私自变更方应承担由此产生的一切责任。</w:t>
      </w:r>
    </w:p>
    <w:p w14:paraId="3510401E">
      <w:pPr>
        <w:keepNext w:val="0"/>
        <w:keepLines w:val="0"/>
        <w:pageBreakBefore w:val="0"/>
        <w:widowControl w:val="0"/>
        <w:kinsoku/>
        <w:wordWrap/>
        <w:overflowPunct/>
        <w:topLinePunct w:val="0"/>
        <w:bidi w:val="0"/>
        <w:adjustRightInd w:val="0"/>
        <w:spacing w:line="400" w:lineRule="exact"/>
        <w:ind w:firstLine="442" w:firstLineChars="200"/>
        <w:textAlignment w:val="auto"/>
        <w:rPr>
          <w:rFonts w:hint="eastAsia" w:ascii="宋体" w:hAnsi="宋体" w:eastAsia="宋体" w:cs="宋体"/>
          <w:color w:val="auto"/>
          <w:sz w:val="22"/>
          <w:szCs w:val="22"/>
          <w:highlight w:val="none"/>
        </w:rPr>
      </w:pPr>
      <w:r>
        <w:rPr>
          <w:rFonts w:hint="eastAsia" w:ascii="宋体" w:hAnsi="宋体" w:eastAsia="宋体" w:cs="宋体"/>
          <w:b/>
          <w:color w:val="auto"/>
          <w:sz w:val="22"/>
          <w:szCs w:val="22"/>
          <w:highlight w:val="none"/>
        </w:rPr>
        <w:t>5.5</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应负责编制和上报各单项</w:t>
      </w:r>
      <w:r>
        <w:rPr>
          <w:rFonts w:hint="eastAsia" w:ascii="宋体" w:hAnsi="宋体" w:eastAsia="宋体" w:cs="宋体"/>
          <w:color w:val="auto"/>
          <w:sz w:val="22"/>
          <w:szCs w:val="22"/>
          <w:highlight w:val="none"/>
          <w:lang w:val="en-US" w:eastAsia="zh-CN"/>
        </w:rPr>
        <w:t>实施项目</w:t>
      </w:r>
      <w:r>
        <w:rPr>
          <w:rFonts w:hint="eastAsia" w:ascii="宋体" w:hAnsi="宋体" w:eastAsia="宋体" w:cs="宋体"/>
          <w:color w:val="auto"/>
          <w:sz w:val="22"/>
          <w:szCs w:val="22"/>
          <w:highlight w:val="none"/>
        </w:rPr>
        <w:t>的进度报告（包括月、季、年），并提交给监理人。每一份报告应包括：每一阶段进展情况的说明；</w:t>
      </w:r>
      <w:r>
        <w:rPr>
          <w:rFonts w:hint="eastAsia" w:ascii="宋体" w:hAnsi="宋体" w:eastAsia="宋体" w:cs="宋体"/>
          <w:color w:val="auto"/>
          <w:sz w:val="22"/>
          <w:szCs w:val="22"/>
          <w:highlight w:val="none"/>
          <w:lang w:val="en-US" w:eastAsia="zh-CN"/>
        </w:rPr>
        <w:t>实施</w:t>
      </w:r>
      <w:r>
        <w:rPr>
          <w:rFonts w:hint="eastAsia" w:ascii="宋体" w:hAnsi="宋体" w:eastAsia="宋体" w:cs="宋体"/>
          <w:color w:val="auto"/>
          <w:sz w:val="22"/>
          <w:szCs w:val="22"/>
          <w:highlight w:val="none"/>
        </w:rPr>
        <w:t>文件、</w:t>
      </w:r>
      <w:r>
        <w:rPr>
          <w:rFonts w:hint="eastAsia" w:ascii="宋体" w:hAnsi="宋体" w:eastAsia="宋体" w:cs="宋体"/>
          <w:color w:val="auto"/>
          <w:sz w:val="22"/>
          <w:szCs w:val="22"/>
          <w:highlight w:val="none"/>
          <w:lang w:val="en-US" w:eastAsia="zh-CN"/>
        </w:rPr>
        <w:t>实施</w:t>
      </w:r>
      <w:r>
        <w:rPr>
          <w:rFonts w:hint="eastAsia" w:ascii="宋体" w:hAnsi="宋体" w:eastAsia="宋体" w:cs="宋体"/>
          <w:color w:val="auto"/>
          <w:sz w:val="22"/>
          <w:szCs w:val="22"/>
          <w:highlight w:val="none"/>
        </w:rPr>
        <w:t>状况的图表；实际进度与计划进度的对比；安全统计，包括涉及环境和公共关系方面的任何危险事件与活动的详情，可能影响按照合同完工的任何因素的详情，以及为消除这些因素正在采取（或者准备采取）的措施。</w:t>
      </w:r>
    </w:p>
    <w:p w14:paraId="2A285A1C">
      <w:pPr>
        <w:keepNext w:val="0"/>
        <w:keepLines w:val="0"/>
        <w:pageBreakBefore w:val="0"/>
        <w:widowControl w:val="0"/>
        <w:numPr>
          <w:ilvl w:val="0"/>
          <w:numId w:val="7"/>
        </w:numPr>
        <w:tabs>
          <w:tab w:val="left" w:pos="658"/>
        </w:tabs>
        <w:kinsoku/>
        <w:wordWrap/>
        <w:overflowPunct/>
        <w:topLinePunct w:val="0"/>
        <w:bidi w:val="0"/>
        <w:spacing w:line="400" w:lineRule="exact"/>
        <w:ind w:left="0" w:firstLine="426"/>
        <w:jc w:val="left"/>
        <w:textAlignment w:val="auto"/>
        <w:outlineLvl w:val="3"/>
        <w:rPr>
          <w:rFonts w:hint="eastAsia" w:ascii="宋体" w:hAnsi="宋体" w:eastAsia="宋体" w:cs="宋体"/>
          <w:b/>
          <w:snapToGrid w:val="0"/>
          <w:color w:val="auto"/>
          <w:kern w:val="2"/>
          <w:sz w:val="22"/>
          <w:szCs w:val="22"/>
          <w:highlight w:val="none"/>
          <w:lang w:val="en-US" w:eastAsia="zh-CN" w:bidi="ar-SA"/>
        </w:rPr>
      </w:pPr>
      <w:r>
        <w:rPr>
          <w:rFonts w:hint="eastAsia" w:ascii="宋体" w:hAnsi="宋体" w:eastAsia="宋体" w:cs="宋体"/>
          <w:b/>
          <w:snapToGrid w:val="0"/>
          <w:color w:val="auto"/>
          <w:kern w:val="2"/>
          <w:sz w:val="22"/>
          <w:szCs w:val="22"/>
          <w:highlight w:val="none"/>
          <w:lang w:val="en-US" w:eastAsia="zh-CN" w:bidi="ar-SA"/>
        </w:rPr>
        <w:t>变更</w:t>
      </w:r>
    </w:p>
    <w:p w14:paraId="433C8030">
      <w:pPr>
        <w:keepNext w:val="0"/>
        <w:keepLines w:val="0"/>
        <w:pageBreakBefore w:val="0"/>
        <w:widowControl w:val="0"/>
        <w:kinsoku/>
        <w:wordWrap/>
        <w:overflowPunct/>
        <w:topLinePunct w:val="0"/>
        <w:bidi w:val="0"/>
        <w:spacing w:before="0" w:after="0" w:line="400" w:lineRule="exact"/>
        <w:ind w:firstLine="426"/>
        <w:jc w:val="both"/>
        <w:textAlignment w:val="auto"/>
        <w:outlineLvl w:val="4"/>
        <w:rPr>
          <w:rFonts w:hint="eastAsia" w:ascii="宋体" w:hAnsi="宋体" w:eastAsia="宋体" w:cs="宋体"/>
          <w:b/>
          <w:bCs/>
          <w:snapToGrid w:val="0"/>
          <w:color w:val="auto"/>
          <w:kern w:val="2"/>
          <w:sz w:val="22"/>
          <w:szCs w:val="22"/>
          <w:highlight w:val="none"/>
          <w:lang w:val="en-US" w:eastAsia="zh-CN" w:bidi="ar-SA"/>
        </w:rPr>
      </w:pPr>
      <w:r>
        <w:rPr>
          <w:rFonts w:hint="eastAsia" w:ascii="宋体" w:hAnsi="宋体" w:eastAsia="宋体" w:cs="宋体"/>
          <w:b/>
          <w:bCs/>
          <w:snapToGrid w:val="0"/>
          <w:color w:val="auto"/>
          <w:kern w:val="2"/>
          <w:sz w:val="22"/>
          <w:szCs w:val="22"/>
          <w:highlight w:val="none"/>
          <w:lang w:val="en-US" w:eastAsia="zh-CN" w:bidi="ar-SA"/>
        </w:rPr>
        <w:t>6.1变更情形</w:t>
      </w:r>
    </w:p>
    <w:p w14:paraId="5BD6DF0A">
      <w:pPr>
        <w:keepNext w:val="0"/>
        <w:keepLines w:val="0"/>
        <w:pageBreakBefore w:val="0"/>
        <w:widowControl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当发生以下情形时，构成变更：</w:t>
      </w:r>
    </w:p>
    <w:p w14:paraId="164B7870">
      <w:pPr>
        <w:keepNext w:val="0"/>
        <w:keepLines w:val="0"/>
        <w:pageBreakBefore w:val="0"/>
        <w:widowControl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（1）“</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要求”中明确的土地整治面积等边界条件发生重大变动（须经原批准部门批准）；</w:t>
      </w:r>
    </w:p>
    <w:p w14:paraId="2AB2B2DA">
      <w:pPr>
        <w:keepNext w:val="0"/>
        <w:keepLines w:val="0"/>
        <w:pageBreakBefore w:val="0"/>
        <w:widowControl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（2）</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决定延期实施（须在原定的实施时间10天前通知</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w:t>
      </w:r>
    </w:p>
    <w:p w14:paraId="61D43EE3">
      <w:pPr>
        <w:keepNext w:val="0"/>
        <w:keepLines w:val="0"/>
        <w:pageBreakBefore w:val="0"/>
        <w:widowControl w:val="0"/>
        <w:kinsoku/>
        <w:wordWrap/>
        <w:overflowPunct/>
        <w:topLinePunct w:val="0"/>
        <w:bidi w:val="0"/>
        <w:spacing w:before="0" w:after="0" w:line="400" w:lineRule="exact"/>
        <w:ind w:firstLine="426"/>
        <w:jc w:val="both"/>
        <w:textAlignment w:val="auto"/>
        <w:outlineLvl w:val="4"/>
        <w:rPr>
          <w:rFonts w:hint="eastAsia" w:ascii="宋体" w:hAnsi="宋体" w:eastAsia="宋体" w:cs="宋体"/>
          <w:b/>
          <w:bCs/>
          <w:snapToGrid w:val="0"/>
          <w:color w:val="auto"/>
          <w:kern w:val="2"/>
          <w:sz w:val="22"/>
          <w:szCs w:val="22"/>
          <w:highlight w:val="none"/>
          <w:lang w:val="en-US" w:eastAsia="zh-CN" w:bidi="ar-SA"/>
        </w:rPr>
      </w:pPr>
      <w:r>
        <w:rPr>
          <w:rFonts w:hint="eastAsia" w:ascii="宋体" w:hAnsi="宋体" w:eastAsia="宋体" w:cs="宋体"/>
          <w:b/>
          <w:bCs/>
          <w:snapToGrid w:val="0"/>
          <w:color w:val="auto"/>
          <w:kern w:val="2"/>
          <w:sz w:val="22"/>
          <w:szCs w:val="22"/>
          <w:highlight w:val="none"/>
          <w:lang w:val="en-US" w:eastAsia="zh-CN" w:bidi="ar-SA"/>
        </w:rPr>
        <w:t>6.2变更处理</w:t>
      </w:r>
    </w:p>
    <w:p w14:paraId="30C073E6">
      <w:pPr>
        <w:keepNext w:val="0"/>
        <w:keepLines w:val="0"/>
        <w:pageBreakBefore w:val="0"/>
        <w:widowControl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当发生本合同条款第6.1款第（1）项变更时，按实调整土地整治面积，</w:t>
      </w:r>
      <w:r>
        <w:rPr>
          <w:rFonts w:hint="eastAsia" w:ascii="宋体" w:hAnsi="宋体" w:eastAsia="宋体" w:cs="宋体"/>
          <w:color w:val="auto"/>
          <w:sz w:val="22"/>
          <w:szCs w:val="22"/>
          <w:highlight w:val="none"/>
          <w:lang w:eastAsia="zh-CN"/>
        </w:rPr>
        <w:t>项目实施费用</w:t>
      </w:r>
      <w:r>
        <w:rPr>
          <w:rFonts w:hint="eastAsia" w:ascii="宋体" w:hAnsi="宋体" w:eastAsia="宋体" w:cs="宋体"/>
          <w:color w:val="auto"/>
          <w:sz w:val="22"/>
          <w:szCs w:val="22"/>
          <w:highlight w:val="none"/>
        </w:rPr>
        <w:t>以</w:t>
      </w:r>
      <w:r>
        <w:rPr>
          <w:rFonts w:hint="eastAsia" w:ascii="宋体" w:hAnsi="宋体" w:eastAsia="宋体" w:cs="宋体"/>
          <w:color w:val="auto"/>
          <w:sz w:val="22"/>
          <w:szCs w:val="22"/>
          <w:highlight w:val="none"/>
          <w:lang w:val="en-US" w:eastAsia="zh-CN"/>
        </w:rPr>
        <w:t>中标</w:t>
      </w:r>
      <w:r>
        <w:rPr>
          <w:rFonts w:hint="eastAsia" w:ascii="宋体" w:hAnsi="宋体" w:eastAsia="宋体" w:cs="宋体"/>
          <w:color w:val="auto"/>
          <w:sz w:val="22"/>
          <w:szCs w:val="22"/>
          <w:highlight w:val="none"/>
          <w:lang w:eastAsia="zh-CN"/>
        </w:rPr>
        <w:t>项目实施费用</w:t>
      </w:r>
      <w:r>
        <w:rPr>
          <w:rFonts w:hint="eastAsia" w:ascii="宋体" w:hAnsi="宋体" w:eastAsia="宋体" w:cs="宋体"/>
          <w:color w:val="auto"/>
          <w:sz w:val="22"/>
          <w:szCs w:val="22"/>
          <w:highlight w:val="none"/>
          <w:lang w:val="en-US" w:eastAsia="zh-CN"/>
        </w:rPr>
        <w:t>单</w:t>
      </w:r>
      <w:r>
        <w:rPr>
          <w:rFonts w:hint="eastAsia" w:ascii="宋体" w:hAnsi="宋体" w:eastAsia="宋体" w:cs="宋体"/>
          <w:color w:val="auto"/>
          <w:sz w:val="22"/>
          <w:szCs w:val="22"/>
          <w:highlight w:val="none"/>
        </w:rPr>
        <w:t>价包干实施。</w:t>
      </w:r>
    </w:p>
    <w:p w14:paraId="194B12D1">
      <w:pPr>
        <w:keepNext w:val="0"/>
        <w:keepLines w:val="0"/>
        <w:pageBreakBefore w:val="0"/>
        <w:widowControl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无论发生第（1）项或第（2）项变更时，</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均不得以变更为由向</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提出索赔。</w:t>
      </w:r>
    </w:p>
    <w:p w14:paraId="5B92956E">
      <w:pPr>
        <w:keepNext w:val="0"/>
        <w:keepLines w:val="0"/>
        <w:pageBreakBefore w:val="0"/>
        <w:widowControl w:val="0"/>
        <w:numPr>
          <w:ilvl w:val="0"/>
          <w:numId w:val="7"/>
        </w:numPr>
        <w:tabs>
          <w:tab w:val="left" w:pos="658"/>
        </w:tabs>
        <w:kinsoku/>
        <w:wordWrap/>
        <w:overflowPunct/>
        <w:topLinePunct w:val="0"/>
        <w:bidi w:val="0"/>
        <w:spacing w:line="400" w:lineRule="exact"/>
        <w:ind w:left="0" w:firstLine="426"/>
        <w:jc w:val="left"/>
        <w:textAlignment w:val="auto"/>
        <w:outlineLvl w:val="3"/>
        <w:rPr>
          <w:rFonts w:hint="eastAsia" w:ascii="宋体" w:hAnsi="宋体" w:eastAsia="宋体" w:cs="宋体"/>
          <w:b/>
          <w:snapToGrid w:val="0"/>
          <w:color w:val="auto"/>
          <w:kern w:val="2"/>
          <w:sz w:val="22"/>
          <w:szCs w:val="22"/>
          <w:highlight w:val="none"/>
          <w:lang w:val="en-US" w:eastAsia="zh-CN" w:bidi="ar-SA"/>
        </w:rPr>
      </w:pPr>
      <w:r>
        <w:rPr>
          <w:rFonts w:hint="eastAsia" w:ascii="宋体" w:hAnsi="宋体" w:eastAsia="宋体" w:cs="宋体"/>
          <w:b/>
          <w:snapToGrid w:val="0"/>
          <w:color w:val="auto"/>
          <w:kern w:val="2"/>
          <w:sz w:val="22"/>
          <w:szCs w:val="22"/>
          <w:highlight w:val="none"/>
          <w:lang w:val="en-US" w:eastAsia="zh-CN" w:bidi="ar-SA"/>
        </w:rPr>
        <w:t>承诺和保证</w:t>
      </w:r>
    </w:p>
    <w:p w14:paraId="19F1A913">
      <w:pPr>
        <w:keepNext w:val="0"/>
        <w:keepLines w:val="0"/>
        <w:pageBreakBefore w:val="0"/>
        <w:widowControl w:val="0"/>
        <w:kinsoku/>
        <w:wordWrap/>
        <w:overflowPunct/>
        <w:topLinePunct w:val="0"/>
        <w:bidi w:val="0"/>
        <w:spacing w:before="0" w:after="0" w:line="400" w:lineRule="exact"/>
        <w:ind w:firstLine="426"/>
        <w:jc w:val="both"/>
        <w:textAlignment w:val="auto"/>
        <w:outlineLvl w:val="4"/>
        <w:rPr>
          <w:rFonts w:hint="eastAsia" w:ascii="宋体" w:hAnsi="宋体" w:eastAsia="宋体" w:cs="宋体"/>
          <w:b/>
          <w:bCs/>
          <w:snapToGrid w:val="0"/>
          <w:color w:val="auto"/>
          <w:kern w:val="2"/>
          <w:sz w:val="22"/>
          <w:szCs w:val="22"/>
          <w:highlight w:val="none"/>
          <w:lang w:val="en-US" w:eastAsia="zh-CN" w:bidi="ar-SA"/>
        </w:rPr>
      </w:pPr>
      <w:r>
        <w:rPr>
          <w:rFonts w:hint="eastAsia" w:ascii="宋体" w:hAnsi="宋体" w:eastAsia="宋体" w:cs="宋体"/>
          <w:b/>
          <w:bCs/>
          <w:snapToGrid w:val="0"/>
          <w:color w:val="auto"/>
          <w:kern w:val="2"/>
          <w:sz w:val="22"/>
          <w:szCs w:val="22"/>
          <w:highlight w:val="none"/>
          <w:lang w:val="en-US" w:eastAsia="zh-CN" w:bidi="ar-SA"/>
        </w:rPr>
        <w:t>7.1甲方、丙方的承诺和保证</w:t>
      </w:r>
    </w:p>
    <w:p w14:paraId="3608986B">
      <w:pPr>
        <w:keepNext w:val="0"/>
        <w:keepLines w:val="0"/>
        <w:pageBreakBefore w:val="0"/>
        <w:widowControl w:val="0"/>
        <w:kinsoku/>
        <w:wordWrap/>
        <w:overflowPunct/>
        <w:topLinePunct w:val="0"/>
        <w:bidi w:val="0"/>
        <w:adjustRightInd w:val="0"/>
        <w:spacing w:line="400" w:lineRule="exact"/>
        <w:ind w:firstLine="442" w:firstLineChars="200"/>
        <w:textAlignment w:val="auto"/>
        <w:rPr>
          <w:rFonts w:hint="eastAsia" w:ascii="宋体" w:hAnsi="宋体" w:eastAsia="宋体" w:cs="宋体"/>
          <w:color w:val="auto"/>
          <w:sz w:val="22"/>
          <w:szCs w:val="22"/>
          <w:highlight w:val="none"/>
        </w:rPr>
      </w:pPr>
      <w:r>
        <w:rPr>
          <w:rFonts w:hint="eastAsia" w:ascii="宋体" w:hAnsi="宋体" w:eastAsia="宋体" w:cs="宋体"/>
          <w:b/>
          <w:color w:val="auto"/>
          <w:sz w:val="22"/>
          <w:szCs w:val="22"/>
          <w:highlight w:val="none"/>
        </w:rPr>
        <w:t>7.1.1</w:t>
      </w:r>
      <w:r>
        <w:rPr>
          <w:rFonts w:hint="eastAsia" w:ascii="宋体" w:hAnsi="宋体" w:eastAsia="宋体" w:cs="宋体"/>
          <w:color w:val="auto"/>
          <w:sz w:val="22"/>
          <w:szCs w:val="22"/>
          <w:highlight w:val="none"/>
        </w:rPr>
        <w:t>协助</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lang w:val="en-US" w:eastAsia="zh-CN"/>
        </w:rPr>
        <w:t>做好配合</w:t>
      </w:r>
      <w:r>
        <w:rPr>
          <w:rFonts w:hint="eastAsia" w:ascii="宋体" w:hAnsi="宋体" w:eastAsia="宋体" w:cs="宋体"/>
          <w:color w:val="auto"/>
          <w:sz w:val="22"/>
          <w:szCs w:val="22"/>
          <w:highlight w:val="none"/>
        </w:rPr>
        <w:t>工作。</w:t>
      </w:r>
    </w:p>
    <w:p w14:paraId="796B0EE8">
      <w:pPr>
        <w:keepNext w:val="0"/>
        <w:keepLines w:val="0"/>
        <w:pageBreakBefore w:val="0"/>
        <w:widowControl w:val="0"/>
        <w:kinsoku/>
        <w:wordWrap/>
        <w:overflowPunct/>
        <w:topLinePunct w:val="0"/>
        <w:bidi w:val="0"/>
        <w:adjustRightInd w:val="0"/>
        <w:spacing w:line="400" w:lineRule="exact"/>
        <w:ind w:firstLine="442" w:firstLineChars="200"/>
        <w:textAlignment w:val="auto"/>
        <w:rPr>
          <w:rFonts w:hint="eastAsia" w:ascii="宋体" w:hAnsi="宋体" w:eastAsia="宋体" w:cs="宋体"/>
          <w:color w:val="auto"/>
          <w:sz w:val="22"/>
          <w:szCs w:val="22"/>
          <w:highlight w:val="none"/>
        </w:rPr>
      </w:pPr>
      <w:r>
        <w:rPr>
          <w:rFonts w:hint="eastAsia" w:ascii="宋体" w:hAnsi="宋体" w:eastAsia="宋体" w:cs="宋体"/>
          <w:b/>
          <w:color w:val="auto"/>
          <w:sz w:val="22"/>
          <w:szCs w:val="22"/>
          <w:highlight w:val="none"/>
        </w:rPr>
        <w:t>7.1.2</w:t>
      </w:r>
      <w:r>
        <w:rPr>
          <w:rFonts w:hint="eastAsia" w:ascii="宋体" w:hAnsi="宋体" w:eastAsia="宋体" w:cs="宋体"/>
          <w:b w:val="0"/>
          <w:bCs/>
          <w:color w:val="auto"/>
          <w:sz w:val="22"/>
          <w:szCs w:val="22"/>
          <w:highlight w:val="none"/>
          <w:lang w:val="en-US" w:eastAsia="zh-CN"/>
        </w:rPr>
        <w:t>由丙方</w:t>
      </w:r>
      <w:r>
        <w:rPr>
          <w:rFonts w:hint="eastAsia" w:ascii="宋体" w:hAnsi="宋体" w:eastAsia="宋体" w:cs="宋体"/>
          <w:b w:val="0"/>
          <w:bCs/>
          <w:color w:val="auto"/>
          <w:sz w:val="22"/>
          <w:szCs w:val="22"/>
          <w:highlight w:val="none"/>
        </w:rPr>
        <w:t>按合同</w:t>
      </w:r>
      <w:r>
        <w:rPr>
          <w:rFonts w:hint="eastAsia" w:ascii="宋体" w:hAnsi="宋体" w:eastAsia="宋体" w:cs="宋体"/>
          <w:color w:val="auto"/>
          <w:sz w:val="22"/>
          <w:szCs w:val="22"/>
          <w:highlight w:val="none"/>
        </w:rPr>
        <w:t>规定按时向</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提供合同款。</w:t>
      </w:r>
    </w:p>
    <w:p w14:paraId="002E476E">
      <w:pPr>
        <w:keepNext w:val="0"/>
        <w:keepLines w:val="0"/>
        <w:pageBreakBefore w:val="0"/>
        <w:widowControl w:val="0"/>
        <w:kinsoku/>
        <w:wordWrap/>
        <w:overflowPunct/>
        <w:topLinePunct w:val="0"/>
        <w:bidi w:val="0"/>
        <w:spacing w:before="0" w:after="0" w:line="400" w:lineRule="exact"/>
        <w:ind w:firstLine="426"/>
        <w:jc w:val="both"/>
        <w:textAlignment w:val="auto"/>
        <w:outlineLvl w:val="4"/>
        <w:rPr>
          <w:rFonts w:hint="eastAsia" w:ascii="宋体" w:hAnsi="宋体" w:eastAsia="宋体" w:cs="宋体"/>
          <w:b/>
          <w:bCs/>
          <w:snapToGrid w:val="0"/>
          <w:color w:val="auto"/>
          <w:kern w:val="2"/>
          <w:sz w:val="22"/>
          <w:szCs w:val="22"/>
          <w:highlight w:val="none"/>
          <w:lang w:val="en-US" w:eastAsia="zh-CN" w:bidi="ar-SA"/>
        </w:rPr>
      </w:pPr>
      <w:r>
        <w:rPr>
          <w:rFonts w:hint="eastAsia" w:ascii="宋体" w:hAnsi="宋体" w:eastAsia="宋体" w:cs="宋体"/>
          <w:b/>
          <w:bCs/>
          <w:snapToGrid w:val="0"/>
          <w:color w:val="auto"/>
          <w:kern w:val="2"/>
          <w:sz w:val="22"/>
          <w:szCs w:val="22"/>
          <w:highlight w:val="none"/>
          <w:lang w:val="en-US" w:eastAsia="zh-CN" w:bidi="ar-SA"/>
        </w:rPr>
        <w:t>7.2乙方的承诺和保证</w:t>
      </w:r>
    </w:p>
    <w:p w14:paraId="09B87961">
      <w:pPr>
        <w:keepNext w:val="0"/>
        <w:keepLines w:val="0"/>
        <w:pageBreakBefore w:val="0"/>
        <w:widowControl w:val="0"/>
        <w:kinsoku/>
        <w:wordWrap/>
        <w:overflowPunct/>
        <w:topLinePunct w:val="0"/>
        <w:bidi w:val="0"/>
        <w:adjustRightInd w:val="0"/>
        <w:spacing w:line="400" w:lineRule="exact"/>
        <w:ind w:firstLine="442" w:firstLineChars="200"/>
        <w:textAlignment w:val="auto"/>
        <w:rPr>
          <w:rFonts w:hint="eastAsia" w:ascii="宋体" w:hAnsi="宋体" w:eastAsia="宋体" w:cs="宋体"/>
          <w:color w:val="auto"/>
          <w:sz w:val="22"/>
          <w:szCs w:val="22"/>
          <w:highlight w:val="none"/>
        </w:rPr>
      </w:pPr>
      <w:r>
        <w:rPr>
          <w:rFonts w:hint="eastAsia" w:ascii="宋体" w:hAnsi="宋体" w:eastAsia="宋体" w:cs="宋体"/>
          <w:b/>
          <w:color w:val="auto"/>
          <w:sz w:val="22"/>
          <w:szCs w:val="22"/>
          <w:highlight w:val="none"/>
        </w:rPr>
        <w:t>7.2.1</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在项目</w:t>
      </w:r>
      <w:r>
        <w:rPr>
          <w:rFonts w:hint="eastAsia" w:ascii="宋体" w:hAnsi="宋体" w:eastAsia="宋体" w:cs="宋体"/>
          <w:color w:val="auto"/>
          <w:sz w:val="22"/>
          <w:szCs w:val="22"/>
          <w:highlight w:val="none"/>
          <w:lang w:val="en-US" w:eastAsia="zh-CN"/>
        </w:rPr>
        <w:t>服务实施</w:t>
      </w:r>
      <w:r>
        <w:rPr>
          <w:rFonts w:hint="eastAsia" w:ascii="宋体" w:hAnsi="宋体" w:eastAsia="宋体" w:cs="宋体"/>
          <w:color w:val="auto"/>
          <w:sz w:val="22"/>
          <w:szCs w:val="22"/>
          <w:highlight w:val="none"/>
        </w:rPr>
        <w:t>时间方面的特别承诺和保证：</w:t>
      </w:r>
    </w:p>
    <w:p w14:paraId="5887FEF4">
      <w:pPr>
        <w:keepNext w:val="0"/>
        <w:keepLines w:val="0"/>
        <w:pageBreakBefore w:val="0"/>
        <w:widowControl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（1）</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保证按照本合同约定准时开始工作。</w:t>
      </w:r>
    </w:p>
    <w:p w14:paraId="48D1F031">
      <w:pPr>
        <w:keepNext w:val="0"/>
        <w:keepLines w:val="0"/>
        <w:pageBreakBefore w:val="0"/>
        <w:widowControl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（2）为保证</w:t>
      </w:r>
      <w:r>
        <w:rPr>
          <w:rFonts w:hint="eastAsia" w:ascii="宋体" w:hAnsi="宋体" w:eastAsia="宋体" w:cs="宋体"/>
          <w:color w:val="auto"/>
          <w:sz w:val="22"/>
          <w:szCs w:val="22"/>
          <w:highlight w:val="none"/>
          <w:lang w:val="en-US" w:eastAsia="zh-CN"/>
        </w:rPr>
        <w:t>项目</w:t>
      </w:r>
      <w:r>
        <w:rPr>
          <w:rFonts w:hint="eastAsia" w:ascii="宋体" w:hAnsi="宋体" w:eastAsia="宋体" w:cs="宋体"/>
          <w:color w:val="auto"/>
          <w:sz w:val="22"/>
          <w:szCs w:val="22"/>
          <w:highlight w:val="none"/>
        </w:rPr>
        <w:t>的进展和按期完成，</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将对</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提供的场地进行详细的规划，如在</w:t>
      </w:r>
      <w:r>
        <w:rPr>
          <w:rFonts w:hint="eastAsia" w:ascii="宋体" w:hAnsi="宋体" w:eastAsia="宋体" w:cs="宋体"/>
          <w:color w:val="auto"/>
          <w:sz w:val="22"/>
          <w:szCs w:val="22"/>
          <w:highlight w:val="none"/>
          <w:lang w:val="en-US" w:eastAsia="zh-CN"/>
        </w:rPr>
        <w:t>项目实施</w:t>
      </w:r>
      <w:r>
        <w:rPr>
          <w:rFonts w:hint="eastAsia" w:ascii="宋体" w:hAnsi="宋体" w:eastAsia="宋体" w:cs="宋体"/>
          <w:color w:val="auto"/>
          <w:sz w:val="22"/>
          <w:szCs w:val="22"/>
          <w:highlight w:val="none"/>
        </w:rPr>
        <w:t>时尚有部分拆迁未完成，则应先对可以</w:t>
      </w:r>
      <w:r>
        <w:rPr>
          <w:rFonts w:hint="eastAsia" w:ascii="宋体" w:hAnsi="宋体" w:eastAsia="宋体" w:cs="宋体"/>
          <w:color w:val="auto"/>
          <w:sz w:val="22"/>
          <w:szCs w:val="22"/>
          <w:highlight w:val="none"/>
          <w:lang w:val="en-US" w:eastAsia="zh-CN"/>
        </w:rPr>
        <w:t>实施</w:t>
      </w:r>
      <w:r>
        <w:rPr>
          <w:rFonts w:hint="eastAsia" w:ascii="宋体" w:hAnsi="宋体" w:eastAsia="宋体" w:cs="宋体"/>
          <w:color w:val="auto"/>
          <w:sz w:val="22"/>
          <w:szCs w:val="22"/>
          <w:highlight w:val="none"/>
        </w:rPr>
        <w:t>部分进行规划</w:t>
      </w:r>
      <w:r>
        <w:rPr>
          <w:rFonts w:hint="eastAsia" w:ascii="宋体" w:hAnsi="宋体" w:eastAsia="宋体" w:cs="宋体"/>
          <w:color w:val="auto"/>
          <w:sz w:val="22"/>
          <w:szCs w:val="22"/>
          <w:highlight w:val="none"/>
          <w:lang w:val="en-US" w:eastAsia="zh-CN"/>
        </w:rPr>
        <w:t>实施</w:t>
      </w:r>
      <w:r>
        <w:rPr>
          <w:rFonts w:hint="eastAsia" w:ascii="宋体" w:hAnsi="宋体" w:eastAsia="宋体" w:cs="宋体"/>
          <w:color w:val="auto"/>
          <w:sz w:val="22"/>
          <w:szCs w:val="22"/>
          <w:highlight w:val="none"/>
        </w:rPr>
        <w:t>，合</w:t>
      </w:r>
      <w:r>
        <w:rPr>
          <w:rFonts w:hint="eastAsia" w:ascii="宋体" w:hAnsi="宋体" w:eastAsia="宋体" w:cs="宋体"/>
          <w:color w:val="auto"/>
          <w:sz w:val="22"/>
          <w:szCs w:val="22"/>
          <w:highlight w:val="none"/>
          <w:lang w:val="en-US" w:eastAsia="zh-CN"/>
        </w:rPr>
        <w:t>理</w:t>
      </w:r>
      <w:r>
        <w:rPr>
          <w:rFonts w:hint="eastAsia" w:ascii="宋体" w:hAnsi="宋体" w:eastAsia="宋体" w:cs="宋体"/>
          <w:color w:val="auto"/>
          <w:sz w:val="22"/>
          <w:szCs w:val="22"/>
          <w:highlight w:val="none"/>
        </w:rPr>
        <w:t>调配</w:t>
      </w:r>
      <w:r>
        <w:rPr>
          <w:rFonts w:hint="eastAsia" w:ascii="宋体" w:hAnsi="宋体" w:eastAsia="宋体" w:cs="宋体"/>
          <w:color w:val="auto"/>
          <w:sz w:val="22"/>
          <w:szCs w:val="22"/>
          <w:highlight w:val="none"/>
          <w:lang w:val="en-US" w:eastAsia="zh-CN"/>
        </w:rPr>
        <w:t>实施</w:t>
      </w:r>
      <w:r>
        <w:rPr>
          <w:rFonts w:hint="eastAsia" w:ascii="宋体" w:hAnsi="宋体" w:eastAsia="宋体" w:cs="宋体"/>
          <w:color w:val="auto"/>
          <w:sz w:val="22"/>
          <w:szCs w:val="22"/>
          <w:highlight w:val="none"/>
        </w:rPr>
        <w:t>及采购力量，并配合</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及相关部门对于未完成拆迁部分进行拆迁。一旦该拆迁完成，提供足够的</w:t>
      </w:r>
      <w:r>
        <w:rPr>
          <w:rFonts w:hint="eastAsia" w:ascii="宋体" w:hAnsi="宋体" w:eastAsia="宋体" w:cs="宋体"/>
          <w:color w:val="auto"/>
          <w:sz w:val="22"/>
          <w:szCs w:val="22"/>
          <w:highlight w:val="none"/>
          <w:lang w:val="en-US" w:eastAsia="zh-CN"/>
        </w:rPr>
        <w:t>土地整治实施</w:t>
      </w:r>
      <w:r>
        <w:rPr>
          <w:rFonts w:hint="eastAsia" w:ascii="宋体" w:hAnsi="宋体" w:eastAsia="宋体" w:cs="宋体"/>
          <w:color w:val="auto"/>
          <w:sz w:val="22"/>
          <w:szCs w:val="22"/>
          <w:highlight w:val="none"/>
        </w:rPr>
        <w:t>力量，以便</w:t>
      </w:r>
      <w:r>
        <w:rPr>
          <w:rFonts w:hint="eastAsia" w:ascii="宋体" w:hAnsi="宋体" w:eastAsia="宋体" w:cs="宋体"/>
          <w:color w:val="auto"/>
          <w:sz w:val="22"/>
          <w:szCs w:val="22"/>
          <w:highlight w:val="none"/>
          <w:lang w:val="en-US" w:eastAsia="zh-CN"/>
        </w:rPr>
        <w:t>项目</w:t>
      </w:r>
      <w:r>
        <w:rPr>
          <w:rFonts w:hint="eastAsia" w:ascii="宋体" w:hAnsi="宋体" w:eastAsia="宋体" w:cs="宋体"/>
          <w:color w:val="auto"/>
          <w:sz w:val="22"/>
          <w:szCs w:val="22"/>
          <w:highlight w:val="none"/>
        </w:rPr>
        <w:t>的进展不受影响。</w:t>
      </w:r>
    </w:p>
    <w:p w14:paraId="295EAB74">
      <w:pPr>
        <w:keepNext w:val="0"/>
        <w:keepLines w:val="0"/>
        <w:pageBreakBefore w:val="0"/>
        <w:widowControl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（3）在考虑</w:t>
      </w:r>
      <w:r>
        <w:rPr>
          <w:rFonts w:hint="eastAsia" w:ascii="宋体" w:hAnsi="宋体" w:eastAsia="宋体" w:cs="宋体"/>
          <w:color w:val="auto"/>
          <w:sz w:val="22"/>
          <w:szCs w:val="22"/>
          <w:highlight w:val="none"/>
          <w:lang w:val="en-US" w:eastAsia="zh-CN"/>
        </w:rPr>
        <w:t>项目实施</w:t>
      </w:r>
      <w:r>
        <w:rPr>
          <w:rFonts w:hint="eastAsia" w:ascii="宋体" w:hAnsi="宋体" w:eastAsia="宋体" w:cs="宋体"/>
          <w:color w:val="auto"/>
          <w:sz w:val="22"/>
          <w:szCs w:val="22"/>
          <w:highlight w:val="none"/>
        </w:rPr>
        <w:t>进展时，充分考虑</w:t>
      </w:r>
      <w:r>
        <w:rPr>
          <w:rFonts w:hint="eastAsia" w:ascii="宋体" w:hAnsi="宋体" w:eastAsia="宋体" w:cs="宋体"/>
          <w:color w:val="auto"/>
          <w:sz w:val="22"/>
          <w:szCs w:val="22"/>
          <w:highlight w:val="none"/>
          <w:lang w:val="en-US" w:eastAsia="zh-CN"/>
        </w:rPr>
        <w:t>项目</w:t>
      </w:r>
      <w:r>
        <w:rPr>
          <w:rFonts w:hint="eastAsia" w:ascii="宋体" w:hAnsi="宋体" w:eastAsia="宋体" w:cs="宋体"/>
          <w:color w:val="auto"/>
          <w:sz w:val="22"/>
          <w:szCs w:val="22"/>
          <w:highlight w:val="none"/>
        </w:rPr>
        <w:t>所在地每年会发生雨季、台风、暴雨、干旱季节、高温、寒冷及其他自然因素对</w:t>
      </w:r>
      <w:r>
        <w:rPr>
          <w:rFonts w:hint="eastAsia" w:ascii="宋体" w:hAnsi="宋体" w:eastAsia="宋体" w:cs="宋体"/>
          <w:color w:val="auto"/>
          <w:sz w:val="22"/>
          <w:szCs w:val="22"/>
          <w:highlight w:val="none"/>
          <w:lang w:val="en-US" w:eastAsia="zh-CN"/>
        </w:rPr>
        <w:t>项目实施</w:t>
      </w:r>
      <w:r>
        <w:rPr>
          <w:rFonts w:hint="eastAsia" w:ascii="宋体" w:hAnsi="宋体" w:eastAsia="宋体" w:cs="宋体"/>
          <w:color w:val="auto"/>
          <w:sz w:val="22"/>
          <w:szCs w:val="22"/>
          <w:highlight w:val="none"/>
        </w:rPr>
        <w:t>可能产生的影响，合同确定的</w:t>
      </w:r>
      <w:r>
        <w:rPr>
          <w:rFonts w:hint="eastAsia" w:ascii="宋体" w:hAnsi="宋体" w:eastAsia="宋体" w:cs="宋体"/>
          <w:color w:val="auto"/>
          <w:sz w:val="22"/>
          <w:szCs w:val="22"/>
          <w:highlight w:val="none"/>
          <w:lang w:val="en-US" w:eastAsia="zh-CN"/>
        </w:rPr>
        <w:t>实施</w:t>
      </w:r>
      <w:r>
        <w:rPr>
          <w:rFonts w:hint="eastAsia" w:ascii="宋体" w:hAnsi="宋体" w:eastAsia="宋体" w:cs="宋体"/>
          <w:color w:val="auto"/>
          <w:sz w:val="22"/>
          <w:szCs w:val="22"/>
          <w:highlight w:val="none"/>
        </w:rPr>
        <w:t>期亦充分考虑了该等影响因素。</w:t>
      </w:r>
    </w:p>
    <w:p w14:paraId="60DC780E">
      <w:pPr>
        <w:keepNext w:val="0"/>
        <w:keepLines w:val="0"/>
        <w:pageBreakBefore w:val="0"/>
        <w:widowControl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（4）在发生或估计会发生</w:t>
      </w:r>
      <w:r>
        <w:rPr>
          <w:rFonts w:hint="eastAsia" w:ascii="宋体" w:hAnsi="宋体" w:eastAsia="宋体" w:cs="宋体"/>
          <w:color w:val="auto"/>
          <w:sz w:val="22"/>
          <w:szCs w:val="22"/>
          <w:highlight w:val="none"/>
          <w:lang w:val="en-US" w:eastAsia="zh-CN"/>
        </w:rPr>
        <w:t>项目实施</w:t>
      </w:r>
      <w:r>
        <w:rPr>
          <w:rFonts w:hint="eastAsia" w:ascii="宋体" w:hAnsi="宋体" w:eastAsia="宋体" w:cs="宋体"/>
          <w:color w:val="auto"/>
          <w:sz w:val="22"/>
          <w:szCs w:val="22"/>
          <w:highlight w:val="none"/>
        </w:rPr>
        <w:t>期迟延的情况时，</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应加强</w:t>
      </w:r>
      <w:r>
        <w:rPr>
          <w:rFonts w:hint="eastAsia" w:hAnsi="宋体" w:cs="宋体"/>
          <w:color w:val="auto"/>
          <w:sz w:val="22"/>
          <w:szCs w:val="22"/>
          <w:highlight w:val="none"/>
          <w:lang w:val="en-US" w:eastAsia="zh-CN"/>
        </w:rPr>
        <w:t>企业</w:t>
      </w:r>
      <w:r>
        <w:rPr>
          <w:rFonts w:hint="eastAsia" w:ascii="宋体" w:hAnsi="宋体" w:eastAsia="宋体" w:cs="宋体"/>
          <w:color w:val="auto"/>
          <w:sz w:val="22"/>
          <w:szCs w:val="22"/>
          <w:highlight w:val="none"/>
          <w:lang w:val="en-US" w:eastAsia="zh-CN"/>
        </w:rPr>
        <w:t>实施</w:t>
      </w:r>
      <w:r>
        <w:rPr>
          <w:rFonts w:hint="eastAsia" w:ascii="宋体" w:hAnsi="宋体" w:eastAsia="宋体" w:cs="宋体"/>
          <w:color w:val="auto"/>
          <w:sz w:val="22"/>
          <w:szCs w:val="22"/>
          <w:highlight w:val="none"/>
        </w:rPr>
        <w:t>力量进行赶工，并确保</w:t>
      </w:r>
      <w:r>
        <w:rPr>
          <w:rFonts w:hint="eastAsia" w:ascii="宋体" w:hAnsi="宋体" w:eastAsia="宋体" w:cs="宋体"/>
          <w:color w:val="auto"/>
          <w:sz w:val="22"/>
          <w:szCs w:val="22"/>
          <w:highlight w:val="none"/>
          <w:lang w:val="en-US" w:eastAsia="zh-CN"/>
        </w:rPr>
        <w:t>项目</w:t>
      </w:r>
      <w:r>
        <w:rPr>
          <w:rFonts w:hint="eastAsia" w:ascii="宋体" w:hAnsi="宋体" w:eastAsia="宋体" w:cs="宋体"/>
          <w:color w:val="auto"/>
          <w:sz w:val="22"/>
          <w:szCs w:val="22"/>
          <w:highlight w:val="none"/>
        </w:rPr>
        <w:t>质量，以便延误的</w:t>
      </w:r>
      <w:r>
        <w:rPr>
          <w:rFonts w:hint="eastAsia" w:ascii="宋体" w:hAnsi="宋体" w:eastAsia="宋体" w:cs="宋体"/>
          <w:color w:val="auto"/>
          <w:sz w:val="22"/>
          <w:szCs w:val="22"/>
          <w:highlight w:val="none"/>
          <w:lang w:val="en-US" w:eastAsia="zh-CN"/>
        </w:rPr>
        <w:t>项目实施</w:t>
      </w:r>
      <w:r>
        <w:rPr>
          <w:rFonts w:hint="eastAsia" w:ascii="宋体" w:hAnsi="宋体" w:eastAsia="宋体" w:cs="宋体"/>
          <w:color w:val="auto"/>
          <w:sz w:val="22"/>
          <w:szCs w:val="22"/>
          <w:highlight w:val="none"/>
        </w:rPr>
        <w:t>期能够赶上，按照在保证质量的情况下通过验收。</w:t>
      </w:r>
    </w:p>
    <w:p w14:paraId="0BDE2175">
      <w:pPr>
        <w:keepNext w:val="0"/>
        <w:keepLines w:val="0"/>
        <w:pageBreakBefore w:val="0"/>
        <w:widowControl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（5）</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有权在发现</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按计划可能或实际发生</w:t>
      </w:r>
      <w:r>
        <w:rPr>
          <w:rFonts w:hint="eastAsia" w:ascii="宋体" w:hAnsi="宋体" w:eastAsia="宋体" w:cs="宋体"/>
          <w:color w:val="auto"/>
          <w:sz w:val="22"/>
          <w:szCs w:val="22"/>
          <w:highlight w:val="none"/>
          <w:lang w:val="en-US" w:eastAsia="zh-CN"/>
        </w:rPr>
        <w:t>项目实施期</w:t>
      </w:r>
      <w:r>
        <w:rPr>
          <w:rFonts w:hint="eastAsia" w:ascii="宋体" w:hAnsi="宋体" w:eastAsia="宋体" w:cs="宋体"/>
          <w:color w:val="auto"/>
          <w:sz w:val="22"/>
          <w:szCs w:val="22"/>
          <w:highlight w:val="none"/>
        </w:rPr>
        <w:t>延误的情况下，要求</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加强</w:t>
      </w:r>
      <w:r>
        <w:rPr>
          <w:rFonts w:hint="eastAsia" w:hAnsi="宋体" w:cs="宋体"/>
          <w:color w:val="auto"/>
          <w:sz w:val="22"/>
          <w:szCs w:val="22"/>
          <w:highlight w:val="none"/>
          <w:lang w:val="en-US" w:eastAsia="zh-CN"/>
        </w:rPr>
        <w:t>企业</w:t>
      </w:r>
      <w:r>
        <w:rPr>
          <w:rFonts w:hint="eastAsia" w:ascii="宋体" w:hAnsi="宋体" w:eastAsia="宋体" w:cs="宋体"/>
          <w:color w:val="auto"/>
          <w:sz w:val="22"/>
          <w:szCs w:val="22"/>
          <w:highlight w:val="none"/>
          <w:lang w:val="en-US" w:eastAsia="zh-CN"/>
        </w:rPr>
        <w:t>实施</w:t>
      </w:r>
      <w:r>
        <w:rPr>
          <w:rFonts w:hint="eastAsia" w:ascii="宋体" w:hAnsi="宋体" w:eastAsia="宋体" w:cs="宋体"/>
          <w:color w:val="auto"/>
          <w:sz w:val="22"/>
          <w:szCs w:val="22"/>
          <w:highlight w:val="none"/>
        </w:rPr>
        <w:t>力量的配置。</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应该在收到</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或其代表、监理人的通知（不管是口头或书面）后，应即刻调整或改正。</w:t>
      </w:r>
    </w:p>
    <w:p w14:paraId="73BB6E0C">
      <w:pPr>
        <w:keepNext w:val="0"/>
        <w:keepLines w:val="0"/>
        <w:pageBreakBefore w:val="0"/>
        <w:widowControl w:val="0"/>
        <w:kinsoku/>
        <w:wordWrap/>
        <w:overflowPunct/>
        <w:topLinePunct w:val="0"/>
        <w:bidi w:val="0"/>
        <w:adjustRightInd w:val="0"/>
        <w:spacing w:line="400" w:lineRule="exact"/>
        <w:ind w:firstLine="440" w:firstLineChars="200"/>
        <w:textAlignment w:val="auto"/>
        <w:rPr>
          <w:rFonts w:hint="eastAsia" w:ascii="宋体" w:hAnsi="宋体" w:cs="宋体"/>
          <w:color w:val="auto"/>
          <w:sz w:val="22"/>
          <w:szCs w:val="22"/>
          <w:highlight w:val="none"/>
        </w:rPr>
      </w:pPr>
      <w:r>
        <w:rPr>
          <w:rFonts w:hint="eastAsia" w:ascii="宋体" w:hAnsi="宋体" w:cs="宋体"/>
          <w:bCs w:val="0"/>
          <w:color w:val="auto"/>
          <w:kern w:val="2"/>
          <w:sz w:val="22"/>
          <w:szCs w:val="22"/>
          <w:highlight w:val="none"/>
          <w:u w:val="none"/>
          <w:lang w:val="en-US" w:eastAsia="zh-CN"/>
        </w:rPr>
        <w:t>（6）</w:t>
      </w:r>
      <w:r>
        <w:rPr>
          <w:rFonts w:hint="eastAsia" w:ascii="宋体" w:hAnsi="宋体" w:eastAsia="宋体" w:cs="宋体"/>
          <w:bCs w:val="0"/>
          <w:color w:val="auto"/>
          <w:kern w:val="2"/>
          <w:sz w:val="22"/>
          <w:szCs w:val="22"/>
          <w:highlight w:val="none"/>
          <w:u w:val="none"/>
          <w:lang w:val="en-US" w:eastAsia="zh-CN"/>
        </w:rPr>
        <w:t>本项目经</w:t>
      </w:r>
      <w:r>
        <w:rPr>
          <w:rFonts w:hint="eastAsia" w:ascii="宋体" w:hAnsi="宋体" w:cs="宋体"/>
          <w:bCs w:val="0"/>
          <w:color w:val="auto"/>
          <w:kern w:val="2"/>
          <w:sz w:val="22"/>
          <w:szCs w:val="22"/>
          <w:highlight w:val="none"/>
          <w:u w:val="none"/>
          <w:lang w:val="en-US" w:eastAsia="zh-CN"/>
        </w:rPr>
        <w:t>甲方</w:t>
      </w:r>
      <w:r>
        <w:rPr>
          <w:rFonts w:hint="eastAsia" w:ascii="宋体" w:hAnsi="宋体" w:eastAsia="宋体" w:cs="宋体"/>
          <w:bCs w:val="0"/>
          <w:color w:val="auto"/>
          <w:kern w:val="2"/>
          <w:sz w:val="22"/>
          <w:szCs w:val="22"/>
          <w:highlight w:val="none"/>
          <w:u w:val="none"/>
          <w:lang w:val="en-US" w:eastAsia="zh-CN"/>
        </w:rPr>
        <w:t>书面同意后进行分包，</w:t>
      </w:r>
      <w:r>
        <w:rPr>
          <w:rFonts w:hint="eastAsia" w:ascii="宋体" w:hAnsi="宋体" w:cs="宋体"/>
          <w:bCs w:val="0"/>
          <w:color w:val="auto"/>
          <w:kern w:val="2"/>
          <w:sz w:val="22"/>
          <w:szCs w:val="22"/>
          <w:highlight w:val="none"/>
          <w:u w:val="none"/>
          <w:lang w:val="en-US" w:eastAsia="zh-CN"/>
        </w:rPr>
        <w:t>甲方</w:t>
      </w:r>
      <w:r>
        <w:rPr>
          <w:rFonts w:hint="eastAsia" w:ascii="宋体" w:hAnsi="宋体" w:eastAsia="宋体" w:cs="宋体"/>
          <w:bCs w:val="0"/>
          <w:color w:val="auto"/>
          <w:kern w:val="2"/>
          <w:sz w:val="22"/>
          <w:szCs w:val="22"/>
          <w:highlight w:val="none"/>
          <w:u w:val="none"/>
          <w:lang w:val="en-US" w:eastAsia="zh-CN"/>
        </w:rPr>
        <w:t>有权对</w:t>
      </w:r>
      <w:r>
        <w:rPr>
          <w:rFonts w:hint="eastAsia" w:ascii="宋体" w:hAnsi="宋体" w:cs="宋体"/>
          <w:bCs w:val="0"/>
          <w:color w:val="auto"/>
          <w:kern w:val="2"/>
          <w:sz w:val="22"/>
          <w:szCs w:val="22"/>
          <w:highlight w:val="none"/>
          <w:u w:val="none"/>
          <w:lang w:val="en-US" w:eastAsia="zh-CN"/>
        </w:rPr>
        <w:t>乙方</w:t>
      </w:r>
      <w:r>
        <w:rPr>
          <w:rFonts w:hint="eastAsia" w:ascii="宋体" w:hAnsi="宋体" w:eastAsia="宋体" w:cs="宋体"/>
          <w:bCs w:val="0"/>
          <w:color w:val="auto"/>
          <w:kern w:val="2"/>
          <w:sz w:val="22"/>
          <w:szCs w:val="22"/>
          <w:highlight w:val="none"/>
          <w:u w:val="none"/>
          <w:lang w:val="en-US" w:eastAsia="zh-CN"/>
        </w:rPr>
        <w:t>分包的内容进行监管。</w:t>
      </w:r>
    </w:p>
    <w:p w14:paraId="2CDD46FC">
      <w:pPr>
        <w:keepNext w:val="0"/>
        <w:keepLines w:val="0"/>
        <w:pageBreakBefore w:val="0"/>
        <w:widowControl w:val="0"/>
        <w:kinsoku/>
        <w:wordWrap/>
        <w:overflowPunct/>
        <w:topLinePunct w:val="0"/>
        <w:bidi w:val="0"/>
        <w:adjustRightInd w:val="0"/>
        <w:spacing w:line="400" w:lineRule="exact"/>
        <w:ind w:firstLine="442" w:firstLineChars="200"/>
        <w:textAlignment w:val="auto"/>
        <w:rPr>
          <w:rFonts w:hint="eastAsia" w:ascii="宋体" w:hAnsi="宋体" w:eastAsia="宋体" w:cs="宋体"/>
          <w:color w:val="auto"/>
          <w:sz w:val="22"/>
          <w:szCs w:val="22"/>
          <w:highlight w:val="none"/>
        </w:rPr>
      </w:pPr>
      <w:r>
        <w:rPr>
          <w:rFonts w:hint="eastAsia" w:ascii="宋体" w:hAnsi="宋体" w:eastAsia="宋体" w:cs="宋体"/>
          <w:b/>
          <w:color w:val="auto"/>
          <w:sz w:val="22"/>
          <w:szCs w:val="22"/>
          <w:highlight w:val="none"/>
        </w:rPr>
        <w:t>7.2.</w:t>
      </w:r>
      <w:r>
        <w:rPr>
          <w:rFonts w:hint="eastAsia" w:ascii="宋体" w:hAnsi="宋体" w:eastAsia="宋体" w:cs="宋体"/>
          <w:b/>
          <w:color w:val="auto"/>
          <w:sz w:val="22"/>
          <w:szCs w:val="22"/>
          <w:highlight w:val="none"/>
          <w:lang w:val="en-US" w:eastAsia="zh-CN"/>
        </w:rPr>
        <w:t>2</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在</w:t>
      </w:r>
      <w:r>
        <w:rPr>
          <w:rFonts w:hint="eastAsia" w:ascii="宋体" w:hAnsi="宋体" w:eastAsia="宋体" w:cs="宋体"/>
          <w:color w:val="auto"/>
          <w:sz w:val="22"/>
          <w:szCs w:val="22"/>
          <w:highlight w:val="none"/>
          <w:lang w:val="en-US" w:eastAsia="zh-CN"/>
        </w:rPr>
        <w:t>项目实施</w:t>
      </w:r>
      <w:r>
        <w:rPr>
          <w:rFonts w:hint="eastAsia" w:ascii="宋体" w:hAnsi="宋体" w:eastAsia="宋体" w:cs="宋体"/>
          <w:color w:val="auto"/>
          <w:sz w:val="22"/>
          <w:szCs w:val="22"/>
          <w:highlight w:val="none"/>
        </w:rPr>
        <w:t>质量方面的特别承诺和保证：</w:t>
      </w:r>
    </w:p>
    <w:p w14:paraId="74E39310">
      <w:pPr>
        <w:keepNext w:val="0"/>
        <w:keepLines w:val="0"/>
        <w:pageBreakBefore w:val="0"/>
        <w:widowControl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充分理解，严格把握</w:t>
      </w:r>
      <w:r>
        <w:rPr>
          <w:rFonts w:hint="eastAsia" w:ascii="宋体" w:hAnsi="宋体" w:eastAsia="宋体" w:cs="宋体"/>
          <w:color w:val="auto"/>
          <w:sz w:val="22"/>
          <w:szCs w:val="22"/>
          <w:highlight w:val="none"/>
          <w:lang w:val="en-US" w:eastAsia="zh-CN"/>
        </w:rPr>
        <w:t>项目</w:t>
      </w:r>
      <w:r>
        <w:rPr>
          <w:rFonts w:hint="eastAsia" w:ascii="宋体" w:hAnsi="宋体" w:eastAsia="宋体" w:cs="宋体"/>
          <w:color w:val="auto"/>
          <w:sz w:val="22"/>
          <w:szCs w:val="22"/>
          <w:highlight w:val="none"/>
        </w:rPr>
        <w:t>质量，是本合同及相关采购文件、响应文件中关键义务。</w:t>
      </w:r>
    </w:p>
    <w:p w14:paraId="3550AE71">
      <w:pPr>
        <w:keepNext w:val="0"/>
        <w:keepLines w:val="0"/>
        <w:pageBreakBefore w:val="0"/>
        <w:widowControl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（1）</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保证将投入具有足够充分数量的并具有相应资格、资质以及类似</w:t>
      </w:r>
      <w:r>
        <w:rPr>
          <w:rFonts w:hint="eastAsia" w:ascii="宋体" w:hAnsi="宋体" w:eastAsia="宋体" w:cs="宋体"/>
          <w:color w:val="auto"/>
          <w:sz w:val="22"/>
          <w:szCs w:val="22"/>
          <w:highlight w:val="none"/>
          <w:lang w:val="en-US" w:eastAsia="zh-CN"/>
        </w:rPr>
        <w:t>项目</w:t>
      </w:r>
      <w:r>
        <w:rPr>
          <w:rFonts w:hint="eastAsia" w:ascii="宋体" w:hAnsi="宋体" w:eastAsia="宋体" w:cs="宋体"/>
          <w:color w:val="auto"/>
          <w:sz w:val="22"/>
          <w:szCs w:val="22"/>
          <w:highlight w:val="none"/>
        </w:rPr>
        <w:t>经验的</w:t>
      </w:r>
      <w:r>
        <w:rPr>
          <w:rFonts w:hint="eastAsia" w:ascii="宋体" w:hAnsi="宋体" w:eastAsia="宋体" w:cs="宋体"/>
          <w:color w:val="auto"/>
          <w:sz w:val="22"/>
          <w:szCs w:val="22"/>
          <w:highlight w:val="none"/>
          <w:lang w:val="en-US" w:eastAsia="zh-CN"/>
        </w:rPr>
        <w:t>实施</w:t>
      </w:r>
      <w:r>
        <w:rPr>
          <w:rFonts w:hint="eastAsia" w:ascii="宋体" w:hAnsi="宋体" w:eastAsia="宋体" w:cs="宋体"/>
          <w:color w:val="auto"/>
          <w:sz w:val="22"/>
          <w:szCs w:val="22"/>
          <w:highlight w:val="none"/>
        </w:rPr>
        <w:t>专业人士及管理人员力量，充分保证</w:t>
      </w:r>
      <w:r>
        <w:rPr>
          <w:rFonts w:hint="eastAsia" w:ascii="宋体" w:hAnsi="宋体" w:eastAsia="宋体" w:cs="宋体"/>
          <w:color w:val="auto"/>
          <w:sz w:val="22"/>
          <w:szCs w:val="22"/>
          <w:highlight w:val="none"/>
          <w:lang w:val="en-US" w:eastAsia="zh-CN"/>
        </w:rPr>
        <w:t>项目</w:t>
      </w:r>
      <w:r>
        <w:rPr>
          <w:rFonts w:hint="eastAsia" w:ascii="宋体" w:hAnsi="宋体" w:eastAsia="宋体" w:cs="宋体"/>
          <w:color w:val="auto"/>
          <w:sz w:val="22"/>
          <w:szCs w:val="22"/>
          <w:highlight w:val="none"/>
        </w:rPr>
        <w:t>质量。未经监理工程师同意，不得减少、替换合同约定的专业人员、管理人员及</w:t>
      </w:r>
      <w:r>
        <w:rPr>
          <w:rFonts w:hint="eastAsia" w:ascii="宋体" w:hAnsi="宋体" w:eastAsia="宋体" w:cs="宋体"/>
          <w:color w:val="auto"/>
          <w:sz w:val="22"/>
          <w:szCs w:val="22"/>
          <w:highlight w:val="none"/>
          <w:lang w:val="en-US" w:eastAsia="zh-CN"/>
        </w:rPr>
        <w:t>土地整治实施</w:t>
      </w:r>
      <w:r>
        <w:rPr>
          <w:rFonts w:hint="eastAsia" w:ascii="宋体" w:hAnsi="宋体" w:eastAsia="宋体" w:cs="宋体"/>
          <w:color w:val="auto"/>
          <w:sz w:val="22"/>
          <w:szCs w:val="22"/>
          <w:highlight w:val="none"/>
        </w:rPr>
        <w:t>力量。</w:t>
      </w:r>
    </w:p>
    <w:p w14:paraId="3D040971">
      <w:pPr>
        <w:keepNext w:val="0"/>
        <w:keepLines w:val="0"/>
        <w:pageBreakBefore w:val="0"/>
        <w:widowControl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（2）</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保证对</w:t>
      </w:r>
      <w:r>
        <w:rPr>
          <w:rFonts w:hint="eastAsia" w:ascii="宋体" w:hAnsi="宋体" w:eastAsia="宋体" w:cs="宋体"/>
          <w:color w:val="auto"/>
          <w:sz w:val="22"/>
          <w:szCs w:val="22"/>
          <w:highlight w:val="none"/>
          <w:lang w:val="en-US" w:eastAsia="zh-CN"/>
        </w:rPr>
        <w:t>项目</w:t>
      </w:r>
      <w:r>
        <w:rPr>
          <w:rFonts w:hint="eastAsia" w:ascii="宋体" w:hAnsi="宋体" w:eastAsia="宋体" w:cs="宋体"/>
          <w:color w:val="auto"/>
          <w:sz w:val="22"/>
          <w:szCs w:val="22"/>
          <w:highlight w:val="none"/>
        </w:rPr>
        <w:t>的</w:t>
      </w:r>
      <w:r>
        <w:rPr>
          <w:rFonts w:hint="eastAsia" w:ascii="宋体" w:hAnsi="宋体" w:eastAsia="宋体" w:cs="宋体"/>
          <w:color w:val="auto"/>
          <w:sz w:val="22"/>
          <w:szCs w:val="22"/>
          <w:highlight w:val="none"/>
          <w:lang w:val="en-US" w:eastAsia="zh-CN"/>
        </w:rPr>
        <w:t>实施</w:t>
      </w:r>
      <w:r>
        <w:rPr>
          <w:rFonts w:hint="eastAsia" w:ascii="宋体" w:hAnsi="宋体" w:eastAsia="宋体" w:cs="宋体"/>
          <w:color w:val="auto"/>
          <w:sz w:val="22"/>
          <w:szCs w:val="22"/>
          <w:highlight w:val="none"/>
        </w:rPr>
        <w:t>场地及地质状况和可能会影响</w:t>
      </w:r>
      <w:r>
        <w:rPr>
          <w:rFonts w:hint="eastAsia" w:ascii="宋体" w:hAnsi="宋体" w:eastAsia="宋体" w:cs="宋体"/>
          <w:color w:val="auto"/>
          <w:sz w:val="22"/>
          <w:szCs w:val="22"/>
          <w:highlight w:val="none"/>
          <w:lang w:val="en-US" w:eastAsia="zh-CN"/>
        </w:rPr>
        <w:t>项目</w:t>
      </w:r>
      <w:r>
        <w:rPr>
          <w:rFonts w:hint="eastAsia" w:ascii="宋体" w:hAnsi="宋体" w:eastAsia="宋体" w:cs="宋体"/>
          <w:color w:val="auto"/>
          <w:sz w:val="22"/>
          <w:szCs w:val="22"/>
          <w:highlight w:val="none"/>
        </w:rPr>
        <w:t>质量的各个环节及因素，能够有充分的了解并严格把关，采取一切措施防止产生</w:t>
      </w:r>
      <w:r>
        <w:rPr>
          <w:rFonts w:hint="eastAsia" w:ascii="宋体" w:hAnsi="宋体" w:eastAsia="宋体" w:cs="宋体"/>
          <w:color w:val="auto"/>
          <w:sz w:val="22"/>
          <w:szCs w:val="22"/>
          <w:highlight w:val="none"/>
          <w:lang w:val="en-US" w:eastAsia="zh-CN"/>
        </w:rPr>
        <w:t>项目</w:t>
      </w:r>
      <w:r>
        <w:rPr>
          <w:rFonts w:hint="eastAsia" w:ascii="宋体" w:hAnsi="宋体" w:eastAsia="宋体" w:cs="宋体"/>
          <w:color w:val="auto"/>
          <w:sz w:val="22"/>
          <w:szCs w:val="22"/>
          <w:highlight w:val="none"/>
        </w:rPr>
        <w:t>瑕疵的情形。</w:t>
      </w:r>
    </w:p>
    <w:p w14:paraId="78CEBDA5">
      <w:pPr>
        <w:keepNext w:val="0"/>
        <w:keepLines w:val="0"/>
        <w:pageBreakBefore w:val="0"/>
        <w:widowControl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（3）</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所采购的原材料及设备、设施应符合本项目</w:t>
      </w:r>
      <w:r>
        <w:rPr>
          <w:rFonts w:hint="eastAsia" w:ascii="宋体" w:hAnsi="宋体" w:eastAsia="宋体" w:cs="宋体"/>
          <w:color w:val="auto"/>
          <w:sz w:val="22"/>
          <w:szCs w:val="22"/>
          <w:highlight w:val="none"/>
          <w:lang w:val="en-US" w:eastAsia="zh-CN"/>
        </w:rPr>
        <w:t>实施</w:t>
      </w:r>
      <w:r>
        <w:rPr>
          <w:rFonts w:hint="eastAsia" w:ascii="宋体" w:hAnsi="宋体" w:eastAsia="宋体" w:cs="宋体"/>
          <w:color w:val="auto"/>
          <w:sz w:val="22"/>
          <w:szCs w:val="22"/>
          <w:highlight w:val="none"/>
        </w:rPr>
        <w:t>的要求，防止不合格或假冒的原材料及设备、设施用于本</w:t>
      </w:r>
      <w:r>
        <w:rPr>
          <w:rFonts w:hint="eastAsia" w:ascii="宋体" w:hAnsi="宋体" w:eastAsia="宋体" w:cs="宋体"/>
          <w:color w:val="auto"/>
          <w:sz w:val="22"/>
          <w:szCs w:val="22"/>
          <w:highlight w:val="none"/>
          <w:lang w:val="en-US" w:eastAsia="zh-CN"/>
        </w:rPr>
        <w:t>项目</w:t>
      </w:r>
      <w:r>
        <w:rPr>
          <w:rFonts w:hint="eastAsia" w:ascii="宋体" w:hAnsi="宋体" w:eastAsia="宋体" w:cs="宋体"/>
          <w:color w:val="auto"/>
          <w:sz w:val="22"/>
          <w:szCs w:val="22"/>
          <w:highlight w:val="none"/>
        </w:rPr>
        <w:t>。</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应建立起本项目</w:t>
      </w:r>
      <w:r>
        <w:rPr>
          <w:rFonts w:hint="eastAsia" w:ascii="宋体" w:hAnsi="宋体" w:eastAsia="宋体" w:cs="宋体"/>
          <w:color w:val="auto"/>
          <w:sz w:val="22"/>
          <w:szCs w:val="22"/>
          <w:highlight w:val="none"/>
          <w:lang w:val="en-US" w:eastAsia="zh-CN"/>
        </w:rPr>
        <w:t>项目</w:t>
      </w:r>
      <w:r>
        <w:rPr>
          <w:rFonts w:hint="eastAsia" w:ascii="宋体" w:hAnsi="宋体" w:eastAsia="宋体" w:cs="宋体"/>
          <w:color w:val="auto"/>
          <w:sz w:val="22"/>
          <w:szCs w:val="22"/>
          <w:highlight w:val="none"/>
        </w:rPr>
        <w:t>的检查、监督机制，发现或被指出有不符合要求的原材料及设备和设施，马上返修、纠正，并自行承担因此造成的费用增加。</w:t>
      </w:r>
    </w:p>
    <w:p w14:paraId="37A9D005">
      <w:pPr>
        <w:keepNext w:val="0"/>
        <w:keepLines w:val="0"/>
        <w:pageBreakBefore w:val="0"/>
        <w:widowControl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w:t>
      </w:r>
      <w:r>
        <w:rPr>
          <w:rFonts w:hint="eastAsia" w:hAnsi="宋体" w:cs="宋体"/>
          <w:color w:val="auto"/>
          <w:sz w:val="22"/>
          <w:szCs w:val="22"/>
          <w:highlight w:val="none"/>
          <w:lang w:val="en-US" w:eastAsia="zh-CN"/>
        </w:rPr>
        <w:t>4</w:t>
      </w:r>
      <w:r>
        <w:rPr>
          <w:rFonts w:hint="eastAsia" w:ascii="宋体" w:hAnsi="宋体" w:eastAsia="宋体" w:cs="宋体"/>
          <w:color w:val="auto"/>
          <w:sz w:val="22"/>
          <w:szCs w:val="22"/>
          <w:highlight w:val="none"/>
        </w:rPr>
        <w:t>）</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进一步保证投入足够的原材料及设备、设施用于本项目，</w:t>
      </w:r>
      <w:r>
        <w:rPr>
          <w:rFonts w:hint="eastAsia" w:ascii="宋体" w:hAnsi="宋体" w:eastAsia="宋体" w:cs="宋体"/>
          <w:color w:val="auto"/>
          <w:sz w:val="22"/>
          <w:szCs w:val="22"/>
          <w:highlight w:val="none"/>
          <w:lang w:val="en-US" w:eastAsia="zh-CN"/>
        </w:rPr>
        <w:t>项目</w:t>
      </w:r>
      <w:r>
        <w:rPr>
          <w:rFonts w:hint="eastAsia" w:ascii="宋体" w:hAnsi="宋体" w:eastAsia="宋体" w:cs="宋体"/>
          <w:color w:val="auto"/>
          <w:sz w:val="22"/>
          <w:szCs w:val="22"/>
          <w:highlight w:val="none"/>
        </w:rPr>
        <w:t>不得偷工减料，防止用其他原材料替代按照设计所需要的原材料，并对</w:t>
      </w:r>
      <w:r>
        <w:rPr>
          <w:rFonts w:hint="eastAsia" w:ascii="宋体" w:hAnsi="宋体" w:eastAsia="宋体" w:cs="宋体"/>
          <w:color w:val="auto"/>
          <w:sz w:val="22"/>
          <w:szCs w:val="22"/>
          <w:highlight w:val="none"/>
          <w:lang w:val="en-US" w:eastAsia="zh-CN"/>
        </w:rPr>
        <w:t>项目实施</w:t>
      </w:r>
      <w:r>
        <w:rPr>
          <w:rFonts w:hint="eastAsia" w:ascii="宋体" w:hAnsi="宋体" w:eastAsia="宋体" w:cs="宋体"/>
          <w:color w:val="auto"/>
          <w:sz w:val="22"/>
          <w:szCs w:val="22"/>
          <w:highlight w:val="none"/>
        </w:rPr>
        <w:t>用料、设备、设施及</w:t>
      </w:r>
      <w:r>
        <w:rPr>
          <w:rFonts w:hint="eastAsia" w:ascii="宋体" w:hAnsi="宋体" w:eastAsia="宋体" w:cs="宋体"/>
          <w:color w:val="auto"/>
          <w:sz w:val="22"/>
          <w:szCs w:val="22"/>
          <w:highlight w:val="none"/>
          <w:lang w:val="en-US" w:eastAsia="zh-CN"/>
        </w:rPr>
        <w:t>实施</w:t>
      </w:r>
      <w:r>
        <w:rPr>
          <w:rFonts w:hint="eastAsia" w:ascii="宋体" w:hAnsi="宋体" w:eastAsia="宋体" w:cs="宋体"/>
          <w:color w:val="auto"/>
          <w:sz w:val="22"/>
          <w:szCs w:val="22"/>
          <w:highlight w:val="none"/>
        </w:rPr>
        <w:t>过程作详细记录。</w:t>
      </w:r>
    </w:p>
    <w:p w14:paraId="3EF89CE5">
      <w:pPr>
        <w:keepNext w:val="0"/>
        <w:keepLines w:val="0"/>
        <w:pageBreakBefore w:val="0"/>
        <w:widowControl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w:t>
      </w:r>
      <w:r>
        <w:rPr>
          <w:rFonts w:hint="eastAsia" w:hAnsi="宋体" w:cs="宋体"/>
          <w:color w:val="auto"/>
          <w:sz w:val="22"/>
          <w:szCs w:val="22"/>
          <w:highlight w:val="none"/>
          <w:lang w:val="en-US" w:eastAsia="zh-CN"/>
        </w:rPr>
        <w:t>5</w:t>
      </w:r>
      <w:r>
        <w:rPr>
          <w:rFonts w:hint="eastAsia" w:ascii="宋体" w:hAnsi="宋体" w:eastAsia="宋体" w:cs="宋体"/>
          <w:color w:val="auto"/>
          <w:sz w:val="22"/>
          <w:szCs w:val="22"/>
          <w:highlight w:val="none"/>
        </w:rPr>
        <w:t>）</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应保证</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（含</w:t>
      </w:r>
      <w:r>
        <w:rPr>
          <w:rFonts w:hint="eastAsia" w:ascii="宋体" w:hAnsi="宋体" w:eastAsia="宋体" w:cs="宋体"/>
          <w:color w:val="auto"/>
          <w:sz w:val="22"/>
          <w:szCs w:val="22"/>
          <w:highlight w:val="none"/>
          <w:lang w:eastAsia="zh-CN"/>
        </w:rPr>
        <w:t>甲方</w:t>
      </w:r>
      <w:r>
        <w:rPr>
          <w:rFonts w:hint="eastAsia" w:hAnsi="宋体" w:cs="宋体"/>
          <w:color w:val="auto"/>
          <w:sz w:val="22"/>
          <w:szCs w:val="22"/>
          <w:highlight w:val="none"/>
          <w:lang w:eastAsia="zh-CN"/>
        </w:rPr>
        <w:t>、</w:t>
      </w:r>
      <w:r>
        <w:rPr>
          <w:rFonts w:hint="eastAsia" w:hAnsi="宋体" w:cs="宋体"/>
          <w:color w:val="auto"/>
          <w:sz w:val="22"/>
          <w:szCs w:val="22"/>
          <w:highlight w:val="none"/>
          <w:lang w:val="en-US" w:eastAsia="zh-CN"/>
        </w:rPr>
        <w:t>丙方</w:t>
      </w:r>
      <w:r>
        <w:rPr>
          <w:rFonts w:hint="eastAsia" w:ascii="宋体" w:hAnsi="宋体" w:eastAsia="宋体" w:cs="宋体"/>
          <w:color w:val="auto"/>
          <w:sz w:val="22"/>
          <w:szCs w:val="22"/>
          <w:highlight w:val="none"/>
        </w:rPr>
        <w:t>的委托人）、监理人有权随时进入</w:t>
      </w:r>
      <w:r>
        <w:rPr>
          <w:rFonts w:hint="eastAsia" w:ascii="宋体" w:hAnsi="宋体" w:eastAsia="宋体" w:cs="宋体"/>
          <w:color w:val="auto"/>
          <w:sz w:val="22"/>
          <w:szCs w:val="22"/>
          <w:highlight w:val="none"/>
          <w:lang w:val="en-US" w:eastAsia="zh-CN"/>
        </w:rPr>
        <w:t>项目实施</w:t>
      </w:r>
      <w:r>
        <w:rPr>
          <w:rFonts w:hint="eastAsia" w:ascii="宋体" w:hAnsi="宋体" w:eastAsia="宋体" w:cs="宋体"/>
          <w:color w:val="auto"/>
          <w:sz w:val="22"/>
          <w:szCs w:val="22"/>
          <w:highlight w:val="none"/>
        </w:rPr>
        <w:t>的任何地点，并有权向</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调取和复制与</w:t>
      </w:r>
      <w:r>
        <w:rPr>
          <w:rFonts w:hint="eastAsia" w:ascii="宋体" w:hAnsi="宋体" w:eastAsia="宋体" w:cs="宋体"/>
          <w:color w:val="auto"/>
          <w:sz w:val="22"/>
          <w:szCs w:val="22"/>
          <w:highlight w:val="none"/>
          <w:lang w:val="en-US" w:eastAsia="zh-CN"/>
        </w:rPr>
        <w:t>项目</w:t>
      </w:r>
      <w:r>
        <w:rPr>
          <w:rFonts w:hint="eastAsia" w:ascii="宋体" w:hAnsi="宋体" w:eastAsia="宋体" w:cs="宋体"/>
          <w:color w:val="auto"/>
          <w:sz w:val="22"/>
          <w:szCs w:val="22"/>
          <w:highlight w:val="none"/>
        </w:rPr>
        <w:t>设计、</w:t>
      </w:r>
      <w:r>
        <w:rPr>
          <w:rFonts w:hint="eastAsia" w:ascii="宋体" w:hAnsi="宋体" w:eastAsia="宋体" w:cs="宋体"/>
          <w:color w:val="auto"/>
          <w:sz w:val="22"/>
          <w:szCs w:val="22"/>
          <w:highlight w:val="none"/>
          <w:lang w:val="en-US" w:eastAsia="zh-CN"/>
        </w:rPr>
        <w:t>实施</w:t>
      </w:r>
      <w:r>
        <w:rPr>
          <w:rFonts w:hint="eastAsia" w:ascii="宋体" w:hAnsi="宋体" w:eastAsia="宋体" w:cs="宋体"/>
          <w:color w:val="auto"/>
          <w:sz w:val="22"/>
          <w:szCs w:val="22"/>
          <w:highlight w:val="none"/>
        </w:rPr>
        <w:t>、采购以及与之相关的所有文件、材料，</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应予配合和提供。</w:t>
      </w:r>
    </w:p>
    <w:p w14:paraId="30BBE279">
      <w:pPr>
        <w:keepNext w:val="0"/>
        <w:keepLines w:val="0"/>
        <w:pageBreakBefore w:val="0"/>
        <w:widowControl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w:t>
      </w:r>
      <w:r>
        <w:rPr>
          <w:rFonts w:hint="eastAsia" w:hAnsi="宋体" w:cs="宋体"/>
          <w:color w:val="auto"/>
          <w:sz w:val="22"/>
          <w:szCs w:val="22"/>
          <w:highlight w:val="none"/>
          <w:lang w:val="en-US" w:eastAsia="zh-CN"/>
        </w:rPr>
        <w:t>6</w:t>
      </w:r>
      <w:r>
        <w:rPr>
          <w:rFonts w:hint="eastAsia" w:ascii="宋体" w:hAnsi="宋体" w:eastAsia="宋体" w:cs="宋体"/>
          <w:color w:val="auto"/>
          <w:sz w:val="22"/>
          <w:szCs w:val="22"/>
          <w:highlight w:val="none"/>
        </w:rPr>
        <w:t>）任何时候如</w:t>
      </w:r>
      <w:r>
        <w:rPr>
          <w:rFonts w:hint="eastAsia" w:ascii="宋体" w:hAnsi="宋体" w:eastAsia="宋体" w:cs="宋体"/>
          <w:color w:val="auto"/>
          <w:sz w:val="22"/>
          <w:szCs w:val="22"/>
          <w:highlight w:val="none"/>
          <w:lang w:eastAsia="zh-CN"/>
        </w:rPr>
        <w:t>甲方</w:t>
      </w:r>
      <w:r>
        <w:rPr>
          <w:rFonts w:hint="eastAsia" w:hAnsi="宋体" w:cs="宋体"/>
          <w:color w:val="auto"/>
          <w:sz w:val="22"/>
          <w:szCs w:val="22"/>
          <w:highlight w:val="none"/>
          <w:lang w:eastAsia="zh-CN"/>
        </w:rPr>
        <w:t>、</w:t>
      </w:r>
      <w:r>
        <w:rPr>
          <w:rFonts w:hint="eastAsia" w:hAnsi="宋体" w:cs="宋体"/>
          <w:color w:val="auto"/>
          <w:sz w:val="22"/>
          <w:szCs w:val="22"/>
          <w:highlight w:val="none"/>
          <w:lang w:val="en-US" w:eastAsia="zh-CN"/>
        </w:rPr>
        <w:t>丙方</w:t>
      </w:r>
      <w:r>
        <w:rPr>
          <w:rFonts w:hint="eastAsia" w:ascii="宋体" w:hAnsi="宋体" w:eastAsia="宋体" w:cs="宋体"/>
          <w:color w:val="auto"/>
          <w:sz w:val="22"/>
          <w:szCs w:val="22"/>
          <w:highlight w:val="none"/>
        </w:rPr>
        <w:t>及监理人发现有任何不符合质量要求的情况，</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在接到书面通知后，应立即纠正，并自行承担因此产生的任何额外费用。</w:t>
      </w:r>
    </w:p>
    <w:p w14:paraId="403ABBC3">
      <w:pPr>
        <w:keepNext w:val="0"/>
        <w:keepLines w:val="0"/>
        <w:pageBreakBefore w:val="0"/>
        <w:widowControl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w:t>
      </w:r>
      <w:r>
        <w:rPr>
          <w:rFonts w:hint="eastAsia" w:hAnsi="宋体" w:cs="宋体"/>
          <w:color w:val="auto"/>
          <w:sz w:val="22"/>
          <w:szCs w:val="22"/>
          <w:highlight w:val="none"/>
          <w:lang w:val="en-US" w:eastAsia="zh-CN"/>
        </w:rPr>
        <w:t>7</w:t>
      </w:r>
      <w:r>
        <w:rPr>
          <w:rFonts w:hint="eastAsia" w:ascii="宋体" w:hAnsi="宋体" w:eastAsia="宋体" w:cs="宋体"/>
          <w:color w:val="auto"/>
          <w:sz w:val="22"/>
          <w:szCs w:val="22"/>
          <w:highlight w:val="none"/>
        </w:rPr>
        <w:t>）对上述保证的任何违反，构成对本项目</w:t>
      </w:r>
      <w:r>
        <w:rPr>
          <w:rFonts w:hint="eastAsia" w:ascii="宋体" w:hAnsi="宋体" w:eastAsia="宋体" w:cs="宋体"/>
          <w:color w:val="auto"/>
          <w:sz w:val="22"/>
          <w:szCs w:val="22"/>
          <w:highlight w:val="none"/>
          <w:lang w:val="en-US" w:eastAsia="zh-CN"/>
        </w:rPr>
        <w:t>项目</w:t>
      </w:r>
      <w:r>
        <w:rPr>
          <w:rFonts w:hint="eastAsia" w:ascii="宋体" w:hAnsi="宋体" w:eastAsia="宋体" w:cs="宋体"/>
          <w:color w:val="auto"/>
          <w:sz w:val="22"/>
          <w:szCs w:val="22"/>
          <w:highlight w:val="none"/>
        </w:rPr>
        <w:t>质量的实质性违反，</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必须立即纠正，否则应视为实质性违反合同。</w:t>
      </w:r>
    </w:p>
    <w:p w14:paraId="28C045C5">
      <w:pPr>
        <w:keepNext w:val="0"/>
        <w:keepLines w:val="0"/>
        <w:pageBreakBefore w:val="0"/>
        <w:widowControl w:val="0"/>
        <w:kinsoku/>
        <w:wordWrap/>
        <w:overflowPunct/>
        <w:topLinePunct w:val="0"/>
        <w:bidi w:val="0"/>
        <w:adjustRightInd w:val="0"/>
        <w:spacing w:line="400" w:lineRule="exact"/>
        <w:ind w:firstLine="442" w:firstLineChars="200"/>
        <w:textAlignment w:val="auto"/>
        <w:rPr>
          <w:rFonts w:hint="eastAsia" w:ascii="宋体" w:hAnsi="宋体" w:eastAsia="宋体" w:cs="宋体"/>
          <w:color w:val="auto"/>
          <w:sz w:val="22"/>
          <w:szCs w:val="22"/>
          <w:highlight w:val="none"/>
        </w:rPr>
      </w:pPr>
      <w:r>
        <w:rPr>
          <w:rFonts w:hint="eastAsia" w:ascii="宋体" w:hAnsi="宋体" w:eastAsia="宋体" w:cs="宋体"/>
          <w:b/>
          <w:color w:val="auto"/>
          <w:sz w:val="22"/>
          <w:szCs w:val="22"/>
          <w:highlight w:val="none"/>
        </w:rPr>
        <w:t>7.2.</w:t>
      </w:r>
      <w:r>
        <w:rPr>
          <w:rFonts w:hint="eastAsia" w:ascii="宋体" w:hAnsi="宋体" w:eastAsia="宋体" w:cs="宋体"/>
          <w:b/>
          <w:color w:val="auto"/>
          <w:sz w:val="22"/>
          <w:szCs w:val="22"/>
          <w:highlight w:val="none"/>
          <w:lang w:val="en-US" w:eastAsia="zh-CN"/>
        </w:rPr>
        <w:t>3</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应做好</w:t>
      </w:r>
      <w:r>
        <w:rPr>
          <w:rFonts w:hint="eastAsia" w:ascii="宋体" w:hAnsi="宋体" w:eastAsia="宋体" w:cs="宋体"/>
          <w:color w:val="auto"/>
          <w:sz w:val="22"/>
          <w:szCs w:val="22"/>
          <w:highlight w:val="none"/>
          <w:lang w:val="en-US" w:eastAsia="zh-CN"/>
        </w:rPr>
        <w:t>项目</w:t>
      </w:r>
      <w:r>
        <w:rPr>
          <w:rFonts w:hint="eastAsia" w:ascii="宋体" w:hAnsi="宋体" w:eastAsia="宋体" w:cs="宋体"/>
          <w:color w:val="auto"/>
          <w:sz w:val="22"/>
          <w:szCs w:val="22"/>
          <w:highlight w:val="none"/>
        </w:rPr>
        <w:t>场地周围文物保护建筑、古树名木的保护工作。发生保护措施费用根据实际情况由</w:t>
      </w:r>
      <w:r>
        <w:rPr>
          <w:rFonts w:hint="eastAsia" w:ascii="宋体" w:hAnsi="宋体" w:eastAsia="宋体" w:cs="宋体"/>
          <w:color w:val="auto"/>
          <w:sz w:val="22"/>
          <w:szCs w:val="22"/>
          <w:highlight w:val="none"/>
          <w:lang w:eastAsia="zh-CN"/>
        </w:rPr>
        <w:t>甲方</w:t>
      </w:r>
      <w:r>
        <w:rPr>
          <w:rFonts w:hint="eastAsia" w:hAnsi="宋体" w:cs="宋体"/>
          <w:color w:val="auto"/>
          <w:sz w:val="22"/>
          <w:szCs w:val="22"/>
          <w:highlight w:val="none"/>
          <w:lang w:eastAsia="zh-CN"/>
        </w:rPr>
        <w:t>、</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w:t>
      </w:r>
      <w:r>
        <w:rPr>
          <w:rFonts w:hint="eastAsia" w:hAnsi="宋体" w:cs="宋体"/>
          <w:color w:val="auto"/>
          <w:sz w:val="22"/>
          <w:szCs w:val="22"/>
          <w:highlight w:val="none"/>
          <w:lang w:val="en-US" w:eastAsia="zh-CN"/>
        </w:rPr>
        <w:t>丙方、</w:t>
      </w:r>
      <w:r>
        <w:rPr>
          <w:rFonts w:hint="eastAsia" w:ascii="宋体" w:hAnsi="宋体" w:eastAsia="宋体" w:cs="宋体"/>
          <w:color w:val="auto"/>
          <w:sz w:val="22"/>
          <w:szCs w:val="22"/>
          <w:highlight w:val="none"/>
        </w:rPr>
        <w:t>监理人签证。</w:t>
      </w:r>
      <w:r>
        <w:rPr>
          <w:rFonts w:hint="eastAsia" w:ascii="宋体" w:hAnsi="宋体" w:eastAsia="宋体" w:cs="宋体"/>
          <w:color w:val="auto"/>
          <w:sz w:val="22"/>
          <w:szCs w:val="22"/>
          <w:highlight w:val="none"/>
          <w:lang w:val="en-US" w:eastAsia="zh-CN"/>
        </w:rPr>
        <w:t>项目</w:t>
      </w:r>
      <w:r>
        <w:rPr>
          <w:rFonts w:hint="eastAsia" w:ascii="宋体" w:hAnsi="宋体" w:eastAsia="宋体" w:cs="宋体"/>
          <w:color w:val="auto"/>
          <w:sz w:val="22"/>
          <w:szCs w:val="22"/>
          <w:highlight w:val="none"/>
        </w:rPr>
        <w:t>场地周围邻近建筑物、地下管线、构筑物由</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负责保护及承担措施费用。保护期间若发生损坏，由</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承担。</w:t>
      </w:r>
    </w:p>
    <w:p w14:paraId="5FA29481">
      <w:pPr>
        <w:keepNext w:val="0"/>
        <w:keepLines w:val="0"/>
        <w:pageBreakBefore w:val="0"/>
        <w:widowControl w:val="0"/>
        <w:kinsoku/>
        <w:wordWrap/>
        <w:overflowPunct/>
        <w:topLinePunct w:val="0"/>
        <w:bidi w:val="0"/>
        <w:adjustRightInd w:val="0"/>
        <w:spacing w:line="400" w:lineRule="exact"/>
        <w:ind w:firstLine="442" w:firstLineChars="200"/>
        <w:textAlignment w:val="auto"/>
        <w:rPr>
          <w:rFonts w:hint="eastAsia" w:ascii="宋体" w:hAnsi="宋体" w:eastAsia="宋体" w:cs="宋体"/>
          <w:color w:val="auto"/>
          <w:sz w:val="22"/>
          <w:szCs w:val="22"/>
          <w:highlight w:val="none"/>
        </w:rPr>
      </w:pPr>
      <w:r>
        <w:rPr>
          <w:rFonts w:hint="eastAsia" w:ascii="宋体" w:hAnsi="宋体" w:eastAsia="宋体" w:cs="宋体"/>
          <w:b/>
          <w:color w:val="auto"/>
          <w:sz w:val="22"/>
          <w:szCs w:val="22"/>
          <w:highlight w:val="none"/>
        </w:rPr>
        <w:t>7.2.</w:t>
      </w:r>
      <w:r>
        <w:rPr>
          <w:rFonts w:hint="eastAsia" w:ascii="宋体" w:hAnsi="宋体" w:eastAsia="宋体" w:cs="宋体"/>
          <w:b/>
          <w:color w:val="auto"/>
          <w:sz w:val="22"/>
          <w:szCs w:val="22"/>
          <w:highlight w:val="none"/>
          <w:lang w:val="en-US" w:eastAsia="zh-CN"/>
        </w:rPr>
        <w:t>4</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应及时足额支付农民工工资，若有拖欠农民工工资的现象，</w:t>
      </w:r>
      <w:r>
        <w:rPr>
          <w:rFonts w:hint="eastAsia" w:hAnsi="宋体" w:cs="宋体"/>
          <w:color w:val="auto"/>
          <w:sz w:val="22"/>
          <w:szCs w:val="22"/>
          <w:highlight w:val="none"/>
          <w:lang w:val="en-US" w:eastAsia="zh-CN"/>
        </w:rPr>
        <w:t>丙</w:t>
      </w:r>
      <w:r>
        <w:rPr>
          <w:rFonts w:hint="eastAsia" w:ascii="宋体" w:hAnsi="宋体" w:eastAsia="宋体" w:cs="宋体"/>
          <w:color w:val="auto"/>
          <w:sz w:val="22"/>
          <w:szCs w:val="22"/>
          <w:highlight w:val="none"/>
          <w:lang w:eastAsia="zh-CN"/>
        </w:rPr>
        <w:t>方</w:t>
      </w:r>
      <w:r>
        <w:rPr>
          <w:rFonts w:hint="eastAsia" w:ascii="宋体" w:hAnsi="宋体" w:eastAsia="宋体" w:cs="宋体"/>
          <w:color w:val="auto"/>
          <w:sz w:val="22"/>
          <w:szCs w:val="22"/>
          <w:highlight w:val="none"/>
        </w:rPr>
        <w:t>有权在合同款中扣除相应数额，用于农民工工资的发放；</w:t>
      </w:r>
      <w:r>
        <w:rPr>
          <w:rFonts w:hint="eastAsia" w:hAnsi="宋体" w:cs="宋体"/>
          <w:color w:val="auto"/>
          <w:sz w:val="22"/>
          <w:szCs w:val="22"/>
          <w:highlight w:val="none"/>
          <w:lang w:val="en-US" w:eastAsia="zh-CN"/>
        </w:rPr>
        <w:t>丙</w:t>
      </w:r>
      <w:r>
        <w:rPr>
          <w:rFonts w:hint="eastAsia" w:ascii="宋体" w:hAnsi="宋体" w:eastAsia="宋体" w:cs="宋体"/>
          <w:color w:val="auto"/>
          <w:sz w:val="22"/>
          <w:szCs w:val="22"/>
          <w:highlight w:val="none"/>
          <w:lang w:eastAsia="zh-CN"/>
        </w:rPr>
        <w:t>方</w:t>
      </w:r>
      <w:r>
        <w:rPr>
          <w:rFonts w:hint="eastAsia" w:ascii="宋体" w:hAnsi="宋体" w:eastAsia="宋体" w:cs="宋体"/>
          <w:color w:val="auto"/>
          <w:sz w:val="22"/>
          <w:szCs w:val="22"/>
          <w:highlight w:val="none"/>
        </w:rPr>
        <w:t>在完工验收合格后，向</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支付合同规定的合同价款前，在当地媒体上发布关于清理该</w:t>
      </w:r>
      <w:r>
        <w:rPr>
          <w:rFonts w:hint="eastAsia" w:ascii="宋体" w:hAnsi="宋体" w:eastAsia="宋体" w:cs="宋体"/>
          <w:color w:val="auto"/>
          <w:sz w:val="22"/>
          <w:szCs w:val="22"/>
          <w:highlight w:val="none"/>
          <w:lang w:val="en-US" w:eastAsia="zh-CN"/>
        </w:rPr>
        <w:t>项目</w:t>
      </w:r>
      <w:r>
        <w:rPr>
          <w:rFonts w:hint="eastAsia" w:ascii="宋体" w:hAnsi="宋体" w:eastAsia="宋体" w:cs="宋体"/>
          <w:color w:val="auto"/>
          <w:sz w:val="22"/>
          <w:szCs w:val="22"/>
          <w:highlight w:val="none"/>
        </w:rPr>
        <w:t>欠薪的公告，经确认无拖欠农民工工资后，</w:t>
      </w:r>
      <w:r>
        <w:rPr>
          <w:rFonts w:hint="eastAsia" w:hAnsi="宋体" w:cs="宋体"/>
          <w:color w:val="auto"/>
          <w:sz w:val="22"/>
          <w:szCs w:val="22"/>
          <w:highlight w:val="none"/>
          <w:lang w:val="en-US" w:eastAsia="zh-CN"/>
        </w:rPr>
        <w:t>丙</w:t>
      </w:r>
      <w:r>
        <w:rPr>
          <w:rFonts w:hint="eastAsia" w:ascii="宋体" w:hAnsi="宋体" w:eastAsia="宋体" w:cs="宋体"/>
          <w:color w:val="auto"/>
          <w:sz w:val="22"/>
          <w:szCs w:val="22"/>
          <w:highlight w:val="none"/>
          <w:lang w:eastAsia="zh-CN"/>
        </w:rPr>
        <w:t>方</w:t>
      </w:r>
      <w:r>
        <w:rPr>
          <w:rFonts w:hint="eastAsia" w:ascii="宋体" w:hAnsi="宋体" w:eastAsia="宋体" w:cs="宋体"/>
          <w:color w:val="auto"/>
          <w:sz w:val="22"/>
          <w:szCs w:val="22"/>
          <w:highlight w:val="none"/>
        </w:rPr>
        <w:t>方可支付合同价款。</w:t>
      </w:r>
    </w:p>
    <w:p w14:paraId="38EED689">
      <w:pPr>
        <w:keepNext w:val="0"/>
        <w:keepLines w:val="0"/>
        <w:pageBreakBefore w:val="0"/>
        <w:widowControl w:val="0"/>
        <w:numPr>
          <w:ilvl w:val="0"/>
          <w:numId w:val="7"/>
        </w:numPr>
        <w:tabs>
          <w:tab w:val="left" w:pos="658"/>
        </w:tabs>
        <w:kinsoku/>
        <w:wordWrap/>
        <w:overflowPunct/>
        <w:topLinePunct w:val="0"/>
        <w:bidi w:val="0"/>
        <w:spacing w:line="400" w:lineRule="exact"/>
        <w:ind w:left="0" w:firstLine="426"/>
        <w:jc w:val="left"/>
        <w:textAlignment w:val="auto"/>
        <w:outlineLvl w:val="3"/>
        <w:rPr>
          <w:rFonts w:hint="eastAsia" w:ascii="宋体" w:hAnsi="宋体" w:eastAsia="宋体" w:cs="宋体"/>
          <w:b/>
          <w:snapToGrid w:val="0"/>
          <w:color w:val="auto"/>
          <w:kern w:val="2"/>
          <w:sz w:val="22"/>
          <w:szCs w:val="22"/>
          <w:highlight w:val="none"/>
          <w:lang w:val="en-US" w:eastAsia="zh-CN" w:bidi="ar-SA"/>
        </w:rPr>
      </w:pPr>
      <w:r>
        <w:rPr>
          <w:rFonts w:hint="eastAsia" w:ascii="宋体" w:hAnsi="宋体" w:eastAsia="宋体" w:cs="宋体"/>
          <w:b/>
          <w:snapToGrid w:val="0"/>
          <w:color w:val="auto"/>
          <w:kern w:val="2"/>
          <w:sz w:val="22"/>
          <w:szCs w:val="22"/>
          <w:highlight w:val="none"/>
          <w:lang w:val="en-US" w:eastAsia="zh-CN" w:bidi="ar-SA"/>
        </w:rPr>
        <w:t>职责和权利</w:t>
      </w:r>
    </w:p>
    <w:p w14:paraId="0AFD1BCB">
      <w:pPr>
        <w:keepNext w:val="0"/>
        <w:keepLines w:val="0"/>
        <w:pageBreakBefore w:val="0"/>
        <w:widowControl w:val="0"/>
        <w:kinsoku/>
        <w:wordWrap/>
        <w:overflowPunct/>
        <w:topLinePunct w:val="0"/>
        <w:bidi w:val="0"/>
        <w:spacing w:before="0" w:after="0" w:line="400" w:lineRule="exact"/>
        <w:ind w:firstLine="426"/>
        <w:jc w:val="both"/>
        <w:textAlignment w:val="auto"/>
        <w:outlineLvl w:val="4"/>
        <w:rPr>
          <w:rFonts w:hint="eastAsia" w:ascii="宋体" w:hAnsi="宋体" w:eastAsia="宋体" w:cs="宋体"/>
          <w:b/>
          <w:bCs/>
          <w:snapToGrid w:val="0"/>
          <w:color w:val="auto"/>
          <w:kern w:val="2"/>
          <w:sz w:val="22"/>
          <w:szCs w:val="22"/>
          <w:highlight w:val="none"/>
          <w:lang w:val="en-US" w:eastAsia="zh-CN" w:bidi="ar-SA"/>
        </w:rPr>
      </w:pPr>
      <w:r>
        <w:rPr>
          <w:rFonts w:hint="eastAsia" w:ascii="宋体" w:hAnsi="宋体" w:eastAsia="宋体" w:cs="宋体"/>
          <w:b/>
          <w:bCs/>
          <w:snapToGrid w:val="0"/>
          <w:color w:val="auto"/>
          <w:kern w:val="2"/>
          <w:sz w:val="22"/>
          <w:szCs w:val="22"/>
          <w:highlight w:val="none"/>
          <w:lang w:val="en-US" w:eastAsia="zh-CN" w:bidi="ar-SA"/>
        </w:rPr>
        <w:t>8.1甲方</w:t>
      </w:r>
      <w:r>
        <w:rPr>
          <w:rFonts w:hint="eastAsia" w:hAnsi="宋体" w:cs="宋体"/>
          <w:b/>
          <w:bCs/>
          <w:snapToGrid w:val="0"/>
          <w:color w:val="auto"/>
          <w:kern w:val="2"/>
          <w:sz w:val="22"/>
          <w:szCs w:val="22"/>
          <w:highlight w:val="none"/>
          <w:lang w:val="en-US" w:eastAsia="zh-CN" w:bidi="ar-SA"/>
        </w:rPr>
        <w:t>、丙方</w:t>
      </w:r>
      <w:r>
        <w:rPr>
          <w:rFonts w:hint="eastAsia" w:ascii="宋体" w:hAnsi="宋体" w:eastAsia="宋体" w:cs="宋体"/>
          <w:b/>
          <w:bCs/>
          <w:snapToGrid w:val="0"/>
          <w:color w:val="auto"/>
          <w:kern w:val="2"/>
          <w:sz w:val="22"/>
          <w:szCs w:val="22"/>
          <w:highlight w:val="none"/>
          <w:lang w:val="en-US" w:eastAsia="zh-CN" w:bidi="ar-SA"/>
        </w:rPr>
        <w:t>的职责和权利</w:t>
      </w:r>
    </w:p>
    <w:p w14:paraId="16933DBD">
      <w:pPr>
        <w:keepNext w:val="0"/>
        <w:keepLines w:val="0"/>
        <w:pageBreakBefore w:val="0"/>
        <w:widowControl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除本合同及附件已有明确规定外，</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的职责和权利还包括：</w:t>
      </w:r>
    </w:p>
    <w:p w14:paraId="26052083">
      <w:pPr>
        <w:keepNext w:val="0"/>
        <w:keepLines w:val="0"/>
        <w:pageBreakBefore w:val="0"/>
        <w:widowControl w:val="0"/>
        <w:kinsoku/>
        <w:wordWrap/>
        <w:overflowPunct/>
        <w:topLinePunct w:val="0"/>
        <w:bidi w:val="0"/>
        <w:adjustRightInd w:val="0"/>
        <w:spacing w:line="400" w:lineRule="exact"/>
        <w:ind w:firstLine="442" w:firstLineChars="200"/>
        <w:textAlignment w:val="auto"/>
        <w:rPr>
          <w:rFonts w:hint="eastAsia" w:ascii="宋体" w:hAnsi="宋体" w:eastAsia="宋体" w:cs="宋体"/>
          <w:color w:val="auto"/>
          <w:sz w:val="22"/>
          <w:szCs w:val="22"/>
          <w:highlight w:val="none"/>
        </w:rPr>
      </w:pPr>
      <w:r>
        <w:rPr>
          <w:rFonts w:hint="eastAsia" w:ascii="宋体" w:hAnsi="宋体" w:eastAsia="宋体" w:cs="宋体"/>
          <w:b/>
          <w:color w:val="auto"/>
          <w:sz w:val="22"/>
          <w:szCs w:val="22"/>
          <w:highlight w:val="none"/>
        </w:rPr>
        <w:t>8.1.1</w:t>
      </w:r>
      <w:r>
        <w:rPr>
          <w:rFonts w:hint="eastAsia" w:ascii="宋体" w:hAnsi="宋体" w:eastAsia="宋体" w:cs="宋体"/>
          <w:color w:val="auto"/>
          <w:sz w:val="22"/>
          <w:szCs w:val="22"/>
          <w:highlight w:val="none"/>
        </w:rPr>
        <w:t>协助</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办理为本项目实施所必需的以</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名义办理的有关政府部门、第三方机构的批准、许可、同意等。</w:t>
      </w:r>
    </w:p>
    <w:p w14:paraId="13C60AF1">
      <w:pPr>
        <w:keepNext w:val="0"/>
        <w:keepLines w:val="0"/>
        <w:pageBreakBefore w:val="0"/>
        <w:widowControl w:val="0"/>
        <w:kinsoku/>
        <w:wordWrap/>
        <w:overflowPunct/>
        <w:topLinePunct w:val="0"/>
        <w:bidi w:val="0"/>
        <w:adjustRightInd w:val="0"/>
        <w:spacing w:line="400" w:lineRule="exact"/>
        <w:ind w:firstLine="389" w:firstLineChars="176"/>
        <w:textAlignment w:val="auto"/>
        <w:rPr>
          <w:rFonts w:hint="eastAsia" w:ascii="宋体" w:hAnsi="宋体" w:eastAsia="宋体" w:cs="宋体"/>
          <w:color w:val="auto"/>
          <w:sz w:val="22"/>
          <w:szCs w:val="22"/>
          <w:highlight w:val="none"/>
          <w:lang w:eastAsia="zh-CN"/>
        </w:rPr>
      </w:pPr>
      <w:r>
        <w:rPr>
          <w:rFonts w:hint="eastAsia" w:ascii="宋体" w:hAnsi="宋体" w:eastAsia="宋体" w:cs="宋体"/>
          <w:b/>
          <w:color w:val="auto"/>
          <w:sz w:val="22"/>
          <w:szCs w:val="22"/>
          <w:highlight w:val="none"/>
        </w:rPr>
        <w:t>8.1.2</w:t>
      </w:r>
      <w:r>
        <w:rPr>
          <w:rFonts w:hint="eastAsia" w:ascii="宋体" w:hAnsi="宋体" w:eastAsia="宋体" w:cs="宋体"/>
          <w:color w:val="auto"/>
          <w:sz w:val="22"/>
          <w:szCs w:val="22"/>
          <w:highlight w:val="none"/>
        </w:rPr>
        <w:t>各乡镇政府负责本项目政策处理工作，保障无障碍</w:t>
      </w:r>
      <w:r>
        <w:rPr>
          <w:rFonts w:hint="eastAsia"/>
          <w:color w:val="auto"/>
          <w:highlight w:val="none"/>
          <w:lang w:val="en-US" w:eastAsia="zh-CN"/>
        </w:rPr>
        <w:t>项目</w:t>
      </w:r>
      <w:r>
        <w:rPr>
          <w:rFonts w:hint="eastAsia" w:ascii="宋体" w:hAnsi="宋体" w:cs="宋体"/>
          <w:color w:val="auto"/>
          <w:sz w:val="22"/>
          <w:szCs w:val="22"/>
          <w:highlight w:val="none"/>
          <w:lang w:val="en-US" w:eastAsia="zh-CN"/>
        </w:rPr>
        <w:t>实施</w:t>
      </w:r>
      <w:r>
        <w:rPr>
          <w:rFonts w:hint="eastAsia" w:ascii="宋体" w:hAnsi="宋体" w:eastAsia="宋体" w:cs="宋体"/>
          <w:color w:val="auto"/>
          <w:sz w:val="22"/>
          <w:szCs w:val="22"/>
          <w:highlight w:val="none"/>
        </w:rPr>
        <w:t>环境，并及时向</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交付</w:t>
      </w:r>
      <w:r>
        <w:rPr>
          <w:rFonts w:hint="eastAsia" w:ascii="宋体" w:hAnsi="宋体" w:cs="宋体"/>
          <w:color w:val="auto"/>
          <w:sz w:val="22"/>
          <w:szCs w:val="22"/>
          <w:highlight w:val="none"/>
          <w:lang w:eastAsia="zh-CN"/>
        </w:rPr>
        <w:t>改造实施</w:t>
      </w:r>
      <w:r>
        <w:rPr>
          <w:rFonts w:hint="eastAsia" w:ascii="宋体" w:hAnsi="宋体" w:eastAsia="宋体" w:cs="宋体"/>
          <w:color w:val="auto"/>
          <w:sz w:val="22"/>
          <w:szCs w:val="22"/>
          <w:highlight w:val="none"/>
        </w:rPr>
        <w:t>的用地。政策处理费包括青苗调查和赔偿以及其他政策处理费</w:t>
      </w:r>
      <w:r>
        <w:rPr>
          <w:rFonts w:hint="eastAsia" w:ascii="宋体" w:hAnsi="宋体" w:cs="宋体"/>
          <w:color w:val="auto"/>
          <w:sz w:val="22"/>
          <w:szCs w:val="22"/>
          <w:highlight w:val="none"/>
          <w:lang w:eastAsia="zh-CN"/>
        </w:rPr>
        <w:t>。</w:t>
      </w:r>
    </w:p>
    <w:p w14:paraId="1F2AAA52">
      <w:pPr>
        <w:keepNext w:val="0"/>
        <w:keepLines w:val="0"/>
        <w:pageBreakBefore w:val="0"/>
        <w:widowControl w:val="0"/>
        <w:kinsoku/>
        <w:wordWrap/>
        <w:overflowPunct/>
        <w:topLinePunct w:val="0"/>
        <w:bidi w:val="0"/>
        <w:spacing w:before="0" w:after="0" w:line="400" w:lineRule="exact"/>
        <w:ind w:firstLine="426"/>
        <w:jc w:val="both"/>
        <w:textAlignment w:val="auto"/>
        <w:outlineLvl w:val="4"/>
        <w:rPr>
          <w:rFonts w:hint="eastAsia" w:ascii="宋体" w:hAnsi="宋体" w:eastAsia="宋体" w:cs="宋体"/>
          <w:b/>
          <w:bCs/>
          <w:snapToGrid w:val="0"/>
          <w:color w:val="auto"/>
          <w:kern w:val="2"/>
          <w:sz w:val="22"/>
          <w:szCs w:val="22"/>
          <w:highlight w:val="none"/>
          <w:lang w:val="en-US" w:eastAsia="zh-CN" w:bidi="ar-SA"/>
        </w:rPr>
      </w:pPr>
      <w:r>
        <w:rPr>
          <w:rFonts w:hint="eastAsia" w:ascii="宋体" w:hAnsi="宋体" w:eastAsia="宋体" w:cs="宋体"/>
          <w:b/>
          <w:bCs/>
          <w:snapToGrid w:val="0"/>
          <w:color w:val="auto"/>
          <w:kern w:val="2"/>
          <w:sz w:val="22"/>
          <w:szCs w:val="22"/>
          <w:highlight w:val="none"/>
          <w:lang w:val="en-US" w:eastAsia="zh-CN" w:bidi="ar-SA"/>
        </w:rPr>
        <w:t>8.2乙方的职责和权利</w:t>
      </w:r>
    </w:p>
    <w:p w14:paraId="0BAEC5CF">
      <w:pPr>
        <w:keepNext w:val="0"/>
        <w:keepLines w:val="0"/>
        <w:pageBreakBefore w:val="0"/>
        <w:widowControl w:val="0"/>
        <w:kinsoku/>
        <w:wordWrap/>
        <w:overflowPunct/>
        <w:topLinePunct w:val="0"/>
        <w:bidi w:val="0"/>
        <w:adjustRightInd w:val="0"/>
        <w:spacing w:line="400" w:lineRule="exact"/>
        <w:ind w:firstLine="442" w:firstLineChars="200"/>
        <w:textAlignment w:val="auto"/>
        <w:rPr>
          <w:rFonts w:hint="eastAsia" w:ascii="宋体" w:hAnsi="宋体" w:eastAsia="宋体" w:cs="宋体"/>
          <w:color w:val="auto"/>
          <w:sz w:val="22"/>
          <w:szCs w:val="22"/>
          <w:highlight w:val="none"/>
        </w:rPr>
      </w:pPr>
      <w:r>
        <w:rPr>
          <w:rFonts w:hint="eastAsia" w:ascii="宋体" w:hAnsi="宋体" w:eastAsia="宋体" w:cs="宋体"/>
          <w:b/>
          <w:color w:val="auto"/>
          <w:sz w:val="22"/>
          <w:szCs w:val="22"/>
          <w:highlight w:val="none"/>
        </w:rPr>
        <w:t>8.2.1</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负责按计划</w:t>
      </w:r>
      <w:r>
        <w:rPr>
          <w:rFonts w:hint="eastAsia" w:ascii="宋体" w:hAnsi="宋体" w:eastAsia="宋体" w:cs="宋体"/>
          <w:color w:val="auto"/>
          <w:sz w:val="22"/>
          <w:szCs w:val="22"/>
          <w:highlight w:val="none"/>
          <w:lang w:val="en-US" w:eastAsia="zh-CN"/>
        </w:rPr>
        <w:t>实施</w:t>
      </w:r>
      <w:r>
        <w:rPr>
          <w:rFonts w:hint="eastAsia" w:ascii="宋体" w:hAnsi="宋体" w:eastAsia="宋体" w:cs="宋体"/>
          <w:color w:val="auto"/>
          <w:sz w:val="22"/>
          <w:szCs w:val="22"/>
          <w:highlight w:val="none"/>
        </w:rPr>
        <w:t>，确保投入资金满足本</w:t>
      </w:r>
      <w:r>
        <w:rPr>
          <w:rFonts w:hint="eastAsia" w:ascii="宋体" w:hAnsi="宋体" w:eastAsia="宋体" w:cs="宋体"/>
          <w:color w:val="auto"/>
          <w:sz w:val="22"/>
          <w:szCs w:val="22"/>
          <w:highlight w:val="none"/>
          <w:lang w:val="en-US" w:eastAsia="zh-CN"/>
        </w:rPr>
        <w:t>项目</w:t>
      </w:r>
      <w:r>
        <w:rPr>
          <w:rFonts w:hint="eastAsia" w:ascii="宋体" w:hAnsi="宋体" w:eastAsia="宋体" w:cs="宋体"/>
          <w:color w:val="auto"/>
          <w:sz w:val="22"/>
          <w:szCs w:val="22"/>
          <w:highlight w:val="none"/>
        </w:rPr>
        <w:t>实施的需要。</w:t>
      </w:r>
    </w:p>
    <w:p w14:paraId="13BA2F3C">
      <w:pPr>
        <w:keepNext w:val="0"/>
        <w:keepLines w:val="0"/>
        <w:pageBreakBefore w:val="0"/>
        <w:widowControl w:val="0"/>
        <w:kinsoku/>
        <w:wordWrap/>
        <w:overflowPunct/>
        <w:topLinePunct w:val="0"/>
        <w:bidi w:val="0"/>
        <w:adjustRightInd w:val="0"/>
        <w:spacing w:line="400" w:lineRule="exact"/>
        <w:ind w:firstLine="442" w:firstLineChars="200"/>
        <w:textAlignment w:val="auto"/>
        <w:rPr>
          <w:rFonts w:hint="eastAsia" w:ascii="宋体" w:hAnsi="宋体" w:eastAsia="宋体" w:cs="宋体"/>
          <w:color w:val="auto"/>
          <w:sz w:val="22"/>
          <w:szCs w:val="22"/>
          <w:highlight w:val="none"/>
        </w:rPr>
      </w:pPr>
      <w:r>
        <w:rPr>
          <w:rFonts w:hint="eastAsia" w:ascii="宋体" w:hAnsi="宋体" w:eastAsia="宋体" w:cs="宋体"/>
          <w:b/>
          <w:color w:val="auto"/>
          <w:sz w:val="22"/>
          <w:szCs w:val="22"/>
          <w:highlight w:val="none"/>
        </w:rPr>
        <w:t>8.2.2</w:t>
      </w:r>
      <w:r>
        <w:rPr>
          <w:rFonts w:hint="eastAsia" w:ascii="宋体" w:hAnsi="宋体" w:eastAsia="宋体" w:cs="宋体"/>
          <w:color w:val="auto"/>
          <w:sz w:val="22"/>
          <w:szCs w:val="22"/>
          <w:highlight w:val="none"/>
        </w:rPr>
        <w:t>由</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完成的</w:t>
      </w:r>
      <w:r>
        <w:rPr>
          <w:rFonts w:hint="eastAsia" w:ascii="宋体" w:hAnsi="宋体" w:eastAsia="宋体" w:cs="宋体"/>
          <w:color w:val="auto"/>
          <w:sz w:val="22"/>
          <w:szCs w:val="22"/>
          <w:highlight w:val="none"/>
          <w:lang w:val="en-US" w:eastAsia="zh-CN"/>
        </w:rPr>
        <w:t>项目</w:t>
      </w:r>
      <w:r>
        <w:rPr>
          <w:rFonts w:hint="eastAsia" w:ascii="宋体" w:hAnsi="宋体" w:eastAsia="宋体" w:cs="宋体"/>
          <w:color w:val="auto"/>
          <w:sz w:val="22"/>
          <w:szCs w:val="22"/>
          <w:highlight w:val="none"/>
        </w:rPr>
        <w:t>应完全符合本合同并适合于合同中规定的</w:t>
      </w:r>
      <w:r>
        <w:rPr>
          <w:rFonts w:hint="eastAsia" w:ascii="宋体" w:hAnsi="宋体" w:eastAsia="宋体" w:cs="宋体"/>
          <w:color w:val="auto"/>
          <w:sz w:val="22"/>
          <w:szCs w:val="22"/>
          <w:highlight w:val="none"/>
          <w:lang w:val="en-US" w:eastAsia="zh-CN"/>
        </w:rPr>
        <w:t>项目</w:t>
      </w:r>
      <w:r>
        <w:rPr>
          <w:rFonts w:hint="eastAsia" w:ascii="宋体" w:hAnsi="宋体" w:eastAsia="宋体" w:cs="宋体"/>
          <w:color w:val="auto"/>
          <w:sz w:val="22"/>
          <w:szCs w:val="22"/>
          <w:highlight w:val="none"/>
        </w:rPr>
        <w:t>的预期目的。</w:t>
      </w:r>
      <w:r>
        <w:rPr>
          <w:rFonts w:hint="eastAsia" w:ascii="宋体" w:hAnsi="宋体" w:eastAsia="宋体" w:cs="宋体"/>
          <w:color w:val="auto"/>
          <w:sz w:val="22"/>
          <w:szCs w:val="22"/>
          <w:highlight w:val="none"/>
          <w:lang w:val="en-US" w:eastAsia="zh-CN"/>
        </w:rPr>
        <w:t>项目</w:t>
      </w:r>
      <w:r>
        <w:rPr>
          <w:rFonts w:hint="eastAsia" w:ascii="宋体" w:hAnsi="宋体" w:eastAsia="宋体" w:cs="宋体"/>
          <w:color w:val="auto"/>
          <w:sz w:val="22"/>
          <w:szCs w:val="22"/>
          <w:highlight w:val="none"/>
        </w:rPr>
        <w:t>应包括为满足</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要求及本合同明确的或合同隐含或由</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的任何义务而产生的任何工作，以及合同中虽未提及但推论对</w:t>
      </w:r>
      <w:r>
        <w:rPr>
          <w:rFonts w:hint="eastAsia" w:ascii="宋体" w:hAnsi="宋体" w:eastAsia="宋体" w:cs="宋体"/>
          <w:color w:val="auto"/>
          <w:sz w:val="22"/>
          <w:szCs w:val="22"/>
          <w:highlight w:val="none"/>
          <w:lang w:val="en-US" w:eastAsia="zh-CN"/>
        </w:rPr>
        <w:t>项目</w:t>
      </w:r>
      <w:r>
        <w:rPr>
          <w:rFonts w:hint="eastAsia" w:ascii="宋体" w:hAnsi="宋体" w:eastAsia="宋体" w:cs="宋体"/>
          <w:color w:val="auto"/>
          <w:sz w:val="22"/>
          <w:szCs w:val="22"/>
          <w:highlight w:val="none"/>
        </w:rPr>
        <w:t>的稳定、完整或安全、可靠及有效运行所必须的全部工作。</w:t>
      </w:r>
    </w:p>
    <w:p w14:paraId="3BF1D978">
      <w:pPr>
        <w:keepNext w:val="0"/>
        <w:keepLines w:val="0"/>
        <w:pageBreakBefore w:val="0"/>
        <w:widowControl w:val="0"/>
        <w:kinsoku/>
        <w:wordWrap/>
        <w:overflowPunct/>
        <w:topLinePunct w:val="0"/>
        <w:bidi w:val="0"/>
        <w:adjustRightInd w:val="0"/>
        <w:spacing w:line="400" w:lineRule="exact"/>
        <w:ind w:firstLine="442" w:firstLineChars="200"/>
        <w:textAlignment w:val="auto"/>
        <w:rPr>
          <w:rFonts w:hint="eastAsia" w:ascii="宋体" w:hAnsi="宋体" w:eastAsia="宋体" w:cs="宋体"/>
          <w:color w:val="auto"/>
          <w:sz w:val="22"/>
          <w:szCs w:val="22"/>
          <w:highlight w:val="none"/>
        </w:rPr>
      </w:pPr>
      <w:r>
        <w:rPr>
          <w:rFonts w:hint="eastAsia" w:ascii="宋体" w:hAnsi="宋体" w:eastAsia="宋体" w:cs="宋体"/>
          <w:b/>
          <w:color w:val="auto"/>
          <w:sz w:val="22"/>
          <w:szCs w:val="22"/>
          <w:highlight w:val="none"/>
        </w:rPr>
        <w:t>8.2.3</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应在合同期内实施和完成本</w:t>
      </w:r>
      <w:r>
        <w:rPr>
          <w:rFonts w:hint="eastAsia" w:ascii="宋体" w:hAnsi="宋体" w:eastAsia="宋体" w:cs="宋体"/>
          <w:color w:val="auto"/>
          <w:sz w:val="22"/>
          <w:szCs w:val="22"/>
          <w:highlight w:val="none"/>
          <w:lang w:val="en-US" w:eastAsia="zh-CN"/>
        </w:rPr>
        <w:t>项目</w:t>
      </w:r>
      <w:r>
        <w:rPr>
          <w:rFonts w:hint="eastAsia" w:ascii="宋体" w:hAnsi="宋体" w:eastAsia="宋体" w:cs="宋体"/>
          <w:color w:val="auto"/>
          <w:sz w:val="22"/>
          <w:szCs w:val="22"/>
          <w:highlight w:val="none"/>
        </w:rPr>
        <w:t>，包括设计、</w:t>
      </w:r>
      <w:r>
        <w:rPr>
          <w:rFonts w:hint="eastAsia" w:ascii="宋体" w:hAnsi="宋体" w:eastAsia="宋体" w:cs="宋体"/>
          <w:color w:val="auto"/>
          <w:sz w:val="22"/>
          <w:szCs w:val="22"/>
          <w:highlight w:val="none"/>
          <w:lang w:val="en-US" w:eastAsia="zh-CN"/>
        </w:rPr>
        <w:t>土地整治</w:t>
      </w:r>
      <w:r>
        <w:rPr>
          <w:rFonts w:hint="eastAsia" w:ascii="宋体" w:hAnsi="宋体" w:eastAsia="宋体" w:cs="宋体"/>
          <w:color w:val="auto"/>
          <w:sz w:val="22"/>
          <w:szCs w:val="22"/>
          <w:highlight w:val="none"/>
        </w:rPr>
        <w:t>、提供</w:t>
      </w:r>
      <w:r>
        <w:rPr>
          <w:rFonts w:hint="eastAsia" w:ascii="宋体" w:hAnsi="宋体" w:eastAsia="宋体" w:cs="宋体"/>
          <w:color w:val="auto"/>
          <w:sz w:val="22"/>
          <w:szCs w:val="22"/>
          <w:highlight w:val="none"/>
          <w:lang w:val="en-US" w:eastAsia="zh-CN"/>
        </w:rPr>
        <w:t>土地整治实施</w:t>
      </w:r>
      <w:r>
        <w:rPr>
          <w:rFonts w:hint="eastAsia" w:ascii="宋体" w:hAnsi="宋体" w:eastAsia="宋体" w:cs="宋体"/>
          <w:color w:val="auto"/>
          <w:sz w:val="22"/>
          <w:szCs w:val="22"/>
          <w:highlight w:val="none"/>
        </w:rPr>
        <w:t>文件，并应在合同期内修补设计、</w:t>
      </w:r>
      <w:r>
        <w:rPr>
          <w:rFonts w:hint="eastAsia" w:ascii="宋体" w:hAnsi="宋体" w:eastAsia="宋体" w:cs="宋体"/>
          <w:color w:val="auto"/>
          <w:sz w:val="22"/>
          <w:szCs w:val="22"/>
          <w:highlight w:val="none"/>
          <w:lang w:val="en-US" w:eastAsia="zh-CN"/>
        </w:rPr>
        <w:t>项目</w:t>
      </w:r>
      <w:r>
        <w:rPr>
          <w:rFonts w:hint="eastAsia" w:ascii="宋体" w:hAnsi="宋体" w:eastAsia="宋体" w:cs="宋体"/>
          <w:color w:val="auto"/>
          <w:sz w:val="22"/>
          <w:szCs w:val="22"/>
          <w:highlight w:val="none"/>
        </w:rPr>
        <w:t>缺陷。</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应为该</w:t>
      </w:r>
      <w:r>
        <w:rPr>
          <w:rFonts w:hint="eastAsia" w:ascii="宋体" w:hAnsi="宋体" w:eastAsia="宋体" w:cs="宋体"/>
          <w:color w:val="auto"/>
          <w:sz w:val="22"/>
          <w:szCs w:val="22"/>
          <w:highlight w:val="none"/>
          <w:lang w:val="en-US" w:eastAsia="zh-CN"/>
        </w:rPr>
        <w:t>项目</w:t>
      </w:r>
      <w:r>
        <w:rPr>
          <w:rFonts w:hint="eastAsia" w:ascii="宋体" w:hAnsi="宋体" w:eastAsia="宋体" w:cs="宋体"/>
          <w:color w:val="auto"/>
          <w:sz w:val="22"/>
          <w:szCs w:val="22"/>
          <w:highlight w:val="none"/>
        </w:rPr>
        <w:t>的实施、完工以及修补缺陷而提供所需要的或临时性或永久性的全部</w:t>
      </w:r>
      <w:r>
        <w:rPr>
          <w:rFonts w:hint="eastAsia" w:ascii="宋体" w:hAnsi="宋体" w:eastAsia="宋体" w:cs="宋体"/>
          <w:color w:val="auto"/>
          <w:sz w:val="22"/>
          <w:szCs w:val="22"/>
          <w:highlight w:val="none"/>
          <w:lang w:val="en-US" w:eastAsia="zh-CN"/>
        </w:rPr>
        <w:t>项目</w:t>
      </w:r>
      <w:r>
        <w:rPr>
          <w:rFonts w:hint="eastAsia" w:ascii="宋体" w:hAnsi="宋体" w:eastAsia="宋体" w:cs="宋体"/>
          <w:color w:val="auto"/>
          <w:sz w:val="22"/>
          <w:szCs w:val="22"/>
          <w:highlight w:val="none"/>
        </w:rPr>
        <w:t>劳务、设备、材料，</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的设备、临时</w:t>
      </w:r>
      <w:r>
        <w:rPr>
          <w:rFonts w:hint="eastAsia" w:ascii="宋体" w:hAnsi="宋体" w:eastAsia="宋体" w:cs="宋体"/>
          <w:color w:val="auto"/>
          <w:sz w:val="22"/>
          <w:szCs w:val="22"/>
          <w:highlight w:val="none"/>
          <w:lang w:val="en-US" w:eastAsia="zh-CN"/>
        </w:rPr>
        <w:t>项目</w:t>
      </w:r>
      <w:r>
        <w:rPr>
          <w:rFonts w:hint="eastAsia" w:ascii="宋体" w:hAnsi="宋体" w:eastAsia="宋体" w:cs="宋体"/>
          <w:color w:val="auto"/>
          <w:sz w:val="22"/>
          <w:szCs w:val="22"/>
          <w:highlight w:val="none"/>
        </w:rPr>
        <w:t>以及所有其他物品。</w:t>
      </w:r>
    </w:p>
    <w:p w14:paraId="62AB26C8">
      <w:pPr>
        <w:keepNext w:val="0"/>
        <w:keepLines w:val="0"/>
        <w:pageBreakBefore w:val="0"/>
        <w:widowControl w:val="0"/>
        <w:kinsoku/>
        <w:wordWrap/>
        <w:overflowPunct/>
        <w:topLinePunct w:val="0"/>
        <w:bidi w:val="0"/>
        <w:adjustRightInd w:val="0"/>
        <w:spacing w:line="400" w:lineRule="exact"/>
        <w:ind w:firstLine="442" w:firstLineChars="200"/>
        <w:textAlignment w:val="auto"/>
        <w:rPr>
          <w:rFonts w:hint="eastAsia" w:ascii="宋体" w:hAnsi="宋体" w:eastAsia="宋体" w:cs="宋体"/>
          <w:color w:val="auto"/>
          <w:sz w:val="22"/>
          <w:szCs w:val="22"/>
          <w:highlight w:val="none"/>
        </w:rPr>
      </w:pPr>
      <w:r>
        <w:rPr>
          <w:rFonts w:hint="eastAsia" w:ascii="宋体" w:hAnsi="宋体" w:eastAsia="宋体" w:cs="宋体"/>
          <w:b/>
          <w:color w:val="auto"/>
          <w:sz w:val="22"/>
          <w:szCs w:val="22"/>
          <w:highlight w:val="none"/>
        </w:rPr>
        <w:t>8.2.4</w:t>
      </w:r>
      <w:r>
        <w:rPr>
          <w:rFonts w:hint="eastAsia" w:ascii="宋体" w:hAnsi="宋体" w:eastAsia="宋体" w:cs="宋体"/>
          <w:color w:val="auto"/>
          <w:sz w:val="22"/>
          <w:szCs w:val="22"/>
          <w:highlight w:val="none"/>
        </w:rPr>
        <w:t>不管</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是否给予了批准或同意，</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应对全部现场作业、所有</w:t>
      </w:r>
      <w:r>
        <w:rPr>
          <w:rFonts w:hint="eastAsia" w:ascii="宋体" w:hAnsi="宋体" w:eastAsia="宋体" w:cs="宋体"/>
          <w:color w:val="auto"/>
          <w:sz w:val="22"/>
          <w:szCs w:val="22"/>
          <w:highlight w:val="none"/>
          <w:lang w:val="en-US" w:eastAsia="zh-CN"/>
        </w:rPr>
        <w:t>实施</w:t>
      </w:r>
      <w:r>
        <w:rPr>
          <w:rFonts w:hint="eastAsia" w:ascii="宋体" w:hAnsi="宋体" w:eastAsia="宋体" w:cs="宋体"/>
          <w:color w:val="auto"/>
          <w:sz w:val="22"/>
          <w:szCs w:val="22"/>
          <w:highlight w:val="none"/>
        </w:rPr>
        <w:t>方法以及全部</w:t>
      </w:r>
      <w:r>
        <w:rPr>
          <w:rFonts w:hint="eastAsia" w:ascii="宋体" w:hAnsi="宋体" w:eastAsia="宋体" w:cs="宋体"/>
          <w:color w:val="auto"/>
          <w:sz w:val="22"/>
          <w:szCs w:val="22"/>
          <w:highlight w:val="none"/>
          <w:lang w:val="en-US" w:eastAsia="zh-CN"/>
        </w:rPr>
        <w:t>项目</w:t>
      </w:r>
      <w:r>
        <w:rPr>
          <w:rFonts w:hint="eastAsia" w:ascii="宋体" w:hAnsi="宋体" w:eastAsia="宋体" w:cs="宋体"/>
          <w:color w:val="auto"/>
          <w:sz w:val="22"/>
          <w:szCs w:val="22"/>
          <w:highlight w:val="none"/>
        </w:rPr>
        <w:t>的完备性、稳定性和安全性承担全部责任。</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负责解决在</w:t>
      </w:r>
      <w:r>
        <w:rPr>
          <w:rFonts w:hint="eastAsia" w:ascii="宋体" w:hAnsi="宋体" w:eastAsia="宋体" w:cs="宋体"/>
          <w:color w:val="auto"/>
          <w:sz w:val="22"/>
          <w:szCs w:val="22"/>
          <w:highlight w:val="none"/>
          <w:lang w:val="en-US" w:eastAsia="zh-CN"/>
        </w:rPr>
        <w:t>实施</w:t>
      </w:r>
      <w:r>
        <w:rPr>
          <w:rFonts w:hint="eastAsia" w:ascii="宋体" w:hAnsi="宋体" w:eastAsia="宋体" w:cs="宋体"/>
          <w:color w:val="auto"/>
          <w:sz w:val="22"/>
          <w:szCs w:val="22"/>
          <w:highlight w:val="none"/>
        </w:rPr>
        <w:t>过程中发生的一切争议（包括但不限于结算纠纷、拖欠民工工资纠纷、劳动争议、人身损害等纠纷），承担解决争议的费用或责任，相关费用不计入合同价款。</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保证不会因为争议影响到</w:t>
      </w:r>
      <w:r>
        <w:rPr>
          <w:rFonts w:hint="eastAsia" w:ascii="宋体" w:hAnsi="宋体" w:eastAsia="宋体" w:cs="宋体"/>
          <w:color w:val="auto"/>
          <w:sz w:val="22"/>
          <w:szCs w:val="22"/>
          <w:highlight w:val="none"/>
          <w:lang w:val="en-US" w:eastAsia="zh-CN"/>
        </w:rPr>
        <w:t>项目</w:t>
      </w:r>
      <w:r>
        <w:rPr>
          <w:rFonts w:hint="eastAsia" w:ascii="宋体" w:hAnsi="宋体" w:eastAsia="宋体" w:cs="宋体"/>
          <w:color w:val="auto"/>
          <w:sz w:val="22"/>
          <w:szCs w:val="22"/>
          <w:highlight w:val="none"/>
        </w:rPr>
        <w:t>进度、</w:t>
      </w:r>
      <w:r>
        <w:rPr>
          <w:rFonts w:hint="eastAsia" w:ascii="宋体" w:hAnsi="宋体" w:eastAsia="宋体" w:cs="宋体"/>
          <w:color w:val="auto"/>
          <w:sz w:val="22"/>
          <w:szCs w:val="22"/>
          <w:highlight w:val="none"/>
          <w:lang w:val="en-US" w:eastAsia="zh-CN"/>
        </w:rPr>
        <w:t>项目</w:t>
      </w:r>
      <w:r>
        <w:rPr>
          <w:rFonts w:hint="eastAsia" w:ascii="宋体" w:hAnsi="宋体" w:eastAsia="宋体" w:cs="宋体"/>
          <w:color w:val="auto"/>
          <w:sz w:val="22"/>
          <w:szCs w:val="22"/>
          <w:highlight w:val="none"/>
        </w:rPr>
        <w:t>质量以及</w:t>
      </w:r>
      <w:r>
        <w:rPr>
          <w:rFonts w:hint="eastAsia" w:ascii="宋体" w:hAnsi="宋体" w:eastAsia="宋体" w:cs="宋体"/>
          <w:color w:val="auto"/>
          <w:sz w:val="22"/>
          <w:szCs w:val="22"/>
          <w:highlight w:val="none"/>
          <w:lang w:val="en-US" w:eastAsia="zh-CN"/>
        </w:rPr>
        <w:t>项目</w:t>
      </w:r>
      <w:r>
        <w:rPr>
          <w:rFonts w:hint="eastAsia" w:ascii="宋体" w:hAnsi="宋体" w:eastAsia="宋体" w:cs="宋体"/>
          <w:color w:val="auto"/>
          <w:sz w:val="22"/>
          <w:szCs w:val="22"/>
          <w:highlight w:val="none"/>
        </w:rPr>
        <w:t>交付。</w:t>
      </w:r>
    </w:p>
    <w:p w14:paraId="21F05E07">
      <w:pPr>
        <w:keepNext w:val="0"/>
        <w:keepLines w:val="0"/>
        <w:pageBreakBefore w:val="0"/>
        <w:widowControl w:val="0"/>
        <w:kinsoku/>
        <w:wordWrap/>
        <w:overflowPunct/>
        <w:topLinePunct w:val="0"/>
        <w:bidi w:val="0"/>
        <w:adjustRightInd w:val="0"/>
        <w:spacing w:line="400" w:lineRule="exact"/>
        <w:ind w:firstLine="442" w:firstLineChars="200"/>
        <w:textAlignment w:val="auto"/>
        <w:rPr>
          <w:rFonts w:hint="eastAsia" w:ascii="宋体" w:hAnsi="宋体" w:eastAsia="宋体" w:cs="宋体"/>
          <w:color w:val="auto"/>
          <w:sz w:val="22"/>
          <w:szCs w:val="22"/>
          <w:highlight w:val="none"/>
        </w:rPr>
      </w:pPr>
      <w:r>
        <w:rPr>
          <w:rFonts w:hint="eastAsia" w:ascii="宋体" w:hAnsi="宋体" w:eastAsia="宋体" w:cs="宋体"/>
          <w:b/>
          <w:color w:val="auto"/>
          <w:sz w:val="22"/>
          <w:szCs w:val="22"/>
          <w:highlight w:val="none"/>
        </w:rPr>
        <w:t>8.2.5</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对本</w:t>
      </w:r>
      <w:r>
        <w:rPr>
          <w:rFonts w:hint="eastAsia" w:ascii="宋体" w:hAnsi="宋体" w:eastAsia="宋体" w:cs="宋体"/>
          <w:color w:val="auto"/>
          <w:sz w:val="22"/>
          <w:szCs w:val="22"/>
          <w:highlight w:val="none"/>
          <w:lang w:val="en-US" w:eastAsia="zh-CN"/>
        </w:rPr>
        <w:t>项目</w:t>
      </w:r>
      <w:r>
        <w:rPr>
          <w:rFonts w:hint="eastAsia" w:ascii="宋体" w:hAnsi="宋体" w:eastAsia="宋体" w:cs="宋体"/>
          <w:color w:val="auto"/>
          <w:sz w:val="22"/>
          <w:szCs w:val="22"/>
          <w:highlight w:val="none"/>
        </w:rPr>
        <w:t>设计、</w:t>
      </w:r>
      <w:r>
        <w:rPr>
          <w:rFonts w:hint="eastAsia" w:ascii="宋体" w:hAnsi="宋体" w:eastAsia="宋体" w:cs="宋体"/>
          <w:color w:val="auto"/>
          <w:sz w:val="22"/>
          <w:szCs w:val="22"/>
          <w:highlight w:val="none"/>
          <w:lang w:val="en-US" w:eastAsia="zh-CN"/>
        </w:rPr>
        <w:t>土地整治</w:t>
      </w:r>
      <w:r>
        <w:rPr>
          <w:rFonts w:hint="eastAsia" w:ascii="宋体" w:hAnsi="宋体" w:eastAsia="宋体" w:cs="宋体"/>
          <w:color w:val="auto"/>
          <w:sz w:val="22"/>
          <w:szCs w:val="22"/>
          <w:highlight w:val="none"/>
        </w:rPr>
        <w:t>提出重大设计变更应经监理及</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书面同意，如需报原审批机构审核的，审核通过后方可实施。</w:t>
      </w:r>
    </w:p>
    <w:p w14:paraId="0BF2AEF1">
      <w:pPr>
        <w:keepNext w:val="0"/>
        <w:keepLines w:val="0"/>
        <w:pageBreakBefore w:val="0"/>
        <w:widowControl w:val="0"/>
        <w:kinsoku/>
        <w:wordWrap/>
        <w:overflowPunct/>
        <w:topLinePunct w:val="0"/>
        <w:bidi w:val="0"/>
        <w:adjustRightInd w:val="0"/>
        <w:spacing w:line="400" w:lineRule="exact"/>
        <w:ind w:firstLine="442" w:firstLineChars="200"/>
        <w:textAlignment w:val="auto"/>
        <w:rPr>
          <w:rFonts w:hint="eastAsia" w:ascii="宋体" w:hAnsi="宋体" w:eastAsia="宋体" w:cs="宋体"/>
          <w:color w:val="auto"/>
          <w:sz w:val="22"/>
          <w:szCs w:val="22"/>
          <w:highlight w:val="none"/>
        </w:rPr>
      </w:pPr>
      <w:r>
        <w:rPr>
          <w:rFonts w:hint="eastAsia" w:ascii="宋体" w:hAnsi="宋体" w:eastAsia="宋体" w:cs="宋体"/>
          <w:b/>
          <w:color w:val="auto"/>
          <w:sz w:val="22"/>
          <w:szCs w:val="22"/>
          <w:highlight w:val="none"/>
        </w:rPr>
        <w:t>8.2.6</w:t>
      </w:r>
      <w:r>
        <w:rPr>
          <w:rFonts w:hint="eastAsia" w:ascii="宋体" w:hAnsi="宋体" w:eastAsia="宋体" w:cs="宋体"/>
          <w:color w:val="auto"/>
          <w:sz w:val="22"/>
          <w:szCs w:val="22"/>
          <w:highlight w:val="none"/>
        </w:rPr>
        <w:t>依法纳税。</w:t>
      </w:r>
    </w:p>
    <w:p w14:paraId="0CCFCF23">
      <w:pPr>
        <w:keepNext w:val="0"/>
        <w:keepLines w:val="0"/>
        <w:pageBreakBefore w:val="0"/>
        <w:widowControl w:val="0"/>
        <w:kinsoku/>
        <w:wordWrap/>
        <w:overflowPunct/>
        <w:topLinePunct w:val="0"/>
        <w:bidi w:val="0"/>
        <w:adjustRightInd w:val="0"/>
        <w:spacing w:line="400" w:lineRule="exact"/>
        <w:ind w:firstLine="442" w:firstLineChars="200"/>
        <w:textAlignment w:val="auto"/>
        <w:rPr>
          <w:rFonts w:hint="eastAsia" w:ascii="宋体" w:hAnsi="宋体" w:eastAsia="宋体" w:cs="宋体"/>
          <w:color w:val="auto"/>
          <w:sz w:val="22"/>
          <w:szCs w:val="22"/>
          <w:highlight w:val="none"/>
        </w:rPr>
      </w:pPr>
      <w:r>
        <w:rPr>
          <w:rFonts w:hint="eastAsia" w:ascii="宋体" w:hAnsi="宋体" w:eastAsia="宋体" w:cs="宋体"/>
          <w:b/>
          <w:color w:val="auto"/>
          <w:sz w:val="22"/>
          <w:szCs w:val="22"/>
          <w:highlight w:val="none"/>
        </w:rPr>
        <w:t>8.2.7</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在</w:t>
      </w:r>
      <w:r>
        <w:rPr>
          <w:rFonts w:hint="eastAsia" w:ascii="宋体" w:hAnsi="宋体" w:eastAsia="宋体" w:cs="宋体"/>
          <w:color w:val="auto"/>
          <w:sz w:val="22"/>
          <w:szCs w:val="22"/>
          <w:highlight w:val="none"/>
          <w:lang w:val="en-US" w:eastAsia="zh-CN"/>
        </w:rPr>
        <w:t>项目服务</w:t>
      </w:r>
      <w:r>
        <w:rPr>
          <w:rFonts w:hint="eastAsia" w:ascii="宋体" w:hAnsi="宋体" w:eastAsia="宋体" w:cs="宋体"/>
          <w:color w:val="auto"/>
          <w:sz w:val="22"/>
          <w:szCs w:val="22"/>
          <w:highlight w:val="none"/>
        </w:rPr>
        <w:t>期内应对设计、</w:t>
      </w:r>
      <w:r>
        <w:rPr>
          <w:rFonts w:hint="eastAsia" w:ascii="宋体" w:hAnsi="宋体" w:eastAsia="宋体" w:cs="宋体"/>
          <w:color w:val="auto"/>
          <w:sz w:val="22"/>
          <w:szCs w:val="22"/>
          <w:highlight w:val="none"/>
          <w:lang w:val="en-US" w:eastAsia="zh-CN"/>
        </w:rPr>
        <w:t>项目实施</w:t>
      </w:r>
      <w:r>
        <w:rPr>
          <w:rFonts w:hint="eastAsia" w:ascii="宋体" w:hAnsi="宋体" w:eastAsia="宋体" w:cs="宋体"/>
          <w:color w:val="auto"/>
          <w:sz w:val="22"/>
          <w:szCs w:val="22"/>
          <w:highlight w:val="none"/>
        </w:rPr>
        <w:t>、</w:t>
      </w:r>
      <w:r>
        <w:rPr>
          <w:rFonts w:hint="eastAsia" w:ascii="宋体" w:hAnsi="宋体" w:cs="宋体"/>
          <w:color w:val="auto"/>
          <w:sz w:val="22"/>
          <w:szCs w:val="22"/>
          <w:highlight w:val="none"/>
          <w:lang w:val="en-US" w:eastAsia="zh-CN"/>
        </w:rPr>
        <w:t>垦后管护</w:t>
      </w:r>
      <w:r>
        <w:rPr>
          <w:rFonts w:hint="eastAsia" w:ascii="宋体" w:hAnsi="宋体" w:eastAsia="宋体" w:cs="宋体"/>
          <w:color w:val="auto"/>
          <w:sz w:val="22"/>
          <w:szCs w:val="22"/>
          <w:highlight w:val="none"/>
          <w:lang w:val="en-US" w:eastAsia="zh-CN"/>
        </w:rPr>
        <w:t>、</w:t>
      </w:r>
      <w:r>
        <w:rPr>
          <w:rFonts w:hint="eastAsia" w:ascii="宋体" w:hAnsi="宋体" w:eastAsia="宋体" w:cs="宋体"/>
          <w:color w:val="auto"/>
          <w:sz w:val="22"/>
          <w:szCs w:val="22"/>
          <w:highlight w:val="none"/>
        </w:rPr>
        <w:t>财产和人员伤亡进行保险。</w:t>
      </w:r>
    </w:p>
    <w:p w14:paraId="506E1917">
      <w:pPr>
        <w:keepNext w:val="0"/>
        <w:keepLines w:val="0"/>
        <w:pageBreakBefore w:val="0"/>
        <w:widowControl w:val="0"/>
        <w:kinsoku/>
        <w:wordWrap/>
        <w:overflowPunct/>
        <w:topLinePunct w:val="0"/>
        <w:bidi w:val="0"/>
        <w:adjustRightInd w:val="0"/>
        <w:spacing w:line="400" w:lineRule="exact"/>
        <w:ind w:firstLine="442" w:firstLineChars="200"/>
        <w:textAlignment w:val="auto"/>
        <w:rPr>
          <w:rFonts w:hint="eastAsia" w:ascii="宋体" w:hAnsi="宋体" w:eastAsia="宋体" w:cs="宋体"/>
          <w:color w:val="auto"/>
          <w:sz w:val="22"/>
          <w:szCs w:val="22"/>
          <w:highlight w:val="none"/>
        </w:rPr>
      </w:pPr>
      <w:r>
        <w:rPr>
          <w:rFonts w:hint="eastAsia" w:ascii="宋体" w:hAnsi="宋体" w:eastAsia="宋体" w:cs="宋体"/>
          <w:b/>
          <w:color w:val="auto"/>
          <w:sz w:val="22"/>
          <w:szCs w:val="22"/>
          <w:highlight w:val="none"/>
        </w:rPr>
        <w:t>8.2.8</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应按合同规定配合</w:t>
      </w:r>
      <w:r>
        <w:rPr>
          <w:rFonts w:hint="eastAsia" w:ascii="宋体" w:hAnsi="宋体" w:eastAsia="宋体" w:cs="宋体"/>
          <w:color w:val="auto"/>
          <w:sz w:val="22"/>
          <w:szCs w:val="22"/>
          <w:highlight w:val="none"/>
          <w:lang w:val="en-US" w:eastAsia="zh-CN"/>
        </w:rPr>
        <w:t>项目</w:t>
      </w:r>
      <w:r>
        <w:rPr>
          <w:rFonts w:hint="eastAsia" w:ascii="宋体" w:hAnsi="宋体" w:eastAsia="宋体" w:cs="宋体"/>
          <w:color w:val="auto"/>
          <w:sz w:val="22"/>
          <w:szCs w:val="22"/>
          <w:highlight w:val="none"/>
        </w:rPr>
        <w:t>完工验收，负责解决验收中的</w:t>
      </w:r>
      <w:r>
        <w:rPr>
          <w:rFonts w:hint="eastAsia" w:ascii="宋体" w:hAnsi="宋体" w:eastAsia="宋体" w:cs="宋体"/>
          <w:color w:val="auto"/>
          <w:sz w:val="22"/>
          <w:szCs w:val="22"/>
          <w:highlight w:val="none"/>
          <w:lang w:val="en-US" w:eastAsia="zh-CN"/>
        </w:rPr>
        <w:t>项目</w:t>
      </w:r>
      <w:r>
        <w:rPr>
          <w:rFonts w:hint="eastAsia" w:ascii="宋体" w:hAnsi="宋体" w:eastAsia="宋体" w:cs="宋体"/>
          <w:color w:val="auto"/>
          <w:sz w:val="22"/>
          <w:szCs w:val="22"/>
          <w:highlight w:val="none"/>
        </w:rPr>
        <w:t>质量问题及质保期的</w:t>
      </w:r>
      <w:r>
        <w:rPr>
          <w:rFonts w:hint="eastAsia" w:ascii="宋体" w:hAnsi="宋体" w:eastAsia="宋体" w:cs="宋体"/>
          <w:color w:val="auto"/>
          <w:sz w:val="22"/>
          <w:szCs w:val="22"/>
          <w:highlight w:val="none"/>
          <w:lang w:val="en-US" w:eastAsia="zh-CN"/>
        </w:rPr>
        <w:t>项目</w:t>
      </w:r>
      <w:r>
        <w:rPr>
          <w:rFonts w:hint="eastAsia" w:ascii="宋体" w:hAnsi="宋体" w:eastAsia="宋体" w:cs="宋体"/>
          <w:color w:val="auto"/>
          <w:sz w:val="22"/>
          <w:szCs w:val="22"/>
          <w:highlight w:val="none"/>
        </w:rPr>
        <w:t>质量问题并负责向完工备案部门备案。</w:t>
      </w:r>
    </w:p>
    <w:p w14:paraId="29EAD731">
      <w:pPr>
        <w:keepNext w:val="0"/>
        <w:keepLines w:val="0"/>
        <w:pageBreakBefore w:val="0"/>
        <w:widowControl w:val="0"/>
        <w:kinsoku/>
        <w:wordWrap/>
        <w:overflowPunct/>
        <w:topLinePunct w:val="0"/>
        <w:bidi w:val="0"/>
        <w:adjustRightInd w:val="0"/>
        <w:spacing w:line="400" w:lineRule="exact"/>
        <w:ind w:firstLine="442" w:firstLineChars="200"/>
        <w:textAlignment w:val="auto"/>
        <w:rPr>
          <w:rFonts w:hint="eastAsia" w:ascii="宋体" w:hAnsi="宋体" w:eastAsia="宋体" w:cs="宋体"/>
          <w:color w:val="auto"/>
          <w:sz w:val="22"/>
          <w:szCs w:val="22"/>
          <w:highlight w:val="none"/>
        </w:rPr>
      </w:pPr>
      <w:r>
        <w:rPr>
          <w:rFonts w:hint="eastAsia" w:ascii="宋体" w:hAnsi="宋体" w:eastAsia="宋体" w:cs="宋体"/>
          <w:b/>
          <w:color w:val="auto"/>
          <w:sz w:val="22"/>
          <w:szCs w:val="22"/>
          <w:highlight w:val="none"/>
        </w:rPr>
        <w:t>8.2.9</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应始终遵守政府当局发布的一切有关法律、条例和法令，</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应经常取得与适用于本项目已公布的法律、条例和法令有关的一切必要的资料。并始终被视为对这些资料有充分的了解。</w:t>
      </w:r>
    </w:p>
    <w:p w14:paraId="6D0E0EA4">
      <w:pPr>
        <w:keepNext w:val="0"/>
        <w:keepLines w:val="0"/>
        <w:pageBreakBefore w:val="0"/>
        <w:widowControl w:val="0"/>
        <w:kinsoku/>
        <w:wordWrap/>
        <w:overflowPunct/>
        <w:topLinePunct w:val="0"/>
        <w:bidi w:val="0"/>
        <w:adjustRightInd w:val="0"/>
        <w:spacing w:line="400" w:lineRule="exact"/>
        <w:ind w:firstLine="442" w:firstLineChars="200"/>
        <w:textAlignment w:val="auto"/>
        <w:rPr>
          <w:rFonts w:hint="eastAsia" w:ascii="宋体" w:hAnsi="宋体" w:eastAsia="宋体" w:cs="宋体"/>
          <w:color w:val="auto"/>
          <w:sz w:val="22"/>
          <w:szCs w:val="22"/>
          <w:highlight w:val="none"/>
        </w:rPr>
      </w:pPr>
      <w:r>
        <w:rPr>
          <w:rFonts w:hint="eastAsia" w:ascii="宋体" w:hAnsi="宋体" w:eastAsia="宋体" w:cs="宋体"/>
          <w:b/>
          <w:color w:val="auto"/>
          <w:sz w:val="22"/>
          <w:szCs w:val="22"/>
          <w:highlight w:val="none"/>
        </w:rPr>
        <w:t>8.2.10</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为本</w:t>
      </w:r>
      <w:r>
        <w:rPr>
          <w:rFonts w:hint="eastAsia" w:ascii="宋体" w:hAnsi="宋体" w:eastAsia="宋体" w:cs="宋体"/>
          <w:color w:val="auto"/>
          <w:sz w:val="22"/>
          <w:szCs w:val="22"/>
          <w:highlight w:val="none"/>
          <w:lang w:val="en-US" w:eastAsia="zh-CN"/>
        </w:rPr>
        <w:t>项目</w:t>
      </w:r>
      <w:r>
        <w:rPr>
          <w:rFonts w:hint="eastAsia" w:ascii="宋体" w:hAnsi="宋体" w:eastAsia="宋体" w:cs="宋体"/>
          <w:color w:val="auto"/>
          <w:sz w:val="22"/>
          <w:szCs w:val="22"/>
          <w:highlight w:val="none"/>
        </w:rPr>
        <w:t>签订的</w:t>
      </w:r>
      <w:r>
        <w:rPr>
          <w:rFonts w:hint="eastAsia" w:ascii="宋体" w:hAnsi="宋体" w:eastAsia="宋体" w:cs="宋体"/>
          <w:color w:val="auto"/>
          <w:sz w:val="22"/>
          <w:szCs w:val="22"/>
          <w:highlight w:val="none"/>
          <w:lang w:val="en-US" w:eastAsia="zh-CN"/>
        </w:rPr>
        <w:t>项目</w:t>
      </w:r>
      <w:r>
        <w:rPr>
          <w:rFonts w:hint="eastAsia" w:ascii="宋体" w:hAnsi="宋体" w:eastAsia="宋体" w:cs="宋体"/>
          <w:color w:val="auto"/>
          <w:sz w:val="22"/>
          <w:szCs w:val="22"/>
          <w:highlight w:val="none"/>
        </w:rPr>
        <w:t>文件必须符合国家有关的法律、法规，并与本合同不相抵触。</w:t>
      </w:r>
    </w:p>
    <w:p w14:paraId="06FD8D75">
      <w:pPr>
        <w:keepNext w:val="0"/>
        <w:keepLines w:val="0"/>
        <w:pageBreakBefore w:val="0"/>
        <w:widowControl w:val="0"/>
        <w:kinsoku/>
        <w:wordWrap/>
        <w:overflowPunct/>
        <w:topLinePunct w:val="0"/>
        <w:bidi w:val="0"/>
        <w:adjustRightInd w:val="0"/>
        <w:spacing w:line="400" w:lineRule="exact"/>
        <w:ind w:firstLine="442" w:firstLineChars="200"/>
        <w:textAlignment w:val="auto"/>
        <w:rPr>
          <w:rFonts w:hint="eastAsia" w:ascii="宋体" w:hAnsi="宋体" w:eastAsia="宋体" w:cs="宋体"/>
          <w:color w:val="auto"/>
          <w:sz w:val="22"/>
          <w:szCs w:val="22"/>
          <w:highlight w:val="none"/>
        </w:rPr>
      </w:pPr>
      <w:r>
        <w:rPr>
          <w:rFonts w:hint="eastAsia" w:ascii="宋体" w:hAnsi="宋体" w:eastAsia="宋体" w:cs="宋体"/>
          <w:b/>
          <w:color w:val="auto"/>
          <w:sz w:val="22"/>
          <w:szCs w:val="22"/>
          <w:highlight w:val="none"/>
        </w:rPr>
        <w:t>8.2.11</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在完工验收后应负责向</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提供完整的完工档案、设备、仪器、仪表维修操作手册、质量保修书等有关资料。</w:t>
      </w:r>
    </w:p>
    <w:p w14:paraId="004B5B77">
      <w:pPr>
        <w:keepNext w:val="0"/>
        <w:keepLines w:val="0"/>
        <w:pageBreakBefore w:val="0"/>
        <w:widowControl w:val="0"/>
        <w:kinsoku/>
        <w:wordWrap/>
        <w:overflowPunct/>
        <w:topLinePunct w:val="0"/>
        <w:bidi w:val="0"/>
        <w:adjustRightInd w:val="0"/>
        <w:spacing w:line="400" w:lineRule="exact"/>
        <w:ind w:firstLine="442" w:firstLineChars="200"/>
        <w:textAlignment w:val="auto"/>
        <w:rPr>
          <w:rFonts w:hint="eastAsia" w:ascii="宋体" w:hAnsi="宋体" w:eastAsia="宋体" w:cs="宋体"/>
          <w:color w:val="auto"/>
          <w:sz w:val="22"/>
          <w:szCs w:val="22"/>
          <w:highlight w:val="none"/>
        </w:rPr>
      </w:pPr>
      <w:r>
        <w:rPr>
          <w:rFonts w:hint="eastAsia" w:ascii="宋体" w:hAnsi="宋体" w:eastAsia="宋体" w:cs="宋体"/>
          <w:b/>
          <w:color w:val="auto"/>
          <w:sz w:val="22"/>
          <w:szCs w:val="22"/>
          <w:highlight w:val="none"/>
        </w:rPr>
        <w:t>8.2.12</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应按档案管理的有关规定，负责编制项目档案，提供给</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并保证文书档案移交并向有关部门归档。</w:t>
      </w:r>
    </w:p>
    <w:p w14:paraId="48E16ABB">
      <w:pPr>
        <w:keepNext w:val="0"/>
        <w:keepLines w:val="0"/>
        <w:pageBreakBefore w:val="0"/>
        <w:widowControl w:val="0"/>
        <w:kinsoku/>
        <w:wordWrap/>
        <w:overflowPunct/>
        <w:topLinePunct w:val="0"/>
        <w:bidi w:val="0"/>
        <w:adjustRightInd w:val="0"/>
        <w:spacing w:line="400" w:lineRule="exact"/>
        <w:ind w:firstLine="442" w:firstLineChars="200"/>
        <w:textAlignment w:val="auto"/>
        <w:rPr>
          <w:rFonts w:hint="eastAsia" w:ascii="宋体" w:hAnsi="宋体" w:eastAsia="宋体" w:cs="宋体"/>
          <w:color w:val="auto"/>
          <w:sz w:val="22"/>
          <w:szCs w:val="22"/>
          <w:highlight w:val="none"/>
        </w:rPr>
      </w:pPr>
      <w:r>
        <w:rPr>
          <w:rFonts w:hint="eastAsia" w:ascii="宋体" w:hAnsi="宋体" w:eastAsia="宋体" w:cs="宋体"/>
          <w:b/>
          <w:color w:val="auto"/>
          <w:sz w:val="22"/>
          <w:szCs w:val="22"/>
          <w:highlight w:val="none"/>
        </w:rPr>
        <w:t>8.2.13</w:t>
      </w:r>
      <w:r>
        <w:rPr>
          <w:rFonts w:hint="eastAsia" w:ascii="宋体" w:hAnsi="宋体" w:eastAsia="宋体" w:cs="宋体"/>
          <w:color w:val="auto"/>
          <w:sz w:val="22"/>
          <w:szCs w:val="22"/>
          <w:highlight w:val="none"/>
          <w:lang w:val="en-US" w:eastAsia="zh-CN"/>
        </w:rPr>
        <w:t>项目</w:t>
      </w:r>
      <w:r>
        <w:rPr>
          <w:rFonts w:hint="eastAsia" w:ascii="宋体" w:hAnsi="宋体" w:eastAsia="宋体" w:cs="宋体"/>
          <w:color w:val="auto"/>
          <w:sz w:val="22"/>
          <w:szCs w:val="22"/>
          <w:highlight w:val="none"/>
        </w:rPr>
        <w:t>实施过程的重大问题应及时向监理人、</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及有关部门汇报。</w:t>
      </w:r>
    </w:p>
    <w:p w14:paraId="7B0F5173">
      <w:pPr>
        <w:keepNext w:val="0"/>
        <w:keepLines w:val="0"/>
        <w:pageBreakBefore w:val="0"/>
        <w:widowControl w:val="0"/>
        <w:kinsoku/>
        <w:wordWrap/>
        <w:overflowPunct/>
        <w:topLinePunct w:val="0"/>
        <w:bidi w:val="0"/>
        <w:adjustRightInd w:val="0"/>
        <w:spacing w:line="400" w:lineRule="exact"/>
        <w:ind w:firstLine="442" w:firstLineChars="200"/>
        <w:textAlignment w:val="auto"/>
        <w:rPr>
          <w:rFonts w:hint="eastAsia" w:ascii="宋体" w:hAnsi="宋体" w:eastAsia="宋体" w:cs="宋体"/>
          <w:color w:val="auto"/>
          <w:sz w:val="22"/>
          <w:szCs w:val="22"/>
          <w:highlight w:val="none"/>
        </w:rPr>
      </w:pPr>
      <w:r>
        <w:rPr>
          <w:rFonts w:hint="eastAsia" w:ascii="宋体" w:hAnsi="宋体" w:eastAsia="宋体" w:cs="宋体"/>
          <w:b/>
          <w:color w:val="auto"/>
          <w:sz w:val="22"/>
          <w:szCs w:val="22"/>
          <w:highlight w:val="none"/>
        </w:rPr>
        <w:t>8.2.14</w:t>
      </w:r>
      <w:r>
        <w:rPr>
          <w:rFonts w:hint="eastAsia" w:ascii="宋体" w:hAnsi="宋体" w:eastAsia="宋体" w:cs="宋体"/>
          <w:color w:val="auto"/>
          <w:sz w:val="22"/>
          <w:szCs w:val="22"/>
          <w:highlight w:val="none"/>
        </w:rPr>
        <w:t>在</w:t>
      </w:r>
      <w:r>
        <w:rPr>
          <w:rFonts w:hint="eastAsia" w:ascii="宋体" w:hAnsi="宋体" w:eastAsia="宋体" w:cs="宋体"/>
          <w:color w:val="auto"/>
          <w:sz w:val="22"/>
          <w:szCs w:val="22"/>
          <w:highlight w:val="none"/>
          <w:lang w:val="en-US" w:eastAsia="zh-CN"/>
        </w:rPr>
        <w:t>项目</w:t>
      </w:r>
      <w:r>
        <w:rPr>
          <w:rFonts w:hint="eastAsia" w:ascii="宋体" w:hAnsi="宋体" w:eastAsia="宋体" w:cs="宋体"/>
          <w:color w:val="auto"/>
          <w:sz w:val="22"/>
          <w:szCs w:val="22"/>
          <w:highlight w:val="none"/>
        </w:rPr>
        <w:t>完工验收</w:t>
      </w:r>
      <w:r>
        <w:rPr>
          <w:rFonts w:hint="eastAsia" w:ascii="宋体" w:hAnsi="宋体" w:eastAsia="宋体" w:cs="宋体"/>
          <w:color w:val="auto"/>
          <w:sz w:val="22"/>
          <w:szCs w:val="22"/>
          <w:highlight w:val="none"/>
          <w:lang w:val="en-US" w:eastAsia="zh-CN"/>
        </w:rPr>
        <w:t>入库</w:t>
      </w:r>
      <w:r>
        <w:rPr>
          <w:rFonts w:hint="eastAsia" w:ascii="宋体" w:hAnsi="宋体" w:eastAsia="宋体" w:cs="宋体"/>
          <w:color w:val="auto"/>
          <w:sz w:val="22"/>
          <w:szCs w:val="22"/>
          <w:highlight w:val="none"/>
        </w:rPr>
        <w:t>后，按照本合同规定</w:t>
      </w:r>
      <w:r>
        <w:rPr>
          <w:rFonts w:hint="eastAsia" w:ascii="宋体" w:hAnsi="宋体" w:eastAsia="宋体" w:cs="宋体"/>
          <w:color w:val="auto"/>
          <w:sz w:val="22"/>
          <w:szCs w:val="22"/>
          <w:highlight w:val="none"/>
          <w:lang w:val="en-US" w:eastAsia="zh-CN"/>
        </w:rPr>
        <w:t>由乙方负责</w:t>
      </w:r>
      <w:r>
        <w:rPr>
          <w:rFonts w:hint="eastAsia" w:ascii="宋体" w:hAnsi="宋体" w:cs="宋体"/>
          <w:color w:val="auto"/>
          <w:sz w:val="22"/>
          <w:szCs w:val="22"/>
          <w:highlight w:val="none"/>
          <w:lang w:val="en-US" w:eastAsia="zh-CN"/>
        </w:rPr>
        <w:t>垦后管护</w:t>
      </w:r>
      <w:r>
        <w:rPr>
          <w:rFonts w:hint="eastAsia" w:ascii="宋体" w:hAnsi="宋体" w:eastAsia="宋体" w:cs="宋体"/>
          <w:color w:val="auto"/>
          <w:sz w:val="22"/>
          <w:szCs w:val="22"/>
          <w:highlight w:val="none"/>
          <w:lang w:val="en-US" w:eastAsia="zh-CN"/>
        </w:rPr>
        <w:t>，</w:t>
      </w:r>
      <w:r>
        <w:rPr>
          <w:rFonts w:hint="eastAsia" w:ascii="宋体" w:hAnsi="宋体" w:cs="宋体"/>
          <w:color w:val="auto"/>
          <w:sz w:val="22"/>
          <w:szCs w:val="22"/>
          <w:highlight w:val="none"/>
          <w:lang w:val="en-US" w:eastAsia="zh-CN"/>
        </w:rPr>
        <w:t>垦后管护</w:t>
      </w:r>
      <w:r>
        <w:rPr>
          <w:rFonts w:hint="eastAsia" w:ascii="宋体" w:hAnsi="宋体" w:eastAsia="宋体" w:cs="宋体"/>
          <w:color w:val="auto"/>
          <w:sz w:val="22"/>
          <w:szCs w:val="22"/>
          <w:highlight w:val="none"/>
          <w:lang w:val="en-US" w:eastAsia="zh-CN"/>
        </w:rPr>
        <w:t>期满后</w:t>
      </w:r>
      <w:r>
        <w:rPr>
          <w:rFonts w:hint="eastAsia" w:ascii="宋体" w:hAnsi="宋体" w:eastAsia="宋体" w:cs="宋体"/>
          <w:color w:val="auto"/>
          <w:sz w:val="22"/>
          <w:szCs w:val="22"/>
          <w:highlight w:val="none"/>
        </w:rPr>
        <w:t>将项目交付给</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w:t>
      </w:r>
    </w:p>
    <w:p w14:paraId="646D534C">
      <w:pPr>
        <w:keepNext w:val="0"/>
        <w:keepLines w:val="0"/>
        <w:pageBreakBefore w:val="0"/>
        <w:widowControl w:val="0"/>
        <w:kinsoku/>
        <w:wordWrap/>
        <w:overflowPunct/>
        <w:topLinePunct w:val="0"/>
        <w:bidi w:val="0"/>
        <w:adjustRightInd w:val="0"/>
        <w:spacing w:line="400" w:lineRule="exact"/>
        <w:ind w:firstLine="442" w:firstLineChars="200"/>
        <w:textAlignment w:val="auto"/>
        <w:rPr>
          <w:rFonts w:hint="eastAsia" w:ascii="宋体" w:hAnsi="宋体" w:eastAsia="宋体" w:cs="宋体"/>
          <w:color w:val="auto"/>
          <w:sz w:val="22"/>
          <w:szCs w:val="22"/>
          <w:highlight w:val="none"/>
        </w:rPr>
      </w:pPr>
      <w:r>
        <w:rPr>
          <w:rFonts w:hint="eastAsia" w:ascii="宋体" w:hAnsi="宋体" w:eastAsia="宋体" w:cs="宋体"/>
          <w:b/>
          <w:color w:val="auto"/>
          <w:sz w:val="22"/>
          <w:szCs w:val="22"/>
          <w:highlight w:val="none"/>
        </w:rPr>
        <w:t>8.2.15</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必须无条件服从</w:t>
      </w:r>
      <w:r>
        <w:rPr>
          <w:rFonts w:hint="eastAsia" w:ascii="宋体" w:hAnsi="宋体" w:eastAsia="宋体" w:cs="宋体"/>
          <w:color w:val="auto"/>
          <w:sz w:val="22"/>
          <w:szCs w:val="22"/>
          <w:highlight w:val="none"/>
          <w:lang w:eastAsia="zh-CN"/>
        </w:rPr>
        <w:t>甲方</w:t>
      </w:r>
      <w:r>
        <w:rPr>
          <w:rFonts w:hint="eastAsia" w:hAnsi="宋体" w:cs="宋体"/>
          <w:color w:val="auto"/>
          <w:sz w:val="22"/>
          <w:szCs w:val="22"/>
          <w:highlight w:val="none"/>
          <w:lang w:eastAsia="zh-CN"/>
        </w:rPr>
        <w:t>、</w:t>
      </w:r>
      <w:r>
        <w:rPr>
          <w:rFonts w:hint="eastAsia" w:hAnsi="宋体" w:cs="宋体"/>
          <w:color w:val="auto"/>
          <w:sz w:val="22"/>
          <w:szCs w:val="22"/>
          <w:highlight w:val="none"/>
          <w:lang w:val="en-US" w:eastAsia="zh-CN"/>
        </w:rPr>
        <w:t>丙方</w:t>
      </w:r>
      <w:r>
        <w:rPr>
          <w:rFonts w:hint="eastAsia" w:ascii="宋体" w:hAnsi="宋体" w:eastAsia="宋体" w:cs="宋体"/>
          <w:color w:val="auto"/>
          <w:sz w:val="22"/>
          <w:szCs w:val="22"/>
          <w:highlight w:val="none"/>
        </w:rPr>
        <w:t>委托的监理人对本项目的监理。</w:t>
      </w:r>
    </w:p>
    <w:p w14:paraId="23934990">
      <w:pPr>
        <w:keepNext w:val="0"/>
        <w:keepLines w:val="0"/>
        <w:pageBreakBefore w:val="0"/>
        <w:widowControl w:val="0"/>
        <w:kinsoku/>
        <w:wordWrap/>
        <w:overflowPunct/>
        <w:topLinePunct w:val="0"/>
        <w:bidi w:val="0"/>
        <w:adjustRightInd w:val="0"/>
        <w:spacing w:line="400" w:lineRule="exact"/>
        <w:ind w:firstLine="442" w:firstLineChars="200"/>
        <w:textAlignment w:val="auto"/>
        <w:rPr>
          <w:rFonts w:hint="eastAsia" w:ascii="宋体" w:hAnsi="宋体" w:eastAsia="宋体" w:cs="宋体"/>
          <w:color w:val="auto"/>
          <w:sz w:val="22"/>
          <w:szCs w:val="22"/>
          <w:highlight w:val="none"/>
        </w:rPr>
      </w:pPr>
      <w:r>
        <w:rPr>
          <w:rFonts w:hint="eastAsia" w:ascii="宋体" w:hAnsi="宋体" w:eastAsia="宋体" w:cs="宋体"/>
          <w:b/>
          <w:color w:val="auto"/>
          <w:sz w:val="22"/>
          <w:szCs w:val="22"/>
          <w:highlight w:val="none"/>
        </w:rPr>
        <w:t>8.2.16</w:t>
      </w:r>
      <w:r>
        <w:rPr>
          <w:rFonts w:hint="eastAsia" w:ascii="宋体" w:hAnsi="宋体" w:eastAsia="宋体" w:cs="宋体"/>
          <w:color w:val="auto"/>
          <w:sz w:val="22"/>
          <w:szCs w:val="22"/>
          <w:highlight w:val="none"/>
        </w:rPr>
        <w:t>政策处理完成并具备</w:t>
      </w:r>
      <w:r>
        <w:rPr>
          <w:rFonts w:hint="eastAsia" w:ascii="宋体" w:hAnsi="宋体" w:cs="宋体"/>
          <w:color w:val="auto"/>
          <w:sz w:val="22"/>
          <w:szCs w:val="22"/>
          <w:highlight w:val="none"/>
          <w:lang w:val="en-US" w:eastAsia="zh-CN"/>
        </w:rPr>
        <w:t>实施</w:t>
      </w:r>
      <w:r>
        <w:rPr>
          <w:rFonts w:hint="eastAsia" w:ascii="宋体" w:hAnsi="宋体" w:eastAsia="宋体" w:cs="宋体"/>
          <w:color w:val="auto"/>
          <w:sz w:val="22"/>
          <w:szCs w:val="22"/>
          <w:highlight w:val="none"/>
        </w:rPr>
        <w:t>条件，监理人发布开工令后</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开始进场</w:t>
      </w:r>
      <w:r>
        <w:rPr>
          <w:rFonts w:hint="eastAsia" w:ascii="宋体" w:hAnsi="宋体" w:eastAsia="宋体" w:cs="宋体"/>
          <w:color w:val="auto"/>
          <w:sz w:val="22"/>
          <w:szCs w:val="22"/>
          <w:highlight w:val="none"/>
          <w:lang w:val="en-US" w:eastAsia="zh-CN"/>
        </w:rPr>
        <w:t>实施</w:t>
      </w:r>
      <w:r>
        <w:rPr>
          <w:rFonts w:hint="eastAsia" w:ascii="宋体" w:hAnsi="宋体" w:eastAsia="宋体" w:cs="宋体"/>
          <w:color w:val="auto"/>
          <w:sz w:val="22"/>
          <w:szCs w:val="22"/>
          <w:highlight w:val="none"/>
        </w:rPr>
        <w:t>。</w:t>
      </w:r>
    </w:p>
    <w:p w14:paraId="6EF26991">
      <w:pPr>
        <w:keepNext w:val="0"/>
        <w:keepLines w:val="0"/>
        <w:pageBreakBefore w:val="0"/>
        <w:widowControl w:val="0"/>
        <w:numPr>
          <w:ilvl w:val="0"/>
          <w:numId w:val="7"/>
        </w:numPr>
        <w:tabs>
          <w:tab w:val="left" w:pos="658"/>
        </w:tabs>
        <w:kinsoku/>
        <w:wordWrap/>
        <w:overflowPunct/>
        <w:topLinePunct w:val="0"/>
        <w:bidi w:val="0"/>
        <w:spacing w:line="400" w:lineRule="exact"/>
        <w:ind w:left="0" w:firstLine="426"/>
        <w:jc w:val="left"/>
        <w:textAlignment w:val="auto"/>
        <w:outlineLvl w:val="3"/>
        <w:rPr>
          <w:rFonts w:hint="eastAsia" w:ascii="宋体" w:hAnsi="宋体" w:eastAsia="宋体" w:cs="宋体"/>
          <w:b/>
          <w:snapToGrid w:val="0"/>
          <w:color w:val="auto"/>
          <w:kern w:val="2"/>
          <w:sz w:val="22"/>
          <w:szCs w:val="22"/>
          <w:highlight w:val="none"/>
          <w:lang w:val="en-US" w:eastAsia="zh-CN" w:bidi="ar-SA"/>
        </w:rPr>
      </w:pPr>
      <w:bookmarkStart w:id="126" w:name="_Toc354478018"/>
      <w:bookmarkStart w:id="127" w:name="_Toc359839708"/>
      <w:bookmarkStart w:id="128" w:name="_Toc359839849"/>
      <w:bookmarkStart w:id="129" w:name="_Toc354494040"/>
      <w:bookmarkStart w:id="130" w:name="_Toc359839320"/>
      <w:bookmarkStart w:id="131" w:name="_Toc354478285"/>
      <w:bookmarkStart w:id="132" w:name="_Toc359838523"/>
      <w:r>
        <w:rPr>
          <w:rFonts w:hint="eastAsia" w:ascii="宋体" w:hAnsi="宋体" w:eastAsia="宋体" w:cs="宋体"/>
          <w:b/>
          <w:snapToGrid w:val="0"/>
          <w:color w:val="auto"/>
          <w:kern w:val="2"/>
          <w:sz w:val="22"/>
          <w:szCs w:val="22"/>
          <w:highlight w:val="none"/>
          <w:lang w:val="en-US" w:eastAsia="zh-CN" w:bidi="ar-SA"/>
        </w:rPr>
        <w:t>验收和</w:t>
      </w:r>
      <w:bookmarkEnd w:id="126"/>
      <w:bookmarkEnd w:id="127"/>
      <w:bookmarkEnd w:id="128"/>
      <w:bookmarkEnd w:id="129"/>
      <w:bookmarkEnd w:id="130"/>
      <w:bookmarkEnd w:id="131"/>
      <w:bookmarkEnd w:id="132"/>
      <w:r>
        <w:rPr>
          <w:rFonts w:hint="eastAsia" w:ascii="宋体" w:hAnsi="宋体" w:eastAsia="宋体" w:cs="宋体"/>
          <w:b/>
          <w:snapToGrid w:val="0"/>
          <w:color w:val="auto"/>
          <w:kern w:val="2"/>
          <w:sz w:val="22"/>
          <w:szCs w:val="22"/>
          <w:highlight w:val="none"/>
          <w:lang w:val="en-US" w:eastAsia="zh-CN" w:bidi="ar-SA"/>
        </w:rPr>
        <w:t>交付</w:t>
      </w:r>
    </w:p>
    <w:p w14:paraId="1B9FDBD3">
      <w:pPr>
        <w:keepNext w:val="0"/>
        <w:keepLines w:val="0"/>
        <w:pageBreakBefore w:val="0"/>
        <w:widowControl w:val="0"/>
        <w:kinsoku/>
        <w:wordWrap/>
        <w:overflowPunct/>
        <w:topLinePunct w:val="0"/>
        <w:bidi w:val="0"/>
        <w:spacing w:before="0" w:after="0" w:line="400" w:lineRule="exact"/>
        <w:ind w:firstLine="426"/>
        <w:jc w:val="both"/>
        <w:textAlignment w:val="auto"/>
        <w:outlineLvl w:val="4"/>
        <w:rPr>
          <w:rFonts w:hint="eastAsia" w:ascii="宋体" w:hAnsi="宋体" w:eastAsia="宋体" w:cs="宋体"/>
          <w:b/>
          <w:bCs/>
          <w:snapToGrid w:val="0"/>
          <w:color w:val="auto"/>
          <w:kern w:val="2"/>
          <w:sz w:val="22"/>
          <w:szCs w:val="22"/>
          <w:highlight w:val="none"/>
          <w:lang w:val="en-US" w:eastAsia="zh-CN" w:bidi="ar-SA"/>
        </w:rPr>
      </w:pPr>
      <w:bookmarkStart w:id="133" w:name="_Toc359838524"/>
      <w:bookmarkStart w:id="134" w:name="_Toc354494045"/>
      <w:bookmarkStart w:id="135" w:name="_Toc354478290"/>
      <w:r>
        <w:rPr>
          <w:rFonts w:hint="eastAsia" w:ascii="宋体" w:hAnsi="宋体" w:eastAsia="宋体" w:cs="宋体"/>
          <w:b/>
          <w:bCs/>
          <w:snapToGrid w:val="0"/>
          <w:color w:val="auto"/>
          <w:kern w:val="2"/>
          <w:sz w:val="22"/>
          <w:szCs w:val="22"/>
          <w:highlight w:val="none"/>
          <w:lang w:val="en-US" w:eastAsia="zh-CN" w:bidi="ar-SA"/>
        </w:rPr>
        <w:t>9.1</w:t>
      </w:r>
      <w:bookmarkEnd w:id="133"/>
      <w:r>
        <w:rPr>
          <w:rFonts w:hint="eastAsia" w:ascii="宋体" w:hAnsi="宋体" w:eastAsia="宋体" w:cs="宋体"/>
          <w:b/>
          <w:bCs/>
          <w:snapToGrid w:val="0"/>
          <w:color w:val="auto"/>
          <w:kern w:val="2"/>
          <w:sz w:val="22"/>
          <w:szCs w:val="22"/>
          <w:highlight w:val="none"/>
          <w:lang w:val="en-US" w:eastAsia="zh-CN" w:bidi="ar-SA"/>
        </w:rPr>
        <w:t>竣工资料及验收申请</w:t>
      </w:r>
    </w:p>
    <w:p w14:paraId="3178F787">
      <w:pPr>
        <w:keepNext w:val="0"/>
        <w:keepLines w:val="0"/>
        <w:pageBreakBefore w:val="0"/>
        <w:widowControl w:val="0"/>
        <w:kinsoku/>
        <w:wordWrap/>
        <w:overflowPunct/>
        <w:topLinePunct w:val="0"/>
        <w:bidi w:val="0"/>
        <w:spacing w:before="0" w:after="0" w:line="400" w:lineRule="exact"/>
        <w:ind w:firstLine="426"/>
        <w:jc w:val="both"/>
        <w:textAlignment w:val="auto"/>
        <w:outlineLvl w:val="4"/>
        <w:rPr>
          <w:rFonts w:ascii="宋体" w:hAnsi="宋体" w:eastAsia="宋体" w:cs="宋体"/>
          <w:b w:val="0"/>
          <w:bCs w:val="0"/>
          <w:snapToGrid w:val="0"/>
          <w:color w:val="auto"/>
          <w:kern w:val="2"/>
          <w:sz w:val="22"/>
          <w:szCs w:val="22"/>
          <w:highlight w:val="none"/>
          <w:lang w:val="en-US" w:eastAsia="zh-CN" w:bidi="ar-SA"/>
        </w:rPr>
      </w:pPr>
      <w:bookmarkStart w:id="136" w:name="_Toc350862182"/>
      <w:r>
        <w:rPr>
          <w:rFonts w:hint="eastAsia" w:ascii="宋体" w:hAnsi="宋体" w:eastAsia="宋体" w:cs="宋体"/>
          <w:b w:val="0"/>
          <w:bCs w:val="0"/>
          <w:snapToGrid w:val="0"/>
          <w:color w:val="auto"/>
          <w:kern w:val="2"/>
          <w:sz w:val="22"/>
          <w:szCs w:val="22"/>
          <w:highlight w:val="none"/>
          <w:lang w:val="en-US" w:eastAsia="zh-CN" w:bidi="ar-SA"/>
        </w:rPr>
        <w:t>由乙方提出。</w:t>
      </w:r>
    </w:p>
    <w:p w14:paraId="35B2477B">
      <w:pPr>
        <w:keepNext w:val="0"/>
        <w:keepLines w:val="0"/>
        <w:pageBreakBefore w:val="0"/>
        <w:widowControl w:val="0"/>
        <w:kinsoku/>
        <w:wordWrap/>
        <w:overflowPunct/>
        <w:topLinePunct w:val="0"/>
        <w:bidi w:val="0"/>
        <w:spacing w:before="0" w:after="0" w:line="400" w:lineRule="exact"/>
        <w:ind w:firstLine="426"/>
        <w:jc w:val="both"/>
        <w:textAlignment w:val="auto"/>
        <w:outlineLvl w:val="4"/>
        <w:rPr>
          <w:rFonts w:hint="eastAsia" w:ascii="宋体" w:hAnsi="宋体" w:eastAsia="宋体" w:cs="宋体"/>
          <w:b/>
          <w:bCs/>
          <w:snapToGrid w:val="0"/>
          <w:color w:val="auto"/>
          <w:kern w:val="2"/>
          <w:sz w:val="22"/>
          <w:szCs w:val="22"/>
          <w:highlight w:val="none"/>
          <w:lang w:val="en-US" w:eastAsia="zh-CN" w:bidi="ar-SA"/>
        </w:rPr>
      </w:pPr>
      <w:r>
        <w:rPr>
          <w:rFonts w:hint="eastAsia" w:ascii="宋体" w:hAnsi="宋体" w:eastAsia="宋体" w:cs="宋体"/>
          <w:b/>
          <w:bCs/>
          <w:snapToGrid w:val="0"/>
          <w:color w:val="auto"/>
          <w:kern w:val="2"/>
          <w:sz w:val="22"/>
          <w:szCs w:val="22"/>
          <w:highlight w:val="none"/>
          <w:lang w:val="en-US" w:eastAsia="zh-CN" w:bidi="ar-SA"/>
        </w:rPr>
        <w:t>9.2</w:t>
      </w:r>
      <w:bookmarkEnd w:id="136"/>
      <w:r>
        <w:rPr>
          <w:rFonts w:hint="eastAsia" w:ascii="宋体" w:hAnsi="宋体" w:eastAsia="宋体" w:cs="宋体"/>
          <w:b/>
          <w:bCs/>
          <w:snapToGrid w:val="0"/>
          <w:color w:val="auto"/>
          <w:kern w:val="2"/>
          <w:sz w:val="22"/>
          <w:szCs w:val="22"/>
          <w:highlight w:val="none"/>
          <w:lang w:val="en-US" w:eastAsia="zh-CN" w:bidi="ar-SA"/>
        </w:rPr>
        <w:t>验收</w:t>
      </w:r>
    </w:p>
    <w:p w14:paraId="4C4846FF">
      <w:pPr>
        <w:pStyle w:val="12"/>
        <w:keepNext w:val="0"/>
        <w:keepLines w:val="0"/>
        <w:pageBreakBefore w:val="0"/>
        <w:widowControl/>
        <w:kinsoku/>
        <w:wordWrap/>
        <w:overflowPunct/>
        <w:topLinePunct w:val="0"/>
        <w:autoSpaceDE/>
        <w:autoSpaceDN/>
        <w:bidi w:val="0"/>
        <w:adjustRightInd w:val="0"/>
        <w:snapToGrid w:val="0"/>
        <w:spacing w:line="400" w:lineRule="exact"/>
        <w:ind w:firstLine="444" w:firstLineChars="202"/>
        <w:jc w:val="left"/>
        <w:textAlignment w:val="auto"/>
        <w:outlineLvl w:val="0"/>
        <w:rPr>
          <w:rFonts w:hint="eastAsia" w:ascii="宋体" w:hAnsi="宋体" w:eastAsia="宋体" w:cs="宋体"/>
          <w:bCs/>
          <w:color w:val="auto"/>
          <w:kern w:val="0"/>
          <w:sz w:val="22"/>
          <w:szCs w:val="22"/>
          <w:highlight w:val="none"/>
          <w:u w:val="none"/>
          <w:lang w:val="en-US" w:eastAsia="zh-CN"/>
        </w:rPr>
      </w:pPr>
      <w:r>
        <w:rPr>
          <w:rFonts w:hint="eastAsia" w:ascii="宋体" w:hAnsi="宋体" w:eastAsia="宋体" w:cs="宋体"/>
          <w:bCs/>
          <w:color w:val="auto"/>
          <w:kern w:val="0"/>
          <w:sz w:val="22"/>
          <w:szCs w:val="22"/>
          <w:highlight w:val="none"/>
          <w:u w:val="none"/>
          <w:lang w:val="en-US" w:eastAsia="zh-CN"/>
        </w:rPr>
        <w:t>项目验收：</w:t>
      </w:r>
      <w:r>
        <w:rPr>
          <w:rFonts w:hint="eastAsia" w:hAnsi="宋体" w:cs="宋体"/>
          <w:bCs/>
          <w:color w:val="auto"/>
          <w:kern w:val="0"/>
          <w:sz w:val="22"/>
          <w:szCs w:val="22"/>
          <w:highlight w:val="none"/>
          <w:u w:val="none"/>
          <w:lang w:val="en-US" w:eastAsia="zh-CN"/>
        </w:rPr>
        <w:t>乙方</w:t>
      </w:r>
      <w:r>
        <w:rPr>
          <w:rFonts w:hint="eastAsia" w:ascii="宋体" w:hAnsi="宋体" w:eastAsia="宋体" w:cs="宋体"/>
          <w:bCs/>
          <w:color w:val="auto"/>
          <w:kern w:val="0"/>
          <w:sz w:val="22"/>
          <w:szCs w:val="22"/>
          <w:highlight w:val="none"/>
          <w:u w:val="none"/>
          <w:lang w:val="en-US" w:eastAsia="zh-CN"/>
        </w:rPr>
        <w:t>完成项目</w:t>
      </w:r>
      <w:r>
        <w:rPr>
          <w:rFonts w:hint="eastAsia" w:hAnsi="宋体" w:cs="宋体"/>
          <w:bCs/>
          <w:color w:val="auto"/>
          <w:kern w:val="0"/>
          <w:sz w:val="22"/>
          <w:szCs w:val="22"/>
          <w:highlight w:val="none"/>
          <w:u w:val="none"/>
          <w:lang w:val="en-US" w:eastAsia="zh-CN"/>
        </w:rPr>
        <w:t>改造</w:t>
      </w:r>
      <w:r>
        <w:rPr>
          <w:rFonts w:hint="eastAsia" w:ascii="宋体" w:hAnsi="宋体" w:eastAsia="宋体" w:cs="宋体"/>
          <w:bCs/>
          <w:color w:val="auto"/>
          <w:kern w:val="0"/>
          <w:sz w:val="22"/>
          <w:szCs w:val="22"/>
          <w:highlight w:val="none"/>
          <w:u w:val="none"/>
          <w:lang w:val="en-US" w:eastAsia="zh-CN"/>
        </w:rPr>
        <w:t>后，项目乡镇政府组织项目设计、监理等单位对项目进行自验，自验合格的，项目乡镇政府向县农业农村部门申请项目验收。县农业农村部门会同财政部门，组织相关部门专家组成员进行项目验收。项目通过验收后，中标（成交）供应商开展竣工验收相关材料编制整理等工作，做好项目报备入库工作。</w:t>
      </w:r>
    </w:p>
    <w:p w14:paraId="6E2DA2AA">
      <w:pPr>
        <w:pStyle w:val="12"/>
        <w:keepNext w:val="0"/>
        <w:keepLines w:val="0"/>
        <w:pageBreakBefore w:val="0"/>
        <w:widowControl/>
        <w:kinsoku/>
        <w:wordWrap/>
        <w:overflowPunct/>
        <w:topLinePunct w:val="0"/>
        <w:autoSpaceDE/>
        <w:autoSpaceDN/>
        <w:bidi w:val="0"/>
        <w:adjustRightInd w:val="0"/>
        <w:snapToGrid w:val="0"/>
        <w:spacing w:line="400" w:lineRule="exact"/>
        <w:ind w:firstLine="444" w:firstLineChars="202"/>
        <w:jc w:val="left"/>
        <w:textAlignment w:val="auto"/>
        <w:outlineLvl w:val="0"/>
        <w:rPr>
          <w:rFonts w:hint="eastAsia" w:ascii="宋体" w:hAnsi="宋体" w:eastAsia="宋体" w:cs="宋体"/>
          <w:bCs/>
          <w:color w:val="auto"/>
          <w:kern w:val="0"/>
          <w:sz w:val="22"/>
          <w:szCs w:val="22"/>
          <w:highlight w:val="none"/>
          <w:u w:val="none"/>
          <w:lang w:val="en-US" w:eastAsia="zh-CN"/>
        </w:rPr>
      </w:pPr>
      <w:r>
        <w:rPr>
          <w:rFonts w:hint="eastAsia" w:ascii="宋体" w:hAnsi="宋体" w:eastAsia="宋体" w:cs="宋体"/>
          <w:bCs/>
          <w:color w:val="auto"/>
          <w:kern w:val="0"/>
          <w:sz w:val="22"/>
          <w:szCs w:val="22"/>
          <w:highlight w:val="none"/>
          <w:u w:val="none"/>
          <w:lang w:val="en-US" w:eastAsia="zh-CN"/>
        </w:rPr>
        <w:t>垦后耕种验收：改造后耕种验收：</w:t>
      </w:r>
      <w:r>
        <w:rPr>
          <w:rFonts w:hint="eastAsia" w:hAnsi="宋体" w:cs="宋体"/>
          <w:bCs/>
          <w:color w:val="auto"/>
          <w:kern w:val="0"/>
          <w:sz w:val="22"/>
          <w:szCs w:val="22"/>
          <w:highlight w:val="none"/>
          <w:u w:val="none"/>
          <w:lang w:val="en-US" w:eastAsia="zh-CN"/>
        </w:rPr>
        <w:t>改造</w:t>
      </w:r>
      <w:r>
        <w:rPr>
          <w:rFonts w:hint="eastAsia" w:ascii="宋体" w:hAnsi="宋体" w:eastAsia="宋体" w:cs="宋体"/>
          <w:bCs/>
          <w:color w:val="auto"/>
          <w:kern w:val="0"/>
          <w:sz w:val="22"/>
          <w:szCs w:val="22"/>
          <w:highlight w:val="none"/>
          <w:u w:val="none"/>
          <w:lang w:val="en-US" w:eastAsia="zh-CN"/>
        </w:rPr>
        <w:t>实施完成后，种植养护项目一年验收一次。中标（成交）供应商根据县农业农村部门的统一要求，提交验收材料，县农业农村部门会同财政部门，组织相关部门专家组成员对项目的耕种情况，进行实地勘察验收。</w:t>
      </w:r>
    </w:p>
    <w:p w14:paraId="75801799">
      <w:pPr>
        <w:keepNext w:val="0"/>
        <w:keepLines w:val="0"/>
        <w:pageBreakBefore w:val="0"/>
        <w:widowControl w:val="0"/>
        <w:kinsoku/>
        <w:wordWrap/>
        <w:overflowPunct/>
        <w:topLinePunct w:val="0"/>
        <w:bidi w:val="0"/>
        <w:adjustRightInd w:val="0"/>
        <w:spacing w:line="400" w:lineRule="exact"/>
        <w:ind w:firstLine="440" w:firstLineChars="200"/>
        <w:jc w:val="left"/>
        <w:textAlignment w:val="auto"/>
        <w:rPr>
          <w:rFonts w:hint="eastAsia" w:ascii="宋体" w:hAnsi="宋体" w:eastAsia="宋体" w:cs="宋体"/>
          <w:b w:val="0"/>
          <w:bCs/>
          <w:color w:val="auto"/>
          <w:kern w:val="2"/>
          <w:sz w:val="22"/>
          <w:szCs w:val="22"/>
          <w:highlight w:val="none"/>
          <w:lang w:val="en-US" w:eastAsia="zh-CN"/>
        </w:rPr>
      </w:pPr>
      <w:r>
        <w:rPr>
          <w:rFonts w:hint="eastAsia" w:ascii="宋体" w:hAnsi="宋体" w:eastAsia="宋体" w:cs="宋体"/>
          <w:bCs/>
          <w:color w:val="auto"/>
          <w:kern w:val="0"/>
          <w:sz w:val="22"/>
          <w:szCs w:val="22"/>
          <w:highlight w:val="none"/>
          <w:u w:val="none"/>
          <w:lang w:val="en-US" w:eastAsia="zh-CN"/>
        </w:rPr>
        <w:t>管理养护要求：满足项目实施的质量控制标准收</w:t>
      </w:r>
      <w:r>
        <w:rPr>
          <w:rFonts w:hint="eastAsia" w:ascii="宋体" w:hAnsi="宋体" w:eastAsia="宋体" w:cs="宋体"/>
          <w:b w:val="0"/>
          <w:bCs/>
          <w:color w:val="auto"/>
          <w:kern w:val="2"/>
          <w:sz w:val="22"/>
          <w:szCs w:val="22"/>
          <w:highlight w:val="none"/>
          <w:u w:val="none"/>
          <w:lang w:val="en-US" w:eastAsia="zh-CN"/>
        </w:rPr>
        <w:t>。</w:t>
      </w:r>
    </w:p>
    <w:p w14:paraId="1A9FDB76">
      <w:pPr>
        <w:keepNext w:val="0"/>
        <w:keepLines w:val="0"/>
        <w:pageBreakBefore w:val="0"/>
        <w:widowControl w:val="0"/>
        <w:kinsoku/>
        <w:wordWrap/>
        <w:overflowPunct/>
        <w:topLinePunct w:val="0"/>
        <w:bidi w:val="0"/>
        <w:spacing w:before="0" w:after="0" w:line="400" w:lineRule="exact"/>
        <w:ind w:firstLine="426"/>
        <w:jc w:val="both"/>
        <w:textAlignment w:val="auto"/>
        <w:outlineLvl w:val="4"/>
        <w:rPr>
          <w:rFonts w:hint="eastAsia" w:ascii="宋体" w:hAnsi="宋体" w:eastAsia="宋体" w:cs="宋体"/>
          <w:b/>
          <w:bCs/>
          <w:snapToGrid w:val="0"/>
          <w:color w:val="auto"/>
          <w:kern w:val="2"/>
          <w:sz w:val="22"/>
          <w:szCs w:val="22"/>
          <w:highlight w:val="none"/>
          <w:lang w:val="en-US" w:eastAsia="zh-CN" w:bidi="ar-SA"/>
        </w:rPr>
      </w:pPr>
      <w:bookmarkStart w:id="137" w:name="_Toc350862183"/>
      <w:r>
        <w:rPr>
          <w:rFonts w:hint="eastAsia" w:ascii="宋体" w:hAnsi="宋体" w:eastAsia="宋体" w:cs="宋体"/>
          <w:b/>
          <w:bCs/>
          <w:snapToGrid w:val="0"/>
          <w:color w:val="auto"/>
          <w:kern w:val="2"/>
          <w:sz w:val="22"/>
          <w:szCs w:val="22"/>
          <w:highlight w:val="none"/>
          <w:lang w:val="en-US" w:eastAsia="zh-CN" w:bidi="ar-SA"/>
        </w:rPr>
        <w:t>9.3缺陷责任与保修责任</w:t>
      </w:r>
      <w:bookmarkEnd w:id="137"/>
    </w:p>
    <w:p w14:paraId="096B5CC0">
      <w:pPr>
        <w:keepNext w:val="0"/>
        <w:keepLines w:val="0"/>
        <w:pageBreakBefore w:val="0"/>
        <w:widowControl w:val="0"/>
        <w:kinsoku/>
        <w:wordWrap/>
        <w:overflowPunct/>
        <w:topLinePunct w:val="0"/>
        <w:bidi w:val="0"/>
        <w:adjustRightInd w:val="0"/>
        <w:spacing w:line="400" w:lineRule="exact"/>
        <w:ind w:firstLine="442" w:firstLineChars="200"/>
        <w:textAlignment w:val="auto"/>
        <w:rPr>
          <w:rFonts w:hint="eastAsia" w:ascii="宋体" w:hAnsi="宋体" w:eastAsia="宋体" w:cs="宋体"/>
          <w:color w:val="auto"/>
          <w:sz w:val="22"/>
          <w:szCs w:val="22"/>
          <w:highlight w:val="none"/>
        </w:rPr>
      </w:pPr>
      <w:bookmarkStart w:id="138" w:name="_Toc359838534"/>
      <w:r>
        <w:rPr>
          <w:rFonts w:hint="eastAsia" w:ascii="宋体" w:hAnsi="宋体" w:eastAsia="宋体" w:cs="宋体"/>
          <w:b/>
          <w:color w:val="auto"/>
          <w:sz w:val="22"/>
          <w:szCs w:val="22"/>
          <w:highlight w:val="none"/>
        </w:rPr>
        <w:t>9.3.1</w:t>
      </w:r>
      <w:r>
        <w:rPr>
          <w:rFonts w:hint="eastAsia" w:ascii="宋体" w:hAnsi="宋体" w:eastAsia="宋体" w:cs="宋体"/>
          <w:color w:val="auto"/>
          <w:sz w:val="22"/>
          <w:szCs w:val="22"/>
          <w:highlight w:val="none"/>
        </w:rPr>
        <w:t>缺陷责任期（质量保修期）的起算时间</w:t>
      </w:r>
      <w:bookmarkEnd w:id="138"/>
    </w:p>
    <w:p w14:paraId="20CA6846">
      <w:pPr>
        <w:keepNext w:val="0"/>
        <w:keepLines w:val="0"/>
        <w:pageBreakBefore w:val="0"/>
        <w:widowControl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本</w:t>
      </w:r>
      <w:r>
        <w:rPr>
          <w:rFonts w:hint="eastAsia" w:ascii="宋体" w:hAnsi="宋体" w:eastAsia="宋体" w:cs="宋体"/>
          <w:color w:val="auto"/>
          <w:sz w:val="22"/>
          <w:szCs w:val="22"/>
          <w:highlight w:val="none"/>
          <w:lang w:val="en-US" w:eastAsia="zh-CN"/>
        </w:rPr>
        <w:t>项目</w:t>
      </w:r>
      <w:r>
        <w:rPr>
          <w:rFonts w:hint="eastAsia" w:ascii="宋体" w:hAnsi="宋体" w:eastAsia="宋体" w:cs="宋体"/>
          <w:color w:val="auto"/>
          <w:sz w:val="22"/>
          <w:szCs w:val="22"/>
          <w:highlight w:val="none"/>
        </w:rPr>
        <w:t>缺陷责任期（质量保修期）计算如下：</w:t>
      </w:r>
      <w:r>
        <w:rPr>
          <w:rFonts w:hint="eastAsia" w:ascii="宋体" w:hAnsi="宋体" w:eastAsia="宋体" w:cs="宋体"/>
          <w:bCs/>
          <w:color w:val="auto"/>
          <w:kern w:val="0"/>
          <w:sz w:val="22"/>
          <w:szCs w:val="22"/>
          <w:highlight w:val="none"/>
          <w:u w:val="none"/>
          <w:lang w:val="en-US" w:eastAsia="zh-CN"/>
        </w:rPr>
        <w:t>自验收合格之日起至少1年</w:t>
      </w:r>
      <w:r>
        <w:rPr>
          <w:rFonts w:hint="eastAsia" w:ascii="宋体" w:hAnsi="宋体" w:eastAsia="宋体" w:cs="宋体"/>
          <w:color w:val="auto"/>
          <w:sz w:val="22"/>
          <w:szCs w:val="22"/>
          <w:highlight w:val="none"/>
        </w:rPr>
        <w:t>。</w:t>
      </w:r>
    </w:p>
    <w:p w14:paraId="0B12EBBD">
      <w:pPr>
        <w:keepNext w:val="0"/>
        <w:keepLines w:val="0"/>
        <w:pageBreakBefore w:val="0"/>
        <w:widowControl w:val="0"/>
        <w:kinsoku/>
        <w:wordWrap/>
        <w:overflowPunct/>
        <w:topLinePunct w:val="0"/>
        <w:bidi w:val="0"/>
        <w:adjustRightInd w:val="0"/>
        <w:spacing w:line="400" w:lineRule="exact"/>
        <w:ind w:firstLine="442" w:firstLineChars="200"/>
        <w:textAlignment w:val="auto"/>
        <w:rPr>
          <w:rFonts w:hint="eastAsia" w:ascii="宋体" w:hAnsi="宋体" w:eastAsia="宋体" w:cs="宋体"/>
          <w:color w:val="auto"/>
          <w:sz w:val="22"/>
          <w:szCs w:val="22"/>
          <w:highlight w:val="none"/>
        </w:rPr>
      </w:pPr>
      <w:r>
        <w:rPr>
          <w:rFonts w:hint="eastAsia" w:ascii="宋体" w:hAnsi="宋体" w:eastAsia="宋体" w:cs="宋体"/>
          <w:b/>
          <w:color w:val="auto"/>
          <w:sz w:val="22"/>
          <w:szCs w:val="22"/>
          <w:highlight w:val="none"/>
        </w:rPr>
        <w:t>9.3.2</w:t>
      </w:r>
      <w:r>
        <w:rPr>
          <w:rFonts w:hint="eastAsia" w:ascii="宋体" w:hAnsi="宋体" w:eastAsia="宋体" w:cs="宋体"/>
          <w:color w:val="auto"/>
          <w:sz w:val="22"/>
          <w:szCs w:val="22"/>
          <w:highlight w:val="none"/>
        </w:rPr>
        <w:t>保修责任</w:t>
      </w:r>
    </w:p>
    <w:p w14:paraId="3EF886DD">
      <w:pPr>
        <w:keepNext w:val="0"/>
        <w:keepLines w:val="0"/>
        <w:pageBreakBefore w:val="0"/>
        <w:widowControl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（1）</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提前验收并签发</w:t>
      </w:r>
      <w:r>
        <w:rPr>
          <w:rFonts w:hint="eastAsia" w:ascii="宋体" w:hAnsi="宋体" w:eastAsia="宋体" w:cs="宋体"/>
          <w:color w:val="auto"/>
          <w:sz w:val="22"/>
          <w:szCs w:val="22"/>
          <w:highlight w:val="none"/>
          <w:lang w:val="en-US" w:eastAsia="zh-CN"/>
        </w:rPr>
        <w:t>项目</w:t>
      </w:r>
      <w:r>
        <w:rPr>
          <w:rFonts w:hint="eastAsia" w:ascii="宋体" w:hAnsi="宋体" w:eastAsia="宋体" w:cs="宋体"/>
          <w:color w:val="auto"/>
          <w:sz w:val="22"/>
          <w:szCs w:val="22"/>
          <w:highlight w:val="none"/>
        </w:rPr>
        <w:t>接受证书的</w:t>
      </w:r>
      <w:r>
        <w:rPr>
          <w:rFonts w:hint="eastAsia" w:ascii="宋体" w:hAnsi="宋体" w:eastAsia="宋体" w:cs="宋体"/>
          <w:color w:val="auto"/>
          <w:sz w:val="22"/>
          <w:szCs w:val="22"/>
          <w:highlight w:val="none"/>
          <w:lang w:val="en-US" w:eastAsia="zh-CN"/>
        </w:rPr>
        <w:t>完工子项</w:t>
      </w:r>
      <w:r>
        <w:rPr>
          <w:rFonts w:hint="eastAsia" w:ascii="宋体" w:hAnsi="宋体" w:eastAsia="宋体" w:cs="宋体"/>
          <w:color w:val="auto"/>
          <w:sz w:val="22"/>
          <w:szCs w:val="22"/>
          <w:highlight w:val="none"/>
        </w:rPr>
        <w:t>，若未投入正常使用，其保修期同缺陷责任期。</w:t>
      </w:r>
    </w:p>
    <w:p w14:paraId="0C9C323C">
      <w:pPr>
        <w:keepNext w:val="0"/>
        <w:keepLines w:val="0"/>
        <w:pageBreakBefore w:val="0"/>
        <w:widowControl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（2）保修期内，</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应负责未交付的</w:t>
      </w:r>
      <w:r>
        <w:rPr>
          <w:rFonts w:hint="eastAsia" w:ascii="宋体" w:hAnsi="宋体" w:eastAsia="宋体" w:cs="宋体"/>
          <w:color w:val="auto"/>
          <w:sz w:val="22"/>
          <w:szCs w:val="22"/>
          <w:highlight w:val="none"/>
          <w:lang w:val="en-US" w:eastAsia="zh-CN"/>
        </w:rPr>
        <w:t>项目</w:t>
      </w:r>
      <w:r>
        <w:rPr>
          <w:rFonts w:hint="eastAsia" w:ascii="宋体" w:hAnsi="宋体" w:eastAsia="宋体" w:cs="宋体"/>
          <w:color w:val="auto"/>
          <w:sz w:val="22"/>
          <w:szCs w:val="22"/>
          <w:highlight w:val="none"/>
        </w:rPr>
        <w:t>和设备的全部日常维护和缺陷修复工作，对已交付</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使用的</w:t>
      </w:r>
      <w:r>
        <w:rPr>
          <w:rFonts w:hint="eastAsia" w:ascii="宋体" w:hAnsi="宋体" w:eastAsia="宋体" w:cs="宋体"/>
          <w:color w:val="auto"/>
          <w:sz w:val="22"/>
          <w:szCs w:val="22"/>
          <w:highlight w:val="none"/>
          <w:lang w:val="en-US" w:eastAsia="zh-CN"/>
        </w:rPr>
        <w:t>项目</w:t>
      </w:r>
      <w:r>
        <w:rPr>
          <w:rFonts w:hint="eastAsia" w:ascii="宋体" w:hAnsi="宋体" w:eastAsia="宋体" w:cs="宋体"/>
          <w:color w:val="auto"/>
          <w:sz w:val="22"/>
          <w:szCs w:val="22"/>
          <w:highlight w:val="none"/>
        </w:rPr>
        <w:t>和设备，则应由</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负责日常维护工作，但</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应按交付证书中所列的缺陷修复清单进行修复，直至经监理人检验合格为止。</w:t>
      </w:r>
    </w:p>
    <w:p w14:paraId="6741EE65">
      <w:pPr>
        <w:keepNext w:val="0"/>
        <w:keepLines w:val="0"/>
        <w:pageBreakBefore w:val="0"/>
        <w:widowControl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（3）</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在保修期内使用</w:t>
      </w:r>
      <w:r>
        <w:rPr>
          <w:rFonts w:hint="eastAsia" w:ascii="宋体" w:hAnsi="宋体" w:eastAsia="宋体" w:cs="宋体"/>
          <w:color w:val="auto"/>
          <w:sz w:val="22"/>
          <w:szCs w:val="22"/>
          <w:highlight w:val="none"/>
          <w:lang w:val="en-US" w:eastAsia="zh-CN"/>
        </w:rPr>
        <w:t>项目</w:t>
      </w:r>
      <w:r>
        <w:rPr>
          <w:rFonts w:hint="eastAsia" w:ascii="宋体" w:hAnsi="宋体" w:eastAsia="宋体" w:cs="宋体"/>
          <w:color w:val="auto"/>
          <w:sz w:val="22"/>
          <w:szCs w:val="22"/>
          <w:highlight w:val="none"/>
        </w:rPr>
        <w:t>和设备过程中，发现新的缺陷和损坏或原修复的缺陷部位或部件又遭损坏，则</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应按监理人的指示负责修复，直至经监理人检验合格为止。监理人应会同</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和</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共同进行查验，若经查验确属</w:t>
      </w:r>
      <w:r>
        <w:rPr>
          <w:rFonts w:hint="eastAsia" w:ascii="宋体" w:hAnsi="宋体" w:eastAsia="宋体" w:cs="宋体"/>
          <w:color w:val="auto"/>
          <w:sz w:val="22"/>
          <w:szCs w:val="22"/>
          <w:highlight w:val="none"/>
          <w:lang w:eastAsia="zh-CN"/>
        </w:rPr>
        <w:t>乙方</w:t>
      </w:r>
      <w:r>
        <w:rPr>
          <w:rFonts w:hint="eastAsia" w:ascii="宋体" w:hAnsi="宋体" w:cs="宋体"/>
          <w:color w:val="auto"/>
          <w:sz w:val="22"/>
          <w:szCs w:val="22"/>
          <w:highlight w:val="none"/>
          <w:lang w:val="en-US" w:eastAsia="zh-CN"/>
        </w:rPr>
        <w:t>实施</w:t>
      </w:r>
      <w:r>
        <w:rPr>
          <w:rFonts w:hint="eastAsia" w:ascii="宋体" w:hAnsi="宋体" w:eastAsia="宋体" w:cs="宋体"/>
          <w:color w:val="auto"/>
          <w:sz w:val="22"/>
          <w:szCs w:val="22"/>
          <w:highlight w:val="none"/>
        </w:rPr>
        <w:t>中隐存的或其他由于</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责任造成的缺陷或损坏，应由</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承担修复费用；若经查验确属</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使用不当或其他由于</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责任造成的缺陷或损坏，则由</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承担修复费用。</w:t>
      </w:r>
    </w:p>
    <w:p w14:paraId="7AE8A622">
      <w:pPr>
        <w:keepNext w:val="0"/>
        <w:keepLines w:val="0"/>
        <w:pageBreakBefore w:val="0"/>
        <w:widowControl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（4）在整个质量保修期满后的28天内，由</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或授权监理人签署和颁发保修责任终止证书给</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，若保修期满后还有缺陷未修补，则需待</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按监理人的要求完成缺陷修复工作后，再发保修责任终止证书。尽管颁发了发保修责任终止证书，</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和</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均仍应对保修责任终止证书颁发前尚未履行的义务和责任负责。</w:t>
      </w:r>
    </w:p>
    <w:p w14:paraId="7815DB5D">
      <w:pPr>
        <w:keepNext w:val="0"/>
        <w:keepLines w:val="0"/>
        <w:pageBreakBefore w:val="0"/>
        <w:widowControl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（5）在质量保修期内</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按法律、行政法规或国家关于</w:t>
      </w:r>
      <w:r>
        <w:rPr>
          <w:rFonts w:hint="eastAsia" w:ascii="宋体" w:hAnsi="宋体" w:eastAsia="宋体" w:cs="宋体"/>
          <w:color w:val="auto"/>
          <w:sz w:val="22"/>
          <w:szCs w:val="22"/>
          <w:highlight w:val="none"/>
          <w:lang w:val="en-US" w:eastAsia="zh-CN"/>
        </w:rPr>
        <w:t>项目</w:t>
      </w:r>
      <w:r>
        <w:rPr>
          <w:rFonts w:hint="eastAsia" w:ascii="宋体" w:hAnsi="宋体" w:eastAsia="宋体" w:cs="宋体"/>
          <w:color w:val="auto"/>
          <w:sz w:val="22"/>
          <w:szCs w:val="22"/>
          <w:highlight w:val="none"/>
        </w:rPr>
        <w:t>质量保修的有关规定，对交付</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使用的</w:t>
      </w:r>
      <w:r>
        <w:rPr>
          <w:rFonts w:hint="eastAsia" w:ascii="宋体" w:hAnsi="宋体" w:eastAsia="宋体" w:cs="宋体"/>
          <w:color w:val="auto"/>
          <w:sz w:val="22"/>
          <w:szCs w:val="22"/>
          <w:highlight w:val="none"/>
          <w:lang w:val="en-US" w:eastAsia="zh-CN"/>
        </w:rPr>
        <w:t>项目</w:t>
      </w:r>
      <w:r>
        <w:rPr>
          <w:rFonts w:hint="eastAsia" w:ascii="宋体" w:hAnsi="宋体" w:eastAsia="宋体" w:cs="宋体"/>
          <w:color w:val="auto"/>
          <w:sz w:val="22"/>
          <w:szCs w:val="22"/>
          <w:highlight w:val="none"/>
        </w:rPr>
        <w:t>承担质量保修责任。若</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不履行保修义务和责任，则由</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另行确定维修方，费用由</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承担。</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还应承担由于违约造成的法律后果。</w:t>
      </w:r>
    </w:p>
    <w:p w14:paraId="3ECCA499">
      <w:pPr>
        <w:keepNext w:val="0"/>
        <w:keepLines w:val="0"/>
        <w:pageBreakBefore w:val="0"/>
        <w:widowControl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（6）</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应在全部</w:t>
      </w:r>
      <w:r>
        <w:rPr>
          <w:rFonts w:hint="eastAsia" w:ascii="宋体" w:hAnsi="宋体" w:eastAsia="宋体" w:cs="宋体"/>
          <w:color w:val="auto"/>
          <w:sz w:val="22"/>
          <w:szCs w:val="22"/>
          <w:highlight w:val="none"/>
          <w:lang w:val="en-US" w:eastAsia="zh-CN"/>
        </w:rPr>
        <w:t>项目</w:t>
      </w:r>
      <w:r>
        <w:rPr>
          <w:rFonts w:hint="eastAsia" w:ascii="宋体" w:hAnsi="宋体" w:eastAsia="宋体" w:cs="宋体"/>
          <w:color w:val="auto"/>
          <w:sz w:val="22"/>
          <w:szCs w:val="22"/>
          <w:highlight w:val="none"/>
        </w:rPr>
        <w:t>验收通过之后，在交付时将质量保修书提供给</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w:t>
      </w:r>
    </w:p>
    <w:p w14:paraId="4F2BD96E">
      <w:pPr>
        <w:keepNext w:val="0"/>
        <w:keepLines w:val="0"/>
        <w:pageBreakBefore w:val="0"/>
        <w:widowControl w:val="0"/>
        <w:kinsoku/>
        <w:wordWrap/>
        <w:overflowPunct/>
        <w:topLinePunct w:val="0"/>
        <w:bidi w:val="0"/>
        <w:adjustRightInd w:val="0"/>
        <w:spacing w:line="400" w:lineRule="exact"/>
        <w:ind w:firstLine="442" w:firstLineChars="200"/>
        <w:textAlignment w:val="auto"/>
        <w:rPr>
          <w:rFonts w:hint="eastAsia" w:ascii="宋体" w:hAnsi="宋体" w:eastAsia="宋体" w:cs="宋体"/>
          <w:color w:val="auto"/>
          <w:sz w:val="22"/>
          <w:szCs w:val="22"/>
          <w:highlight w:val="none"/>
        </w:rPr>
      </w:pPr>
      <w:r>
        <w:rPr>
          <w:rFonts w:hint="eastAsia" w:ascii="宋体" w:hAnsi="宋体" w:eastAsia="宋体" w:cs="宋体"/>
          <w:b/>
          <w:color w:val="auto"/>
          <w:sz w:val="22"/>
          <w:szCs w:val="22"/>
          <w:highlight w:val="none"/>
        </w:rPr>
        <w:t>9.3.3</w:t>
      </w:r>
      <w:r>
        <w:rPr>
          <w:rFonts w:hint="eastAsia" w:ascii="宋体" w:hAnsi="宋体" w:eastAsia="宋体" w:cs="宋体"/>
          <w:color w:val="auto"/>
          <w:sz w:val="22"/>
          <w:szCs w:val="22"/>
          <w:highlight w:val="none"/>
        </w:rPr>
        <w:t>履约担保的返还</w:t>
      </w:r>
    </w:p>
    <w:p w14:paraId="2F19AC80">
      <w:pPr>
        <w:keepNext w:val="0"/>
        <w:keepLines w:val="0"/>
        <w:pageBreakBefore w:val="0"/>
        <w:widowControl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应在项目全部通过验收</w:t>
      </w:r>
      <w:r>
        <w:rPr>
          <w:rFonts w:hint="eastAsia" w:ascii="宋体" w:hAnsi="宋体" w:eastAsia="宋体" w:cs="宋体"/>
          <w:color w:val="auto"/>
          <w:sz w:val="22"/>
          <w:szCs w:val="22"/>
          <w:highlight w:val="none"/>
          <w:lang w:val="en-US" w:eastAsia="zh-CN"/>
        </w:rPr>
        <w:t>入库并</w:t>
      </w:r>
      <w:r>
        <w:rPr>
          <w:rFonts w:hint="eastAsia" w:ascii="宋体" w:hAnsi="宋体" w:eastAsia="宋体" w:cs="宋体"/>
          <w:color w:val="auto"/>
          <w:sz w:val="22"/>
          <w:szCs w:val="22"/>
          <w:highlight w:val="none"/>
        </w:rPr>
        <w:t>无履约问题</w:t>
      </w:r>
      <w:r>
        <w:rPr>
          <w:rFonts w:hint="eastAsia" w:ascii="宋体" w:hAnsi="宋体" w:eastAsia="宋体" w:cs="宋体"/>
          <w:color w:val="auto"/>
          <w:sz w:val="22"/>
          <w:szCs w:val="22"/>
          <w:highlight w:val="none"/>
          <w:lang w:val="en-US" w:eastAsia="zh-CN"/>
        </w:rPr>
        <w:t>之日起</w:t>
      </w:r>
      <w:r>
        <w:rPr>
          <w:rFonts w:hint="eastAsia" w:ascii="宋体" w:hAnsi="宋体" w:eastAsia="宋体" w:cs="宋体"/>
          <w:color w:val="auto"/>
          <w:sz w:val="22"/>
          <w:szCs w:val="22"/>
          <w:highlight w:val="none"/>
        </w:rPr>
        <w:t>15</w:t>
      </w:r>
      <w:r>
        <w:rPr>
          <w:rFonts w:hint="eastAsia" w:ascii="宋体" w:hAnsi="宋体" w:eastAsia="宋体" w:cs="宋体"/>
          <w:color w:val="auto"/>
          <w:sz w:val="22"/>
          <w:szCs w:val="22"/>
          <w:highlight w:val="none"/>
          <w:lang w:val="en-US" w:eastAsia="zh-CN"/>
        </w:rPr>
        <w:t>日后</w:t>
      </w:r>
      <w:r>
        <w:rPr>
          <w:rFonts w:hint="eastAsia" w:ascii="宋体" w:hAnsi="宋体" w:eastAsia="宋体" w:cs="宋体"/>
          <w:color w:val="auto"/>
          <w:sz w:val="22"/>
          <w:szCs w:val="22"/>
          <w:highlight w:val="none"/>
        </w:rPr>
        <w:t>，履约担保</w:t>
      </w:r>
      <w:r>
        <w:rPr>
          <w:rFonts w:hint="eastAsia" w:ascii="宋体" w:hAnsi="宋体" w:eastAsia="宋体" w:cs="宋体"/>
          <w:color w:val="auto"/>
          <w:sz w:val="22"/>
          <w:szCs w:val="22"/>
          <w:highlight w:val="none"/>
          <w:lang w:val="en-US" w:eastAsia="zh-CN"/>
        </w:rPr>
        <w:t>失效或无息退还</w:t>
      </w:r>
      <w:r>
        <w:rPr>
          <w:rFonts w:hint="eastAsia" w:ascii="宋体" w:hAnsi="宋体" w:eastAsia="宋体" w:cs="宋体"/>
          <w:color w:val="auto"/>
          <w:sz w:val="22"/>
          <w:szCs w:val="22"/>
          <w:highlight w:val="none"/>
        </w:rPr>
        <w:t>。</w:t>
      </w:r>
    </w:p>
    <w:bookmarkEnd w:id="134"/>
    <w:bookmarkEnd w:id="135"/>
    <w:p w14:paraId="6BFE4D28">
      <w:pPr>
        <w:keepNext w:val="0"/>
        <w:keepLines w:val="0"/>
        <w:pageBreakBefore w:val="0"/>
        <w:widowControl w:val="0"/>
        <w:kinsoku/>
        <w:wordWrap/>
        <w:overflowPunct/>
        <w:topLinePunct w:val="0"/>
        <w:bidi w:val="0"/>
        <w:spacing w:before="0" w:after="0" w:line="400" w:lineRule="exact"/>
        <w:ind w:firstLine="426"/>
        <w:jc w:val="both"/>
        <w:textAlignment w:val="auto"/>
        <w:outlineLvl w:val="4"/>
        <w:rPr>
          <w:rFonts w:hint="eastAsia" w:ascii="宋体" w:hAnsi="宋体" w:eastAsia="宋体" w:cs="宋体"/>
          <w:b/>
          <w:bCs/>
          <w:snapToGrid w:val="0"/>
          <w:color w:val="auto"/>
          <w:kern w:val="2"/>
          <w:sz w:val="22"/>
          <w:szCs w:val="22"/>
          <w:highlight w:val="none"/>
          <w:lang w:val="en-US" w:eastAsia="zh-CN" w:bidi="ar-SA"/>
        </w:rPr>
      </w:pPr>
      <w:r>
        <w:rPr>
          <w:rFonts w:hint="eastAsia" w:ascii="宋体" w:hAnsi="宋体" w:eastAsia="宋体" w:cs="宋体"/>
          <w:b/>
          <w:bCs/>
          <w:snapToGrid w:val="0"/>
          <w:color w:val="auto"/>
          <w:kern w:val="2"/>
          <w:sz w:val="22"/>
          <w:szCs w:val="22"/>
          <w:highlight w:val="none"/>
          <w:lang w:val="en-US" w:eastAsia="zh-CN" w:bidi="ar-SA"/>
        </w:rPr>
        <w:t>9.4设备的移出</w:t>
      </w:r>
    </w:p>
    <w:p w14:paraId="72D28F74">
      <w:pPr>
        <w:keepNext w:val="0"/>
        <w:keepLines w:val="0"/>
        <w:pageBreakBefore w:val="0"/>
        <w:widowControl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应在</w:t>
      </w:r>
      <w:r>
        <w:rPr>
          <w:rFonts w:hint="eastAsia" w:ascii="宋体" w:hAnsi="宋体" w:eastAsia="宋体" w:cs="宋体"/>
          <w:color w:val="auto"/>
          <w:sz w:val="22"/>
          <w:szCs w:val="22"/>
          <w:highlight w:val="none"/>
          <w:lang w:val="en-US" w:eastAsia="zh-CN"/>
        </w:rPr>
        <w:t>项目</w:t>
      </w:r>
      <w:r>
        <w:rPr>
          <w:rFonts w:hint="eastAsia" w:ascii="宋体" w:hAnsi="宋体" w:eastAsia="宋体" w:cs="宋体"/>
          <w:color w:val="auto"/>
          <w:sz w:val="22"/>
          <w:szCs w:val="22"/>
          <w:highlight w:val="none"/>
        </w:rPr>
        <w:t>交付完毕60日内从现场与</w:t>
      </w:r>
      <w:r>
        <w:rPr>
          <w:rFonts w:hint="eastAsia" w:ascii="宋体" w:hAnsi="宋体" w:eastAsia="宋体" w:cs="宋体"/>
          <w:color w:val="auto"/>
          <w:sz w:val="22"/>
          <w:szCs w:val="22"/>
          <w:highlight w:val="none"/>
          <w:lang w:val="en-US" w:eastAsia="zh-CN"/>
        </w:rPr>
        <w:t>项目</w:t>
      </w:r>
      <w:r>
        <w:rPr>
          <w:rFonts w:hint="eastAsia" w:ascii="宋体" w:hAnsi="宋体" w:eastAsia="宋体" w:cs="宋体"/>
          <w:color w:val="auto"/>
          <w:sz w:val="22"/>
          <w:szCs w:val="22"/>
          <w:highlight w:val="none"/>
        </w:rPr>
        <w:t>中清除并运走</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的所有设备、剩余材料、残物、垃圾和临时</w:t>
      </w:r>
      <w:r>
        <w:rPr>
          <w:rFonts w:hint="eastAsia" w:ascii="宋体" w:hAnsi="宋体" w:cs="宋体"/>
          <w:color w:val="auto"/>
          <w:sz w:val="22"/>
          <w:szCs w:val="22"/>
          <w:highlight w:val="none"/>
          <w:lang w:eastAsia="zh-CN"/>
        </w:rPr>
        <w:t>实施</w:t>
      </w:r>
      <w:r>
        <w:rPr>
          <w:rFonts w:hint="eastAsia" w:ascii="宋体" w:hAnsi="宋体" w:eastAsia="宋体" w:cs="宋体"/>
          <w:color w:val="auto"/>
          <w:sz w:val="22"/>
          <w:szCs w:val="22"/>
          <w:highlight w:val="none"/>
        </w:rPr>
        <w:t>内容</w:t>
      </w:r>
      <w:r>
        <w:rPr>
          <w:rFonts w:hint="eastAsia" w:ascii="宋体" w:hAnsi="宋体" w:eastAsia="宋体" w:cs="宋体"/>
          <w:color w:val="auto"/>
          <w:sz w:val="22"/>
          <w:szCs w:val="22"/>
          <w:highlight w:val="none"/>
          <w:lang w:val="en-US" w:eastAsia="zh-CN"/>
        </w:rPr>
        <w:t>等</w:t>
      </w:r>
      <w:r>
        <w:rPr>
          <w:rFonts w:hint="eastAsia" w:ascii="宋体" w:hAnsi="宋体" w:eastAsia="宋体" w:cs="宋体"/>
          <w:color w:val="auto"/>
          <w:sz w:val="22"/>
          <w:szCs w:val="22"/>
          <w:highlight w:val="none"/>
        </w:rPr>
        <w:t>，因单项</w:t>
      </w:r>
      <w:r>
        <w:rPr>
          <w:rFonts w:hint="eastAsia" w:ascii="宋体" w:hAnsi="宋体" w:eastAsia="宋体" w:cs="宋体"/>
          <w:color w:val="auto"/>
          <w:sz w:val="22"/>
          <w:szCs w:val="22"/>
          <w:highlight w:val="none"/>
          <w:lang w:val="en-US" w:eastAsia="zh-CN"/>
        </w:rPr>
        <w:t>实施内容</w:t>
      </w:r>
      <w:r>
        <w:rPr>
          <w:rFonts w:hint="eastAsia" w:ascii="宋体" w:hAnsi="宋体" w:eastAsia="宋体" w:cs="宋体"/>
          <w:color w:val="auto"/>
          <w:sz w:val="22"/>
          <w:szCs w:val="22"/>
          <w:highlight w:val="none"/>
        </w:rPr>
        <w:t>后续</w:t>
      </w:r>
      <w:r>
        <w:rPr>
          <w:rFonts w:hint="eastAsia" w:ascii="宋体" w:hAnsi="宋体" w:cs="宋体"/>
          <w:color w:val="auto"/>
          <w:sz w:val="22"/>
          <w:szCs w:val="22"/>
          <w:highlight w:val="none"/>
          <w:lang w:eastAsia="zh-CN"/>
        </w:rPr>
        <w:t>实施</w:t>
      </w:r>
      <w:r>
        <w:rPr>
          <w:rFonts w:hint="eastAsia" w:ascii="宋体" w:hAnsi="宋体" w:eastAsia="宋体" w:cs="宋体"/>
          <w:color w:val="auto"/>
          <w:sz w:val="22"/>
          <w:szCs w:val="22"/>
          <w:highlight w:val="none"/>
        </w:rPr>
        <w:t>或保修需要留下的除外。</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应保持现场与</w:t>
      </w:r>
      <w:r>
        <w:rPr>
          <w:rFonts w:hint="eastAsia" w:ascii="宋体" w:hAnsi="宋体" w:eastAsia="宋体" w:cs="宋体"/>
          <w:color w:val="auto"/>
          <w:sz w:val="22"/>
          <w:szCs w:val="22"/>
          <w:highlight w:val="none"/>
          <w:lang w:val="en-US" w:eastAsia="zh-CN"/>
        </w:rPr>
        <w:t>项目</w:t>
      </w:r>
      <w:r>
        <w:rPr>
          <w:rFonts w:hint="eastAsia" w:ascii="宋体" w:hAnsi="宋体" w:eastAsia="宋体" w:cs="宋体"/>
          <w:color w:val="auto"/>
          <w:sz w:val="22"/>
          <w:szCs w:val="22"/>
          <w:highlight w:val="none"/>
        </w:rPr>
        <w:t>处于相关规范规定的清洁和安全状态，若</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在上述时间内未能迁出前述物品，</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有权将前述物品移至某一合适地点保存，运输和保存所发生的费用和风险应由</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承担。</w:t>
      </w:r>
    </w:p>
    <w:p w14:paraId="574118A9">
      <w:pPr>
        <w:keepNext w:val="0"/>
        <w:keepLines w:val="0"/>
        <w:pageBreakBefore w:val="0"/>
        <w:widowControl w:val="0"/>
        <w:kinsoku/>
        <w:wordWrap/>
        <w:overflowPunct/>
        <w:topLinePunct w:val="0"/>
        <w:bidi w:val="0"/>
        <w:spacing w:before="0" w:after="0" w:line="400" w:lineRule="exact"/>
        <w:ind w:firstLine="426"/>
        <w:jc w:val="both"/>
        <w:textAlignment w:val="auto"/>
        <w:outlineLvl w:val="4"/>
        <w:rPr>
          <w:rFonts w:hint="eastAsia" w:ascii="宋体" w:hAnsi="宋体" w:eastAsia="宋体" w:cs="宋体"/>
          <w:b/>
          <w:bCs/>
          <w:snapToGrid w:val="0"/>
          <w:color w:val="auto"/>
          <w:kern w:val="2"/>
          <w:sz w:val="22"/>
          <w:szCs w:val="22"/>
          <w:highlight w:val="none"/>
          <w:lang w:val="en-US" w:eastAsia="zh-CN" w:bidi="ar-SA"/>
        </w:rPr>
      </w:pPr>
      <w:r>
        <w:rPr>
          <w:rFonts w:hint="eastAsia" w:ascii="宋体" w:hAnsi="宋体" w:eastAsia="宋体" w:cs="宋体"/>
          <w:b/>
          <w:bCs/>
          <w:snapToGrid w:val="0"/>
          <w:color w:val="auto"/>
          <w:kern w:val="2"/>
          <w:sz w:val="22"/>
          <w:szCs w:val="22"/>
          <w:highlight w:val="none"/>
          <w:lang w:val="en-US" w:eastAsia="zh-CN" w:bidi="ar-SA"/>
        </w:rPr>
        <w:t>9.5持续责任</w:t>
      </w:r>
    </w:p>
    <w:p w14:paraId="5A498A00">
      <w:pPr>
        <w:keepNext w:val="0"/>
        <w:keepLines w:val="0"/>
        <w:pageBreakBefore w:val="0"/>
        <w:widowControl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即使</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验收并接受了本</w:t>
      </w:r>
      <w:r>
        <w:rPr>
          <w:rFonts w:hint="eastAsia" w:ascii="宋体" w:hAnsi="宋体" w:eastAsia="宋体" w:cs="宋体"/>
          <w:color w:val="auto"/>
          <w:sz w:val="22"/>
          <w:szCs w:val="22"/>
          <w:highlight w:val="none"/>
          <w:lang w:val="en-US" w:eastAsia="zh-CN"/>
        </w:rPr>
        <w:t>项目</w:t>
      </w:r>
      <w:r>
        <w:rPr>
          <w:rFonts w:hint="eastAsia" w:ascii="宋体" w:hAnsi="宋体" w:eastAsia="宋体" w:cs="宋体"/>
          <w:color w:val="auto"/>
          <w:sz w:val="22"/>
          <w:szCs w:val="22"/>
          <w:highlight w:val="none"/>
        </w:rPr>
        <w:t>中的全部或任何部分的</w:t>
      </w:r>
      <w:r>
        <w:rPr>
          <w:rFonts w:hint="eastAsia" w:ascii="宋体" w:hAnsi="宋体" w:eastAsia="宋体" w:cs="宋体"/>
          <w:color w:val="auto"/>
          <w:sz w:val="22"/>
          <w:szCs w:val="22"/>
          <w:highlight w:val="none"/>
          <w:lang w:val="en-US" w:eastAsia="zh-CN"/>
        </w:rPr>
        <w:t>实施内容</w:t>
      </w:r>
      <w:r>
        <w:rPr>
          <w:rFonts w:hint="eastAsia" w:ascii="宋体" w:hAnsi="宋体" w:eastAsia="宋体" w:cs="宋体"/>
          <w:color w:val="auto"/>
          <w:sz w:val="22"/>
          <w:szCs w:val="22"/>
          <w:highlight w:val="none"/>
        </w:rPr>
        <w:t>、材料、设备；或签发了验收证书，</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对本</w:t>
      </w:r>
      <w:r>
        <w:rPr>
          <w:rFonts w:hint="eastAsia" w:ascii="宋体" w:hAnsi="宋体" w:eastAsia="宋体" w:cs="宋体"/>
          <w:color w:val="auto"/>
          <w:sz w:val="22"/>
          <w:szCs w:val="22"/>
          <w:highlight w:val="none"/>
          <w:lang w:val="en-US" w:eastAsia="zh-CN"/>
        </w:rPr>
        <w:t>项目</w:t>
      </w:r>
      <w:r>
        <w:rPr>
          <w:rFonts w:hint="eastAsia" w:ascii="宋体" w:hAnsi="宋体" w:eastAsia="宋体" w:cs="宋体"/>
          <w:color w:val="auto"/>
          <w:sz w:val="22"/>
          <w:szCs w:val="22"/>
          <w:highlight w:val="none"/>
        </w:rPr>
        <w:t>中的</w:t>
      </w:r>
      <w:r>
        <w:rPr>
          <w:rFonts w:hint="eastAsia" w:ascii="宋体" w:hAnsi="宋体" w:cs="宋体"/>
          <w:color w:val="auto"/>
          <w:sz w:val="22"/>
          <w:szCs w:val="22"/>
          <w:highlight w:val="none"/>
          <w:lang w:eastAsia="zh-CN"/>
        </w:rPr>
        <w:t>实施</w:t>
      </w:r>
      <w:r>
        <w:rPr>
          <w:rFonts w:hint="eastAsia" w:ascii="宋体" w:hAnsi="宋体" w:eastAsia="宋体" w:cs="宋体"/>
          <w:color w:val="auto"/>
          <w:sz w:val="22"/>
          <w:szCs w:val="22"/>
          <w:highlight w:val="none"/>
        </w:rPr>
        <w:t>缺陷所承担的义务或责任不得解除。</w:t>
      </w:r>
    </w:p>
    <w:p w14:paraId="3BCCA332">
      <w:pPr>
        <w:keepNext w:val="0"/>
        <w:keepLines w:val="0"/>
        <w:pageBreakBefore w:val="0"/>
        <w:widowControl w:val="0"/>
        <w:numPr>
          <w:ilvl w:val="0"/>
          <w:numId w:val="7"/>
        </w:numPr>
        <w:tabs>
          <w:tab w:val="left" w:pos="658"/>
        </w:tabs>
        <w:kinsoku/>
        <w:wordWrap/>
        <w:overflowPunct/>
        <w:topLinePunct w:val="0"/>
        <w:bidi w:val="0"/>
        <w:spacing w:line="400" w:lineRule="exact"/>
        <w:ind w:left="0" w:firstLine="426"/>
        <w:jc w:val="left"/>
        <w:textAlignment w:val="auto"/>
        <w:outlineLvl w:val="3"/>
        <w:rPr>
          <w:rFonts w:hint="eastAsia" w:ascii="宋体" w:hAnsi="宋体" w:eastAsia="宋体" w:cs="宋体"/>
          <w:b/>
          <w:snapToGrid w:val="0"/>
          <w:color w:val="auto"/>
          <w:kern w:val="2"/>
          <w:sz w:val="22"/>
          <w:szCs w:val="22"/>
          <w:highlight w:val="none"/>
          <w:lang w:val="en-US" w:eastAsia="zh-CN" w:bidi="ar-SA"/>
        </w:rPr>
      </w:pPr>
      <w:bookmarkStart w:id="139" w:name="_Toc359838537"/>
      <w:bookmarkStart w:id="140" w:name="_Toc359839850"/>
      <w:bookmarkStart w:id="141" w:name="_Toc359839321"/>
      <w:bookmarkStart w:id="142" w:name="_Toc359839709"/>
      <w:r>
        <w:rPr>
          <w:rFonts w:hint="eastAsia" w:ascii="宋体" w:hAnsi="宋体" w:eastAsia="宋体" w:cs="宋体"/>
          <w:b/>
          <w:snapToGrid w:val="0"/>
          <w:color w:val="auto"/>
          <w:kern w:val="2"/>
          <w:sz w:val="22"/>
          <w:szCs w:val="22"/>
          <w:highlight w:val="none"/>
          <w:lang w:val="en-US" w:eastAsia="zh-CN" w:bidi="ar-SA"/>
        </w:rPr>
        <w:t>保险</w:t>
      </w:r>
      <w:bookmarkEnd w:id="139"/>
      <w:bookmarkEnd w:id="140"/>
      <w:bookmarkEnd w:id="141"/>
      <w:bookmarkEnd w:id="142"/>
    </w:p>
    <w:p w14:paraId="2AC868EE">
      <w:pPr>
        <w:keepNext w:val="0"/>
        <w:keepLines w:val="0"/>
        <w:pageBreakBefore w:val="0"/>
        <w:widowControl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10.1</w:t>
      </w:r>
      <w:r>
        <w:rPr>
          <w:rFonts w:hint="eastAsia" w:ascii="宋体" w:hAnsi="宋体" w:eastAsia="宋体" w:cs="宋体"/>
          <w:color w:val="auto"/>
          <w:sz w:val="22"/>
          <w:szCs w:val="22"/>
          <w:highlight w:val="none"/>
          <w:lang w:val="en-US" w:eastAsia="zh-CN"/>
        </w:rPr>
        <w:t>项目</w:t>
      </w:r>
      <w:r>
        <w:rPr>
          <w:rFonts w:hint="eastAsia" w:ascii="宋体" w:hAnsi="宋体" w:eastAsia="宋体" w:cs="宋体"/>
          <w:color w:val="auto"/>
          <w:sz w:val="22"/>
          <w:szCs w:val="22"/>
          <w:highlight w:val="none"/>
        </w:rPr>
        <w:t>保险</w:t>
      </w:r>
    </w:p>
    <w:p w14:paraId="4DD3DC88">
      <w:pPr>
        <w:keepNext w:val="0"/>
        <w:keepLines w:val="0"/>
        <w:pageBreakBefore w:val="0"/>
        <w:widowControl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10.1.1</w:t>
      </w:r>
      <w:r>
        <w:rPr>
          <w:rFonts w:hint="eastAsia" w:ascii="宋体" w:hAnsi="宋体" w:cs="宋体"/>
          <w:color w:val="auto"/>
          <w:sz w:val="22"/>
          <w:szCs w:val="22"/>
          <w:highlight w:val="none"/>
          <w:lang w:val="en-US" w:eastAsia="zh-CN"/>
        </w:rPr>
        <w:t>项目实施</w:t>
      </w:r>
      <w:r>
        <w:rPr>
          <w:rFonts w:hint="eastAsia" w:ascii="宋体" w:hAnsi="宋体" w:eastAsia="宋体" w:cs="宋体"/>
          <w:color w:val="auto"/>
          <w:sz w:val="22"/>
          <w:szCs w:val="22"/>
          <w:highlight w:val="none"/>
        </w:rPr>
        <w:t>一切险由</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负责投保</w:t>
      </w:r>
    </w:p>
    <w:p w14:paraId="6FC7CE24">
      <w:pPr>
        <w:keepNext w:val="0"/>
        <w:keepLines w:val="0"/>
        <w:pageBreakBefore w:val="0"/>
        <w:widowControl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保险金额、保险费率和保险期限：保险金额按保险人规定，保险费率由</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与保险人协商确定，保险期限自开始工作日即日算起至服务期结束。</w:t>
      </w:r>
    </w:p>
    <w:p w14:paraId="72438DD0">
      <w:pPr>
        <w:keepNext w:val="0"/>
        <w:keepLines w:val="0"/>
        <w:pageBreakBefore w:val="0"/>
        <w:widowControl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10.1.2第三者责任险由</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负责投保</w:t>
      </w:r>
    </w:p>
    <w:p w14:paraId="3EB139B3">
      <w:pPr>
        <w:keepNext w:val="0"/>
        <w:keepLines w:val="0"/>
        <w:pageBreakBefore w:val="0"/>
        <w:widowControl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第三者责任险保险费率：由</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与保险人协商确定；</w:t>
      </w:r>
    </w:p>
    <w:p w14:paraId="4F8AA9F5">
      <w:pPr>
        <w:keepNext w:val="0"/>
        <w:keepLines w:val="0"/>
        <w:pageBreakBefore w:val="0"/>
        <w:widowControl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第三者责任险保险金额：300万元/年，事故次数不限（不计免赔额）。</w:t>
      </w:r>
    </w:p>
    <w:p w14:paraId="6CF298C4">
      <w:pPr>
        <w:keepNext w:val="0"/>
        <w:keepLines w:val="0"/>
        <w:pageBreakBefore w:val="0"/>
        <w:widowControl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10.2人身意外险种由</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负责投保，针对本项目所有</w:t>
      </w:r>
      <w:r>
        <w:rPr>
          <w:rFonts w:hint="eastAsia" w:ascii="宋体" w:hAnsi="宋体" w:eastAsia="宋体" w:cs="宋体"/>
          <w:color w:val="auto"/>
          <w:sz w:val="22"/>
          <w:szCs w:val="22"/>
          <w:highlight w:val="none"/>
          <w:lang w:val="en-US" w:eastAsia="zh-CN"/>
        </w:rPr>
        <w:t>实施</w:t>
      </w:r>
      <w:r>
        <w:rPr>
          <w:rFonts w:hint="eastAsia" w:ascii="宋体" w:hAnsi="宋体" w:eastAsia="宋体" w:cs="宋体"/>
          <w:color w:val="auto"/>
          <w:sz w:val="22"/>
          <w:szCs w:val="22"/>
          <w:highlight w:val="none"/>
        </w:rPr>
        <w:t>人员。</w:t>
      </w:r>
    </w:p>
    <w:p w14:paraId="79F694FA">
      <w:pPr>
        <w:keepNext w:val="0"/>
        <w:keepLines w:val="0"/>
        <w:pageBreakBefore w:val="0"/>
        <w:widowControl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保险金额、保险费率和保险期限：保险金额按保险人规定，保险费率由</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与保险人协商确定，保险期限自开始工作日即日算起至服务期结束。</w:t>
      </w:r>
    </w:p>
    <w:p w14:paraId="05F2533C">
      <w:pPr>
        <w:keepNext w:val="0"/>
        <w:keepLines w:val="0"/>
        <w:pageBreakBefore w:val="0"/>
        <w:widowControl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10.3保险凭证</w:t>
      </w:r>
    </w:p>
    <w:p w14:paraId="222F2572">
      <w:pPr>
        <w:keepNext w:val="0"/>
        <w:keepLines w:val="0"/>
        <w:pageBreakBefore w:val="0"/>
        <w:widowControl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提交保险凭证的期限：保险手续办理完毕后7天内提交</w:t>
      </w:r>
      <w:r>
        <w:rPr>
          <w:rFonts w:hint="eastAsia" w:hAnsi="宋体" w:cs="宋体"/>
          <w:color w:val="auto"/>
          <w:sz w:val="22"/>
          <w:szCs w:val="22"/>
          <w:highlight w:val="none"/>
          <w:lang w:eastAsia="zh-CN"/>
        </w:rPr>
        <w:t>，</w:t>
      </w:r>
      <w:r>
        <w:rPr>
          <w:rFonts w:hint="eastAsia" w:hAnsi="宋体" w:cs="宋体"/>
          <w:color w:val="auto"/>
          <w:sz w:val="22"/>
          <w:szCs w:val="22"/>
          <w:highlight w:val="none"/>
          <w:lang w:val="en-US" w:eastAsia="zh-CN"/>
        </w:rPr>
        <w:t>在</w:t>
      </w:r>
      <w:r>
        <w:rPr>
          <w:rFonts w:hint="eastAsia" w:ascii="宋体" w:hAnsi="宋体" w:eastAsia="宋体" w:cs="宋体"/>
          <w:color w:val="auto"/>
          <w:sz w:val="22"/>
          <w:szCs w:val="22"/>
          <w:highlight w:val="none"/>
        </w:rPr>
        <w:t>工程项目开工前提交至甲方及丙方审核</w:t>
      </w:r>
      <w:r>
        <w:rPr>
          <w:rFonts w:hint="eastAsia" w:hAnsi="宋体" w:cs="宋体"/>
          <w:color w:val="auto"/>
          <w:sz w:val="22"/>
          <w:szCs w:val="22"/>
          <w:highlight w:val="none"/>
          <w:lang w:val="en-US" w:eastAsia="zh-CN"/>
        </w:rPr>
        <w:t>后方可开工</w:t>
      </w:r>
      <w:r>
        <w:rPr>
          <w:rFonts w:hint="eastAsia" w:ascii="宋体" w:hAnsi="宋体" w:eastAsia="宋体" w:cs="宋体"/>
          <w:color w:val="auto"/>
          <w:sz w:val="22"/>
          <w:szCs w:val="22"/>
          <w:highlight w:val="none"/>
        </w:rPr>
        <w:t>。</w:t>
      </w:r>
    </w:p>
    <w:p w14:paraId="7A78A812">
      <w:pPr>
        <w:keepNext w:val="0"/>
        <w:keepLines w:val="0"/>
        <w:pageBreakBefore w:val="0"/>
        <w:widowControl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10.4保险金不足的补偿</w:t>
      </w:r>
    </w:p>
    <w:p w14:paraId="7F43AFD9">
      <w:pPr>
        <w:keepNext w:val="0"/>
        <w:keepLines w:val="0"/>
        <w:pageBreakBefore w:val="0"/>
        <w:widowControl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负责补偿的范围与金额：保险金不足的补偿均由</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负责。</w:t>
      </w:r>
    </w:p>
    <w:p w14:paraId="3EBB0A82">
      <w:pPr>
        <w:keepNext w:val="0"/>
        <w:keepLines w:val="0"/>
        <w:pageBreakBefore w:val="0"/>
        <w:widowControl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负责补偿的范围与金额：由于本</w:t>
      </w:r>
      <w:r>
        <w:rPr>
          <w:rFonts w:hint="eastAsia" w:ascii="宋体" w:hAnsi="宋体" w:eastAsia="宋体" w:cs="宋体"/>
          <w:color w:val="auto"/>
          <w:sz w:val="22"/>
          <w:szCs w:val="22"/>
          <w:highlight w:val="none"/>
          <w:lang w:val="en-US" w:eastAsia="zh-CN"/>
        </w:rPr>
        <w:t>项目</w:t>
      </w:r>
      <w:r>
        <w:rPr>
          <w:rFonts w:hint="eastAsia" w:ascii="宋体" w:hAnsi="宋体" w:eastAsia="宋体" w:cs="宋体"/>
          <w:color w:val="auto"/>
          <w:sz w:val="22"/>
          <w:szCs w:val="22"/>
          <w:highlight w:val="none"/>
        </w:rPr>
        <w:t>一切保险均由</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负责投保，其费用均列入报价，故</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不承担保险金不足的补偿。</w:t>
      </w:r>
    </w:p>
    <w:p w14:paraId="33511F02">
      <w:pPr>
        <w:keepNext w:val="0"/>
        <w:keepLines w:val="0"/>
        <w:pageBreakBefore w:val="0"/>
        <w:widowControl w:val="0"/>
        <w:numPr>
          <w:ilvl w:val="0"/>
          <w:numId w:val="7"/>
        </w:numPr>
        <w:tabs>
          <w:tab w:val="left" w:pos="658"/>
        </w:tabs>
        <w:kinsoku/>
        <w:wordWrap/>
        <w:overflowPunct/>
        <w:topLinePunct w:val="0"/>
        <w:bidi w:val="0"/>
        <w:spacing w:line="400" w:lineRule="exact"/>
        <w:ind w:left="0" w:firstLine="426"/>
        <w:jc w:val="left"/>
        <w:textAlignment w:val="auto"/>
        <w:outlineLvl w:val="3"/>
        <w:rPr>
          <w:rFonts w:hint="eastAsia" w:ascii="宋体" w:hAnsi="宋体" w:eastAsia="宋体" w:cs="宋体"/>
          <w:b/>
          <w:snapToGrid w:val="0"/>
          <w:color w:val="auto"/>
          <w:kern w:val="2"/>
          <w:sz w:val="22"/>
          <w:szCs w:val="22"/>
          <w:highlight w:val="none"/>
          <w:lang w:val="en-US" w:eastAsia="zh-CN" w:bidi="ar-SA"/>
        </w:rPr>
      </w:pPr>
      <w:bookmarkStart w:id="143" w:name="_Toc359839852"/>
      <w:bookmarkStart w:id="144" w:name="_Toc354478021"/>
      <w:bookmarkStart w:id="145" w:name="_Toc354478293"/>
      <w:bookmarkStart w:id="146" w:name="_Toc354494048"/>
      <w:bookmarkStart w:id="147" w:name="_Toc359839711"/>
      <w:bookmarkStart w:id="148" w:name="_Toc359839323"/>
      <w:bookmarkStart w:id="149" w:name="_Toc359838542"/>
      <w:r>
        <w:rPr>
          <w:rFonts w:hint="eastAsia" w:ascii="宋体" w:hAnsi="宋体" w:eastAsia="宋体" w:cs="宋体"/>
          <w:b/>
          <w:snapToGrid w:val="0"/>
          <w:color w:val="auto"/>
          <w:kern w:val="2"/>
          <w:sz w:val="22"/>
          <w:szCs w:val="22"/>
          <w:highlight w:val="none"/>
          <w:lang w:val="en-US" w:eastAsia="zh-CN" w:bidi="ar-SA"/>
        </w:rPr>
        <w:t>付款到期日</w:t>
      </w:r>
      <w:bookmarkEnd w:id="143"/>
      <w:bookmarkEnd w:id="144"/>
      <w:bookmarkEnd w:id="145"/>
      <w:bookmarkEnd w:id="146"/>
      <w:bookmarkEnd w:id="147"/>
      <w:bookmarkEnd w:id="148"/>
      <w:bookmarkEnd w:id="149"/>
    </w:p>
    <w:p w14:paraId="21739061">
      <w:pPr>
        <w:keepNext w:val="0"/>
        <w:keepLines w:val="0"/>
        <w:pageBreakBefore w:val="0"/>
        <w:widowControl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除非有其它明确规定，本合同项下一方向另一方支付的任何款项应由有支付义务的一方在收到另一方书面支付要求后的7个工作日内支付。</w:t>
      </w:r>
    </w:p>
    <w:p w14:paraId="7037902C">
      <w:pPr>
        <w:keepNext w:val="0"/>
        <w:keepLines w:val="0"/>
        <w:pageBreakBefore w:val="0"/>
        <w:widowControl w:val="0"/>
        <w:numPr>
          <w:ilvl w:val="0"/>
          <w:numId w:val="7"/>
        </w:numPr>
        <w:tabs>
          <w:tab w:val="left" w:pos="658"/>
        </w:tabs>
        <w:kinsoku/>
        <w:wordWrap/>
        <w:overflowPunct/>
        <w:topLinePunct w:val="0"/>
        <w:bidi w:val="0"/>
        <w:spacing w:line="400" w:lineRule="exact"/>
        <w:ind w:left="0" w:firstLine="426"/>
        <w:jc w:val="left"/>
        <w:textAlignment w:val="auto"/>
        <w:outlineLvl w:val="3"/>
        <w:rPr>
          <w:rFonts w:hint="eastAsia" w:ascii="宋体" w:hAnsi="宋体" w:eastAsia="宋体" w:cs="宋体"/>
          <w:b/>
          <w:snapToGrid w:val="0"/>
          <w:color w:val="auto"/>
          <w:kern w:val="2"/>
          <w:sz w:val="22"/>
          <w:szCs w:val="22"/>
          <w:highlight w:val="none"/>
          <w:lang w:val="en-US" w:eastAsia="zh-CN" w:bidi="ar-SA"/>
        </w:rPr>
      </w:pPr>
      <w:bookmarkStart w:id="150" w:name="_Toc359839712"/>
      <w:bookmarkStart w:id="151" w:name="_Toc359839853"/>
      <w:bookmarkStart w:id="152" w:name="_Toc354478294"/>
      <w:bookmarkStart w:id="153" w:name="_Toc354494049"/>
      <w:bookmarkStart w:id="154" w:name="_Toc354478022"/>
      <w:bookmarkStart w:id="155" w:name="_Toc359838543"/>
      <w:bookmarkStart w:id="156" w:name="_Toc359839324"/>
      <w:r>
        <w:rPr>
          <w:rFonts w:hint="eastAsia" w:ascii="宋体" w:hAnsi="宋体" w:eastAsia="宋体" w:cs="宋体"/>
          <w:b/>
          <w:snapToGrid w:val="0"/>
          <w:color w:val="auto"/>
          <w:kern w:val="2"/>
          <w:sz w:val="22"/>
          <w:szCs w:val="22"/>
          <w:highlight w:val="none"/>
          <w:lang w:val="en-US" w:eastAsia="zh-CN" w:bidi="ar-SA"/>
        </w:rPr>
        <w:t>违约责任</w:t>
      </w:r>
      <w:bookmarkEnd w:id="150"/>
      <w:bookmarkEnd w:id="151"/>
      <w:bookmarkEnd w:id="152"/>
      <w:bookmarkEnd w:id="153"/>
      <w:bookmarkEnd w:id="154"/>
      <w:bookmarkEnd w:id="155"/>
      <w:bookmarkEnd w:id="156"/>
    </w:p>
    <w:p w14:paraId="085B937D">
      <w:pPr>
        <w:keepNext w:val="0"/>
        <w:keepLines w:val="0"/>
        <w:pageBreakBefore w:val="0"/>
        <w:widowControl w:val="0"/>
        <w:kinsoku/>
        <w:wordWrap/>
        <w:overflowPunct/>
        <w:topLinePunct w:val="0"/>
        <w:bidi w:val="0"/>
        <w:spacing w:before="0" w:after="0" w:line="400" w:lineRule="exact"/>
        <w:ind w:firstLine="426"/>
        <w:jc w:val="both"/>
        <w:textAlignment w:val="auto"/>
        <w:outlineLvl w:val="4"/>
        <w:rPr>
          <w:rFonts w:hint="eastAsia" w:ascii="宋体" w:hAnsi="宋体" w:eastAsia="宋体" w:cs="宋体"/>
          <w:b/>
          <w:bCs/>
          <w:snapToGrid w:val="0"/>
          <w:color w:val="auto"/>
          <w:kern w:val="2"/>
          <w:sz w:val="22"/>
          <w:szCs w:val="22"/>
          <w:highlight w:val="none"/>
          <w:lang w:val="en-US" w:eastAsia="zh-CN" w:bidi="ar-SA"/>
        </w:rPr>
      </w:pPr>
      <w:bookmarkStart w:id="157" w:name="_Toc354478295"/>
      <w:bookmarkStart w:id="158" w:name="_Toc354494050"/>
      <w:r>
        <w:rPr>
          <w:rFonts w:hint="eastAsia" w:ascii="宋体" w:hAnsi="宋体" w:eastAsia="宋体" w:cs="宋体"/>
          <w:b/>
          <w:bCs/>
          <w:snapToGrid w:val="0"/>
          <w:color w:val="auto"/>
          <w:kern w:val="2"/>
          <w:sz w:val="22"/>
          <w:szCs w:val="22"/>
          <w:highlight w:val="none"/>
          <w:lang w:val="en-US" w:eastAsia="zh-CN" w:bidi="ar-SA"/>
        </w:rPr>
        <w:t>12.1延误违约金</w:t>
      </w:r>
      <w:bookmarkEnd w:id="157"/>
      <w:bookmarkEnd w:id="158"/>
    </w:p>
    <w:p w14:paraId="1F18FB8C">
      <w:pPr>
        <w:keepNext w:val="0"/>
        <w:keepLines w:val="0"/>
        <w:pageBreakBefore w:val="0"/>
        <w:widowControl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eastAsia="zh-CN"/>
        </w:rPr>
        <w:t>丙方</w:t>
      </w:r>
      <w:r>
        <w:rPr>
          <w:rFonts w:hint="eastAsia" w:ascii="宋体" w:hAnsi="宋体" w:eastAsia="宋体" w:cs="宋体"/>
          <w:color w:val="auto"/>
          <w:sz w:val="22"/>
          <w:szCs w:val="22"/>
          <w:highlight w:val="none"/>
        </w:rPr>
        <w:t>应提供相应的资金支付保障计划，若</w:t>
      </w:r>
      <w:r>
        <w:rPr>
          <w:rFonts w:hint="eastAsia" w:ascii="宋体" w:hAnsi="宋体" w:eastAsia="宋体" w:cs="宋体"/>
          <w:color w:val="auto"/>
          <w:sz w:val="22"/>
          <w:szCs w:val="22"/>
          <w:highlight w:val="none"/>
          <w:lang w:eastAsia="zh-CN"/>
        </w:rPr>
        <w:t>丙方</w:t>
      </w:r>
      <w:r>
        <w:rPr>
          <w:rFonts w:hint="eastAsia" w:ascii="宋体" w:hAnsi="宋体" w:eastAsia="宋体" w:cs="宋体"/>
          <w:color w:val="auto"/>
          <w:sz w:val="22"/>
          <w:szCs w:val="22"/>
          <w:highlight w:val="none"/>
        </w:rPr>
        <w:t>未能在约定期限内按时向</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足额支付合同价款，按应付合同价款和其延误支付的每日利息（超过约定期限的天数）支付延误赔偿金，计息利率：指按中国人民银行公布的</w:t>
      </w:r>
      <w:r>
        <w:rPr>
          <w:rFonts w:hint="eastAsia" w:ascii="宋体" w:hAnsi="宋体" w:cs="宋体"/>
          <w:color w:val="auto"/>
          <w:sz w:val="22"/>
          <w:szCs w:val="22"/>
          <w:highlight w:val="none"/>
          <w:lang w:val="en-US" w:eastAsia="zh-CN"/>
        </w:rPr>
        <w:t>一</w:t>
      </w:r>
      <w:r>
        <w:rPr>
          <w:rFonts w:hint="eastAsia" w:ascii="宋体" w:hAnsi="宋体" w:eastAsia="宋体" w:cs="宋体"/>
          <w:color w:val="auto"/>
          <w:sz w:val="22"/>
          <w:szCs w:val="22"/>
          <w:highlight w:val="none"/>
        </w:rPr>
        <w:t>年期贷款基准利率。</w:t>
      </w:r>
    </w:p>
    <w:p w14:paraId="112FD96A">
      <w:pPr>
        <w:keepNext w:val="0"/>
        <w:keepLines w:val="0"/>
        <w:pageBreakBefore w:val="0"/>
        <w:widowControl w:val="0"/>
        <w:kinsoku/>
        <w:wordWrap/>
        <w:overflowPunct/>
        <w:topLinePunct w:val="0"/>
        <w:bidi w:val="0"/>
        <w:spacing w:before="0" w:after="0" w:line="400" w:lineRule="exact"/>
        <w:ind w:firstLine="426"/>
        <w:jc w:val="both"/>
        <w:textAlignment w:val="auto"/>
        <w:outlineLvl w:val="4"/>
        <w:rPr>
          <w:rFonts w:hint="eastAsia" w:ascii="宋体" w:hAnsi="宋体" w:eastAsia="宋体" w:cs="宋体"/>
          <w:b/>
          <w:bCs/>
          <w:snapToGrid w:val="0"/>
          <w:color w:val="auto"/>
          <w:kern w:val="2"/>
          <w:sz w:val="22"/>
          <w:szCs w:val="22"/>
          <w:highlight w:val="none"/>
          <w:lang w:val="en-US" w:eastAsia="zh-CN" w:bidi="ar-SA"/>
        </w:rPr>
      </w:pPr>
      <w:bookmarkStart w:id="159" w:name="_Toc345358572"/>
      <w:bookmarkStart w:id="160" w:name="_Toc345359046"/>
      <w:bookmarkStart w:id="161" w:name="_Toc354478296"/>
      <w:bookmarkStart w:id="162" w:name="_Toc354494051"/>
      <w:r>
        <w:rPr>
          <w:rFonts w:hint="eastAsia" w:ascii="宋体" w:hAnsi="宋体" w:eastAsia="宋体" w:cs="宋体"/>
          <w:b/>
          <w:bCs/>
          <w:snapToGrid w:val="0"/>
          <w:color w:val="auto"/>
          <w:kern w:val="2"/>
          <w:sz w:val="22"/>
          <w:szCs w:val="22"/>
          <w:highlight w:val="none"/>
          <w:lang w:val="en-US" w:eastAsia="zh-CN" w:bidi="ar-SA"/>
        </w:rPr>
        <w:t>12.2逾期赔偿金</w:t>
      </w:r>
      <w:bookmarkEnd w:id="159"/>
      <w:bookmarkEnd w:id="160"/>
      <w:bookmarkEnd w:id="161"/>
      <w:bookmarkEnd w:id="162"/>
    </w:p>
    <w:p w14:paraId="6C1C3EBB">
      <w:pPr>
        <w:keepNext w:val="0"/>
        <w:keepLines w:val="0"/>
        <w:pageBreakBefore w:val="0"/>
        <w:widowControl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应提供相应的</w:t>
      </w:r>
      <w:r>
        <w:rPr>
          <w:rFonts w:hint="eastAsia" w:ascii="宋体" w:hAnsi="宋体" w:eastAsia="宋体" w:cs="宋体"/>
          <w:color w:val="auto"/>
          <w:sz w:val="22"/>
          <w:szCs w:val="22"/>
          <w:highlight w:val="none"/>
          <w:lang w:val="en-US" w:eastAsia="zh-CN"/>
        </w:rPr>
        <w:t>实施</w:t>
      </w:r>
      <w:r>
        <w:rPr>
          <w:rFonts w:hint="eastAsia" w:ascii="宋体" w:hAnsi="宋体" w:eastAsia="宋体" w:cs="宋体"/>
          <w:color w:val="auto"/>
          <w:sz w:val="22"/>
          <w:szCs w:val="22"/>
          <w:highlight w:val="none"/>
        </w:rPr>
        <w:t>进度计划，保证</w:t>
      </w:r>
      <w:r>
        <w:rPr>
          <w:rFonts w:hint="eastAsia" w:ascii="宋体" w:hAnsi="宋体" w:eastAsia="宋体" w:cs="宋体"/>
          <w:color w:val="auto"/>
          <w:sz w:val="22"/>
          <w:szCs w:val="22"/>
          <w:highlight w:val="none"/>
          <w:lang w:val="en-US" w:eastAsia="zh-CN"/>
        </w:rPr>
        <w:t>项目</w:t>
      </w:r>
      <w:r>
        <w:rPr>
          <w:rFonts w:hint="eastAsia" w:ascii="宋体" w:hAnsi="宋体" w:eastAsia="宋体" w:cs="宋体"/>
          <w:color w:val="auto"/>
          <w:sz w:val="22"/>
          <w:szCs w:val="22"/>
          <w:highlight w:val="none"/>
        </w:rPr>
        <w:t>按期完成，</w:t>
      </w:r>
      <w:r>
        <w:rPr>
          <w:rFonts w:hint="eastAsia" w:ascii="宋体" w:hAnsi="宋体" w:eastAsia="宋体" w:cs="宋体"/>
          <w:color w:val="auto"/>
          <w:sz w:val="22"/>
          <w:szCs w:val="22"/>
          <w:highlight w:val="none"/>
          <w:lang w:val="en-US" w:eastAsia="zh-CN"/>
        </w:rPr>
        <w:t>由于政策处理无法实施的项目除外，乙方不能以项目实施难度大、造价高等为理由不实施项目。</w:t>
      </w:r>
      <w:r>
        <w:rPr>
          <w:rFonts w:hint="eastAsia" w:ascii="宋体" w:hAnsi="宋体" w:eastAsia="宋体" w:cs="宋体"/>
          <w:color w:val="auto"/>
          <w:sz w:val="22"/>
          <w:szCs w:val="22"/>
          <w:highlight w:val="none"/>
        </w:rPr>
        <w:t>因</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原因，未能在合同规定的期限内通过验收，</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按单个项目合同价款的万分之二每日（超出30日的天数）支付逾期赔偿金。</w:t>
      </w:r>
    </w:p>
    <w:p w14:paraId="44559AA5">
      <w:pPr>
        <w:keepNext w:val="0"/>
        <w:keepLines w:val="0"/>
        <w:pageBreakBefore w:val="0"/>
        <w:widowControl w:val="0"/>
        <w:kinsoku/>
        <w:wordWrap/>
        <w:overflowPunct/>
        <w:topLinePunct w:val="0"/>
        <w:bidi w:val="0"/>
        <w:spacing w:before="0" w:after="0" w:line="400" w:lineRule="exact"/>
        <w:ind w:firstLine="426"/>
        <w:jc w:val="both"/>
        <w:textAlignment w:val="auto"/>
        <w:outlineLvl w:val="4"/>
        <w:rPr>
          <w:rFonts w:hint="eastAsia" w:ascii="宋体" w:hAnsi="宋体" w:eastAsia="宋体" w:cs="宋体"/>
          <w:b/>
          <w:bCs/>
          <w:snapToGrid w:val="0"/>
          <w:color w:val="auto"/>
          <w:kern w:val="2"/>
          <w:sz w:val="22"/>
          <w:szCs w:val="22"/>
          <w:highlight w:val="none"/>
          <w:lang w:val="en-US" w:eastAsia="zh-CN" w:bidi="ar-SA"/>
        </w:rPr>
      </w:pPr>
      <w:r>
        <w:rPr>
          <w:rFonts w:hint="eastAsia" w:ascii="宋体" w:hAnsi="宋体" w:eastAsia="宋体" w:cs="宋体"/>
          <w:b/>
          <w:bCs/>
          <w:snapToGrid w:val="0"/>
          <w:color w:val="auto"/>
          <w:kern w:val="2"/>
          <w:sz w:val="22"/>
          <w:szCs w:val="22"/>
          <w:highlight w:val="none"/>
          <w:lang w:val="en-US" w:eastAsia="zh-CN" w:bidi="ar-SA"/>
        </w:rPr>
        <w:t>12.3未能入库违约赔偿金</w:t>
      </w:r>
    </w:p>
    <w:p w14:paraId="76A92260">
      <w:pPr>
        <w:keepNext w:val="0"/>
        <w:keepLines w:val="0"/>
        <w:pageBreakBefore w:val="0"/>
        <w:widowControl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如某单个项目因</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原因不能入库的，对</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造成的实际损失由</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承担；由于政策变化及其他非</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原因导致项目已实施但不能入库的，对</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造成的实际损失（由第三方造价咨询单位审核金额为准，若最终</w:t>
      </w:r>
      <w:r>
        <w:rPr>
          <w:rFonts w:hint="eastAsia" w:ascii="宋体" w:hAnsi="宋体" w:eastAsia="宋体" w:cs="宋体"/>
          <w:color w:val="auto"/>
          <w:sz w:val="22"/>
          <w:szCs w:val="22"/>
          <w:highlight w:val="none"/>
          <w:lang w:val="en-US" w:eastAsia="zh-CN"/>
        </w:rPr>
        <w:t>项目实施费用</w:t>
      </w:r>
      <w:r>
        <w:rPr>
          <w:rFonts w:hint="eastAsia" w:ascii="宋体" w:hAnsi="宋体" w:eastAsia="宋体" w:cs="宋体"/>
          <w:color w:val="auto"/>
          <w:sz w:val="22"/>
          <w:szCs w:val="22"/>
          <w:highlight w:val="none"/>
        </w:rPr>
        <w:t>单价超过中标</w:t>
      </w:r>
      <w:r>
        <w:rPr>
          <w:rFonts w:hint="eastAsia" w:ascii="宋体" w:hAnsi="宋体" w:eastAsia="宋体" w:cs="宋体"/>
          <w:color w:val="auto"/>
          <w:sz w:val="22"/>
          <w:szCs w:val="22"/>
          <w:highlight w:val="none"/>
          <w:lang w:val="en-US" w:eastAsia="zh-CN"/>
        </w:rPr>
        <w:t>项目实施费用</w:t>
      </w:r>
      <w:r>
        <w:rPr>
          <w:rFonts w:hint="eastAsia" w:ascii="宋体" w:hAnsi="宋体" w:eastAsia="宋体" w:cs="宋体"/>
          <w:color w:val="auto"/>
          <w:sz w:val="22"/>
          <w:szCs w:val="22"/>
          <w:highlight w:val="none"/>
        </w:rPr>
        <w:t>单价，则按中标</w:t>
      </w:r>
      <w:r>
        <w:rPr>
          <w:rFonts w:hint="eastAsia" w:ascii="宋体" w:hAnsi="宋体" w:eastAsia="宋体" w:cs="宋体"/>
          <w:color w:val="auto"/>
          <w:sz w:val="22"/>
          <w:szCs w:val="22"/>
          <w:highlight w:val="none"/>
          <w:lang w:val="en-US" w:eastAsia="zh-CN"/>
        </w:rPr>
        <w:t>项目实施费用</w:t>
      </w:r>
      <w:r>
        <w:rPr>
          <w:rFonts w:hint="eastAsia" w:ascii="宋体" w:hAnsi="宋体" w:eastAsia="宋体" w:cs="宋体"/>
          <w:color w:val="auto"/>
          <w:sz w:val="22"/>
          <w:szCs w:val="22"/>
          <w:highlight w:val="none"/>
        </w:rPr>
        <w:t>单价乘以已实施亩数结算）由</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承担。</w:t>
      </w:r>
    </w:p>
    <w:p w14:paraId="629B10BC">
      <w:pPr>
        <w:keepNext w:val="0"/>
        <w:keepLines w:val="0"/>
        <w:pageBreakBefore w:val="0"/>
        <w:widowControl w:val="0"/>
        <w:kinsoku/>
        <w:wordWrap/>
        <w:overflowPunct/>
        <w:topLinePunct w:val="0"/>
        <w:bidi w:val="0"/>
        <w:spacing w:before="0" w:after="0" w:line="400" w:lineRule="exact"/>
        <w:ind w:firstLine="426"/>
        <w:jc w:val="both"/>
        <w:textAlignment w:val="auto"/>
        <w:outlineLvl w:val="4"/>
        <w:rPr>
          <w:rFonts w:hint="eastAsia" w:ascii="宋体" w:hAnsi="宋体" w:eastAsia="宋体" w:cs="宋体"/>
          <w:b/>
          <w:bCs/>
          <w:snapToGrid w:val="0"/>
          <w:color w:val="auto"/>
          <w:kern w:val="2"/>
          <w:sz w:val="22"/>
          <w:szCs w:val="22"/>
          <w:highlight w:val="none"/>
          <w:lang w:val="en-US" w:eastAsia="zh-CN" w:bidi="ar-SA"/>
        </w:rPr>
      </w:pPr>
      <w:bookmarkStart w:id="163" w:name="_Toc354478297"/>
      <w:bookmarkStart w:id="164" w:name="_Toc354494052"/>
      <w:r>
        <w:rPr>
          <w:rFonts w:hint="eastAsia" w:ascii="宋体" w:hAnsi="宋体" w:eastAsia="宋体" w:cs="宋体"/>
          <w:b/>
          <w:bCs/>
          <w:snapToGrid w:val="0"/>
          <w:color w:val="auto"/>
          <w:kern w:val="2"/>
          <w:sz w:val="22"/>
          <w:szCs w:val="22"/>
          <w:highlight w:val="none"/>
          <w:lang w:val="en-US" w:eastAsia="zh-CN" w:bidi="ar-SA"/>
        </w:rPr>
        <w:t>12.4违约赔偿金</w:t>
      </w:r>
      <w:bookmarkEnd w:id="163"/>
      <w:bookmarkEnd w:id="164"/>
    </w:p>
    <w:p w14:paraId="7B691C7D">
      <w:pPr>
        <w:keepNext w:val="0"/>
        <w:keepLines w:val="0"/>
        <w:pageBreakBefore w:val="0"/>
        <w:widowControl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如果一方（非违约方）声明另一方（违约方）违约并提供违约事实的证明，并且该违约导致本合同不能履行或不能完全履行，则非违约方有权要求违约方承担违约责任，违约方应在收到上述声明及证明之日起30日内就违约造成的损失予以赔偿，如果非违约方因违约方违约导致本合同不能履行而终止本合同时在不免除任何一方的其他支付义务前提下，违约方应向非违约方支付违约部分的百分之三（3%）作为违约赔偿金。</w:t>
      </w:r>
    </w:p>
    <w:p w14:paraId="46E7A427">
      <w:pPr>
        <w:keepNext w:val="0"/>
        <w:keepLines w:val="0"/>
        <w:pageBreakBefore w:val="0"/>
        <w:widowControl w:val="0"/>
        <w:kinsoku/>
        <w:wordWrap/>
        <w:overflowPunct/>
        <w:topLinePunct w:val="0"/>
        <w:bidi w:val="0"/>
        <w:spacing w:before="0" w:after="0" w:line="400" w:lineRule="exact"/>
        <w:ind w:firstLine="426"/>
        <w:jc w:val="both"/>
        <w:textAlignment w:val="auto"/>
        <w:outlineLvl w:val="4"/>
        <w:rPr>
          <w:rFonts w:hint="eastAsia" w:ascii="宋体" w:hAnsi="宋体" w:eastAsia="宋体" w:cs="宋体"/>
          <w:b/>
          <w:bCs/>
          <w:snapToGrid w:val="0"/>
          <w:color w:val="auto"/>
          <w:kern w:val="2"/>
          <w:sz w:val="22"/>
          <w:szCs w:val="22"/>
          <w:highlight w:val="none"/>
          <w:lang w:val="en-US" w:eastAsia="zh-CN" w:bidi="ar-SA"/>
        </w:rPr>
      </w:pPr>
      <w:r>
        <w:rPr>
          <w:rFonts w:hint="eastAsia" w:ascii="宋体" w:hAnsi="宋体" w:eastAsia="宋体" w:cs="宋体"/>
          <w:b/>
          <w:bCs/>
          <w:snapToGrid w:val="0"/>
          <w:color w:val="auto"/>
          <w:kern w:val="2"/>
          <w:sz w:val="22"/>
          <w:szCs w:val="22"/>
          <w:highlight w:val="none"/>
          <w:lang w:val="en-US" w:eastAsia="zh-CN" w:bidi="ar-SA"/>
        </w:rPr>
        <w:t>12.5三方约定的其他违约责任</w:t>
      </w:r>
    </w:p>
    <w:p w14:paraId="6C4564E2">
      <w:pPr>
        <w:keepNext w:val="0"/>
        <w:keepLines w:val="0"/>
        <w:pageBreakBefore w:val="0"/>
        <w:widowControl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12.5.1项目负责人每月到位22日历天及以上，否则按5000元/天的标准支付违约金，其他项目部主要人员（含设计代表）每月到位22日历天及以上，否则按2000元/天的标准支付违约金。</w:t>
      </w:r>
    </w:p>
    <w:p w14:paraId="08666E3F">
      <w:pPr>
        <w:keepNext w:val="0"/>
        <w:keepLines w:val="0"/>
        <w:pageBreakBefore w:val="0"/>
        <w:widowControl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12.5.2 运营期满后，若上级政策及主管部门另有要求的，以其规定为准，中标方须无条件接受，继续进行运营，未继续履行合同的，按合同价款的20%支付违约金，同时要求乙方进行赔偿。</w:t>
      </w:r>
    </w:p>
    <w:p w14:paraId="211F3BFB">
      <w:pPr>
        <w:keepNext w:val="0"/>
        <w:keepLines w:val="0"/>
        <w:pageBreakBefore w:val="0"/>
        <w:widowControl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12.5.3未及时上缴项目运营收益或租金的，每延期一天按2000元/天的标准支付违约金。</w:t>
      </w:r>
    </w:p>
    <w:p w14:paraId="239F0859">
      <w:pPr>
        <w:keepNext w:val="0"/>
        <w:keepLines w:val="0"/>
        <w:pageBreakBefore w:val="0"/>
        <w:widowControl w:val="0"/>
        <w:numPr>
          <w:ilvl w:val="0"/>
          <w:numId w:val="7"/>
        </w:numPr>
        <w:tabs>
          <w:tab w:val="left" w:pos="658"/>
        </w:tabs>
        <w:kinsoku/>
        <w:wordWrap/>
        <w:overflowPunct/>
        <w:topLinePunct w:val="0"/>
        <w:bidi w:val="0"/>
        <w:spacing w:line="400" w:lineRule="exact"/>
        <w:ind w:left="0" w:firstLine="426"/>
        <w:jc w:val="left"/>
        <w:textAlignment w:val="auto"/>
        <w:outlineLvl w:val="3"/>
        <w:rPr>
          <w:rFonts w:hint="eastAsia" w:ascii="宋体" w:hAnsi="宋体" w:eastAsia="宋体" w:cs="宋体"/>
          <w:b/>
          <w:snapToGrid w:val="0"/>
          <w:color w:val="auto"/>
          <w:kern w:val="2"/>
          <w:sz w:val="22"/>
          <w:szCs w:val="22"/>
          <w:highlight w:val="none"/>
          <w:lang w:val="en-US" w:eastAsia="zh-CN" w:bidi="ar-SA"/>
        </w:rPr>
      </w:pPr>
      <w:bookmarkStart w:id="165" w:name="_Toc359839713"/>
      <w:bookmarkStart w:id="166" w:name="_Toc359839854"/>
      <w:bookmarkStart w:id="167" w:name="_Toc354478298"/>
      <w:bookmarkStart w:id="168" w:name="_Toc359839325"/>
      <w:bookmarkStart w:id="169" w:name="_Toc354478023"/>
      <w:bookmarkStart w:id="170" w:name="_Toc359838544"/>
      <w:bookmarkStart w:id="171" w:name="_Toc354494053"/>
      <w:r>
        <w:rPr>
          <w:rFonts w:hint="eastAsia" w:ascii="宋体" w:hAnsi="宋体" w:eastAsia="宋体" w:cs="宋体"/>
          <w:b/>
          <w:snapToGrid w:val="0"/>
          <w:color w:val="auto"/>
          <w:kern w:val="2"/>
          <w:sz w:val="22"/>
          <w:szCs w:val="22"/>
          <w:highlight w:val="none"/>
          <w:lang w:val="en-US" w:eastAsia="zh-CN" w:bidi="ar-SA"/>
        </w:rPr>
        <w:t>项目延误与终止</w:t>
      </w:r>
      <w:bookmarkEnd w:id="165"/>
      <w:bookmarkEnd w:id="166"/>
      <w:bookmarkEnd w:id="167"/>
      <w:bookmarkEnd w:id="168"/>
      <w:bookmarkEnd w:id="169"/>
      <w:bookmarkEnd w:id="170"/>
      <w:bookmarkEnd w:id="171"/>
    </w:p>
    <w:p w14:paraId="0C208E35">
      <w:pPr>
        <w:keepNext w:val="0"/>
        <w:keepLines w:val="0"/>
        <w:pageBreakBefore w:val="0"/>
        <w:widowControl w:val="0"/>
        <w:kinsoku/>
        <w:wordWrap/>
        <w:overflowPunct/>
        <w:topLinePunct w:val="0"/>
        <w:bidi w:val="0"/>
        <w:spacing w:before="0" w:after="0" w:line="400" w:lineRule="exact"/>
        <w:ind w:firstLine="426"/>
        <w:jc w:val="both"/>
        <w:textAlignment w:val="auto"/>
        <w:outlineLvl w:val="4"/>
        <w:rPr>
          <w:rFonts w:hint="eastAsia" w:ascii="宋体" w:hAnsi="宋体" w:eastAsia="宋体" w:cs="宋体"/>
          <w:b/>
          <w:bCs/>
          <w:snapToGrid w:val="0"/>
          <w:color w:val="auto"/>
          <w:kern w:val="2"/>
          <w:sz w:val="22"/>
          <w:szCs w:val="22"/>
          <w:highlight w:val="none"/>
          <w:lang w:val="en-US" w:eastAsia="zh-CN" w:bidi="ar-SA"/>
        </w:rPr>
      </w:pPr>
      <w:bookmarkStart w:id="172" w:name="_Toc354494054"/>
      <w:bookmarkStart w:id="173" w:name="_Toc354478299"/>
      <w:r>
        <w:rPr>
          <w:rFonts w:hint="eastAsia" w:ascii="宋体" w:hAnsi="宋体" w:eastAsia="宋体" w:cs="宋体"/>
          <w:b/>
          <w:bCs/>
          <w:snapToGrid w:val="0"/>
          <w:color w:val="auto"/>
          <w:kern w:val="2"/>
          <w:sz w:val="22"/>
          <w:szCs w:val="22"/>
          <w:highlight w:val="none"/>
          <w:lang w:val="en-US" w:eastAsia="zh-CN" w:bidi="ar-SA"/>
        </w:rPr>
        <w:t>13.1项目</w:t>
      </w:r>
      <w:r>
        <w:rPr>
          <w:rFonts w:hint="eastAsia" w:ascii="宋体" w:hAnsi="宋体" w:cs="宋体"/>
          <w:b/>
          <w:bCs/>
          <w:snapToGrid w:val="0"/>
          <w:color w:val="auto"/>
          <w:kern w:val="2"/>
          <w:sz w:val="22"/>
          <w:szCs w:val="22"/>
          <w:highlight w:val="none"/>
          <w:lang w:val="en-US" w:eastAsia="zh-CN" w:bidi="ar-SA"/>
        </w:rPr>
        <w:t>停止实施</w:t>
      </w:r>
      <w:r>
        <w:rPr>
          <w:rFonts w:hint="eastAsia" w:ascii="宋体" w:hAnsi="宋体" w:eastAsia="宋体" w:cs="宋体"/>
          <w:b/>
          <w:bCs/>
          <w:snapToGrid w:val="0"/>
          <w:color w:val="auto"/>
          <w:kern w:val="2"/>
          <w:sz w:val="22"/>
          <w:szCs w:val="22"/>
          <w:highlight w:val="none"/>
          <w:lang w:val="en-US" w:eastAsia="zh-CN" w:bidi="ar-SA"/>
        </w:rPr>
        <w:t>或</w:t>
      </w:r>
      <w:bookmarkEnd w:id="172"/>
      <w:bookmarkEnd w:id="173"/>
      <w:r>
        <w:rPr>
          <w:rFonts w:hint="eastAsia" w:ascii="宋体" w:hAnsi="宋体" w:cs="宋体"/>
          <w:b/>
          <w:bCs/>
          <w:snapToGrid w:val="0"/>
          <w:color w:val="auto"/>
          <w:kern w:val="2"/>
          <w:sz w:val="22"/>
          <w:szCs w:val="22"/>
          <w:highlight w:val="none"/>
          <w:lang w:val="en-US" w:eastAsia="zh-CN" w:bidi="ar-SA"/>
        </w:rPr>
        <w:t>延缓实施</w:t>
      </w:r>
    </w:p>
    <w:p w14:paraId="70A9516E">
      <w:pPr>
        <w:keepNext w:val="0"/>
        <w:keepLines w:val="0"/>
        <w:pageBreakBefore w:val="0"/>
        <w:widowControl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由于政策变化，不可抗力以及</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之外原因导致本项目</w:t>
      </w:r>
      <w:r>
        <w:rPr>
          <w:rFonts w:hint="eastAsia" w:ascii="宋体" w:hAnsi="宋体" w:cs="宋体"/>
          <w:color w:val="auto"/>
          <w:sz w:val="22"/>
          <w:szCs w:val="22"/>
          <w:highlight w:val="none"/>
          <w:lang w:eastAsia="zh-CN"/>
        </w:rPr>
        <w:t>停止实施</w:t>
      </w:r>
      <w:r>
        <w:rPr>
          <w:rFonts w:hint="eastAsia" w:ascii="宋体" w:hAnsi="宋体" w:eastAsia="宋体" w:cs="宋体"/>
          <w:color w:val="auto"/>
          <w:sz w:val="22"/>
          <w:szCs w:val="22"/>
          <w:highlight w:val="none"/>
        </w:rPr>
        <w:t>或</w:t>
      </w:r>
      <w:r>
        <w:rPr>
          <w:rFonts w:hint="eastAsia" w:ascii="宋体" w:hAnsi="宋体" w:cs="宋体"/>
          <w:color w:val="auto"/>
          <w:sz w:val="22"/>
          <w:szCs w:val="22"/>
          <w:highlight w:val="none"/>
          <w:lang w:eastAsia="zh-CN"/>
        </w:rPr>
        <w:t>延缓实施</w:t>
      </w:r>
      <w:r>
        <w:rPr>
          <w:rFonts w:hint="eastAsia" w:ascii="宋体" w:hAnsi="宋体" w:eastAsia="宋体" w:cs="宋体"/>
          <w:color w:val="auto"/>
          <w:sz w:val="22"/>
          <w:szCs w:val="22"/>
          <w:highlight w:val="none"/>
        </w:rPr>
        <w:t>，使合同不能继续履行，</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应负责做好已完</w:t>
      </w:r>
      <w:r>
        <w:rPr>
          <w:rFonts w:hint="eastAsia" w:ascii="宋体" w:hAnsi="宋体" w:eastAsia="宋体" w:cs="宋体"/>
          <w:color w:val="auto"/>
          <w:sz w:val="22"/>
          <w:szCs w:val="22"/>
          <w:highlight w:val="none"/>
          <w:lang w:val="en-US" w:eastAsia="zh-CN"/>
        </w:rPr>
        <w:t>项目</w:t>
      </w:r>
      <w:r>
        <w:rPr>
          <w:rFonts w:hint="eastAsia" w:ascii="宋体" w:hAnsi="宋体" w:eastAsia="宋体" w:cs="宋体"/>
          <w:color w:val="auto"/>
          <w:sz w:val="22"/>
          <w:szCs w:val="22"/>
          <w:highlight w:val="none"/>
        </w:rPr>
        <w:t>和已购材料、设备的保护和交付工作，按</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要求将自有的机械设备和人员撤出</w:t>
      </w:r>
      <w:r>
        <w:rPr>
          <w:rFonts w:hint="eastAsia" w:ascii="宋体" w:hAnsi="宋体" w:eastAsia="宋体" w:cs="宋体"/>
          <w:color w:val="auto"/>
          <w:sz w:val="22"/>
          <w:szCs w:val="22"/>
          <w:highlight w:val="none"/>
          <w:lang w:val="en-US" w:eastAsia="zh-CN"/>
        </w:rPr>
        <w:t>项目</w:t>
      </w:r>
      <w:r>
        <w:rPr>
          <w:rFonts w:hint="eastAsia" w:ascii="宋体" w:hAnsi="宋体" w:eastAsia="宋体" w:cs="宋体"/>
          <w:color w:val="auto"/>
          <w:sz w:val="22"/>
          <w:szCs w:val="22"/>
          <w:highlight w:val="none"/>
        </w:rPr>
        <w:t>现场。</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应为撤出提供必要条件，并承担经济支出。已经订货的材料、设备由订购方负责组织退货，不能退货的价款和退货发生的费用，由</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承担。</w:t>
      </w:r>
    </w:p>
    <w:p w14:paraId="36C85A5E">
      <w:pPr>
        <w:keepNext w:val="0"/>
        <w:keepLines w:val="0"/>
        <w:pageBreakBefore w:val="0"/>
        <w:widowControl w:val="0"/>
        <w:kinsoku/>
        <w:wordWrap/>
        <w:overflowPunct/>
        <w:topLinePunct w:val="0"/>
        <w:bidi w:val="0"/>
        <w:spacing w:before="0" w:after="0" w:line="400" w:lineRule="exact"/>
        <w:ind w:firstLine="426"/>
        <w:jc w:val="both"/>
        <w:textAlignment w:val="auto"/>
        <w:outlineLvl w:val="4"/>
        <w:rPr>
          <w:rFonts w:hint="eastAsia" w:ascii="宋体" w:hAnsi="宋体" w:eastAsia="宋体" w:cs="宋体"/>
          <w:b/>
          <w:bCs/>
          <w:snapToGrid w:val="0"/>
          <w:color w:val="auto"/>
          <w:kern w:val="2"/>
          <w:sz w:val="22"/>
          <w:szCs w:val="22"/>
          <w:highlight w:val="none"/>
          <w:lang w:val="en-US" w:eastAsia="zh-CN" w:bidi="ar-SA"/>
        </w:rPr>
      </w:pPr>
      <w:bookmarkStart w:id="174" w:name="_Toc354478300"/>
      <w:bookmarkStart w:id="175" w:name="_Toc354494055"/>
      <w:r>
        <w:rPr>
          <w:rFonts w:hint="eastAsia" w:ascii="宋体" w:hAnsi="宋体" w:eastAsia="宋体" w:cs="宋体"/>
          <w:b/>
          <w:bCs/>
          <w:snapToGrid w:val="0"/>
          <w:color w:val="auto"/>
          <w:kern w:val="2"/>
          <w:sz w:val="22"/>
          <w:szCs w:val="22"/>
          <w:highlight w:val="none"/>
          <w:lang w:val="en-US" w:eastAsia="zh-CN" w:bidi="ar-SA"/>
        </w:rPr>
        <w:t>13.2合同终止</w:t>
      </w:r>
      <w:bookmarkEnd w:id="174"/>
      <w:bookmarkEnd w:id="175"/>
    </w:p>
    <w:p w14:paraId="31B969BA">
      <w:pPr>
        <w:keepNext w:val="0"/>
        <w:keepLines w:val="0"/>
        <w:pageBreakBefore w:val="0"/>
        <w:widowControl w:val="0"/>
        <w:kinsoku/>
        <w:wordWrap/>
        <w:overflowPunct/>
        <w:topLinePunct w:val="0"/>
        <w:bidi w:val="0"/>
        <w:adjustRightInd w:val="0"/>
        <w:spacing w:line="400" w:lineRule="exact"/>
        <w:ind w:firstLine="442" w:firstLineChars="200"/>
        <w:textAlignment w:val="auto"/>
        <w:rPr>
          <w:rFonts w:hint="eastAsia" w:ascii="宋体" w:hAnsi="宋体" w:eastAsia="宋体" w:cs="宋体"/>
          <w:color w:val="auto"/>
          <w:sz w:val="22"/>
          <w:szCs w:val="22"/>
          <w:highlight w:val="none"/>
        </w:rPr>
      </w:pPr>
      <w:r>
        <w:rPr>
          <w:rFonts w:hint="eastAsia" w:ascii="宋体" w:hAnsi="宋体" w:eastAsia="宋体" w:cs="宋体"/>
          <w:b/>
          <w:color w:val="auto"/>
          <w:sz w:val="22"/>
          <w:szCs w:val="22"/>
          <w:highlight w:val="none"/>
        </w:rPr>
        <w:t>13.2.1</w:t>
      </w:r>
      <w:r>
        <w:rPr>
          <w:rFonts w:hint="eastAsia" w:ascii="宋体" w:hAnsi="宋体" w:eastAsia="宋体" w:cs="宋体"/>
          <w:color w:val="auto"/>
          <w:sz w:val="22"/>
          <w:szCs w:val="22"/>
          <w:highlight w:val="none"/>
        </w:rPr>
        <w:t>在下列情况下，</w:t>
      </w:r>
      <w:r>
        <w:rPr>
          <w:rFonts w:hint="eastAsia" w:ascii="宋体" w:hAnsi="宋体" w:eastAsia="宋体" w:cs="宋体"/>
          <w:color w:val="auto"/>
          <w:sz w:val="22"/>
          <w:szCs w:val="22"/>
          <w:highlight w:val="none"/>
          <w:lang w:eastAsia="zh-CN"/>
        </w:rPr>
        <w:t>甲方</w:t>
      </w:r>
      <w:r>
        <w:rPr>
          <w:rFonts w:hint="eastAsia" w:hAnsi="宋体" w:cs="宋体"/>
          <w:color w:val="auto"/>
          <w:sz w:val="22"/>
          <w:szCs w:val="22"/>
          <w:highlight w:val="none"/>
          <w:lang w:eastAsia="zh-CN"/>
        </w:rPr>
        <w:t>、</w:t>
      </w:r>
      <w:r>
        <w:rPr>
          <w:rFonts w:hint="eastAsia" w:hAnsi="宋体" w:cs="宋体"/>
          <w:color w:val="auto"/>
          <w:sz w:val="22"/>
          <w:szCs w:val="22"/>
          <w:highlight w:val="none"/>
          <w:lang w:val="en-US" w:eastAsia="zh-CN"/>
        </w:rPr>
        <w:t>丙方</w:t>
      </w:r>
      <w:r>
        <w:rPr>
          <w:rFonts w:hint="eastAsia" w:ascii="宋体" w:hAnsi="宋体" w:eastAsia="宋体" w:cs="宋体"/>
          <w:color w:val="auto"/>
          <w:sz w:val="22"/>
          <w:szCs w:val="22"/>
          <w:highlight w:val="none"/>
        </w:rPr>
        <w:t>可终止本合同：</w:t>
      </w:r>
    </w:p>
    <w:p w14:paraId="2BD8B490">
      <w:pPr>
        <w:keepNext w:val="0"/>
        <w:keepLines w:val="0"/>
        <w:pageBreakBefore w:val="0"/>
        <w:widowControl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（1）因</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原因，在本合同签订后90天内仍未提交规划设计送审稿；</w:t>
      </w:r>
    </w:p>
    <w:p w14:paraId="0FC6D845">
      <w:pPr>
        <w:keepNext w:val="0"/>
        <w:keepLines w:val="0"/>
        <w:pageBreakBefore w:val="0"/>
        <w:widowControl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（2）因</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原因</w:t>
      </w:r>
      <w:r>
        <w:rPr>
          <w:rFonts w:hint="eastAsia" w:ascii="宋体" w:hAnsi="宋体" w:eastAsia="宋体" w:cs="宋体"/>
          <w:color w:val="auto"/>
          <w:sz w:val="22"/>
          <w:szCs w:val="22"/>
          <w:highlight w:val="none"/>
          <w:lang w:eastAsia="zh-CN"/>
        </w:rPr>
        <w:t>服务期</w:t>
      </w:r>
      <w:r>
        <w:rPr>
          <w:rFonts w:hint="eastAsia" w:ascii="宋体" w:hAnsi="宋体" w:eastAsia="宋体" w:cs="宋体"/>
          <w:color w:val="auto"/>
          <w:sz w:val="22"/>
          <w:szCs w:val="22"/>
          <w:highlight w:val="none"/>
        </w:rPr>
        <w:t>严重滞后，监理人发出项目开工令后1个月内未进场</w:t>
      </w:r>
      <w:r>
        <w:rPr>
          <w:rFonts w:hint="eastAsia" w:ascii="宋体" w:hAnsi="宋体" w:eastAsia="宋体" w:cs="宋体"/>
          <w:color w:val="auto"/>
          <w:sz w:val="22"/>
          <w:szCs w:val="22"/>
          <w:highlight w:val="none"/>
          <w:lang w:val="en-US" w:eastAsia="zh-CN"/>
        </w:rPr>
        <w:t>实施</w:t>
      </w:r>
      <w:r>
        <w:rPr>
          <w:rFonts w:hint="eastAsia" w:ascii="宋体" w:hAnsi="宋体" w:eastAsia="宋体" w:cs="宋体"/>
          <w:color w:val="auto"/>
          <w:sz w:val="22"/>
          <w:szCs w:val="22"/>
          <w:highlight w:val="none"/>
        </w:rPr>
        <w:t>；</w:t>
      </w:r>
    </w:p>
    <w:p w14:paraId="53FDB0B3">
      <w:pPr>
        <w:keepNext w:val="0"/>
        <w:keepLines w:val="0"/>
        <w:pageBreakBefore w:val="0"/>
        <w:widowControl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（3）因</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违约导致本合同无法继续履行；</w:t>
      </w:r>
    </w:p>
    <w:p w14:paraId="5F522071">
      <w:pPr>
        <w:keepNext w:val="0"/>
        <w:keepLines w:val="0"/>
        <w:pageBreakBefore w:val="0"/>
        <w:widowControl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（4）</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以书面形式通知</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已终止</w:t>
      </w:r>
      <w:r>
        <w:rPr>
          <w:rFonts w:hint="eastAsia" w:ascii="宋体" w:hAnsi="宋体" w:eastAsia="宋体" w:cs="宋体"/>
          <w:color w:val="auto"/>
          <w:sz w:val="22"/>
          <w:szCs w:val="22"/>
          <w:highlight w:val="none"/>
          <w:lang w:val="en-US" w:eastAsia="zh-CN"/>
        </w:rPr>
        <w:t>项目</w:t>
      </w:r>
      <w:r>
        <w:rPr>
          <w:rFonts w:hint="eastAsia" w:ascii="宋体" w:hAnsi="宋体" w:eastAsia="宋体" w:cs="宋体"/>
          <w:color w:val="auto"/>
          <w:sz w:val="22"/>
          <w:szCs w:val="22"/>
          <w:highlight w:val="none"/>
        </w:rPr>
        <w:t>且不打算重新开始；</w:t>
      </w:r>
    </w:p>
    <w:p w14:paraId="447175C9">
      <w:pPr>
        <w:keepNext w:val="0"/>
        <w:keepLines w:val="0"/>
        <w:pageBreakBefore w:val="0"/>
        <w:widowControl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（5）因不可抗力原因造成</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无法实施；</w:t>
      </w:r>
    </w:p>
    <w:p w14:paraId="4C7E124D">
      <w:pPr>
        <w:keepNext w:val="0"/>
        <w:keepLines w:val="0"/>
        <w:pageBreakBefore w:val="0"/>
        <w:widowControl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（6）</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未经</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许可擅自转让本合同</w:t>
      </w:r>
      <w:r>
        <w:rPr>
          <w:rFonts w:hint="eastAsia" w:ascii="宋体" w:hAnsi="宋体" w:eastAsia="宋体" w:cs="宋体"/>
          <w:color w:val="auto"/>
          <w:sz w:val="22"/>
          <w:szCs w:val="22"/>
          <w:highlight w:val="none"/>
          <w:lang w:val="en-US" w:eastAsia="zh-CN"/>
        </w:rPr>
        <w:t>项目</w:t>
      </w:r>
      <w:r>
        <w:rPr>
          <w:rFonts w:hint="eastAsia" w:ascii="宋体" w:hAnsi="宋体" w:eastAsia="宋体" w:cs="宋体"/>
          <w:color w:val="auto"/>
          <w:sz w:val="22"/>
          <w:szCs w:val="22"/>
          <w:highlight w:val="none"/>
        </w:rPr>
        <w:t>。</w:t>
      </w:r>
    </w:p>
    <w:p w14:paraId="5915F000">
      <w:pPr>
        <w:keepNext w:val="0"/>
        <w:keepLines w:val="0"/>
        <w:pageBreakBefore w:val="0"/>
        <w:widowControl w:val="0"/>
        <w:kinsoku/>
        <w:wordWrap/>
        <w:overflowPunct/>
        <w:topLinePunct w:val="0"/>
        <w:bidi w:val="0"/>
        <w:adjustRightInd w:val="0"/>
        <w:spacing w:line="400" w:lineRule="exact"/>
        <w:ind w:firstLine="442" w:firstLineChars="200"/>
        <w:textAlignment w:val="auto"/>
        <w:rPr>
          <w:rFonts w:hint="eastAsia" w:ascii="宋体" w:hAnsi="宋体" w:eastAsia="宋体" w:cs="宋体"/>
          <w:color w:val="auto"/>
          <w:sz w:val="22"/>
          <w:szCs w:val="22"/>
          <w:highlight w:val="none"/>
        </w:rPr>
      </w:pPr>
      <w:r>
        <w:rPr>
          <w:rFonts w:hint="eastAsia" w:ascii="宋体" w:hAnsi="宋体" w:eastAsia="宋体" w:cs="宋体"/>
          <w:b/>
          <w:color w:val="auto"/>
          <w:sz w:val="22"/>
          <w:szCs w:val="22"/>
          <w:highlight w:val="none"/>
        </w:rPr>
        <w:t>13.2.2</w:t>
      </w:r>
      <w:r>
        <w:rPr>
          <w:rFonts w:hint="eastAsia" w:ascii="宋体" w:hAnsi="宋体" w:eastAsia="宋体" w:cs="宋体"/>
          <w:color w:val="auto"/>
          <w:sz w:val="22"/>
          <w:szCs w:val="22"/>
          <w:highlight w:val="none"/>
        </w:rPr>
        <w:t>在下列情况下，</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可终止本合同：</w:t>
      </w:r>
    </w:p>
    <w:p w14:paraId="0B515A2E">
      <w:pPr>
        <w:keepNext w:val="0"/>
        <w:keepLines w:val="0"/>
        <w:pageBreakBefore w:val="0"/>
        <w:widowControl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（1）</w:t>
      </w:r>
      <w:r>
        <w:rPr>
          <w:rFonts w:hint="eastAsia" w:hAnsi="宋体" w:cs="宋体"/>
          <w:color w:val="auto"/>
          <w:sz w:val="22"/>
          <w:szCs w:val="22"/>
          <w:highlight w:val="none"/>
          <w:lang w:val="en-US" w:eastAsia="zh-CN"/>
        </w:rPr>
        <w:t>丙</w:t>
      </w:r>
      <w:r>
        <w:rPr>
          <w:rFonts w:hint="eastAsia" w:ascii="宋体" w:hAnsi="宋体" w:eastAsia="宋体" w:cs="宋体"/>
          <w:color w:val="auto"/>
          <w:sz w:val="22"/>
          <w:szCs w:val="22"/>
          <w:highlight w:val="none"/>
          <w:lang w:eastAsia="zh-CN"/>
        </w:rPr>
        <w:t>方</w:t>
      </w:r>
      <w:r>
        <w:rPr>
          <w:rFonts w:hint="eastAsia" w:ascii="宋体" w:hAnsi="宋体" w:eastAsia="宋体" w:cs="宋体"/>
          <w:color w:val="auto"/>
          <w:sz w:val="22"/>
          <w:szCs w:val="22"/>
          <w:highlight w:val="none"/>
        </w:rPr>
        <w:t>不能按合同约定及时支付</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应得的合同价款；</w:t>
      </w:r>
    </w:p>
    <w:p w14:paraId="5DF894D4">
      <w:pPr>
        <w:keepNext w:val="0"/>
        <w:keepLines w:val="0"/>
        <w:pageBreakBefore w:val="0"/>
        <w:widowControl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（2）因</w:t>
      </w:r>
      <w:r>
        <w:rPr>
          <w:rFonts w:hint="eastAsia" w:hAnsi="宋体" w:cs="宋体"/>
          <w:color w:val="auto"/>
          <w:sz w:val="22"/>
          <w:szCs w:val="22"/>
          <w:highlight w:val="none"/>
          <w:lang w:val="en-US" w:eastAsia="zh-CN"/>
        </w:rPr>
        <w:t>甲方、丙</w:t>
      </w:r>
      <w:r>
        <w:rPr>
          <w:rFonts w:hint="eastAsia" w:ascii="宋体" w:hAnsi="宋体" w:eastAsia="宋体" w:cs="宋体"/>
          <w:color w:val="auto"/>
          <w:sz w:val="22"/>
          <w:szCs w:val="22"/>
          <w:highlight w:val="none"/>
          <w:lang w:eastAsia="zh-CN"/>
        </w:rPr>
        <w:t>方</w:t>
      </w:r>
      <w:r>
        <w:rPr>
          <w:rFonts w:hint="eastAsia" w:ascii="宋体" w:hAnsi="宋体" w:eastAsia="宋体" w:cs="宋体"/>
          <w:color w:val="auto"/>
          <w:sz w:val="22"/>
          <w:szCs w:val="22"/>
          <w:highlight w:val="none"/>
        </w:rPr>
        <w:t>违约的原因影响</w:t>
      </w:r>
      <w:r>
        <w:rPr>
          <w:rFonts w:hint="eastAsia" w:ascii="宋体" w:hAnsi="宋体" w:eastAsia="宋体" w:cs="宋体"/>
          <w:color w:val="auto"/>
          <w:sz w:val="22"/>
          <w:szCs w:val="22"/>
          <w:highlight w:val="none"/>
          <w:lang w:val="en-US" w:eastAsia="zh-CN"/>
        </w:rPr>
        <w:t>项目</w:t>
      </w:r>
      <w:r>
        <w:rPr>
          <w:rFonts w:hint="eastAsia" w:ascii="宋体" w:hAnsi="宋体" w:eastAsia="宋体" w:cs="宋体"/>
          <w:color w:val="auto"/>
          <w:sz w:val="22"/>
          <w:szCs w:val="22"/>
          <w:highlight w:val="none"/>
        </w:rPr>
        <w:t>的</w:t>
      </w:r>
      <w:r>
        <w:rPr>
          <w:rFonts w:hint="eastAsia" w:ascii="宋体" w:hAnsi="宋体" w:cs="宋体"/>
          <w:color w:val="auto"/>
          <w:sz w:val="22"/>
          <w:szCs w:val="22"/>
          <w:highlight w:val="none"/>
          <w:lang w:eastAsia="zh-CN"/>
        </w:rPr>
        <w:t>实施</w:t>
      </w:r>
      <w:r>
        <w:rPr>
          <w:rFonts w:hint="eastAsia" w:ascii="宋体" w:hAnsi="宋体" w:eastAsia="宋体" w:cs="宋体"/>
          <w:color w:val="auto"/>
          <w:sz w:val="22"/>
          <w:szCs w:val="22"/>
          <w:highlight w:val="none"/>
        </w:rPr>
        <w:t>，使</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无法正常履行本合同。</w:t>
      </w:r>
    </w:p>
    <w:p w14:paraId="6DAB9600">
      <w:pPr>
        <w:keepNext w:val="0"/>
        <w:keepLines w:val="0"/>
        <w:pageBreakBefore w:val="0"/>
        <w:widowControl w:val="0"/>
        <w:kinsoku/>
        <w:wordWrap/>
        <w:overflowPunct/>
        <w:topLinePunct w:val="0"/>
        <w:bidi w:val="0"/>
        <w:spacing w:before="0" w:after="0" w:line="400" w:lineRule="exact"/>
        <w:ind w:firstLine="426"/>
        <w:jc w:val="both"/>
        <w:textAlignment w:val="auto"/>
        <w:outlineLvl w:val="4"/>
        <w:rPr>
          <w:rFonts w:hint="eastAsia" w:ascii="宋体" w:hAnsi="宋体" w:eastAsia="宋体" w:cs="宋体"/>
          <w:b/>
          <w:bCs/>
          <w:snapToGrid w:val="0"/>
          <w:color w:val="auto"/>
          <w:kern w:val="2"/>
          <w:sz w:val="22"/>
          <w:szCs w:val="22"/>
          <w:highlight w:val="none"/>
          <w:lang w:val="en-US" w:eastAsia="zh-CN" w:bidi="ar-SA"/>
        </w:rPr>
      </w:pPr>
      <w:bookmarkStart w:id="176" w:name="_Toc354478301"/>
      <w:bookmarkStart w:id="177" w:name="_Toc354494056"/>
      <w:r>
        <w:rPr>
          <w:rFonts w:hint="eastAsia" w:ascii="宋体" w:hAnsi="宋体" w:eastAsia="宋体" w:cs="宋体"/>
          <w:b/>
          <w:bCs/>
          <w:snapToGrid w:val="0"/>
          <w:color w:val="auto"/>
          <w:kern w:val="2"/>
          <w:sz w:val="22"/>
          <w:szCs w:val="22"/>
          <w:highlight w:val="none"/>
          <w:lang w:val="en-US" w:eastAsia="zh-CN" w:bidi="ar-SA"/>
        </w:rPr>
        <w:t>13.3终止合同时的估价</w:t>
      </w:r>
      <w:bookmarkEnd w:id="176"/>
      <w:bookmarkEnd w:id="177"/>
    </w:p>
    <w:p w14:paraId="16272D00">
      <w:pPr>
        <w:keepNext w:val="0"/>
        <w:keepLines w:val="0"/>
        <w:pageBreakBefore w:val="0"/>
        <w:widowControl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本合同终止后，</w:t>
      </w:r>
      <w:r>
        <w:rPr>
          <w:rFonts w:hint="eastAsia" w:hAnsi="宋体" w:cs="宋体"/>
          <w:color w:val="auto"/>
          <w:sz w:val="22"/>
          <w:szCs w:val="22"/>
          <w:highlight w:val="none"/>
          <w:lang w:val="en-US" w:eastAsia="zh-CN"/>
        </w:rPr>
        <w:t>三方</w:t>
      </w:r>
      <w:r>
        <w:rPr>
          <w:rFonts w:hint="eastAsia" w:ascii="宋体" w:hAnsi="宋体" w:eastAsia="宋体" w:cs="宋体"/>
          <w:color w:val="auto"/>
          <w:sz w:val="22"/>
          <w:szCs w:val="22"/>
          <w:highlight w:val="none"/>
        </w:rPr>
        <w:t>应在本合同终止之日起30日内共同确定投资文件、财务文件、</w:t>
      </w:r>
      <w:r>
        <w:rPr>
          <w:rFonts w:hint="eastAsia" w:ascii="宋体" w:hAnsi="宋体" w:eastAsia="宋体" w:cs="宋体"/>
          <w:color w:val="auto"/>
          <w:sz w:val="22"/>
          <w:szCs w:val="22"/>
          <w:highlight w:val="none"/>
          <w:lang w:val="en-US" w:eastAsia="zh-CN"/>
        </w:rPr>
        <w:t>实施</w:t>
      </w:r>
      <w:r>
        <w:rPr>
          <w:rFonts w:hint="eastAsia" w:ascii="宋体" w:hAnsi="宋体" w:eastAsia="宋体" w:cs="宋体"/>
          <w:color w:val="auto"/>
          <w:sz w:val="22"/>
          <w:szCs w:val="22"/>
          <w:highlight w:val="none"/>
        </w:rPr>
        <w:t>文件、设备、材料、</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的设备和</w:t>
      </w:r>
      <w:r>
        <w:rPr>
          <w:rFonts w:hint="eastAsia" w:ascii="宋体" w:hAnsi="宋体" w:eastAsia="宋体" w:cs="宋体"/>
          <w:color w:val="auto"/>
          <w:sz w:val="22"/>
          <w:szCs w:val="22"/>
          <w:highlight w:val="none"/>
          <w:lang w:val="en-US" w:eastAsia="zh-CN"/>
        </w:rPr>
        <w:t>项目</w:t>
      </w:r>
      <w:r>
        <w:rPr>
          <w:rFonts w:hint="eastAsia" w:ascii="宋体" w:hAnsi="宋体" w:eastAsia="宋体" w:cs="宋体"/>
          <w:color w:val="auto"/>
          <w:sz w:val="22"/>
          <w:szCs w:val="22"/>
          <w:highlight w:val="none"/>
        </w:rPr>
        <w:t>的价值，以及到终止合同日期为止</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应得到的所有款项。</w:t>
      </w:r>
    </w:p>
    <w:p w14:paraId="60ADE197">
      <w:pPr>
        <w:keepNext w:val="0"/>
        <w:keepLines w:val="0"/>
        <w:pageBreakBefore w:val="0"/>
        <w:widowControl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因</w:t>
      </w:r>
      <w:r>
        <w:rPr>
          <w:rFonts w:hint="eastAsia" w:hAnsi="宋体" w:cs="宋体"/>
          <w:color w:val="auto"/>
          <w:sz w:val="22"/>
          <w:szCs w:val="22"/>
          <w:highlight w:val="none"/>
          <w:lang w:val="en-US" w:eastAsia="zh-CN"/>
        </w:rPr>
        <w:t>甲方、丙</w:t>
      </w:r>
      <w:r>
        <w:rPr>
          <w:rFonts w:hint="eastAsia" w:ascii="宋体" w:hAnsi="宋体" w:eastAsia="宋体" w:cs="宋体"/>
          <w:color w:val="auto"/>
          <w:sz w:val="22"/>
          <w:szCs w:val="22"/>
          <w:highlight w:val="none"/>
          <w:lang w:eastAsia="zh-CN"/>
        </w:rPr>
        <w:t>方</w:t>
      </w:r>
      <w:r>
        <w:rPr>
          <w:rFonts w:hint="eastAsia" w:ascii="宋体" w:hAnsi="宋体" w:eastAsia="宋体" w:cs="宋体"/>
          <w:color w:val="auto"/>
          <w:sz w:val="22"/>
          <w:szCs w:val="22"/>
          <w:highlight w:val="none"/>
        </w:rPr>
        <w:t>的原因导致合同终止的，在违约方按规定承担违约责任以后，按照已完成的合格</w:t>
      </w:r>
      <w:r>
        <w:rPr>
          <w:rFonts w:hint="eastAsia" w:ascii="宋体" w:hAnsi="宋体" w:eastAsia="宋体" w:cs="宋体"/>
          <w:color w:val="auto"/>
          <w:sz w:val="22"/>
          <w:szCs w:val="22"/>
          <w:highlight w:val="none"/>
          <w:lang w:val="en-US" w:eastAsia="zh-CN"/>
        </w:rPr>
        <w:t>实施工作量</w:t>
      </w:r>
      <w:r>
        <w:rPr>
          <w:rFonts w:hint="eastAsia" w:ascii="宋体" w:hAnsi="宋体" w:eastAsia="宋体" w:cs="宋体"/>
          <w:color w:val="auto"/>
          <w:sz w:val="22"/>
          <w:szCs w:val="22"/>
          <w:highlight w:val="none"/>
        </w:rPr>
        <w:t>并经审价后的</w:t>
      </w:r>
      <w:r>
        <w:rPr>
          <w:rFonts w:hint="eastAsia" w:ascii="宋体" w:hAnsi="宋体" w:eastAsia="宋体" w:cs="宋体"/>
          <w:color w:val="auto"/>
          <w:sz w:val="22"/>
          <w:szCs w:val="22"/>
          <w:highlight w:val="none"/>
          <w:lang w:eastAsia="zh-CN"/>
        </w:rPr>
        <w:t>项目实施费用</w:t>
      </w:r>
      <w:r>
        <w:rPr>
          <w:rFonts w:hint="eastAsia" w:ascii="宋体" w:hAnsi="宋体" w:eastAsia="宋体" w:cs="宋体"/>
          <w:color w:val="auto"/>
          <w:sz w:val="22"/>
          <w:szCs w:val="22"/>
          <w:highlight w:val="none"/>
        </w:rPr>
        <w:t>包干价的100%确定作为合同终止后的合同价款。</w:t>
      </w:r>
    </w:p>
    <w:p w14:paraId="75A4D991">
      <w:pPr>
        <w:keepNext w:val="0"/>
        <w:keepLines w:val="0"/>
        <w:pageBreakBefore w:val="0"/>
        <w:widowControl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因</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的原因导致合同终止的，在按规定承担违约责任以后，按照已完成的合格</w:t>
      </w:r>
      <w:r>
        <w:rPr>
          <w:rFonts w:hint="eastAsia" w:ascii="宋体" w:hAnsi="宋体" w:eastAsia="宋体" w:cs="宋体"/>
          <w:color w:val="auto"/>
          <w:sz w:val="22"/>
          <w:szCs w:val="22"/>
          <w:highlight w:val="none"/>
          <w:lang w:val="en-US" w:eastAsia="zh-CN"/>
        </w:rPr>
        <w:t>实施工作量</w:t>
      </w:r>
      <w:r>
        <w:rPr>
          <w:rFonts w:hint="eastAsia" w:ascii="宋体" w:hAnsi="宋体" w:eastAsia="宋体" w:cs="宋体"/>
          <w:color w:val="auto"/>
          <w:sz w:val="22"/>
          <w:szCs w:val="22"/>
          <w:highlight w:val="none"/>
        </w:rPr>
        <w:t>并经审价后的</w:t>
      </w:r>
      <w:r>
        <w:rPr>
          <w:rFonts w:hint="eastAsia" w:ascii="宋体" w:hAnsi="宋体" w:eastAsia="宋体" w:cs="宋体"/>
          <w:color w:val="auto"/>
          <w:sz w:val="22"/>
          <w:szCs w:val="22"/>
          <w:highlight w:val="none"/>
          <w:lang w:eastAsia="zh-CN"/>
        </w:rPr>
        <w:t>项目实施费用</w:t>
      </w:r>
      <w:r>
        <w:rPr>
          <w:rFonts w:hint="eastAsia" w:ascii="宋体" w:hAnsi="宋体" w:eastAsia="宋体" w:cs="宋体"/>
          <w:color w:val="auto"/>
          <w:sz w:val="22"/>
          <w:szCs w:val="22"/>
          <w:highlight w:val="none"/>
        </w:rPr>
        <w:t>包干价的85%确定作为合同终止后的合同价款。</w:t>
      </w:r>
    </w:p>
    <w:p w14:paraId="74B11AE3">
      <w:pPr>
        <w:keepNext w:val="0"/>
        <w:keepLines w:val="0"/>
        <w:pageBreakBefore w:val="0"/>
        <w:widowControl w:val="0"/>
        <w:kinsoku/>
        <w:wordWrap/>
        <w:overflowPunct/>
        <w:topLinePunct w:val="0"/>
        <w:bidi w:val="0"/>
        <w:spacing w:before="0" w:after="0" w:line="400" w:lineRule="exact"/>
        <w:ind w:firstLine="426"/>
        <w:jc w:val="both"/>
        <w:textAlignment w:val="auto"/>
        <w:outlineLvl w:val="4"/>
        <w:rPr>
          <w:rFonts w:hint="eastAsia" w:ascii="宋体" w:hAnsi="宋体" w:eastAsia="宋体" w:cs="宋体"/>
          <w:b/>
          <w:bCs/>
          <w:snapToGrid w:val="0"/>
          <w:color w:val="auto"/>
          <w:kern w:val="2"/>
          <w:sz w:val="22"/>
          <w:szCs w:val="22"/>
          <w:highlight w:val="none"/>
          <w:lang w:val="en-US" w:eastAsia="zh-CN" w:bidi="ar-SA"/>
        </w:rPr>
      </w:pPr>
      <w:bookmarkStart w:id="178" w:name="_Toc354478302"/>
      <w:bookmarkStart w:id="179" w:name="_Toc354494057"/>
      <w:r>
        <w:rPr>
          <w:rFonts w:hint="eastAsia" w:ascii="宋体" w:hAnsi="宋体" w:eastAsia="宋体" w:cs="宋体"/>
          <w:b/>
          <w:bCs/>
          <w:snapToGrid w:val="0"/>
          <w:color w:val="auto"/>
          <w:kern w:val="2"/>
          <w:sz w:val="22"/>
          <w:szCs w:val="22"/>
          <w:highlight w:val="none"/>
          <w:lang w:val="en-US" w:eastAsia="zh-CN" w:bidi="ar-SA"/>
        </w:rPr>
        <w:t>13.4终止后的支付</w:t>
      </w:r>
      <w:bookmarkEnd w:id="178"/>
      <w:bookmarkEnd w:id="179"/>
    </w:p>
    <w:p w14:paraId="5830923C">
      <w:pPr>
        <w:keepNext w:val="0"/>
        <w:keepLines w:val="0"/>
        <w:pageBreakBefore w:val="0"/>
        <w:widowControl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合同终止的，</w:t>
      </w:r>
      <w:r>
        <w:rPr>
          <w:rFonts w:hint="eastAsia" w:hAnsi="宋体" w:cs="宋体"/>
          <w:color w:val="auto"/>
          <w:sz w:val="22"/>
          <w:szCs w:val="22"/>
          <w:highlight w:val="none"/>
          <w:lang w:val="en-US" w:eastAsia="zh-CN"/>
        </w:rPr>
        <w:t>丙</w:t>
      </w:r>
      <w:r>
        <w:rPr>
          <w:rFonts w:hint="eastAsia" w:ascii="宋体" w:hAnsi="宋体" w:eastAsia="宋体" w:cs="宋体"/>
          <w:color w:val="auto"/>
          <w:sz w:val="22"/>
          <w:szCs w:val="22"/>
          <w:highlight w:val="none"/>
          <w:lang w:eastAsia="zh-CN"/>
        </w:rPr>
        <w:t>方</w:t>
      </w:r>
      <w:r>
        <w:rPr>
          <w:rFonts w:hint="eastAsia" w:ascii="宋体" w:hAnsi="宋体" w:eastAsia="宋体" w:cs="宋体"/>
          <w:color w:val="auto"/>
          <w:sz w:val="22"/>
          <w:szCs w:val="22"/>
          <w:highlight w:val="none"/>
        </w:rPr>
        <w:t>应在本合同终止日起并经审价后3个月内向</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支付应得的所有款项。</w:t>
      </w:r>
    </w:p>
    <w:p w14:paraId="230028EE">
      <w:pPr>
        <w:keepNext w:val="0"/>
        <w:keepLines w:val="0"/>
        <w:pageBreakBefore w:val="0"/>
        <w:widowControl w:val="0"/>
        <w:kinsoku/>
        <w:wordWrap/>
        <w:overflowPunct/>
        <w:topLinePunct w:val="0"/>
        <w:bidi w:val="0"/>
        <w:spacing w:before="0" w:after="0" w:line="400" w:lineRule="exact"/>
        <w:ind w:firstLine="480"/>
        <w:jc w:val="both"/>
        <w:textAlignment w:val="auto"/>
        <w:outlineLvl w:val="4"/>
        <w:rPr>
          <w:rFonts w:hint="eastAsia" w:ascii="宋体" w:hAnsi="宋体" w:eastAsia="宋体" w:cs="宋体"/>
          <w:b/>
          <w:bCs/>
          <w:snapToGrid w:val="0"/>
          <w:color w:val="auto"/>
          <w:kern w:val="2"/>
          <w:sz w:val="22"/>
          <w:szCs w:val="22"/>
          <w:highlight w:val="none"/>
          <w:lang w:val="en-US" w:eastAsia="zh-CN" w:bidi="ar-SA"/>
        </w:rPr>
      </w:pPr>
      <w:bookmarkStart w:id="180" w:name="_Toc354494058"/>
      <w:bookmarkStart w:id="181" w:name="_Toc354478303"/>
      <w:r>
        <w:rPr>
          <w:rFonts w:hint="eastAsia" w:ascii="宋体" w:hAnsi="宋体" w:eastAsia="宋体" w:cs="宋体"/>
          <w:b/>
          <w:bCs/>
          <w:snapToGrid w:val="0"/>
          <w:color w:val="auto"/>
          <w:kern w:val="2"/>
          <w:sz w:val="22"/>
          <w:szCs w:val="22"/>
          <w:highlight w:val="none"/>
          <w:lang w:val="en-US" w:eastAsia="zh-CN" w:bidi="ar-SA"/>
        </w:rPr>
        <w:t>13.5合同的取消</w:t>
      </w:r>
      <w:bookmarkEnd w:id="180"/>
      <w:bookmarkEnd w:id="181"/>
    </w:p>
    <w:p w14:paraId="5886AD1D">
      <w:pPr>
        <w:keepNext w:val="0"/>
        <w:keepLines w:val="0"/>
        <w:pageBreakBefore w:val="0"/>
        <w:widowControl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如果一方违约，事先订立的而且在交付时仍然有效的任何设备采购合同、供货合同及所有其它合同应由违约方予以解除，违约方对因此而产生的任何解除费用负赔偿责任。</w:t>
      </w:r>
    </w:p>
    <w:p w14:paraId="229E8823">
      <w:pPr>
        <w:keepNext w:val="0"/>
        <w:keepLines w:val="0"/>
        <w:pageBreakBefore w:val="0"/>
        <w:widowControl w:val="0"/>
        <w:kinsoku/>
        <w:wordWrap/>
        <w:overflowPunct/>
        <w:topLinePunct w:val="0"/>
        <w:bidi w:val="0"/>
        <w:spacing w:before="0" w:after="0" w:line="400" w:lineRule="exact"/>
        <w:ind w:firstLine="426"/>
        <w:jc w:val="both"/>
        <w:textAlignment w:val="auto"/>
        <w:outlineLvl w:val="4"/>
        <w:rPr>
          <w:rFonts w:hint="eastAsia" w:ascii="宋体" w:hAnsi="宋体" w:eastAsia="宋体" w:cs="宋体"/>
          <w:b/>
          <w:bCs/>
          <w:snapToGrid w:val="0"/>
          <w:color w:val="auto"/>
          <w:kern w:val="2"/>
          <w:sz w:val="22"/>
          <w:szCs w:val="22"/>
          <w:highlight w:val="none"/>
          <w:lang w:val="en-US" w:eastAsia="zh-CN" w:bidi="ar-SA"/>
        </w:rPr>
      </w:pPr>
      <w:bookmarkStart w:id="182" w:name="_Toc354478304"/>
      <w:bookmarkStart w:id="183" w:name="_Toc354494059"/>
      <w:r>
        <w:rPr>
          <w:rFonts w:hint="eastAsia" w:ascii="宋体" w:hAnsi="宋体" w:eastAsia="宋体" w:cs="宋体"/>
          <w:b/>
          <w:bCs/>
          <w:snapToGrid w:val="0"/>
          <w:color w:val="auto"/>
          <w:kern w:val="2"/>
          <w:sz w:val="22"/>
          <w:szCs w:val="22"/>
          <w:highlight w:val="none"/>
          <w:lang w:val="en-US" w:eastAsia="zh-CN" w:bidi="ar-SA"/>
        </w:rPr>
        <w:t>13.6不可抗力及影响</w:t>
      </w:r>
      <w:bookmarkEnd w:id="182"/>
      <w:bookmarkEnd w:id="183"/>
    </w:p>
    <w:p w14:paraId="3B46858B">
      <w:pPr>
        <w:keepNext w:val="0"/>
        <w:keepLines w:val="0"/>
        <w:pageBreakBefore w:val="0"/>
        <w:widowControl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任何一方由于出现不可抗力事件使该方未能全部或部分履行其本合同项下的义务时，如果该事件在签订本合同时是不能合理预见的，该事件的后果是不能克服和不能避免的，该方应有权中止履行本合同项下的义务。不可抗力应包括下列事件：</w:t>
      </w:r>
    </w:p>
    <w:p w14:paraId="1679A3A2">
      <w:pPr>
        <w:keepNext w:val="0"/>
        <w:keepLines w:val="0"/>
        <w:pageBreakBefore w:val="0"/>
        <w:widowControl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（1）闪电、地震、地沉、地隆、山崩、飓风、风暴、火灾、海啸、泥石流、洪水、旱灾、陨石撞击和火山爆发，或其他天灾；</w:t>
      </w:r>
    </w:p>
    <w:p w14:paraId="5225C278">
      <w:pPr>
        <w:keepNext w:val="0"/>
        <w:keepLines w:val="0"/>
        <w:pageBreakBefore w:val="0"/>
        <w:widowControl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（2）战争行为、入侵、武装冲突或外敌行为、封锁、暴乱、恐怖行为；</w:t>
      </w:r>
    </w:p>
    <w:p w14:paraId="0D378E10">
      <w:pPr>
        <w:keepNext w:val="0"/>
        <w:keepLines w:val="0"/>
        <w:pageBreakBefore w:val="0"/>
        <w:widowControl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（3）由于任何爆炸性核装置或其核部件的任何核燃料或核燃料燃烧后的核废物、放射性有毒炸药，或其他有害物质所引起的放射性污染；</w:t>
      </w:r>
    </w:p>
    <w:p w14:paraId="582165BA">
      <w:pPr>
        <w:keepNext w:val="0"/>
        <w:keepLines w:val="0"/>
        <w:pageBreakBefore w:val="0"/>
        <w:widowControl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（4）政府部门对项目或其任何部分实行的没收、征用、充公或国有化；</w:t>
      </w:r>
    </w:p>
    <w:p w14:paraId="256BEC70">
      <w:pPr>
        <w:keepNext w:val="0"/>
        <w:keepLines w:val="0"/>
        <w:pageBreakBefore w:val="0"/>
        <w:widowControl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若发生上款所述的不可抗力导致一方无法履行本项目合同项下的义务，该方有权中止履行。前述不可抗力只有在宣称受到不可抗力影响的一方在合同订立时不能在合理范围内预见到这种情况或不能在合理范围内避免或克服这种情况或其后果时才构成暂停权。宣称不可抗力情况的一方应在不可抗力情况不再存在后尽快恢复对其根据本合同所承担的义务的履行。</w:t>
      </w:r>
    </w:p>
    <w:p w14:paraId="552AF9FA">
      <w:pPr>
        <w:keepNext w:val="0"/>
        <w:keepLines w:val="0"/>
        <w:pageBreakBefore w:val="0"/>
        <w:widowControl w:val="0"/>
        <w:kinsoku/>
        <w:wordWrap/>
        <w:overflowPunct/>
        <w:topLinePunct w:val="0"/>
        <w:bidi w:val="0"/>
        <w:spacing w:before="0" w:after="0" w:line="400" w:lineRule="exact"/>
        <w:ind w:firstLine="426"/>
        <w:jc w:val="both"/>
        <w:textAlignment w:val="auto"/>
        <w:outlineLvl w:val="4"/>
        <w:rPr>
          <w:rFonts w:hint="eastAsia" w:ascii="宋体" w:hAnsi="宋体" w:eastAsia="宋体" w:cs="宋体"/>
          <w:b/>
          <w:bCs/>
          <w:snapToGrid w:val="0"/>
          <w:color w:val="auto"/>
          <w:kern w:val="2"/>
          <w:sz w:val="22"/>
          <w:szCs w:val="22"/>
          <w:highlight w:val="none"/>
          <w:lang w:val="en-US" w:eastAsia="zh-CN" w:bidi="ar-SA"/>
        </w:rPr>
      </w:pPr>
      <w:bookmarkStart w:id="184" w:name="_Toc354478305"/>
      <w:bookmarkStart w:id="185" w:name="_Toc354494060"/>
      <w:r>
        <w:rPr>
          <w:rFonts w:hint="eastAsia" w:ascii="宋体" w:hAnsi="宋体" w:eastAsia="宋体" w:cs="宋体"/>
          <w:b/>
          <w:bCs/>
          <w:snapToGrid w:val="0"/>
          <w:color w:val="auto"/>
          <w:kern w:val="2"/>
          <w:sz w:val="22"/>
          <w:szCs w:val="22"/>
          <w:highlight w:val="none"/>
          <w:lang w:val="en-US" w:eastAsia="zh-CN" w:bidi="ar-SA"/>
        </w:rPr>
        <w:t>13.7通知</w:t>
      </w:r>
      <w:bookmarkEnd w:id="184"/>
      <w:bookmarkEnd w:id="185"/>
    </w:p>
    <w:p w14:paraId="2DB8A61B">
      <w:pPr>
        <w:keepNext w:val="0"/>
        <w:keepLines w:val="0"/>
        <w:pageBreakBefore w:val="0"/>
        <w:widowControl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声称受到不可抗力情况影响的一方应在知道不可抗力之后立即以书面形式向另一方发出通知并说明这种不可抗力情况所造成影响的详细情况，包括这种不可抗力情况发生的日期和估计停止的日期及其对该方根据本合同所承担的义务的影响。</w:t>
      </w:r>
    </w:p>
    <w:p w14:paraId="6B41235C">
      <w:pPr>
        <w:keepNext w:val="0"/>
        <w:keepLines w:val="0"/>
        <w:pageBreakBefore w:val="0"/>
        <w:widowControl w:val="0"/>
        <w:kinsoku/>
        <w:wordWrap/>
        <w:overflowPunct/>
        <w:topLinePunct w:val="0"/>
        <w:bidi w:val="0"/>
        <w:spacing w:before="0" w:after="0" w:line="400" w:lineRule="exact"/>
        <w:ind w:firstLine="426"/>
        <w:jc w:val="both"/>
        <w:textAlignment w:val="auto"/>
        <w:outlineLvl w:val="4"/>
        <w:rPr>
          <w:rFonts w:hint="eastAsia" w:ascii="宋体" w:hAnsi="宋体" w:eastAsia="宋体" w:cs="宋体"/>
          <w:b/>
          <w:bCs/>
          <w:snapToGrid w:val="0"/>
          <w:color w:val="auto"/>
          <w:kern w:val="2"/>
          <w:sz w:val="22"/>
          <w:szCs w:val="22"/>
          <w:highlight w:val="none"/>
          <w:lang w:val="en-US" w:eastAsia="zh-CN" w:bidi="ar-SA"/>
        </w:rPr>
      </w:pPr>
      <w:bookmarkStart w:id="186" w:name="_Toc354478306"/>
      <w:bookmarkStart w:id="187" w:name="_Toc354494061"/>
      <w:r>
        <w:rPr>
          <w:rFonts w:hint="eastAsia" w:ascii="宋体" w:hAnsi="宋体" w:eastAsia="宋体" w:cs="宋体"/>
          <w:b/>
          <w:bCs/>
          <w:snapToGrid w:val="0"/>
          <w:color w:val="auto"/>
          <w:kern w:val="2"/>
          <w:sz w:val="22"/>
          <w:szCs w:val="22"/>
          <w:highlight w:val="none"/>
          <w:lang w:val="en-US" w:eastAsia="zh-CN" w:bidi="ar-SA"/>
        </w:rPr>
        <w:t>13.8不可抗力造成的支出和延误</w:t>
      </w:r>
      <w:bookmarkEnd w:id="186"/>
      <w:bookmarkEnd w:id="187"/>
    </w:p>
    <w:p w14:paraId="2987BA91">
      <w:pPr>
        <w:keepNext w:val="0"/>
        <w:keepLines w:val="0"/>
        <w:pageBreakBefore w:val="0"/>
        <w:widowControl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不可抗力事件结束后48小时内</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向</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通报受害情况和损失情况，及预计清理和修复的费用。不可抗力事件持续发生，</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应每隔7天向</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报告一次受害情况。不可抗力事件结束后14天内，</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向</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提交清理和修复费用的正式报告及有关资料，</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需要根据情况对其损失进行确认，对修复的费用待检测和修复方案确定后另行计算。因不可抗力事件导致的费用变更及</w:t>
      </w:r>
      <w:r>
        <w:rPr>
          <w:rFonts w:hint="eastAsia" w:ascii="宋体" w:hAnsi="宋体" w:eastAsia="宋体" w:cs="宋体"/>
          <w:color w:val="auto"/>
          <w:sz w:val="22"/>
          <w:szCs w:val="22"/>
          <w:highlight w:val="none"/>
          <w:lang w:eastAsia="zh-CN"/>
        </w:rPr>
        <w:t>服务期</w:t>
      </w:r>
      <w:r>
        <w:rPr>
          <w:rFonts w:hint="eastAsia" w:ascii="宋体" w:hAnsi="宋体" w:eastAsia="宋体" w:cs="宋体"/>
          <w:color w:val="auto"/>
          <w:sz w:val="22"/>
          <w:szCs w:val="22"/>
          <w:highlight w:val="none"/>
        </w:rPr>
        <w:t>延误由</w:t>
      </w:r>
      <w:r>
        <w:rPr>
          <w:rFonts w:hint="eastAsia" w:ascii="宋体" w:hAnsi="宋体" w:eastAsia="宋体" w:cs="宋体"/>
          <w:color w:val="auto"/>
          <w:sz w:val="22"/>
          <w:szCs w:val="22"/>
          <w:highlight w:val="none"/>
          <w:lang w:eastAsia="zh-CN"/>
        </w:rPr>
        <w:t>三方</w:t>
      </w:r>
      <w:r>
        <w:rPr>
          <w:rFonts w:hint="eastAsia" w:ascii="宋体" w:hAnsi="宋体" w:eastAsia="宋体" w:cs="宋体"/>
          <w:color w:val="auto"/>
          <w:sz w:val="22"/>
          <w:szCs w:val="22"/>
          <w:highlight w:val="none"/>
        </w:rPr>
        <w:t>按以下方法分别承担：</w:t>
      </w:r>
    </w:p>
    <w:p w14:paraId="51D16A8D">
      <w:pPr>
        <w:keepNext w:val="0"/>
        <w:keepLines w:val="0"/>
        <w:pageBreakBefore w:val="0"/>
        <w:widowControl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（1）</w:t>
      </w:r>
      <w:r>
        <w:rPr>
          <w:rFonts w:hint="eastAsia" w:ascii="宋体" w:hAnsi="宋体" w:eastAsia="宋体" w:cs="宋体"/>
          <w:color w:val="auto"/>
          <w:sz w:val="22"/>
          <w:szCs w:val="22"/>
          <w:highlight w:val="none"/>
          <w:lang w:val="en-US" w:eastAsia="zh-CN"/>
        </w:rPr>
        <w:t>项目</w:t>
      </w:r>
      <w:r>
        <w:rPr>
          <w:rFonts w:hint="eastAsia" w:ascii="宋体" w:hAnsi="宋体" w:eastAsia="宋体" w:cs="宋体"/>
          <w:color w:val="auto"/>
          <w:sz w:val="22"/>
          <w:szCs w:val="22"/>
          <w:highlight w:val="none"/>
        </w:rPr>
        <w:t>本身的损害由</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承担；</w:t>
      </w:r>
    </w:p>
    <w:p w14:paraId="05BC2D7F">
      <w:pPr>
        <w:keepNext w:val="0"/>
        <w:keepLines w:val="0"/>
        <w:pageBreakBefore w:val="0"/>
        <w:widowControl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（2）受雇人员的伤害，分别按照各自的雇佣合同关系负责处理；</w:t>
      </w:r>
    </w:p>
    <w:p w14:paraId="0DEA39FF">
      <w:pPr>
        <w:keepNext w:val="0"/>
        <w:keepLines w:val="0"/>
        <w:pageBreakBefore w:val="0"/>
        <w:widowControl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（3）</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的机具、设备、财产和临时</w:t>
      </w:r>
      <w:r>
        <w:rPr>
          <w:rFonts w:hint="eastAsia" w:ascii="宋体" w:hAnsi="宋体" w:cs="宋体"/>
          <w:color w:val="auto"/>
          <w:sz w:val="22"/>
          <w:szCs w:val="22"/>
          <w:highlight w:val="none"/>
          <w:lang w:eastAsia="zh-CN"/>
        </w:rPr>
        <w:t>实施</w:t>
      </w:r>
      <w:r>
        <w:rPr>
          <w:rFonts w:hint="eastAsia" w:ascii="宋体" w:hAnsi="宋体" w:eastAsia="宋体" w:cs="宋体"/>
          <w:color w:val="auto"/>
          <w:sz w:val="22"/>
          <w:szCs w:val="22"/>
          <w:highlight w:val="none"/>
        </w:rPr>
        <w:t>内容的损失、损害，由</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承担；</w:t>
      </w:r>
    </w:p>
    <w:p w14:paraId="76116CD0">
      <w:pPr>
        <w:keepNext w:val="0"/>
        <w:keepLines w:val="0"/>
        <w:pageBreakBefore w:val="0"/>
        <w:widowControl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（4）因不可抗力事件导致的停工损失，包括</w:t>
      </w:r>
      <w:r>
        <w:rPr>
          <w:rFonts w:hint="eastAsia" w:ascii="宋体" w:hAnsi="宋体" w:eastAsia="宋体" w:cs="宋体"/>
          <w:color w:val="auto"/>
          <w:sz w:val="22"/>
          <w:szCs w:val="22"/>
          <w:highlight w:val="none"/>
          <w:lang w:val="en-US" w:eastAsia="zh-CN"/>
        </w:rPr>
        <w:t>实施</w:t>
      </w:r>
      <w:r>
        <w:rPr>
          <w:rFonts w:hint="eastAsia" w:ascii="宋体" w:hAnsi="宋体" w:eastAsia="宋体" w:cs="宋体"/>
          <w:color w:val="auto"/>
          <w:sz w:val="22"/>
          <w:szCs w:val="22"/>
          <w:highlight w:val="none"/>
        </w:rPr>
        <w:t>人员、管理人员，除</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要求留守</w:t>
      </w:r>
      <w:r>
        <w:rPr>
          <w:rFonts w:hint="eastAsia" w:ascii="宋体" w:hAnsi="宋体" w:eastAsia="宋体" w:cs="宋体"/>
          <w:color w:val="auto"/>
          <w:sz w:val="22"/>
          <w:szCs w:val="22"/>
          <w:highlight w:val="none"/>
          <w:lang w:val="en-US" w:eastAsia="zh-CN"/>
        </w:rPr>
        <w:t>项目</w:t>
      </w:r>
      <w:r>
        <w:rPr>
          <w:rFonts w:hint="eastAsia" w:ascii="宋体" w:hAnsi="宋体" w:eastAsia="宋体" w:cs="宋体"/>
          <w:color w:val="auto"/>
          <w:sz w:val="22"/>
          <w:szCs w:val="22"/>
          <w:highlight w:val="none"/>
        </w:rPr>
        <w:t>场地的管理人员及保卫人员费用由</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承担外，其余由</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承担</w:t>
      </w:r>
    </w:p>
    <w:p w14:paraId="68D660CA">
      <w:pPr>
        <w:keepNext w:val="0"/>
        <w:keepLines w:val="0"/>
        <w:pageBreakBefore w:val="0"/>
        <w:widowControl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（5）不可抗力事件发生后，因一方迟延履行合同约定的保护义务导致的延续损失、损害，由迟延履行义务的一方承担相应责任及其损失；</w:t>
      </w:r>
    </w:p>
    <w:p w14:paraId="44D618F1">
      <w:pPr>
        <w:keepNext w:val="0"/>
        <w:keepLines w:val="0"/>
        <w:pageBreakBefore w:val="0"/>
        <w:widowControl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（6）如果声称遭受不可抗力影响的一方已履行了第13.7款的通知程序，本合同中规定的履行某项义务的任何期限应根据不可抗力对履行该项义务产生影响的相同时间相应顺延。</w:t>
      </w:r>
    </w:p>
    <w:p w14:paraId="314AC2B7">
      <w:pPr>
        <w:keepNext w:val="0"/>
        <w:keepLines w:val="0"/>
        <w:pageBreakBefore w:val="0"/>
        <w:widowControl w:val="0"/>
        <w:kinsoku/>
        <w:wordWrap/>
        <w:overflowPunct/>
        <w:topLinePunct w:val="0"/>
        <w:bidi w:val="0"/>
        <w:spacing w:before="0" w:after="0" w:line="400" w:lineRule="exact"/>
        <w:ind w:firstLine="426"/>
        <w:jc w:val="both"/>
        <w:textAlignment w:val="auto"/>
        <w:outlineLvl w:val="4"/>
        <w:rPr>
          <w:rFonts w:hint="eastAsia" w:ascii="宋体" w:hAnsi="宋体" w:eastAsia="宋体" w:cs="宋体"/>
          <w:b/>
          <w:bCs/>
          <w:snapToGrid w:val="0"/>
          <w:color w:val="auto"/>
          <w:kern w:val="2"/>
          <w:sz w:val="22"/>
          <w:szCs w:val="22"/>
          <w:highlight w:val="none"/>
          <w:lang w:val="en-US" w:eastAsia="zh-CN" w:bidi="ar-SA"/>
        </w:rPr>
      </w:pPr>
      <w:bookmarkStart w:id="188" w:name="_Toc345359035"/>
      <w:bookmarkStart w:id="189" w:name="_Toc354478307"/>
      <w:bookmarkStart w:id="190" w:name="_Toc345358561"/>
      <w:bookmarkStart w:id="191" w:name="_Toc354494062"/>
      <w:r>
        <w:rPr>
          <w:rFonts w:hint="eastAsia" w:ascii="宋体" w:hAnsi="宋体" w:eastAsia="宋体" w:cs="宋体"/>
          <w:b/>
          <w:bCs/>
          <w:snapToGrid w:val="0"/>
          <w:color w:val="auto"/>
          <w:kern w:val="2"/>
          <w:sz w:val="22"/>
          <w:szCs w:val="22"/>
          <w:highlight w:val="none"/>
          <w:lang w:val="en-US" w:eastAsia="zh-CN" w:bidi="ar-SA"/>
        </w:rPr>
        <w:t>13.9不可抗力造成的终止</w:t>
      </w:r>
      <w:bookmarkEnd w:id="188"/>
      <w:bookmarkEnd w:id="189"/>
      <w:bookmarkEnd w:id="190"/>
      <w:bookmarkEnd w:id="191"/>
    </w:p>
    <w:p w14:paraId="2B19936E">
      <w:pPr>
        <w:keepNext w:val="0"/>
        <w:keepLines w:val="0"/>
        <w:pageBreakBefore w:val="0"/>
        <w:widowControl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如果任何不可抗力阻止一方履行其义务的时间自该不可抗力发生日起连续超过90日，</w:t>
      </w:r>
      <w:r>
        <w:rPr>
          <w:rFonts w:hint="eastAsia" w:ascii="宋体" w:hAnsi="宋体" w:eastAsia="宋体" w:cs="宋体"/>
          <w:color w:val="auto"/>
          <w:sz w:val="22"/>
          <w:szCs w:val="22"/>
          <w:highlight w:val="none"/>
          <w:lang w:eastAsia="zh-CN"/>
        </w:rPr>
        <w:t>三方</w:t>
      </w:r>
      <w:r>
        <w:rPr>
          <w:rFonts w:hint="eastAsia" w:ascii="宋体" w:hAnsi="宋体" w:eastAsia="宋体" w:cs="宋体"/>
          <w:color w:val="auto"/>
          <w:sz w:val="22"/>
          <w:szCs w:val="22"/>
          <w:highlight w:val="none"/>
        </w:rPr>
        <w:t>应协商决定继续履行本合同的条件或者同意终止本合同。如果自不可抗力发生后180天之内</w:t>
      </w:r>
      <w:r>
        <w:rPr>
          <w:rFonts w:hint="eastAsia" w:ascii="宋体" w:hAnsi="宋体" w:eastAsia="宋体" w:cs="宋体"/>
          <w:color w:val="auto"/>
          <w:sz w:val="22"/>
          <w:szCs w:val="22"/>
          <w:highlight w:val="none"/>
          <w:lang w:eastAsia="zh-CN"/>
        </w:rPr>
        <w:t>三方</w:t>
      </w:r>
      <w:r>
        <w:rPr>
          <w:rFonts w:hint="eastAsia" w:ascii="宋体" w:hAnsi="宋体" w:eastAsia="宋体" w:cs="宋体"/>
          <w:color w:val="auto"/>
          <w:sz w:val="22"/>
          <w:szCs w:val="22"/>
          <w:highlight w:val="none"/>
        </w:rPr>
        <w:t>不能就继续履行的条件或终止本合同达成一致意见，任何一方有权给予另一方书面通知后终止本合同。</w:t>
      </w:r>
    </w:p>
    <w:p w14:paraId="5ADEE592">
      <w:pPr>
        <w:keepNext w:val="0"/>
        <w:keepLines w:val="0"/>
        <w:pageBreakBefore w:val="0"/>
        <w:widowControl w:val="0"/>
        <w:numPr>
          <w:ilvl w:val="0"/>
          <w:numId w:val="7"/>
        </w:numPr>
        <w:tabs>
          <w:tab w:val="left" w:pos="658"/>
        </w:tabs>
        <w:kinsoku/>
        <w:wordWrap/>
        <w:overflowPunct/>
        <w:topLinePunct w:val="0"/>
        <w:bidi w:val="0"/>
        <w:spacing w:line="400" w:lineRule="exact"/>
        <w:ind w:left="0" w:firstLine="426"/>
        <w:jc w:val="left"/>
        <w:textAlignment w:val="auto"/>
        <w:outlineLvl w:val="3"/>
        <w:rPr>
          <w:rFonts w:hint="eastAsia" w:ascii="宋体" w:hAnsi="宋体" w:eastAsia="宋体" w:cs="宋体"/>
          <w:b/>
          <w:snapToGrid w:val="0"/>
          <w:color w:val="auto"/>
          <w:kern w:val="2"/>
          <w:sz w:val="22"/>
          <w:szCs w:val="22"/>
          <w:highlight w:val="none"/>
          <w:lang w:val="en-US" w:eastAsia="zh-CN" w:bidi="ar-SA"/>
        </w:rPr>
      </w:pPr>
      <w:bookmarkStart w:id="192" w:name="_Toc359839855"/>
      <w:bookmarkStart w:id="193" w:name="_Toc359839714"/>
      <w:bookmarkStart w:id="194" w:name="_Toc354478308"/>
      <w:bookmarkStart w:id="195" w:name="_Toc359839326"/>
      <w:bookmarkStart w:id="196" w:name="_Toc354478024"/>
      <w:bookmarkStart w:id="197" w:name="_Toc359838545"/>
      <w:bookmarkStart w:id="198" w:name="_Toc354494063"/>
      <w:r>
        <w:rPr>
          <w:rFonts w:hint="eastAsia" w:ascii="宋体" w:hAnsi="宋体" w:eastAsia="宋体" w:cs="宋体"/>
          <w:b/>
          <w:snapToGrid w:val="0"/>
          <w:color w:val="auto"/>
          <w:kern w:val="2"/>
          <w:sz w:val="22"/>
          <w:szCs w:val="22"/>
          <w:highlight w:val="none"/>
          <w:lang w:val="en-US" w:eastAsia="zh-CN" w:bidi="ar-SA"/>
        </w:rPr>
        <w:t>争议的解决</w:t>
      </w:r>
      <w:bookmarkEnd w:id="192"/>
      <w:bookmarkEnd w:id="193"/>
      <w:bookmarkEnd w:id="194"/>
      <w:bookmarkEnd w:id="195"/>
      <w:bookmarkEnd w:id="196"/>
      <w:bookmarkEnd w:id="197"/>
      <w:bookmarkEnd w:id="198"/>
    </w:p>
    <w:p w14:paraId="28B2740E">
      <w:pPr>
        <w:keepNext w:val="0"/>
        <w:keepLines w:val="0"/>
        <w:pageBreakBefore w:val="0"/>
        <w:widowControl w:val="0"/>
        <w:kinsoku/>
        <w:wordWrap/>
        <w:overflowPunct/>
        <w:topLinePunct w:val="0"/>
        <w:bidi w:val="0"/>
        <w:spacing w:before="0" w:after="0" w:line="400" w:lineRule="exact"/>
        <w:ind w:firstLine="426"/>
        <w:jc w:val="both"/>
        <w:textAlignment w:val="auto"/>
        <w:outlineLvl w:val="4"/>
        <w:rPr>
          <w:rFonts w:hint="eastAsia" w:ascii="宋体" w:hAnsi="宋体" w:eastAsia="宋体" w:cs="宋体"/>
          <w:b/>
          <w:bCs/>
          <w:snapToGrid w:val="0"/>
          <w:color w:val="auto"/>
          <w:kern w:val="2"/>
          <w:sz w:val="22"/>
          <w:szCs w:val="22"/>
          <w:highlight w:val="none"/>
          <w:lang w:val="en-US" w:eastAsia="zh-CN" w:bidi="ar-SA"/>
        </w:rPr>
      </w:pPr>
      <w:bookmarkStart w:id="199" w:name="_Toc345359052"/>
      <w:bookmarkStart w:id="200" w:name="_Toc354494064"/>
      <w:bookmarkStart w:id="201" w:name="_Toc345358578"/>
      <w:bookmarkStart w:id="202" w:name="_Toc354478309"/>
      <w:r>
        <w:rPr>
          <w:rFonts w:hint="eastAsia" w:ascii="宋体" w:hAnsi="宋体" w:eastAsia="宋体" w:cs="宋体"/>
          <w:b/>
          <w:bCs/>
          <w:snapToGrid w:val="0"/>
          <w:color w:val="auto"/>
          <w:kern w:val="2"/>
          <w:sz w:val="22"/>
          <w:szCs w:val="22"/>
          <w:highlight w:val="none"/>
          <w:lang w:val="en-US" w:eastAsia="zh-CN" w:bidi="ar-SA"/>
        </w:rPr>
        <w:t>14.1不可分割性</w:t>
      </w:r>
      <w:bookmarkEnd w:id="199"/>
      <w:bookmarkEnd w:id="200"/>
      <w:bookmarkEnd w:id="201"/>
      <w:bookmarkEnd w:id="202"/>
    </w:p>
    <w:p w14:paraId="713B4142">
      <w:pPr>
        <w:keepNext w:val="0"/>
        <w:keepLines w:val="0"/>
        <w:pageBreakBefore w:val="0"/>
        <w:widowControl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如果本合同其中某一条款不合法、无效或不能执行，或者被任何有管辖权的仲裁庭或法院宣布为不合法、无效或不能执行，则：</w:t>
      </w:r>
    </w:p>
    <w:p w14:paraId="79F16369">
      <w:pPr>
        <w:keepNext w:val="0"/>
        <w:keepLines w:val="0"/>
        <w:pageBreakBefore w:val="0"/>
        <w:widowControl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lang w:eastAsia="zh-CN"/>
        </w:rPr>
      </w:pPr>
      <w:r>
        <w:rPr>
          <w:rFonts w:hint="eastAsia" w:ascii="宋体" w:hAnsi="宋体" w:eastAsia="宋体" w:cs="宋体"/>
          <w:color w:val="auto"/>
          <w:sz w:val="22"/>
          <w:szCs w:val="22"/>
          <w:highlight w:val="none"/>
        </w:rPr>
        <w:t>（1）其它部分仍应保持有效；</w:t>
      </w:r>
    </w:p>
    <w:p w14:paraId="4E1B610C">
      <w:pPr>
        <w:keepNext w:val="0"/>
        <w:keepLines w:val="0"/>
        <w:pageBreakBefore w:val="0"/>
        <w:widowControl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（2）</w:t>
      </w:r>
      <w:r>
        <w:rPr>
          <w:rFonts w:hint="eastAsia" w:ascii="宋体" w:hAnsi="宋体" w:eastAsia="宋体" w:cs="宋体"/>
          <w:color w:val="auto"/>
          <w:sz w:val="22"/>
          <w:szCs w:val="22"/>
          <w:highlight w:val="none"/>
          <w:lang w:eastAsia="zh-CN"/>
        </w:rPr>
        <w:t>三方</w:t>
      </w:r>
      <w:r>
        <w:rPr>
          <w:rFonts w:hint="eastAsia" w:ascii="宋体" w:hAnsi="宋体" w:eastAsia="宋体" w:cs="宋体"/>
          <w:color w:val="auto"/>
          <w:sz w:val="22"/>
          <w:szCs w:val="22"/>
          <w:highlight w:val="none"/>
        </w:rPr>
        <w:t>应商定对不合法、无效或不能执行的条款进行修改或更换，使之合法、有效并可执行，并且这些修改或更改应尽可能平衡</w:t>
      </w:r>
      <w:r>
        <w:rPr>
          <w:rFonts w:hint="eastAsia" w:ascii="宋体" w:hAnsi="宋体" w:eastAsia="宋体" w:cs="宋体"/>
          <w:color w:val="auto"/>
          <w:sz w:val="22"/>
          <w:szCs w:val="22"/>
          <w:highlight w:val="none"/>
          <w:lang w:eastAsia="zh-CN"/>
        </w:rPr>
        <w:t>三方</w:t>
      </w:r>
      <w:r>
        <w:rPr>
          <w:rFonts w:hint="eastAsia" w:ascii="宋体" w:hAnsi="宋体" w:eastAsia="宋体" w:cs="宋体"/>
          <w:color w:val="auto"/>
          <w:sz w:val="22"/>
          <w:szCs w:val="22"/>
          <w:highlight w:val="none"/>
        </w:rPr>
        <w:t>之间的利益。</w:t>
      </w:r>
    </w:p>
    <w:p w14:paraId="20C94491">
      <w:pPr>
        <w:keepNext w:val="0"/>
        <w:keepLines w:val="0"/>
        <w:pageBreakBefore w:val="0"/>
        <w:widowControl w:val="0"/>
        <w:kinsoku/>
        <w:wordWrap/>
        <w:overflowPunct/>
        <w:topLinePunct w:val="0"/>
        <w:bidi w:val="0"/>
        <w:spacing w:before="0" w:after="0" w:line="400" w:lineRule="exact"/>
        <w:ind w:firstLine="426"/>
        <w:jc w:val="both"/>
        <w:textAlignment w:val="auto"/>
        <w:outlineLvl w:val="4"/>
        <w:rPr>
          <w:rFonts w:hint="eastAsia" w:ascii="宋体" w:hAnsi="宋体" w:eastAsia="宋体" w:cs="宋体"/>
          <w:b/>
          <w:bCs/>
          <w:snapToGrid w:val="0"/>
          <w:color w:val="auto"/>
          <w:kern w:val="2"/>
          <w:sz w:val="22"/>
          <w:szCs w:val="22"/>
          <w:highlight w:val="none"/>
          <w:lang w:val="en-US" w:eastAsia="zh-CN" w:bidi="ar-SA"/>
        </w:rPr>
      </w:pPr>
      <w:bookmarkStart w:id="203" w:name="_Toc345358579"/>
      <w:bookmarkStart w:id="204" w:name="_Toc345359053"/>
      <w:bookmarkStart w:id="205" w:name="_Toc354478310"/>
      <w:bookmarkStart w:id="206" w:name="_Toc354494065"/>
      <w:r>
        <w:rPr>
          <w:rFonts w:hint="eastAsia" w:ascii="宋体" w:hAnsi="宋体" w:eastAsia="宋体" w:cs="宋体"/>
          <w:b/>
          <w:bCs/>
          <w:snapToGrid w:val="0"/>
          <w:color w:val="auto"/>
          <w:kern w:val="2"/>
          <w:sz w:val="22"/>
          <w:szCs w:val="22"/>
          <w:highlight w:val="none"/>
          <w:lang w:val="en-US" w:eastAsia="zh-CN" w:bidi="ar-SA"/>
        </w:rPr>
        <w:t>14.2定期讨论</w:t>
      </w:r>
      <w:bookmarkEnd w:id="203"/>
      <w:bookmarkEnd w:id="204"/>
      <w:bookmarkEnd w:id="205"/>
      <w:bookmarkEnd w:id="206"/>
    </w:p>
    <w:p w14:paraId="69EC605D">
      <w:pPr>
        <w:keepNext w:val="0"/>
        <w:keepLines w:val="0"/>
        <w:pageBreakBefore w:val="0"/>
        <w:widowControl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在本合同履行期间，</w:t>
      </w:r>
      <w:r>
        <w:rPr>
          <w:rFonts w:hint="eastAsia" w:ascii="宋体" w:hAnsi="宋体" w:eastAsia="宋体" w:cs="宋体"/>
          <w:color w:val="auto"/>
          <w:sz w:val="22"/>
          <w:szCs w:val="22"/>
          <w:highlight w:val="none"/>
          <w:lang w:eastAsia="zh-CN"/>
        </w:rPr>
        <w:t>三方</w:t>
      </w:r>
      <w:r>
        <w:rPr>
          <w:rFonts w:hint="eastAsia" w:ascii="宋体" w:hAnsi="宋体" w:eastAsia="宋体" w:cs="宋体"/>
          <w:color w:val="auto"/>
          <w:sz w:val="22"/>
          <w:szCs w:val="22"/>
          <w:highlight w:val="none"/>
        </w:rPr>
        <w:t>应定期举行会议，原则上每月一次，以讨论</w:t>
      </w:r>
      <w:r>
        <w:rPr>
          <w:rFonts w:hint="eastAsia" w:ascii="宋体" w:hAnsi="宋体" w:cs="宋体"/>
          <w:color w:val="auto"/>
          <w:sz w:val="22"/>
          <w:szCs w:val="22"/>
          <w:highlight w:val="none"/>
          <w:lang w:val="en-US" w:eastAsia="zh-CN"/>
        </w:rPr>
        <w:t>项目</w:t>
      </w:r>
      <w:r>
        <w:rPr>
          <w:rFonts w:hint="eastAsia" w:ascii="宋体" w:hAnsi="宋体" w:eastAsia="宋体" w:cs="宋体"/>
          <w:color w:val="auto"/>
          <w:sz w:val="22"/>
          <w:szCs w:val="22"/>
          <w:highlight w:val="none"/>
        </w:rPr>
        <w:t>工作的进度，从而确保本合同的充分履行。</w:t>
      </w:r>
    </w:p>
    <w:p w14:paraId="1FC143C0">
      <w:pPr>
        <w:keepNext w:val="0"/>
        <w:keepLines w:val="0"/>
        <w:pageBreakBefore w:val="0"/>
        <w:widowControl w:val="0"/>
        <w:kinsoku/>
        <w:wordWrap/>
        <w:overflowPunct/>
        <w:topLinePunct w:val="0"/>
        <w:bidi w:val="0"/>
        <w:spacing w:before="0" w:after="0" w:line="400" w:lineRule="exact"/>
        <w:ind w:firstLine="426"/>
        <w:jc w:val="both"/>
        <w:textAlignment w:val="auto"/>
        <w:outlineLvl w:val="4"/>
        <w:rPr>
          <w:rFonts w:hint="eastAsia" w:ascii="宋体" w:hAnsi="宋体" w:eastAsia="宋体" w:cs="宋体"/>
          <w:b/>
          <w:bCs/>
          <w:snapToGrid w:val="0"/>
          <w:color w:val="auto"/>
          <w:kern w:val="2"/>
          <w:sz w:val="22"/>
          <w:szCs w:val="22"/>
          <w:highlight w:val="none"/>
          <w:lang w:val="en-US" w:eastAsia="zh-CN" w:bidi="ar-SA"/>
        </w:rPr>
      </w:pPr>
      <w:bookmarkStart w:id="207" w:name="_Toc345358580"/>
      <w:bookmarkStart w:id="208" w:name="_Toc354494066"/>
      <w:bookmarkStart w:id="209" w:name="_Toc354478311"/>
      <w:bookmarkStart w:id="210" w:name="_Toc345359054"/>
      <w:r>
        <w:rPr>
          <w:rFonts w:hint="eastAsia" w:ascii="宋体" w:hAnsi="宋体" w:eastAsia="宋体" w:cs="宋体"/>
          <w:b/>
          <w:bCs/>
          <w:snapToGrid w:val="0"/>
          <w:color w:val="auto"/>
          <w:kern w:val="2"/>
          <w:sz w:val="22"/>
          <w:szCs w:val="22"/>
          <w:highlight w:val="none"/>
          <w:lang w:val="en-US" w:eastAsia="zh-CN" w:bidi="ar-SA"/>
        </w:rPr>
        <w:t>14.3友好解决</w:t>
      </w:r>
      <w:bookmarkEnd w:id="207"/>
      <w:bookmarkEnd w:id="208"/>
      <w:bookmarkEnd w:id="209"/>
      <w:bookmarkEnd w:id="210"/>
    </w:p>
    <w:p w14:paraId="166ED9FE">
      <w:pPr>
        <w:keepNext w:val="0"/>
        <w:keepLines w:val="0"/>
        <w:pageBreakBefore w:val="0"/>
        <w:widowControl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除非本合同另有规定，一方无论何时要求另一方给予同意或批准时，另一方不得无理拒绝或拖延给予该同意或批准；前提是该同意或批准符合本合同条款精神或法律法规。</w:t>
      </w:r>
    </w:p>
    <w:p w14:paraId="2A98113C">
      <w:pPr>
        <w:keepNext w:val="0"/>
        <w:keepLines w:val="0"/>
        <w:pageBreakBefore w:val="0"/>
        <w:widowControl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如果</w:t>
      </w:r>
      <w:r>
        <w:rPr>
          <w:rFonts w:hint="eastAsia" w:ascii="宋体" w:hAnsi="宋体" w:eastAsia="宋体" w:cs="宋体"/>
          <w:color w:val="auto"/>
          <w:sz w:val="22"/>
          <w:szCs w:val="22"/>
          <w:highlight w:val="none"/>
          <w:lang w:eastAsia="zh-CN"/>
        </w:rPr>
        <w:t>三方</w:t>
      </w:r>
      <w:r>
        <w:rPr>
          <w:rFonts w:hint="eastAsia" w:ascii="宋体" w:hAnsi="宋体" w:eastAsia="宋体" w:cs="宋体"/>
          <w:color w:val="auto"/>
          <w:sz w:val="22"/>
          <w:szCs w:val="22"/>
          <w:highlight w:val="none"/>
        </w:rPr>
        <w:t>由于本合同的履行或对其中任何规定的解释而出现任何争议或索赔，一方应根据另一方提出的要求迅速举行会晤，通过友好协商解决争议或索赔。</w:t>
      </w:r>
    </w:p>
    <w:p w14:paraId="0DFB8967">
      <w:pPr>
        <w:keepNext w:val="0"/>
        <w:keepLines w:val="0"/>
        <w:pageBreakBefore w:val="0"/>
        <w:widowControl w:val="0"/>
        <w:kinsoku/>
        <w:wordWrap/>
        <w:overflowPunct/>
        <w:topLinePunct w:val="0"/>
        <w:bidi w:val="0"/>
        <w:spacing w:before="0" w:after="0" w:line="400" w:lineRule="exact"/>
        <w:ind w:firstLine="426"/>
        <w:jc w:val="both"/>
        <w:textAlignment w:val="auto"/>
        <w:outlineLvl w:val="4"/>
        <w:rPr>
          <w:rFonts w:hint="eastAsia" w:ascii="宋体" w:hAnsi="宋体" w:eastAsia="宋体" w:cs="宋体"/>
          <w:b/>
          <w:bCs/>
          <w:snapToGrid w:val="0"/>
          <w:color w:val="auto"/>
          <w:kern w:val="2"/>
          <w:sz w:val="22"/>
          <w:szCs w:val="22"/>
          <w:highlight w:val="none"/>
          <w:lang w:val="en-US" w:eastAsia="zh-CN" w:bidi="ar-SA"/>
        </w:rPr>
      </w:pPr>
      <w:r>
        <w:rPr>
          <w:rFonts w:hint="eastAsia" w:ascii="宋体" w:hAnsi="宋体" w:eastAsia="宋体" w:cs="宋体"/>
          <w:b/>
          <w:bCs/>
          <w:snapToGrid w:val="0"/>
          <w:color w:val="auto"/>
          <w:kern w:val="2"/>
          <w:sz w:val="22"/>
          <w:szCs w:val="22"/>
          <w:highlight w:val="none"/>
          <w:lang w:val="en-US" w:eastAsia="zh-CN" w:bidi="ar-SA"/>
        </w:rPr>
        <w:t>14.4诉讼</w:t>
      </w:r>
    </w:p>
    <w:p w14:paraId="01A33C75">
      <w:pPr>
        <w:keepNext w:val="0"/>
        <w:keepLines w:val="0"/>
        <w:pageBreakBefore w:val="0"/>
        <w:widowControl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如果争议在首次要求协商之日起42天内未能通过友好协商予以解决，则可在</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所在地通过诉讼解决。</w:t>
      </w:r>
    </w:p>
    <w:p w14:paraId="2C1DB286">
      <w:pPr>
        <w:keepNext w:val="0"/>
        <w:keepLines w:val="0"/>
        <w:pageBreakBefore w:val="0"/>
        <w:widowControl w:val="0"/>
        <w:kinsoku/>
        <w:wordWrap/>
        <w:overflowPunct/>
        <w:topLinePunct w:val="0"/>
        <w:bidi w:val="0"/>
        <w:spacing w:before="0" w:after="0" w:line="400" w:lineRule="exact"/>
        <w:ind w:firstLine="426"/>
        <w:jc w:val="both"/>
        <w:textAlignment w:val="auto"/>
        <w:outlineLvl w:val="4"/>
        <w:rPr>
          <w:rFonts w:hint="eastAsia" w:ascii="宋体" w:hAnsi="宋体" w:eastAsia="宋体" w:cs="宋体"/>
          <w:b/>
          <w:bCs/>
          <w:snapToGrid w:val="0"/>
          <w:color w:val="auto"/>
          <w:kern w:val="2"/>
          <w:sz w:val="22"/>
          <w:szCs w:val="22"/>
          <w:highlight w:val="none"/>
          <w:lang w:val="en-US" w:eastAsia="zh-CN" w:bidi="ar-SA"/>
        </w:rPr>
      </w:pPr>
      <w:r>
        <w:rPr>
          <w:rFonts w:hint="eastAsia" w:ascii="宋体" w:hAnsi="宋体" w:eastAsia="宋体" w:cs="宋体"/>
          <w:b/>
          <w:bCs/>
          <w:snapToGrid w:val="0"/>
          <w:color w:val="auto"/>
          <w:kern w:val="2"/>
          <w:sz w:val="22"/>
          <w:szCs w:val="22"/>
          <w:highlight w:val="none"/>
          <w:lang w:val="en-US" w:eastAsia="zh-CN" w:bidi="ar-SA"/>
        </w:rPr>
        <w:t>14.5继续的权利和义务</w:t>
      </w:r>
    </w:p>
    <w:p w14:paraId="072EBAD5">
      <w:pPr>
        <w:keepNext w:val="0"/>
        <w:keepLines w:val="0"/>
        <w:pageBreakBefore w:val="0"/>
        <w:widowControl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在对争议进行友好协商或</w:t>
      </w:r>
      <w:r>
        <w:rPr>
          <w:rFonts w:hint="eastAsia" w:ascii="宋体" w:hAnsi="宋体" w:eastAsia="宋体" w:cs="宋体"/>
          <w:snapToGrid w:val="0"/>
          <w:color w:val="auto"/>
          <w:sz w:val="22"/>
          <w:szCs w:val="22"/>
          <w:highlight w:val="none"/>
        </w:rPr>
        <w:t>诉讼</w:t>
      </w:r>
      <w:r>
        <w:rPr>
          <w:rFonts w:hint="eastAsia" w:ascii="宋体" w:hAnsi="宋体" w:eastAsia="宋体" w:cs="宋体"/>
          <w:color w:val="auto"/>
          <w:sz w:val="22"/>
          <w:szCs w:val="22"/>
          <w:highlight w:val="none"/>
        </w:rPr>
        <w:t>时，除争议的事项外，</w:t>
      </w:r>
      <w:r>
        <w:rPr>
          <w:rFonts w:hint="eastAsia" w:ascii="宋体" w:hAnsi="宋体" w:eastAsia="宋体" w:cs="宋体"/>
          <w:color w:val="auto"/>
          <w:sz w:val="22"/>
          <w:szCs w:val="22"/>
          <w:highlight w:val="none"/>
          <w:lang w:eastAsia="zh-CN"/>
        </w:rPr>
        <w:t>三方</w:t>
      </w:r>
      <w:r>
        <w:rPr>
          <w:rFonts w:hint="eastAsia" w:ascii="宋体" w:hAnsi="宋体" w:eastAsia="宋体" w:cs="宋体"/>
          <w:color w:val="auto"/>
          <w:sz w:val="22"/>
          <w:szCs w:val="22"/>
          <w:highlight w:val="none"/>
        </w:rPr>
        <w:t>应继续行使、履行各自在本合同项下的其他权利、义务。</w:t>
      </w:r>
    </w:p>
    <w:p w14:paraId="40ADE9EA">
      <w:pPr>
        <w:keepNext w:val="0"/>
        <w:keepLines w:val="0"/>
        <w:pageBreakBefore w:val="0"/>
        <w:widowControl w:val="0"/>
        <w:numPr>
          <w:ilvl w:val="0"/>
          <w:numId w:val="7"/>
        </w:numPr>
        <w:tabs>
          <w:tab w:val="left" w:pos="658"/>
        </w:tabs>
        <w:kinsoku/>
        <w:wordWrap/>
        <w:overflowPunct/>
        <w:topLinePunct w:val="0"/>
        <w:bidi w:val="0"/>
        <w:spacing w:line="400" w:lineRule="exact"/>
        <w:ind w:left="0" w:firstLine="426"/>
        <w:jc w:val="left"/>
        <w:textAlignment w:val="auto"/>
        <w:outlineLvl w:val="3"/>
        <w:rPr>
          <w:rFonts w:hint="eastAsia" w:ascii="宋体" w:hAnsi="宋体" w:eastAsia="宋体" w:cs="宋体"/>
          <w:b/>
          <w:snapToGrid w:val="0"/>
          <w:color w:val="auto"/>
          <w:kern w:val="2"/>
          <w:sz w:val="22"/>
          <w:szCs w:val="22"/>
          <w:highlight w:val="none"/>
          <w:lang w:val="en-US" w:eastAsia="zh-CN" w:bidi="ar-SA"/>
        </w:rPr>
      </w:pPr>
      <w:bookmarkStart w:id="211" w:name="_Toc359839715"/>
      <w:bookmarkStart w:id="212" w:name="_Toc354478315"/>
      <w:bookmarkStart w:id="213" w:name="_Toc359839327"/>
      <w:bookmarkStart w:id="214" w:name="_Toc359839856"/>
      <w:bookmarkStart w:id="215" w:name="_Toc359838546"/>
      <w:bookmarkStart w:id="216" w:name="_Toc354478025"/>
      <w:bookmarkStart w:id="217" w:name="_Toc354494070"/>
      <w:r>
        <w:rPr>
          <w:rFonts w:hint="eastAsia" w:ascii="宋体" w:hAnsi="宋体" w:eastAsia="宋体" w:cs="宋体"/>
          <w:b/>
          <w:snapToGrid w:val="0"/>
          <w:color w:val="auto"/>
          <w:kern w:val="2"/>
          <w:sz w:val="22"/>
          <w:szCs w:val="22"/>
          <w:highlight w:val="none"/>
          <w:lang w:val="en-US" w:eastAsia="zh-CN" w:bidi="ar-SA"/>
        </w:rPr>
        <w:t>风险划分</w:t>
      </w:r>
      <w:bookmarkEnd w:id="211"/>
      <w:bookmarkEnd w:id="212"/>
      <w:bookmarkEnd w:id="213"/>
      <w:bookmarkEnd w:id="214"/>
      <w:bookmarkEnd w:id="215"/>
      <w:bookmarkEnd w:id="216"/>
      <w:bookmarkEnd w:id="217"/>
    </w:p>
    <w:p w14:paraId="3B97A2B2">
      <w:pPr>
        <w:keepNext w:val="0"/>
        <w:keepLines w:val="0"/>
        <w:pageBreakBefore w:val="0"/>
        <w:widowControl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除另有明确约定外，在本项目交付给</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之前，因本项目所产生的风险，由</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承担。若风险在交付之前发生或虽然在交付之前未发生但隐含在</w:t>
      </w:r>
      <w:r>
        <w:rPr>
          <w:rFonts w:hint="eastAsia" w:ascii="宋体" w:hAnsi="宋体" w:eastAsia="宋体" w:cs="宋体"/>
          <w:color w:val="auto"/>
          <w:sz w:val="22"/>
          <w:szCs w:val="22"/>
          <w:highlight w:val="none"/>
          <w:lang w:val="en-US" w:eastAsia="zh-CN"/>
        </w:rPr>
        <w:t>项目</w:t>
      </w:r>
      <w:r>
        <w:rPr>
          <w:rFonts w:hint="eastAsia" w:ascii="宋体" w:hAnsi="宋体" w:eastAsia="宋体" w:cs="宋体"/>
          <w:color w:val="auto"/>
          <w:sz w:val="22"/>
          <w:szCs w:val="22"/>
          <w:highlight w:val="none"/>
        </w:rPr>
        <w:t>中而致使交付之后发生，给</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造成损害的，则</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应连带向</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进行赔偿。</w:t>
      </w:r>
    </w:p>
    <w:p w14:paraId="39C785BB">
      <w:pPr>
        <w:keepNext w:val="0"/>
        <w:keepLines w:val="0"/>
        <w:pageBreakBefore w:val="0"/>
        <w:widowControl w:val="0"/>
        <w:numPr>
          <w:ilvl w:val="0"/>
          <w:numId w:val="7"/>
        </w:numPr>
        <w:tabs>
          <w:tab w:val="left" w:pos="658"/>
        </w:tabs>
        <w:kinsoku/>
        <w:wordWrap/>
        <w:overflowPunct/>
        <w:topLinePunct w:val="0"/>
        <w:bidi w:val="0"/>
        <w:spacing w:line="400" w:lineRule="exact"/>
        <w:ind w:left="0" w:firstLine="426"/>
        <w:jc w:val="left"/>
        <w:textAlignment w:val="auto"/>
        <w:outlineLvl w:val="3"/>
        <w:rPr>
          <w:rFonts w:hint="eastAsia" w:ascii="宋体" w:hAnsi="宋体" w:eastAsia="宋体" w:cs="宋体"/>
          <w:b/>
          <w:snapToGrid w:val="0"/>
          <w:color w:val="auto"/>
          <w:kern w:val="2"/>
          <w:sz w:val="22"/>
          <w:szCs w:val="22"/>
          <w:highlight w:val="none"/>
          <w:lang w:val="en-US" w:eastAsia="zh-CN" w:bidi="ar-SA"/>
        </w:rPr>
      </w:pPr>
      <w:bookmarkStart w:id="218" w:name="_Toc359839328"/>
      <w:bookmarkStart w:id="219" w:name="_Toc354478316"/>
      <w:bookmarkStart w:id="220" w:name="_Toc359839857"/>
      <w:bookmarkStart w:id="221" w:name="_Toc354494071"/>
      <w:bookmarkStart w:id="222" w:name="_Toc359838547"/>
      <w:bookmarkStart w:id="223" w:name="_Toc354478026"/>
      <w:bookmarkStart w:id="224" w:name="_Toc359839716"/>
      <w:r>
        <w:rPr>
          <w:rFonts w:hint="eastAsia" w:ascii="宋体" w:hAnsi="宋体" w:eastAsia="宋体" w:cs="宋体"/>
          <w:b/>
          <w:snapToGrid w:val="0"/>
          <w:color w:val="auto"/>
          <w:kern w:val="2"/>
          <w:sz w:val="22"/>
          <w:szCs w:val="22"/>
          <w:highlight w:val="none"/>
          <w:lang w:val="en-US" w:eastAsia="zh-CN" w:bidi="ar-SA"/>
        </w:rPr>
        <w:t>协议变更、补充和解除</w:t>
      </w:r>
      <w:bookmarkEnd w:id="218"/>
      <w:bookmarkEnd w:id="219"/>
      <w:bookmarkEnd w:id="220"/>
      <w:bookmarkEnd w:id="221"/>
      <w:bookmarkEnd w:id="222"/>
      <w:bookmarkEnd w:id="223"/>
      <w:bookmarkEnd w:id="224"/>
    </w:p>
    <w:p w14:paraId="54FA74F0">
      <w:pPr>
        <w:keepNext w:val="0"/>
        <w:keepLines w:val="0"/>
        <w:pageBreakBefore w:val="0"/>
        <w:widowControl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对本合同的任何变更、增补或改动，只有在形成文字并经</w:t>
      </w:r>
      <w:r>
        <w:rPr>
          <w:rFonts w:hint="eastAsia" w:ascii="宋体" w:hAnsi="宋体" w:eastAsia="宋体" w:cs="宋体"/>
          <w:color w:val="auto"/>
          <w:sz w:val="22"/>
          <w:szCs w:val="22"/>
          <w:highlight w:val="none"/>
          <w:lang w:eastAsia="zh-CN"/>
        </w:rPr>
        <w:t>三方</w:t>
      </w:r>
      <w:r>
        <w:rPr>
          <w:rFonts w:hint="eastAsia" w:ascii="宋体" w:hAnsi="宋体" w:eastAsia="宋体" w:cs="宋体"/>
          <w:color w:val="auto"/>
          <w:sz w:val="22"/>
          <w:szCs w:val="22"/>
          <w:highlight w:val="none"/>
        </w:rPr>
        <w:t>经授权的代表签署后方为有效和具有约束力。</w:t>
      </w:r>
    </w:p>
    <w:p w14:paraId="4AA9E42F">
      <w:pPr>
        <w:keepNext w:val="0"/>
        <w:keepLines w:val="0"/>
        <w:pageBreakBefore w:val="0"/>
        <w:widowControl w:val="0"/>
        <w:numPr>
          <w:ilvl w:val="0"/>
          <w:numId w:val="7"/>
        </w:numPr>
        <w:tabs>
          <w:tab w:val="left" w:pos="658"/>
        </w:tabs>
        <w:kinsoku/>
        <w:wordWrap/>
        <w:overflowPunct/>
        <w:topLinePunct w:val="0"/>
        <w:bidi w:val="0"/>
        <w:spacing w:line="400" w:lineRule="exact"/>
        <w:ind w:left="0" w:firstLine="426"/>
        <w:jc w:val="left"/>
        <w:textAlignment w:val="auto"/>
        <w:outlineLvl w:val="3"/>
        <w:rPr>
          <w:rFonts w:hint="eastAsia" w:ascii="宋体" w:hAnsi="宋体" w:eastAsia="宋体" w:cs="宋体"/>
          <w:b/>
          <w:snapToGrid w:val="0"/>
          <w:color w:val="auto"/>
          <w:kern w:val="2"/>
          <w:sz w:val="22"/>
          <w:szCs w:val="22"/>
          <w:highlight w:val="none"/>
          <w:lang w:val="en-US" w:eastAsia="zh-CN" w:bidi="ar-SA"/>
        </w:rPr>
      </w:pPr>
      <w:bookmarkStart w:id="225" w:name="_Toc359839717"/>
      <w:bookmarkStart w:id="226" w:name="_Toc359838548"/>
      <w:bookmarkStart w:id="227" w:name="_Toc359839858"/>
      <w:bookmarkStart w:id="228" w:name="_Toc354478027"/>
      <w:bookmarkStart w:id="229" w:name="_Toc354478317"/>
      <w:bookmarkStart w:id="230" w:name="_Toc359839329"/>
      <w:bookmarkStart w:id="231" w:name="_Toc354494072"/>
      <w:r>
        <w:rPr>
          <w:rFonts w:hint="eastAsia" w:ascii="宋体" w:hAnsi="宋体" w:eastAsia="宋体" w:cs="宋体"/>
          <w:b/>
          <w:snapToGrid w:val="0"/>
          <w:color w:val="auto"/>
          <w:kern w:val="2"/>
          <w:sz w:val="22"/>
          <w:szCs w:val="22"/>
          <w:highlight w:val="none"/>
          <w:lang w:val="en-US" w:eastAsia="zh-CN" w:bidi="ar-SA"/>
        </w:rPr>
        <w:t>适用法律及其它</w:t>
      </w:r>
      <w:bookmarkEnd w:id="225"/>
      <w:bookmarkEnd w:id="226"/>
      <w:bookmarkEnd w:id="227"/>
      <w:bookmarkEnd w:id="228"/>
      <w:bookmarkEnd w:id="229"/>
      <w:bookmarkEnd w:id="230"/>
      <w:bookmarkEnd w:id="231"/>
    </w:p>
    <w:p w14:paraId="6508B566">
      <w:pPr>
        <w:keepNext w:val="0"/>
        <w:keepLines w:val="0"/>
        <w:pageBreakBefore w:val="0"/>
        <w:widowControl w:val="0"/>
        <w:kinsoku/>
        <w:wordWrap/>
        <w:overflowPunct/>
        <w:topLinePunct w:val="0"/>
        <w:bidi w:val="0"/>
        <w:spacing w:before="0" w:after="0" w:line="400" w:lineRule="exact"/>
        <w:ind w:firstLine="426"/>
        <w:jc w:val="both"/>
        <w:textAlignment w:val="auto"/>
        <w:outlineLvl w:val="4"/>
        <w:rPr>
          <w:rFonts w:hint="eastAsia" w:ascii="宋体" w:hAnsi="宋体" w:eastAsia="宋体" w:cs="宋体"/>
          <w:b/>
          <w:bCs/>
          <w:snapToGrid w:val="0"/>
          <w:color w:val="auto"/>
          <w:kern w:val="2"/>
          <w:sz w:val="22"/>
          <w:szCs w:val="22"/>
          <w:highlight w:val="none"/>
          <w:lang w:val="en-US" w:eastAsia="zh-CN" w:bidi="ar-SA"/>
        </w:rPr>
      </w:pPr>
      <w:bookmarkStart w:id="232" w:name="_Toc354494073"/>
      <w:bookmarkStart w:id="233" w:name="_Toc354478318"/>
      <w:r>
        <w:rPr>
          <w:rFonts w:hint="eastAsia" w:ascii="宋体" w:hAnsi="宋体" w:eastAsia="宋体" w:cs="宋体"/>
          <w:b/>
          <w:bCs/>
          <w:snapToGrid w:val="0"/>
          <w:color w:val="auto"/>
          <w:kern w:val="2"/>
          <w:sz w:val="22"/>
          <w:szCs w:val="22"/>
          <w:highlight w:val="none"/>
          <w:lang w:val="en-US" w:eastAsia="zh-CN" w:bidi="ar-SA"/>
        </w:rPr>
        <w:t>17.1适用法律</w:t>
      </w:r>
      <w:bookmarkEnd w:id="232"/>
      <w:bookmarkEnd w:id="233"/>
    </w:p>
    <w:p w14:paraId="074317AB">
      <w:pPr>
        <w:keepNext w:val="0"/>
        <w:keepLines w:val="0"/>
        <w:pageBreakBefore w:val="0"/>
        <w:widowControl w:val="0"/>
        <w:kinsoku/>
        <w:wordWrap/>
        <w:overflowPunct/>
        <w:topLinePunct w:val="0"/>
        <w:bidi w:val="0"/>
        <w:adjustRightInd w:val="0"/>
        <w:spacing w:line="400" w:lineRule="exact"/>
        <w:ind w:firstLine="442" w:firstLineChars="200"/>
        <w:textAlignment w:val="auto"/>
        <w:rPr>
          <w:rFonts w:hint="eastAsia" w:ascii="宋体" w:hAnsi="宋体" w:eastAsia="宋体" w:cs="宋体"/>
          <w:color w:val="auto"/>
          <w:sz w:val="22"/>
          <w:szCs w:val="22"/>
          <w:highlight w:val="none"/>
        </w:rPr>
      </w:pPr>
      <w:r>
        <w:rPr>
          <w:rFonts w:hint="eastAsia" w:ascii="宋体" w:hAnsi="宋体" w:eastAsia="宋体" w:cs="宋体"/>
          <w:b/>
          <w:color w:val="auto"/>
          <w:sz w:val="22"/>
          <w:szCs w:val="22"/>
          <w:highlight w:val="none"/>
        </w:rPr>
        <w:t>17.1.1</w:t>
      </w:r>
      <w:r>
        <w:rPr>
          <w:rFonts w:hint="eastAsia" w:ascii="宋体" w:hAnsi="宋体" w:eastAsia="宋体" w:cs="宋体"/>
          <w:color w:val="auto"/>
          <w:sz w:val="22"/>
          <w:szCs w:val="22"/>
          <w:highlight w:val="none"/>
        </w:rPr>
        <w:t>适用法律</w:t>
      </w:r>
    </w:p>
    <w:p w14:paraId="1D6279A7">
      <w:pPr>
        <w:keepNext w:val="0"/>
        <w:keepLines w:val="0"/>
        <w:pageBreakBefore w:val="0"/>
        <w:widowControl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本合同的效力、解释及执行均应适用中央和地方各级机构最新颁布的法律、法规以及政府有关部门对行业管理的统一规定。</w:t>
      </w:r>
    </w:p>
    <w:p w14:paraId="2D11789A">
      <w:pPr>
        <w:keepNext w:val="0"/>
        <w:keepLines w:val="0"/>
        <w:pageBreakBefore w:val="0"/>
        <w:widowControl w:val="0"/>
        <w:kinsoku/>
        <w:wordWrap/>
        <w:overflowPunct/>
        <w:topLinePunct w:val="0"/>
        <w:bidi w:val="0"/>
        <w:adjustRightInd w:val="0"/>
        <w:spacing w:line="400" w:lineRule="exact"/>
        <w:ind w:firstLine="442" w:firstLineChars="200"/>
        <w:textAlignment w:val="auto"/>
        <w:rPr>
          <w:rFonts w:hint="eastAsia" w:ascii="宋体" w:hAnsi="宋体" w:eastAsia="宋体" w:cs="宋体"/>
          <w:color w:val="auto"/>
          <w:sz w:val="22"/>
          <w:szCs w:val="22"/>
          <w:highlight w:val="none"/>
        </w:rPr>
      </w:pPr>
      <w:r>
        <w:rPr>
          <w:rFonts w:hint="eastAsia" w:ascii="宋体" w:hAnsi="宋体" w:eastAsia="宋体" w:cs="宋体"/>
          <w:b/>
          <w:color w:val="auto"/>
          <w:sz w:val="22"/>
          <w:szCs w:val="22"/>
          <w:highlight w:val="none"/>
        </w:rPr>
        <w:t>17.1.2</w:t>
      </w:r>
      <w:r>
        <w:rPr>
          <w:rFonts w:hint="eastAsia" w:ascii="宋体" w:hAnsi="宋体" w:eastAsia="宋体" w:cs="宋体"/>
          <w:color w:val="auto"/>
          <w:sz w:val="22"/>
          <w:szCs w:val="22"/>
          <w:highlight w:val="none"/>
        </w:rPr>
        <w:t>优惠待遇</w:t>
      </w:r>
    </w:p>
    <w:p w14:paraId="3B0D502C">
      <w:pPr>
        <w:keepNext w:val="0"/>
        <w:keepLines w:val="0"/>
        <w:pageBreakBefore w:val="0"/>
        <w:widowControl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根据法律，</w:t>
      </w:r>
      <w:r>
        <w:rPr>
          <w:rFonts w:hint="eastAsia" w:ascii="宋体" w:hAnsi="宋体" w:eastAsia="宋体" w:cs="宋体"/>
          <w:color w:val="auto"/>
          <w:sz w:val="22"/>
          <w:szCs w:val="22"/>
          <w:highlight w:val="none"/>
          <w:lang w:eastAsia="zh-CN"/>
        </w:rPr>
        <w:t>三方</w:t>
      </w:r>
      <w:r>
        <w:rPr>
          <w:rFonts w:hint="eastAsia" w:ascii="宋体" w:hAnsi="宋体" w:eastAsia="宋体" w:cs="宋体"/>
          <w:color w:val="auto"/>
          <w:sz w:val="22"/>
          <w:szCs w:val="22"/>
          <w:highlight w:val="none"/>
        </w:rPr>
        <w:t>有权享有在签订本合同后出现的或被公众知晓的比本合同规定的更优惠的税收、投资优惠或其它利益。</w:t>
      </w:r>
    </w:p>
    <w:p w14:paraId="2C2CA89D">
      <w:pPr>
        <w:keepNext w:val="0"/>
        <w:keepLines w:val="0"/>
        <w:pageBreakBefore w:val="0"/>
        <w:widowControl w:val="0"/>
        <w:kinsoku/>
        <w:wordWrap/>
        <w:overflowPunct/>
        <w:topLinePunct w:val="0"/>
        <w:bidi w:val="0"/>
        <w:spacing w:before="0" w:after="0" w:line="400" w:lineRule="exact"/>
        <w:ind w:firstLine="426"/>
        <w:jc w:val="both"/>
        <w:textAlignment w:val="auto"/>
        <w:outlineLvl w:val="4"/>
        <w:rPr>
          <w:rFonts w:hint="eastAsia" w:ascii="宋体" w:hAnsi="宋体" w:eastAsia="宋体" w:cs="宋体"/>
          <w:b/>
          <w:bCs/>
          <w:snapToGrid w:val="0"/>
          <w:color w:val="auto"/>
          <w:kern w:val="2"/>
          <w:sz w:val="22"/>
          <w:szCs w:val="22"/>
          <w:highlight w:val="none"/>
          <w:lang w:val="en-US" w:eastAsia="zh-CN" w:bidi="ar-SA"/>
        </w:rPr>
      </w:pPr>
      <w:bookmarkStart w:id="234" w:name="_Toc354478319"/>
      <w:bookmarkStart w:id="235" w:name="_Toc354494074"/>
      <w:r>
        <w:rPr>
          <w:rFonts w:hint="eastAsia" w:ascii="宋体" w:hAnsi="宋体" w:eastAsia="宋体" w:cs="宋体"/>
          <w:b/>
          <w:bCs/>
          <w:snapToGrid w:val="0"/>
          <w:color w:val="auto"/>
          <w:kern w:val="2"/>
          <w:sz w:val="22"/>
          <w:szCs w:val="22"/>
          <w:highlight w:val="none"/>
          <w:lang w:val="en-US" w:eastAsia="zh-CN" w:bidi="ar-SA"/>
        </w:rPr>
        <w:t>17.2资料和保密</w:t>
      </w:r>
      <w:bookmarkEnd w:id="234"/>
      <w:bookmarkEnd w:id="235"/>
    </w:p>
    <w:p w14:paraId="5B96EC8C">
      <w:pPr>
        <w:keepNext w:val="0"/>
        <w:keepLines w:val="0"/>
        <w:pageBreakBefore w:val="0"/>
        <w:widowControl w:val="0"/>
        <w:kinsoku/>
        <w:wordWrap/>
        <w:overflowPunct/>
        <w:topLinePunct w:val="0"/>
        <w:bidi w:val="0"/>
        <w:adjustRightInd w:val="0"/>
        <w:spacing w:line="400" w:lineRule="exact"/>
        <w:ind w:firstLine="442" w:firstLineChars="200"/>
        <w:textAlignment w:val="auto"/>
        <w:rPr>
          <w:rFonts w:hint="eastAsia" w:ascii="宋体" w:hAnsi="宋体" w:eastAsia="宋体" w:cs="宋体"/>
          <w:color w:val="auto"/>
          <w:sz w:val="22"/>
          <w:szCs w:val="22"/>
          <w:highlight w:val="none"/>
        </w:rPr>
      </w:pPr>
      <w:r>
        <w:rPr>
          <w:rFonts w:hint="eastAsia" w:ascii="宋体" w:hAnsi="宋体" w:eastAsia="宋体" w:cs="宋体"/>
          <w:b/>
          <w:color w:val="auto"/>
          <w:sz w:val="22"/>
          <w:szCs w:val="22"/>
          <w:highlight w:val="none"/>
        </w:rPr>
        <w:t>17.2.1</w:t>
      </w:r>
      <w:r>
        <w:rPr>
          <w:rFonts w:hint="eastAsia" w:ascii="宋体" w:hAnsi="宋体" w:eastAsia="宋体" w:cs="宋体"/>
          <w:color w:val="auto"/>
          <w:sz w:val="22"/>
          <w:szCs w:val="22"/>
          <w:highlight w:val="none"/>
        </w:rPr>
        <w:t>对资料的权利</w:t>
      </w:r>
    </w:p>
    <w:p w14:paraId="75BFE5B4">
      <w:pPr>
        <w:keepNext w:val="0"/>
        <w:keepLines w:val="0"/>
        <w:pageBreakBefore w:val="0"/>
        <w:widowControl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由</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向</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提供的资料，或主要以此为基础开发的资料，包括文件、计算机程序和其它存储在任何媒介上的资料，均视为</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的财产。</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应不为本项目之外的目的使用上述资料，并且应在项目交付时将上述资料返还给</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w:t>
      </w:r>
    </w:p>
    <w:p w14:paraId="0C3F7717">
      <w:pPr>
        <w:keepNext w:val="0"/>
        <w:keepLines w:val="0"/>
        <w:pageBreakBefore w:val="0"/>
        <w:widowControl w:val="0"/>
        <w:kinsoku/>
        <w:wordWrap/>
        <w:overflowPunct/>
        <w:topLinePunct w:val="0"/>
        <w:bidi w:val="0"/>
        <w:adjustRightInd w:val="0"/>
        <w:spacing w:line="400" w:lineRule="exact"/>
        <w:ind w:firstLine="442" w:firstLineChars="200"/>
        <w:textAlignment w:val="auto"/>
        <w:rPr>
          <w:rFonts w:hint="eastAsia" w:ascii="宋体" w:hAnsi="宋体" w:eastAsia="宋体" w:cs="宋体"/>
          <w:color w:val="auto"/>
          <w:sz w:val="22"/>
          <w:szCs w:val="22"/>
          <w:highlight w:val="none"/>
        </w:rPr>
      </w:pPr>
      <w:bookmarkStart w:id="236" w:name="_Toc354478320"/>
      <w:bookmarkStart w:id="237" w:name="_Toc354494075"/>
      <w:r>
        <w:rPr>
          <w:rFonts w:hint="eastAsia" w:ascii="宋体" w:hAnsi="宋体" w:eastAsia="宋体" w:cs="宋体"/>
          <w:b/>
          <w:color w:val="auto"/>
          <w:sz w:val="22"/>
          <w:szCs w:val="22"/>
          <w:highlight w:val="none"/>
        </w:rPr>
        <w:t>17.2.2</w:t>
      </w:r>
      <w:r>
        <w:rPr>
          <w:rFonts w:hint="eastAsia" w:ascii="宋体" w:hAnsi="宋体" w:eastAsia="宋体" w:cs="宋体"/>
          <w:color w:val="auto"/>
          <w:sz w:val="22"/>
          <w:szCs w:val="22"/>
          <w:highlight w:val="none"/>
        </w:rPr>
        <w:t>保密性</w:t>
      </w:r>
      <w:bookmarkEnd w:id="236"/>
      <w:bookmarkEnd w:id="237"/>
    </w:p>
    <w:p w14:paraId="4E9871D0">
      <w:pPr>
        <w:keepNext w:val="0"/>
        <w:keepLines w:val="0"/>
        <w:pageBreakBefore w:val="0"/>
        <w:widowControl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eastAsia="zh-CN"/>
        </w:rPr>
        <w:t>三方</w:t>
      </w:r>
      <w:r>
        <w:rPr>
          <w:rFonts w:hint="eastAsia" w:ascii="宋体" w:hAnsi="宋体" w:eastAsia="宋体" w:cs="宋体"/>
          <w:color w:val="auto"/>
          <w:sz w:val="22"/>
          <w:szCs w:val="22"/>
          <w:highlight w:val="none"/>
        </w:rPr>
        <w:t>应对本合同的内容和项目的所有信息及文件保密。未经对方同意，不得向任何人或单位披露或者泄露本合同和本项目所包含或涉及的任何内容，但以下情形除外：</w:t>
      </w:r>
    </w:p>
    <w:p w14:paraId="555FC3DA">
      <w:pPr>
        <w:keepNext w:val="0"/>
        <w:keepLines w:val="0"/>
        <w:pageBreakBefore w:val="0"/>
        <w:widowControl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(1)对各方负有保密义务一方向执行本合同相关职责及事项的职员、法律顾问的披露；</w:t>
      </w:r>
    </w:p>
    <w:p w14:paraId="5D1CC077">
      <w:pPr>
        <w:keepNext w:val="0"/>
        <w:keepLines w:val="0"/>
        <w:pageBreakBefore w:val="0"/>
        <w:widowControl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(2)向根据法律规定有权了解本协议内容的司法、行政机关的披露；</w:t>
      </w:r>
    </w:p>
    <w:p w14:paraId="5E46FC18">
      <w:pPr>
        <w:keepNext w:val="0"/>
        <w:keepLines w:val="0"/>
        <w:pageBreakBefore w:val="0"/>
        <w:widowControl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(3)为满足本合同的生效条件而向有关部门或人员所作的披露；</w:t>
      </w:r>
    </w:p>
    <w:p w14:paraId="21A91953">
      <w:pPr>
        <w:keepNext w:val="0"/>
        <w:keepLines w:val="0"/>
        <w:pageBreakBefore w:val="0"/>
        <w:widowControl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(4)</w:t>
      </w:r>
      <w:r>
        <w:rPr>
          <w:rFonts w:hint="eastAsia" w:ascii="宋体" w:hAnsi="宋体" w:eastAsia="宋体" w:cs="宋体"/>
          <w:color w:val="auto"/>
          <w:sz w:val="22"/>
          <w:szCs w:val="22"/>
          <w:highlight w:val="none"/>
          <w:lang w:eastAsia="zh-CN"/>
        </w:rPr>
        <w:t>三方</w:t>
      </w:r>
      <w:r>
        <w:rPr>
          <w:rFonts w:hint="eastAsia" w:ascii="宋体" w:hAnsi="宋体" w:eastAsia="宋体" w:cs="宋体"/>
          <w:color w:val="auto"/>
          <w:sz w:val="22"/>
          <w:szCs w:val="22"/>
          <w:highlight w:val="none"/>
        </w:rPr>
        <w:t>均同意的披露。</w:t>
      </w:r>
    </w:p>
    <w:p w14:paraId="0B302FEF">
      <w:pPr>
        <w:keepNext w:val="0"/>
        <w:keepLines w:val="0"/>
        <w:pageBreakBefore w:val="0"/>
        <w:widowControl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依据上述所作透露时，透露方应该提示接受方履行保密义务。</w:t>
      </w:r>
    </w:p>
    <w:p w14:paraId="524BCD57">
      <w:pPr>
        <w:keepNext w:val="0"/>
        <w:keepLines w:val="0"/>
        <w:pageBreakBefore w:val="0"/>
        <w:widowControl w:val="0"/>
        <w:kinsoku/>
        <w:wordWrap/>
        <w:overflowPunct/>
        <w:topLinePunct w:val="0"/>
        <w:bidi w:val="0"/>
        <w:spacing w:before="0" w:after="0" w:line="400" w:lineRule="exact"/>
        <w:ind w:firstLine="426"/>
        <w:jc w:val="both"/>
        <w:textAlignment w:val="auto"/>
        <w:outlineLvl w:val="4"/>
        <w:rPr>
          <w:rFonts w:hint="eastAsia" w:ascii="宋体" w:hAnsi="宋体" w:eastAsia="宋体" w:cs="宋体"/>
          <w:b/>
          <w:bCs/>
          <w:snapToGrid w:val="0"/>
          <w:color w:val="auto"/>
          <w:kern w:val="2"/>
          <w:sz w:val="22"/>
          <w:szCs w:val="22"/>
          <w:highlight w:val="none"/>
          <w:lang w:val="en-US" w:eastAsia="zh-CN" w:bidi="ar-SA"/>
        </w:rPr>
      </w:pPr>
      <w:bookmarkStart w:id="238" w:name="_Toc354494076"/>
      <w:bookmarkStart w:id="239" w:name="_Toc354478321"/>
      <w:r>
        <w:rPr>
          <w:rFonts w:hint="eastAsia" w:ascii="宋体" w:hAnsi="宋体" w:eastAsia="宋体" w:cs="宋体"/>
          <w:b/>
          <w:bCs/>
          <w:snapToGrid w:val="0"/>
          <w:color w:val="auto"/>
          <w:kern w:val="2"/>
          <w:sz w:val="22"/>
          <w:szCs w:val="22"/>
          <w:highlight w:val="none"/>
          <w:lang w:val="en-US" w:eastAsia="zh-CN" w:bidi="ar-SA"/>
        </w:rPr>
        <w:t>17.3知识产权</w:t>
      </w:r>
      <w:bookmarkEnd w:id="238"/>
      <w:bookmarkEnd w:id="239"/>
    </w:p>
    <w:p w14:paraId="440DA7C9">
      <w:pPr>
        <w:keepNext w:val="0"/>
        <w:keepLines w:val="0"/>
        <w:pageBreakBefore w:val="0"/>
        <w:widowControl w:val="0"/>
        <w:kinsoku/>
        <w:wordWrap/>
        <w:overflowPunct/>
        <w:topLinePunct w:val="0"/>
        <w:bidi w:val="0"/>
        <w:adjustRightInd w:val="0"/>
        <w:spacing w:line="400" w:lineRule="exact"/>
        <w:ind w:firstLine="442" w:firstLineChars="200"/>
        <w:textAlignment w:val="auto"/>
        <w:rPr>
          <w:rFonts w:hint="eastAsia" w:ascii="宋体" w:hAnsi="宋体" w:eastAsia="宋体" w:cs="宋体"/>
          <w:color w:val="auto"/>
          <w:sz w:val="22"/>
          <w:szCs w:val="22"/>
          <w:highlight w:val="none"/>
        </w:rPr>
      </w:pPr>
      <w:r>
        <w:rPr>
          <w:rFonts w:hint="eastAsia" w:ascii="宋体" w:hAnsi="宋体" w:eastAsia="宋体" w:cs="宋体"/>
          <w:b/>
          <w:color w:val="auto"/>
          <w:sz w:val="22"/>
          <w:szCs w:val="22"/>
          <w:highlight w:val="none"/>
        </w:rPr>
        <w:t>17.3.1</w:t>
      </w:r>
      <w:r>
        <w:rPr>
          <w:rFonts w:hint="eastAsia" w:ascii="宋体" w:hAnsi="宋体" w:eastAsia="宋体" w:cs="宋体"/>
          <w:color w:val="auto"/>
          <w:sz w:val="22"/>
          <w:szCs w:val="22"/>
          <w:highlight w:val="none"/>
        </w:rPr>
        <w:t>因执行本合同所产生和形成的知识产权归</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所有。本合同所称的知识产权包括（但不限于）：著作权、专利权、商标权、专有技术、技术资料、标识、字号、名称及形象设计等，不管以文字、图案或混合，亦不管以书面或电子及其他形式作为载体而体现。</w:t>
      </w:r>
    </w:p>
    <w:p w14:paraId="7AE04EA2">
      <w:pPr>
        <w:keepNext w:val="0"/>
        <w:keepLines w:val="0"/>
        <w:pageBreakBefore w:val="0"/>
        <w:widowControl w:val="0"/>
        <w:kinsoku/>
        <w:wordWrap/>
        <w:overflowPunct/>
        <w:topLinePunct w:val="0"/>
        <w:bidi w:val="0"/>
        <w:adjustRightInd w:val="0"/>
        <w:spacing w:line="400" w:lineRule="exact"/>
        <w:ind w:firstLine="442" w:firstLineChars="200"/>
        <w:textAlignment w:val="auto"/>
        <w:rPr>
          <w:rFonts w:hint="eastAsia" w:ascii="宋体" w:hAnsi="宋体" w:eastAsia="宋体" w:cs="宋体"/>
          <w:color w:val="auto"/>
          <w:sz w:val="22"/>
          <w:szCs w:val="22"/>
          <w:highlight w:val="none"/>
        </w:rPr>
      </w:pPr>
      <w:r>
        <w:rPr>
          <w:rFonts w:hint="eastAsia" w:ascii="宋体" w:hAnsi="宋体" w:eastAsia="宋体" w:cs="宋体"/>
          <w:b/>
          <w:color w:val="auto"/>
          <w:sz w:val="22"/>
          <w:szCs w:val="22"/>
          <w:highlight w:val="none"/>
        </w:rPr>
        <w:t>17.3.2</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在此保证，为本项目的目的所产生的知识产权，不管是</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单独或共同合作产生，也不管是否有</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的相应的协助，其权利均归</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所有，</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并应提供与之有关的所有信息、资料、文件。未经</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书面许可，不能用作本项目之外的用途。</w:t>
      </w:r>
    </w:p>
    <w:p w14:paraId="59C43103">
      <w:pPr>
        <w:keepNext w:val="0"/>
        <w:keepLines w:val="0"/>
        <w:pageBreakBefore w:val="0"/>
        <w:widowControl w:val="0"/>
        <w:kinsoku/>
        <w:wordWrap/>
        <w:overflowPunct/>
        <w:topLinePunct w:val="0"/>
        <w:bidi w:val="0"/>
        <w:adjustRightInd w:val="0"/>
        <w:spacing w:line="400" w:lineRule="exact"/>
        <w:ind w:firstLine="442" w:firstLineChars="200"/>
        <w:textAlignment w:val="auto"/>
        <w:rPr>
          <w:rFonts w:hint="eastAsia" w:ascii="宋体" w:hAnsi="宋体" w:eastAsia="宋体" w:cs="宋体"/>
          <w:color w:val="auto"/>
          <w:sz w:val="22"/>
          <w:szCs w:val="22"/>
          <w:highlight w:val="none"/>
        </w:rPr>
      </w:pPr>
      <w:r>
        <w:rPr>
          <w:rFonts w:hint="eastAsia" w:ascii="宋体" w:hAnsi="宋体" w:eastAsia="宋体" w:cs="宋体"/>
          <w:b/>
          <w:color w:val="auto"/>
          <w:sz w:val="22"/>
          <w:szCs w:val="22"/>
          <w:highlight w:val="none"/>
        </w:rPr>
        <w:t>17.3.3</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在此进一步保证，在完成本项目过程中，将不会侵犯他人的知识产权。</w:t>
      </w:r>
    </w:p>
    <w:p w14:paraId="5E943B36">
      <w:pPr>
        <w:keepNext w:val="0"/>
        <w:keepLines w:val="0"/>
        <w:pageBreakBefore w:val="0"/>
        <w:widowControl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如果</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为完成本项目工作而侵犯他人的知识产权的，不管是在本项目实施过程中还是交付给</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以后，责任均由</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承担。因此而给</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造成损失的，由</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向</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承担连带赔偿责任。</w:t>
      </w:r>
    </w:p>
    <w:p w14:paraId="214BBB14">
      <w:pPr>
        <w:keepNext w:val="0"/>
        <w:keepLines w:val="0"/>
        <w:pageBreakBefore w:val="0"/>
        <w:widowControl w:val="0"/>
        <w:kinsoku/>
        <w:wordWrap/>
        <w:overflowPunct/>
        <w:topLinePunct w:val="0"/>
        <w:bidi w:val="0"/>
        <w:adjustRightInd w:val="0"/>
        <w:spacing w:line="400" w:lineRule="exact"/>
        <w:ind w:firstLine="442" w:firstLineChars="200"/>
        <w:textAlignment w:val="auto"/>
        <w:rPr>
          <w:rFonts w:hint="eastAsia" w:ascii="宋体" w:hAnsi="宋体" w:eastAsia="宋体" w:cs="宋体"/>
          <w:color w:val="auto"/>
          <w:sz w:val="22"/>
          <w:szCs w:val="22"/>
          <w:highlight w:val="none"/>
        </w:rPr>
      </w:pPr>
      <w:r>
        <w:rPr>
          <w:rFonts w:hint="eastAsia" w:ascii="宋体" w:hAnsi="宋体" w:eastAsia="宋体" w:cs="宋体"/>
          <w:b/>
          <w:color w:val="auto"/>
          <w:sz w:val="22"/>
          <w:szCs w:val="22"/>
          <w:highlight w:val="none"/>
        </w:rPr>
        <w:t>17.3.4</w:t>
      </w:r>
      <w:r>
        <w:rPr>
          <w:rFonts w:hint="eastAsia" w:ascii="宋体" w:hAnsi="宋体" w:eastAsia="宋体" w:cs="宋体"/>
          <w:color w:val="auto"/>
          <w:sz w:val="22"/>
          <w:szCs w:val="22"/>
          <w:highlight w:val="none"/>
        </w:rPr>
        <w:t>本条约定在本合同终止后仍然有效。</w:t>
      </w:r>
    </w:p>
    <w:p w14:paraId="34503D3E">
      <w:pPr>
        <w:keepNext w:val="0"/>
        <w:keepLines w:val="0"/>
        <w:pageBreakBefore w:val="0"/>
        <w:widowControl w:val="0"/>
        <w:kinsoku/>
        <w:wordWrap/>
        <w:overflowPunct/>
        <w:topLinePunct w:val="0"/>
        <w:bidi w:val="0"/>
        <w:spacing w:before="0" w:after="0" w:line="400" w:lineRule="exact"/>
        <w:ind w:firstLine="426"/>
        <w:jc w:val="both"/>
        <w:textAlignment w:val="auto"/>
        <w:outlineLvl w:val="4"/>
        <w:rPr>
          <w:rFonts w:hint="eastAsia" w:ascii="宋体" w:hAnsi="宋体" w:eastAsia="宋体" w:cs="宋体"/>
          <w:b/>
          <w:bCs/>
          <w:snapToGrid w:val="0"/>
          <w:color w:val="auto"/>
          <w:kern w:val="2"/>
          <w:sz w:val="22"/>
          <w:szCs w:val="22"/>
          <w:highlight w:val="none"/>
          <w:lang w:val="en-US" w:eastAsia="zh-CN" w:bidi="ar-SA"/>
        </w:rPr>
      </w:pPr>
      <w:bookmarkStart w:id="240" w:name="_Toc354494077"/>
      <w:bookmarkStart w:id="241" w:name="_Toc354478322"/>
      <w:r>
        <w:rPr>
          <w:rFonts w:hint="eastAsia" w:ascii="宋体" w:hAnsi="宋体" w:eastAsia="宋体" w:cs="宋体"/>
          <w:b/>
          <w:bCs/>
          <w:snapToGrid w:val="0"/>
          <w:color w:val="auto"/>
          <w:kern w:val="2"/>
          <w:sz w:val="22"/>
          <w:szCs w:val="22"/>
          <w:highlight w:val="none"/>
          <w:lang w:val="en-US" w:eastAsia="zh-CN" w:bidi="ar-SA"/>
        </w:rPr>
        <w:t>17.4不正当报酬的声明</w:t>
      </w:r>
      <w:bookmarkEnd w:id="240"/>
      <w:bookmarkEnd w:id="241"/>
    </w:p>
    <w:p w14:paraId="2730F719">
      <w:pPr>
        <w:keepNext w:val="0"/>
        <w:keepLines w:val="0"/>
        <w:pageBreakBefore w:val="0"/>
        <w:widowControl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eastAsia="zh-CN"/>
        </w:rPr>
        <w:t>三方</w:t>
      </w:r>
      <w:r>
        <w:rPr>
          <w:rFonts w:hint="eastAsia" w:ascii="宋体" w:hAnsi="宋体" w:eastAsia="宋体" w:cs="宋体"/>
          <w:color w:val="auto"/>
          <w:sz w:val="22"/>
          <w:szCs w:val="22"/>
          <w:highlight w:val="none"/>
        </w:rPr>
        <w:t>一致声明：反对关于项目的行贿、受贿及不合法的行为。</w:t>
      </w:r>
      <w:r>
        <w:rPr>
          <w:rFonts w:hint="eastAsia" w:ascii="宋体" w:hAnsi="宋体" w:eastAsia="宋体" w:cs="宋体"/>
          <w:color w:val="auto"/>
          <w:sz w:val="22"/>
          <w:szCs w:val="22"/>
          <w:highlight w:val="none"/>
          <w:lang w:eastAsia="zh-CN"/>
        </w:rPr>
        <w:t>三方</w:t>
      </w:r>
      <w:r>
        <w:rPr>
          <w:rFonts w:hint="eastAsia" w:ascii="宋体" w:hAnsi="宋体" w:eastAsia="宋体" w:cs="宋体"/>
          <w:color w:val="auto"/>
          <w:sz w:val="22"/>
          <w:szCs w:val="22"/>
          <w:highlight w:val="none"/>
        </w:rPr>
        <w:t>都不会为项目提供或接受任何不合法的报酬，提供或接受不当的服务。</w:t>
      </w:r>
    </w:p>
    <w:p w14:paraId="17CF8C00">
      <w:pPr>
        <w:keepNext w:val="0"/>
        <w:keepLines w:val="0"/>
        <w:pageBreakBefore w:val="0"/>
        <w:widowControl w:val="0"/>
        <w:kinsoku/>
        <w:wordWrap/>
        <w:overflowPunct/>
        <w:topLinePunct w:val="0"/>
        <w:bidi w:val="0"/>
        <w:spacing w:before="0" w:after="0" w:line="400" w:lineRule="exact"/>
        <w:ind w:firstLine="426"/>
        <w:jc w:val="both"/>
        <w:textAlignment w:val="auto"/>
        <w:outlineLvl w:val="4"/>
        <w:rPr>
          <w:rFonts w:hint="eastAsia" w:ascii="宋体" w:hAnsi="宋体" w:eastAsia="宋体" w:cs="宋体"/>
          <w:b/>
          <w:bCs/>
          <w:snapToGrid w:val="0"/>
          <w:color w:val="auto"/>
          <w:kern w:val="2"/>
          <w:sz w:val="22"/>
          <w:szCs w:val="22"/>
          <w:highlight w:val="none"/>
          <w:lang w:val="en-US" w:eastAsia="zh-CN" w:bidi="ar-SA"/>
        </w:rPr>
      </w:pPr>
      <w:bookmarkStart w:id="242" w:name="_Toc354494078"/>
      <w:bookmarkStart w:id="243" w:name="_Toc354478323"/>
      <w:r>
        <w:rPr>
          <w:rFonts w:hint="eastAsia" w:ascii="宋体" w:hAnsi="宋体" w:eastAsia="宋体" w:cs="宋体"/>
          <w:b/>
          <w:bCs/>
          <w:snapToGrid w:val="0"/>
          <w:color w:val="auto"/>
          <w:kern w:val="2"/>
          <w:sz w:val="22"/>
          <w:szCs w:val="22"/>
          <w:highlight w:val="none"/>
          <w:lang w:val="en-US" w:eastAsia="zh-CN" w:bidi="ar-SA"/>
        </w:rPr>
        <w:t>17.5其它条款</w:t>
      </w:r>
      <w:bookmarkEnd w:id="242"/>
      <w:bookmarkEnd w:id="243"/>
    </w:p>
    <w:p w14:paraId="16BBA0DB">
      <w:pPr>
        <w:keepNext w:val="0"/>
        <w:keepLines w:val="0"/>
        <w:pageBreakBefore w:val="0"/>
        <w:widowControl w:val="0"/>
        <w:kinsoku/>
        <w:wordWrap/>
        <w:overflowPunct/>
        <w:topLinePunct w:val="0"/>
        <w:bidi w:val="0"/>
        <w:adjustRightInd w:val="0"/>
        <w:spacing w:line="400" w:lineRule="exact"/>
        <w:ind w:firstLine="442" w:firstLineChars="200"/>
        <w:textAlignment w:val="auto"/>
        <w:rPr>
          <w:rFonts w:hint="eastAsia" w:ascii="宋体" w:hAnsi="宋体" w:eastAsia="宋体" w:cs="宋体"/>
          <w:color w:val="auto"/>
          <w:sz w:val="22"/>
          <w:szCs w:val="22"/>
          <w:highlight w:val="none"/>
        </w:rPr>
      </w:pPr>
      <w:r>
        <w:rPr>
          <w:rFonts w:hint="eastAsia" w:ascii="宋体" w:hAnsi="宋体" w:eastAsia="宋体" w:cs="宋体"/>
          <w:b/>
          <w:color w:val="auto"/>
          <w:sz w:val="22"/>
          <w:szCs w:val="22"/>
          <w:highlight w:val="none"/>
        </w:rPr>
        <w:t>17.5.1</w:t>
      </w:r>
      <w:r>
        <w:rPr>
          <w:rFonts w:hint="eastAsia" w:ascii="宋体" w:hAnsi="宋体" w:eastAsia="宋体" w:cs="宋体"/>
          <w:color w:val="auto"/>
          <w:sz w:val="22"/>
          <w:szCs w:val="22"/>
          <w:highlight w:val="none"/>
        </w:rPr>
        <w:t>在中国法律、法规允许的范围内，</w:t>
      </w:r>
      <w:r>
        <w:rPr>
          <w:rFonts w:hint="eastAsia" w:ascii="宋体" w:hAnsi="宋体" w:eastAsia="宋体" w:cs="宋体"/>
          <w:color w:val="auto"/>
          <w:sz w:val="22"/>
          <w:szCs w:val="22"/>
          <w:highlight w:val="none"/>
          <w:lang w:eastAsia="zh-CN"/>
        </w:rPr>
        <w:t>三方</w:t>
      </w:r>
      <w:r>
        <w:rPr>
          <w:rFonts w:hint="eastAsia" w:ascii="宋体" w:hAnsi="宋体" w:eastAsia="宋体" w:cs="宋体"/>
          <w:color w:val="auto"/>
          <w:sz w:val="22"/>
          <w:szCs w:val="22"/>
          <w:highlight w:val="none"/>
        </w:rPr>
        <w:t>对于本合同项下权利的未行使或延误行使不应视为对该权利的放弃，而且对该权利的单独或部分行使也不能阻止任何未来对该权利的行使。</w:t>
      </w:r>
    </w:p>
    <w:p w14:paraId="0B3F7EEE">
      <w:pPr>
        <w:keepNext w:val="0"/>
        <w:keepLines w:val="0"/>
        <w:pageBreakBefore w:val="0"/>
        <w:widowControl w:val="0"/>
        <w:kinsoku/>
        <w:wordWrap/>
        <w:overflowPunct/>
        <w:topLinePunct w:val="0"/>
        <w:bidi w:val="0"/>
        <w:adjustRightInd w:val="0"/>
        <w:spacing w:line="400" w:lineRule="exact"/>
        <w:ind w:firstLine="442" w:firstLineChars="200"/>
        <w:textAlignment w:val="auto"/>
        <w:rPr>
          <w:rFonts w:hint="eastAsia" w:ascii="宋体" w:hAnsi="宋体" w:eastAsia="宋体" w:cs="宋体"/>
          <w:color w:val="auto"/>
          <w:sz w:val="22"/>
          <w:szCs w:val="22"/>
          <w:highlight w:val="none"/>
        </w:rPr>
      </w:pPr>
      <w:r>
        <w:rPr>
          <w:rFonts w:hint="eastAsia" w:ascii="宋体" w:hAnsi="宋体" w:eastAsia="宋体" w:cs="宋体"/>
          <w:b/>
          <w:color w:val="auto"/>
          <w:sz w:val="22"/>
          <w:szCs w:val="22"/>
          <w:highlight w:val="none"/>
        </w:rPr>
        <w:t>17.5.2</w:t>
      </w:r>
      <w:r>
        <w:rPr>
          <w:rFonts w:hint="eastAsia" w:ascii="宋体" w:hAnsi="宋体" w:eastAsia="宋体" w:cs="宋体"/>
          <w:color w:val="auto"/>
          <w:sz w:val="22"/>
          <w:szCs w:val="22"/>
          <w:highlight w:val="none"/>
        </w:rPr>
        <w:t>独立性</w:t>
      </w:r>
    </w:p>
    <w:p w14:paraId="7BA860A5">
      <w:pPr>
        <w:keepNext w:val="0"/>
        <w:keepLines w:val="0"/>
        <w:pageBreakBefore w:val="0"/>
        <w:widowControl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本合同某一条款的无效，如果对本合同的履行或合同目的的实现没有实质性影响，则本合同其他条款继续有效。</w:t>
      </w:r>
    </w:p>
    <w:p w14:paraId="11095DF1">
      <w:pPr>
        <w:keepNext w:val="0"/>
        <w:keepLines w:val="0"/>
        <w:pageBreakBefore w:val="0"/>
        <w:widowControl w:val="0"/>
        <w:kinsoku/>
        <w:wordWrap/>
        <w:overflowPunct/>
        <w:topLinePunct w:val="0"/>
        <w:bidi w:val="0"/>
        <w:adjustRightInd w:val="0"/>
        <w:spacing w:line="400" w:lineRule="exact"/>
        <w:ind w:firstLine="442" w:firstLineChars="200"/>
        <w:textAlignment w:val="auto"/>
        <w:rPr>
          <w:rFonts w:hint="eastAsia" w:ascii="宋体" w:hAnsi="宋体" w:eastAsia="宋体" w:cs="宋体"/>
          <w:color w:val="auto"/>
          <w:sz w:val="22"/>
          <w:szCs w:val="22"/>
          <w:highlight w:val="none"/>
        </w:rPr>
      </w:pPr>
      <w:r>
        <w:rPr>
          <w:rFonts w:hint="eastAsia" w:ascii="宋体" w:hAnsi="宋体" w:eastAsia="宋体" w:cs="宋体"/>
          <w:b/>
          <w:color w:val="auto"/>
          <w:sz w:val="22"/>
          <w:szCs w:val="22"/>
          <w:highlight w:val="none"/>
        </w:rPr>
        <w:t>17.5.3</w:t>
      </w:r>
      <w:r>
        <w:rPr>
          <w:rFonts w:hint="eastAsia" w:ascii="宋体" w:hAnsi="宋体" w:eastAsia="宋体" w:cs="宋体"/>
          <w:color w:val="auto"/>
          <w:sz w:val="22"/>
          <w:szCs w:val="22"/>
          <w:highlight w:val="none"/>
        </w:rPr>
        <w:t>通知</w:t>
      </w:r>
    </w:p>
    <w:p w14:paraId="4A0A84C3">
      <w:pPr>
        <w:keepNext w:val="0"/>
        <w:keepLines w:val="0"/>
        <w:pageBreakBefore w:val="0"/>
        <w:widowControl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根据合同规定由一方向另一方或两方发送的要约、记录或通知及文件均应采用书面形式，包括信件、传真、电子邮件、电报或电挂。若任何一方的地址或者其他信息（包括，但不限，收件人以及传真和邮箱，等）发生了变化，应事先书面通知另一方。</w:t>
      </w:r>
    </w:p>
    <w:p w14:paraId="683D66A9">
      <w:pPr>
        <w:keepNext w:val="0"/>
        <w:keepLines w:val="0"/>
        <w:pageBreakBefore w:val="0"/>
        <w:widowControl w:val="0"/>
        <w:numPr>
          <w:ilvl w:val="0"/>
          <w:numId w:val="7"/>
        </w:numPr>
        <w:tabs>
          <w:tab w:val="left" w:pos="658"/>
        </w:tabs>
        <w:kinsoku/>
        <w:wordWrap/>
        <w:overflowPunct/>
        <w:topLinePunct w:val="0"/>
        <w:bidi w:val="0"/>
        <w:spacing w:line="400" w:lineRule="exact"/>
        <w:ind w:left="0" w:firstLine="426"/>
        <w:jc w:val="left"/>
        <w:textAlignment w:val="auto"/>
        <w:outlineLvl w:val="3"/>
        <w:rPr>
          <w:rFonts w:hint="eastAsia" w:ascii="宋体" w:hAnsi="宋体" w:eastAsia="宋体" w:cs="宋体"/>
          <w:b/>
          <w:snapToGrid w:val="0"/>
          <w:color w:val="auto"/>
          <w:kern w:val="2"/>
          <w:sz w:val="22"/>
          <w:szCs w:val="22"/>
          <w:highlight w:val="none"/>
          <w:lang w:val="en-US" w:eastAsia="zh-CN" w:bidi="ar-SA"/>
        </w:rPr>
      </w:pPr>
      <w:bookmarkStart w:id="244" w:name="_Toc359839859"/>
      <w:bookmarkStart w:id="245" w:name="_Toc359838549"/>
      <w:bookmarkStart w:id="246" w:name="_Toc359839330"/>
      <w:bookmarkStart w:id="247" w:name="_Toc359839718"/>
      <w:r>
        <w:rPr>
          <w:rFonts w:hint="eastAsia" w:ascii="宋体" w:hAnsi="宋体" w:eastAsia="宋体" w:cs="宋体"/>
          <w:b/>
          <w:snapToGrid w:val="0"/>
          <w:color w:val="auto"/>
          <w:kern w:val="2"/>
          <w:sz w:val="22"/>
          <w:szCs w:val="22"/>
          <w:highlight w:val="none"/>
          <w:lang w:val="en-US" w:eastAsia="zh-CN" w:bidi="ar-SA"/>
        </w:rPr>
        <w:t>通讯联络</w:t>
      </w:r>
      <w:bookmarkEnd w:id="244"/>
      <w:bookmarkEnd w:id="245"/>
      <w:bookmarkEnd w:id="246"/>
      <w:bookmarkEnd w:id="247"/>
    </w:p>
    <w:p w14:paraId="0C61A9DC">
      <w:pPr>
        <w:keepNext w:val="0"/>
        <w:keepLines w:val="0"/>
        <w:pageBreakBefore w:val="0"/>
        <w:widowControl w:val="0"/>
        <w:kinsoku/>
        <w:wordWrap/>
        <w:overflowPunct/>
        <w:topLinePunct w:val="0"/>
        <w:bidi w:val="0"/>
        <w:adjustRightInd w:val="0"/>
        <w:spacing w:line="400" w:lineRule="exact"/>
        <w:ind w:firstLine="442" w:firstLineChars="200"/>
        <w:textAlignment w:val="auto"/>
        <w:rPr>
          <w:rFonts w:hint="eastAsia" w:ascii="宋体" w:hAnsi="宋体" w:eastAsia="宋体" w:cs="宋体"/>
          <w:color w:val="auto"/>
          <w:sz w:val="22"/>
          <w:szCs w:val="22"/>
          <w:highlight w:val="none"/>
        </w:rPr>
      </w:pPr>
      <w:r>
        <w:rPr>
          <w:rFonts w:hint="eastAsia" w:ascii="宋体" w:hAnsi="宋体" w:eastAsia="宋体" w:cs="宋体"/>
          <w:b/>
          <w:color w:val="auto"/>
          <w:sz w:val="22"/>
          <w:szCs w:val="22"/>
          <w:highlight w:val="none"/>
        </w:rPr>
        <w:t>18.1</w:t>
      </w:r>
      <w:r>
        <w:rPr>
          <w:rFonts w:hint="eastAsia" w:ascii="宋体" w:hAnsi="宋体" w:eastAsia="宋体" w:cs="宋体"/>
          <w:color w:val="auto"/>
          <w:sz w:val="22"/>
          <w:szCs w:val="22"/>
          <w:highlight w:val="none"/>
        </w:rPr>
        <w:t>无论何处述及由任何人发出或颁布的任何通知、指示、同意、批准、证明或决定，除另有说明者外，此类通讯联络均应为书面的，且不得无故扣押或拖延。</w:t>
      </w:r>
    </w:p>
    <w:p w14:paraId="50C655C9">
      <w:pPr>
        <w:keepNext w:val="0"/>
        <w:keepLines w:val="0"/>
        <w:pageBreakBefore w:val="0"/>
        <w:widowControl w:val="0"/>
        <w:kinsoku/>
        <w:wordWrap/>
        <w:overflowPunct/>
        <w:topLinePunct w:val="0"/>
        <w:bidi w:val="0"/>
        <w:adjustRightInd w:val="0"/>
        <w:spacing w:line="400" w:lineRule="exact"/>
        <w:ind w:firstLine="442" w:firstLineChars="200"/>
        <w:textAlignment w:val="auto"/>
        <w:rPr>
          <w:rFonts w:hint="eastAsia" w:ascii="宋体" w:hAnsi="宋体" w:eastAsia="宋体" w:cs="宋体"/>
          <w:color w:val="auto"/>
          <w:sz w:val="22"/>
          <w:szCs w:val="22"/>
          <w:highlight w:val="none"/>
        </w:rPr>
      </w:pPr>
      <w:r>
        <w:rPr>
          <w:rFonts w:hint="eastAsia" w:ascii="宋体" w:hAnsi="宋体" w:eastAsia="宋体" w:cs="宋体"/>
          <w:b/>
          <w:color w:val="auto"/>
          <w:sz w:val="22"/>
          <w:szCs w:val="22"/>
          <w:highlight w:val="none"/>
        </w:rPr>
        <w:t>18.2</w:t>
      </w:r>
      <w:r>
        <w:rPr>
          <w:rFonts w:hint="eastAsia" w:ascii="宋体" w:hAnsi="宋体" w:eastAsia="宋体" w:cs="宋体"/>
          <w:color w:val="auto"/>
          <w:sz w:val="22"/>
          <w:szCs w:val="22"/>
          <w:highlight w:val="none"/>
        </w:rPr>
        <w:t>无论何处述及的通讯联络应为“书写的”或“书面的”，这指的是任何手写，打字或印刷的通讯联络，包括合同中所商定的电子传送系统。</w:t>
      </w:r>
    </w:p>
    <w:p w14:paraId="1EFA4279">
      <w:pPr>
        <w:keepNext w:val="0"/>
        <w:keepLines w:val="0"/>
        <w:pageBreakBefore w:val="0"/>
        <w:widowControl w:val="0"/>
        <w:kinsoku/>
        <w:wordWrap/>
        <w:overflowPunct/>
        <w:topLinePunct w:val="0"/>
        <w:bidi w:val="0"/>
        <w:adjustRightInd w:val="0"/>
        <w:spacing w:line="400" w:lineRule="exact"/>
        <w:ind w:firstLine="442" w:firstLineChars="200"/>
        <w:textAlignment w:val="auto"/>
        <w:rPr>
          <w:rFonts w:hint="eastAsia" w:ascii="宋体" w:hAnsi="宋体" w:eastAsia="宋体" w:cs="宋体"/>
          <w:color w:val="auto"/>
          <w:sz w:val="22"/>
          <w:szCs w:val="22"/>
          <w:highlight w:val="none"/>
        </w:rPr>
      </w:pPr>
      <w:r>
        <w:rPr>
          <w:rFonts w:hint="eastAsia" w:ascii="宋体" w:hAnsi="宋体" w:eastAsia="宋体" w:cs="宋体"/>
          <w:b/>
          <w:color w:val="auto"/>
          <w:sz w:val="22"/>
          <w:szCs w:val="22"/>
          <w:highlight w:val="none"/>
        </w:rPr>
        <w:t>18.3</w:t>
      </w:r>
      <w:r>
        <w:rPr>
          <w:rFonts w:hint="eastAsia" w:ascii="宋体" w:hAnsi="宋体" w:eastAsia="宋体" w:cs="宋体"/>
          <w:color w:val="auto"/>
          <w:sz w:val="22"/>
          <w:szCs w:val="22"/>
          <w:highlight w:val="none"/>
        </w:rPr>
        <w:t>由</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发给</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的以及由</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发给</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的全部文件，应由人工送达并取得书面的收据证明，或由一种商定的电子传送系统发送。此类通讯联络的接收地址如下：</w:t>
      </w:r>
    </w:p>
    <w:p w14:paraId="5D7BD86E">
      <w:pPr>
        <w:keepNext w:val="0"/>
        <w:keepLines w:val="0"/>
        <w:pageBreakBefore w:val="0"/>
        <w:widowControl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p>
    <w:p w14:paraId="560961AE">
      <w:pPr>
        <w:keepNext w:val="0"/>
        <w:keepLines w:val="0"/>
        <w:pageBreakBefore w:val="0"/>
        <w:widowControl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w:t>
      </w:r>
    </w:p>
    <w:p w14:paraId="0DC259D8">
      <w:pPr>
        <w:keepNext w:val="0"/>
        <w:keepLines w:val="0"/>
        <w:pageBreakBefore w:val="0"/>
        <w:widowControl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地址：</w:t>
      </w:r>
    </w:p>
    <w:p w14:paraId="587D5300">
      <w:pPr>
        <w:keepNext w:val="0"/>
        <w:keepLines w:val="0"/>
        <w:pageBreakBefore w:val="0"/>
        <w:widowControl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联系人：         电话：          传真：         电子信箱：</w:t>
      </w:r>
    </w:p>
    <w:p w14:paraId="7891CFE8">
      <w:pPr>
        <w:keepNext w:val="0"/>
        <w:keepLines w:val="0"/>
        <w:pageBreakBefore w:val="0"/>
        <w:widowControl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p>
    <w:p w14:paraId="70114123">
      <w:pPr>
        <w:keepNext w:val="0"/>
        <w:keepLines w:val="0"/>
        <w:pageBreakBefore w:val="0"/>
        <w:widowControl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（联合体牵头方）：</w:t>
      </w:r>
    </w:p>
    <w:p w14:paraId="029D3859">
      <w:pPr>
        <w:keepNext w:val="0"/>
        <w:keepLines w:val="0"/>
        <w:pageBreakBefore w:val="0"/>
        <w:widowControl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地址：</w:t>
      </w:r>
    </w:p>
    <w:p w14:paraId="1DBC3BCE">
      <w:pPr>
        <w:keepNext w:val="0"/>
        <w:keepLines w:val="0"/>
        <w:pageBreakBefore w:val="0"/>
        <w:widowControl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联系人：         电话：          传真：         电子信箱：</w:t>
      </w:r>
    </w:p>
    <w:p w14:paraId="10E07E9E">
      <w:pPr>
        <w:keepNext w:val="0"/>
        <w:keepLines w:val="0"/>
        <w:pageBreakBefore w:val="0"/>
        <w:widowControl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p>
    <w:p w14:paraId="1FC655EE">
      <w:pPr>
        <w:keepNext w:val="0"/>
        <w:keepLines w:val="0"/>
        <w:pageBreakBefore w:val="0"/>
        <w:widowControl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（联合体成员）：</w:t>
      </w:r>
    </w:p>
    <w:p w14:paraId="7744980E">
      <w:pPr>
        <w:keepNext w:val="0"/>
        <w:keepLines w:val="0"/>
        <w:pageBreakBefore w:val="0"/>
        <w:widowControl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地址：</w:t>
      </w:r>
    </w:p>
    <w:p w14:paraId="7885BD2C">
      <w:pPr>
        <w:keepNext w:val="0"/>
        <w:keepLines w:val="0"/>
        <w:pageBreakBefore w:val="0"/>
        <w:widowControl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联系人：         电话：          传真：         电子信箱：</w:t>
      </w:r>
    </w:p>
    <w:p w14:paraId="2F177F30">
      <w:pPr>
        <w:keepNext w:val="0"/>
        <w:keepLines w:val="0"/>
        <w:pageBreakBefore w:val="0"/>
        <w:widowControl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lang w:eastAsia="zh-CN"/>
        </w:rPr>
      </w:pPr>
    </w:p>
    <w:p w14:paraId="7E03EFB2">
      <w:pPr>
        <w:keepNext w:val="0"/>
        <w:keepLines w:val="0"/>
        <w:pageBreakBefore w:val="0"/>
        <w:widowControl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丙</w:t>
      </w:r>
      <w:r>
        <w:rPr>
          <w:rFonts w:hint="eastAsia" w:ascii="宋体" w:hAnsi="宋体" w:eastAsia="宋体" w:cs="宋体"/>
          <w:color w:val="auto"/>
          <w:sz w:val="22"/>
          <w:szCs w:val="22"/>
          <w:highlight w:val="none"/>
          <w:lang w:eastAsia="zh-CN"/>
        </w:rPr>
        <w:t>方</w:t>
      </w:r>
      <w:r>
        <w:rPr>
          <w:rFonts w:hint="eastAsia" w:ascii="宋体" w:hAnsi="宋体" w:eastAsia="宋体" w:cs="宋体"/>
          <w:color w:val="auto"/>
          <w:sz w:val="22"/>
          <w:szCs w:val="22"/>
          <w:highlight w:val="none"/>
        </w:rPr>
        <w:t>：</w:t>
      </w:r>
    </w:p>
    <w:p w14:paraId="28607809">
      <w:pPr>
        <w:keepNext w:val="0"/>
        <w:keepLines w:val="0"/>
        <w:pageBreakBefore w:val="0"/>
        <w:widowControl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地址：</w:t>
      </w:r>
    </w:p>
    <w:p w14:paraId="7AACE0FC">
      <w:pPr>
        <w:keepNext w:val="0"/>
        <w:keepLines w:val="0"/>
        <w:pageBreakBefore w:val="0"/>
        <w:widowControl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联系人：         电话：          传真：         电子信箱：</w:t>
      </w:r>
    </w:p>
    <w:p w14:paraId="2AE02AE5">
      <w:pPr>
        <w:pStyle w:val="38"/>
        <w:keepNext w:val="0"/>
        <w:keepLines w:val="0"/>
        <w:pageBreakBefore w:val="0"/>
        <w:widowControl w:val="0"/>
        <w:kinsoku/>
        <w:wordWrap/>
        <w:overflowPunct/>
        <w:topLinePunct w:val="0"/>
        <w:bidi w:val="0"/>
        <w:spacing w:line="400" w:lineRule="exact"/>
        <w:ind w:firstLine="426"/>
        <w:textAlignment w:val="auto"/>
        <w:rPr>
          <w:rFonts w:hint="eastAsia" w:ascii="宋体" w:hAnsi="宋体" w:eastAsia="宋体" w:cs="宋体"/>
          <w:color w:val="auto"/>
          <w:sz w:val="22"/>
          <w:szCs w:val="20"/>
          <w:highlight w:val="none"/>
          <w:lang w:val="en-US" w:eastAsia="zh-CN"/>
        </w:rPr>
      </w:pPr>
    </w:p>
    <w:p w14:paraId="5E93B024">
      <w:pPr>
        <w:keepNext w:val="0"/>
        <w:keepLines w:val="0"/>
        <w:pageBreakBefore w:val="0"/>
        <w:widowControl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（1）通知在如下情况下被视为已经送达：</w:t>
      </w:r>
    </w:p>
    <w:p w14:paraId="6D7D4CDF">
      <w:pPr>
        <w:keepNext w:val="0"/>
        <w:keepLines w:val="0"/>
        <w:pageBreakBefore w:val="0"/>
        <w:widowControl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A.如果是采用信函方式，则当信函通过当面交付、快递或邮寄(挂号信，要求收讫回执)交付至上述地址时；</w:t>
      </w:r>
    </w:p>
    <w:p w14:paraId="0BD195A2">
      <w:pPr>
        <w:keepNext w:val="0"/>
        <w:keepLines w:val="0"/>
        <w:pageBreakBefore w:val="0"/>
        <w:widowControl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B.如果采用传真方式，则当收传真方已经实际收到完整并可以识别的传真之时；</w:t>
      </w:r>
    </w:p>
    <w:p w14:paraId="795AC228">
      <w:pPr>
        <w:keepNext w:val="0"/>
        <w:keepLines w:val="0"/>
        <w:pageBreakBefore w:val="0"/>
        <w:widowControl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C.如果采用电子邮件方式，则当对方实际看到电子邮件并进行口头确认收到时。</w:t>
      </w:r>
    </w:p>
    <w:p w14:paraId="4BEDD134">
      <w:pPr>
        <w:keepNext w:val="0"/>
        <w:keepLines w:val="0"/>
        <w:pageBreakBefore w:val="0"/>
        <w:widowControl w:val="0"/>
        <w:kinsoku/>
        <w:wordWrap/>
        <w:overflowPunct/>
        <w:topLinePunct w:val="0"/>
        <w:bidi w:val="0"/>
        <w:adjustRightInd w:val="0"/>
        <w:spacing w:line="400" w:lineRule="exact"/>
        <w:ind w:firstLine="44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2"/>
          <w:szCs w:val="22"/>
          <w:highlight w:val="none"/>
        </w:rPr>
        <w:t>（2）如果</w:t>
      </w:r>
      <w:r>
        <w:rPr>
          <w:rFonts w:hint="eastAsia" w:ascii="宋体" w:hAnsi="宋体" w:eastAsia="宋体" w:cs="宋体"/>
          <w:color w:val="auto"/>
          <w:sz w:val="22"/>
          <w:szCs w:val="22"/>
          <w:highlight w:val="none"/>
          <w:lang w:eastAsia="zh-CN"/>
        </w:rPr>
        <w:t>甲方</w:t>
      </w:r>
      <w:r>
        <w:rPr>
          <w:rFonts w:hint="eastAsia" w:ascii="宋体" w:hAnsi="宋体" w:eastAsia="宋体" w:cs="宋体"/>
          <w:color w:val="auto"/>
          <w:sz w:val="22"/>
          <w:szCs w:val="22"/>
          <w:highlight w:val="none"/>
        </w:rPr>
        <w:t>或</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对上述通讯联络的接收地址作出任何细节改动，应在采用该改动之前以书面形式</w:t>
      </w:r>
      <w:r>
        <w:rPr>
          <w:rFonts w:hint="eastAsia" w:ascii="宋体" w:hAnsi="宋体" w:eastAsia="宋体" w:cs="宋体"/>
          <w:color w:val="auto"/>
          <w:sz w:val="22"/>
          <w:szCs w:val="22"/>
          <w:highlight w:val="none"/>
          <w:lang w:eastAsia="zh-CN"/>
        </w:rPr>
        <w:t>乙方</w:t>
      </w:r>
      <w:r>
        <w:rPr>
          <w:rFonts w:hint="eastAsia" w:ascii="宋体" w:hAnsi="宋体" w:eastAsia="宋体" w:cs="宋体"/>
          <w:color w:val="auto"/>
          <w:sz w:val="22"/>
          <w:szCs w:val="22"/>
          <w:highlight w:val="none"/>
        </w:rPr>
        <w:t>通知对方。</w:t>
      </w:r>
    </w:p>
    <w:p w14:paraId="7881ECF7">
      <w:pPr>
        <w:rPr>
          <w:rFonts w:hint="eastAsia"/>
          <w:color w:val="auto"/>
          <w:highlight w:val="none"/>
        </w:rPr>
      </w:pPr>
    </w:p>
    <w:p w14:paraId="6D3B39BA">
      <w:pPr>
        <w:rPr>
          <w:color w:val="auto"/>
          <w:highlight w:val="none"/>
        </w:rPr>
      </w:pPr>
    </w:p>
    <w:p w14:paraId="7C6391A3">
      <w:pPr>
        <w:keepNext w:val="0"/>
        <w:keepLines w:val="0"/>
        <w:pageBreakBefore w:val="0"/>
        <w:kinsoku/>
        <w:wordWrap/>
        <w:overflowPunct/>
        <w:topLinePunct w:val="0"/>
        <w:bidi w:val="0"/>
        <w:spacing w:line="400" w:lineRule="exact"/>
        <w:ind w:firstLine="440" w:firstLineChars="200"/>
        <w:jc w:val="left"/>
        <w:textAlignment w:val="auto"/>
        <w:rPr>
          <w:rFonts w:hint="eastAsia" w:ascii="宋体" w:hAnsi="宋体" w:eastAsia="宋体" w:cs="宋体"/>
          <w:color w:val="auto"/>
          <w:szCs w:val="24"/>
          <w:highlight w:val="none"/>
        </w:rPr>
      </w:pPr>
      <w:r>
        <w:rPr>
          <w:rFonts w:hint="eastAsia" w:ascii="宋体" w:hAnsi="宋体" w:eastAsia="宋体" w:cs="宋体"/>
          <w:color w:val="auto"/>
          <w:sz w:val="22"/>
          <w:szCs w:val="22"/>
          <w:highlight w:val="none"/>
          <w:u w:val="none"/>
        </w:rPr>
        <w:t>注：</w:t>
      </w:r>
      <w:r>
        <w:rPr>
          <w:rFonts w:hint="eastAsia" w:ascii="宋体" w:hAnsi="宋体" w:eastAsia="宋体" w:cs="宋体"/>
          <w:color w:val="auto"/>
          <w:sz w:val="22"/>
          <w:szCs w:val="22"/>
          <w:highlight w:val="none"/>
          <w:u w:val="single"/>
        </w:rPr>
        <w:t>本合同作为示范文本，具体以正式签订合同为准，合同条款的具体内容应严格按照</w:t>
      </w:r>
      <w:r>
        <w:rPr>
          <w:rFonts w:hint="eastAsia" w:ascii="宋体" w:hAnsi="宋体" w:eastAsia="宋体" w:cs="宋体"/>
          <w:color w:val="auto"/>
          <w:sz w:val="22"/>
          <w:szCs w:val="22"/>
          <w:highlight w:val="none"/>
          <w:u w:val="single"/>
          <w:lang w:eastAsia="zh-CN"/>
        </w:rPr>
        <w:t>采购文件</w:t>
      </w:r>
      <w:r>
        <w:rPr>
          <w:rFonts w:hint="eastAsia" w:ascii="宋体" w:hAnsi="宋体" w:eastAsia="宋体" w:cs="宋体"/>
          <w:color w:val="auto"/>
          <w:sz w:val="22"/>
          <w:szCs w:val="22"/>
          <w:highlight w:val="none"/>
          <w:u w:val="single"/>
        </w:rPr>
        <w:t>、</w:t>
      </w:r>
      <w:r>
        <w:rPr>
          <w:rFonts w:hint="eastAsia" w:ascii="宋体" w:hAnsi="宋体" w:eastAsia="宋体" w:cs="宋体"/>
          <w:color w:val="auto"/>
          <w:sz w:val="22"/>
          <w:szCs w:val="22"/>
          <w:highlight w:val="none"/>
          <w:u w:val="single"/>
          <w:lang w:eastAsia="zh-CN"/>
        </w:rPr>
        <w:t>响应文件</w:t>
      </w:r>
      <w:r>
        <w:rPr>
          <w:rFonts w:hint="eastAsia" w:ascii="宋体" w:hAnsi="宋体" w:eastAsia="宋体" w:cs="宋体"/>
          <w:color w:val="auto"/>
          <w:sz w:val="22"/>
          <w:szCs w:val="22"/>
          <w:highlight w:val="none"/>
          <w:u w:val="single"/>
        </w:rPr>
        <w:t>、采购结果及中标供应商的承诺来拟订。</w:t>
      </w:r>
    </w:p>
    <w:p w14:paraId="0D3D55DB">
      <w:pPr>
        <w:keepNext w:val="0"/>
        <w:keepLines w:val="0"/>
        <w:pageBreakBefore w:val="0"/>
        <w:kinsoku/>
        <w:wordWrap/>
        <w:overflowPunct/>
        <w:topLinePunct w:val="0"/>
        <w:autoSpaceDE w:val="0"/>
        <w:autoSpaceDN w:val="0"/>
        <w:bidi w:val="0"/>
        <w:adjustRightInd w:val="0"/>
        <w:spacing w:line="400" w:lineRule="exact"/>
        <w:jc w:val="center"/>
        <w:textAlignment w:val="auto"/>
        <w:outlineLvl w:val="0"/>
        <w:rPr>
          <w:rFonts w:hint="eastAsia" w:ascii="宋体" w:hAnsi="宋体" w:eastAsia="宋体" w:cs="宋体"/>
          <w:b/>
          <w:color w:val="auto"/>
          <w:sz w:val="24"/>
          <w:szCs w:val="24"/>
          <w:highlight w:val="none"/>
          <w:lang w:val="zh-CN"/>
        </w:rPr>
      </w:pPr>
      <w:bookmarkStart w:id="248" w:name="_Toc30605"/>
    </w:p>
    <w:p w14:paraId="02CDB819">
      <w:pPr>
        <w:keepNext w:val="0"/>
        <w:keepLines w:val="0"/>
        <w:pageBreakBefore w:val="0"/>
        <w:kinsoku/>
        <w:wordWrap/>
        <w:overflowPunct/>
        <w:topLinePunct w:val="0"/>
        <w:autoSpaceDE w:val="0"/>
        <w:autoSpaceDN w:val="0"/>
        <w:bidi w:val="0"/>
        <w:adjustRightInd w:val="0"/>
        <w:spacing w:line="400" w:lineRule="exact"/>
        <w:jc w:val="center"/>
        <w:textAlignment w:val="auto"/>
        <w:outlineLvl w:val="0"/>
        <w:rPr>
          <w:rFonts w:hint="eastAsia" w:ascii="宋体" w:hAnsi="宋体" w:eastAsia="宋体" w:cs="宋体"/>
          <w:color w:val="auto"/>
          <w:sz w:val="36"/>
          <w:szCs w:val="36"/>
          <w:highlight w:val="none"/>
        </w:rPr>
        <w:sectPr>
          <w:footerReference r:id="rId12" w:type="first"/>
          <w:footerReference r:id="rId11" w:type="default"/>
          <w:pgSz w:w="11906" w:h="16838"/>
          <w:pgMar w:top="1440" w:right="1361" w:bottom="1276" w:left="1361" w:header="851" w:footer="992" w:gutter="0"/>
          <w:pgNumType w:fmt="decimal"/>
          <w:cols w:space="720" w:num="1"/>
          <w:docGrid w:linePitch="312" w:charSpace="0"/>
        </w:sectPr>
      </w:pPr>
      <w:r>
        <w:rPr>
          <w:rFonts w:hint="eastAsia" w:ascii="宋体" w:hAnsi="宋体" w:eastAsia="宋体" w:cs="宋体"/>
          <w:b/>
          <w:color w:val="auto"/>
          <w:sz w:val="24"/>
          <w:szCs w:val="24"/>
          <w:highlight w:val="none"/>
          <w:lang w:val="zh-CN"/>
        </w:rPr>
        <w:t>（合同签订后采购人或供应商须将合同副本</w:t>
      </w:r>
      <w:bookmarkEnd w:id="248"/>
      <w:bookmarkStart w:id="249" w:name="_Toc12954"/>
      <w:r>
        <w:rPr>
          <w:rFonts w:hint="eastAsia" w:ascii="宋体" w:hAnsi="宋体" w:eastAsia="宋体" w:cs="宋体"/>
          <w:b/>
          <w:color w:val="auto"/>
          <w:sz w:val="24"/>
          <w:szCs w:val="24"/>
          <w:highlight w:val="none"/>
          <w:lang w:val="zh-CN"/>
        </w:rPr>
        <w:t>送达</w:t>
      </w:r>
      <w:r>
        <w:rPr>
          <w:rFonts w:hint="eastAsia" w:ascii="宋体" w:hAnsi="宋体" w:eastAsia="宋体" w:cs="宋体"/>
          <w:b/>
          <w:color w:val="auto"/>
          <w:sz w:val="24"/>
          <w:szCs w:val="24"/>
          <w:highlight w:val="none"/>
          <w:lang w:val="en-US" w:eastAsia="zh-CN"/>
        </w:rPr>
        <w:t>招标代理机构</w:t>
      </w:r>
      <w:r>
        <w:rPr>
          <w:rFonts w:hint="eastAsia" w:ascii="宋体" w:hAnsi="宋体" w:eastAsia="宋体" w:cs="宋体"/>
          <w:b/>
          <w:color w:val="auto"/>
          <w:sz w:val="24"/>
          <w:szCs w:val="24"/>
          <w:highlight w:val="none"/>
          <w:lang w:val="zh-CN"/>
        </w:rPr>
        <w:t>处备案）</w:t>
      </w:r>
      <w:bookmarkEnd w:id="249"/>
    </w:p>
    <w:p w14:paraId="53800B17">
      <w:pPr>
        <w:pStyle w:val="6"/>
        <w:tabs>
          <w:tab w:val="left" w:pos="1069"/>
          <w:tab w:val="left" w:pos="2352"/>
        </w:tabs>
        <w:jc w:val="center"/>
        <w:rPr>
          <w:rFonts w:hint="eastAsia" w:ascii="宋体" w:hAnsi="宋体" w:cs="宋体"/>
          <w:b/>
          <w:bCs/>
          <w:color w:val="auto"/>
          <w:sz w:val="32"/>
          <w:szCs w:val="32"/>
          <w:highlight w:val="none"/>
        </w:rPr>
      </w:pPr>
    </w:p>
    <w:p w14:paraId="4B8F3507">
      <w:pPr>
        <w:pStyle w:val="6"/>
        <w:tabs>
          <w:tab w:val="left" w:pos="1069"/>
          <w:tab w:val="left" w:pos="2352"/>
        </w:tabs>
        <w:jc w:val="center"/>
        <w:rPr>
          <w:rFonts w:ascii="宋体" w:hAnsi="宋体" w:cs="宋体"/>
          <w:b/>
          <w:bCs/>
          <w:color w:val="auto"/>
          <w:sz w:val="32"/>
          <w:szCs w:val="32"/>
          <w:highlight w:val="none"/>
        </w:rPr>
      </w:pPr>
      <w:r>
        <w:rPr>
          <w:rFonts w:hint="eastAsia" w:ascii="宋体" w:hAnsi="宋体" w:cs="宋体"/>
          <w:b/>
          <w:bCs/>
          <w:color w:val="auto"/>
          <w:sz w:val="32"/>
          <w:szCs w:val="32"/>
          <w:highlight w:val="none"/>
        </w:rPr>
        <w:t>第六部分、附件-投标（响应）文件格式</w:t>
      </w:r>
      <w:bookmarkEnd w:id="91"/>
    </w:p>
    <w:p w14:paraId="54B0C97C">
      <w:pPr>
        <w:tabs>
          <w:tab w:val="left" w:pos="1069"/>
          <w:tab w:val="left" w:pos="2352"/>
        </w:tabs>
        <w:snapToGrid w:val="0"/>
        <w:spacing w:line="440" w:lineRule="exact"/>
        <w:rPr>
          <w:rFonts w:ascii="宋体" w:hAnsi="宋体" w:cs="宋体"/>
          <w:b/>
          <w:bCs/>
          <w:color w:val="auto"/>
          <w:sz w:val="32"/>
          <w:szCs w:val="32"/>
          <w:highlight w:val="none"/>
        </w:rPr>
      </w:pPr>
      <w:r>
        <w:rPr>
          <w:rFonts w:hint="eastAsia" w:ascii="宋体" w:hAnsi="宋体" w:cs="宋体"/>
          <w:b/>
          <w:bCs/>
          <w:color w:val="auto"/>
          <w:sz w:val="22"/>
          <w:highlight w:val="none"/>
          <w:lang w:val="zh-CN"/>
        </w:rPr>
        <w:t>一、</w:t>
      </w:r>
      <w:r>
        <w:rPr>
          <w:rFonts w:hint="eastAsia" w:ascii="宋体" w:hAnsi="宋体" w:cs="宋体"/>
          <w:b/>
          <w:bCs/>
          <w:color w:val="auto"/>
          <w:sz w:val="22"/>
          <w:highlight w:val="none"/>
        </w:rPr>
        <w:t>报价</w:t>
      </w:r>
      <w:r>
        <w:rPr>
          <w:rFonts w:hint="eastAsia" w:ascii="宋体" w:hAnsi="宋体" w:cs="宋体"/>
          <w:b/>
          <w:bCs/>
          <w:color w:val="auto"/>
          <w:sz w:val="22"/>
          <w:highlight w:val="none"/>
          <w:lang w:val="zh-CN"/>
        </w:rPr>
        <w:t>部分投标文件格式</w:t>
      </w:r>
    </w:p>
    <w:p w14:paraId="2162C704">
      <w:pPr>
        <w:pStyle w:val="9"/>
        <w:tabs>
          <w:tab w:val="left" w:pos="1069"/>
          <w:tab w:val="left" w:pos="2352"/>
        </w:tabs>
        <w:rPr>
          <w:rFonts w:ascii="宋体" w:hAnsi="宋体" w:cs="宋体"/>
          <w:color w:val="auto"/>
          <w:sz w:val="22"/>
          <w:szCs w:val="22"/>
          <w:highlight w:val="none"/>
        </w:rPr>
      </w:pPr>
      <w:r>
        <w:rPr>
          <w:rFonts w:hint="eastAsia" w:ascii="宋体" w:hAnsi="宋体" w:cs="宋体"/>
          <w:b/>
          <w:bCs/>
          <w:color w:val="auto"/>
          <w:sz w:val="22"/>
          <w:highlight w:val="none"/>
        </w:rPr>
        <w:t>报价</w:t>
      </w:r>
      <w:r>
        <w:rPr>
          <w:rFonts w:hint="eastAsia" w:ascii="宋体" w:hAnsi="宋体" w:cs="宋体"/>
          <w:b/>
          <w:bCs/>
          <w:color w:val="auto"/>
          <w:sz w:val="22"/>
          <w:highlight w:val="none"/>
          <w:lang w:val="zh-CN"/>
        </w:rPr>
        <w:t>部分投标文件</w:t>
      </w:r>
      <w:r>
        <w:rPr>
          <w:rFonts w:hint="eastAsia" w:ascii="宋体" w:hAnsi="宋体" w:cs="宋体"/>
          <w:color w:val="auto"/>
          <w:sz w:val="22"/>
          <w:szCs w:val="22"/>
          <w:highlight w:val="none"/>
        </w:rPr>
        <w:t>封面参考：</w:t>
      </w:r>
    </w:p>
    <w:p w14:paraId="48B4B4E4">
      <w:pPr>
        <w:tabs>
          <w:tab w:val="left" w:pos="1069"/>
          <w:tab w:val="left" w:pos="2352"/>
        </w:tabs>
        <w:snapToGrid w:val="0"/>
        <w:spacing w:line="440" w:lineRule="exact"/>
        <w:jc w:val="center"/>
        <w:rPr>
          <w:rFonts w:ascii="宋体" w:hAnsi="宋体" w:cs="宋体"/>
          <w:b/>
          <w:color w:val="auto"/>
          <w:sz w:val="32"/>
          <w:szCs w:val="32"/>
          <w:highlight w:val="none"/>
        </w:rPr>
      </w:pPr>
    </w:p>
    <w:p w14:paraId="25BC74B2">
      <w:pPr>
        <w:tabs>
          <w:tab w:val="left" w:pos="1069"/>
          <w:tab w:val="left" w:pos="2352"/>
        </w:tabs>
        <w:spacing w:line="480" w:lineRule="auto"/>
        <w:jc w:val="center"/>
        <w:rPr>
          <w:rFonts w:hint="eastAsia" w:ascii="宋体" w:hAnsi="宋体" w:eastAsia="等线" w:cs="宋体"/>
          <w:b/>
          <w:color w:val="auto"/>
          <w:sz w:val="64"/>
          <w:szCs w:val="64"/>
          <w:highlight w:val="none"/>
          <w:lang w:eastAsia="zh-CN"/>
        </w:rPr>
      </w:pPr>
      <w:r>
        <w:rPr>
          <w:rFonts w:hint="eastAsia" w:ascii="宋体" w:hAnsi="宋体" w:eastAsia="等线" w:cs="宋体"/>
          <w:b/>
          <w:color w:val="auto"/>
          <w:sz w:val="64"/>
          <w:szCs w:val="64"/>
          <w:highlight w:val="none"/>
          <w:lang w:eastAsia="zh-CN"/>
        </w:rPr>
        <w:t>2024年泰顺县罗阳镇上洪村堆谷洋农田宜机化改造项目</w:t>
      </w:r>
    </w:p>
    <w:p w14:paraId="0BA26CB6">
      <w:pPr>
        <w:tabs>
          <w:tab w:val="left" w:pos="1069"/>
          <w:tab w:val="left" w:pos="2352"/>
        </w:tabs>
        <w:spacing w:line="480" w:lineRule="auto"/>
        <w:jc w:val="center"/>
        <w:rPr>
          <w:rFonts w:ascii="等线" w:hAnsi="等线" w:eastAsia="等线" w:cs="等线"/>
          <w:bCs/>
          <w:color w:val="auto"/>
          <w:sz w:val="84"/>
          <w:szCs w:val="84"/>
          <w:highlight w:val="none"/>
        </w:rPr>
      </w:pPr>
      <w:r>
        <w:rPr>
          <w:rFonts w:hint="eastAsia" w:ascii="等线" w:hAnsi="等线" w:eastAsia="等线" w:cs="等线"/>
          <w:bCs/>
          <w:color w:val="auto"/>
          <w:sz w:val="84"/>
          <w:szCs w:val="84"/>
          <w:highlight w:val="none"/>
        </w:rPr>
        <w:t>投 标 文 件</w:t>
      </w:r>
    </w:p>
    <w:p w14:paraId="0949A305">
      <w:pPr>
        <w:tabs>
          <w:tab w:val="left" w:pos="1069"/>
          <w:tab w:val="left" w:pos="2352"/>
        </w:tabs>
        <w:spacing w:line="480" w:lineRule="auto"/>
        <w:jc w:val="center"/>
        <w:rPr>
          <w:rFonts w:ascii="等线" w:hAnsi="等线" w:eastAsia="等线" w:cs="等线"/>
          <w:bCs/>
          <w:color w:val="auto"/>
          <w:sz w:val="84"/>
          <w:szCs w:val="84"/>
          <w:highlight w:val="none"/>
        </w:rPr>
      </w:pPr>
      <w:r>
        <w:rPr>
          <w:rFonts w:hint="eastAsia" w:ascii="等线" w:hAnsi="等线" w:eastAsia="等线" w:cs="等线"/>
          <w:bCs/>
          <w:color w:val="auto"/>
          <w:sz w:val="60"/>
          <w:szCs w:val="60"/>
          <w:highlight w:val="none"/>
        </w:rPr>
        <w:t>（报 价 部 分）</w:t>
      </w:r>
    </w:p>
    <w:p w14:paraId="09DBE477">
      <w:pPr>
        <w:tabs>
          <w:tab w:val="left" w:pos="1069"/>
          <w:tab w:val="left" w:pos="2352"/>
        </w:tabs>
        <w:snapToGrid w:val="0"/>
        <w:spacing w:line="600" w:lineRule="atLeast"/>
        <w:ind w:firstLine="1052" w:firstLineChars="400"/>
        <w:rPr>
          <w:rFonts w:ascii="宋体" w:hAnsi="宋体" w:cs="宋体"/>
          <w:b/>
          <w:color w:val="auto"/>
          <w:sz w:val="26"/>
          <w:szCs w:val="26"/>
          <w:highlight w:val="none"/>
        </w:rPr>
      </w:pPr>
    </w:p>
    <w:p w14:paraId="0EE5F3D2">
      <w:pPr>
        <w:tabs>
          <w:tab w:val="left" w:pos="1069"/>
          <w:tab w:val="left" w:pos="2352"/>
        </w:tabs>
        <w:snapToGrid w:val="0"/>
        <w:spacing w:line="600" w:lineRule="atLeast"/>
        <w:ind w:firstLine="1052" w:firstLineChars="400"/>
        <w:rPr>
          <w:rFonts w:ascii="宋体" w:hAnsi="宋体" w:cs="宋体"/>
          <w:b/>
          <w:color w:val="auto"/>
          <w:sz w:val="26"/>
          <w:szCs w:val="26"/>
          <w:highlight w:val="none"/>
        </w:rPr>
      </w:pPr>
    </w:p>
    <w:tbl>
      <w:tblPr>
        <w:tblStyle w:val="31"/>
        <w:tblW w:w="0" w:type="auto"/>
        <w:tblInd w:w="844"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7678"/>
      </w:tblGrid>
      <w:tr w14:paraId="29373749">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737" w:hRule="atLeast"/>
        </w:trPr>
        <w:tc>
          <w:tcPr>
            <w:tcW w:w="7678" w:type="dxa"/>
          </w:tcPr>
          <w:p w14:paraId="61D5BE2C">
            <w:pPr>
              <w:tabs>
                <w:tab w:val="left" w:pos="1069"/>
                <w:tab w:val="left" w:pos="2352"/>
              </w:tabs>
              <w:snapToGrid w:val="0"/>
              <w:spacing w:line="600" w:lineRule="atLeast"/>
              <w:rPr>
                <w:rFonts w:hint="eastAsia" w:ascii="宋体" w:hAnsi="宋体" w:eastAsia="宋体" w:cs="宋体"/>
                <w:b/>
                <w:color w:val="auto"/>
                <w:sz w:val="26"/>
                <w:szCs w:val="26"/>
                <w:highlight w:val="none"/>
                <w:lang w:eastAsia="zh-CN"/>
              </w:rPr>
            </w:pPr>
            <w:r>
              <w:rPr>
                <w:rFonts w:hint="eastAsia" w:ascii="宋体" w:hAnsi="宋体" w:cs="宋体"/>
                <w:b/>
                <w:color w:val="auto"/>
                <w:sz w:val="26"/>
                <w:szCs w:val="26"/>
                <w:highlight w:val="none"/>
              </w:rPr>
              <w:t>项目编号：</w:t>
            </w:r>
            <w:r>
              <w:rPr>
                <w:rFonts w:hint="eastAsia" w:ascii="宋体" w:hAnsi="宋体" w:cs="宋体"/>
                <w:b/>
                <w:color w:val="auto"/>
                <w:sz w:val="26"/>
                <w:szCs w:val="26"/>
                <w:highlight w:val="none"/>
                <w:lang w:eastAsia="zh-CN"/>
              </w:rPr>
              <w:t>TSCG202502006</w:t>
            </w:r>
          </w:p>
        </w:tc>
      </w:tr>
      <w:tr w14:paraId="71FDA3E4">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737" w:hRule="atLeast"/>
        </w:trPr>
        <w:tc>
          <w:tcPr>
            <w:tcW w:w="7678" w:type="dxa"/>
          </w:tcPr>
          <w:p w14:paraId="5C5F3736">
            <w:pPr>
              <w:tabs>
                <w:tab w:val="left" w:pos="1069"/>
                <w:tab w:val="left" w:pos="2352"/>
              </w:tabs>
              <w:snapToGrid w:val="0"/>
              <w:spacing w:line="600" w:lineRule="atLeast"/>
              <w:rPr>
                <w:rFonts w:hint="eastAsia" w:ascii="宋体" w:hAnsi="宋体" w:eastAsia="宋体" w:cs="宋体"/>
                <w:b/>
                <w:color w:val="auto"/>
                <w:sz w:val="26"/>
                <w:szCs w:val="26"/>
                <w:highlight w:val="none"/>
                <w:lang w:eastAsia="zh-CN"/>
              </w:rPr>
            </w:pPr>
            <w:r>
              <w:rPr>
                <w:rFonts w:hint="eastAsia" w:ascii="宋体" w:hAnsi="宋体" w:cs="宋体"/>
                <w:b/>
                <w:color w:val="auto"/>
                <w:sz w:val="26"/>
                <w:szCs w:val="26"/>
                <w:highlight w:val="none"/>
              </w:rPr>
              <w:t>采购单位：</w:t>
            </w:r>
            <w:r>
              <w:rPr>
                <w:rFonts w:hint="eastAsia" w:ascii="宋体" w:hAnsi="宋体" w:cs="宋体"/>
                <w:b/>
                <w:color w:val="auto"/>
                <w:sz w:val="26"/>
                <w:szCs w:val="26"/>
                <w:highlight w:val="none"/>
                <w:lang w:eastAsia="zh-CN"/>
              </w:rPr>
              <w:t>泰顺县罗阳镇人民政府</w:t>
            </w:r>
          </w:p>
        </w:tc>
      </w:tr>
      <w:tr w14:paraId="1D8C94C0">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737" w:hRule="atLeast"/>
        </w:trPr>
        <w:tc>
          <w:tcPr>
            <w:tcW w:w="7678" w:type="dxa"/>
          </w:tcPr>
          <w:p w14:paraId="46102203">
            <w:pPr>
              <w:tabs>
                <w:tab w:val="left" w:pos="1069"/>
                <w:tab w:val="left" w:pos="2352"/>
              </w:tabs>
              <w:snapToGrid w:val="0"/>
              <w:spacing w:line="600" w:lineRule="atLeast"/>
              <w:rPr>
                <w:rFonts w:ascii="宋体" w:hAnsi="宋体" w:cs="宋体"/>
                <w:b/>
                <w:color w:val="auto"/>
                <w:sz w:val="26"/>
                <w:szCs w:val="26"/>
                <w:highlight w:val="none"/>
              </w:rPr>
            </w:pPr>
            <w:r>
              <w:rPr>
                <w:rFonts w:hint="eastAsia" w:ascii="宋体" w:hAnsi="宋体" w:cs="宋体"/>
                <w:b/>
                <w:color w:val="auto"/>
                <w:sz w:val="26"/>
                <w:szCs w:val="26"/>
                <w:highlight w:val="none"/>
              </w:rPr>
              <w:t>供应商名称（盖章）：</w:t>
            </w:r>
          </w:p>
        </w:tc>
      </w:tr>
      <w:tr w14:paraId="1AA52D4E">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737" w:hRule="atLeast"/>
        </w:trPr>
        <w:tc>
          <w:tcPr>
            <w:tcW w:w="7678" w:type="dxa"/>
          </w:tcPr>
          <w:p w14:paraId="28EDBAB2">
            <w:pPr>
              <w:tabs>
                <w:tab w:val="left" w:pos="1069"/>
                <w:tab w:val="left" w:pos="2352"/>
              </w:tabs>
              <w:snapToGrid w:val="0"/>
              <w:spacing w:line="600" w:lineRule="atLeast"/>
              <w:rPr>
                <w:rFonts w:ascii="宋体" w:hAnsi="宋体" w:cs="宋体"/>
                <w:b/>
                <w:color w:val="auto"/>
                <w:sz w:val="26"/>
                <w:szCs w:val="26"/>
                <w:highlight w:val="none"/>
              </w:rPr>
            </w:pPr>
            <w:r>
              <w:rPr>
                <w:rFonts w:hint="eastAsia" w:ascii="宋体" w:hAnsi="宋体" w:cs="宋体"/>
                <w:b/>
                <w:color w:val="auto"/>
                <w:sz w:val="26"/>
                <w:szCs w:val="26"/>
                <w:highlight w:val="none"/>
              </w:rPr>
              <w:t>供应商地址：</w:t>
            </w:r>
          </w:p>
        </w:tc>
      </w:tr>
      <w:tr w14:paraId="342A14E0">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737" w:hRule="atLeast"/>
        </w:trPr>
        <w:tc>
          <w:tcPr>
            <w:tcW w:w="7678" w:type="dxa"/>
          </w:tcPr>
          <w:p w14:paraId="46162CC0">
            <w:pPr>
              <w:tabs>
                <w:tab w:val="left" w:pos="1069"/>
                <w:tab w:val="left" w:pos="2352"/>
              </w:tabs>
              <w:snapToGrid w:val="0"/>
              <w:spacing w:line="600" w:lineRule="atLeast"/>
              <w:rPr>
                <w:rFonts w:ascii="宋体" w:hAnsi="宋体" w:cs="宋体"/>
                <w:b/>
                <w:color w:val="auto"/>
                <w:sz w:val="26"/>
                <w:szCs w:val="26"/>
                <w:highlight w:val="none"/>
              </w:rPr>
            </w:pPr>
            <w:r>
              <w:rPr>
                <w:rFonts w:hint="eastAsia" w:ascii="宋体" w:hAnsi="宋体" w:cs="宋体"/>
                <w:b/>
                <w:color w:val="auto"/>
                <w:sz w:val="26"/>
                <w:szCs w:val="26"/>
                <w:highlight w:val="none"/>
              </w:rPr>
              <w:t>法定代表人（签字或盖章）或</w:t>
            </w:r>
            <w:r>
              <w:rPr>
                <w:rFonts w:hint="eastAsia" w:ascii="宋体" w:hAnsi="宋体" w:cs="宋体"/>
                <w:b/>
                <w:color w:val="auto"/>
                <w:sz w:val="26"/>
                <w:szCs w:val="26"/>
                <w:highlight w:val="none"/>
                <w:lang w:val="zh-CN"/>
              </w:rPr>
              <w:t>授权代表（签字）：</w:t>
            </w:r>
          </w:p>
        </w:tc>
      </w:tr>
      <w:tr w14:paraId="46BC4AF7">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737" w:hRule="atLeast"/>
        </w:trPr>
        <w:tc>
          <w:tcPr>
            <w:tcW w:w="7678" w:type="dxa"/>
          </w:tcPr>
          <w:p w14:paraId="7448DCAE">
            <w:pPr>
              <w:tabs>
                <w:tab w:val="left" w:pos="1069"/>
                <w:tab w:val="left" w:pos="2352"/>
              </w:tabs>
              <w:snapToGrid w:val="0"/>
              <w:spacing w:line="600" w:lineRule="atLeast"/>
              <w:rPr>
                <w:rFonts w:ascii="宋体" w:hAnsi="宋体" w:cs="宋体"/>
                <w:b/>
                <w:color w:val="auto"/>
                <w:sz w:val="26"/>
                <w:szCs w:val="26"/>
                <w:highlight w:val="none"/>
              </w:rPr>
            </w:pPr>
            <w:r>
              <w:rPr>
                <w:rFonts w:hint="eastAsia" w:ascii="宋体" w:hAnsi="宋体" w:cs="宋体"/>
                <w:b/>
                <w:color w:val="auto"/>
                <w:sz w:val="26"/>
                <w:szCs w:val="26"/>
                <w:highlight w:val="none"/>
              </w:rPr>
              <w:t>日期：  年 月 日</w:t>
            </w:r>
          </w:p>
        </w:tc>
      </w:tr>
    </w:tbl>
    <w:p w14:paraId="0673EB96">
      <w:pPr>
        <w:tabs>
          <w:tab w:val="left" w:pos="1069"/>
          <w:tab w:val="left" w:pos="2352"/>
        </w:tabs>
        <w:autoSpaceDE w:val="0"/>
        <w:autoSpaceDN w:val="0"/>
        <w:adjustRightInd w:val="0"/>
        <w:spacing w:line="360" w:lineRule="exact"/>
        <w:rPr>
          <w:rFonts w:ascii="宋体" w:hAnsi="宋体" w:cs="宋体"/>
          <w:b/>
          <w:bCs/>
          <w:color w:val="auto"/>
          <w:sz w:val="32"/>
          <w:szCs w:val="32"/>
          <w:highlight w:val="none"/>
          <w:lang w:val="zh-CN"/>
        </w:rPr>
      </w:pPr>
    </w:p>
    <w:p w14:paraId="6E48A5B8">
      <w:pPr>
        <w:tabs>
          <w:tab w:val="left" w:pos="1069"/>
          <w:tab w:val="left" w:pos="2352"/>
        </w:tabs>
        <w:autoSpaceDE w:val="0"/>
        <w:autoSpaceDN w:val="0"/>
        <w:adjustRightInd w:val="0"/>
        <w:spacing w:line="360" w:lineRule="exact"/>
        <w:rPr>
          <w:rFonts w:ascii="宋体" w:hAnsi="宋体" w:cs="宋体"/>
          <w:b/>
          <w:bCs/>
          <w:color w:val="auto"/>
          <w:sz w:val="32"/>
          <w:szCs w:val="32"/>
          <w:highlight w:val="none"/>
          <w:lang w:val="zh-CN"/>
        </w:rPr>
      </w:pPr>
    </w:p>
    <w:p w14:paraId="7F66303A">
      <w:pPr>
        <w:tabs>
          <w:tab w:val="left" w:pos="1069"/>
          <w:tab w:val="left" w:pos="2352"/>
        </w:tabs>
        <w:autoSpaceDE w:val="0"/>
        <w:autoSpaceDN w:val="0"/>
        <w:adjustRightInd w:val="0"/>
        <w:spacing w:line="360" w:lineRule="exact"/>
        <w:rPr>
          <w:rFonts w:ascii="宋体" w:hAnsi="宋体" w:cs="宋体"/>
          <w:b/>
          <w:bCs/>
          <w:color w:val="auto"/>
          <w:sz w:val="32"/>
          <w:szCs w:val="32"/>
          <w:highlight w:val="none"/>
          <w:lang w:val="zh-CN"/>
        </w:rPr>
      </w:pPr>
    </w:p>
    <w:p w14:paraId="735FDF25">
      <w:pPr>
        <w:tabs>
          <w:tab w:val="left" w:pos="1069"/>
          <w:tab w:val="left" w:pos="2352"/>
        </w:tabs>
        <w:autoSpaceDE w:val="0"/>
        <w:autoSpaceDN w:val="0"/>
        <w:adjustRightInd w:val="0"/>
        <w:spacing w:line="360" w:lineRule="exact"/>
        <w:rPr>
          <w:rFonts w:ascii="宋体" w:hAnsi="宋体" w:cs="宋体"/>
          <w:b/>
          <w:bCs/>
          <w:color w:val="auto"/>
          <w:sz w:val="32"/>
          <w:szCs w:val="32"/>
          <w:highlight w:val="none"/>
          <w:lang w:val="zh-CN"/>
        </w:rPr>
      </w:pPr>
    </w:p>
    <w:p w14:paraId="08C03678">
      <w:pPr>
        <w:tabs>
          <w:tab w:val="left" w:pos="1069"/>
          <w:tab w:val="left" w:pos="2352"/>
        </w:tabs>
        <w:autoSpaceDE w:val="0"/>
        <w:autoSpaceDN w:val="0"/>
        <w:adjustRightInd w:val="0"/>
        <w:spacing w:line="360" w:lineRule="exact"/>
        <w:rPr>
          <w:rFonts w:ascii="宋体" w:hAnsi="宋体" w:cs="宋体"/>
          <w:b/>
          <w:bCs/>
          <w:color w:val="auto"/>
          <w:sz w:val="32"/>
          <w:szCs w:val="32"/>
          <w:highlight w:val="none"/>
          <w:lang w:val="zh-CN"/>
        </w:rPr>
      </w:pPr>
    </w:p>
    <w:p w14:paraId="229255D0">
      <w:pPr>
        <w:tabs>
          <w:tab w:val="left" w:pos="1069"/>
          <w:tab w:val="left" w:pos="2352"/>
        </w:tabs>
        <w:autoSpaceDE w:val="0"/>
        <w:autoSpaceDN w:val="0"/>
        <w:adjustRightInd w:val="0"/>
        <w:spacing w:line="360" w:lineRule="exact"/>
        <w:rPr>
          <w:rFonts w:ascii="宋体" w:hAnsi="宋体" w:cs="宋体"/>
          <w:b/>
          <w:bCs/>
          <w:color w:val="auto"/>
          <w:sz w:val="32"/>
          <w:szCs w:val="32"/>
          <w:highlight w:val="none"/>
          <w:lang w:val="zh-CN"/>
        </w:rPr>
      </w:pPr>
    </w:p>
    <w:p w14:paraId="27850B5F">
      <w:pPr>
        <w:tabs>
          <w:tab w:val="left" w:pos="1069"/>
          <w:tab w:val="left" w:pos="2352"/>
        </w:tabs>
        <w:autoSpaceDE w:val="0"/>
        <w:autoSpaceDN w:val="0"/>
        <w:adjustRightInd w:val="0"/>
        <w:spacing w:line="360" w:lineRule="exact"/>
        <w:rPr>
          <w:rFonts w:ascii="宋体" w:hAnsi="宋体" w:cs="宋体"/>
          <w:b/>
          <w:bCs/>
          <w:color w:val="auto"/>
          <w:sz w:val="32"/>
          <w:szCs w:val="32"/>
          <w:highlight w:val="none"/>
          <w:lang w:val="zh-CN"/>
        </w:rPr>
      </w:pPr>
    </w:p>
    <w:p w14:paraId="1721BED4">
      <w:pPr>
        <w:tabs>
          <w:tab w:val="left" w:pos="1069"/>
          <w:tab w:val="left" w:pos="2352"/>
        </w:tabs>
        <w:autoSpaceDE w:val="0"/>
        <w:autoSpaceDN w:val="0"/>
        <w:adjustRightInd w:val="0"/>
        <w:spacing w:line="360" w:lineRule="exact"/>
        <w:rPr>
          <w:rFonts w:ascii="宋体" w:hAnsi="宋体" w:cs="宋体"/>
          <w:b/>
          <w:bCs/>
          <w:color w:val="auto"/>
          <w:sz w:val="32"/>
          <w:szCs w:val="32"/>
          <w:highlight w:val="none"/>
        </w:rPr>
      </w:pPr>
      <w:r>
        <w:rPr>
          <w:rFonts w:hint="eastAsia" w:ascii="宋体" w:hAnsi="宋体" w:cs="宋体"/>
          <w:b/>
          <w:bCs/>
          <w:color w:val="auto"/>
          <w:sz w:val="32"/>
          <w:szCs w:val="32"/>
          <w:highlight w:val="none"/>
          <w:lang w:val="zh-CN"/>
        </w:rPr>
        <w:t>附件一</w:t>
      </w:r>
    </w:p>
    <w:p w14:paraId="21C4095F">
      <w:pPr>
        <w:tabs>
          <w:tab w:val="left" w:pos="1069"/>
          <w:tab w:val="left" w:pos="2352"/>
        </w:tabs>
        <w:autoSpaceDE w:val="0"/>
        <w:autoSpaceDN w:val="0"/>
        <w:adjustRightInd w:val="0"/>
        <w:spacing w:line="360" w:lineRule="atLeast"/>
        <w:jc w:val="center"/>
        <w:textAlignment w:val="baseline"/>
        <w:rPr>
          <w:rFonts w:ascii="宋体" w:hAnsi="宋体" w:cs="宋体"/>
          <w:b/>
          <w:bCs/>
          <w:color w:val="auto"/>
          <w:sz w:val="32"/>
          <w:szCs w:val="32"/>
          <w:highlight w:val="none"/>
          <w:lang w:val="zh-CN"/>
        </w:rPr>
      </w:pPr>
      <w:r>
        <w:rPr>
          <w:rFonts w:hint="eastAsia" w:ascii="宋体" w:hAnsi="宋体" w:cs="宋体"/>
          <w:b/>
          <w:bCs/>
          <w:color w:val="auto"/>
          <w:sz w:val="32"/>
          <w:szCs w:val="32"/>
          <w:highlight w:val="none"/>
        </w:rPr>
        <w:t>开标（报价）一览表</w:t>
      </w:r>
      <w:r>
        <w:rPr>
          <w:rFonts w:hint="eastAsia" w:ascii="宋体" w:hAnsi="宋体" w:cs="宋体"/>
          <w:color w:val="auto"/>
          <w:sz w:val="22"/>
          <w:highlight w:val="none"/>
        </w:rPr>
        <w:t>（首次报价）</w:t>
      </w:r>
    </w:p>
    <w:p w14:paraId="1AA4E4A8">
      <w:pPr>
        <w:tabs>
          <w:tab w:val="left" w:pos="1069"/>
          <w:tab w:val="left" w:pos="2352"/>
        </w:tabs>
        <w:autoSpaceDE w:val="0"/>
        <w:autoSpaceDN w:val="0"/>
        <w:adjustRightInd w:val="0"/>
        <w:spacing w:line="400" w:lineRule="exact"/>
        <w:rPr>
          <w:rFonts w:hint="eastAsia" w:ascii="宋体" w:hAnsi="宋体" w:eastAsia="宋体" w:cs="宋体"/>
          <w:color w:val="auto"/>
          <w:sz w:val="22"/>
          <w:highlight w:val="none"/>
          <w:u w:val="single"/>
          <w:lang w:eastAsia="zh-CN"/>
        </w:rPr>
      </w:pPr>
      <w:r>
        <w:rPr>
          <w:rFonts w:hint="eastAsia" w:ascii="宋体" w:hAnsi="宋体" w:cs="宋体"/>
          <w:color w:val="auto"/>
          <w:sz w:val="22"/>
          <w:highlight w:val="none"/>
        </w:rPr>
        <w:t>项目名称</w:t>
      </w:r>
      <w:r>
        <w:rPr>
          <w:rFonts w:hint="eastAsia" w:ascii="宋体" w:hAnsi="宋体" w:cs="宋体"/>
          <w:color w:val="auto"/>
          <w:sz w:val="22"/>
          <w:highlight w:val="none"/>
          <w:lang w:val="zh-CN"/>
        </w:rPr>
        <w:t>：</w:t>
      </w:r>
      <w:r>
        <w:rPr>
          <w:rFonts w:hint="eastAsia" w:ascii="宋体" w:hAnsi="宋体" w:cs="宋体"/>
          <w:color w:val="auto"/>
          <w:sz w:val="22"/>
          <w:highlight w:val="none"/>
          <w:u w:val="single"/>
          <w:lang w:eastAsia="zh-CN"/>
        </w:rPr>
        <w:t>2024年泰顺县罗阳镇上洪村堆谷洋农田宜机化改造项目</w:t>
      </w:r>
    </w:p>
    <w:p w14:paraId="31AC472F">
      <w:pPr>
        <w:tabs>
          <w:tab w:val="left" w:pos="1069"/>
          <w:tab w:val="left" w:pos="2352"/>
        </w:tabs>
        <w:autoSpaceDE w:val="0"/>
        <w:autoSpaceDN w:val="0"/>
        <w:adjustRightInd w:val="0"/>
        <w:spacing w:line="400" w:lineRule="exact"/>
        <w:rPr>
          <w:rFonts w:hint="eastAsia" w:ascii="宋体" w:hAnsi="宋体" w:eastAsia="宋体" w:cs="宋体"/>
          <w:color w:val="auto"/>
          <w:sz w:val="22"/>
          <w:highlight w:val="none"/>
          <w:lang w:val="zh-CN" w:eastAsia="zh-CN"/>
        </w:rPr>
      </w:pPr>
      <w:r>
        <w:rPr>
          <w:rFonts w:hint="eastAsia" w:ascii="宋体" w:hAnsi="宋体" w:cs="宋体"/>
          <w:color w:val="auto"/>
          <w:sz w:val="22"/>
          <w:highlight w:val="none"/>
          <w:lang w:val="zh-CN"/>
        </w:rPr>
        <w:t>采购编号：</w:t>
      </w:r>
      <w:r>
        <w:rPr>
          <w:rFonts w:hint="eastAsia" w:ascii="宋体" w:hAnsi="宋体" w:cs="宋体"/>
          <w:color w:val="auto"/>
          <w:sz w:val="22"/>
          <w:highlight w:val="none"/>
          <w:u w:val="single"/>
          <w:lang w:eastAsia="zh-CN"/>
        </w:rPr>
        <w:t>TSCG202502006</w:t>
      </w:r>
    </w:p>
    <w:tbl>
      <w:tblPr>
        <w:tblStyle w:val="31"/>
        <w:tblW w:w="5054" w:type="pct"/>
        <w:tblInd w:w="27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4"/>
        <w:gridCol w:w="1176"/>
        <w:gridCol w:w="1420"/>
        <w:gridCol w:w="3040"/>
        <w:gridCol w:w="1583"/>
        <w:gridCol w:w="1839"/>
      </w:tblGrid>
      <w:tr w14:paraId="311684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0" w:hRule="atLeast"/>
        </w:trPr>
        <w:tc>
          <w:tcPr>
            <w:tcW w:w="346" w:type="pct"/>
            <w:vAlign w:val="center"/>
          </w:tcPr>
          <w:p w14:paraId="14E6F71C">
            <w:pPr>
              <w:keepNext w:val="0"/>
              <w:keepLines w:val="0"/>
              <w:pageBreakBefore w:val="0"/>
              <w:widowControl/>
              <w:kinsoku/>
              <w:wordWrap/>
              <w:overflowPunct/>
              <w:topLinePunct w:val="0"/>
              <w:autoSpaceDE/>
              <w:autoSpaceDN/>
              <w:bidi w:val="0"/>
              <w:adjustRightInd/>
              <w:snapToGrid w:val="0"/>
              <w:spacing w:line="400" w:lineRule="exact"/>
              <w:jc w:val="left"/>
              <w:textAlignment w:val="auto"/>
              <w:rPr>
                <w:rFonts w:hint="eastAsia" w:ascii="宋体" w:hAnsi="宋体" w:eastAsia="宋体" w:cs="宋体"/>
                <w:b w:val="0"/>
                <w:bCs/>
                <w:color w:val="auto"/>
                <w:kern w:val="0"/>
                <w:sz w:val="22"/>
                <w:szCs w:val="22"/>
                <w:highlight w:val="none"/>
                <w:lang w:val="en-US" w:eastAsia="zh-CN"/>
              </w:rPr>
            </w:pPr>
            <w:r>
              <w:rPr>
                <w:rFonts w:hint="eastAsia" w:ascii="宋体" w:hAnsi="宋体" w:eastAsia="宋体" w:cs="宋体"/>
                <w:b w:val="0"/>
                <w:bCs/>
                <w:color w:val="auto"/>
                <w:kern w:val="0"/>
                <w:sz w:val="22"/>
                <w:szCs w:val="22"/>
                <w:highlight w:val="none"/>
                <w:lang w:val="en-US" w:eastAsia="zh-CN"/>
              </w:rPr>
              <w:t>序号</w:t>
            </w:r>
          </w:p>
        </w:tc>
        <w:tc>
          <w:tcPr>
            <w:tcW w:w="604" w:type="pct"/>
            <w:tcBorders>
              <w:right w:val="single" w:color="000000" w:sz="4" w:space="0"/>
            </w:tcBorders>
            <w:vAlign w:val="center"/>
          </w:tcPr>
          <w:p w14:paraId="505329AE">
            <w:pPr>
              <w:keepNext w:val="0"/>
              <w:keepLines w:val="0"/>
              <w:pageBreakBefore w:val="0"/>
              <w:widowControl/>
              <w:kinsoku/>
              <w:wordWrap/>
              <w:overflowPunct/>
              <w:topLinePunct w:val="0"/>
              <w:autoSpaceDE/>
              <w:autoSpaceDN/>
              <w:bidi w:val="0"/>
              <w:adjustRightInd/>
              <w:snapToGrid w:val="0"/>
              <w:spacing w:line="400" w:lineRule="exact"/>
              <w:jc w:val="center"/>
              <w:textAlignment w:val="auto"/>
              <w:rPr>
                <w:rFonts w:hint="eastAsia" w:ascii="宋体" w:hAnsi="宋体" w:eastAsia="宋体" w:cs="宋体"/>
                <w:b w:val="0"/>
                <w:bCs/>
                <w:color w:val="auto"/>
                <w:kern w:val="0"/>
                <w:sz w:val="22"/>
                <w:szCs w:val="22"/>
                <w:highlight w:val="none"/>
                <w:u w:val="none"/>
                <w:lang w:val="en-US" w:eastAsia="zh-CN"/>
              </w:rPr>
            </w:pPr>
            <w:r>
              <w:rPr>
                <w:rFonts w:hint="eastAsia" w:ascii="宋体" w:hAnsi="宋体" w:eastAsia="宋体" w:cs="宋体"/>
                <w:b w:val="0"/>
                <w:bCs/>
                <w:color w:val="auto"/>
                <w:kern w:val="0"/>
                <w:sz w:val="22"/>
                <w:szCs w:val="22"/>
                <w:highlight w:val="none"/>
                <w:u w:val="none"/>
                <w:lang w:val="en-US" w:eastAsia="zh-CN"/>
              </w:rPr>
              <w:t>标项名称</w:t>
            </w:r>
          </w:p>
        </w:tc>
        <w:tc>
          <w:tcPr>
            <w:tcW w:w="729" w:type="pct"/>
            <w:tcBorders>
              <w:left w:val="single" w:color="000000" w:sz="4" w:space="0"/>
            </w:tcBorders>
            <w:vAlign w:val="center"/>
          </w:tcPr>
          <w:p w14:paraId="77DDDE3A">
            <w:pPr>
              <w:keepNext w:val="0"/>
              <w:keepLines w:val="0"/>
              <w:pageBreakBefore w:val="0"/>
              <w:widowControl/>
              <w:kinsoku/>
              <w:wordWrap/>
              <w:overflowPunct/>
              <w:topLinePunct w:val="0"/>
              <w:autoSpaceDE/>
              <w:autoSpaceDN/>
              <w:bidi w:val="0"/>
              <w:adjustRightInd/>
              <w:snapToGrid w:val="0"/>
              <w:spacing w:line="400" w:lineRule="exact"/>
              <w:jc w:val="center"/>
              <w:textAlignment w:val="auto"/>
              <w:rPr>
                <w:rFonts w:hint="eastAsia" w:ascii="宋体" w:hAnsi="宋体" w:eastAsia="宋体" w:cs="宋体"/>
                <w:b w:val="0"/>
                <w:bCs/>
                <w:color w:val="auto"/>
                <w:kern w:val="0"/>
                <w:sz w:val="22"/>
                <w:szCs w:val="22"/>
                <w:highlight w:val="none"/>
                <w:lang w:val="en-US" w:eastAsia="zh-CN"/>
              </w:rPr>
            </w:pPr>
            <w:r>
              <w:rPr>
                <w:rFonts w:hint="eastAsia" w:ascii="宋体" w:hAnsi="宋体" w:eastAsia="宋体" w:cs="宋体"/>
                <w:b w:val="0"/>
                <w:bCs/>
                <w:color w:val="auto"/>
                <w:kern w:val="0"/>
                <w:sz w:val="22"/>
                <w:szCs w:val="22"/>
                <w:highlight w:val="none"/>
                <w:lang w:val="en-US" w:eastAsia="zh-CN"/>
              </w:rPr>
              <w:t>报价类型</w:t>
            </w:r>
          </w:p>
        </w:tc>
        <w:tc>
          <w:tcPr>
            <w:tcW w:w="1561" w:type="pct"/>
            <w:vAlign w:val="center"/>
          </w:tcPr>
          <w:p w14:paraId="048E06F7">
            <w:pPr>
              <w:keepNext w:val="0"/>
              <w:keepLines w:val="0"/>
              <w:pageBreakBefore w:val="0"/>
              <w:widowControl/>
              <w:kinsoku/>
              <w:wordWrap/>
              <w:overflowPunct/>
              <w:topLinePunct w:val="0"/>
              <w:autoSpaceDE/>
              <w:autoSpaceDN/>
              <w:bidi w:val="0"/>
              <w:adjustRightInd/>
              <w:snapToGrid w:val="0"/>
              <w:spacing w:line="400" w:lineRule="exact"/>
              <w:jc w:val="center"/>
              <w:textAlignment w:val="auto"/>
              <w:rPr>
                <w:rFonts w:hint="eastAsia" w:ascii="宋体" w:hAnsi="宋体" w:eastAsia="宋体" w:cs="宋体"/>
                <w:b w:val="0"/>
                <w:bCs/>
                <w:color w:val="auto"/>
                <w:kern w:val="0"/>
                <w:sz w:val="22"/>
                <w:szCs w:val="22"/>
                <w:highlight w:val="none"/>
                <w:lang w:val="en-US" w:eastAsia="zh-CN"/>
              </w:rPr>
            </w:pPr>
            <w:r>
              <w:rPr>
                <w:rFonts w:hint="eastAsia" w:ascii="宋体" w:hAnsi="宋体" w:eastAsia="宋体" w:cs="宋体"/>
                <w:b w:val="0"/>
                <w:bCs/>
                <w:color w:val="auto"/>
                <w:kern w:val="0"/>
                <w:sz w:val="22"/>
                <w:szCs w:val="22"/>
                <w:highlight w:val="none"/>
                <w:lang w:val="en-US" w:eastAsia="zh-CN"/>
              </w:rPr>
              <w:t>投标报价</w:t>
            </w:r>
          </w:p>
        </w:tc>
        <w:tc>
          <w:tcPr>
            <w:tcW w:w="813" w:type="pct"/>
            <w:vAlign w:val="center"/>
          </w:tcPr>
          <w:p w14:paraId="0A0C44B6">
            <w:pPr>
              <w:keepNext w:val="0"/>
              <w:keepLines w:val="0"/>
              <w:pageBreakBefore w:val="0"/>
              <w:widowControl/>
              <w:kinsoku/>
              <w:wordWrap/>
              <w:overflowPunct/>
              <w:topLinePunct w:val="0"/>
              <w:autoSpaceDE/>
              <w:autoSpaceDN/>
              <w:bidi w:val="0"/>
              <w:adjustRightInd/>
              <w:snapToGrid w:val="0"/>
              <w:spacing w:line="400" w:lineRule="exact"/>
              <w:jc w:val="center"/>
              <w:textAlignment w:val="auto"/>
              <w:rPr>
                <w:rFonts w:hint="eastAsia" w:ascii="宋体" w:hAnsi="宋体" w:eastAsia="宋体" w:cs="宋体"/>
                <w:b w:val="0"/>
                <w:bCs/>
                <w:color w:val="auto"/>
                <w:kern w:val="0"/>
                <w:sz w:val="22"/>
                <w:szCs w:val="22"/>
                <w:highlight w:val="none"/>
                <w:lang w:val="en-US" w:eastAsia="zh-CN"/>
              </w:rPr>
            </w:pPr>
            <w:r>
              <w:rPr>
                <w:rFonts w:hint="eastAsia" w:ascii="宋体" w:hAnsi="宋体" w:eastAsia="宋体" w:cs="宋体"/>
                <w:b w:val="0"/>
                <w:bCs/>
                <w:color w:val="auto"/>
                <w:kern w:val="0"/>
                <w:sz w:val="22"/>
                <w:szCs w:val="22"/>
                <w:highlight w:val="none"/>
                <w:lang w:val="en-US" w:eastAsia="zh-CN"/>
              </w:rPr>
              <w:t>项目负责人</w:t>
            </w:r>
          </w:p>
        </w:tc>
        <w:tc>
          <w:tcPr>
            <w:tcW w:w="944" w:type="pct"/>
            <w:vAlign w:val="center"/>
          </w:tcPr>
          <w:p w14:paraId="4B125BBC">
            <w:pPr>
              <w:keepNext w:val="0"/>
              <w:keepLines w:val="0"/>
              <w:pageBreakBefore w:val="0"/>
              <w:widowControl/>
              <w:kinsoku/>
              <w:wordWrap/>
              <w:overflowPunct/>
              <w:topLinePunct w:val="0"/>
              <w:autoSpaceDE/>
              <w:autoSpaceDN/>
              <w:bidi w:val="0"/>
              <w:adjustRightInd/>
              <w:snapToGrid w:val="0"/>
              <w:spacing w:line="400" w:lineRule="exact"/>
              <w:jc w:val="center"/>
              <w:textAlignment w:val="auto"/>
              <w:rPr>
                <w:rFonts w:hint="eastAsia" w:ascii="宋体" w:hAnsi="宋体" w:eastAsia="宋体" w:cs="宋体"/>
                <w:b w:val="0"/>
                <w:bCs/>
                <w:color w:val="auto"/>
                <w:kern w:val="0"/>
                <w:sz w:val="22"/>
                <w:szCs w:val="22"/>
                <w:highlight w:val="none"/>
                <w:lang w:val="en-US" w:eastAsia="zh-CN"/>
              </w:rPr>
            </w:pPr>
            <w:r>
              <w:rPr>
                <w:rFonts w:hint="eastAsia" w:ascii="宋体" w:hAnsi="宋体" w:eastAsia="宋体" w:cs="宋体"/>
                <w:b w:val="0"/>
                <w:bCs/>
                <w:color w:val="auto"/>
                <w:kern w:val="0"/>
                <w:sz w:val="22"/>
                <w:szCs w:val="22"/>
                <w:highlight w:val="none"/>
                <w:lang w:val="en-US" w:eastAsia="zh-CN"/>
              </w:rPr>
              <w:t>限价</w:t>
            </w:r>
          </w:p>
        </w:tc>
      </w:tr>
      <w:tr w14:paraId="5349B2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15" w:hRule="atLeast"/>
        </w:trPr>
        <w:tc>
          <w:tcPr>
            <w:tcW w:w="346" w:type="pct"/>
            <w:vAlign w:val="center"/>
          </w:tcPr>
          <w:p w14:paraId="76408C5A">
            <w:pPr>
              <w:keepNext w:val="0"/>
              <w:keepLines w:val="0"/>
              <w:pageBreakBefore w:val="0"/>
              <w:widowControl/>
              <w:kinsoku/>
              <w:wordWrap/>
              <w:overflowPunct/>
              <w:topLinePunct w:val="0"/>
              <w:autoSpaceDE/>
              <w:autoSpaceDN/>
              <w:bidi w:val="0"/>
              <w:adjustRightInd/>
              <w:snapToGrid w:val="0"/>
              <w:spacing w:line="400" w:lineRule="exact"/>
              <w:jc w:val="center"/>
              <w:textAlignment w:val="auto"/>
              <w:rPr>
                <w:rFonts w:hint="eastAsia" w:ascii="宋体" w:hAnsi="宋体" w:eastAsia="宋体" w:cs="宋体"/>
                <w:b w:val="0"/>
                <w:bCs/>
                <w:color w:val="auto"/>
                <w:kern w:val="0"/>
                <w:sz w:val="22"/>
                <w:szCs w:val="22"/>
                <w:highlight w:val="none"/>
                <w:lang w:val="en-US" w:eastAsia="zh-CN"/>
              </w:rPr>
            </w:pPr>
            <w:r>
              <w:rPr>
                <w:rFonts w:hint="eastAsia" w:ascii="宋体" w:hAnsi="宋体" w:eastAsia="宋体" w:cs="宋体"/>
                <w:b w:val="0"/>
                <w:bCs/>
                <w:color w:val="auto"/>
                <w:kern w:val="0"/>
                <w:sz w:val="22"/>
                <w:szCs w:val="22"/>
                <w:highlight w:val="none"/>
                <w:lang w:val="en-US" w:eastAsia="zh-CN"/>
              </w:rPr>
              <w:t>1</w:t>
            </w:r>
          </w:p>
        </w:tc>
        <w:tc>
          <w:tcPr>
            <w:tcW w:w="604" w:type="pct"/>
            <w:vMerge w:val="restart"/>
            <w:tcBorders>
              <w:right w:val="single" w:color="000000" w:sz="4" w:space="0"/>
            </w:tcBorders>
            <w:shd w:val="clear" w:color="auto" w:fill="auto"/>
            <w:vAlign w:val="center"/>
          </w:tcPr>
          <w:p w14:paraId="19C0D098">
            <w:pPr>
              <w:keepNext w:val="0"/>
              <w:keepLines w:val="0"/>
              <w:pageBreakBefore w:val="0"/>
              <w:widowControl/>
              <w:kinsoku/>
              <w:wordWrap/>
              <w:overflowPunct/>
              <w:topLinePunct w:val="0"/>
              <w:autoSpaceDE/>
              <w:autoSpaceDN/>
              <w:bidi w:val="0"/>
              <w:adjustRightInd/>
              <w:snapToGrid w:val="0"/>
              <w:spacing w:line="400" w:lineRule="exact"/>
              <w:jc w:val="center"/>
              <w:textAlignment w:val="auto"/>
              <w:rPr>
                <w:rFonts w:hint="eastAsia" w:ascii="宋体" w:hAnsi="宋体" w:eastAsia="宋体" w:cs="宋体"/>
                <w:b w:val="0"/>
                <w:bCs/>
                <w:color w:val="auto"/>
                <w:kern w:val="0"/>
                <w:sz w:val="22"/>
                <w:szCs w:val="22"/>
                <w:highlight w:val="none"/>
                <w:u w:val="none"/>
                <w:lang w:val="en-US" w:eastAsia="zh-CN" w:bidi="ar-SA"/>
              </w:rPr>
            </w:pPr>
            <w:r>
              <w:rPr>
                <w:rFonts w:hint="eastAsia" w:ascii="宋体" w:hAnsi="宋体" w:cs="宋体"/>
                <w:color w:val="auto"/>
                <w:sz w:val="22"/>
                <w:szCs w:val="22"/>
                <w:highlight w:val="none"/>
                <w:u w:val="none"/>
                <w:lang w:eastAsia="zh-CN"/>
              </w:rPr>
              <w:t>2024年泰顺县罗阳镇上洪村堆谷洋农田宜机化改造项目</w:t>
            </w:r>
          </w:p>
        </w:tc>
        <w:tc>
          <w:tcPr>
            <w:tcW w:w="729" w:type="pct"/>
            <w:tcBorders>
              <w:left w:val="single" w:color="000000" w:sz="4" w:space="0"/>
            </w:tcBorders>
            <w:shd w:val="clear" w:color="auto" w:fill="auto"/>
            <w:vAlign w:val="center"/>
          </w:tcPr>
          <w:p w14:paraId="29024ED8">
            <w:pPr>
              <w:keepNext w:val="0"/>
              <w:keepLines w:val="0"/>
              <w:pageBreakBefore w:val="0"/>
              <w:widowControl/>
              <w:kinsoku/>
              <w:wordWrap/>
              <w:overflowPunct/>
              <w:topLinePunct w:val="0"/>
              <w:autoSpaceDE/>
              <w:autoSpaceDN/>
              <w:bidi w:val="0"/>
              <w:adjustRightInd/>
              <w:snapToGrid w:val="0"/>
              <w:spacing w:line="400" w:lineRule="exact"/>
              <w:jc w:val="center"/>
              <w:textAlignment w:val="auto"/>
              <w:rPr>
                <w:rFonts w:hint="eastAsia" w:ascii="宋体" w:hAnsi="宋体" w:eastAsia="宋体" w:cs="宋体"/>
                <w:b w:val="0"/>
                <w:bCs/>
                <w:color w:val="auto"/>
                <w:kern w:val="0"/>
                <w:sz w:val="22"/>
                <w:szCs w:val="22"/>
                <w:highlight w:val="none"/>
                <w:lang w:val="en-US" w:eastAsia="zh-CN" w:bidi="ar-SA"/>
              </w:rPr>
            </w:pPr>
            <w:r>
              <w:rPr>
                <w:rFonts w:hint="eastAsia" w:ascii="宋体" w:hAnsi="宋体" w:eastAsia="宋体" w:cs="宋体"/>
                <w:b w:val="0"/>
                <w:bCs/>
                <w:color w:val="auto"/>
                <w:kern w:val="0"/>
                <w:sz w:val="22"/>
                <w:szCs w:val="22"/>
                <w:highlight w:val="none"/>
                <w:lang w:val="en-US" w:eastAsia="zh-CN"/>
              </w:rPr>
              <w:t>运营部分：每亩年收益报价</w:t>
            </w:r>
          </w:p>
        </w:tc>
        <w:tc>
          <w:tcPr>
            <w:tcW w:w="1561" w:type="pct"/>
            <w:shd w:val="clear" w:color="auto" w:fill="auto"/>
            <w:vAlign w:val="center"/>
          </w:tcPr>
          <w:p w14:paraId="727062E5">
            <w:pPr>
              <w:keepNext w:val="0"/>
              <w:keepLines w:val="0"/>
              <w:pageBreakBefore w:val="0"/>
              <w:widowControl/>
              <w:kinsoku/>
              <w:wordWrap/>
              <w:overflowPunct/>
              <w:topLinePunct w:val="0"/>
              <w:autoSpaceDE/>
              <w:autoSpaceDN/>
              <w:bidi w:val="0"/>
              <w:adjustRightInd/>
              <w:snapToGrid w:val="0"/>
              <w:spacing w:line="400" w:lineRule="exact"/>
              <w:jc w:val="left"/>
              <w:textAlignment w:val="auto"/>
              <w:rPr>
                <w:rFonts w:hint="eastAsia" w:ascii="宋体" w:hAnsi="宋体" w:eastAsia="宋体" w:cs="宋体"/>
                <w:b w:val="0"/>
                <w:bCs/>
                <w:color w:val="auto"/>
                <w:kern w:val="0"/>
                <w:sz w:val="22"/>
                <w:szCs w:val="22"/>
                <w:highlight w:val="none"/>
                <w:lang w:val="en-US" w:eastAsia="zh-CN"/>
              </w:rPr>
            </w:pPr>
            <w:r>
              <w:rPr>
                <w:rFonts w:hint="eastAsia" w:ascii="宋体" w:hAnsi="宋体" w:eastAsia="宋体" w:cs="宋体"/>
                <w:b w:val="0"/>
                <w:bCs/>
                <w:color w:val="auto"/>
                <w:kern w:val="0"/>
                <w:sz w:val="22"/>
                <w:szCs w:val="22"/>
                <w:highlight w:val="none"/>
                <w:lang w:val="en-US" w:eastAsia="zh-CN"/>
              </w:rPr>
              <w:t>大写：</w:t>
            </w:r>
            <w:r>
              <w:rPr>
                <w:rFonts w:hint="eastAsia" w:ascii="宋体" w:hAnsi="宋体" w:eastAsia="宋体" w:cs="宋体"/>
                <w:b w:val="0"/>
                <w:bCs/>
                <w:color w:val="auto"/>
                <w:kern w:val="0"/>
                <w:sz w:val="22"/>
                <w:szCs w:val="22"/>
                <w:highlight w:val="none"/>
                <w:u w:val="single"/>
                <w:lang w:val="en-US" w:eastAsia="zh-CN"/>
              </w:rPr>
              <w:t xml:space="preserve">              </w:t>
            </w:r>
            <w:r>
              <w:rPr>
                <w:rFonts w:hint="eastAsia" w:ascii="宋体" w:hAnsi="宋体" w:eastAsia="宋体" w:cs="宋体"/>
                <w:b w:val="0"/>
                <w:bCs/>
                <w:color w:val="auto"/>
                <w:kern w:val="0"/>
                <w:sz w:val="22"/>
                <w:szCs w:val="22"/>
                <w:highlight w:val="none"/>
                <w:lang w:val="en-US" w:eastAsia="zh-CN"/>
              </w:rPr>
              <w:t xml:space="preserve">                  </w:t>
            </w:r>
          </w:p>
          <w:p w14:paraId="18B85FAC">
            <w:pPr>
              <w:keepNext w:val="0"/>
              <w:keepLines w:val="0"/>
              <w:pageBreakBefore w:val="0"/>
              <w:widowControl/>
              <w:kinsoku/>
              <w:wordWrap/>
              <w:overflowPunct/>
              <w:topLinePunct w:val="0"/>
              <w:autoSpaceDE/>
              <w:autoSpaceDN/>
              <w:bidi w:val="0"/>
              <w:adjustRightInd/>
              <w:snapToGrid w:val="0"/>
              <w:spacing w:line="400" w:lineRule="exact"/>
              <w:ind w:firstLine="446" w:firstLineChars="200"/>
              <w:jc w:val="left"/>
              <w:textAlignment w:val="auto"/>
              <w:rPr>
                <w:rFonts w:hint="eastAsia" w:ascii="宋体" w:hAnsi="宋体" w:eastAsia="宋体" w:cs="宋体"/>
                <w:b w:val="0"/>
                <w:bCs/>
                <w:color w:val="auto"/>
                <w:kern w:val="0"/>
                <w:sz w:val="22"/>
                <w:szCs w:val="22"/>
                <w:highlight w:val="none"/>
                <w:lang w:val="en-US" w:eastAsia="zh-CN" w:bidi="ar-SA"/>
              </w:rPr>
            </w:pPr>
            <w:r>
              <w:rPr>
                <w:rFonts w:hint="eastAsia" w:ascii="宋体" w:hAnsi="宋体" w:eastAsia="宋体" w:cs="宋体"/>
                <w:b w:val="0"/>
                <w:bCs/>
                <w:color w:val="auto"/>
                <w:kern w:val="0"/>
                <w:sz w:val="22"/>
                <w:szCs w:val="22"/>
                <w:highlight w:val="none"/>
                <w:lang w:val="en-US" w:eastAsia="zh-CN"/>
              </w:rPr>
              <w:t>小写：</w:t>
            </w:r>
            <w:r>
              <w:rPr>
                <w:rFonts w:hint="eastAsia" w:ascii="宋体" w:hAnsi="宋体" w:eastAsia="宋体" w:cs="宋体"/>
                <w:b w:val="0"/>
                <w:bCs/>
                <w:color w:val="auto"/>
                <w:kern w:val="0"/>
                <w:sz w:val="22"/>
                <w:szCs w:val="22"/>
                <w:highlight w:val="none"/>
                <w:u w:val="single"/>
                <w:lang w:val="en-US" w:eastAsia="zh-CN"/>
              </w:rPr>
              <w:t xml:space="preserve">              </w:t>
            </w:r>
            <w:r>
              <w:rPr>
                <w:rFonts w:hint="eastAsia" w:ascii="宋体" w:hAnsi="宋体" w:eastAsia="宋体" w:cs="宋体"/>
                <w:b w:val="0"/>
                <w:bCs/>
                <w:color w:val="auto"/>
                <w:kern w:val="0"/>
                <w:sz w:val="22"/>
                <w:szCs w:val="22"/>
                <w:highlight w:val="none"/>
                <w:lang w:val="en-US" w:eastAsia="zh-CN"/>
              </w:rPr>
              <w:t xml:space="preserve">                 </w:t>
            </w:r>
          </w:p>
        </w:tc>
        <w:tc>
          <w:tcPr>
            <w:tcW w:w="813" w:type="pct"/>
            <w:vAlign w:val="center"/>
          </w:tcPr>
          <w:p w14:paraId="730A46CA">
            <w:pPr>
              <w:keepNext w:val="0"/>
              <w:keepLines w:val="0"/>
              <w:pageBreakBefore w:val="0"/>
              <w:widowControl/>
              <w:kinsoku/>
              <w:wordWrap/>
              <w:overflowPunct/>
              <w:topLinePunct w:val="0"/>
              <w:autoSpaceDE/>
              <w:autoSpaceDN/>
              <w:bidi w:val="0"/>
              <w:adjustRightInd/>
              <w:snapToGrid w:val="0"/>
              <w:spacing w:line="400" w:lineRule="exact"/>
              <w:ind w:firstLine="446" w:firstLineChars="200"/>
              <w:jc w:val="center"/>
              <w:textAlignment w:val="auto"/>
              <w:rPr>
                <w:rFonts w:hint="eastAsia" w:ascii="宋体" w:hAnsi="宋体" w:eastAsia="宋体" w:cs="宋体"/>
                <w:b w:val="0"/>
                <w:bCs/>
                <w:color w:val="auto"/>
                <w:kern w:val="0"/>
                <w:sz w:val="22"/>
                <w:szCs w:val="22"/>
                <w:highlight w:val="none"/>
                <w:lang w:val="en-US" w:eastAsia="zh-CN"/>
              </w:rPr>
            </w:pPr>
          </w:p>
        </w:tc>
        <w:tc>
          <w:tcPr>
            <w:tcW w:w="944" w:type="pct"/>
            <w:vAlign w:val="center"/>
          </w:tcPr>
          <w:p w14:paraId="5359E7D7">
            <w:pPr>
              <w:keepNext w:val="0"/>
              <w:keepLines w:val="0"/>
              <w:pageBreakBefore w:val="0"/>
              <w:widowControl/>
              <w:kinsoku/>
              <w:wordWrap/>
              <w:overflowPunct/>
              <w:topLinePunct w:val="0"/>
              <w:autoSpaceDE/>
              <w:autoSpaceDN/>
              <w:bidi w:val="0"/>
              <w:adjustRightInd/>
              <w:snapToGrid w:val="0"/>
              <w:spacing w:line="400" w:lineRule="exact"/>
              <w:jc w:val="center"/>
              <w:textAlignment w:val="auto"/>
              <w:rPr>
                <w:rFonts w:hint="eastAsia" w:ascii="宋体" w:hAnsi="宋体" w:eastAsia="宋体" w:cs="宋体"/>
                <w:b w:val="0"/>
                <w:bCs/>
                <w:color w:val="auto"/>
                <w:kern w:val="0"/>
                <w:sz w:val="22"/>
                <w:szCs w:val="22"/>
                <w:highlight w:val="none"/>
                <w:lang w:val="en-US" w:eastAsia="zh-CN"/>
              </w:rPr>
            </w:pPr>
            <w:r>
              <w:rPr>
                <w:rFonts w:hint="eastAsia" w:ascii="宋体" w:hAnsi="宋体" w:eastAsia="宋体" w:cs="宋体"/>
                <w:b w:val="0"/>
                <w:bCs/>
                <w:color w:val="auto"/>
                <w:kern w:val="0"/>
                <w:sz w:val="22"/>
                <w:szCs w:val="22"/>
                <w:highlight w:val="none"/>
                <w:lang w:val="en-US" w:eastAsia="zh-CN"/>
              </w:rPr>
              <w:t>每亩年租金收益报价（起步价暂定为300元/亩/年）</w:t>
            </w:r>
          </w:p>
        </w:tc>
      </w:tr>
      <w:tr w14:paraId="408FC8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24" w:hRule="atLeast"/>
        </w:trPr>
        <w:tc>
          <w:tcPr>
            <w:tcW w:w="346" w:type="pct"/>
            <w:vAlign w:val="center"/>
          </w:tcPr>
          <w:p w14:paraId="70D9CA69">
            <w:pPr>
              <w:keepNext w:val="0"/>
              <w:keepLines w:val="0"/>
              <w:pageBreakBefore w:val="0"/>
              <w:widowControl/>
              <w:kinsoku/>
              <w:wordWrap/>
              <w:overflowPunct/>
              <w:topLinePunct w:val="0"/>
              <w:autoSpaceDE/>
              <w:autoSpaceDN/>
              <w:bidi w:val="0"/>
              <w:adjustRightInd/>
              <w:snapToGrid w:val="0"/>
              <w:spacing w:line="400" w:lineRule="exact"/>
              <w:jc w:val="center"/>
              <w:textAlignment w:val="auto"/>
              <w:rPr>
                <w:rFonts w:hint="eastAsia" w:ascii="宋体" w:hAnsi="宋体" w:eastAsia="宋体" w:cs="宋体"/>
                <w:b w:val="0"/>
                <w:bCs/>
                <w:color w:val="auto"/>
                <w:kern w:val="0"/>
                <w:sz w:val="22"/>
                <w:szCs w:val="22"/>
                <w:highlight w:val="none"/>
                <w:lang w:val="en-US" w:eastAsia="zh-CN"/>
              </w:rPr>
            </w:pPr>
            <w:r>
              <w:rPr>
                <w:rFonts w:hint="eastAsia" w:ascii="宋体" w:hAnsi="宋体" w:eastAsia="宋体" w:cs="宋体"/>
                <w:b w:val="0"/>
                <w:bCs/>
                <w:color w:val="auto"/>
                <w:kern w:val="0"/>
                <w:sz w:val="22"/>
                <w:szCs w:val="22"/>
                <w:highlight w:val="none"/>
                <w:lang w:val="en-US" w:eastAsia="zh-CN"/>
              </w:rPr>
              <w:t>2</w:t>
            </w:r>
          </w:p>
        </w:tc>
        <w:tc>
          <w:tcPr>
            <w:tcW w:w="604" w:type="pct"/>
            <w:vMerge w:val="continue"/>
            <w:tcBorders>
              <w:right w:val="single" w:color="000000" w:sz="4" w:space="0"/>
            </w:tcBorders>
            <w:shd w:val="clear" w:color="auto" w:fill="auto"/>
            <w:vAlign w:val="center"/>
          </w:tcPr>
          <w:p w14:paraId="2F6D590E">
            <w:pPr>
              <w:keepNext w:val="0"/>
              <w:keepLines w:val="0"/>
              <w:pageBreakBefore w:val="0"/>
              <w:widowControl/>
              <w:kinsoku/>
              <w:wordWrap/>
              <w:overflowPunct/>
              <w:topLinePunct w:val="0"/>
              <w:autoSpaceDE/>
              <w:autoSpaceDN/>
              <w:bidi w:val="0"/>
              <w:adjustRightInd/>
              <w:snapToGrid w:val="0"/>
              <w:spacing w:line="400" w:lineRule="exact"/>
              <w:jc w:val="left"/>
              <w:textAlignment w:val="auto"/>
              <w:rPr>
                <w:rFonts w:hint="eastAsia" w:ascii="宋体" w:hAnsi="宋体" w:eastAsia="宋体" w:cs="宋体"/>
                <w:b w:val="0"/>
                <w:bCs/>
                <w:color w:val="auto"/>
                <w:kern w:val="0"/>
                <w:sz w:val="22"/>
                <w:szCs w:val="22"/>
                <w:highlight w:val="none"/>
                <w:lang w:val="en-US" w:eastAsia="zh-CN" w:bidi="ar-SA"/>
              </w:rPr>
            </w:pPr>
          </w:p>
        </w:tc>
        <w:tc>
          <w:tcPr>
            <w:tcW w:w="729" w:type="pct"/>
            <w:tcBorders>
              <w:left w:val="single" w:color="000000" w:sz="4" w:space="0"/>
            </w:tcBorders>
            <w:shd w:val="clear" w:color="auto" w:fill="auto"/>
            <w:vAlign w:val="center"/>
          </w:tcPr>
          <w:p w14:paraId="4185D998">
            <w:pPr>
              <w:keepNext w:val="0"/>
              <w:keepLines w:val="0"/>
              <w:pageBreakBefore w:val="0"/>
              <w:widowControl/>
              <w:kinsoku/>
              <w:wordWrap/>
              <w:overflowPunct/>
              <w:topLinePunct w:val="0"/>
              <w:autoSpaceDE/>
              <w:autoSpaceDN/>
              <w:bidi w:val="0"/>
              <w:adjustRightInd/>
              <w:snapToGrid w:val="0"/>
              <w:spacing w:line="400" w:lineRule="exact"/>
              <w:jc w:val="center"/>
              <w:textAlignment w:val="auto"/>
              <w:rPr>
                <w:rFonts w:hint="eastAsia" w:ascii="宋体" w:hAnsi="宋体" w:eastAsia="宋体" w:cs="宋体"/>
                <w:b w:val="0"/>
                <w:bCs/>
                <w:color w:val="auto"/>
                <w:kern w:val="0"/>
                <w:sz w:val="22"/>
                <w:szCs w:val="22"/>
                <w:highlight w:val="none"/>
                <w:lang w:val="en-US" w:eastAsia="zh-CN" w:bidi="ar-SA"/>
              </w:rPr>
            </w:pPr>
            <w:r>
              <w:rPr>
                <w:rFonts w:hint="eastAsia" w:ascii="宋体" w:hAnsi="宋体" w:cs="宋体"/>
                <w:b w:val="0"/>
                <w:bCs/>
                <w:color w:val="auto"/>
                <w:kern w:val="0"/>
                <w:sz w:val="22"/>
                <w:szCs w:val="22"/>
                <w:highlight w:val="none"/>
                <w:lang w:val="en-US" w:eastAsia="zh-CN"/>
              </w:rPr>
              <w:t>宜机化改造部分</w:t>
            </w:r>
            <w:r>
              <w:rPr>
                <w:rFonts w:hint="eastAsia" w:ascii="宋体" w:hAnsi="宋体" w:eastAsia="宋体" w:cs="宋体"/>
                <w:b w:val="0"/>
                <w:bCs/>
                <w:color w:val="auto"/>
                <w:kern w:val="0"/>
                <w:sz w:val="22"/>
                <w:szCs w:val="22"/>
                <w:highlight w:val="none"/>
                <w:lang w:val="en-US" w:eastAsia="zh-CN"/>
              </w:rPr>
              <w:t>：下浮率</w:t>
            </w:r>
          </w:p>
        </w:tc>
        <w:tc>
          <w:tcPr>
            <w:tcW w:w="1561" w:type="pct"/>
            <w:shd w:val="clear" w:color="auto" w:fill="auto"/>
            <w:vAlign w:val="center"/>
          </w:tcPr>
          <w:p w14:paraId="5F8289FD">
            <w:pPr>
              <w:keepNext w:val="0"/>
              <w:keepLines w:val="0"/>
              <w:pageBreakBefore w:val="0"/>
              <w:widowControl/>
              <w:kinsoku/>
              <w:wordWrap/>
              <w:overflowPunct/>
              <w:topLinePunct w:val="0"/>
              <w:autoSpaceDE/>
              <w:autoSpaceDN/>
              <w:bidi w:val="0"/>
              <w:adjustRightInd/>
              <w:snapToGrid w:val="0"/>
              <w:spacing w:line="400" w:lineRule="exact"/>
              <w:jc w:val="left"/>
              <w:textAlignment w:val="auto"/>
              <w:rPr>
                <w:rFonts w:hint="eastAsia" w:ascii="宋体" w:hAnsi="宋体" w:eastAsia="宋体" w:cs="宋体"/>
                <w:b w:val="0"/>
                <w:bCs/>
                <w:color w:val="auto"/>
                <w:kern w:val="0"/>
                <w:sz w:val="22"/>
                <w:szCs w:val="22"/>
                <w:highlight w:val="none"/>
                <w:lang w:val="en-US" w:eastAsia="zh-CN"/>
              </w:rPr>
            </w:pPr>
            <w:r>
              <w:rPr>
                <w:rFonts w:hint="eastAsia" w:ascii="宋体" w:hAnsi="宋体" w:eastAsia="宋体" w:cs="宋体"/>
                <w:b w:val="0"/>
                <w:bCs/>
                <w:color w:val="auto"/>
                <w:kern w:val="0"/>
                <w:sz w:val="22"/>
                <w:szCs w:val="22"/>
                <w:highlight w:val="none"/>
                <w:lang w:val="en-US" w:eastAsia="zh-CN"/>
              </w:rPr>
              <w:t>大写：</w:t>
            </w:r>
            <w:r>
              <w:rPr>
                <w:rFonts w:hint="eastAsia" w:ascii="宋体" w:hAnsi="宋体" w:eastAsia="宋体" w:cs="宋体"/>
                <w:b w:val="0"/>
                <w:bCs/>
                <w:color w:val="auto"/>
                <w:kern w:val="0"/>
                <w:sz w:val="22"/>
                <w:szCs w:val="22"/>
                <w:highlight w:val="none"/>
                <w:u w:val="single"/>
                <w:lang w:val="en-US" w:eastAsia="zh-CN"/>
              </w:rPr>
              <w:t xml:space="preserve">              </w:t>
            </w:r>
            <w:r>
              <w:rPr>
                <w:rFonts w:hint="eastAsia" w:ascii="宋体" w:hAnsi="宋体" w:eastAsia="宋体" w:cs="宋体"/>
                <w:b w:val="0"/>
                <w:bCs/>
                <w:color w:val="auto"/>
                <w:kern w:val="0"/>
                <w:sz w:val="22"/>
                <w:szCs w:val="22"/>
                <w:highlight w:val="none"/>
                <w:lang w:val="en-US" w:eastAsia="zh-CN"/>
              </w:rPr>
              <w:t xml:space="preserve">                   </w:t>
            </w:r>
          </w:p>
          <w:p w14:paraId="035400A4">
            <w:pPr>
              <w:keepNext w:val="0"/>
              <w:keepLines w:val="0"/>
              <w:pageBreakBefore w:val="0"/>
              <w:widowControl/>
              <w:kinsoku/>
              <w:wordWrap/>
              <w:overflowPunct/>
              <w:topLinePunct w:val="0"/>
              <w:autoSpaceDE/>
              <w:autoSpaceDN/>
              <w:bidi w:val="0"/>
              <w:adjustRightInd/>
              <w:snapToGrid w:val="0"/>
              <w:spacing w:line="400" w:lineRule="exact"/>
              <w:ind w:firstLine="446" w:firstLineChars="200"/>
              <w:jc w:val="left"/>
              <w:textAlignment w:val="auto"/>
              <w:rPr>
                <w:rFonts w:hint="eastAsia" w:ascii="宋体" w:hAnsi="宋体" w:eastAsia="宋体" w:cs="宋体"/>
                <w:b w:val="0"/>
                <w:bCs/>
                <w:color w:val="auto"/>
                <w:kern w:val="0"/>
                <w:sz w:val="22"/>
                <w:szCs w:val="22"/>
                <w:highlight w:val="none"/>
                <w:lang w:val="en-US" w:eastAsia="zh-CN" w:bidi="ar-SA"/>
              </w:rPr>
            </w:pPr>
            <w:r>
              <w:rPr>
                <w:rFonts w:hint="eastAsia" w:ascii="宋体" w:hAnsi="宋体" w:eastAsia="宋体" w:cs="宋体"/>
                <w:b w:val="0"/>
                <w:bCs/>
                <w:color w:val="auto"/>
                <w:kern w:val="0"/>
                <w:sz w:val="22"/>
                <w:szCs w:val="22"/>
                <w:highlight w:val="none"/>
                <w:lang w:val="en-US" w:eastAsia="zh-CN"/>
              </w:rPr>
              <w:t xml:space="preserve">小写： </w:t>
            </w:r>
            <w:r>
              <w:rPr>
                <w:rFonts w:hint="eastAsia" w:ascii="宋体" w:hAnsi="宋体" w:eastAsia="宋体" w:cs="宋体"/>
                <w:b w:val="0"/>
                <w:bCs/>
                <w:color w:val="auto"/>
                <w:kern w:val="0"/>
                <w:sz w:val="22"/>
                <w:szCs w:val="22"/>
                <w:highlight w:val="none"/>
                <w:u w:val="single"/>
                <w:lang w:val="en-US" w:eastAsia="zh-CN"/>
              </w:rPr>
              <w:t xml:space="preserve">            %  </w:t>
            </w:r>
            <w:r>
              <w:rPr>
                <w:rFonts w:hint="eastAsia" w:ascii="宋体" w:hAnsi="宋体" w:eastAsia="宋体" w:cs="宋体"/>
                <w:b w:val="0"/>
                <w:bCs/>
                <w:color w:val="auto"/>
                <w:kern w:val="0"/>
                <w:sz w:val="22"/>
                <w:szCs w:val="22"/>
                <w:highlight w:val="none"/>
                <w:lang w:val="en-US" w:eastAsia="zh-CN"/>
              </w:rPr>
              <w:t xml:space="preserve">           </w:t>
            </w:r>
          </w:p>
        </w:tc>
        <w:tc>
          <w:tcPr>
            <w:tcW w:w="813" w:type="pct"/>
            <w:vAlign w:val="center"/>
          </w:tcPr>
          <w:p w14:paraId="5091B5ED">
            <w:pPr>
              <w:keepNext w:val="0"/>
              <w:keepLines w:val="0"/>
              <w:pageBreakBefore w:val="0"/>
              <w:widowControl/>
              <w:kinsoku/>
              <w:wordWrap/>
              <w:overflowPunct/>
              <w:topLinePunct w:val="0"/>
              <w:autoSpaceDE/>
              <w:autoSpaceDN/>
              <w:bidi w:val="0"/>
              <w:adjustRightInd/>
              <w:snapToGrid w:val="0"/>
              <w:spacing w:line="400" w:lineRule="exact"/>
              <w:ind w:firstLine="446" w:firstLineChars="200"/>
              <w:jc w:val="center"/>
              <w:textAlignment w:val="auto"/>
              <w:rPr>
                <w:rFonts w:hint="eastAsia" w:ascii="宋体" w:hAnsi="宋体" w:eastAsia="宋体" w:cs="宋体"/>
                <w:b w:val="0"/>
                <w:bCs/>
                <w:color w:val="auto"/>
                <w:kern w:val="0"/>
                <w:sz w:val="22"/>
                <w:szCs w:val="22"/>
                <w:highlight w:val="none"/>
                <w:lang w:val="en-US" w:eastAsia="zh-CN"/>
              </w:rPr>
            </w:pPr>
          </w:p>
        </w:tc>
        <w:tc>
          <w:tcPr>
            <w:tcW w:w="944" w:type="pct"/>
            <w:vAlign w:val="center"/>
          </w:tcPr>
          <w:p w14:paraId="3EF9BB92">
            <w:pPr>
              <w:keepNext w:val="0"/>
              <w:keepLines w:val="0"/>
              <w:pageBreakBefore w:val="0"/>
              <w:widowControl/>
              <w:kinsoku/>
              <w:wordWrap/>
              <w:overflowPunct/>
              <w:topLinePunct w:val="0"/>
              <w:autoSpaceDE/>
              <w:autoSpaceDN/>
              <w:bidi w:val="0"/>
              <w:adjustRightInd/>
              <w:snapToGrid w:val="0"/>
              <w:spacing w:line="400" w:lineRule="exact"/>
              <w:jc w:val="center"/>
              <w:textAlignment w:val="auto"/>
              <w:rPr>
                <w:rFonts w:hint="eastAsia" w:ascii="宋体" w:hAnsi="宋体" w:eastAsia="宋体" w:cs="宋体"/>
                <w:b w:val="0"/>
                <w:bCs/>
                <w:color w:val="auto"/>
                <w:kern w:val="0"/>
                <w:sz w:val="22"/>
                <w:szCs w:val="22"/>
                <w:highlight w:val="none"/>
                <w:lang w:val="en-US" w:eastAsia="zh-CN"/>
              </w:rPr>
            </w:pPr>
            <w:r>
              <w:rPr>
                <w:rFonts w:hint="eastAsia" w:ascii="宋体" w:hAnsi="宋体" w:eastAsia="宋体" w:cs="宋体"/>
                <w:b w:val="0"/>
                <w:bCs/>
                <w:color w:val="auto"/>
                <w:kern w:val="0"/>
                <w:sz w:val="22"/>
                <w:szCs w:val="22"/>
                <w:highlight w:val="none"/>
                <w:lang w:val="en-US" w:eastAsia="zh-CN"/>
              </w:rPr>
              <w:t>参照工程量清单报下浮率</w:t>
            </w:r>
          </w:p>
        </w:tc>
      </w:tr>
    </w:tbl>
    <w:p w14:paraId="298C3961">
      <w:pPr>
        <w:pStyle w:val="12"/>
        <w:tabs>
          <w:tab w:val="left" w:pos="1069"/>
          <w:tab w:val="left" w:pos="2352"/>
        </w:tabs>
        <w:spacing w:line="440" w:lineRule="atLeast"/>
        <w:rPr>
          <w:rFonts w:hAnsi="宋体" w:cs="宋体"/>
          <w:color w:val="auto"/>
          <w:sz w:val="22"/>
          <w:highlight w:val="none"/>
        </w:rPr>
      </w:pPr>
    </w:p>
    <w:p w14:paraId="792239FA">
      <w:pPr>
        <w:tabs>
          <w:tab w:val="left" w:pos="1069"/>
          <w:tab w:val="left" w:pos="2352"/>
        </w:tabs>
        <w:autoSpaceDE w:val="0"/>
        <w:autoSpaceDN w:val="0"/>
        <w:spacing w:line="360" w:lineRule="auto"/>
        <w:rPr>
          <w:rFonts w:ascii="宋体" w:hAnsi="宋体" w:cs="宋体"/>
          <w:color w:val="auto"/>
          <w:sz w:val="22"/>
          <w:highlight w:val="none"/>
        </w:rPr>
      </w:pPr>
      <w:r>
        <w:rPr>
          <w:rFonts w:hint="eastAsia" w:ascii="宋体" w:hAnsi="宋体" w:cs="宋体"/>
          <w:color w:val="auto"/>
          <w:sz w:val="22"/>
          <w:highlight w:val="none"/>
        </w:rPr>
        <w:t>1、▲</w:t>
      </w:r>
      <w:r>
        <w:rPr>
          <w:rFonts w:hint="eastAsia" w:ascii="宋体" w:hAnsi="宋体" w:cs="宋体"/>
          <w:b/>
          <w:bCs/>
          <w:color w:val="auto"/>
          <w:sz w:val="22"/>
          <w:highlight w:val="none"/>
          <w:u w:val="single"/>
        </w:rPr>
        <w:t>开标（报价）一览表中投标价为符合竞争性磋商文件要求的投标</w:t>
      </w:r>
      <w:r>
        <w:rPr>
          <w:rFonts w:hint="eastAsia" w:ascii="宋体" w:hAnsi="宋体" w:cs="宋体"/>
          <w:b/>
          <w:bCs/>
          <w:color w:val="auto"/>
          <w:sz w:val="22"/>
          <w:highlight w:val="none"/>
          <w:u w:val="single"/>
          <w:lang w:val="en-US" w:eastAsia="zh-CN"/>
        </w:rPr>
        <w:t>报价</w:t>
      </w:r>
      <w:r>
        <w:rPr>
          <w:rFonts w:hint="eastAsia" w:ascii="宋体" w:hAnsi="宋体" w:cs="宋体"/>
          <w:color w:val="auto"/>
          <w:sz w:val="22"/>
          <w:highlight w:val="none"/>
        </w:rPr>
        <w:t>。</w:t>
      </w:r>
    </w:p>
    <w:p w14:paraId="276C5578">
      <w:pPr>
        <w:tabs>
          <w:tab w:val="left" w:pos="1069"/>
          <w:tab w:val="left" w:pos="2352"/>
        </w:tabs>
        <w:autoSpaceDE w:val="0"/>
        <w:autoSpaceDN w:val="0"/>
        <w:spacing w:line="360" w:lineRule="auto"/>
        <w:rPr>
          <w:rFonts w:ascii="宋体" w:hAnsi="宋体" w:cs="宋体"/>
          <w:b/>
          <w:bCs/>
          <w:color w:val="auto"/>
          <w:sz w:val="22"/>
          <w:highlight w:val="none"/>
        </w:rPr>
      </w:pPr>
      <w:r>
        <w:rPr>
          <w:rFonts w:hint="eastAsia" w:ascii="宋体" w:hAnsi="宋体" w:cs="宋体"/>
          <w:color w:val="auto"/>
          <w:sz w:val="22"/>
          <w:highlight w:val="none"/>
        </w:rPr>
        <w:t>3、▲</w:t>
      </w:r>
      <w:r>
        <w:rPr>
          <w:rFonts w:hint="eastAsia" w:ascii="宋体" w:hAnsi="宋体" w:cs="宋体"/>
          <w:b/>
          <w:bCs/>
          <w:color w:val="auto"/>
          <w:sz w:val="22"/>
          <w:highlight w:val="none"/>
          <w:u w:val="single"/>
        </w:rPr>
        <w:t>不提供此表格的将视为没有实质性响应竞争性磋商文件</w:t>
      </w:r>
      <w:r>
        <w:rPr>
          <w:rFonts w:hint="eastAsia" w:ascii="宋体" w:hAnsi="宋体" w:cs="宋体"/>
          <w:color w:val="auto"/>
          <w:sz w:val="22"/>
          <w:highlight w:val="none"/>
        </w:rPr>
        <w:t>。</w:t>
      </w:r>
    </w:p>
    <w:p w14:paraId="7A730C1A">
      <w:pPr>
        <w:pStyle w:val="12"/>
        <w:tabs>
          <w:tab w:val="left" w:pos="1069"/>
          <w:tab w:val="left" w:pos="2352"/>
        </w:tabs>
        <w:spacing w:line="440" w:lineRule="atLeast"/>
        <w:rPr>
          <w:rFonts w:hAnsi="宋体" w:cs="宋体"/>
          <w:b/>
          <w:bCs/>
          <w:color w:val="auto"/>
          <w:sz w:val="22"/>
          <w:highlight w:val="none"/>
        </w:rPr>
      </w:pPr>
    </w:p>
    <w:p w14:paraId="43DD259C">
      <w:pPr>
        <w:pStyle w:val="12"/>
        <w:tabs>
          <w:tab w:val="left" w:pos="1069"/>
          <w:tab w:val="left" w:pos="2352"/>
        </w:tabs>
        <w:spacing w:line="440" w:lineRule="atLeast"/>
        <w:rPr>
          <w:rFonts w:hAnsi="宋体" w:cs="宋体"/>
          <w:b/>
          <w:bCs/>
          <w:color w:val="auto"/>
          <w:sz w:val="22"/>
          <w:highlight w:val="none"/>
        </w:rPr>
      </w:pPr>
      <w:r>
        <w:rPr>
          <w:rFonts w:hint="eastAsia" w:hAnsi="宋体" w:cs="宋体"/>
          <w:color w:val="auto"/>
          <w:sz w:val="22"/>
          <w:highlight w:val="none"/>
        </w:rPr>
        <w:t>供应商全称：（盖章）</w:t>
      </w:r>
    </w:p>
    <w:p w14:paraId="4C8A038F">
      <w:pPr>
        <w:pStyle w:val="12"/>
        <w:tabs>
          <w:tab w:val="left" w:pos="1069"/>
          <w:tab w:val="left" w:pos="2352"/>
        </w:tabs>
        <w:spacing w:line="440" w:lineRule="atLeast"/>
        <w:rPr>
          <w:rFonts w:hAnsi="宋体" w:cs="宋体"/>
          <w:b/>
          <w:bCs/>
          <w:color w:val="auto"/>
          <w:sz w:val="22"/>
          <w:highlight w:val="none"/>
          <w:lang w:val="zh-CN"/>
        </w:rPr>
      </w:pPr>
      <w:r>
        <w:rPr>
          <w:rFonts w:hint="eastAsia" w:hAnsi="宋体" w:cs="宋体"/>
          <w:color w:val="auto"/>
          <w:sz w:val="22"/>
          <w:highlight w:val="none"/>
        </w:rPr>
        <w:t>法定代表人（签字或盖章）或</w:t>
      </w:r>
      <w:r>
        <w:rPr>
          <w:rFonts w:hint="eastAsia" w:hAnsi="宋体" w:cs="宋体"/>
          <w:color w:val="auto"/>
          <w:sz w:val="22"/>
          <w:highlight w:val="none"/>
          <w:lang w:val="zh-CN"/>
        </w:rPr>
        <w:t>授权代表（签字）：</w:t>
      </w:r>
    </w:p>
    <w:p w14:paraId="0BEDE981">
      <w:pPr>
        <w:pStyle w:val="12"/>
        <w:tabs>
          <w:tab w:val="left" w:pos="1069"/>
          <w:tab w:val="left" w:pos="2352"/>
        </w:tabs>
        <w:spacing w:line="440" w:lineRule="atLeast"/>
        <w:rPr>
          <w:rFonts w:hAnsi="宋体" w:cs="宋体"/>
          <w:b/>
          <w:bCs/>
          <w:color w:val="auto"/>
          <w:sz w:val="22"/>
          <w:highlight w:val="none"/>
        </w:rPr>
      </w:pPr>
      <w:r>
        <w:rPr>
          <w:rFonts w:hint="eastAsia" w:hAnsi="宋体" w:cs="宋体"/>
          <w:color w:val="auto"/>
          <w:sz w:val="22"/>
          <w:highlight w:val="none"/>
        </w:rPr>
        <w:t>日期：</w:t>
      </w:r>
    </w:p>
    <w:p w14:paraId="79CF9967">
      <w:pPr>
        <w:tabs>
          <w:tab w:val="left" w:pos="1069"/>
          <w:tab w:val="left" w:pos="2352"/>
        </w:tabs>
        <w:spacing w:line="360" w:lineRule="exact"/>
        <w:jc w:val="left"/>
        <w:rPr>
          <w:rFonts w:ascii="宋体" w:hAnsi="宋体" w:cs="宋体"/>
          <w:color w:val="auto"/>
          <w:sz w:val="22"/>
          <w:highlight w:val="none"/>
          <w:lang w:val="zh-CN"/>
        </w:rPr>
      </w:pPr>
      <w:bookmarkStart w:id="250" w:name="_Toc31481_WPSOffice_Level2"/>
    </w:p>
    <w:p w14:paraId="2890F53B">
      <w:pPr>
        <w:pStyle w:val="10"/>
        <w:tabs>
          <w:tab w:val="left" w:pos="1069"/>
          <w:tab w:val="left" w:pos="2352"/>
        </w:tabs>
        <w:rPr>
          <w:rFonts w:ascii="宋体" w:hAnsi="宋体" w:cs="宋体"/>
          <w:color w:val="auto"/>
          <w:sz w:val="22"/>
          <w:highlight w:val="none"/>
          <w:lang w:val="zh-CN"/>
        </w:rPr>
      </w:pPr>
    </w:p>
    <w:p w14:paraId="6FF1EC15">
      <w:pPr>
        <w:pStyle w:val="10"/>
        <w:tabs>
          <w:tab w:val="left" w:pos="1069"/>
          <w:tab w:val="left" w:pos="2352"/>
        </w:tabs>
        <w:rPr>
          <w:rFonts w:ascii="宋体" w:hAnsi="宋体" w:cs="宋体"/>
          <w:color w:val="auto"/>
          <w:sz w:val="22"/>
          <w:highlight w:val="none"/>
          <w:lang w:val="zh-CN"/>
        </w:rPr>
      </w:pPr>
    </w:p>
    <w:p w14:paraId="4F0EB214">
      <w:pPr>
        <w:pStyle w:val="10"/>
        <w:tabs>
          <w:tab w:val="left" w:pos="1069"/>
          <w:tab w:val="left" w:pos="2352"/>
        </w:tabs>
        <w:rPr>
          <w:rFonts w:ascii="宋体" w:hAnsi="宋体" w:cs="宋体"/>
          <w:color w:val="auto"/>
          <w:sz w:val="22"/>
          <w:highlight w:val="none"/>
          <w:lang w:val="zh-CN"/>
        </w:rPr>
      </w:pPr>
    </w:p>
    <w:bookmarkEnd w:id="250"/>
    <w:p w14:paraId="38DA48D2">
      <w:pPr>
        <w:pStyle w:val="9"/>
        <w:tabs>
          <w:tab w:val="left" w:pos="1069"/>
          <w:tab w:val="left" w:pos="2352"/>
        </w:tabs>
        <w:rPr>
          <w:rFonts w:ascii="宋体" w:hAnsi="宋体" w:cs="宋体"/>
          <w:b/>
          <w:bCs/>
          <w:color w:val="auto"/>
          <w:sz w:val="32"/>
          <w:szCs w:val="32"/>
          <w:highlight w:val="none"/>
        </w:rPr>
      </w:pPr>
    </w:p>
    <w:p w14:paraId="5534B93C">
      <w:pPr>
        <w:pStyle w:val="9"/>
        <w:tabs>
          <w:tab w:val="left" w:pos="2352"/>
        </w:tabs>
        <w:rPr>
          <w:rFonts w:ascii="宋体"/>
          <w:b/>
          <w:bCs/>
          <w:color w:val="auto"/>
          <w:sz w:val="32"/>
          <w:szCs w:val="32"/>
          <w:highlight w:val="none"/>
        </w:rPr>
      </w:pPr>
    </w:p>
    <w:p w14:paraId="34049891">
      <w:pPr>
        <w:tabs>
          <w:tab w:val="left" w:pos="1069"/>
          <w:tab w:val="left" w:pos="2352"/>
        </w:tabs>
        <w:snapToGrid w:val="0"/>
        <w:spacing w:line="440" w:lineRule="exact"/>
        <w:rPr>
          <w:rFonts w:ascii="宋体" w:hAnsi="宋体" w:cs="宋体"/>
          <w:b/>
          <w:bCs/>
          <w:color w:val="auto"/>
          <w:sz w:val="22"/>
          <w:highlight w:val="none"/>
        </w:rPr>
      </w:pPr>
    </w:p>
    <w:p w14:paraId="1102F185">
      <w:pPr>
        <w:tabs>
          <w:tab w:val="left" w:pos="1069"/>
          <w:tab w:val="left" w:pos="2352"/>
        </w:tabs>
        <w:snapToGrid w:val="0"/>
        <w:spacing w:line="440" w:lineRule="exact"/>
        <w:rPr>
          <w:rFonts w:ascii="宋体" w:hAnsi="宋体" w:cs="宋体"/>
          <w:b/>
          <w:bCs/>
          <w:color w:val="auto"/>
          <w:sz w:val="22"/>
          <w:highlight w:val="none"/>
        </w:rPr>
      </w:pPr>
    </w:p>
    <w:p w14:paraId="16BDBDDF">
      <w:pPr>
        <w:tabs>
          <w:tab w:val="left" w:pos="1069"/>
          <w:tab w:val="left" w:pos="2352"/>
        </w:tabs>
        <w:snapToGrid w:val="0"/>
        <w:spacing w:line="440" w:lineRule="exact"/>
        <w:rPr>
          <w:rFonts w:ascii="宋体" w:hAnsi="宋体" w:cs="宋体"/>
          <w:b/>
          <w:bCs/>
          <w:color w:val="auto"/>
          <w:sz w:val="32"/>
          <w:szCs w:val="32"/>
          <w:highlight w:val="none"/>
        </w:rPr>
      </w:pPr>
      <w:r>
        <w:rPr>
          <w:rFonts w:hint="eastAsia" w:ascii="宋体" w:hAnsi="宋体" w:cs="宋体"/>
          <w:b/>
          <w:bCs/>
          <w:color w:val="auto"/>
          <w:sz w:val="22"/>
          <w:highlight w:val="none"/>
        </w:rPr>
        <w:t>二</w:t>
      </w:r>
      <w:r>
        <w:rPr>
          <w:rFonts w:hint="eastAsia" w:ascii="宋体" w:hAnsi="宋体" w:cs="宋体"/>
          <w:b/>
          <w:bCs/>
          <w:color w:val="auto"/>
          <w:sz w:val="22"/>
          <w:highlight w:val="none"/>
          <w:lang w:val="zh-CN"/>
        </w:rPr>
        <w:t>、</w:t>
      </w:r>
      <w:r>
        <w:rPr>
          <w:rFonts w:hint="eastAsia" w:ascii="宋体" w:hAnsi="宋体" w:cs="宋体"/>
          <w:b/>
          <w:bCs/>
          <w:color w:val="auto"/>
          <w:sz w:val="22"/>
          <w:highlight w:val="none"/>
        </w:rPr>
        <w:t>资格</w:t>
      </w:r>
      <w:r>
        <w:rPr>
          <w:rFonts w:hint="eastAsia" w:ascii="宋体" w:hAnsi="宋体" w:cs="宋体"/>
          <w:b/>
          <w:bCs/>
          <w:color w:val="auto"/>
          <w:sz w:val="22"/>
          <w:highlight w:val="none"/>
          <w:lang w:val="zh-CN"/>
        </w:rPr>
        <w:t>部分投标文件格式</w:t>
      </w:r>
    </w:p>
    <w:p w14:paraId="5FF42CA5">
      <w:pPr>
        <w:pStyle w:val="9"/>
        <w:tabs>
          <w:tab w:val="left" w:pos="1069"/>
          <w:tab w:val="left" w:pos="2352"/>
        </w:tabs>
        <w:rPr>
          <w:rFonts w:ascii="宋体" w:hAnsi="宋体" w:cs="宋体"/>
          <w:color w:val="auto"/>
          <w:sz w:val="22"/>
          <w:szCs w:val="22"/>
          <w:highlight w:val="none"/>
        </w:rPr>
      </w:pPr>
      <w:r>
        <w:rPr>
          <w:rFonts w:hint="eastAsia" w:ascii="宋体" w:hAnsi="宋体" w:cs="宋体"/>
          <w:b/>
          <w:bCs/>
          <w:color w:val="auto"/>
          <w:sz w:val="22"/>
          <w:highlight w:val="none"/>
        </w:rPr>
        <w:t>资格</w:t>
      </w:r>
      <w:r>
        <w:rPr>
          <w:rFonts w:hint="eastAsia" w:ascii="宋体" w:hAnsi="宋体" w:cs="宋体"/>
          <w:b/>
          <w:bCs/>
          <w:color w:val="auto"/>
          <w:sz w:val="22"/>
          <w:highlight w:val="none"/>
          <w:lang w:val="zh-CN"/>
        </w:rPr>
        <w:t>部分投标文件</w:t>
      </w:r>
      <w:r>
        <w:rPr>
          <w:rFonts w:hint="eastAsia" w:ascii="宋体" w:hAnsi="宋体" w:cs="宋体"/>
          <w:color w:val="auto"/>
          <w:sz w:val="22"/>
          <w:szCs w:val="22"/>
          <w:highlight w:val="none"/>
        </w:rPr>
        <w:t>封面参考：</w:t>
      </w:r>
    </w:p>
    <w:p w14:paraId="01DA98E8">
      <w:pPr>
        <w:tabs>
          <w:tab w:val="left" w:pos="1069"/>
          <w:tab w:val="left" w:pos="2352"/>
        </w:tabs>
        <w:spacing w:line="480" w:lineRule="auto"/>
        <w:jc w:val="center"/>
        <w:rPr>
          <w:rFonts w:ascii="宋体" w:hAnsi="宋体" w:cs="宋体"/>
          <w:b/>
          <w:color w:val="auto"/>
          <w:sz w:val="64"/>
          <w:szCs w:val="64"/>
          <w:highlight w:val="none"/>
        </w:rPr>
      </w:pPr>
    </w:p>
    <w:p w14:paraId="248B9D18">
      <w:pPr>
        <w:tabs>
          <w:tab w:val="left" w:pos="1069"/>
          <w:tab w:val="left" w:pos="2352"/>
        </w:tabs>
        <w:spacing w:line="480" w:lineRule="auto"/>
        <w:jc w:val="center"/>
        <w:rPr>
          <w:rFonts w:hint="eastAsia" w:ascii="宋体" w:hAnsi="宋体" w:eastAsia="等线" w:cs="宋体"/>
          <w:b/>
          <w:color w:val="auto"/>
          <w:sz w:val="64"/>
          <w:szCs w:val="64"/>
          <w:highlight w:val="none"/>
          <w:lang w:eastAsia="zh-CN"/>
        </w:rPr>
      </w:pPr>
      <w:r>
        <w:rPr>
          <w:rFonts w:hint="eastAsia" w:ascii="宋体" w:hAnsi="宋体" w:eastAsia="等线" w:cs="宋体"/>
          <w:b/>
          <w:color w:val="auto"/>
          <w:sz w:val="64"/>
          <w:szCs w:val="64"/>
          <w:highlight w:val="none"/>
          <w:lang w:eastAsia="zh-CN"/>
        </w:rPr>
        <w:t>2024年泰顺县罗阳镇上洪村堆谷洋农田宜机化改造项目</w:t>
      </w:r>
    </w:p>
    <w:p w14:paraId="4A8E5662">
      <w:pPr>
        <w:tabs>
          <w:tab w:val="left" w:pos="1069"/>
          <w:tab w:val="left" w:pos="2352"/>
        </w:tabs>
        <w:spacing w:line="480" w:lineRule="auto"/>
        <w:jc w:val="center"/>
        <w:rPr>
          <w:rFonts w:ascii="等线" w:hAnsi="等线" w:eastAsia="等线" w:cs="等线"/>
          <w:bCs/>
          <w:color w:val="auto"/>
          <w:sz w:val="84"/>
          <w:szCs w:val="84"/>
          <w:highlight w:val="none"/>
        </w:rPr>
      </w:pPr>
      <w:r>
        <w:rPr>
          <w:rFonts w:hint="eastAsia" w:ascii="等线" w:hAnsi="等线" w:eastAsia="等线" w:cs="等线"/>
          <w:bCs/>
          <w:color w:val="auto"/>
          <w:sz w:val="84"/>
          <w:szCs w:val="84"/>
          <w:highlight w:val="none"/>
        </w:rPr>
        <w:t>投 标 文 件</w:t>
      </w:r>
    </w:p>
    <w:p w14:paraId="16ED75A2">
      <w:pPr>
        <w:tabs>
          <w:tab w:val="left" w:pos="1069"/>
          <w:tab w:val="left" w:pos="2352"/>
        </w:tabs>
        <w:spacing w:line="480" w:lineRule="auto"/>
        <w:jc w:val="center"/>
        <w:rPr>
          <w:rFonts w:ascii="等线" w:hAnsi="等线" w:eastAsia="等线" w:cs="等线"/>
          <w:bCs/>
          <w:color w:val="auto"/>
          <w:sz w:val="84"/>
          <w:szCs w:val="84"/>
          <w:highlight w:val="none"/>
        </w:rPr>
      </w:pPr>
      <w:r>
        <w:rPr>
          <w:rFonts w:hint="eastAsia" w:ascii="等线" w:hAnsi="等线" w:eastAsia="等线" w:cs="等线"/>
          <w:bCs/>
          <w:color w:val="auto"/>
          <w:sz w:val="60"/>
          <w:szCs w:val="60"/>
          <w:highlight w:val="none"/>
        </w:rPr>
        <w:t>（资 格 部 分）</w:t>
      </w:r>
    </w:p>
    <w:p w14:paraId="36E79F9D">
      <w:pPr>
        <w:tabs>
          <w:tab w:val="left" w:pos="1069"/>
          <w:tab w:val="left" w:pos="2352"/>
        </w:tabs>
        <w:snapToGrid w:val="0"/>
        <w:spacing w:line="600" w:lineRule="atLeast"/>
        <w:ind w:firstLine="1052" w:firstLineChars="400"/>
        <w:rPr>
          <w:rFonts w:ascii="宋体" w:hAnsi="宋体" w:cs="宋体"/>
          <w:b/>
          <w:color w:val="auto"/>
          <w:sz w:val="26"/>
          <w:szCs w:val="26"/>
          <w:highlight w:val="none"/>
        </w:rPr>
      </w:pPr>
    </w:p>
    <w:p w14:paraId="025D9A69">
      <w:pPr>
        <w:tabs>
          <w:tab w:val="left" w:pos="1069"/>
          <w:tab w:val="left" w:pos="2352"/>
        </w:tabs>
        <w:snapToGrid w:val="0"/>
        <w:spacing w:line="600" w:lineRule="atLeast"/>
        <w:ind w:firstLine="1052" w:firstLineChars="400"/>
        <w:rPr>
          <w:rFonts w:ascii="宋体" w:hAnsi="宋体" w:cs="宋体"/>
          <w:b/>
          <w:color w:val="auto"/>
          <w:sz w:val="26"/>
          <w:szCs w:val="26"/>
          <w:highlight w:val="none"/>
        </w:rPr>
      </w:pPr>
    </w:p>
    <w:tbl>
      <w:tblPr>
        <w:tblStyle w:val="31"/>
        <w:tblW w:w="0" w:type="auto"/>
        <w:tblInd w:w="844"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7678"/>
      </w:tblGrid>
      <w:tr w14:paraId="059C9670">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737" w:hRule="atLeast"/>
        </w:trPr>
        <w:tc>
          <w:tcPr>
            <w:tcW w:w="7678" w:type="dxa"/>
          </w:tcPr>
          <w:p w14:paraId="694A14B9">
            <w:pPr>
              <w:tabs>
                <w:tab w:val="left" w:pos="1069"/>
                <w:tab w:val="left" w:pos="2352"/>
              </w:tabs>
              <w:snapToGrid w:val="0"/>
              <w:spacing w:line="600" w:lineRule="atLeast"/>
              <w:rPr>
                <w:rFonts w:hint="eastAsia" w:ascii="宋体" w:hAnsi="宋体" w:eastAsia="宋体" w:cs="宋体"/>
                <w:b/>
                <w:color w:val="auto"/>
                <w:sz w:val="26"/>
                <w:szCs w:val="26"/>
                <w:highlight w:val="none"/>
                <w:lang w:eastAsia="zh-CN"/>
              </w:rPr>
            </w:pPr>
            <w:r>
              <w:rPr>
                <w:rFonts w:hint="eastAsia" w:ascii="宋体" w:hAnsi="宋体" w:cs="宋体"/>
                <w:b/>
                <w:color w:val="auto"/>
                <w:sz w:val="26"/>
                <w:szCs w:val="26"/>
                <w:highlight w:val="none"/>
              </w:rPr>
              <w:t>项目编号：</w:t>
            </w:r>
            <w:r>
              <w:rPr>
                <w:rFonts w:hint="eastAsia" w:ascii="宋体" w:hAnsi="宋体" w:cs="宋体"/>
                <w:b/>
                <w:color w:val="auto"/>
                <w:sz w:val="26"/>
                <w:szCs w:val="26"/>
                <w:highlight w:val="none"/>
                <w:lang w:eastAsia="zh-CN"/>
              </w:rPr>
              <w:t>TSCG202502006</w:t>
            </w:r>
          </w:p>
        </w:tc>
      </w:tr>
      <w:tr w14:paraId="2BA65601">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737" w:hRule="atLeast"/>
        </w:trPr>
        <w:tc>
          <w:tcPr>
            <w:tcW w:w="7678" w:type="dxa"/>
          </w:tcPr>
          <w:p w14:paraId="0F3322B7">
            <w:pPr>
              <w:tabs>
                <w:tab w:val="left" w:pos="1069"/>
                <w:tab w:val="left" w:pos="2352"/>
              </w:tabs>
              <w:snapToGrid w:val="0"/>
              <w:spacing w:line="600" w:lineRule="atLeast"/>
              <w:rPr>
                <w:rFonts w:hint="eastAsia" w:ascii="宋体" w:hAnsi="宋体" w:eastAsia="宋体" w:cs="宋体"/>
                <w:b/>
                <w:color w:val="auto"/>
                <w:sz w:val="26"/>
                <w:szCs w:val="26"/>
                <w:highlight w:val="none"/>
                <w:lang w:eastAsia="zh-CN"/>
              </w:rPr>
            </w:pPr>
            <w:r>
              <w:rPr>
                <w:rFonts w:hint="eastAsia" w:ascii="宋体" w:hAnsi="宋体" w:cs="宋体"/>
                <w:b/>
                <w:color w:val="auto"/>
                <w:sz w:val="26"/>
                <w:szCs w:val="26"/>
                <w:highlight w:val="none"/>
              </w:rPr>
              <w:t>采购单位：</w:t>
            </w:r>
            <w:r>
              <w:rPr>
                <w:rFonts w:hint="eastAsia" w:ascii="宋体" w:hAnsi="宋体" w:cs="宋体"/>
                <w:b/>
                <w:color w:val="auto"/>
                <w:sz w:val="26"/>
                <w:szCs w:val="26"/>
                <w:highlight w:val="none"/>
                <w:lang w:eastAsia="zh-CN"/>
              </w:rPr>
              <w:t>泰顺县罗阳镇人民政府</w:t>
            </w:r>
          </w:p>
        </w:tc>
      </w:tr>
      <w:tr w14:paraId="3F343207">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737" w:hRule="atLeast"/>
        </w:trPr>
        <w:tc>
          <w:tcPr>
            <w:tcW w:w="7678" w:type="dxa"/>
          </w:tcPr>
          <w:p w14:paraId="67846509">
            <w:pPr>
              <w:tabs>
                <w:tab w:val="left" w:pos="1069"/>
                <w:tab w:val="left" w:pos="2352"/>
              </w:tabs>
              <w:snapToGrid w:val="0"/>
              <w:spacing w:line="600" w:lineRule="atLeast"/>
              <w:rPr>
                <w:rFonts w:ascii="宋体" w:hAnsi="宋体" w:cs="宋体"/>
                <w:b/>
                <w:color w:val="auto"/>
                <w:sz w:val="26"/>
                <w:szCs w:val="26"/>
                <w:highlight w:val="none"/>
              </w:rPr>
            </w:pPr>
            <w:r>
              <w:rPr>
                <w:rFonts w:hint="eastAsia" w:ascii="宋体" w:hAnsi="宋体" w:cs="宋体"/>
                <w:b/>
                <w:color w:val="auto"/>
                <w:sz w:val="26"/>
                <w:szCs w:val="26"/>
                <w:highlight w:val="none"/>
              </w:rPr>
              <w:t>供应商名称（盖章）：</w:t>
            </w:r>
          </w:p>
        </w:tc>
      </w:tr>
      <w:tr w14:paraId="05125689">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737" w:hRule="atLeast"/>
        </w:trPr>
        <w:tc>
          <w:tcPr>
            <w:tcW w:w="7678" w:type="dxa"/>
          </w:tcPr>
          <w:p w14:paraId="38996A17">
            <w:pPr>
              <w:tabs>
                <w:tab w:val="left" w:pos="1069"/>
                <w:tab w:val="left" w:pos="2352"/>
              </w:tabs>
              <w:snapToGrid w:val="0"/>
              <w:spacing w:line="600" w:lineRule="atLeast"/>
              <w:rPr>
                <w:rFonts w:ascii="宋体" w:hAnsi="宋体" w:cs="宋体"/>
                <w:b/>
                <w:color w:val="auto"/>
                <w:sz w:val="26"/>
                <w:szCs w:val="26"/>
                <w:highlight w:val="none"/>
              </w:rPr>
            </w:pPr>
            <w:r>
              <w:rPr>
                <w:rFonts w:hint="eastAsia" w:ascii="宋体" w:hAnsi="宋体" w:cs="宋体"/>
                <w:b/>
                <w:color w:val="auto"/>
                <w:sz w:val="26"/>
                <w:szCs w:val="26"/>
                <w:highlight w:val="none"/>
              </w:rPr>
              <w:t>供应商地址：</w:t>
            </w:r>
          </w:p>
        </w:tc>
      </w:tr>
      <w:tr w14:paraId="48C6C90C">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737" w:hRule="atLeast"/>
        </w:trPr>
        <w:tc>
          <w:tcPr>
            <w:tcW w:w="7678" w:type="dxa"/>
          </w:tcPr>
          <w:p w14:paraId="5B52912D">
            <w:pPr>
              <w:tabs>
                <w:tab w:val="left" w:pos="1069"/>
                <w:tab w:val="left" w:pos="2352"/>
              </w:tabs>
              <w:snapToGrid w:val="0"/>
              <w:spacing w:line="600" w:lineRule="atLeast"/>
              <w:rPr>
                <w:rFonts w:ascii="宋体" w:hAnsi="宋体" w:cs="宋体"/>
                <w:b/>
                <w:color w:val="auto"/>
                <w:sz w:val="26"/>
                <w:szCs w:val="26"/>
                <w:highlight w:val="none"/>
              </w:rPr>
            </w:pPr>
            <w:r>
              <w:rPr>
                <w:rFonts w:hint="eastAsia" w:ascii="宋体" w:hAnsi="宋体" w:cs="宋体"/>
                <w:b/>
                <w:color w:val="auto"/>
                <w:sz w:val="26"/>
                <w:szCs w:val="26"/>
                <w:highlight w:val="none"/>
              </w:rPr>
              <w:t>法定代表人（签字或盖章）或</w:t>
            </w:r>
            <w:r>
              <w:rPr>
                <w:rFonts w:hint="eastAsia" w:ascii="宋体" w:hAnsi="宋体" w:cs="宋体"/>
                <w:b/>
                <w:color w:val="auto"/>
                <w:sz w:val="26"/>
                <w:szCs w:val="26"/>
                <w:highlight w:val="none"/>
                <w:lang w:val="zh-CN"/>
              </w:rPr>
              <w:t>授权代表（签字）：</w:t>
            </w:r>
          </w:p>
        </w:tc>
      </w:tr>
      <w:tr w14:paraId="6C6D0F77">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737" w:hRule="atLeast"/>
        </w:trPr>
        <w:tc>
          <w:tcPr>
            <w:tcW w:w="7678" w:type="dxa"/>
          </w:tcPr>
          <w:p w14:paraId="4A3BCDC1">
            <w:pPr>
              <w:tabs>
                <w:tab w:val="left" w:pos="1069"/>
                <w:tab w:val="left" w:pos="2352"/>
              </w:tabs>
              <w:snapToGrid w:val="0"/>
              <w:spacing w:line="600" w:lineRule="atLeast"/>
              <w:rPr>
                <w:rFonts w:ascii="宋体" w:hAnsi="宋体" w:cs="宋体"/>
                <w:b/>
                <w:color w:val="auto"/>
                <w:sz w:val="26"/>
                <w:szCs w:val="26"/>
                <w:highlight w:val="none"/>
              </w:rPr>
            </w:pPr>
            <w:r>
              <w:rPr>
                <w:rFonts w:hint="eastAsia" w:ascii="宋体" w:hAnsi="宋体" w:cs="宋体"/>
                <w:b/>
                <w:color w:val="auto"/>
                <w:sz w:val="26"/>
                <w:szCs w:val="26"/>
                <w:highlight w:val="none"/>
              </w:rPr>
              <w:t>日期：  年 月 日</w:t>
            </w:r>
          </w:p>
        </w:tc>
      </w:tr>
    </w:tbl>
    <w:p w14:paraId="6DB86D8F">
      <w:pPr>
        <w:tabs>
          <w:tab w:val="left" w:pos="1069"/>
          <w:tab w:val="left" w:pos="2352"/>
        </w:tabs>
        <w:snapToGrid w:val="0"/>
        <w:spacing w:line="600" w:lineRule="atLeast"/>
        <w:ind w:firstLine="1052" w:firstLineChars="400"/>
        <w:rPr>
          <w:rFonts w:ascii="宋体" w:hAnsi="宋体" w:cs="宋体"/>
          <w:b/>
          <w:color w:val="auto"/>
          <w:sz w:val="26"/>
          <w:szCs w:val="26"/>
          <w:highlight w:val="none"/>
        </w:rPr>
      </w:pPr>
    </w:p>
    <w:p w14:paraId="02360F97">
      <w:pPr>
        <w:tabs>
          <w:tab w:val="left" w:pos="1069"/>
          <w:tab w:val="left" w:pos="2352"/>
        </w:tabs>
        <w:autoSpaceDE w:val="0"/>
        <w:autoSpaceDN w:val="0"/>
        <w:adjustRightInd w:val="0"/>
        <w:spacing w:line="460" w:lineRule="atLeast"/>
        <w:rPr>
          <w:rFonts w:ascii="宋体" w:hAnsi="宋体" w:cs="宋体"/>
          <w:b/>
          <w:bCs/>
          <w:color w:val="auto"/>
          <w:sz w:val="30"/>
          <w:highlight w:val="none"/>
          <w:lang w:val="zh-CN"/>
        </w:rPr>
      </w:pPr>
    </w:p>
    <w:p w14:paraId="5F714786">
      <w:pPr>
        <w:tabs>
          <w:tab w:val="left" w:pos="1069"/>
          <w:tab w:val="left" w:pos="2352"/>
        </w:tabs>
        <w:autoSpaceDE w:val="0"/>
        <w:autoSpaceDN w:val="0"/>
        <w:adjustRightInd w:val="0"/>
        <w:spacing w:line="460" w:lineRule="atLeast"/>
        <w:rPr>
          <w:rFonts w:ascii="宋体" w:hAnsi="宋体" w:cs="宋体"/>
          <w:b/>
          <w:bCs/>
          <w:color w:val="auto"/>
          <w:sz w:val="30"/>
          <w:highlight w:val="none"/>
          <w:lang w:val="zh-CN"/>
        </w:rPr>
      </w:pPr>
    </w:p>
    <w:p w14:paraId="777C2C93">
      <w:pPr>
        <w:tabs>
          <w:tab w:val="left" w:pos="1069"/>
          <w:tab w:val="left" w:pos="2352"/>
        </w:tabs>
        <w:autoSpaceDE w:val="0"/>
        <w:autoSpaceDN w:val="0"/>
        <w:adjustRightInd w:val="0"/>
        <w:spacing w:line="460" w:lineRule="atLeast"/>
        <w:rPr>
          <w:rFonts w:hint="eastAsia" w:ascii="宋体" w:hAnsi="宋体" w:eastAsia="宋体" w:cs="宋体"/>
          <w:b/>
          <w:bCs/>
          <w:color w:val="auto"/>
          <w:sz w:val="30"/>
          <w:highlight w:val="none"/>
          <w:lang w:eastAsia="zh-CN"/>
        </w:rPr>
      </w:pPr>
      <w:r>
        <w:rPr>
          <w:rFonts w:hint="eastAsia" w:ascii="宋体" w:hAnsi="宋体" w:cs="宋体"/>
          <w:b/>
          <w:bCs/>
          <w:color w:val="auto"/>
          <w:sz w:val="30"/>
          <w:highlight w:val="none"/>
          <w:lang w:val="zh-CN"/>
        </w:rPr>
        <w:t>附件</w:t>
      </w:r>
      <w:r>
        <w:rPr>
          <w:rFonts w:hint="eastAsia" w:ascii="宋体" w:hAnsi="宋体" w:cs="宋体"/>
          <w:b/>
          <w:bCs/>
          <w:color w:val="auto"/>
          <w:sz w:val="30"/>
          <w:highlight w:val="none"/>
          <w:lang w:val="en-US" w:eastAsia="zh-CN"/>
        </w:rPr>
        <w:t>二</w:t>
      </w:r>
    </w:p>
    <w:p w14:paraId="34E38966">
      <w:pPr>
        <w:tabs>
          <w:tab w:val="left" w:pos="1069"/>
          <w:tab w:val="left" w:pos="2352"/>
        </w:tabs>
        <w:autoSpaceDE w:val="0"/>
        <w:autoSpaceDN w:val="0"/>
        <w:adjustRightInd w:val="0"/>
        <w:spacing w:line="460" w:lineRule="atLeast"/>
        <w:jc w:val="center"/>
        <w:rPr>
          <w:rFonts w:ascii="宋体" w:hAnsi="宋体" w:cs="宋体"/>
          <w:b/>
          <w:bCs/>
          <w:color w:val="auto"/>
          <w:sz w:val="32"/>
          <w:szCs w:val="24"/>
          <w:highlight w:val="none"/>
        </w:rPr>
      </w:pPr>
      <w:r>
        <w:rPr>
          <w:rFonts w:hint="eastAsia" w:ascii="宋体" w:hAnsi="宋体" w:cs="宋体"/>
          <w:b/>
          <w:bCs/>
          <w:color w:val="auto"/>
          <w:sz w:val="32"/>
          <w:szCs w:val="24"/>
          <w:highlight w:val="none"/>
        </w:rPr>
        <w:t>符合参加政府采购活动应当具备的一般条件的承诺函</w:t>
      </w:r>
    </w:p>
    <w:p w14:paraId="264B1E00">
      <w:pPr>
        <w:snapToGrid w:val="0"/>
        <w:spacing w:line="360" w:lineRule="auto"/>
        <w:rPr>
          <w:rFonts w:ascii="宋体" w:hAnsi="宋体" w:cs="宋体"/>
          <w:color w:val="auto"/>
          <w:sz w:val="22"/>
          <w:highlight w:val="none"/>
          <w:u w:val="single"/>
        </w:rPr>
      </w:pPr>
    </w:p>
    <w:p w14:paraId="1AD23E07">
      <w:pPr>
        <w:keepNext w:val="0"/>
        <w:keepLines w:val="0"/>
        <w:pageBreakBefore w:val="0"/>
        <w:widowControl w:val="0"/>
        <w:kinsoku/>
        <w:wordWrap/>
        <w:overflowPunct/>
        <w:topLinePunct w:val="0"/>
        <w:autoSpaceDE/>
        <w:autoSpaceDN/>
        <w:bidi w:val="0"/>
        <w:adjustRightInd/>
        <w:snapToGrid w:val="0"/>
        <w:spacing w:line="360" w:lineRule="exact"/>
        <w:textAlignment w:val="auto"/>
        <w:rPr>
          <w:rFonts w:ascii="宋体" w:hAnsi="宋体" w:cs="仿宋_GB2312"/>
          <w:b/>
          <w:bCs/>
          <w:color w:val="auto"/>
          <w:sz w:val="22"/>
          <w:szCs w:val="24"/>
          <w:highlight w:val="none"/>
        </w:rPr>
      </w:pPr>
      <w:r>
        <w:rPr>
          <w:rFonts w:hint="eastAsia" w:ascii="宋体" w:hAnsi="宋体" w:cs="宋体"/>
          <w:color w:val="auto"/>
          <w:sz w:val="22"/>
          <w:highlight w:val="none"/>
          <w:u w:val="single"/>
          <w:lang w:eastAsia="zh-CN"/>
        </w:rPr>
        <w:t>泰顺县罗阳镇人民政府</w:t>
      </w:r>
      <w:r>
        <w:rPr>
          <w:rFonts w:hint="eastAsia" w:ascii="宋体" w:hAnsi="宋体" w:cs="宋体"/>
          <w:color w:val="auto"/>
          <w:sz w:val="22"/>
          <w:highlight w:val="none"/>
          <w:u w:val="single"/>
        </w:rPr>
        <w:t>、杭州华旗招标代理有限公司</w:t>
      </w:r>
      <w:r>
        <w:rPr>
          <w:rFonts w:hint="eastAsia" w:ascii="宋体" w:hAnsi="宋体" w:cs="仿宋_GB2312"/>
          <w:b/>
          <w:bCs/>
          <w:color w:val="auto"/>
          <w:sz w:val="22"/>
          <w:szCs w:val="24"/>
          <w:highlight w:val="none"/>
        </w:rPr>
        <w:t>：</w:t>
      </w:r>
    </w:p>
    <w:p w14:paraId="07900286">
      <w:pPr>
        <w:keepNext w:val="0"/>
        <w:keepLines w:val="0"/>
        <w:pageBreakBefore w:val="0"/>
        <w:widowControl w:val="0"/>
        <w:kinsoku/>
        <w:wordWrap/>
        <w:overflowPunct/>
        <w:topLinePunct w:val="0"/>
        <w:autoSpaceDE/>
        <w:autoSpaceDN/>
        <w:bidi w:val="0"/>
        <w:adjustRightInd/>
        <w:snapToGrid w:val="0"/>
        <w:spacing w:line="360" w:lineRule="exact"/>
        <w:ind w:firstLine="446" w:firstLineChars="200"/>
        <w:textAlignment w:val="auto"/>
        <w:rPr>
          <w:rFonts w:ascii="宋体" w:hAnsi="宋体" w:cs="仿宋_GB2312"/>
          <w:color w:val="auto"/>
          <w:sz w:val="22"/>
          <w:szCs w:val="24"/>
          <w:highlight w:val="none"/>
        </w:rPr>
      </w:pPr>
      <w:r>
        <w:rPr>
          <w:rFonts w:hint="eastAsia" w:ascii="宋体" w:hAnsi="宋体" w:cs="仿宋_GB2312"/>
          <w:color w:val="auto"/>
          <w:sz w:val="22"/>
          <w:szCs w:val="24"/>
          <w:highlight w:val="none"/>
        </w:rPr>
        <w:t>我方参与</w:t>
      </w:r>
      <w:r>
        <w:rPr>
          <w:rFonts w:hint="eastAsia" w:ascii="宋体" w:hAnsi="宋体" w:cs="仿宋_GB2312"/>
          <w:color w:val="auto"/>
          <w:sz w:val="22"/>
          <w:szCs w:val="24"/>
          <w:highlight w:val="none"/>
          <w:u w:val="single"/>
        </w:rPr>
        <w:t xml:space="preserve"> </w:t>
      </w:r>
      <w:r>
        <w:rPr>
          <w:rFonts w:ascii="宋体" w:hAnsi="宋体" w:cs="仿宋_GB2312"/>
          <w:color w:val="auto"/>
          <w:sz w:val="22"/>
          <w:szCs w:val="24"/>
          <w:highlight w:val="none"/>
          <w:u w:val="single"/>
        </w:rPr>
        <w:t xml:space="preserve"> </w:t>
      </w:r>
      <w:r>
        <w:rPr>
          <w:rFonts w:hint="eastAsia" w:ascii="宋体" w:hAnsi="宋体" w:cs="仿宋_GB2312"/>
          <w:b/>
          <w:bCs/>
          <w:color w:val="auto"/>
          <w:sz w:val="22"/>
          <w:szCs w:val="24"/>
          <w:highlight w:val="none"/>
          <w:u w:val="single"/>
          <w:lang w:eastAsia="zh-CN"/>
        </w:rPr>
        <w:t>2024年泰顺县罗阳镇上洪村堆谷洋农田宜机化改造项目</w:t>
      </w:r>
      <w:r>
        <w:rPr>
          <w:rFonts w:hint="eastAsia" w:ascii="宋体" w:hAnsi="宋体" w:cs="仿宋_GB2312"/>
          <w:b/>
          <w:bCs/>
          <w:color w:val="auto"/>
          <w:sz w:val="22"/>
          <w:szCs w:val="24"/>
          <w:highlight w:val="none"/>
          <w:u w:val="single"/>
        </w:rPr>
        <w:t>（项目编号：</w:t>
      </w:r>
      <w:r>
        <w:rPr>
          <w:rFonts w:hint="eastAsia" w:ascii="宋体" w:hAnsi="宋体" w:cs="仿宋_GB2312"/>
          <w:b/>
          <w:bCs/>
          <w:color w:val="auto"/>
          <w:sz w:val="22"/>
          <w:szCs w:val="24"/>
          <w:highlight w:val="none"/>
          <w:u w:val="single"/>
          <w:lang w:eastAsia="zh-CN"/>
        </w:rPr>
        <w:t>TSCG202502006</w:t>
      </w:r>
      <w:r>
        <w:rPr>
          <w:rFonts w:hint="eastAsia" w:ascii="宋体" w:hAnsi="宋体" w:cs="仿宋_GB2312"/>
          <w:b/>
          <w:bCs/>
          <w:color w:val="auto"/>
          <w:sz w:val="22"/>
          <w:szCs w:val="24"/>
          <w:highlight w:val="none"/>
          <w:u w:val="single"/>
        </w:rPr>
        <w:t>）</w:t>
      </w:r>
      <w:r>
        <w:rPr>
          <w:rFonts w:hint="eastAsia" w:ascii="宋体" w:hAnsi="宋体" w:cs="仿宋_GB2312"/>
          <w:color w:val="auto"/>
          <w:sz w:val="22"/>
          <w:szCs w:val="24"/>
          <w:highlight w:val="none"/>
        </w:rPr>
        <w:t>政府采购活动，郑重承诺：</w:t>
      </w:r>
    </w:p>
    <w:p w14:paraId="4D9E2F06">
      <w:pPr>
        <w:keepNext w:val="0"/>
        <w:keepLines w:val="0"/>
        <w:pageBreakBefore w:val="0"/>
        <w:widowControl w:val="0"/>
        <w:kinsoku/>
        <w:wordWrap/>
        <w:overflowPunct/>
        <w:topLinePunct w:val="0"/>
        <w:autoSpaceDE/>
        <w:autoSpaceDN/>
        <w:bidi w:val="0"/>
        <w:adjustRightInd/>
        <w:snapToGrid w:val="0"/>
        <w:spacing w:line="360" w:lineRule="exact"/>
        <w:ind w:firstLine="334" w:firstLineChars="150"/>
        <w:textAlignment w:val="auto"/>
        <w:rPr>
          <w:rFonts w:ascii="宋体" w:hAnsi="宋体" w:cs="仿宋_GB2312"/>
          <w:color w:val="auto"/>
          <w:sz w:val="22"/>
          <w:szCs w:val="24"/>
          <w:highlight w:val="none"/>
        </w:rPr>
      </w:pPr>
      <w:r>
        <w:rPr>
          <w:rFonts w:hint="eastAsia" w:ascii="宋体" w:hAnsi="宋体" w:cs="仿宋_GB2312"/>
          <w:color w:val="auto"/>
          <w:sz w:val="22"/>
          <w:szCs w:val="24"/>
          <w:highlight w:val="none"/>
        </w:rPr>
        <w:t>（一）具备《中华人民共和国政府采购法》第二十二条规定的条件：</w:t>
      </w:r>
    </w:p>
    <w:p w14:paraId="43CBCF76">
      <w:pPr>
        <w:keepNext w:val="0"/>
        <w:keepLines w:val="0"/>
        <w:pageBreakBefore w:val="0"/>
        <w:widowControl w:val="0"/>
        <w:kinsoku/>
        <w:wordWrap/>
        <w:overflowPunct/>
        <w:topLinePunct w:val="0"/>
        <w:autoSpaceDE/>
        <w:autoSpaceDN/>
        <w:bidi w:val="0"/>
        <w:adjustRightInd/>
        <w:snapToGrid w:val="0"/>
        <w:spacing w:line="360" w:lineRule="exact"/>
        <w:ind w:firstLine="446" w:firstLineChars="200"/>
        <w:textAlignment w:val="auto"/>
        <w:rPr>
          <w:rFonts w:ascii="宋体" w:hAnsi="宋体" w:cs="仿宋_GB2312"/>
          <w:color w:val="auto"/>
          <w:sz w:val="22"/>
          <w:szCs w:val="24"/>
          <w:highlight w:val="none"/>
        </w:rPr>
      </w:pPr>
      <w:r>
        <w:rPr>
          <w:rFonts w:hint="eastAsia" w:ascii="宋体" w:hAnsi="宋体" w:cs="仿宋_GB2312"/>
          <w:color w:val="auto"/>
          <w:sz w:val="22"/>
          <w:szCs w:val="24"/>
          <w:highlight w:val="none"/>
        </w:rPr>
        <w:t>1、</w:t>
      </w:r>
      <w:r>
        <w:rPr>
          <w:rFonts w:ascii="宋体" w:hAnsi="宋体" w:cs="仿宋_GB2312"/>
          <w:color w:val="auto"/>
          <w:sz w:val="22"/>
          <w:szCs w:val="24"/>
          <w:highlight w:val="none"/>
        </w:rPr>
        <w:t>具有独立承担民事责任的能力；</w:t>
      </w:r>
    </w:p>
    <w:p w14:paraId="26D864F1">
      <w:pPr>
        <w:keepNext w:val="0"/>
        <w:keepLines w:val="0"/>
        <w:pageBreakBefore w:val="0"/>
        <w:widowControl w:val="0"/>
        <w:kinsoku/>
        <w:wordWrap/>
        <w:overflowPunct/>
        <w:topLinePunct w:val="0"/>
        <w:autoSpaceDE/>
        <w:autoSpaceDN/>
        <w:bidi w:val="0"/>
        <w:adjustRightInd/>
        <w:snapToGrid w:val="0"/>
        <w:spacing w:line="360" w:lineRule="exact"/>
        <w:ind w:firstLine="446" w:firstLineChars="200"/>
        <w:textAlignment w:val="auto"/>
        <w:rPr>
          <w:rFonts w:ascii="宋体" w:hAnsi="宋体"/>
          <w:color w:val="auto"/>
          <w:sz w:val="22"/>
          <w:szCs w:val="24"/>
          <w:highlight w:val="none"/>
        </w:rPr>
      </w:pPr>
      <w:r>
        <w:rPr>
          <w:rFonts w:hint="eastAsia" w:ascii="宋体" w:hAnsi="宋体"/>
          <w:color w:val="auto"/>
          <w:sz w:val="22"/>
          <w:szCs w:val="24"/>
          <w:highlight w:val="none"/>
        </w:rPr>
        <w:t>2、</w:t>
      </w:r>
      <w:r>
        <w:rPr>
          <w:rFonts w:ascii="宋体" w:hAnsi="宋体"/>
          <w:color w:val="auto"/>
          <w:sz w:val="22"/>
          <w:szCs w:val="24"/>
          <w:highlight w:val="none"/>
        </w:rPr>
        <w:t xml:space="preserve">具有良好的商业信誉和健全的财务会计制度； </w:t>
      </w:r>
    </w:p>
    <w:p w14:paraId="40573AFF">
      <w:pPr>
        <w:keepNext w:val="0"/>
        <w:keepLines w:val="0"/>
        <w:pageBreakBefore w:val="0"/>
        <w:widowControl w:val="0"/>
        <w:kinsoku/>
        <w:wordWrap/>
        <w:overflowPunct/>
        <w:topLinePunct w:val="0"/>
        <w:autoSpaceDE/>
        <w:autoSpaceDN/>
        <w:bidi w:val="0"/>
        <w:adjustRightInd/>
        <w:snapToGrid w:val="0"/>
        <w:spacing w:line="360" w:lineRule="exact"/>
        <w:ind w:firstLine="446" w:firstLineChars="200"/>
        <w:textAlignment w:val="auto"/>
        <w:rPr>
          <w:rFonts w:ascii="宋体" w:hAnsi="宋体"/>
          <w:color w:val="auto"/>
          <w:sz w:val="22"/>
          <w:szCs w:val="24"/>
          <w:highlight w:val="none"/>
        </w:rPr>
      </w:pPr>
      <w:r>
        <w:rPr>
          <w:rFonts w:hint="eastAsia" w:ascii="宋体" w:hAnsi="宋体"/>
          <w:color w:val="auto"/>
          <w:sz w:val="22"/>
          <w:szCs w:val="24"/>
          <w:highlight w:val="none"/>
        </w:rPr>
        <w:t>3、</w:t>
      </w:r>
      <w:r>
        <w:rPr>
          <w:rFonts w:ascii="宋体" w:hAnsi="宋体"/>
          <w:color w:val="auto"/>
          <w:sz w:val="22"/>
          <w:szCs w:val="24"/>
          <w:highlight w:val="none"/>
        </w:rPr>
        <w:t>具有履行合同所必需的设备和专业技术能力；</w:t>
      </w:r>
    </w:p>
    <w:p w14:paraId="64EA316E">
      <w:pPr>
        <w:keepNext w:val="0"/>
        <w:keepLines w:val="0"/>
        <w:pageBreakBefore w:val="0"/>
        <w:widowControl w:val="0"/>
        <w:kinsoku/>
        <w:wordWrap/>
        <w:overflowPunct/>
        <w:topLinePunct w:val="0"/>
        <w:autoSpaceDE/>
        <w:autoSpaceDN/>
        <w:bidi w:val="0"/>
        <w:adjustRightInd/>
        <w:snapToGrid w:val="0"/>
        <w:spacing w:line="360" w:lineRule="exact"/>
        <w:ind w:firstLine="446" w:firstLineChars="200"/>
        <w:textAlignment w:val="auto"/>
        <w:rPr>
          <w:rFonts w:ascii="宋体" w:hAnsi="宋体"/>
          <w:color w:val="auto"/>
          <w:sz w:val="22"/>
          <w:szCs w:val="24"/>
          <w:highlight w:val="none"/>
        </w:rPr>
      </w:pPr>
      <w:r>
        <w:rPr>
          <w:rFonts w:hint="eastAsia" w:ascii="宋体" w:hAnsi="宋体"/>
          <w:color w:val="auto"/>
          <w:sz w:val="22"/>
          <w:szCs w:val="24"/>
          <w:highlight w:val="none"/>
        </w:rPr>
        <w:t>4、</w:t>
      </w:r>
      <w:r>
        <w:rPr>
          <w:rFonts w:ascii="宋体" w:hAnsi="宋体"/>
          <w:color w:val="auto"/>
          <w:sz w:val="22"/>
          <w:szCs w:val="24"/>
          <w:highlight w:val="none"/>
        </w:rPr>
        <w:t>有依法缴纳税收和社会保障资金的良好记录；</w:t>
      </w:r>
    </w:p>
    <w:p w14:paraId="05922EC6">
      <w:pPr>
        <w:keepNext w:val="0"/>
        <w:keepLines w:val="0"/>
        <w:pageBreakBefore w:val="0"/>
        <w:widowControl w:val="0"/>
        <w:kinsoku/>
        <w:wordWrap/>
        <w:overflowPunct/>
        <w:topLinePunct w:val="0"/>
        <w:autoSpaceDE/>
        <w:autoSpaceDN/>
        <w:bidi w:val="0"/>
        <w:adjustRightInd/>
        <w:snapToGrid w:val="0"/>
        <w:spacing w:line="360" w:lineRule="exact"/>
        <w:ind w:firstLine="446" w:firstLineChars="200"/>
        <w:textAlignment w:val="auto"/>
        <w:rPr>
          <w:rFonts w:ascii="宋体" w:hAnsi="宋体"/>
          <w:color w:val="auto"/>
          <w:sz w:val="22"/>
          <w:szCs w:val="24"/>
          <w:highlight w:val="none"/>
        </w:rPr>
      </w:pPr>
      <w:r>
        <w:rPr>
          <w:rFonts w:hint="eastAsia" w:ascii="宋体" w:hAnsi="宋体"/>
          <w:color w:val="auto"/>
          <w:sz w:val="22"/>
          <w:szCs w:val="24"/>
          <w:highlight w:val="none"/>
        </w:rPr>
        <w:t>5、</w:t>
      </w:r>
      <w:r>
        <w:rPr>
          <w:rFonts w:ascii="宋体" w:hAnsi="宋体"/>
          <w:color w:val="auto"/>
          <w:sz w:val="22"/>
          <w:szCs w:val="24"/>
          <w:highlight w:val="none"/>
        </w:rPr>
        <w:t>参加政府采购活动前三年内，在经营活动中没有重大违法记录；</w:t>
      </w:r>
    </w:p>
    <w:p w14:paraId="42383355">
      <w:pPr>
        <w:keepNext w:val="0"/>
        <w:keepLines w:val="0"/>
        <w:pageBreakBefore w:val="0"/>
        <w:widowControl w:val="0"/>
        <w:kinsoku/>
        <w:wordWrap/>
        <w:overflowPunct/>
        <w:topLinePunct w:val="0"/>
        <w:autoSpaceDE/>
        <w:autoSpaceDN/>
        <w:bidi w:val="0"/>
        <w:adjustRightInd/>
        <w:snapToGrid w:val="0"/>
        <w:spacing w:line="360" w:lineRule="exact"/>
        <w:ind w:firstLine="446" w:firstLineChars="200"/>
        <w:textAlignment w:val="auto"/>
        <w:rPr>
          <w:rFonts w:ascii="宋体" w:hAnsi="宋体"/>
          <w:color w:val="auto"/>
          <w:sz w:val="22"/>
          <w:szCs w:val="24"/>
          <w:highlight w:val="none"/>
        </w:rPr>
      </w:pPr>
      <w:r>
        <w:rPr>
          <w:rFonts w:hint="eastAsia" w:ascii="宋体" w:hAnsi="宋体"/>
          <w:color w:val="auto"/>
          <w:sz w:val="22"/>
          <w:szCs w:val="24"/>
          <w:highlight w:val="none"/>
        </w:rPr>
        <w:t>6、</w:t>
      </w:r>
      <w:r>
        <w:rPr>
          <w:rFonts w:ascii="宋体" w:hAnsi="宋体"/>
          <w:color w:val="auto"/>
          <w:sz w:val="22"/>
          <w:szCs w:val="24"/>
          <w:highlight w:val="none"/>
        </w:rPr>
        <w:t>具有法律、行政法规规定的其他条件。</w:t>
      </w:r>
    </w:p>
    <w:p w14:paraId="244992B0">
      <w:pPr>
        <w:keepNext w:val="0"/>
        <w:keepLines w:val="0"/>
        <w:pageBreakBefore w:val="0"/>
        <w:widowControl w:val="0"/>
        <w:kinsoku/>
        <w:wordWrap/>
        <w:overflowPunct/>
        <w:topLinePunct w:val="0"/>
        <w:autoSpaceDE/>
        <w:autoSpaceDN/>
        <w:bidi w:val="0"/>
        <w:adjustRightInd/>
        <w:snapToGrid w:val="0"/>
        <w:spacing w:line="360" w:lineRule="exact"/>
        <w:ind w:firstLine="446" w:firstLineChars="200"/>
        <w:textAlignment w:val="auto"/>
        <w:rPr>
          <w:rFonts w:ascii="宋体" w:hAnsi="宋体"/>
          <w:color w:val="auto"/>
          <w:sz w:val="22"/>
          <w:szCs w:val="24"/>
          <w:highlight w:val="none"/>
        </w:rPr>
      </w:pPr>
      <w:r>
        <w:rPr>
          <w:rFonts w:hint="eastAsia" w:ascii="宋体" w:hAnsi="宋体"/>
          <w:color w:val="auto"/>
          <w:sz w:val="22"/>
          <w:szCs w:val="24"/>
          <w:highlight w:val="none"/>
        </w:rPr>
        <w:t>（二）未被信用中国（</w:t>
      </w:r>
      <w:r>
        <w:rPr>
          <w:rFonts w:ascii="宋体" w:hAnsi="宋体"/>
          <w:color w:val="auto"/>
          <w:sz w:val="22"/>
          <w:szCs w:val="24"/>
          <w:highlight w:val="none"/>
        </w:rPr>
        <w:t>www.creditchina.gov.cn)、中国政府采购网（www.ccgp.gov.cn）列入失信被执行人、重大税收违法案件当事人名单、政府采购严重违法失信行为记录名单</w:t>
      </w:r>
      <w:r>
        <w:rPr>
          <w:rFonts w:hint="eastAsia" w:ascii="宋体" w:hAnsi="宋体" w:cs="宋体"/>
          <w:color w:val="auto"/>
          <w:sz w:val="22"/>
          <w:highlight w:val="none"/>
        </w:rPr>
        <w:t>（没有因违法经营受到刑事处罚，没有被责令停产停业、被吊销许可证或者执照、被处以较大数额罚款等行政处罚，没有因违法经营被禁止参加政府采购活动的期限未满情形）</w:t>
      </w:r>
      <w:r>
        <w:rPr>
          <w:rFonts w:ascii="宋体" w:hAnsi="宋体"/>
          <w:color w:val="auto"/>
          <w:sz w:val="22"/>
          <w:szCs w:val="24"/>
          <w:highlight w:val="none"/>
        </w:rPr>
        <w:t>。</w:t>
      </w:r>
    </w:p>
    <w:p w14:paraId="46FD9C85">
      <w:pPr>
        <w:keepNext w:val="0"/>
        <w:keepLines w:val="0"/>
        <w:pageBreakBefore w:val="0"/>
        <w:widowControl w:val="0"/>
        <w:kinsoku/>
        <w:wordWrap/>
        <w:overflowPunct/>
        <w:topLinePunct w:val="0"/>
        <w:autoSpaceDE/>
        <w:autoSpaceDN/>
        <w:bidi w:val="0"/>
        <w:adjustRightInd/>
        <w:snapToGrid w:val="0"/>
        <w:spacing w:line="360" w:lineRule="exact"/>
        <w:ind w:firstLine="446" w:firstLineChars="200"/>
        <w:textAlignment w:val="auto"/>
        <w:rPr>
          <w:rFonts w:ascii="宋体" w:hAnsi="宋体"/>
          <w:color w:val="auto"/>
          <w:sz w:val="22"/>
          <w:szCs w:val="24"/>
          <w:highlight w:val="none"/>
        </w:rPr>
      </w:pPr>
      <w:r>
        <w:rPr>
          <w:rFonts w:hint="eastAsia" w:ascii="宋体" w:hAnsi="宋体"/>
          <w:color w:val="auto"/>
          <w:sz w:val="22"/>
          <w:szCs w:val="24"/>
          <w:highlight w:val="none"/>
        </w:rPr>
        <w:t>（三）不存在以下情况：</w:t>
      </w:r>
    </w:p>
    <w:p w14:paraId="09E323C2">
      <w:pPr>
        <w:keepNext w:val="0"/>
        <w:keepLines w:val="0"/>
        <w:pageBreakBefore w:val="0"/>
        <w:widowControl w:val="0"/>
        <w:kinsoku/>
        <w:wordWrap/>
        <w:overflowPunct/>
        <w:topLinePunct w:val="0"/>
        <w:autoSpaceDE/>
        <w:autoSpaceDN/>
        <w:bidi w:val="0"/>
        <w:adjustRightInd/>
        <w:snapToGrid w:val="0"/>
        <w:spacing w:line="360" w:lineRule="exact"/>
        <w:ind w:firstLine="446" w:firstLineChars="200"/>
        <w:textAlignment w:val="auto"/>
        <w:rPr>
          <w:rFonts w:ascii="宋体" w:hAnsi="宋体"/>
          <w:color w:val="auto"/>
          <w:sz w:val="22"/>
          <w:szCs w:val="24"/>
          <w:highlight w:val="none"/>
        </w:rPr>
      </w:pPr>
      <w:r>
        <w:rPr>
          <w:rFonts w:hint="eastAsia" w:ascii="宋体" w:hAnsi="宋体"/>
          <w:color w:val="auto"/>
          <w:sz w:val="22"/>
          <w:szCs w:val="24"/>
          <w:highlight w:val="none"/>
        </w:rPr>
        <w:t>1、</w:t>
      </w:r>
      <w:r>
        <w:rPr>
          <w:rFonts w:ascii="宋体" w:hAnsi="宋体"/>
          <w:color w:val="auto"/>
          <w:sz w:val="22"/>
          <w:szCs w:val="24"/>
          <w:highlight w:val="none"/>
        </w:rPr>
        <w:t>单位负责人为同一人或者存在直接控股、管理关系的不同供应商参加同一合同项下的政府采购活动的；</w:t>
      </w:r>
    </w:p>
    <w:p w14:paraId="1C698600">
      <w:pPr>
        <w:keepNext w:val="0"/>
        <w:keepLines w:val="0"/>
        <w:pageBreakBefore w:val="0"/>
        <w:widowControl w:val="0"/>
        <w:kinsoku/>
        <w:wordWrap/>
        <w:overflowPunct/>
        <w:topLinePunct w:val="0"/>
        <w:autoSpaceDE/>
        <w:autoSpaceDN/>
        <w:bidi w:val="0"/>
        <w:adjustRightInd/>
        <w:snapToGrid w:val="0"/>
        <w:spacing w:line="360" w:lineRule="exact"/>
        <w:ind w:firstLine="446" w:firstLineChars="200"/>
        <w:textAlignment w:val="auto"/>
        <w:rPr>
          <w:rFonts w:ascii="宋体" w:hAnsi="宋体"/>
          <w:color w:val="auto"/>
          <w:sz w:val="22"/>
          <w:szCs w:val="24"/>
          <w:highlight w:val="none"/>
        </w:rPr>
      </w:pPr>
      <w:r>
        <w:rPr>
          <w:rFonts w:hint="eastAsia" w:ascii="宋体" w:hAnsi="宋体"/>
          <w:color w:val="auto"/>
          <w:sz w:val="22"/>
          <w:szCs w:val="24"/>
          <w:highlight w:val="none"/>
        </w:rPr>
        <w:t>2、</w:t>
      </w:r>
      <w:r>
        <w:rPr>
          <w:rFonts w:ascii="宋体" w:hAnsi="宋体"/>
          <w:color w:val="auto"/>
          <w:sz w:val="22"/>
          <w:szCs w:val="24"/>
          <w:highlight w:val="none"/>
        </w:rPr>
        <w:t>为采购项目提供整体设计、规范编制或者项目管理、监理、检测等服务后再参加该采购项目的其他采购活动的。</w:t>
      </w:r>
    </w:p>
    <w:p w14:paraId="71495311">
      <w:pPr>
        <w:keepNext w:val="0"/>
        <w:keepLines w:val="0"/>
        <w:pageBreakBefore w:val="0"/>
        <w:widowControl w:val="0"/>
        <w:kinsoku/>
        <w:wordWrap/>
        <w:overflowPunct/>
        <w:topLinePunct w:val="0"/>
        <w:autoSpaceDE/>
        <w:autoSpaceDN/>
        <w:bidi w:val="0"/>
        <w:adjustRightInd/>
        <w:snapToGrid w:val="0"/>
        <w:spacing w:line="360" w:lineRule="exact"/>
        <w:ind w:firstLine="446" w:firstLineChars="200"/>
        <w:textAlignment w:val="auto"/>
        <w:rPr>
          <w:rFonts w:ascii="宋体" w:hAnsi="宋体"/>
          <w:color w:val="auto"/>
          <w:sz w:val="22"/>
          <w:szCs w:val="24"/>
          <w:highlight w:val="none"/>
        </w:rPr>
      </w:pPr>
      <w:r>
        <w:rPr>
          <w:rFonts w:hint="eastAsia" w:ascii="宋体" w:hAnsi="宋体"/>
          <w:color w:val="auto"/>
          <w:sz w:val="22"/>
          <w:szCs w:val="24"/>
          <w:highlight w:val="none"/>
        </w:rPr>
        <w:t>（四）如有虚假，采购人可取消我方任何资格（投标/中标/签订合同），我方对此无任何异议。</w:t>
      </w:r>
    </w:p>
    <w:p w14:paraId="09DB4F4D">
      <w:pPr>
        <w:keepNext w:val="0"/>
        <w:keepLines w:val="0"/>
        <w:pageBreakBefore w:val="0"/>
        <w:widowControl w:val="0"/>
        <w:kinsoku/>
        <w:wordWrap/>
        <w:overflowPunct/>
        <w:topLinePunct w:val="0"/>
        <w:autoSpaceDE/>
        <w:autoSpaceDN/>
        <w:bidi w:val="0"/>
        <w:adjustRightInd/>
        <w:spacing w:line="360" w:lineRule="exact"/>
        <w:ind w:firstLine="4460" w:firstLineChars="2000"/>
        <w:textAlignment w:val="auto"/>
        <w:rPr>
          <w:rFonts w:ascii="宋体" w:hAnsi="宋体"/>
          <w:color w:val="auto"/>
          <w:sz w:val="22"/>
          <w:szCs w:val="24"/>
          <w:highlight w:val="none"/>
        </w:rPr>
      </w:pPr>
    </w:p>
    <w:p w14:paraId="7D000E2D">
      <w:pPr>
        <w:keepNext w:val="0"/>
        <w:keepLines w:val="0"/>
        <w:pageBreakBefore w:val="0"/>
        <w:widowControl w:val="0"/>
        <w:kinsoku/>
        <w:wordWrap/>
        <w:overflowPunct/>
        <w:topLinePunct w:val="0"/>
        <w:autoSpaceDE/>
        <w:autoSpaceDN/>
        <w:bidi w:val="0"/>
        <w:adjustRightInd/>
        <w:spacing w:line="360" w:lineRule="exact"/>
        <w:ind w:firstLine="4906" w:firstLineChars="2200"/>
        <w:textAlignment w:val="auto"/>
        <w:rPr>
          <w:rFonts w:ascii="宋体" w:hAnsi="宋体"/>
          <w:color w:val="auto"/>
          <w:sz w:val="22"/>
          <w:szCs w:val="24"/>
          <w:highlight w:val="none"/>
        </w:rPr>
      </w:pPr>
      <w:r>
        <w:rPr>
          <w:rFonts w:hint="eastAsia" w:ascii="宋体" w:hAnsi="宋体"/>
          <w:color w:val="auto"/>
          <w:sz w:val="22"/>
          <w:szCs w:val="24"/>
          <w:highlight w:val="none"/>
        </w:rPr>
        <w:t>供应商名称</w:t>
      </w:r>
      <w:r>
        <w:rPr>
          <w:rFonts w:hint="eastAsia" w:ascii="宋体" w:hAnsi="宋体" w:cs="宋体"/>
          <w:color w:val="auto"/>
          <w:sz w:val="22"/>
          <w:szCs w:val="24"/>
          <w:highlight w:val="none"/>
        </w:rPr>
        <w:t>（公章）</w:t>
      </w:r>
      <w:r>
        <w:rPr>
          <w:rFonts w:ascii="宋体" w:hAnsi="宋体"/>
          <w:color w:val="auto"/>
          <w:sz w:val="22"/>
          <w:szCs w:val="24"/>
          <w:highlight w:val="none"/>
        </w:rPr>
        <w:t>：</w:t>
      </w:r>
    </w:p>
    <w:p w14:paraId="072F9DC7">
      <w:pPr>
        <w:keepNext w:val="0"/>
        <w:keepLines w:val="0"/>
        <w:pageBreakBefore w:val="0"/>
        <w:widowControl w:val="0"/>
        <w:kinsoku/>
        <w:wordWrap/>
        <w:overflowPunct/>
        <w:topLinePunct w:val="0"/>
        <w:autoSpaceDE/>
        <w:autoSpaceDN/>
        <w:bidi w:val="0"/>
        <w:adjustRightInd/>
        <w:spacing w:line="360" w:lineRule="exact"/>
        <w:jc w:val="center"/>
        <w:textAlignment w:val="auto"/>
        <w:rPr>
          <w:rFonts w:ascii="宋体" w:hAnsi="宋体"/>
          <w:color w:val="auto"/>
          <w:sz w:val="22"/>
          <w:szCs w:val="24"/>
          <w:highlight w:val="none"/>
        </w:rPr>
      </w:pPr>
      <w:r>
        <w:rPr>
          <w:rFonts w:ascii="宋体" w:hAnsi="宋体"/>
          <w:color w:val="auto"/>
          <w:sz w:val="22"/>
          <w:szCs w:val="24"/>
          <w:highlight w:val="none"/>
        </w:rPr>
        <w:t xml:space="preserve">                    </w:t>
      </w:r>
      <w:r>
        <w:rPr>
          <w:rFonts w:hint="eastAsia" w:ascii="宋体" w:hAnsi="宋体"/>
          <w:color w:val="auto"/>
          <w:sz w:val="22"/>
          <w:szCs w:val="24"/>
          <w:highlight w:val="none"/>
        </w:rPr>
        <w:t xml:space="preserve">   日期：  </w:t>
      </w:r>
      <w:r>
        <w:rPr>
          <w:rFonts w:ascii="宋体" w:hAnsi="宋体"/>
          <w:color w:val="auto"/>
          <w:sz w:val="22"/>
          <w:szCs w:val="24"/>
          <w:highlight w:val="none"/>
        </w:rPr>
        <w:t>年</w:t>
      </w:r>
      <w:r>
        <w:rPr>
          <w:rFonts w:hint="eastAsia" w:ascii="宋体" w:hAnsi="宋体"/>
          <w:color w:val="auto"/>
          <w:sz w:val="22"/>
          <w:szCs w:val="24"/>
          <w:highlight w:val="none"/>
        </w:rPr>
        <w:t xml:space="preserve">  月  日</w:t>
      </w:r>
    </w:p>
    <w:p w14:paraId="4CAB98F7">
      <w:pPr>
        <w:keepNext w:val="0"/>
        <w:keepLines w:val="0"/>
        <w:pageBreakBefore w:val="0"/>
        <w:widowControl w:val="0"/>
        <w:kinsoku/>
        <w:wordWrap/>
        <w:overflowPunct/>
        <w:topLinePunct w:val="0"/>
        <w:autoSpaceDE/>
        <w:autoSpaceDN/>
        <w:bidi w:val="0"/>
        <w:adjustRightInd/>
        <w:spacing w:line="360" w:lineRule="exact"/>
        <w:jc w:val="center"/>
        <w:textAlignment w:val="auto"/>
        <w:rPr>
          <w:rFonts w:ascii="宋体" w:hAnsi="宋体"/>
          <w:color w:val="auto"/>
          <w:sz w:val="22"/>
          <w:szCs w:val="24"/>
          <w:highlight w:val="none"/>
        </w:rPr>
      </w:pPr>
    </w:p>
    <w:p w14:paraId="713B8D50">
      <w:pPr>
        <w:keepNext w:val="0"/>
        <w:keepLines w:val="0"/>
        <w:pageBreakBefore w:val="0"/>
        <w:widowControl w:val="0"/>
        <w:kinsoku/>
        <w:wordWrap/>
        <w:overflowPunct/>
        <w:topLinePunct w:val="0"/>
        <w:autoSpaceDE/>
        <w:autoSpaceDN/>
        <w:bidi w:val="0"/>
        <w:adjustRightInd/>
        <w:snapToGrid w:val="0"/>
        <w:spacing w:line="360" w:lineRule="exact"/>
        <w:ind w:right="480" w:firstLine="446" w:firstLineChars="200"/>
        <w:jc w:val="left"/>
        <w:textAlignment w:val="auto"/>
        <w:rPr>
          <w:rFonts w:ascii="宋体" w:hAnsi="宋体" w:cs="宋体"/>
          <w:b/>
          <w:bCs/>
          <w:color w:val="auto"/>
          <w:sz w:val="32"/>
          <w:szCs w:val="32"/>
          <w:highlight w:val="none"/>
        </w:rPr>
      </w:pPr>
      <w:r>
        <w:rPr>
          <w:rFonts w:hint="eastAsia" w:ascii="宋体" w:hAnsi="宋体" w:cs="仿宋_GB2312"/>
          <w:color w:val="auto"/>
          <w:sz w:val="22"/>
          <w:highlight w:val="none"/>
        </w:rPr>
        <w:t>注：根据《</w:t>
      </w:r>
      <w:r>
        <w:rPr>
          <w:rFonts w:ascii="宋体" w:hAnsi="宋体" w:cs="仿宋_GB2312"/>
          <w:color w:val="auto"/>
          <w:sz w:val="22"/>
          <w:highlight w:val="none"/>
        </w:rPr>
        <w:t>关于规范政府采购供应商资格设定及资格审查的通知</w:t>
      </w:r>
      <w:r>
        <w:rPr>
          <w:rFonts w:hint="eastAsia" w:ascii="宋体" w:hAnsi="宋体" w:cs="仿宋_GB2312"/>
          <w:color w:val="auto"/>
          <w:sz w:val="22"/>
          <w:highlight w:val="none"/>
        </w:rPr>
        <w:t>》（</w:t>
      </w:r>
      <w:r>
        <w:rPr>
          <w:rFonts w:ascii="宋体" w:hAnsi="宋体" w:cs="仿宋_GB2312"/>
          <w:color w:val="auto"/>
          <w:sz w:val="22"/>
          <w:highlight w:val="none"/>
        </w:rPr>
        <w:t>浙财采监[2013]24号</w:t>
      </w:r>
      <w:r>
        <w:rPr>
          <w:rFonts w:hint="eastAsia" w:ascii="宋体" w:hAnsi="宋体" w:cs="仿宋_GB2312"/>
          <w:color w:val="auto"/>
          <w:sz w:val="22"/>
          <w:highlight w:val="none"/>
        </w:rPr>
        <w:t>）的相关规定，金融、保险、通讯等特定行业的全国性企业所设立的区域性分支机构，以及个体工商户、个人独资企业、合伙企业，参与政府采购活动，如果已经依法办理了工商、税务和社保登记手续，</w:t>
      </w:r>
      <w:r>
        <w:rPr>
          <w:rFonts w:hint="eastAsia" w:ascii="宋体" w:hAnsi="宋体" w:cs="仿宋_GB2312"/>
          <w:b/>
          <w:color w:val="auto"/>
          <w:sz w:val="22"/>
          <w:highlight w:val="none"/>
          <w:u w:val="single"/>
        </w:rPr>
        <w:t>除提供上述《符合参加政府采购活动应当具备的一般条件的承诺函》外，还需提供下列材料：总公司（总机构）的授权书或提供房产权证或其他有效财产证明材料，证明其具备实际承担责任的能力和法定的缔结合同能力，可以独立参加政府采购活动，由单位负责人签署相关文件材料。</w:t>
      </w:r>
    </w:p>
    <w:p w14:paraId="78C125AF">
      <w:pPr>
        <w:rPr>
          <w:color w:val="auto"/>
          <w:highlight w:val="none"/>
        </w:rPr>
      </w:pPr>
    </w:p>
    <w:p w14:paraId="6DD65CA0">
      <w:pPr>
        <w:rPr>
          <w:color w:val="auto"/>
          <w:highlight w:val="none"/>
        </w:rPr>
      </w:pPr>
    </w:p>
    <w:p w14:paraId="78068A4A">
      <w:pPr>
        <w:rPr>
          <w:color w:val="auto"/>
          <w:highlight w:val="none"/>
        </w:rPr>
      </w:pPr>
    </w:p>
    <w:p w14:paraId="071EDAD4">
      <w:pPr>
        <w:tabs>
          <w:tab w:val="left" w:pos="1069"/>
          <w:tab w:val="left" w:pos="2352"/>
        </w:tabs>
        <w:spacing w:line="360" w:lineRule="exact"/>
        <w:jc w:val="left"/>
        <w:rPr>
          <w:rFonts w:hint="eastAsia" w:ascii="宋体" w:hAnsi="宋体" w:eastAsia="宋体" w:cs="宋体"/>
          <w:b/>
          <w:bCs/>
          <w:color w:val="auto"/>
          <w:sz w:val="30"/>
          <w:highlight w:val="none"/>
          <w:lang w:eastAsia="zh-CN"/>
        </w:rPr>
      </w:pPr>
      <w:r>
        <w:rPr>
          <w:rFonts w:hint="eastAsia" w:ascii="宋体" w:hAnsi="宋体" w:cs="宋体"/>
          <w:b/>
          <w:bCs/>
          <w:color w:val="auto"/>
          <w:sz w:val="30"/>
          <w:highlight w:val="none"/>
        </w:rPr>
        <w:t>附件</w:t>
      </w:r>
      <w:r>
        <w:rPr>
          <w:rFonts w:hint="eastAsia" w:ascii="宋体" w:hAnsi="宋体" w:cs="宋体"/>
          <w:b/>
          <w:bCs/>
          <w:color w:val="auto"/>
          <w:sz w:val="30"/>
          <w:highlight w:val="none"/>
          <w:lang w:val="en-US" w:eastAsia="zh-CN"/>
        </w:rPr>
        <w:t>三</w:t>
      </w:r>
    </w:p>
    <w:p w14:paraId="7A91D2E9">
      <w:pPr>
        <w:tabs>
          <w:tab w:val="left" w:pos="1069"/>
          <w:tab w:val="left" w:pos="1080"/>
          <w:tab w:val="left" w:pos="2352"/>
        </w:tabs>
        <w:autoSpaceDE w:val="0"/>
        <w:autoSpaceDN w:val="0"/>
        <w:adjustRightInd w:val="0"/>
        <w:spacing w:line="360" w:lineRule="exact"/>
        <w:jc w:val="center"/>
        <w:rPr>
          <w:rFonts w:ascii="宋体" w:hAnsi="宋体" w:cs="宋体"/>
          <w:b/>
          <w:bCs/>
          <w:color w:val="auto"/>
          <w:sz w:val="36"/>
          <w:highlight w:val="none"/>
          <w:lang w:val="zh-CN"/>
        </w:rPr>
      </w:pPr>
      <w:bookmarkStart w:id="251" w:name="_Toc32552_WPSOffice_Level3"/>
      <w:r>
        <w:rPr>
          <w:rFonts w:hint="eastAsia" w:ascii="宋体" w:hAnsi="宋体" w:cs="宋体"/>
          <w:b/>
          <w:bCs/>
          <w:color w:val="auto"/>
          <w:sz w:val="32"/>
          <w:highlight w:val="none"/>
          <w:lang w:val="zh-CN"/>
        </w:rPr>
        <w:t>法定代表人授权书</w:t>
      </w:r>
      <w:bookmarkEnd w:id="251"/>
    </w:p>
    <w:p w14:paraId="46237D94">
      <w:pPr>
        <w:tabs>
          <w:tab w:val="left" w:pos="1069"/>
          <w:tab w:val="left" w:pos="2352"/>
        </w:tabs>
        <w:autoSpaceDE w:val="0"/>
        <w:autoSpaceDN w:val="0"/>
        <w:adjustRightInd w:val="0"/>
        <w:spacing w:line="360" w:lineRule="exact"/>
        <w:jc w:val="center"/>
        <w:rPr>
          <w:rFonts w:ascii="宋体" w:hAnsi="宋体" w:cs="宋体"/>
          <w:color w:val="auto"/>
          <w:sz w:val="36"/>
          <w:highlight w:val="none"/>
          <w:lang w:val="zh-CN"/>
        </w:rPr>
      </w:pPr>
    </w:p>
    <w:p w14:paraId="1AE98B6B">
      <w:pPr>
        <w:tabs>
          <w:tab w:val="left" w:pos="1069"/>
          <w:tab w:val="left" w:pos="2352"/>
        </w:tabs>
        <w:spacing w:line="400" w:lineRule="atLeast"/>
        <w:rPr>
          <w:rFonts w:ascii="宋体" w:hAnsi="宋体" w:cs="宋体"/>
          <w:color w:val="auto"/>
          <w:sz w:val="22"/>
          <w:highlight w:val="none"/>
        </w:rPr>
      </w:pPr>
      <w:r>
        <w:rPr>
          <w:rFonts w:hint="eastAsia" w:ascii="宋体" w:hAnsi="宋体" w:cs="宋体"/>
          <w:color w:val="auto"/>
          <w:sz w:val="22"/>
          <w:highlight w:val="none"/>
          <w:u w:val="single"/>
          <w:lang w:eastAsia="zh-CN"/>
        </w:rPr>
        <w:t>泰顺县罗阳镇人民政府</w:t>
      </w:r>
      <w:r>
        <w:rPr>
          <w:rFonts w:hint="eastAsia" w:ascii="宋体" w:hAnsi="宋体" w:cs="宋体"/>
          <w:color w:val="auto"/>
          <w:sz w:val="22"/>
          <w:highlight w:val="none"/>
          <w:lang w:val="zh-CN"/>
        </w:rPr>
        <w:t>：</w:t>
      </w:r>
    </w:p>
    <w:p w14:paraId="759FF5CD">
      <w:pPr>
        <w:tabs>
          <w:tab w:val="left" w:pos="1069"/>
          <w:tab w:val="left" w:pos="2352"/>
          <w:tab w:val="left" w:pos="3850"/>
        </w:tabs>
        <w:snapToGrid w:val="0"/>
        <w:spacing w:line="400" w:lineRule="atLeast"/>
        <w:ind w:firstLine="446" w:firstLineChars="200"/>
        <w:rPr>
          <w:rFonts w:ascii="宋体" w:hAnsi="宋体" w:cs="宋体"/>
          <w:color w:val="auto"/>
          <w:sz w:val="22"/>
          <w:highlight w:val="none"/>
        </w:rPr>
      </w:pPr>
      <w:r>
        <w:rPr>
          <w:rFonts w:hint="eastAsia" w:ascii="宋体" w:hAnsi="宋体" w:cs="宋体"/>
          <w:color w:val="auto"/>
          <w:sz w:val="22"/>
          <w:highlight w:val="none"/>
        </w:rPr>
        <w:t>本授权委托书声明：我</w:t>
      </w:r>
      <w:r>
        <w:rPr>
          <w:rFonts w:hint="eastAsia" w:ascii="宋体" w:hAnsi="宋体" w:cs="宋体"/>
          <w:color w:val="auto"/>
          <w:sz w:val="22"/>
          <w:highlight w:val="none"/>
          <w:u w:val="single"/>
        </w:rPr>
        <w:t>（法定代表人姓名）</w:t>
      </w:r>
      <w:r>
        <w:rPr>
          <w:rFonts w:hint="eastAsia" w:ascii="宋体" w:hAnsi="宋体" w:cs="宋体"/>
          <w:color w:val="auto"/>
          <w:sz w:val="22"/>
          <w:highlight w:val="none"/>
        </w:rPr>
        <w:t>系</w:t>
      </w:r>
      <w:r>
        <w:rPr>
          <w:rFonts w:hint="eastAsia" w:ascii="宋体" w:hAnsi="宋体" w:cs="宋体"/>
          <w:color w:val="auto"/>
          <w:sz w:val="22"/>
          <w:highlight w:val="none"/>
          <w:u w:val="single"/>
        </w:rPr>
        <w:t>（供应商名称）</w:t>
      </w:r>
      <w:r>
        <w:rPr>
          <w:rFonts w:hint="eastAsia" w:ascii="宋体" w:hAnsi="宋体" w:cs="宋体"/>
          <w:color w:val="auto"/>
          <w:sz w:val="22"/>
          <w:highlight w:val="none"/>
        </w:rPr>
        <w:t>的法定代表人，现授权委托</w:t>
      </w:r>
      <w:r>
        <w:rPr>
          <w:rFonts w:hint="eastAsia" w:ascii="宋体" w:hAnsi="宋体" w:cs="宋体"/>
          <w:color w:val="auto"/>
          <w:sz w:val="22"/>
          <w:highlight w:val="none"/>
          <w:u w:val="single"/>
        </w:rPr>
        <w:t>（单位名称）</w:t>
      </w:r>
      <w:r>
        <w:rPr>
          <w:rFonts w:hint="eastAsia" w:ascii="宋体" w:hAnsi="宋体" w:cs="宋体"/>
          <w:color w:val="auto"/>
          <w:sz w:val="22"/>
          <w:highlight w:val="none"/>
        </w:rPr>
        <w:t>的</w:t>
      </w:r>
      <w:r>
        <w:rPr>
          <w:rFonts w:hint="eastAsia" w:ascii="宋体" w:hAnsi="宋体" w:cs="宋体"/>
          <w:color w:val="auto"/>
          <w:sz w:val="22"/>
          <w:highlight w:val="none"/>
          <w:u w:val="single"/>
        </w:rPr>
        <w:t>（授权代表姓名）</w:t>
      </w:r>
      <w:r>
        <w:rPr>
          <w:rFonts w:hint="eastAsia" w:ascii="宋体" w:hAnsi="宋体" w:cs="宋体"/>
          <w:color w:val="auto"/>
          <w:sz w:val="22"/>
          <w:highlight w:val="none"/>
        </w:rPr>
        <w:t>为我公司法定代表人授权代表，参加贵处组织的</w:t>
      </w:r>
      <w:r>
        <w:rPr>
          <w:rFonts w:hint="eastAsia" w:ascii="宋体" w:hAnsi="宋体" w:cs="宋体"/>
          <w:color w:val="auto"/>
          <w:sz w:val="22"/>
          <w:highlight w:val="none"/>
          <w:u w:val="single"/>
          <w:lang w:eastAsia="zh-CN"/>
        </w:rPr>
        <w:t>2024年泰顺县罗阳镇上洪村堆谷洋农田宜机化改造项目</w:t>
      </w:r>
      <w:r>
        <w:rPr>
          <w:rFonts w:hint="eastAsia" w:ascii="宋体" w:hAnsi="宋体" w:cs="宋体"/>
          <w:color w:val="auto"/>
          <w:sz w:val="22"/>
          <w:highlight w:val="none"/>
          <w:lang w:val="zh-CN"/>
        </w:rPr>
        <w:t>（</w:t>
      </w:r>
      <w:r>
        <w:rPr>
          <w:rFonts w:hint="eastAsia" w:ascii="宋体" w:hAnsi="宋体" w:cs="宋体"/>
          <w:color w:val="auto"/>
          <w:sz w:val="22"/>
          <w:highlight w:val="none"/>
        </w:rPr>
        <w:t>采购</w:t>
      </w:r>
      <w:r>
        <w:rPr>
          <w:rFonts w:hint="eastAsia" w:ascii="宋体" w:hAnsi="宋体" w:cs="宋体"/>
          <w:color w:val="auto"/>
          <w:sz w:val="22"/>
          <w:highlight w:val="none"/>
          <w:lang w:val="zh-CN"/>
        </w:rPr>
        <w:t>编号：</w:t>
      </w:r>
      <w:r>
        <w:rPr>
          <w:rFonts w:hint="eastAsia" w:ascii="宋体" w:hAnsi="宋体" w:cs="宋体"/>
          <w:color w:val="auto"/>
          <w:sz w:val="22"/>
          <w:highlight w:val="none"/>
          <w:u w:val="single"/>
          <w:lang w:eastAsia="zh-CN"/>
        </w:rPr>
        <w:t>TSCG202502006</w:t>
      </w:r>
      <w:r>
        <w:rPr>
          <w:rFonts w:hint="eastAsia" w:ascii="宋体" w:hAnsi="宋体" w:cs="宋体"/>
          <w:color w:val="auto"/>
          <w:sz w:val="22"/>
          <w:highlight w:val="none"/>
          <w:u w:val="single"/>
        </w:rPr>
        <w:t>）</w:t>
      </w:r>
      <w:r>
        <w:rPr>
          <w:rFonts w:hint="eastAsia" w:ascii="宋体" w:hAnsi="宋体" w:cs="宋体"/>
          <w:color w:val="auto"/>
          <w:sz w:val="22"/>
          <w:highlight w:val="none"/>
        </w:rPr>
        <w:t>项目投标，全权处理本次招投标活动中的一切事宜，我承认授权代表全权代表我所签署的本项目的投标（响应）文件的内容。</w:t>
      </w:r>
    </w:p>
    <w:p w14:paraId="0BFA44BA">
      <w:pPr>
        <w:tabs>
          <w:tab w:val="left" w:pos="1069"/>
          <w:tab w:val="left" w:pos="2352"/>
        </w:tabs>
        <w:spacing w:line="400" w:lineRule="atLeast"/>
        <w:ind w:firstLine="446" w:firstLineChars="200"/>
        <w:rPr>
          <w:rFonts w:ascii="宋体" w:hAnsi="宋体" w:cs="宋体"/>
          <w:color w:val="auto"/>
          <w:sz w:val="22"/>
          <w:highlight w:val="none"/>
        </w:rPr>
      </w:pPr>
    </w:p>
    <w:p w14:paraId="3A9B8212">
      <w:pPr>
        <w:tabs>
          <w:tab w:val="left" w:pos="1069"/>
          <w:tab w:val="left" w:pos="2352"/>
        </w:tabs>
        <w:spacing w:line="400" w:lineRule="atLeast"/>
        <w:ind w:firstLine="446" w:firstLineChars="200"/>
        <w:rPr>
          <w:rFonts w:ascii="宋体" w:hAnsi="宋体" w:cs="宋体"/>
          <w:color w:val="auto"/>
          <w:sz w:val="22"/>
          <w:highlight w:val="none"/>
        </w:rPr>
      </w:pPr>
      <w:r>
        <w:rPr>
          <w:rFonts w:hint="eastAsia" w:ascii="宋体" w:hAnsi="宋体" w:cs="宋体"/>
          <w:color w:val="auto"/>
          <w:sz w:val="22"/>
          <w:highlight w:val="none"/>
        </w:rPr>
        <w:t>授权代表无转授权，特此授权。</w:t>
      </w:r>
    </w:p>
    <w:p w14:paraId="5C57AD58">
      <w:pPr>
        <w:tabs>
          <w:tab w:val="left" w:pos="1069"/>
          <w:tab w:val="left" w:pos="2352"/>
        </w:tabs>
        <w:spacing w:line="400" w:lineRule="atLeast"/>
        <w:rPr>
          <w:rFonts w:ascii="宋体" w:hAnsi="宋体" w:cs="宋体"/>
          <w:color w:val="auto"/>
          <w:sz w:val="22"/>
          <w:highlight w:val="none"/>
        </w:rPr>
      </w:pPr>
    </w:p>
    <w:p w14:paraId="119E9C66">
      <w:pPr>
        <w:tabs>
          <w:tab w:val="left" w:pos="1069"/>
          <w:tab w:val="left" w:pos="2352"/>
        </w:tabs>
        <w:spacing w:line="400" w:lineRule="atLeast"/>
        <w:ind w:firstLine="2992" w:firstLineChars="1342"/>
        <w:rPr>
          <w:rFonts w:ascii="宋体" w:hAnsi="宋体" w:cs="宋体"/>
          <w:color w:val="auto"/>
          <w:sz w:val="22"/>
          <w:highlight w:val="none"/>
          <w:u w:val="single"/>
        </w:rPr>
      </w:pPr>
      <w:r>
        <w:rPr>
          <w:rFonts w:hint="eastAsia" w:ascii="宋体" w:hAnsi="宋体" w:cs="宋体"/>
          <w:color w:val="auto"/>
          <w:sz w:val="22"/>
          <w:highlight w:val="none"/>
        </w:rPr>
        <w:t>授权代表：</w:t>
      </w:r>
      <w:r>
        <w:rPr>
          <w:rFonts w:hint="eastAsia" w:ascii="宋体" w:hAnsi="宋体" w:cs="宋体"/>
          <w:color w:val="auto"/>
          <w:sz w:val="22"/>
          <w:highlight w:val="none"/>
          <w:u w:val="single"/>
        </w:rPr>
        <w:t>（签字）</w:t>
      </w:r>
      <w:r>
        <w:rPr>
          <w:rFonts w:hint="eastAsia" w:ascii="宋体" w:hAnsi="宋体" w:cs="宋体"/>
          <w:color w:val="auto"/>
          <w:sz w:val="22"/>
          <w:highlight w:val="none"/>
        </w:rPr>
        <w:t>性别：</w:t>
      </w:r>
      <w:r>
        <w:rPr>
          <w:rFonts w:hint="eastAsia" w:ascii="宋体" w:hAnsi="宋体" w:cs="宋体"/>
          <w:color w:val="auto"/>
          <w:sz w:val="22"/>
          <w:highlight w:val="none"/>
          <w:u w:val="single"/>
        </w:rPr>
        <w:t xml:space="preserve">        </w:t>
      </w:r>
      <w:r>
        <w:rPr>
          <w:rFonts w:hint="eastAsia" w:ascii="宋体" w:hAnsi="宋体" w:cs="宋体"/>
          <w:color w:val="auto"/>
          <w:sz w:val="22"/>
          <w:highlight w:val="none"/>
        </w:rPr>
        <w:t>年龄：</w:t>
      </w:r>
      <w:r>
        <w:rPr>
          <w:rFonts w:hint="eastAsia" w:ascii="宋体" w:hAnsi="宋体" w:cs="宋体"/>
          <w:color w:val="auto"/>
          <w:sz w:val="22"/>
          <w:highlight w:val="none"/>
          <w:u w:val="single"/>
        </w:rPr>
        <w:t xml:space="preserve">        </w:t>
      </w:r>
    </w:p>
    <w:p w14:paraId="01CD4246">
      <w:pPr>
        <w:tabs>
          <w:tab w:val="left" w:pos="1069"/>
          <w:tab w:val="left" w:pos="2352"/>
        </w:tabs>
        <w:spacing w:line="400" w:lineRule="atLeast"/>
        <w:ind w:firstLine="2992" w:firstLineChars="1342"/>
        <w:rPr>
          <w:rFonts w:ascii="宋体" w:hAnsi="宋体" w:cs="宋体"/>
          <w:color w:val="auto"/>
          <w:sz w:val="22"/>
          <w:highlight w:val="none"/>
          <w:u w:val="single"/>
        </w:rPr>
      </w:pPr>
    </w:p>
    <w:p w14:paraId="0F025DAA">
      <w:pPr>
        <w:tabs>
          <w:tab w:val="left" w:pos="1069"/>
          <w:tab w:val="left" w:pos="2352"/>
        </w:tabs>
        <w:spacing w:line="400" w:lineRule="atLeast"/>
        <w:ind w:firstLine="2992" w:firstLineChars="1342"/>
        <w:rPr>
          <w:rFonts w:ascii="宋体" w:hAnsi="宋体" w:cs="宋体"/>
          <w:color w:val="auto"/>
          <w:sz w:val="22"/>
          <w:highlight w:val="none"/>
          <w:u w:val="single"/>
        </w:rPr>
      </w:pPr>
      <w:r>
        <w:rPr>
          <w:rFonts w:hint="eastAsia" w:ascii="宋体" w:hAnsi="宋体" w:cs="宋体"/>
          <w:color w:val="auto"/>
          <w:sz w:val="22"/>
          <w:highlight w:val="none"/>
        </w:rPr>
        <w:t>详细通讯地址：</w:t>
      </w:r>
      <w:r>
        <w:rPr>
          <w:rFonts w:hint="eastAsia" w:ascii="宋体" w:hAnsi="宋体" w:cs="宋体"/>
          <w:color w:val="auto"/>
          <w:sz w:val="22"/>
          <w:highlight w:val="none"/>
          <w:u w:val="single"/>
        </w:rPr>
        <w:t xml:space="preserve">        </w:t>
      </w:r>
      <w:r>
        <w:rPr>
          <w:rFonts w:hint="eastAsia" w:ascii="宋体" w:hAnsi="宋体" w:cs="宋体"/>
          <w:color w:val="auto"/>
          <w:sz w:val="22"/>
          <w:highlight w:val="none"/>
        </w:rPr>
        <w:t>邮政编码：</w:t>
      </w:r>
      <w:r>
        <w:rPr>
          <w:rFonts w:hint="eastAsia" w:ascii="宋体" w:hAnsi="宋体" w:cs="宋体"/>
          <w:color w:val="auto"/>
          <w:sz w:val="22"/>
          <w:highlight w:val="none"/>
          <w:u w:val="single"/>
        </w:rPr>
        <w:t xml:space="preserve">        </w:t>
      </w:r>
    </w:p>
    <w:p w14:paraId="7F330385">
      <w:pPr>
        <w:tabs>
          <w:tab w:val="left" w:pos="1069"/>
          <w:tab w:val="left" w:pos="2352"/>
        </w:tabs>
        <w:spacing w:line="400" w:lineRule="atLeast"/>
        <w:ind w:firstLine="2992" w:firstLineChars="1342"/>
        <w:rPr>
          <w:rFonts w:ascii="宋体" w:hAnsi="宋体" w:cs="宋体"/>
          <w:color w:val="auto"/>
          <w:sz w:val="22"/>
          <w:highlight w:val="none"/>
          <w:u w:val="single"/>
        </w:rPr>
      </w:pPr>
    </w:p>
    <w:p w14:paraId="3BECB2D0">
      <w:pPr>
        <w:tabs>
          <w:tab w:val="left" w:pos="1069"/>
          <w:tab w:val="left" w:pos="2352"/>
        </w:tabs>
        <w:spacing w:line="400" w:lineRule="atLeast"/>
        <w:ind w:firstLine="2992" w:firstLineChars="1342"/>
        <w:rPr>
          <w:rFonts w:ascii="宋体" w:hAnsi="宋体" w:cs="宋体"/>
          <w:color w:val="auto"/>
          <w:sz w:val="22"/>
          <w:highlight w:val="none"/>
          <w:u w:val="single"/>
        </w:rPr>
      </w:pPr>
      <w:r>
        <w:rPr>
          <w:rFonts w:hint="eastAsia" w:ascii="宋体" w:hAnsi="宋体" w:cs="宋体"/>
          <w:color w:val="auto"/>
          <w:sz w:val="22"/>
          <w:highlight w:val="none"/>
        </w:rPr>
        <w:t>电话：</w:t>
      </w:r>
      <w:r>
        <w:rPr>
          <w:rFonts w:hint="eastAsia" w:ascii="宋体" w:hAnsi="宋体" w:cs="宋体"/>
          <w:color w:val="auto"/>
          <w:sz w:val="22"/>
          <w:highlight w:val="none"/>
          <w:u w:val="single"/>
        </w:rPr>
        <w:t xml:space="preserve">        </w:t>
      </w:r>
      <w:r>
        <w:rPr>
          <w:rFonts w:hint="eastAsia" w:ascii="宋体" w:hAnsi="宋体" w:cs="宋体"/>
          <w:color w:val="auto"/>
          <w:sz w:val="22"/>
          <w:highlight w:val="none"/>
        </w:rPr>
        <w:t>传真：</w:t>
      </w:r>
      <w:r>
        <w:rPr>
          <w:rFonts w:hint="eastAsia" w:ascii="宋体" w:hAnsi="宋体" w:cs="宋体"/>
          <w:color w:val="auto"/>
          <w:sz w:val="22"/>
          <w:highlight w:val="none"/>
          <w:u w:val="single"/>
        </w:rPr>
        <w:t xml:space="preserve">        </w:t>
      </w:r>
    </w:p>
    <w:p w14:paraId="7094DDE8">
      <w:pPr>
        <w:tabs>
          <w:tab w:val="left" w:pos="1069"/>
          <w:tab w:val="left" w:pos="2352"/>
        </w:tabs>
        <w:spacing w:line="400" w:lineRule="atLeast"/>
        <w:ind w:left="1" w:firstLine="427" w:firstLineChars="192"/>
        <w:rPr>
          <w:rFonts w:ascii="宋体" w:hAnsi="宋体" w:cs="宋体"/>
          <w:color w:val="auto"/>
          <w:sz w:val="22"/>
          <w:highlight w:val="none"/>
        </w:rPr>
      </w:pPr>
    </w:p>
    <w:p w14:paraId="1D7EBBA3">
      <w:pPr>
        <w:tabs>
          <w:tab w:val="left" w:pos="1069"/>
          <w:tab w:val="left" w:pos="2352"/>
        </w:tabs>
        <w:spacing w:line="400" w:lineRule="atLeast"/>
        <w:ind w:left="1" w:firstLine="2985" w:firstLineChars="1339"/>
        <w:rPr>
          <w:rFonts w:ascii="宋体" w:hAnsi="宋体" w:cs="宋体"/>
          <w:color w:val="auto"/>
          <w:sz w:val="22"/>
          <w:highlight w:val="none"/>
        </w:rPr>
      </w:pPr>
      <w:r>
        <w:rPr>
          <w:rFonts w:hint="eastAsia" w:ascii="宋体" w:hAnsi="宋体" w:cs="宋体"/>
          <w:color w:val="auto"/>
          <w:sz w:val="22"/>
          <w:highlight w:val="none"/>
        </w:rPr>
        <w:t>供应商：</w:t>
      </w:r>
      <w:r>
        <w:rPr>
          <w:rFonts w:hint="eastAsia" w:ascii="宋体" w:hAnsi="宋体" w:cs="宋体"/>
          <w:color w:val="auto"/>
          <w:sz w:val="22"/>
          <w:highlight w:val="none"/>
          <w:u w:val="single"/>
        </w:rPr>
        <w:t xml:space="preserve">（盖章）       </w:t>
      </w:r>
    </w:p>
    <w:p w14:paraId="57284CF6">
      <w:pPr>
        <w:tabs>
          <w:tab w:val="left" w:pos="1069"/>
          <w:tab w:val="left" w:pos="2352"/>
        </w:tabs>
        <w:spacing w:line="400" w:lineRule="atLeast"/>
        <w:ind w:left="1" w:firstLine="427" w:firstLineChars="192"/>
        <w:rPr>
          <w:rFonts w:ascii="宋体" w:hAnsi="宋体" w:cs="宋体"/>
          <w:color w:val="auto"/>
          <w:sz w:val="22"/>
          <w:highlight w:val="none"/>
        </w:rPr>
      </w:pPr>
    </w:p>
    <w:p w14:paraId="7605F99E">
      <w:pPr>
        <w:tabs>
          <w:tab w:val="left" w:pos="1069"/>
          <w:tab w:val="left" w:pos="2352"/>
        </w:tabs>
        <w:spacing w:line="400" w:lineRule="atLeast"/>
        <w:ind w:left="2100" w:right="440"/>
        <w:jc w:val="center"/>
        <w:rPr>
          <w:rFonts w:ascii="宋体" w:hAnsi="宋体" w:cs="宋体"/>
          <w:color w:val="auto"/>
          <w:sz w:val="22"/>
          <w:highlight w:val="none"/>
        </w:rPr>
      </w:pPr>
      <w:r>
        <w:rPr>
          <w:rFonts w:hint="eastAsia" w:ascii="宋体" w:hAnsi="宋体" w:cs="宋体"/>
          <w:color w:val="auto"/>
          <w:sz w:val="22"/>
          <w:highlight w:val="none"/>
        </w:rPr>
        <w:t>法定代表人：</w:t>
      </w:r>
      <w:r>
        <w:rPr>
          <w:rFonts w:hint="eastAsia" w:ascii="宋体" w:hAnsi="宋体" w:cs="宋体"/>
          <w:color w:val="auto"/>
          <w:sz w:val="22"/>
          <w:highlight w:val="none"/>
          <w:u w:val="single"/>
        </w:rPr>
        <w:t>（签字或盖章）</w:t>
      </w:r>
    </w:p>
    <w:p w14:paraId="52B084DC">
      <w:pPr>
        <w:tabs>
          <w:tab w:val="left" w:pos="1069"/>
          <w:tab w:val="left" w:pos="2352"/>
        </w:tabs>
        <w:spacing w:line="400" w:lineRule="atLeast"/>
        <w:ind w:left="2699"/>
        <w:rPr>
          <w:rFonts w:ascii="宋体" w:hAnsi="宋体" w:cs="宋体"/>
          <w:color w:val="auto"/>
          <w:sz w:val="22"/>
          <w:highlight w:val="none"/>
        </w:rPr>
      </w:pPr>
    </w:p>
    <w:p w14:paraId="37C566EF">
      <w:pPr>
        <w:tabs>
          <w:tab w:val="left" w:pos="1069"/>
          <w:tab w:val="left" w:pos="2352"/>
        </w:tabs>
        <w:spacing w:line="400" w:lineRule="atLeast"/>
        <w:ind w:right="440" w:firstLine="3345" w:firstLineChars="1500"/>
        <w:jc w:val="center"/>
        <w:rPr>
          <w:rFonts w:ascii="宋体" w:hAnsi="宋体" w:cs="宋体"/>
          <w:color w:val="auto"/>
          <w:sz w:val="22"/>
          <w:highlight w:val="none"/>
        </w:rPr>
      </w:pPr>
      <w:r>
        <w:rPr>
          <w:rFonts w:hint="eastAsia" w:ascii="宋体" w:hAnsi="宋体" w:cs="宋体"/>
          <w:color w:val="auto"/>
          <w:sz w:val="22"/>
          <w:highlight w:val="none"/>
        </w:rPr>
        <w:t>授权委托日期：</w:t>
      </w:r>
      <w:r>
        <w:rPr>
          <w:rFonts w:hint="eastAsia" w:ascii="宋体" w:hAnsi="宋体" w:cs="宋体"/>
          <w:color w:val="auto"/>
          <w:sz w:val="22"/>
          <w:highlight w:val="none"/>
          <w:u w:val="single"/>
        </w:rPr>
        <w:t xml:space="preserve">        年  月  日</w:t>
      </w:r>
    </w:p>
    <w:p w14:paraId="7C6E74BE">
      <w:pPr>
        <w:tabs>
          <w:tab w:val="left" w:pos="1069"/>
          <w:tab w:val="left" w:pos="2352"/>
        </w:tabs>
        <w:spacing w:line="360" w:lineRule="exact"/>
        <w:ind w:left="2699"/>
        <w:rPr>
          <w:rFonts w:ascii="宋体" w:hAnsi="宋体" w:cs="宋体"/>
          <w:color w:val="auto"/>
          <w:sz w:val="22"/>
          <w:highlight w:val="none"/>
        </w:rPr>
      </w:pPr>
    </w:p>
    <w:tbl>
      <w:tblPr>
        <w:tblStyle w:val="3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14"/>
      </w:tblGrid>
      <w:tr w14:paraId="1C0AA9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6" w:hRule="atLeast"/>
        </w:trPr>
        <w:tc>
          <w:tcPr>
            <w:tcW w:w="9214" w:type="dxa"/>
          </w:tcPr>
          <w:p w14:paraId="22CFA5CA">
            <w:pPr>
              <w:pStyle w:val="12"/>
              <w:tabs>
                <w:tab w:val="left" w:pos="1069"/>
                <w:tab w:val="left" w:pos="2352"/>
              </w:tabs>
              <w:adjustRightInd w:val="0"/>
              <w:snapToGrid w:val="0"/>
              <w:spacing w:line="360" w:lineRule="exact"/>
              <w:jc w:val="center"/>
              <w:rPr>
                <w:rFonts w:hAnsi="宋体" w:cs="宋体"/>
                <w:b/>
                <w:bCs/>
                <w:color w:val="auto"/>
                <w:kern w:val="2"/>
                <w:sz w:val="22"/>
                <w:szCs w:val="22"/>
                <w:highlight w:val="none"/>
              </w:rPr>
            </w:pPr>
          </w:p>
          <w:p w14:paraId="11800539">
            <w:pPr>
              <w:pStyle w:val="12"/>
              <w:tabs>
                <w:tab w:val="left" w:pos="1069"/>
                <w:tab w:val="left" w:pos="2352"/>
              </w:tabs>
              <w:adjustRightInd w:val="0"/>
              <w:snapToGrid w:val="0"/>
              <w:spacing w:line="360" w:lineRule="exact"/>
              <w:jc w:val="center"/>
              <w:rPr>
                <w:rFonts w:hAnsi="宋体" w:cs="宋体"/>
                <w:b/>
                <w:bCs/>
                <w:color w:val="auto"/>
                <w:kern w:val="2"/>
                <w:sz w:val="22"/>
                <w:szCs w:val="22"/>
                <w:highlight w:val="none"/>
              </w:rPr>
            </w:pPr>
            <w:r>
              <w:rPr>
                <w:rFonts w:hint="eastAsia" w:hAnsi="宋体" w:cs="宋体"/>
                <w:b/>
                <w:bCs/>
                <w:color w:val="auto"/>
                <w:kern w:val="2"/>
                <w:sz w:val="22"/>
                <w:szCs w:val="22"/>
                <w:highlight w:val="none"/>
              </w:rPr>
              <w:t>粘贴法人授权代表身份证复印影印件</w:t>
            </w:r>
          </w:p>
          <w:p w14:paraId="5E49BF0D">
            <w:pPr>
              <w:pStyle w:val="12"/>
              <w:tabs>
                <w:tab w:val="left" w:pos="1069"/>
                <w:tab w:val="left" w:pos="2352"/>
              </w:tabs>
              <w:adjustRightInd w:val="0"/>
              <w:snapToGrid w:val="0"/>
              <w:spacing w:line="360" w:lineRule="exact"/>
              <w:jc w:val="center"/>
              <w:rPr>
                <w:rFonts w:hAnsi="宋体" w:cs="宋体"/>
                <w:b/>
                <w:bCs/>
                <w:color w:val="auto"/>
                <w:kern w:val="2"/>
                <w:sz w:val="22"/>
                <w:szCs w:val="22"/>
                <w:highlight w:val="none"/>
              </w:rPr>
            </w:pPr>
          </w:p>
        </w:tc>
      </w:tr>
    </w:tbl>
    <w:p w14:paraId="71EF089E">
      <w:pPr>
        <w:pStyle w:val="12"/>
        <w:tabs>
          <w:tab w:val="left" w:pos="1069"/>
          <w:tab w:val="left" w:pos="2352"/>
        </w:tabs>
        <w:adjustRightInd w:val="0"/>
        <w:snapToGrid w:val="0"/>
        <w:spacing w:line="360" w:lineRule="exact"/>
        <w:jc w:val="center"/>
        <w:rPr>
          <w:rFonts w:hAnsi="宋体" w:cs="宋体"/>
          <w:color w:val="auto"/>
          <w:sz w:val="22"/>
          <w:highlight w:val="none"/>
          <w:lang w:val="zh-CN"/>
        </w:rPr>
      </w:pPr>
    </w:p>
    <w:p w14:paraId="11077A0A">
      <w:pPr>
        <w:pStyle w:val="12"/>
        <w:tabs>
          <w:tab w:val="left" w:pos="1069"/>
          <w:tab w:val="left" w:pos="2352"/>
        </w:tabs>
        <w:adjustRightInd w:val="0"/>
        <w:snapToGrid w:val="0"/>
        <w:spacing w:line="360" w:lineRule="exact"/>
        <w:jc w:val="center"/>
        <w:rPr>
          <w:rFonts w:hAnsi="宋体" w:cs="宋体"/>
          <w:color w:val="auto"/>
          <w:sz w:val="22"/>
          <w:highlight w:val="none"/>
          <w:lang w:val="zh-CN"/>
        </w:rPr>
      </w:pPr>
    </w:p>
    <w:p w14:paraId="2AC06AF5">
      <w:pPr>
        <w:pStyle w:val="12"/>
        <w:tabs>
          <w:tab w:val="left" w:pos="1069"/>
          <w:tab w:val="left" w:pos="2352"/>
        </w:tabs>
        <w:adjustRightInd w:val="0"/>
        <w:snapToGrid w:val="0"/>
        <w:spacing w:line="360" w:lineRule="exact"/>
        <w:jc w:val="center"/>
        <w:rPr>
          <w:rFonts w:hAnsi="宋体" w:cs="宋体"/>
          <w:color w:val="auto"/>
          <w:sz w:val="22"/>
          <w:highlight w:val="none"/>
          <w:lang w:val="zh-CN"/>
        </w:rPr>
      </w:pPr>
    </w:p>
    <w:tbl>
      <w:tblPr>
        <w:tblStyle w:val="3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56"/>
      </w:tblGrid>
      <w:tr w14:paraId="1109C4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0" w:hRule="atLeast"/>
        </w:trPr>
        <w:tc>
          <w:tcPr>
            <w:tcW w:w="9356" w:type="dxa"/>
          </w:tcPr>
          <w:p w14:paraId="3866C5E0">
            <w:pPr>
              <w:pStyle w:val="12"/>
              <w:tabs>
                <w:tab w:val="left" w:pos="1069"/>
                <w:tab w:val="left" w:pos="2352"/>
              </w:tabs>
              <w:adjustRightInd w:val="0"/>
              <w:snapToGrid w:val="0"/>
              <w:spacing w:line="360" w:lineRule="exact"/>
              <w:jc w:val="center"/>
              <w:rPr>
                <w:rFonts w:hAnsi="宋体" w:cs="宋体"/>
                <w:b/>
                <w:bCs/>
                <w:color w:val="auto"/>
                <w:kern w:val="2"/>
                <w:sz w:val="22"/>
                <w:szCs w:val="22"/>
                <w:highlight w:val="none"/>
              </w:rPr>
            </w:pPr>
          </w:p>
          <w:p w14:paraId="04C60FB4">
            <w:pPr>
              <w:pStyle w:val="12"/>
              <w:tabs>
                <w:tab w:val="left" w:pos="1069"/>
                <w:tab w:val="left" w:pos="2352"/>
              </w:tabs>
              <w:adjustRightInd w:val="0"/>
              <w:snapToGrid w:val="0"/>
              <w:spacing w:line="360" w:lineRule="exact"/>
              <w:jc w:val="center"/>
              <w:rPr>
                <w:rFonts w:hAnsi="宋体" w:cs="宋体"/>
                <w:b/>
                <w:bCs/>
                <w:color w:val="auto"/>
                <w:kern w:val="2"/>
                <w:sz w:val="22"/>
                <w:szCs w:val="22"/>
                <w:highlight w:val="none"/>
              </w:rPr>
            </w:pPr>
            <w:r>
              <w:rPr>
                <w:rFonts w:hint="eastAsia" w:hAnsi="宋体" w:cs="宋体"/>
                <w:b/>
                <w:bCs/>
                <w:color w:val="auto"/>
                <w:kern w:val="2"/>
                <w:sz w:val="22"/>
                <w:szCs w:val="22"/>
                <w:highlight w:val="none"/>
              </w:rPr>
              <w:t>粘贴法人身份证复印影印件</w:t>
            </w:r>
          </w:p>
          <w:p w14:paraId="5C76E87C">
            <w:pPr>
              <w:pStyle w:val="12"/>
              <w:tabs>
                <w:tab w:val="left" w:pos="1069"/>
                <w:tab w:val="left" w:pos="2352"/>
              </w:tabs>
              <w:adjustRightInd w:val="0"/>
              <w:snapToGrid w:val="0"/>
              <w:spacing w:line="360" w:lineRule="exact"/>
              <w:jc w:val="center"/>
              <w:rPr>
                <w:rFonts w:hAnsi="宋体" w:cs="宋体"/>
                <w:b/>
                <w:bCs/>
                <w:color w:val="auto"/>
                <w:kern w:val="2"/>
                <w:sz w:val="22"/>
                <w:szCs w:val="22"/>
                <w:highlight w:val="none"/>
              </w:rPr>
            </w:pPr>
          </w:p>
        </w:tc>
      </w:tr>
    </w:tbl>
    <w:p w14:paraId="1C6D4E91">
      <w:pPr>
        <w:pStyle w:val="3"/>
        <w:rPr>
          <w:color w:val="auto"/>
          <w:sz w:val="24"/>
          <w:szCs w:val="24"/>
          <w:highlight w:val="none"/>
          <w:u w:val="single"/>
        </w:rPr>
      </w:pPr>
      <w:r>
        <w:rPr>
          <w:rFonts w:hint="eastAsia" w:ascii="宋体" w:hAnsi="宋体" w:cs="宋体"/>
          <w:b/>
          <w:bCs/>
          <w:color w:val="auto"/>
          <w:sz w:val="24"/>
          <w:szCs w:val="24"/>
          <w:highlight w:val="none"/>
          <w:u w:val="single"/>
        </w:rPr>
        <w:t>注：若是法定代表人直接参与投标的，仅需提供法定代表人身份证复印影印件。</w:t>
      </w:r>
    </w:p>
    <w:p w14:paraId="72C87D15">
      <w:pPr>
        <w:tabs>
          <w:tab w:val="left" w:pos="1069"/>
          <w:tab w:val="left" w:pos="2352"/>
        </w:tabs>
        <w:spacing w:line="360" w:lineRule="exact"/>
        <w:jc w:val="left"/>
        <w:rPr>
          <w:rFonts w:ascii="宋体" w:hAnsi="宋体" w:cs="宋体"/>
          <w:b/>
          <w:bCs/>
          <w:color w:val="auto"/>
          <w:sz w:val="30"/>
          <w:highlight w:val="none"/>
        </w:rPr>
      </w:pPr>
    </w:p>
    <w:p w14:paraId="31E33D05">
      <w:pPr>
        <w:tabs>
          <w:tab w:val="left" w:pos="1069"/>
          <w:tab w:val="left" w:pos="2352"/>
        </w:tabs>
        <w:snapToGrid w:val="0"/>
        <w:spacing w:line="440" w:lineRule="exact"/>
        <w:rPr>
          <w:rFonts w:ascii="宋体" w:hAnsi="宋体" w:cs="宋体"/>
          <w:b/>
          <w:bCs/>
          <w:color w:val="auto"/>
          <w:sz w:val="22"/>
          <w:highlight w:val="none"/>
        </w:rPr>
      </w:pPr>
    </w:p>
    <w:p w14:paraId="487ED19B">
      <w:pPr>
        <w:tabs>
          <w:tab w:val="left" w:pos="1069"/>
          <w:tab w:val="left" w:pos="2352"/>
        </w:tabs>
        <w:snapToGrid w:val="0"/>
        <w:spacing w:line="440" w:lineRule="exact"/>
        <w:rPr>
          <w:rFonts w:ascii="宋体" w:hAnsi="宋体" w:cs="宋体"/>
          <w:b/>
          <w:bCs/>
          <w:color w:val="auto"/>
          <w:sz w:val="32"/>
          <w:szCs w:val="32"/>
          <w:highlight w:val="none"/>
        </w:rPr>
      </w:pPr>
      <w:r>
        <w:rPr>
          <w:rFonts w:hint="eastAsia" w:ascii="宋体" w:hAnsi="宋体" w:cs="宋体"/>
          <w:b/>
          <w:bCs/>
          <w:color w:val="auto"/>
          <w:sz w:val="22"/>
          <w:highlight w:val="none"/>
        </w:rPr>
        <w:t>三</w:t>
      </w:r>
      <w:r>
        <w:rPr>
          <w:rFonts w:hint="eastAsia" w:ascii="宋体" w:hAnsi="宋体" w:cs="宋体"/>
          <w:b/>
          <w:bCs/>
          <w:color w:val="auto"/>
          <w:sz w:val="22"/>
          <w:highlight w:val="none"/>
          <w:lang w:val="zh-CN"/>
        </w:rPr>
        <w:t>、</w:t>
      </w:r>
      <w:r>
        <w:rPr>
          <w:rFonts w:hint="eastAsia" w:ascii="宋体" w:hAnsi="宋体" w:cs="宋体"/>
          <w:b/>
          <w:bCs/>
          <w:color w:val="auto"/>
          <w:sz w:val="22"/>
          <w:highlight w:val="none"/>
        </w:rPr>
        <w:t>商务技术</w:t>
      </w:r>
      <w:r>
        <w:rPr>
          <w:rFonts w:hint="eastAsia" w:ascii="宋体" w:hAnsi="宋体" w:cs="宋体"/>
          <w:b/>
          <w:bCs/>
          <w:color w:val="auto"/>
          <w:sz w:val="22"/>
          <w:highlight w:val="none"/>
          <w:lang w:val="zh-CN"/>
        </w:rPr>
        <w:t>部分投标文件格式</w:t>
      </w:r>
    </w:p>
    <w:p w14:paraId="5597073C">
      <w:pPr>
        <w:pStyle w:val="9"/>
        <w:tabs>
          <w:tab w:val="left" w:pos="1069"/>
          <w:tab w:val="left" w:pos="2352"/>
        </w:tabs>
        <w:rPr>
          <w:rFonts w:ascii="宋体" w:hAnsi="宋体" w:cs="宋体"/>
          <w:color w:val="auto"/>
          <w:sz w:val="22"/>
          <w:szCs w:val="22"/>
          <w:highlight w:val="none"/>
        </w:rPr>
      </w:pPr>
      <w:r>
        <w:rPr>
          <w:rFonts w:hint="eastAsia" w:ascii="宋体" w:hAnsi="宋体" w:cs="宋体"/>
          <w:b/>
          <w:bCs/>
          <w:color w:val="auto"/>
          <w:sz w:val="22"/>
          <w:highlight w:val="none"/>
        </w:rPr>
        <w:t>商务技术</w:t>
      </w:r>
      <w:r>
        <w:rPr>
          <w:rFonts w:hint="eastAsia" w:ascii="宋体" w:hAnsi="宋体" w:cs="宋体"/>
          <w:b/>
          <w:bCs/>
          <w:color w:val="auto"/>
          <w:sz w:val="22"/>
          <w:highlight w:val="none"/>
          <w:lang w:val="zh-CN"/>
        </w:rPr>
        <w:t>部分投标文件</w:t>
      </w:r>
      <w:r>
        <w:rPr>
          <w:rFonts w:hint="eastAsia" w:ascii="宋体" w:hAnsi="宋体" w:cs="宋体"/>
          <w:color w:val="auto"/>
          <w:sz w:val="22"/>
          <w:szCs w:val="22"/>
          <w:highlight w:val="none"/>
        </w:rPr>
        <w:t>封面参考：</w:t>
      </w:r>
    </w:p>
    <w:p w14:paraId="43C1DAA0">
      <w:pPr>
        <w:tabs>
          <w:tab w:val="left" w:pos="1069"/>
          <w:tab w:val="left" w:pos="2352"/>
        </w:tabs>
        <w:snapToGrid w:val="0"/>
        <w:spacing w:line="440" w:lineRule="exact"/>
        <w:jc w:val="center"/>
        <w:rPr>
          <w:rFonts w:ascii="宋体" w:hAnsi="宋体" w:cs="宋体"/>
          <w:b/>
          <w:color w:val="auto"/>
          <w:sz w:val="32"/>
          <w:szCs w:val="32"/>
          <w:highlight w:val="none"/>
        </w:rPr>
      </w:pPr>
    </w:p>
    <w:p w14:paraId="7D5CDBE2">
      <w:pPr>
        <w:tabs>
          <w:tab w:val="left" w:pos="1069"/>
          <w:tab w:val="left" w:pos="2352"/>
        </w:tabs>
        <w:spacing w:line="480" w:lineRule="auto"/>
        <w:jc w:val="center"/>
        <w:rPr>
          <w:rFonts w:hint="eastAsia" w:ascii="宋体" w:hAnsi="宋体" w:eastAsia="等线" w:cs="宋体"/>
          <w:b/>
          <w:color w:val="auto"/>
          <w:sz w:val="64"/>
          <w:szCs w:val="64"/>
          <w:highlight w:val="none"/>
          <w:lang w:eastAsia="zh-CN"/>
        </w:rPr>
      </w:pPr>
      <w:r>
        <w:rPr>
          <w:rFonts w:hint="eastAsia" w:ascii="宋体" w:hAnsi="宋体" w:eastAsia="等线" w:cs="宋体"/>
          <w:b/>
          <w:color w:val="auto"/>
          <w:sz w:val="64"/>
          <w:szCs w:val="64"/>
          <w:highlight w:val="none"/>
          <w:lang w:eastAsia="zh-CN"/>
        </w:rPr>
        <w:t>2024年泰顺县罗阳镇上洪村堆谷洋农田宜机化改造项目</w:t>
      </w:r>
    </w:p>
    <w:p w14:paraId="3BFD6A87">
      <w:pPr>
        <w:tabs>
          <w:tab w:val="left" w:pos="1069"/>
          <w:tab w:val="left" w:pos="2352"/>
        </w:tabs>
        <w:spacing w:line="480" w:lineRule="auto"/>
        <w:jc w:val="center"/>
        <w:rPr>
          <w:rFonts w:ascii="等线" w:hAnsi="等线" w:eastAsia="等线" w:cs="等线"/>
          <w:bCs/>
          <w:color w:val="auto"/>
          <w:sz w:val="84"/>
          <w:szCs w:val="84"/>
          <w:highlight w:val="none"/>
        </w:rPr>
      </w:pPr>
      <w:r>
        <w:rPr>
          <w:rFonts w:hint="eastAsia" w:ascii="等线" w:hAnsi="等线" w:eastAsia="等线" w:cs="等线"/>
          <w:bCs/>
          <w:color w:val="auto"/>
          <w:sz w:val="84"/>
          <w:szCs w:val="84"/>
          <w:highlight w:val="none"/>
        </w:rPr>
        <w:t>投 标 文 件</w:t>
      </w:r>
    </w:p>
    <w:p w14:paraId="1DF4C317">
      <w:pPr>
        <w:tabs>
          <w:tab w:val="left" w:pos="1069"/>
          <w:tab w:val="left" w:pos="2352"/>
        </w:tabs>
        <w:spacing w:line="480" w:lineRule="auto"/>
        <w:jc w:val="center"/>
        <w:rPr>
          <w:rFonts w:ascii="等线" w:hAnsi="等线" w:eastAsia="等线" w:cs="等线"/>
          <w:bCs/>
          <w:color w:val="auto"/>
          <w:sz w:val="84"/>
          <w:szCs w:val="84"/>
          <w:highlight w:val="none"/>
        </w:rPr>
      </w:pPr>
      <w:r>
        <w:rPr>
          <w:rFonts w:hint="eastAsia" w:ascii="等线" w:hAnsi="等线" w:eastAsia="等线" w:cs="等线"/>
          <w:bCs/>
          <w:color w:val="auto"/>
          <w:sz w:val="60"/>
          <w:szCs w:val="60"/>
          <w:highlight w:val="none"/>
        </w:rPr>
        <w:t>（商 务 技 术 部 分）</w:t>
      </w:r>
    </w:p>
    <w:p w14:paraId="1957205B">
      <w:pPr>
        <w:tabs>
          <w:tab w:val="left" w:pos="1069"/>
          <w:tab w:val="left" w:pos="2352"/>
        </w:tabs>
        <w:snapToGrid w:val="0"/>
        <w:spacing w:line="600" w:lineRule="atLeast"/>
        <w:ind w:firstLine="1052" w:firstLineChars="400"/>
        <w:rPr>
          <w:rFonts w:ascii="宋体" w:hAnsi="宋体" w:cs="宋体"/>
          <w:b/>
          <w:color w:val="auto"/>
          <w:sz w:val="26"/>
          <w:szCs w:val="26"/>
          <w:highlight w:val="none"/>
        </w:rPr>
      </w:pPr>
    </w:p>
    <w:p w14:paraId="269F44AD">
      <w:pPr>
        <w:tabs>
          <w:tab w:val="left" w:pos="1069"/>
          <w:tab w:val="left" w:pos="2352"/>
        </w:tabs>
        <w:snapToGrid w:val="0"/>
        <w:spacing w:line="600" w:lineRule="atLeast"/>
        <w:ind w:firstLine="1052" w:firstLineChars="400"/>
        <w:rPr>
          <w:rFonts w:ascii="宋体" w:hAnsi="宋体" w:cs="宋体"/>
          <w:b/>
          <w:color w:val="auto"/>
          <w:sz w:val="26"/>
          <w:szCs w:val="26"/>
          <w:highlight w:val="none"/>
        </w:rPr>
      </w:pPr>
    </w:p>
    <w:tbl>
      <w:tblPr>
        <w:tblStyle w:val="31"/>
        <w:tblW w:w="0" w:type="auto"/>
        <w:tblInd w:w="844"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7678"/>
      </w:tblGrid>
      <w:tr w14:paraId="6D6AA452">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737" w:hRule="atLeast"/>
        </w:trPr>
        <w:tc>
          <w:tcPr>
            <w:tcW w:w="7678" w:type="dxa"/>
          </w:tcPr>
          <w:p w14:paraId="0D939303">
            <w:pPr>
              <w:tabs>
                <w:tab w:val="left" w:pos="1069"/>
                <w:tab w:val="left" w:pos="2352"/>
              </w:tabs>
              <w:snapToGrid w:val="0"/>
              <w:spacing w:line="600" w:lineRule="atLeast"/>
              <w:rPr>
                <w:rFonts w:hint="eastAsia" w:ascii="宋体" w:hAnsi="宋体" w:eastAsia="宋体" w:cs="宋体"/>
                <w:b/>
                <w:color w:val="auto"/>
                <w:sz w:val="26"/>
                <w:szCs w:val="26"/>
                <w:highlight w:val="none"/>
                <w:lang w:eastAsia="zh-CN"/>
              </w:rPr>
            </w:pPr>
            <w:r>
              <w:rPr>
                <w:rFonts w:hint="eastAsia" w:ascii="宋体" w:hAnsi="宋体" w:cs="宋体"/>
                <w:b/>
                <w:color w:val="auto"/>
                <w:sz w:val="26"/>
                <w:szCs w:val="26"/>
                <w:highlight w:val="none"/>
              </w:rPr>
              <w:t>项目编号：</w:t>
            </w:r>
            <w:r>
              <w:rPr>
                <w:rFonts w:hint="eastAsia" w:ascii="宋体" w:hAnsi="宋体" w:cs="宋体"/>
                <w:b/>
                <w:color w:val="auto"/>
                <w:sz w:val="26"/>
                <w:szCs w:val="26"/>
                <w:highlight w:val="none"/>
                <w:lang w:eastAsia="zh-CN"/>
              </w:rPr>
              <w:t>TSCG202502006</w:t>
            </w:r>
          </w:p>
        </w:tc>
      </w:tr>
      <w:tr w14:paraId="2D9227FF">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737" w:hRule="atLeast"/>
        </w:trPr>
        <w:tc>
          <w:tcPr>
            <w:tcW w:w="7678" w:type="dxa"/>
          </w:tcPr>
          <w:p w14:paraId="63FE3B46">
            <w:pPr>
              <w:tabs>
                <w:tab w:val="left" w:pos="1069"/>
                <w:tab w:val="left" w:pos="2352"/>
              </w:tabs>
              <w:snapToGrid w:val="0"/>
              <w:spacing w:line="600" w:lineRule="atLeast"/>
              <w:rPr>
                <w:rFonts w:hint="eastAsia" w:ascii="宋体" w:hAnsi="宋体" w:eastAsia="宋体" w:cs="宋体"/>
                <w:b/>
                <w:color w:val="auto"/>
                <w:sz w:val="26"/>
                <w:szCs w:val="26"/>
                <w:highlight w:val="none"/>
                <w:lang w:eastAsia="zh-CN"/>
              </w:rPr>
            </w:pPr>
            <w:r>
              <w:rPr>
                <w:rFonts w:hint="eastAsia" w:ascii="宋体" w:hAnsi="宋体" w:cs="宋体"/>
                <w:b/>
                <w:color w:val="auto"/>
                <w:sz w:val="26"/>
                <w:szCs w:val="26"/>
                <w:highlight w:val="none"/>
              </w:rPr>
              <w:t>采购单位：</w:t>
            </w:r>
            <w:r>
              <w:rPr>
                <w:rFonts w:hint="eastAsia" w:ascii="宋体" w:hAnsi="宋体" w:cs="宋体"/>
                <w:b/>
                <w:color w:val="auto"/>
                <w:sz w:val="26"/>
                <w:szCs w:val="26"/>
                <w:highlight w:val="none"/>
                <w:lang w:eastAsia="zh-CN"/>
              </w:rPr>
              <w:t>泰顺县罗阳镇人民政府</w:t>
            </w:r>
          </w:p>
        </w:tc>
      </w:tr>
      <w:tr w14:paraId="7F62AEA6">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737" w:hRule="atLeast"/>
        </w:trPr>
        <w:tc>
          <w:tcPr>
            <w:tcW w:w="7678" w:type="dxa"/>
          </w:tcPr>
          <w:p w14:paraId="04E8A9F7">
            <w:pPr>
              <w:tabs>
                <w:tab w:val="left" w:pos="1069"/>
                <w:tab w:val="left" w:pos="2352"/>
              </w:tabs>
              <w:snapToGrid w:val="0"/>
              <w:spacing w:line="600" w:lineRule="atLeast"/>
              <w:rPr>
                <w:rFonts w:ascii="宋体" w:hAnsi="宋体" w:cs="宋体"/>
                <w:b/>
                <w:color w:val="auto"/>
                <w:sz w:val="26"/>
                <w:szCs w:val="26"/>
                <w:highlight w:val="none"/>
              </w:rPr>
            </w:pPr>
            <w:r>
              <w:rPr>
                <w:rFonts w:hint="eastAsia" w:ascii="宋体" w:hAnsi="宋体" w:cs="宋体"/>
                <w:b/>
                <w:color w:val="auto"/>
                <w:sz w:val="26"/>
                <w:szCs w:val="26"/>
                <w:highlight w:val="none"/>
              </w:rPr>
              <w:t>供应商名称（盖章）：</w:t>
            </w:r>
          </w:p>
        </w:tc>
      </w:tr>
      <w:tr w14:paraId="5164E05E">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737" w:hRule="atLeast"/>
        </w:trPr>
        <w:tc>
          <w:tcPr>
            <w:tcW w:w="7678" w:type="dxa"/>
          </w:tcPr>
          <w:p w14:paraId="5C390FD3">
            <w:pPr>
              <w:tabs>
                <w:tab w:val="left" w:pos="1069"/>
                <w:tab w:val="left" w:pos="2352"/>
              </w:tabs>
              <w:snapToGrid w:val="0"/>
              <w:spacing w:line="600" w:lineRule="atLeast"/>
              <w:rPr>
                <w:rFonts w:ascii="宋体" w:hAnsi="宋体" w:cs="宋体"/>
                <w:b/>
                <w:color w:val="auto"/>
                <w:sz w:val="26"/>
                <w:szCs w:val="26"/>
                <w:highlight w:val="none"/>
              </w:rPr>
            </w:pPr>
            <w:r>
              <w:rPr>
                <w:rFonts w:hint="eastAsia" w:ascii="宋体" w:hAnsi="宋体" w:cs="宋体"/>
                <w:b/>
                <w:color w:val="auto"/>
                <w:sz w:val="26"/>
                <w:szCs w:val="26"/>
                <w:highlight w:val="none"/>
              </w:rPr>
              <w:t>供应商地址：</w:t>
            </w:r>
          </w:p>
        </w:tc>
      </w:tr>
      <w:tr w14:paraId="77611F70">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737" w:hRule="atLeast"/>
        </w:trPr>
        <w:tc>
          <w:tcPr>
            <w:tcW w:w="7678" w:type="dxa"/>
          </w:tcPr>
          <w:p w14:paraId="290BDF23">
            <w:pPr>
              <w:tabs>
                <w:tab w:val="left" w:pos="1069"/>
                <w:tab w:val="left" w:pos="2352"/>
              </w:tabs>
              <w:snapToGrid w:val="0"/>
              <w:spacing w:line="600" w:lineRule="atLeast"/>
              <w:rPr>
                <w:rFonts w:ascii="宋体" w:hAnsi="宋体" w:cs="宋体"/>
                <w:b/>
                <w:color w:val="auto"/>
                <w:sz w:val="26"/>
                <w:szCs w:val="26"/>
                <w:highlight w:val="none"/>
              </w:rPr>
            </w:pPr>
            <w:r>
              <w:rPr>
                <w:rFonts w:hint="eastAsia" w:ascii="宋体" w:hAnsi="宋体" w:cs="宋体"/>
                <w:b/>
                <w:color w:val="auto"/>
                <w:sz w:val="26"/>
                <w:szCs w:val="26"/>
                <w:highlight w:val="none"/>
              </w:rPr>
              <w:t>法定代表人（签字或盖章）或</w:t>
            </w:r>
            <w:r>
              <w:rPr>
                <w:rFonts w:hint="eastAsia" w:ascii="宋体" w:hAnsi="宋体" w:cs="宋体"/>
                <w:b/>
                <w:color w:val="auto"/>
                <w:sz w:val="26"/>
                <w:szCs w:val="26"/>
                <w:highlight w:val="none"/>
                <w:lang w:val="zh-CN"/>
              </w:rPr>
              <w:t>授权代表（签字）：</w:t>
            </w:r>
          </w:p>
        </w:tc>
      </w:tr>
      <w:tr w14:paraId="30173AE8">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737" w:hRule="atLeast"/>
        </w:trPr>
        <w:tc>
          <w:tcPr>
            <w:tcW w:w="7678" w:type="dxa"/>
          </w:tcPr>
          <w:p w14:paraId="712FD69A">
            <w:pPr>
              <w:tabs>
                <w:tab w:val="left" w:pos="1069"/>
                <w:tab w:val="left" w:pos="2352"/>
              </w:tabs>
              <w:snapToGrid w:val="0"/>
              <w:spacing w:line="600" w:lineRule="atLeast"/>
              <w:rPr>
                <w:rFonts w:ascii="宋体" w:hAnsi="宋体" w:cs="宋体"/>
                <w:b/>
                <w:color w:val="auto"/>
                <w:sz w:val="26"/>
                <w:szCs w:val="26"/>
                <w:highlight w:val="none"/>
              </w:rPr>
            </w:pPr>
            <w:r>
              <w:rPr>
                <w:rFonts w:hint="eastAsia" w:ascii="宋体" w:hAnsi="宋体" w:cs="宋体"/>
                <w:b/>
                <w:color w:val="auto"/>
                <w:sz w:val="26"/>
                <w:szCs w:val="26"/>
                <w:highlight w:val="none"/>
              </w:rPr>
              <w:t>日期：  年 月 日</w:t>
            </w:r>
          </w:p>
        </w:tc>
      </w:tr>
    </w:tbl>
    <w:p w14:paraId="760D4636">
      <w:pPr>
        <w:tabs>
          <w:tab w:val="left" w:pos="1069"/>
          <w:tab w:val="left" w:pos="2352"/>
        </w:tabs>
        <w:snapToGrid w:val="0"/>
        <w:spacing w:line="600" w:lineRule="atLeast"/>
        <w:rPr>
          <w:rFonts w:ascii="宋体" w:hAnsi="宋体" w:cs="宋体"/>
          <w:b/>
          <w:color w:val="auto"/>
          <w:sz w:val="26"/>
          <w:szCs w:val="26"/>
          <w:highlight w:val="none"/>
        </w:rPr>
      </w:pPr>
      <w:r>
        <w:rPr>
          <w:rFonts w:hint="eastAsia" w:ascii="宋体" w:hAnsi="宋体" w:cs="宋体"/>
          <w:b/>
          <w:color w:val="auto"/>
          <w:sz w:val="26"/>
          <w:szCs w:val="26"/>
          <w:highlight w:val="none"/>
        </w:rPr>
        <w:t xml:space="preserve"> </w:t>
      </w:r>
    </w:p>
    <w:p w14:paraId="3EF752BE">
      <w:pPr>
        <w:pStyle w:val="11"/>
        <w:tabs>
          <w:tab w:val="left" w:pos="1069"/>
          <w:tab w:val="left" w:pos="2352"/>
        </w:tabs>
        <w:ind w:left="0" w:right="-257"/>
        <w:rPr>
          <w:color w:val="auto"/>
          <w:highlight w:val="none"/>
        </w:rPr>
      </w:pPr>
    </w:p>
    <w:p w14:paraId="6D7B2C8C">
      <w:pPr>
        <w:tabs>
          <w:tab w:val="left" w:pos="1069"/>
          <w:tab w:val="left" w:pos="2352"/>
        </w:tabs>
        <w:spacing w:line="360" w:lineRule="exact"/>
        <w:jc w:val="left"/>
        <w:rPr>
          <w:rFonts w:ascii="宋体" w:hAnsi="宋体" w:cs="宋体"/>
          <w:b/>
          <w:bCs/>
          <w:color w:val="auto"/>
          <w:sz w:val="30"/>
          <w:highlight w:val="none"/>
        </w:rPr>
      </w:pPr>
    </w:p>
    <w:p w14:paraId="10C94145">
      <w:pPr>
        <w:tabs>
          <w:tab w:val="left" w:pos="1069"/>
          <w:tab w:val="left" w:pos="2352"/>
        </w:tabs>
        <w:spacing w:line="360" w:lineRule="exact"/>
        <w:jc w:val="left"/>
        <w:rPr>
          <w:rFonts w:ascii="宋体" w:hAnsi="宋体" w:cs="宋体"/>
          <w:b/>
          <w:bCs/>
          <w:color w:val="auto"/>
          <w:sz w:val="30"/>
          <w:highlight w:val="none"/>
        </w:rPr>
      </w:pPr>
    </w:p>
    <w:p w14:paraId="326E95B8">
      <w:pPr>
        <w:tabs>
          <w:tab w:val="left" w:pos="1069"/>
          <w:tab w:val="left" w:pos="2352"/>
        </w:tabs>
        <w:spacing w:line="360" w:lineRule="exact"/>
        <w:jc w:val="left"/>
        <w:rPr>
          <w:rFonts w:ascii="宋体" w:hAnsi="宋体" w:cs="宋体"/>
          <w:b/>
          <w:bCs/>
          <w:color w:val="auto"/>
          <w:sz w:val="30"/>
          <w:highlight w:val="none"/>
        </w:rPr>
      </w:pPr>
    </w:p>
    <w:p w14:paraId="0D311747">
      <w:pPr>
        <w:tabs>
          <w:tab w:val="left" w:pos="1069"/>
          <w:tab w:val="left" w:pos="2352"/>
        </w:tabs>
        <w:spacing w:line="360" w:lineRule="exact"/>
        <w:jc w:val="left"/>
        <w:rPr>
          <w:rFonts w:hint="eastAsia" w:ascii="宋体" w:hAnsi="宋体" w:eastAsia="宋体" w:cs="宋体"/>
          <w:b/>
          <w:bCs/>
          <w:color w:val="auto"/>
          <w:sz w:val="30"/>
          <w:highlight w:val="none"/>
          <w:lang w:eastAsia="zh-CN"/>
        </w:rPr>
      </w:pPr>
      <w:r>
        <w:rPr>
          <w:rFonts w:hint="eastAsia" w:ascii="宋体" w:hAnsi="宋体" w:cs="宋体"/>
          <w:b/>
          <w:bCs/>
          <w:color w:val="auto"/>
          <w:sz w:val="30"/>
          <w:highlight w:val="none"/>
        </w:rPr>
        <w:t>附件</w:t>
      </w:r>
      <w:r>
        <w:rPr>
          <w:rFonts w:hint="eastAsia" w:ascii="宋体" w:hAnsi="宋体" w:cs="宋体"/>
          <w:b/>
          <w:bCs/>
          <w:color w:val="auto"/>
          <w:sz w:val="30"/>
          <w:highlight w:val="none"/>
          <w:lang w:val="en-US" w:eastAsia="zh-CN"/>
        </w:rPr>
        <w:t>四</w:t>
      </w:r>
    </w:p>
    <w:p w14:paraId="7608D3A1">
      <w:pPr>
        <w:tabs>
          <w:tab w:val="left" w:pos="1069"/>
          <w:tab w:val="left" w:pos="2352"/>
        </w:tabs>
        <w:autoSpaceDE w:val="0"/>
        <w:autoSpaceDN w:val="0"/>
        <w:adjustRightInd w:val="0"/>
        <w:spacing w:line="360" w:lineRule="exact"/>
        <w:jc w:val="center"/>
        <w:rPr>
          <w:rFonts w:ascii="宋体" w:hAnsi="宋体" w:cs="宋体"/>
          <w:b/>
          <w:bCs/>
          <w:color w:val="auto"/>
          <w:sz w:val="30"/>
          <w:szCs w:val="30"/>
          <w:highlight w:val="none"/>
          <w:lang w:val="zh-CN"/>
        </w:rPr>
      </w:pPr>
      <w:bookmarkStart w:id="252" w:name="_Toc30988_WPSOffice_Level3"/>
      <w:r>
        <w:rPr>
          <w:rFonts w:hint="eastAsia" w:ascii="宋体" w:hAnsi="宋体" w:cs="宋体"/>
          <w:b/>
          <w:bCs/>
          <w:color w:val="auto"/>
          <w:sz w:val="30"/>
          <w:szCs w:val="30"/>
          <w:highlight w:val="none"/>
        </w:rPr>
        <w:t>报价</w:t>
      </w:r>
      <w:r>
        <w:rPr>
          <w:rFonts w:hint="eastAsia" w:ascii="宋体" w:hAnsi="宋体" w:cs="宋体"/>
          <w:b/>
          <w:bCs/>
          <w:color w:val="auto"/>
          <w:sz w:val="30"/>
          <w:szCs w:val="30"/>
          <w:highlight w:val="none"/>
          <w:lang w:val="zh-CN"/>
        </w:rPr>
        <w:t>函</w:t>
      </w:r>
      <w:bookmarkEnd w:id="252"/>
    </w:p>
    <w:p w14:paraId="1E99275F">
      <w:pPr>
        <w:tabs>
          <w:tab w:val="left" w:pos="1069"/>
          <w:tab w:val="left" w:pos="2352"/>
        </w:tabs>
        <w:autoSpaceDE w:val="0"/>
        <w:autoSpaceDN w:val="0"/>
        <w:adjustRightInd w:val="0"/>
        <w:spacing w:line="360" w:lineRule="exact"/>
        <w:rPr>
          <w:rFonts w:ascii="宋体" w:hAnsi="宋体" w:cs="宋体"/>
          <w:color w:val="auto"/>
          <w:sz w:val="36"/>
          <w:highlight w:val="none"/>
          <w:lang w:val="zh-CN"/>
        </w:rPr>
      </w:pPr>
    </w:p>
    <w:p w14:paraId="66EB3DC8">
      <w:pPr>
        <w:pStyle w:val="12"/>
        <w:tabs>
          <w:tab w:val="left" w:pos="1069"/>
          <w:tab w:val="left" w:pos="2352"/>
        </w:tabs>
        <w:rPr>
          <w:rFonts w:hAnsi="宋体" w:cs="宋体"/>
          <w:color w:val="auto"/>
          <w:sz w:val="22"/>
          <w:highlight w:val="none"/>
          <w:u w:val="single"/>
        </w:rPr>
      </w:pPr>
      <w:r>
        <w:rPr>
          <w:rFonts w:hint="eastAsia" w:hAnsi="宋体" w:cs="宋体"/>
          <w:color w:val="auto"/>
          <w:sz w:val="22"/>
          <w:highlight w:val="none"/>
          <w:u w:val="single"/>
          <w:lang w:eastAsia="zh-CN"/>
        </w:rPr>
        <w:t>泰顺县罗阳镇人民政府</w:t>
      </w:r>
      <w:r>
        <w:rPr>
          <w:rFonts w:hint="eastAsia" w:hAnsi="宋体" w:cs="宋体"/>
          <w:color w:val="auto"/>
          <w:sz w:val="22"/>
          <w:highlight w:val="none"/>
          <w:u w:val="single"/>
        </w:rPr>
        <w:t>：</w:t>
      </w:r>
    </w:p>
    <w:p w14:paraId="1571CC5D">
      <w:pPr>
        <w:tabs>
          <w:tab w:val="left" w:pos="1069"/>
          <w:tab w:val="left" w:pos="2352"/>
        </w:tabs>
        <w:autoSpaceDE w:val="0"/>
        <w:autoSpaceDN w:val="0"/>
        <w:adjustRightInd w:val="0"/>
        <w:spacing w:line="400" w:lineRule="exact"/>
        <w:ind w:firstLine="446" w:firstLineChars="200"/>
        <w:rPr>
          <w:rFonts w:ascii="宋体" w:hAnsi="宋体" w:cs="宋体"/>
          <w:color w:val="auto"/>
          <w:sz w:val="22"/>
          <w:highlight w:val="none"/>
          <w:lang w:val="zh-CN"/>
        </w:rPr>
      </w:pPr>
      <w:r>
        <w:rPr>
          <w:rFonts w:hint="eastAsia" w:ascii="宋体" w:hAnsi="宋体" w:cs="宋体"/>
          <w:color w:val="auto"/>
          <w:sz w:val="22"/>
          <w:highlight w:val="none"/>
          <w:u w:val="single"/>
          <w:lang w:val="zh-CN"/>
        </w:rPr>
        <w:t>（供应商全称）授权（授权代表名称）（职务、职称）</w:t>
      </w:r>
      <w:r>
        <w:rPr>
          <w:rFonts w:hint="eastAsia" w:ascii="宋体" w:hAnsi="宋体" w:cs="宋体"/>
          <w:color w:val="auto"/>
          <w:sz w:val="22"/>
          <w:highlight w:val="none"/>
          <w:lang w:val="zh-CN"/>
        </w:rPr>
        <w:t>为授权代表，参加贵方组织的</w:t>
      </w:r>
      <w:r>
        <w:rPr>
          <w:rFonts w:hint="eastAsia" w:ascii="宋体" w:hAnsi="宋体" w:cs="宋体"/>
          <w:color w:val="auto"/>
          <w:sz w:val="22"/>
          <w:highlight w:val="none"/>
          <w:u w:val="single"/>
          <w:lang w:eastAsia="zh-CN"/>
        </w:rPr>
        <w:t>2024年泰顺县罗阳镇上洪村堆谷洋农田宜机化改造项目</w:t>
      </w:r>
      <w:r>
        <w:rPr>
          <w:rFonts w:hint="eastAsia" w:ascii="宋体" w:hAnsi="宋体" w:cs="宋体"/>
          <w:color w:val="auto"/>
          <w:sz w:val="22"/>
          <w:highlight w:val="none"/>
          <w:lang w:val="zh-CN"/>
        </w:rPr>
        <w:t>（</w:t>
      </w:r>
      <w:r>
        <w:rPr>
          <w:rFonts w:hint="eastAsia" w:ascii="宋体" w:hAnsi="宋体" w:cs="宋体"/>
          <w:color w:val="auto"/>
          <w:sz w:val="22"/>
          <w:highlight w:val="none"/>
        </w:rPr>
        <w:t>采购</w:t>
      </w:r>
      <w:r>
        <w:rPr>
          <w:rFonts w:hint="eastAsia" w:ascii="宋体" w:hAnsi="宋体" w:cs="宋体"/>
          <w:color w:val="auto"/>
          <w:sz w:val="22"/>
          <w:highlight w:val="none"/>
          <w:lang w:val="zh-CN"/>
        </w:rPr>
        <w:t>编号：</w:t>
      </w:r>
      <w:r>
        <w:rPr>
          <w:rFonts w:hint="eastAsia" w:ascii="宋体" w:hAnsi="宋体" w:cs="宋体"/>
          <w:color w:val="auto"/>
          <w:sz w:val="22"/>
          <w:highlight w:val="none"/>
          <w:u w:val="single"/>
          <w:lang w:eastAsia="zh-CN"/>
        </w:rPr>
        <w:t>TSCG202502006</w:t>
      </w:r>
      <w:r>
        <w:rPr>
          <w:rFonts w:hint="eastAsia" w:ascii="宋体" w:hAnsi="宋体" w:cs="宋体"/>
          <w:color w:val="auto"/>
          <w:sz w:val="22"/>
          <w:highlight w:val="none"/>
          <w:u w:val="single"/>
        </w:rPr>
        <w:t>）</w:t>
      </w:r>
      <w:r>
        <w:rPr>
          <w:rFonts w:hint="eastAsia" w:ascii="宋体" w:hAnsi="宋体" w:cs="宋体"/>
          <w:color w:val="auto"/>
          <w:sz w:val="22"/>
          <w:highlight w:val="none"/>
          <w:lang w:val="zh-CN"/>
        </w:rPr>
        <w:t>招标的有关活动，并对</w:t>
      </w:r>
      <w:r>
        <w:rPr>
          <w:rFonts w:hint="eastAsia" w:ascii="宋体" w:hAnsi="宋体" w:cs="宋体"/>
          <w:color w:val="auto"/>
          <w:sz w:val="22"/>
          <w:highlight w:val="none"/>
          <w:u w:val="single"/>
          <w:lang w:eastAsia="zh-CN"/>
        </w:rPr>
        <w:t>2024年泰顺县罗阳镇上洪村堆谷洋农田宜机化改造项目</w:t>
      </w:r>
      <w:r>
        <w:rPr>
          <w:rFonts w:hint="eastAsia" w:ascii="宋体" w:hAnsi="宋体" w:cs="宋体"/>
          <w:color w:val="auto"/>
          <w:sz w:val="22"/>
          <w:highlight w:val="none"/>
          <w:lang w:val="zh-CN"/>
        </w:rPr>
        <w:t>进行投标。为此：</w:t>
      </w:r>
    </w:p>
    <w:p w14:paraId="4528644A">
      <w:pPr>
        <w:tabs>
          <w:tab w:val="left" w:pos="1069"/>
          <w:tab w:val="left" w:pos="2352"/>
        </w:tabs>
        <w:autoSpaceDE w:val="0"/>
        <w:autoSpaceDN w:val="0"/>
        <w:adjustRightInd w:val="0"/>
        <w:spacing w:line="400" w:lineRule="exact"/>
        <w:ind w:firstLine="446" w:firstLineChars="200"/>
        <w:rPr>
          <w:rFonts w:ascii="宋体" w:hAnsi="宋体" w:cs="宋体"/>
          <w:color w:val="auto"/>
          <w:sz w:val="22"/>
          <w:highlight w:val="none"/>
          <w:lang w:val="zh-CN"/>
        </w:rPr>
      </w:pPr>
      <w:r>
        <w:rPr>
          <w:rFonts w:hint="eastAsia" w:ascii="宋体" w:hAnsi="宋体" w:cs="宋体"/>
          <w:color w:val="auto"/>
          <w:sz w:val="22"/>
          <w:highlight w:val="none"/>
          <w:lang w:val="zh-CN"/>
        </w:rPr>
        <w:t>1、提供供应商须知规定的全部投标（响应）文件：</w:t>
      </w:r>
    </w:p>
    <w:p w14:paraId="3106BD60">
      <w:pPr>
        <w:tabs>
          <w:tab w:val="left" w:pos="1069"/>
          <w:tab w:val="left" w:pos="2352"/>
        </w:tabs>
        <w:autoSpaceDE w:val="0"/>
        <w:autoSpaceDN w:val="0"/>
        <w:adjustRightInd w:val="0"/>
        <w:spacing w:line="400" w:lineRule="exact"/>
        <w:ind w:firstLine="446" w:firstLineChars="200"/>
        <w:rPr>
          <w:rFonts w:ascii="宋体" w:hAnsi="宋体" w:cs="宋体"/>
          <w:color w:val="auto"/>
          <w:sz w:val="22"/>
          <w:highlight w:val="none"/>
          <w:lang w:val="zh-CN"/>
        </w:rPr>
      </w:pPr>
      <w:r>
        <w:rPr>
          <w:rFonts w:hint="eastAsia" w:ascii="宋体" w:hAnsi="宋体" w:cs="宋体"/>
          <w:color w:val="auto"/>
          <w:sz w:val="22"/>
          <w:highlight w:val="none"/>
          <w:lang w:val="zh-CN"/>
        </w:rPr>
        <w:t>“电子加密投标文件”：在线上传递交。</w:t>
      </w:r>
    </w:p>
    <w:p w14:paraId="39CE44E8">
      <w:pPr>
        <w:tabs>
          <w:tab w:val="left" w:pos="1069"/>
          <w:tab w:val="left" w:pos="2352"/>
        </w:tabs>
        <w:autoSpaceDE w:val="0"/>
        <w:autoSpaceDN w:val="0"/>
        <w:adjustRightInd w:val="0"/>
        <w:spacing w:line="400" w:lineRule="exact"/>
        <w:ind w:firstLine="446" w:firstLineChars="200"/>
        <w:rPr>
          <w:rFonts w:ascii="宋体" w:hAnsi="宋体" w:cs="宋体"/>
          <w:color w:val="auto"/>
          <w:sz w:val="22"/>
          <w:highlight w:val="none"/>
          <w:lang w:val="zh-CN"/>
        </w:rPr>
      </w:pPr>
      <w:r>
        <w:rPr>
          <w:rFonts w:hint="eastAsia" w:ascii="宋体" w:hAnsi="宋体" w:cs="宋体"/>
          <w:color w:val="auto"/>
          <w:sz w:val="22"/>
          <w:highlight w:val="none"/>
          <w:lang w:val="zh-CN"/>
        </w:rPr>
        <w:t>2、保证遵守竞争性磋商文件中的有关规定和收费标准。</w:t>
      </w:r>
    </w:p>
    <w:p w14:paraId="2A291DA1">
      <w:pPr>
        <w:tabs>
          <w:tab w:val="left" w:pos="1069"/>
          <w:tab w:val="left" w:pos="2352"/>
        </w:tabs>
        <w:autoSpaceDE w:val="0"/>
        <w:autoSpaceDN w:val="0"/>
        <w:adjustRightInd w:val="0"/>
        <w:spacing w:line="440" w:lineRule="atLeast"/>
        <w:ind w:firstLine="448" w:firstLineChars="201"/>
        <w:rPr>
          <w:rFonts w:ascii="宋体" w:hAnsi="宋体" w:cs="宋体"/>
          <w:color w:val="auto"/>
          <w:sz w:val="22"/>
          <w:highlight w:val="none"/>
          <w:lang w:val="zh-CN"/>
        </w:rPr>
      </w:pPr>
      <w:r>
        <w:rPr>
          <w:rFonts w:hint="eastAsia" w:ascii="宋体" w:hAnsi="宋体" w:cs="宋体"/>
          <w:color w:val="auto"/>
          <w:sz w:val="22"/>
          <w:highlight w:val="none"/>
          <w:lang w:val="zh-CN"/>
        </w:rPr>
        <w:t>3、保证忠实地执行采购人、中标（成交）供应商双方所签的合同，并承担合同规定的责任义务。</w:t>
      </w:r>
    </w:p>
    <w:p w14:paraId="0E5725A6">
      <w:pPr>
        <w:pStyle w:val="12"/>
        <w:tabs>
          <w:tab w:val="left" w:pos="1069"/>
          <w:tab w:val="left" w:pos="2352"/>
        </w:tabs>
        <w:snapToGrid w:val="0"/>
        <w:spacing w:line="410" w:lineRule="atLeast"/>
        <w:ind w:firstLine="446" w:firstLineChars="200"/>
        <w:rPr>
          <w:rFonts w:hAnsi="宋体" w:cs="宋体"/>
          <w:color w:val="auto"/>
          <w:sz w:val="22"/>
          <w:highlight w:val="none"/>
        </w:rPr>
      </w:pPr>
      <w:r>
        <w:rPr>
          <w:rFonts w:hint="eastAsia" w:hAnsi="宋体" w:cs="宋体"/>
          <w:color w:val="auto"/>
          <w:sz w:val="22"/>
          <w:highlight w:val="none"/>
          <w:lang w:val="zh-CN"/>
        </w:rPr>
        <w:t>4、我方对完工期承诺如下：</w:t>
      </w:r>
      <w:r>
        <w:rPr>
          <w:rFonts w:hint="eastAsia" w:hAnsi="宋体" w:cs="宋体"/>
          <w:color w:val="auto"/>
          <w:sz w:val="22"/>
          <w:highlight w:val="none"/>
        </w:rPr>
        <w:t>按竞争性磋商文件规定期限交货并通过采购人验收，逾期采购人有权拒绝。</w:t>
      </w:r>
    </w:p>
    <w:p w14:paraId="1292DC6E">
      <w:pPr>
        <w:tabs>
          <w:tab w:val="left" w:pos="1069"/>
          <w:tab w:val="left" w:pos="2352"/>
        </w:tabs>
        <w:autoSpaceDE w:val="0"/>
        <w:autoSpaceDN w:val="0"/>
        <w:adjustRightInd w:val="0"/>
        <w:spacing w:line="440" w:lineRule="atLeast"/>
        <w:ind w:firstLine="450"/>
        <w:rPr>
          <w:rFonts w:ascii="宋体" w:hAnsi="宋体" w:cs="宋体"/>
          <w:color w:val="auto"/>
          <w:sz w:val="22"/>
          <w:highlight w:val="none"/>
          <w:lang w:val="zh-CN"/>
        </w:rPr>
      </w:pPr>
      <w:r>
        <w:rPr>
          <w:rFonts w:hint="eastAsia" w:ascii="宋体" w:hAnsi="宋体" w:cs="宋体"/>
          <w:color w:val="auto"/>
          <w:sz w:val="22"/>
          <w:highlight w:val="none"/>
          <w:lang w:val="zh-CN"/>
        </w:rPr>
        <w:t>5、供应商已详细审查全部竞争性磋商文件，包括竞争性磋商文件补充文件（如果有的话）。我方完全理解并同意放弃对这方面有不明及误解的权力。如果竞争性磋商文件有相互矛盾之处，我方同意按采购人的理解处理。</w:t>
      </w:r>
    </w:p>
    <w:p w14:paraId="31A39B14">
      <w:pPr>
        <w:tabs>
          <w:tab w:val="left" w:pos="1069"/>
          <w:tab w:val="left" w:pos="2352"/>
        </w:tabs>
        <w:spacing w:line="340" w:lineRule="exact"/>
        <w:ind w:firstLine="448" w:firstLineChars="201"/>
        <w:rPr>
          <w:rFonts w:ascii="宋体" w:hAnsi="宋体" w:cs="宋体"/>
          <w:color w:val="auto"/>
          <w:sz w:val="22"/>
          <w:highlight w:val="none"/>
        </w:rPr>
      </w:pPr>
      <w:r>
        <w:rPr>
          <w:rFonts w:hint="eastAsia" w:ascii="宋体" w:hAnsi="宋体" w:cs="宋体"/>
          <w:color w:val="auto"/>
          <w:sz w:val="22"/>
          <w:highlight w:val="none"/>
        </w:rPr>
        <w:t>6、利益冲突：近三年内直至目前，我公司与本项目的采购人、招标代理机构没有任何的隶属关系。</w:t>
      </w:r>
    </w:p>
    <w:p w14:paraId="4148B56D">
      <w:pPr>
        <w:tabs>
          <w:tab w:val="left" w:pos="1069"/>
          <w:tab w:val="left" w:pos="2352"/>
        </w:tabs>
        <w:autoSpaceDE w:val="0"/>
        <w:autoSpaceDN w:val="0"/>
        <w:adjustRightInd w:val="0"/>
        <w:spacing w:line="440" w:lineRule="atLeast"/>
        <w:ind w:firstLine="448" w:firstLineChars="201"/>
        <w:rPr>
          <w:rFonts w:ascii="宋体" w:hAnsi="宋体" w:cs="宋体"/>
          <w:color w:val="auto"/>
          <w:sz w:val="22"/>
          <w:highlight w:val="none"/>
          <w:lang w:val="zh-CN"/>
        </w:rPr>
      </w:pPr>
      <w:r>
        <w:rPr>
          <w:rFonts w:hint="eastAsia" w:ascii="宋体" w:hAnsi="宋体" w:cs="宋体"/>
          <w:color w:val="auto"/>
          <w:sz w:val="22"/>
          <w:highlight w:val="none"/>
        </w:rPr>
        <w:t>7、我公司没有被各级、各地财政监管部门限制参加政府采购活动，且在限制期内。</w:t>
      </w:r>
    </w:p>
    <w:p w14:paraId="727D1713">
      <w:pPr>
        <w:tabs>
          <w:tab w:val="left" w:pos="1069"/>
          <w:tab w:val="left" w:pos="2352"/>
        </w:tabs>
        <w:autoSpaceDE w:val="0"/>
        <w:autoSpaceDN w:val="0"/>
        <w:adjustRightInd w:val="0"/>
        <w:spacing w:line="440" w:lineRule="atLeast"/>
        <w:ind w:firstLine="448" w:firstLineChars="201"/>
        <w:rPr>
          <w:rFonts w:ascii="宋体" w:hAnsi="宋体" w:cs="宋体"/>
          <w:color w:val="auto"/>
          <w:sz w:val="22"/>
          <w:highlight w:val="none"/>
          <w:lang w:val="zh-CN"/>
        </w:rPr>
      </w:pPr>
      <w:r>
        <w:rPr>
          <w:rFonts w:hint="eastAsia" w:ascii="宋体" w:hAnsi="宋体" w:cs="宋体"/>
          <w:color w:val="auto"/>
          <w:sz w:val="22"/>
          <w:highlight w:val="none"/>
          <w:lang w:val="zh-CN"/>
        </w:rPr>
        <w:t>8、愿意向贵方提供任何与该项投标有关的数据、情况和技术资料，完全理解贵方不一定接受最低价的投标或收到的任何投标。</w:t>
      </w:r>
    </w:p>
    <w:p w14:paraId="5ECB7C95">
      <w:pPr>
        <w:tabs>
          <w:tab w:val="left" w:pos="1069"/>
          <w:tab w:val="left" w:pos="2352"/>
        </w:tabs>
        <w:autoSpaceDE w:val="0"/>
        <w:autoSpaceDN w:val="0"/>
        <w:adjustRightInd w:val="0"/>
        <w:spacing w:line="440" w:lineRule="atLeast"/>
        <w:ind w:firstLine="448" w:firstLineChars="201"/>
        <w:rPr>
          <w:rFonts w:ascii="宋体" w:hAnsi="宋体" w:cs="宋体"/>
          <w:color w:val="auto"/>
          <w:sz w:val="22"/>
          <w:highlight w:val="none"/>
          <w:lang w:val="zh-CN"/>
        </w:rPr>
      </w:pPr>
      <w:r>
        <w:rPr>
          <w:rFonts w:hint="eastAsia" w:ascii="宋体" w:hAnsi="宋体" w:cs="宋体"/>
          <w:color w:val="auto"/>
          <w:sz w:val="22"/>
          <w:highlight w:val="none"/>
          <w:lang w:val="zh-CN"/>
        </w:rPr>
        <w:t>9、本投标自开标之日起90天内有效。</w:t>
      </w:r>
    </w:p>
    <w:p w14:paraId="29E8C811">
      <w:pPr>
        <w:tabs>
          <w:tab w:val="left" w:pos="1069"/>
          <w:tab w:val="left" w:pos="2352"/>
        </w:tabs>
        <w:autoSpaceDE w:val="0"/>
        <w:autoSpaceDN w:val="0"/>
        <w:adjustRightInd w:val="0"/>
        <w:spacing w:line="440" w:lineRule="atLeast"/>
        <w:ind w:firstLine="448" w:firstLineChars="201"/>
        <w:rPr>
          <w:rFonts w:ascii="宋体" w:hAnsi="宋体" w:cs="宋体"/>
          <w:color w:val="auto"/>
          <w:sz w:val="22"/>
          <w:highlight w:val="none"/>
          <w:lang w:val="zh-CN"/>
        </w:rPr>
      </w:pPr>
      <w:r>
        <w:rPr>
          <w:rFonts w:hint="eastAsia" w:ascii="宋体" w:hAnsi="宋体" w:cs="宋体"/>
          <w:color w:val="auto"/>
          <w:sz w:val="22"/>
          <w:highlight w:val="none"/>
          <w:lang w:val="zh-CN"/>
        </w:rPr>
        <w:t>10、与本投标有关的一切往来通讯请寄：</w:t>
      </w:r>
    </w:p>
    <w:p w14:paraId="3597345E">
      <w:pPr>
        <w:tabs>
          <w:tab w:val="left" w:pos="1069"/>
          <w:tab w:val="left" w:pos="2352"/>
        </w:tabs>
        <w:autoSpaceDE w:val="0"/>
        <w:autoSpaceDN w:val="0"/>
        <w:adjustRightInd w:val="0"/>
        <w:spacing w:line="440" w:lineRule="atLeast"/>
        <w:ind w:firstLine="448" w:firstLineChars="201"/>
        <w:rPr>
          <w:rFonts w:ascii="宋体" w:hAnsi="宋体" w:cs="宋体"/>
          <w:color w:val="auto"/>
          <w:sz w:val="22"/>
          <w:highlight w:val="none"/>
          <w:u w:val="single"/>
        </w:rPr>
      </w:pPr>
      <w:r>
        <w:rPr>
          <w:rFonts w:hint="eastAsia" w:ascii="宋体" w:hAnsi="宋体" w:cs="宋体"/>
          <w:color w:val="auto"/>
          <w:sz w:val="22"/>
          <w:highlight w:val="none"/>
          <w:lang w:val="zh-CN"/>
        </w:rPr>
        <w:t>地址：</w:t>
      </w:r>
      <w:r>
        <w:rPr>
          <w:rFonts w:hint="eastAsia" w:ascii="宋体" w:hAnsi="宋体" w:cs="宋体"/>
          <w:color w:val="auto"/>
          <w:sz w:val="22"/>
          <w:highlight w:val="none"/>
          <w:u w:val="single"/>
        </w:rPr>
        <w:t xml:space="preserve">                     </w:t>
      </w:r>
      <w:r>
        <w:rPr>
          <w:rFonts w:hint="eastAsia" w:ascii="宋体" w:hAnsi="宋体" w:cs="宋体"/>
          <w:color w:val="auto"/>
          <w:sz w:val="22"/>
          <w:highlight w:val="none"/>
          <w:lang w:val="zh-CN"/>
        </w:rPr>
        <w:t>邮编：</w:t>
      </w:r>
      <w:r>
        <w:rPr>
          <w:rFonts w:hint="eastAsia" w:ascii="宋体" w:hAnsi="宋体" w:cs="宋体"/>
          <w:color w:val="auto"/>
          <w:sz w:val="22"/>
          <w:highlight w:val="none"/>
          <w:u w:val="single"/>
        </w:rPr>
        <w:t xml:space="preserve">                     </w:t>
      </w:r>
    </w:p>
    <w:p w14:paraId="72636B67">
      <w:pPr>
        <w:tabs>
          <w:tab w:val="left" w:pos="1069"/>
          <w:tab w:val="left" w:pos="2352"/>
        </w:tabs>
        <w:autoSpaceDE w:val="0"/>
        <w:autoSpaceDN w:val="0"/>
        <w:adjustRightInd w:val="0"/>
        <w:spacing w:line="440" w:lineRule="atLeast"/>
        <w:ind w:firstLine="448" w:firstLineChars="201"/>
        <w:rPr>
          <w:rFonts w:ascii="宋体" w:hAnsi="宋体" w:cs="宋体"/>
          <w:color w:val="auto"/>
          <w:sz w:val="22"/>
          <w:highlight w:val="none"/>
          <w:lang w:val="zh-CN"/>
        </w:rPr>
      </w:pPr>
      <w:r>
        <w:rPr>
          <w:rFonts w:hint="eastAsia" w:ascii="宋体" w:hAnsi="宋体" w:cs="宋体"/>
          <w:color w:val="auto"/>
          <w:sz w:val="22"/>
          <w:highlight w:val="none"/>
          <w:lang w:val="zh-CN"/>
        </w:rPr>
        <w:t>电话：</w:t>
      </w:r>
      <w:r>
        <w:rPr>
          <w:rFonts w:hint="eastAsia" w:ascii="宋体" w:hAnsi="宋体" w:cs="宋体"/>
          <w:color w:val="auto"/>
          <w:sz w:val="22"/>
          <w:highlight w:val="none"/>
          <w:u w:val="single"/>
        </w:rPr>
        <w:t xml:space="preserve">                     </w:t>
      </w:r>
      <w:r>
        <w:rPr>
          <w:rFonts w:hint="eastAsia" w:ascii="宋体" w:hAnsi="宋体" w:cs="宋体"/>
          <w:color w:val="auto"/>
          <w:sz w:val="22"/>
          <w:highlight w:val="none"/>
          <w:lang w:val="zh-CN"/>
        </w:rPr>
        <w:t>传真：</w:t>
      </w:r>
      <w:r>
        <w:rPr>
          <w:rFonts w:hint="eastAsia" w:ascii="宋体" w:hAnsi="宋体" w:cs="宋体"/>
          <w:color w:val="auto"/>
          <w:sz w:val="22"/>
          <w:highlight w:val="none"/>
          <w:u w:val="single"/>
        </w:rPr>
        <w:t xml:space="preserve">                     </w:t>
      </w:r>
    </w:p>
    <w:p w14:paraId="408CF50A">
      <w:pPr>
        <w:pStyle w:val="12"/>
        <w:tabs>
          <w:tab w:val="left" w:pos="1069"/>
          <w:tab w:val="left" w:pos="2352"/>
        </w:tabs>
        <w:spacing w:line="440" w:lineRule="atLeast"/>
        <w:rPr>
          <w:rFonts w:hAnsi="宋体" w:cs="宋体"/>
          <w:b/>
          <w:color w:val="auto"/>
          <w:sz w:val="22"/>
          <w:highlight w:val="none"/>
        </w:rPr>
      </w:pPr>
      <w:r>
        <w:rPr>
          <w:rFonts w:hint="eastAsia" w:hAnsi="宋体" w:cs="宋体"/>
          <w:color w:val="auto"/>
          <w:sz w:val="22"/>
          <w:highlight w:val="none"/>
        </w:rPr>
        <w:t>供应商全称：（盖章）</w:t>
      </w:r>
    </w:p>
    <w:p w14:paraId="7DE2C754">
      <w:pPr>
        <w:pStyle w:val="12"/>
        <w:tabs>
          <w:tab w:val="left" w:pos="1069"/>
          <w:tab w:val="left" w:pos="2352"/>
        </w:tabs>
        <w:spacing w:line="440" w:lineRule="atLeast"/>
        <w:rPr>
          <w:rFonts w:hAnsi="宋体" w:cs="宋体"/>
          <w:b/>
          <w:color w:val="auto"/>
          <w:sz w:val="22"/>
          <w:highlight w:val="none"/>
          <w:lang w:val="zh-CN"/>
        </w:rPr>
      </w:pPr>
      <w:r>
        <w:rPr>
          <w:rFonts w:hint="eastAsia" w:hAnsi="宋体" w:cs="宋体"/>
          <w:color w:val="auto"/>
          <w:sz w:val="22"/>
          <w:highlight w:val="none"/>
        </w:rPr>
        <w:t>法定代表人（签字或盖章）或</w:t>
      </w:r>
      <w:r>
        <w:rPr>
          <w:rFonts w:hint="eastAsia" w:hAnsi="宋体" w:cs="宋体"/>
          <w:color w:val="auto"/>
          <w:sz w:val="22"/>
          <w:highlight w:val="none"/>
          <w:lang w:val="zh-CN"/>
        </w:rPr>
        <w:t>授权代表（签字）：</w:t>
      </w:r>
    </w:p>
    <w:p w14:paraId="003ABF77">
      <w:pPr>
        <w:pStyle w:val="12"/>
        <w:tabs>
          <w:tab w:val="left" w:pos="1069"/>
          <w:tab w:val="left" w:pos="2352"/>
        </w:tabs>
        <w:spacing w:line="440" w:lineRule="atLeast"/>
        <w:rPr>
          <w:rFonts w:hAnsi="宋体" w:cs="宋体"/>
          <w:b/>
          <w:color w:val="auto"/>
          <w:sz w:val="22"/>
          <w:highlight w:val="none"/>
          <w:lang w:val="zh-CN"/>
        </w:rPr>
      </w:pPr>
      <w:r>
        <w:rPr>
          <w:rFonts w:hint="eastAsia" w:hAnsi="宋体" w:cs="宋体"/>
          <w:color w:val="auto"/>
          <w:sz w:val="22"/>
          <w:highlight w:val="none"/>
        </w:rPr>
        <w:t>日期：</w:t>
      </w:r>
    </w:p>
    <w:p w14:paraId="0607EDE3">
      <w:pPr>
        <w:tabs>
          <w:tab w:val="left" w:pos="1069"/>
          <w:tab w:val="left" w:pos="2352"/>
        </w:tabs>
        <w:spacing w:line="360" w:lineRule="exact"/>
        <w:jc w:val="left"/>
        <w:rPr>
          <w:rFonts w:ascii="宋体" w:hAnsi="宋体" w:cs="宋体"/>
          <w:color w:val="auto"/>
          <w:sz w:val="22"/>
          <w:highlight w:val="none"/>
        </w:rPr>
      </w:pPr>
    </w:p>
    <w:p w14:paraId="1FEE12BF">
      <w:pPr>
        <w:tabs>
          <w:tab w:val="left" w:pos="1069"/>
          <w:tab w:val="left" w:pos="2352"/>
        </w:tabs>
        <w:spacing w:line="360" w:lineRule="exact"/>
        <w:jc w:val="left"/>
        <w:rPr>
          <w:rFonts w:ascii="宋体" w:hAnsi="宋体" w:cs="宋体"/>
          <w:color w:val="auto"/>
          <w:sz w:val="22"/>
          <w:highlight w:val="none"/>
        </w:rPr>
      </w:pPr>
    </w:p>
    <w:p w14:paraId="09B0E936">
      <w:pPr>
        <w:tabs>
          <w:tab w:val="left" w:pos="1069"/>
          <w:tab w:val="left" w:pos="2352"/>
        </w:tabs>
        <w:spacing w:line="360" w:lineRule="exact"/>
        <w:jc w:val="left"/>
        <w:rPr>
          <w:rFonts w:ascii="宋体" w:hAnsi="宋体" w:cs="宋体"/>
          <w:b/>
          <w:bCs/>
          <w:color w:val="auto"/>
          <w:sz w:val="30"/>
          <w:highlight w:val="none"/>
        </w:rPr>
      </w:pPr>
    </w:p>
    <w:p w14:paraId="21AF3CD7">
      <w:pPr>
        <w:tabs>
          <w:tab w:val="left" w:pos="1069"/>
          <w:tab w:val="left" w:pos="2352"/>
        </w:tabs>
        <w:spacing w:line="360" w:lineRule="exact"/>
        <w:jc w:val="left"/>
        <w:rPr>
          <w:rFonts w:ascii="宋体" w:hAnsi="宋体" w:cs="宋体"/>
          <w:b/>
          <w:bCs/>
          <w:color w:val="auto"/>
          <w:sz w:val="30"/>
          <w:highlight w:val="none"/>
        </w:rPr>
      </w:pPr>
    </w:p>
    <w:p w14:paraId="2AE349F9">
      <w:pPr>
        <w:pStyle w:val="6"/>
        <w:tabs>
          <w:tab w:val="left" w:pos="1069"/>
          <w:tab w:val="left" w:pos="2352"/>
        </w:tabs>
        <w:rPr>
          <w:color w:val="auto"/>
          <w:highlight w:val="none"/>
        </w:rPr>
      </w:pPr>
    </w:p>
    <w:p w14:paraId="43C1BD91">
      <w:pPr>
        <w:tabs>
          <w:tab w:val="left" w:pos="1069"/>
          <w:tab w:val="left" w:pos="2352"/>
        </w:tabs>
        <w:spacing w:line="360" w:lineRule="exact"/>
        <w:jc w:val="left"/>
        <w:rPr>
          <w:rFonts w:hint="eastAsia" w:ascii="宋体" w:hAnsi="宋体" w:eastAsia="宋体" w:cs="宋体"/>
          <w:color w:val="auto"/>
          <w:sz w:val="22"/>
          <w:highlight w:val="none"/>
          <w:lang w:eastAsia="zh-CN"/>
        </w:rPr>
      </w:pPr>
      <w:r>
        <w:rPr>
          <w:rFonts w:hint="eastAsia" w:ascii="宋体" w:hAnsi="宋体" w:cs="宋体"/>
          <w:b/>
          <w:bCs/>
          <w:color w:val="auto"/>
          <w:sz w:val="30"/>
          <w:highlight w:val="none"/>
        </w:rPr>
        <w:t>附件</w:t>
      </w:r>
      <w:r>
        <w:rPr>
          <w:rFonts w:hint="eastAsia" w:ascii="宋体" w:hAnsi="宋体" w:cs="宋体"/>
          <w:b/>
          <w:bCs/>
          <w:color w:val="auto"/>
          <w:sz w:val="30"/>
          <w:highlight w:val="none"/>
          <w:lang w:val="en-US" w:eastAsia="zh-CN"/>
        </w:rPr>
        <w:t>五</w:t>
      </w:r>
    </w:p>
    <w:p w14:paraId="0620AEF1">
      <w:pPr>
        <w:tabs>
          <w:tab w:val="left" w:pos="1069"/>
          <w:tab w:val="left" w:pos="2352"/>
        </w:tabs>
        <w:spacing w:line="360" w:lineRule="exact"/>
        <w:jc w:val="center"/>
        <w:rPr>
          <w:rFonts w:ascii="宋体" w:hAnsi="宋体" w:cs="宋体"/>
          <w:b/>
          <w:bCs/>
          <w:color w:val="auto"/>
          <w:sz w:val="30"/>
          <w:highlight w:val="none"/>
          <w:lang w:val="zh-CN"/>
        </w:rPr>
      </w:pPr>
      <w:bookmarkStart w:id="253" w:name="_Toc15399_WPSOffice_Level3"/>
      <w:r>
        <w:rPr>
          <w:rFonts w:hint="eastAsia" w:ascii="宋体" w:hAnsi="宋体" w:cs="宋体"/>
          <w:b/>
          <w:bCs/>
          <w:color w:val="auto"/>
          <w:sz w:val="30"/>
          <w:highlight w:val="none"/>
          <w:lang w:val="zh-CN"/>
        </w:rPr>
        <w:t>供应商参与政府采购活动投标资格声明函</w:t>
      </w:r>
      <w:bookmarkEnd w:id="253"/>
    </w:p>
    <w:tbl>
      <w:tblPr>
        <w:tblStyle w:val="3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20"/>
        <w:gridCol w:w="7992"/>
      </w:tblGrid>
      <w:tr w14:paraId="1F03E3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20" w:type="dxa"/>
          </w:tcPr>
          <w:p w14:paraId="4AB01B2B">
            <w:pPr>
              <w:pStyle w:val="12"/>
              <w:tabs>
                <w:tab w:val="left" w:pos="1069"/>
                <w:tab w:val="left" w:pos="2352"/>
              </w:tabs>
              <w:adjustRightInd w:val="0"/>
              <w:snapToGrid w:val="0"/>
              <w:spacing w:line="400" w:lineRule="exact"/>
              <w:rPr>
                <w:rFonts w:hAnsi="宋体" w:cs="宋体"/>
                <w:color w:val="auto"/>
                <w:kern w:val="2"/>
                <w:sz w:val="22"/>
                <w:szCs w:val="22"/>
                <w:highlight w:val="none"/>
              </w:rPr>
            </w:pPr>
            <w:r>
              <w:rPr>
                <w:rFonts w:hint="eastAsia" w:hAnsi="宋体" w:cs="宋体"/>
                <w:color w:val="auto"/>
                <w:kern w:val="2"/>
                <w:sz w:val="22"/>
                <w:szCs w:val="22"/>
                <w:highlight w:val="none"/>
              </w:rPr>
              <w:t>项目名称</w:t>
            </w:r>
          </w:p>
        </w:tc>
        <w:tc>
          <w:tcPr>
            <w:tcW w:w="7992" w:type="dxa"/>
          </w:tcPr>
          <w:p w14:paraId="753B63A5">
            <w:pPr>
              <w:pStyle w:val="12"/>
              <w:tabs>
                <w:tab w:val="left" w:pos="1069"/>
                <w:tab w:val="left" w:pos="2352"/>
              </w:tabs>
              <w:adjustRightInd w:val="0"/>
              <w:snapToGrid w:val="0"/>
              <w:spacing w:line="400" w:lineRule="exact"/>
              <w:jc w:val="center"/>
              <w:rPr>
                <w:rFonts w:hint="eastAsia" w:hAnsi="宋体" w:eastAsia="宋体" w:cs="宋体"/>
                <w:color w:val="auto"/>
                <w:kern w:val="2"/>
                <w:sz w:val="22"/>
                <w:szCs w:val="22"/>
                <w:highlight w:val="none"/>
                <w:lang w:eastAsia="zh-CN"/>
              </w:rPr>
            </w:pPr>
            <w:r>
              <w:rPr>
                <w:rFonts w:hint="eastAsia" w:hAnsi="宋体" w:cs="宋体"/>
                <w:color w:val="auto"/>
                <w:kern w:val="2"/>
                <w:sz w:val="22"/>
                <w:szCs w:val="22"/>
                <w:highlight w:val="none"/>
                <w:lang w:eastAsia="zh-CN"/>
              </w:rPr>
              <w:t>2024年泰顺县罗阳镇上洪村堆谷洋农田宜机化改造项目</w:t>
            </w:r>
          </w:p>
        </w:tc>
      </w:tr>
      <w:tr w14:paraId="16F14F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20" w:type="dxa"/>
          </w:tcPr>
          <w:p w14:paraId="27044548">
            <w:pPr>
              <w:pStyle w:val="12"/>
              <w:tabs>
                <w:tab w:val="left" w:pos="1069"/>
                <w:tab w:val="left" w:pos="2352"/>
              </w:tabs>
              <w:adjustRightInd w:val="0"/>
              <w:snapToGrid w:val="0"/>
              <w:spacing w:line="400" w:lineRule="exact"/>
              <w:rPr>
                <w:rFonts w:hAnsi="宋体" w:cs="宋体"/>
                <w:color w:val="auto"/>
                <w:kern w:val="2"/>
                <w:sz w:val="22"/>
                <w:szCs w:val="22"/>
                <w:highlight w:val="none"/>
              </w:rPr>
            </w:pPr>
            <w:r>
              <w:rPr>
                <w:rFonts w:hint="eastAsia" w:hAnsi="宋体" w:cs="宋体"/>
                <w:color w:val="auto"/>
                <w:kern w:val="2"/>
                <w:sz w:val="22"/>
                <w:szCs w:val="22"/>
                <w:highlight w:val="none"/>
              </w:rPr>
              <w:t>项目采购编号</w:t>
            </w:r>
          </w:p>
        </w:tc>
        <w:tc>
          <w:tcPr>
            <w:tcW w:w="7992" w:type="dxa"/>
          </w:tcPr>
          <w:p w14:paraId="2297F391">
            <w:pPr>
              <w:pStyle w:val="12"/>
              <w:tabs>
                <w:tab w:val="left" w:pos="1069"/>
                <w:tab w:val="left" w:pos="2352"/>
              </w:tabs>
              <w:adjustRightInd w:val="0"/>
              <w:snapToGrid w:val="0"/>
              <w:spacing w:line="400" w:lineRule="exact"/>
              <w:jc w:val="center"/>
              <w:rPr>
                <w:rFonts w:hint="eastAsia" w:hAnsi="宋体" w:eastAsia="宋体" w:cs="宋体"/>
                <w:color w:val="auto"/>
                <w:kern w:val="2"/>
                <w:sz w:val="22"/>
                <w:szCs w:val="22"/>
                <w:highlight w:val="none"/>
                <w:lang w:eastAsia="zh-CN"/>
              </w:rPr>
            </w:pPr>
            <w:r>
              <w:rPr>
                <w:rFonts w:hint="eastAsia" w:hAnsi="宋体" w:cs="宋体"/>
                <w:color w:val="auto"/>
                <w:kern w:val="2"/>
                <w:sz w:val="22"/>
                <w:szCs w:val="22"/>
                <w:highlight w:val="none"/>
                <w:lang w:eastAsia="zh-CN"/>
              </w:rPr>
              <w:t>TSCG202502006</w:t>
            </w:r>
          </w:p>
        </w:tc>
      </w:tr>
      <w:tr w14:paraId="70BDBF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20" w:type="dxa"/>
          </w:tcPr>
          <w:p w14:paraId="2D68CEA9">
            <w:pPr>
              <w:pStyle w:val="12"/>
              <w:tabs>
                <w:tab w:val="left" w:pos="1069"/>
                <w:tab w:val="left" w:pos="2352"/>
              </w:tabs>
              <w:adjustRightInd w:val="0"/>
              <w:snapToGrid w:val="0"/>
              <w:spacing w:line="400" w:lineRule="exact"/>
              <w:rPr>
                <w:rFonts w:hAnsi="宋体" w:cs="宋体"/>
                <w:color w:val="auto"/>
                <w:kern w:val="2"/>
                <w:sz w:val="22"/>
                <w:szCs w:val="22"/>
                <w:highlight w:val="none"/>
              </w:rPr>
            </w:pPr>
            <w:r>
              <w:rPr>
                <w:rFonts w:hint="eastAsia" w:hAnsi="宋体" w:cs="宋体"/>
                <w:color w:val="auto"/>
                <w:kern w:val="2"/>
                <w:sz w:val="22"/>
                <w:szCs w:val="22"/>
                <w:highlight w:val="none"/>
              </w:rPr>
              <w:t>时间</w:t>
            </w:r>
          </w:p>
        </w:tc>
        <w:tc>
          <w:tcPr>
            <w:tcW w:w="7992" w:type="dxa"/>
          </w:tcPr>
          <w:p w14:paraId="48199890">
            <w:pPr>
              <w:pStyle w:val="12"/>
              <w:tabs>
                <w:tab w:val="left" w:pos="1069"/>
                <w:tab w:val="left" w:pos="2352"/>
              </w:tabs>
              <w:adjustRightInd w:val="0"/>
              <w:snapToGrid w:val="0"/>
              <w:spacing w:line="400" w:lineRule="exact"/>
              <w:jc w:val="center"/>
              <w:rPr>
                <w:rFonts w:hAnsi="宋体" w:cs="宋体"/>
                <w:color w:val="auto"/>
                <w:kern w:val="2"/>
                <w:sz w:val="22"/>
                <w:szCs w:val="22"/>
                <w:highlight w:val="none"/>
              </w:rPr>
            </w:pPr>
            <w:r>
              <w:rPr>
                <w:rFonts w:hint="eastAsia" w:hAnsi="宋体" w:cs="宋体"/>
                <w:color w:val="auto"/>
                <w:kern w:val="2"/>
                <w:sz w:val="22"/>
                <w:szCs w:val="22"/>
                <w:highlight w:val="none"/>
              </w:rPr>
              <w:t>本项目投标截止时间</w:t>
            </w:r>
          </w:p>
        </w:tc>
      </w:tr>
      <w:tr w14:paraId="7F8ADC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76" w:hRule="atLeast"/>
        </w:trPr>
        <w:tc>
          <w:tcPr>
            <w:tcW w:w="9612" w:type="dxa"/>
            <w:gridSpan w:val="2"/>
          </w:tcPr>
          <w:p w14:paraId="75783754">
            <w:pPr>
              <w:pStyle w:val="12"/>
              <w:tabs>
                <w:tab w:val="left" w:pos="1069"/>
                <w:tab w:val="left" w:pos="2352"/>
              </w:tabs>
              <w:adjustRightInd w:val="0"/>
              <w:snapToGrid w:val="0"/>
              <w:spacing w:line="400" w:lineRule="exact"/>
              <w:ind w:firstLine="450"/>
              <w:rPr>
                <w:rFonts w:hAnsi="宋体" w:cs="宋体"/>
                <w:color w:val="auto"/>
                <w:kern w:val="2"/>
                <w:highlight w:val="none"/>
              </w:rPr>
            </w:pPr>
            <w:r>
              <w:rPr>
                <w:rFonts w:hint="eastAsia" w:hAnsi="宋体" w:cs="宋体"/>
                <w:color w:val="auto"/>
                <w:kern w:val="2"/>
                <w:highlight w:val="none"/>
              </w:rPr>
              <w:t>1、根据政府采购法第二十二条规定，我单位满足以下条件，并已经在《资格文件》中提供了相应的证明材料：</w:t>
            </w:r>
          </w:p>
          <w:p w14:paraId="1B4EA715">
            <w:pPr>
              <w:pStyle w:val="12"/>
              <w:tabs>
                <w:tab w:val="left" w:pos="1069"/>
                <w:tab w:val="left" w:pos="2352"/>
              </w:tabs>
              <w:adjustRightInd w:val="0"/>
              <w:snapToGrid w:val="0"/>
              <w:spacing w:line="400" w:lineRule="exact"/>
              <w:ind w:firstLine="450"/>
              <w:rPr>
                <w:rFonts w:hAnsi="宋体" w:cs="宋体"/>
                <w:color w:val="auto"/>
                <w:kern w:val="2"/>
                <w:highlight w:val="none"/>
              </w:rPr>
            </w:pPr>
            <w:r>
              <w:rPr>
                <w:rFonts w:hint="eastAsia" w:hAnsi="宋体" w:cs="宋体"/>
                <w:color w:val="auto"/>
                <w:kern w:val="2"/>
                <w:highlight w:val="none"/>
              </w:rPr>
              <w:t>（一）具有独立承担民事责任的能力；（二）具有良好的商业信誉和健全的财务会计制度；（三）具有履行合同所必需的设备和专业技术能力；（四）有依法缴纳税收和社会保障资金的良好记录；（五）参加政府采购活动前三年内，在经营活动中没有重大违法记录；（六）法律、行政法规规定的其他条件。</w:t>
            </w:r>
          </w:p>
          <w:p w14:paraId="4E1F4727">
            <w:pPr>
              <w:pStyle w:val="12"/>
              <w:tabs>
                <w:tab w:val="left" w:pos="1069"/>
                <w:tab w:val="left" w:pos="2352"/>
              </w:tabs>
              <w:adjustRightInd w:val="0"/>
              <w:snapToGrid w:val="0"/>
              <w:spacing w:line="400" w:lineRule="exact"/>
              <w:ind w:firstLine="450"/>
              <w:rPr>
                <w:rFonts w:hAnsi="宋体" w:cs="宋体"/>
                <w:color w:val="auto"/>
                <w:kern w:val="2"/>
                <w:highlight w:val="none"/>
              </w:rPr>
            </w:pPr>
            <w:r>
              <w:rPr>
                <w:rFonts w:hint="eastAsia" w:hAnsi="宋体" w:cs="宋体"/>
                <w:color w:val="auto"/>
                <w:kern w:val="2"/>
                <w:highlight w:val="none"/>
              </w:rPr>
              <w:t>2、根据财政部与有关部门联合签署了《关于对重大税收违法案件当事人实施联合惩戒措施的合作备忘录》(发改财金〔2014〕3062号)、《失信企业协同监管和联合惩戒合作备忘录》(发改财金〔2015〕2045号)、《关于对违法失信上市公司相关责任主体实施联合惩戒的合作备忘录》(发改财金〔2015〕3062号)、《关于对失信被执行人实施联合惩戒的合作备忘录》(发改财金〔2016〕141号)、《关于对安全生产领域失信生产经营单位及其有关人员开展联合惩戒的合作备忘录》(发改财金〔2016〕1001号)，依法限制相关失信主体参与政府采购活动。我单位不存在上述文件规定依法限制参与政府采购的情况，并提供“信用中国”、“中国政府采购网”查询网页截图（公告发布之日至投标截止时间）。</w:t>
            </w:r>
          </w:p>
          <w:p w14:paraId="27F84569">
            <w:pPr>
              <w:pStyle w:val="12"/>
              <w:tabs>
                <w:tab w:val="left" w:pos="1069"/>
                <w:tab w:val="left" w:pos="2352"/>
              </w:tabs>
              <w:adjustRightInd w:val="0"/>
              <w:snapToGrid w:val="0"/>
              <w:spacing w:line="400" w:lineRule="exact"/>
              <w:ind w:firstLine="450"/>
              <w:rPr>
                <w:rFonts w:hint="eastAsia" w:hAnsi="宋体" w:eastAsia="宋体" w:cs="宋体"/>
                <w:color w:val="auto"/>
                <w:kern w:val="2"/>
                <w:highlight w:val="none"/>
                <w:lang w:eastAsia="zh-CN"/>
              </w:rPr>
            </w:pPr>
            <w:r>
              <w:rPr>
                <w:rFonts w:hint="eastAsia" w:hAnsi="宋体" w:cs="宋体"/>
                <w:color w:val="auto"/>
                <w:kern w:val="2"/>
                <w:highlight w:val="none"/>
              </w:rPr>
              <w:t>3、我单位没有被各地、各级财政部门限制参加政府采购活动，且在限制期内</w:t>
            </w:r>
            <w:r>
              <w:rPr>
                <w:rFonts w:hint="eastAsia" w:hAnsi="宋体" w:cs="宋体"/>
                <w:color w:val="auto"/>
                <w:kern w:val="2"/>
                <w:highlight w:val="none"/>
                <w:lang w:eastAsia="zh-CN"/>
              </w:rPr>
              <w:t>。</w:t>
            </w:r>
          </w:p>
          <w:p w14:paraId="778B9F85">
            <w:pPr>
              <w:tabs>
                <w:tab w:val="left" w:pos="1069"/>
                <w:tab w:val="left" w:pos="2352"/>
                <w:tab w:val="center" w:pos="4483"/>
              </w:tabs>
              <w:adjustRightInd w:val="0"/>
              <w:spacing w:line="360" w:lineRule="auto"/>
              <w:ind w:firstLine="400"/>
              <w:rPr>
                <w:rFonts w:ascii="宋体" w:hAnsi="宋体" w:cs="宋体"/>
                <w:b/>
                <w:bCs/>
                <w:color w:val="auto"/>
                <w:szCs w:val="21"/>
                <w:highlight w:val="none"/>
                <w:u w:val="single"/>
              </w:rPr>
            </w:pPr>
            <w:r>
              <w:rPr>
                <w:rFonts w:hint="eastAsia" w:ascii="宋体" w:hAnsi="宋体" w:cs="宋体"/>
                <w:color w:val="auto"/>
                <w:szCs w:val="21"/>
                <w:highlight w:val="none"/>
              </w:rPr>
              <w:t>4、我单位参与本项目政府采购活动3年内其它重大违法记录（重大违法记录，是指供应商因违法经营受到刑事处罚或者责令停产停业、吊销许可证或者执照、较大数额罚款等行政处罚）情况声明：</w:t>
            </w:r>
            <w:r>
              <w:rPr>
                <w:rFonts w:hint="eastAsia" w:ascii="宋体" w:hAnsi="宋体" w:cs="宋体"/>
                <w:b/>
                <w:bCs/>
                <w:color w:val="auto"/>
                <w:szCs w:val="21"/>
                <w:highlight w:val="none"/>
                <w:u w:val="single"/>
              </w:rPr>
              <w:t>（若无则说明无）。</w:t>
            </w:r>
          </w:p>
          <w:p w14:paraId="5BC6655B">
            <w:pPr>
              <w:tabs>
                <w:tab w:val="left" w:pos="1069"/>
                <w:tab w:val="left" w:pos="2352"/>
                <w:tab w:val="center" w:pos="4483"/>
              </w:tabs>
              <w:adjustRightInd w:val="0"/>
              <w:spacing w:line="360" w:lineRule="auto"/>
              <w:ind w:firstLine="400"/>
              <w:rPr>
                <w:rFonts w:ascii="宋体" w:hAnsi="宋体" w:cs="宋体"/>
                <w:color w:val="auto"/>
                <w:szCs w:val="21"/>
                <w:highlight w:val="none"/>
              </w:rPr>
            </w:pPr>
            <w:r>
              <w:rPr>
                <w:rFonts w:hint="eastAsia" w:ascii="宋体" w:hAnsi="宋体" w:cs="宋体"/>
                <w:color w:val="auto"/>
                <w:szCs w:val="21"/>
                <w:highlight w:val="none"/>
              </w:rPr>
              <w:t>5、我单位符合本项目特定资格条件：</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u w:val="single"/>
                <w:lang w:val="en-US" w:eastAsia="zh-CN"/>
              </w:rPr>
              <w:t xml:space="preserve">   </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要求，并在《资格文件》中提供了相应的证明材料</w:t>
            </w:r>
            <w:r>
              <w:rPr>
                <w:rFonts w:hint="eastAsia" w:ascii="宋体" w:hAnsi="宋体" w:cs="宋体"/>
                <w:color w:val="auto"/>
                <w:szCs w:val="21"/>
                <w:highlight w:val="none"/>
                <w:u w:val="single"/>
              </w:rPr>
              <w:t>（竞争性磋商文件没有要求特定资格条件的，本条款空格处可以空白）。</w:t>
            </w:r>
          </w:p>
          <w:p w14:paraId="1094A5A7">
            <w:pPr>
              <w:tabs>
                <w:tab w:val="left" w:pos="1069"/>
                <w:tab w:val="left" w:pos="2352"/>
                <w:tab w:val="center" w:pos="4483"/>
              </w:tabs>
              <w:adjustRightInd w:val="0"/>
              <w:spacing w:line="360" w:lineRule="auto"/>
              <w:ind w:firstLine="426" w:firstLineChars="200"/>
              <w:rPr>
                <w:rFonts w:ascii="宋体" w:hAnsi="宋体" w:cs="宋体"/>
                <w:color w:val="auto"/>
                <w:sz w:val="20"/>
                <w:highlight w:val="none"/>
              </w:rPr>
            </w:pPr>
            <w:r>
              <w:rPr>
                <w:rFonts w:hint="eastAsia" w:ascii="宋体" w:hAnsi="宋体" w:cs="宋体"/>
                <w:color w:val="auto"/>
                <w:szCs w:val="21"/>
                <w:highlight w:val="none"/>
              </w:rPr>
              <w:t>本公司所提交的本声明和陈述均是真实的、准确的。若与真实情况不符，本公司愿意承担由此而产生的一切后果。我方提供了全部能提供的资料和数据，我们同意遵照贵方要求出示有关证明文件。</w:t>
            </w:r>
          </w:p>
        </w:tc>
      </w:tr>
      <w:tr w14:paraId="451B7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atLeast"/>
        </w:trPr>
        <w:tc>
          <w:tcPr>
            <w:tcW w:w="9612" w:type="dxa"/>
            <w:gridSpan w:val="2"/>
            <w:vAlign w:val="center"/>
          </w:tcPr>
          <w:p w14:paraId="269E8C09">
            <w:pPr>
              <w:pStyle w:val="12"/>
              <w:tabs>
                <w:tab w:val="left" w:pos="1069"/>
                <w:tab w:val="left" w:pos="2352"/>
              </w:tabs>
              <w:adjustRightInd w:val="0"/>
              <w:snapToGrid w:val="0"/>
              <w:spacing w:line="400" w:lineRule="exact"/>
              <w:ind w:left="422" w:firstLine="331"/>
              <w:rPr>
                <w:rFonts w:hAnsi="宋体" w:cs="宋体"/>
                <w:color w:val="auto"/>
                <w:kern w:val="2"/>
                <w:sz w:val="22"/>
                <w:szCs w:val="22"/>
                <w:highlight w:val="none"/>
              </w:rPr>
            </w:pPr>
            <w:r>
              <w:rPr>
                <w:rFonts w:hint="eastAsia" w:hAnsi="宋体" w:cs="宋体"/>
                <w:color w:val="auto"/>
                <w:kern w:val="2"/>
                <w:sz w:val="22"/>
                <w:szCs w:val="22"/>
                <w:highlight w:val="none"/>
              </w:rPr>
              <w:t>供应商名称（加盖盖章）：</w:t>
            </w:r>
          </w:p>
        </w:tc>
      </w:tr>
      <w:tr w14:paraId="68DF53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9" w:hRule="atLeast"/>
        </w:trPr>
        <w:tc>
          <w:tcPr>
            <w:tcW w:w="9612" w:type="dxa"/>
            <w:gridSpan w:val="2"/>
            <w:vAlign w:val="center"/>
          </w:tcPr>
          <w:p w14:paraId="036233DB">
            <w:pPr>
              <w:pStyle w:val="12"/>
              <w:tabs>
                <w:tab w:val="left" w:pos="1069"/>
                <w:tab w:val="left" w:pos="2352"/>
              </w:tabs>
              <w:adjustRightInd w:val="0"/>
              <w:snapToGrid w:val="0"/>
              <w:spacing w:line="400" w:lineRule="exact"/>
              <w:ind w:left="422" w:firstLine="331"/>
              <w:rPr>
                <w:rFonts w:hAnsi="宋体" w:cs="宋体"/>
                <w:color w:val="auto"/>
                <w:kern w:val="2"/>
                <w:sz w:val="22"/>
                <w:szCs w:val="22"/>
                <w:highlight w:val="none"/>
              </w:rPr>
            </w:pPr>
            <w:r>
              <w:rPr>
                <w:rFonts w:hint="eastAsia" w:hAnsi="宋体" w:cs="宋体"/>
                <w:color w:val="auto"/>
                <w:kern w:val="2"/>
                <w:sz w:val="22"/>
                <w:szCs w:val="22"/>
                <w:highlight w:val="none"/>
              </w:rPr>
              <w:t>法定代表人（签字或盖章）或授权代表（签字）：</w:t>
            </w:r>
          </w:p>
        </w:tc>
      </w:tr>
      <w:tr w14:paraId="460C91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 w:hRule="atLeast"/>
        </w:trPr>
        <w:tc>
          <w:tcPr>
            <w:tcW w:w="9612" w:type="dxa"/>
            <w:gridSpan w:val="2"/>
            <w:vAlign w:val="center"/>
          </w:tcPr>
          <w:p w14:paraId="032D5E3B">
            <w:pPr>
              <w:pStyle w:val="12"/>
              <w:tabs>
                <w:tab w:val="left" w:pos="1069"/>
                <w:tab w:val="left" w:pos="2352"/>
              </w:tabs>
              <w:adjustRightInd w:val="0"/>
              <w:snapToGrid w:val="0"/>
              <w:spacing w:line="400" w:lineRule="exact"/>
              <w:ind w:left="422" w:firstLine="331"/>
              <w:rPr>
                <w:rFonts w:hAnsi="宋体" w:cs="宋体"/>
                <w:color w:val="auto"/>
                <w:kern w:val="2"/>
                <w:sz w:val="22"/>
                <w:szCs w:val="22"/>
                <w:highlight w:val="none"/>
              </w:rPr>
            </w:pPr>
            <w:r>
              <w:rPr>
                <w:rFonts w:hint="eastAsia" w:hAnsi="宋体" w:cs="宋体"/>
                <w:color w:val="auto"/>
                <w:kern w:val="2"/>
                <w:sz w:val="22"/>
                <w:szCs w:val="22"/>
                <w:highlight w:val="none"/>
              </w:rPr>
              <w:t>签署日期：</w:t>
            </w:r>
          </w:p>
        </w:tc>
      </w:tr>
    </w:tbl>
    <w:p w14:paraId="1D652D17">
      <w:pPr>
        <w:tabs>
          <w:tab w:val="left" w:pos="1069"/>
          <w:tab w:val="left" w:pos="2352"/>
        </w:tabs>
        <w:spacing w:line="360" w:lineRule="exact"/>
        <w:jc w:val="left"/>
        <w:rPr>
          <w:rFonts w:ascii="宋体" w:hAnsi="宋体" w:cs="宋体"/>
          <w:bCs/>
          <w:color w:val="auto"/>
          <w:sz w:val="22"/>
          <w:highlight w:val="none"/>
          <w:u w:val="single"/>
        </w:rPr>
      </w:pPr>
    </w:p>
    <w:p w14:paraId="330ECB37">
      <w:pPr>
        <w:tabs>
          <w:tab w:val="left" w:pos="1069"/>
          <w:tab w:val="left" w:pos="2352"/>
        </w:tabs>
        <w:spacing w:line="360" w:lineRule="exact"/>
        <w:jc w:val="left"/>
        <w:rPr>
          <w:rFonts w:ascii="宋体" w:hAnsi="宋体" w:cs="宋体"/>
          <w:bCs/>
          <w:color w:val="auto"/>
          <w:sz w:val="22"/>
          <w:highlight w:val="none"/>
          <w:u w:val="single"/>
        </w:rPr>
      </w:pPr>
      <w:r>
        <w:rPr>
          <w:rFonts w:hint="eastAsia" w:ascii="宋体" w:hAnsi="宋体" w:cs="宋体"/>
          <w:bCs/>
          <w:color w:val="auto"/>
          <w:sz w:val="22"/>
          <w:highlight w:val="none"/>
          <w:u w:val="single"/>
        </w:rPr>
        <w:t>备注：▲投标供应商必须按要求提供本声明，不提供按无效投标处理。</w:t>
      </w:r>
    </w:p>
    <w:p w14:paraId="78E566F6">
      <w:pPr>
        <w:tabs>
          <w:tab w:val="left" w:pos="1069"/>
          <w:tab w:val="left" w:pos="2352"/>
        </w:tabs>
        <w:spacing w:line="360" w:lineRule="exact"/>
        <w:jc w:val="left"/>
        <w:rPr>
          <w:rFonts w:ascii="宋体" w:hAnsi="宋体" w:cs="宋体"/>
          <w:b/>
          <w:bCs/>
          <w:color w:val="auto"/>
          <w:sz w:val="32"/>
          <w:szCs w:val="32"/>
          <w:highlight w:val="none"/>
        </w:rPr>
      </w:pPr>
    </w:p>
    <w:p w14:paraId="132A64AB">
      <w:pPr>
        <w:tabs>
          <w:tab w:val="left" w:pos="1069"/>
          <w:tab w:val="left" w:pos="2352"/>
        </w:tabs>
        <w:spacing w:line="360" w:lineRule="exact"/>
        <w:jc w:val="left"/>
        <w:rPr>
          <w:rFonts w:ascii="宋体" w:hAnsi="宋体" w:cs="宋体"/>
          <w:b/>
          <w:bCs/>
          <w:color w:val="auto"/>
          <w:sz w:val="32"/>
          <w:szCs w:val="32"/>
          <w:highlight w:val="none"/>
        </w:rPr>
      </w:pPr>
    </w:p>
    <w:p w14:paraId="5C844B3C">
      <w:pPr>
        <w:tabs>
          <w:tab w:val="left" w:pos="1069"/>
          <w:tab w:val="left" w:pos="2352"/>
        </w:tabs>
        <w:spacing w:line="360" w:lineRule="exact"/>
        <w:jc w:val="left"/>
        <w:rPr>
          <w:rFonts w:ascii="宋体" w:hAnsi="宋体" w:cs="宋体"/>
          <w:b/>
          <w:bCs/>
          <w:color w:val="auto"/>
          <w:sz w:val="32"/>
          <w:szCs w:val="32"/>
          <w:highlight w:val="none"/>
        </w:rPr>
      </w:pPr>
    </w:p>
    <w:p w14:paraId="65DB4FB9">
      <w:pPr>
        <w:tabs>
          <w:tab w:val="left" w:pos="1069"/>
          <w:tab w:val="left" w:pos="2352"/>
        </w:tabs>
        <w:spacing w:line="360" w:lineRule="exact"/>
        <w:jc w:val="left"/>
        <w:rPr>
          <w:rFonts w:hint="eastAsia" w:ascii="宋体" w:hAnsi="宋体" w:eastAsia="宋体" w:cs="宋体"/>
          <w:b/>
          <w:bCs/>
          <w:color w:val="auto"/>
          <w:sz w:val="32"/>
          <w:szCs w:val="32"/>
          <w:highlight w:val="none"/>
          <w:lang w:eastAsia="zh-CN"/>
        </w:rPr>
      </w:pPr>
      <w:r>
        <w:rPr>
          <w:rFonts w:hint="eastAsia" w:ascii="宋体" w:hAnsi="宋体" w:cs="宋体"/>
          <w:b/>
          <w:bCs/>
          <w:color w:val="auto"/>
          <w:sz w:val="32"/>
          <w:szCs w:val="32"/>
          <w:highlight w:val="none"/>
        </w:rPr>
        <w:t>附件</w:t>
      </w:r>
      <w:r>
        <w:rPr>
          <w:rFonts w:hint="eastAsia" w:ascii="宋体" w:hAnsi="宋体" w:cs="宋体"/>
          <w:b/>
          <w:bCs/>
          <w:color w:val="auto"/>
          <w:sz w:val="32"/>
          <w:szCs w:val="32"/>
          <w:highlight w:val="none"/>
          <w:lang w:val="en-US" w:eastAsia="zh-CN"/>
        </w:rPr>
        <w:t>六</w:t>
      </w:r>
    </w:p>
    <w:p w14:paraId="499060F8">
      <w:pPr>
        <w:tabs>
          <w:tab w:val="left" w:pos="1069"/>
          <w:tab w:val="left" w:pos="2352"/>
        </w:tabs>
        <w:jc w:val="center"/>
        <w:rPr>
          <w:rFonts w:ascii="宋体" w:hAnsi="宋体" w:cs="宋体"/>
          <w:color w:val="auto"/>
          <w:sz w:val="24"/>
          <w:highlight w:val="none"/>
        </w:rPr>
      </w:pPr>
      <w:bookmarkStart w:id="254" w:name="_Toc7010_WPSOffice_Level3"/>
      <w:r>
        <w:rPr>
          <w:rFonts w:hint="eastAsia" w:ascii="宋体" w:hAnsi="宋体" w:cs="宋体"/>
          <w:b/>
          <w:bCs/>
          <w:color w:val="auto"/>
          <w:sz w:val="32"/>
          <w:szCs w:val="32"/>
          <w:highlight w:val="none"/>
        </w:rPr>
        <w:t>法定代表人诚信投标承诺书</w:t>
      </w:r>
      <w:bookmarkEnd w:id="254"/>
    </w:p>
    <w:p w14:paraId="4B4E4A7A">
      <w:pPr>
        <w:tabs>
          <w:tab w:val="left" w:pos="1069"/>
          <w:tab w:val="left" w:pos="2352"/>
        </w:tabs>
        <w:spacing w:line="460" w:lineRule="atLeast"/>
        <w:jc w:val="left"/>
        <w:rPr>
          <w:rFonts w:ascii="宋体" w:hAnsi="宋体" w:cs="宋体"/>
          <w:color w:val="auto"/>
          <w:sz w:val="22"/>
          <w:highlight w:val="none"/>
        </w:rPr>
      </w:pPr>
      <w:r>
        <w:rPr>
          <w:rFonts w:hint="eastAsia" w:ascii="宋体" w:hAnsi="宋体" w:cs="宋体"/>
          <w:color w:val="auto"/>
          <w:sz w:val="22"/>
          <w:highlight w:val="none"/>
        </w:rPr>
        <w:t>本人以企业法定代表人的身份郑重承诺：</w:t>
      </w:r>
    </w:p>
    <w:p w14:paraId="18363839">
      <w:pPr>
        <w:tabs>
          <w:tab w:val="left" w:pos="1069"/>
          <w:tab w:val="left" w:pos="2352"/>
        </w:tabs>
        <w:spacing w:line="460" w:lineRule="atLeast"/>
        <w:ind w:firstLine="446" w:firstLineChars="200"/>
        <w:jc w:val="left"/>
        <w:rPr>
          <w:rFonts w:ascii="宋体" w:hAnsi="宋体" w:cs="宋体"/>
          <w:color w:val="auto"/>
          <w:sz w:val="22"/>
          <w:highlight w:val="none"/>
        </w:rPr>
      </w:pPr>
      <w:r>
        <w:rPr>
          <w:rFonts w:hint="eastAsia" w:ascii="宋体" w:hAnsi="宋体" w:cs="宋体"/>
          <w:color w:val="auto"/>
          <w:sz w:val="22"/>
          <w:highlight w:val="none"/>
        </w:rPr>
        <w:t>将遵循公开、公平、公正和诚信信用的原则参加</w:t>
      </w:r>
      <w:r>
        <w:rPr>
          <w:rFonts w:hint="eastAsia" w:ascii="宋体" w:hAnsi="宋体" w:cs="宋体"/>
          <w:color w:val="auto"/>
          <w:sz w:val="22"/>
          <w:highlight w:val="none"/>
          <w:u w:val="single"/>
          <w:lang w:eastAsia="zh-CN"/>
        </w:rPr>
        <w:t>2024年泰顺县罗阳镇上洪村堆谷洋农田宜机化改造项目</w:t>
      </w:r>
      <w:r>
        <w:rPr>
          <w:rFonts w:hint="eastAsia" w:ascii="宋体" w:hAnsi="宋体" w:cs="宋体"/>
          <w:color w:val="auto"/>
          <w:sz w:val="22"/>
          <w:highlight w:val="none"/>
          <w:u w:val="single"/>
        </w:rPr>
        <w:t>（采购编号：</w:t>
      </w:r>
      <w:r>
        <w:rPr>
          <w:rFonts w:hint="eastAsia" w:ascii="宋体" w:hAnsi="宋体" w:cs="宋体"/>
          <w:color w:val="auto"/>
          <w:sz w:val="22"/>
          <w:highlight w:val="none"/>
          <w:u w:val="single"/>
          <w:lang w:eastAsia="zh-CN"/>
        </w:rPr>
        <w:t>TSCG202502006</w:t>
      </w:r>
      <w:r>
        <w:rPr>
          <w:rFonts w:hint="eastAsia" w:ascii="宋体" w:hAnsi="宋体" w:cs="宋体"/>
          <w:color w:val="auto"/>
          <w:sz w:val="22"/>
          <w:highlight w:val="none"/>
          <w:u w:val="single"/>
        </w:rPr>
        <w:t>）</w:t>
      </w:r>
      <w:r>
        <w:rPr>
          <w:rFonts w:hint="eastAsia" w:ascii="宋体" w:hAnsi="宋体" w:cs="宋体"/>
          <w:color w:val="auto"/>
          <w:sz w:val="22"/>
          <w:highlight w:val="none"/>
        </w:rPr>
        <w:t>的投标；</w:t>
      </w:r>
    </w:p>
    <w:p w14:paraId="20C0F25D">
      <w:pPr>
        <w:tabs>
          <w:tab w:val="left" w:pos="1069"/>
          <w:tab w:val="left" w:pos="2352"/>
        </w:tabs>
        <w:spacing w:line="460" w:lineRule="atLeast"/>
        <w:ind w:firstLine="446" w:firstLineChars="200"/>
        <w:jc w:val="left"/>
        <w:rPr>
          <w:rFonts w:ascii="宋体" w:hAnsi="宋体" w:cs="宋体"/>
          <w:color w:val="auto"/>
          <w:sz w:val="22"/>
          <w:highlight w:val="none"/>
          <w:u w:val="single"/>
        </w:rPr>
      </w:pPr>
      <w:r>
        <w:rPr>
          <w:rFonts w:hint="eastAsia" w:ascii="宋体" w:hAnsi="宋体" w:cs="宋体"/>
          <w:color w:val="auto"/>
          <w:sz w:val="22"/>
          <w:highlight w:val="none"/>
        </w:rPr>
        <w:t>一、杜绝以收取管理费等形式的一切挂靠、违法转包、分包行为；并选派有丰富经验、无不良行为记录的在项目管理人员、技术人员，严格按竞争性磋商文件、投标（响应）文件及合同等要求保证拟派人员的到岗率。</w:t>
      </w:r>
    </w:p>
    <w:p w14:paraId="7C13F627">
      <w:pPr>
        <w:tabs>
          <w:tab w:val="left" w:pos="1069"/>
          <w:tab w:val="left" w:pos="2352"/>
        </w:tabs>
        <w:spacing w:line="460" w:lineRule="atLeast"/>
        <w:ind w:firstLine="446" w:firstLineChars="200"/>
        <w:jc w:val="left"/>
        <w:rPr>
          <w:rFonts w:ascii="宋体" w:hAnsi="宋体" w:cs="宋体"/>
          <w:color w:val="auto"/>
          <w:sz w:val="22"/>
          <w:highlight w:val="none"/>
        </w:rPr>
      </w:pPr>
      <w:r>
        <w:rPr>
          <w:rFonts w:hint="eastAsia" w:ascii="宋体" w:hAnsi="宋体" w:cs="宋体"/>
          <w:color w:val="auto"/>
          <w:sz w:val="22"/>
          <w:highlight w:val="none"/>
        </w:rPr>
        <w:t>二、投标（响应）文件所提供的一切材料都是真实、有效、合法的。</w:t>
      </w:r>
    </w:p>
    <w:p w14:paraId="3B847A36">
      <w:pPr>
        <w:tabs>
          <w:tab w:val="left" w:pos="1069"/>
          <w:tab w:val="left" w:pos="2352"/>
        </w:tabs>
        <w:spacing w:line="460" w:lineRule="atLeast"/>
        <w:ind w:firstLine="446" w:firstLineChars="200"/>
        <w:jc w:val="left"/>
        <w:rPr>
          <w:rFonts w:ascii="宋体" w:hAnsi="宋体" w:cs="宋体"/>
          <w:color w:val="auto"/>
          <w:sz w:val="22"/>
          <w:highlight w:val="none"/>
        </w:rPr>
      </w:pPr>
      <w:r>
        <w:rPr>
          <w:rFonts w:hint="eastAsia" w:ascii="宋体" w:hAnsi="宋体" w:cs="宋体"/>
          <w:color w:val="auto"/>
          <w:sz w:val="22"/>
          <w:highlight w:val="none"/>
        </w:rPr>
        <w:t>三、不与其他投标人相互串通投标报价，不排挤其他投标人的公平竞争，不损害招标人或其他投标人的合法权益。</w:t>
      </w:r>
    </w:p>
    <w:p w14:paraId="500B74BB">
      <w:pPr>
        <w:tabs>
          <w:tab w:val="left" w:pos="1069"/>
          <w:tab w:val="left" w:pos="2352"/>
        </w:tabs>
        <w:spacing w:line="460" w:lineRule="atLeast"/>
        <w:ind w:firstLine="446" w:firstLineChars="200"/>
        <w:jc w:val="left"/>
        <w:rPr>
          <w:rFonts w:ascii="宋体" w:hAnsi="宋体" w:cs="宋体"/>
          <w:color w:val="auto"/>
          <w:sz w:val="22"/>
          <w:highlight w:val="none"/>
        </w:rPr>
      </w:pPr>
      <w:r>
        <w:rPr>
          <w:rFonts w:hint="eastAsia" w:ascii="宋体" w:hAnsi="宋体" w:cs="宋体"/>
          <w:color w:val="auto"/>
          <w:sz w:val="22"/>
          <w:highlight w:val="none"/>
        </w:rPr>
        <w:t>四、不与采购人或招标代理机构串通投标，不损害国家利益，社会公共利益或其他人的合法权益。</w:t>
      </w:r>
    </w:p>
    <w:p w14:paraId="633DF484">
      <w:pPr>
        <w:tabs>
          <w:tab w:val="left" w:pos="1069"/>
          <w:tab w:val="left" w:pos="2352"/>
        </w:tabs>
        <w:spacing w:line="460" w:lineRule="atLeast"/>
        <w:ind w:firstLine="446" w:firstLineChars="200"/>
        <w:jc w:val="left"/>
        <w:rPr>
          <w:rFonts w:ascii="宋体" w:hAnsi="宋体" w:cs="宋体"/>
          <w:color w:val="auto"/>
          <w:sz w:val="22"/>
          <w:highlight w:val="none"/>
        </w:rPr>
      </w:pPr>
      <w:r>
        <w:rPr>
          <w:rFonts w:hint="eastAsia" w:ascii="宋体" w:hAnsi="宋体" w:cs="宋体"/>
          <w:color w:val="auto"/>
          <w:sz w:val="22"/>
          <w:highlight w:val="none"/>
        </w:rPr>
        <w:t>五、不向采购人或者评审小组成员行贿以牟取中标(成交)。</w:t>
      </w:r>
    </w:p>
    <w:p w14:paraId="7E1B5170">
      <w:pPr>
        <w:tabs>
          <w:tab w:val="left" w:pos="1069"/>
          <w:tab w:val="left" w:pos="2352"/>
        </w:tabs>
        <w:spacing w:line="460" w:lineRule="atLeast"/>
        <w:ind w:firstLine="446" w:firstLineChars="200"/>
        <w:jc w:val="left"/>
        <w:rPr>
          <w:rFonts w:ascii="宋体" w:hAnsi="宋体" w:cs="宋体"/>
          <w:color w:val="auto"/>
          <w:sz w:val="22"/>
          <w:highlight w:val="none"/>
        </w:rPr>
      </w:pPr>
      <w:r>
        <w:rPr>
          <w:rFonts w:hint="eastAsia" w:ascii="宋体" w:hAnsi="宋体" w:cs="宋体"/>
          <w:color w:val="auto"/>
          <w:sz w:val="22"/>
          <w:highlight w:val="none"/>
        </w:rPr>
        <w:t>六、不以其他人名义投标或者以其他方式弄虚作假，骗取中标(成交)。</w:t>
      </w:r>
    </w:p>
    <w:p w14:paraId="240E6F74">
      <w:pPr>
        <w:tabs>
          <w:tab w:val="left" w:pos="1069"/>
          <w:tab w:val="left" w:pos="2352"/>
        </w:tabs>
        <w:spacing w:line="460" w:lineRule="atLeast"/>
        <w:ind w:firstLine="446" w:firstLineChars="200"/>
        <w:jc w:val="left"/>
        <w:rPr>
          <w:rFonts w:ascii="宋体" w:hAnsi="宋体" w:cs="宋体"/>
          <w:color w:val="auto"/>
          <w:sz w:val="22"/>
          <w:highlight w:val="none"/>
        </w:rPr>
      </w:pPr>
      <w:r>
        <w:rPr>
          <w:rFonts w:hint="eastAsia" w:ascii="宋体" w:hAnsi="宋体" w:cs="宋体"/>
          <w:color w:val="auto"/>
          <w:sz w:val="22"/>
          <w:highlight w:val="none"/>
        </w:rPr>
        <w:t>七、不在开标后进行虚假恶意投诉。</w:t>
      </w:r>
    </w:p>
    <w:p w14:paraId="20029C2B">
      <w:pPr>
        <w:tabs>
          <w:tab w:val="left" w:pos="1069"/>
          <w:tab w:val="left" w:pos="2352"/>
        </w:tabs>
        <w:spacing w:line="460" w:lineRule="atLeast"/>
        <w:ind w:firstLine="446" w:firstLineChars="200"/>
        <w:jc w:val="left"/>
        <w:rPr>
          <w:rFonts w:ascii="宋体" w:hAnsi="宋体" w:cs="宋体"/>
          <w:color w:val="auto"/>
          <w:sz w:val="22"/>
          <w:highlight w:val="none"/>
        </w:rPr>
      </w:pPr>
      <w:r>
        <w:rPr>
          <w:rFonts w:hint="eastAsia" w:ascii="宋体" w:hAnsi="宋体" w:cs="宋体"/>
          <w:color w:val="auto"/>
          <w:sz w:val="22"/>
          <w:highlight w:val="none"/>
        </w:rPr>
        <w:t>八、我单位没有被政府机关列入失信被执行人名单、重大税收违法案件当事人名单、政府采购严重违法失信行为记录名单及其他不符合《中华人民共和国政府采购法》第二十二条规定条件的情形：</w:t>
      </w:r>
    </w:p>
    <w:p w14:paraId="361733E8">
      <w:pPr>
        <w:tabs>
          <w:tab w:val="left" w:pos="1069"/>
          <w:tab w:val="left" w:pos="2352"/>
        </w:tabs>
        <w:spacing w:line="460" w:lineRule="atLeast"/>
        <w:ind w:firstLine="446" w:firstLineChars="200"/>
        <w:jc w:val="left"/>
        <w:rPr>
          <w:rFonts w:ascii="宋体" w:hAnsi="宋体" w:cs="宋体"/>
          <w:color w:val="auto"/>
          <w:sz w:val="22"/>
          <w:highlight w:val="none"/>
        </w:rPr>
      </w:pPr>
      <w:r>
        <w:rPr>
          <w:rFonts w:hint="eastAsia" w:ascii="宋体" w:hAnsi="宋体" w:cs="宋体"/>
          <w:color w:val="auto"/>
          <w:sz w:val="22"/>
          <w:highlight w:val="none"/>
        </w:rPr>
        <w:t>九、没有被各地、各级财政部门禁止参加政府采购活动，且在限制期限内：</w:t>
      </w:r>
    </w:p>
    <w:p w14:paraId="01041800">
      <w:pPr>
        <w:tabs>
          <w:tab w:val="left" w:pos="1069"/>
          <w:tab w:val="left" w:pos="2352"/>
        </w:tabs>
        <w:spacing w:line="460" w:lineRule="atLeast"/>
        <w:ind w:firstLine="446" w:firstLineChars="200"/>
        <w:jc w:val="left"/>
        <w:rPr>
          <w:rFonts w:ascii="宋体" w:hAnsi="宋体" w:cs="宋体"/>
          <w:color w:val="auto"/>
          <w:sz w:val="22"/>
          <w:highlight w:val="none"/>
        </w:rPr>
      </w:pPr>
      <w:r>
        <w:rPr>
          <w:rFonts w:hint="eastAsia" w:ascii="宋体" w:hAnsi="宋体" w:cs="宋体"/>
          <w:color w:val="auto"/>
          <w:sz w:val="22"/>
          <w:highlight w:val="none"/>
        </w:rPr>
        <w:t>十、参与本项目政府采购活动3年内没有重大违法记录情况。</w:t>
      </w:r>
    </w:p>
    <w:p w14:paraId="3859CDA8">
      <w:pPr>
        <w:tabs>
          <w:tab w:val="left" w:pos="1069"/>
          <w:tab w:val="left" w:pos="2352"/>
        </w:tabs>
        <w:spacing w:line="460" w:lineRule="atLeast"/>
        <w:ind w:firstLine="446" w:firstLineChars="200"/>
        <w:rPr>
          <w:rFonts w:ascii="宋体" w:hAnsi="宋体" w:cs="宋体"/>
          <w:color w:val="auto"/>
          <w:sz w:val="22"/>
          <w:highlight w:val="none"/>
        </w:rPr>
      </w:pPr>
      <w:r>
        <w:rPr>
          <w:rFonts w:hint="eastAsia" w:ascii="宋体" w:hAnsi="宋体" w:cs="宋体"/>
          <w:color w:val="auto"/>
          <w:sz w:val="22"/>
          <w:highlight w:val="none"/>
        </w:rPr>
        <w:t>本公司若有违反本承诺内容的行为，愿意承担法律责任，包括不限于：愿意接受相关行政主管部门作出的处罚；给采购人造成损失的，依法承担相应的赔偿责任。</w:t>
      </w:r>
    </w:p>
    <w:p w14:paraId="7F9E7264">
      <w:pPr>
        <w:tabs>
          <w:tab w:val="left" w:pos="1069"/>
          <w:tab w:val="left" w:pos="2352"/>
        </w:tabs>
        <w:spacing w:line="460" w:lineRule="atLeast"/>
        <w:ind w:right="1120" w:firstLine="3010" w:firstLineChars="1350"/>
        <w:rPr>
          <w:rFonts w:ascii="宋体" w:hAnsi="宋体" w:cs="宋体"/>
          <w:color w:val="auto"/>
          <w:sz w:val="22"/>
          <w:highlight w:val="none"/>
        </w:rPr>
      </w:pPr>
      <w:r>
        <w:rPr>
          <w:rFonts w:hint="eastAsia" w:ascii="宋体" w:hAnsi="宋体" w:cs="宋体"/>
          <w:b/>
          <w:bCs/>
          <w:color w:val="auto"/>
          <w:sz w:val="22"/>
          <w:highlight w:val="none"/>
        </w:rPr>
        <w:t>法定代表人（签字或签章）</w:t>
      </w:r>
      <w:r>
        <w:rPr>
          <w:rFonts w:hint="eastAsia" w:ascii="宋体" w:hAnsi="宋体" w:cs="宋体"/>
          <w:color w:val="auto"/>
          <w:sz w:val="22"/>
          <w:highlight w:val="none"/>
        </w:rPr>
        <w:t>：</w:t>
      </w:r>
    </w:p>
    <w:p w14:paraId="0D46A813">
      <w:pPr>
        <w:tabs>
          <w:tab w:val="left" w:pos="1069"/>
          <w:tab w:val="left" w:pos="2352"/>
        </w:tabs>
        <w:spacing w:line="460" w:lineRule="atLeast"/>
        <w:ind w:right="1120" w:firstLine="3010" w:firstLineChars="1350"/>
        <w:rPr>
          <w:rFonts w:ascii="宋体" w:hAnsi="宋体" w:cs="宋体"/>
          <w:color w:val="auto"/>
          <w:sz w:val="22"/>
          <w:highlight w:val="none"/>
        </w:rPr>
      </w:pPr>
      <w:r>
        <w:rPr>
          <w:rFonts w:hint="eastAsia" w:ascii="宋体" w:hAnsi="宋体" w:cs="宋体"/>
          <w:color w:val="auto"/>
          <w:sz w:val="22"/>
          <w:highlight w:val="none"/>
        </w:rPr>
        <w:t>投标供应商（盖章）</w:t>
      </w:r>
    </w:p>
    <w:p w14:paraId="1DA9B3E7">
      <w:pPr>
        <w:tabs>
          <w:tab w:val="left" w:pos="1069"/>
          <w:tab w:val="left" w:pos="2352"/>
        </w:tabs>
        <w:spacing w:line="460" w:lineRule="atLeast"/>
        <w:ind w:right="1120" w:firstLine="3010" w:firstLineChars="1350"/>
        <w:rPr>
          <w:rFonts w:ascii="宋体" w:hAnsi="宋体" w:cs="宋体"/>
          <w:color w:val="auto"/>
          <w:szCs w:val="21"/>
          <w:highlight w:val="none"/>
        </w:rPr>
      </w:pPr>
      <w:r>
        <w:rPr>
          <w:rFonts w:hint="eastAsia" w:ascii="宋体" w:hAnsi="宋体" w:cs="宋体"/>
          <w:color w:val="auto"/>
          <w:sz w:val="22"/>
          <w:highlight w:val="none"/>
        </w:rPr>
        <w:t>承诺书签署日期：年月日</w:t>
      </w:r>
    </w:p>
    <w:p w14:paraId="54E99A8B">
      <w:pPr>
        <w:tabs>
          <w:tab w:val="left" w:pos="1069"/>
          <w:tab w:val="left" w:pos="2352"/>
        </w:tabs>
        <w:spacing w:line="360" w:lineRule="exact"/>
        <w:jc w:val="left"/>
        <w:rPr>
          <w:rFonts w:ascii="宋体" w:hAnsi="宋体" w:cs="宋体"/>
          <w:bCs/>
          <w:color w:val="auto"/>
          <w:sz w:val="22"/>
          <w:highlight w:val="none"/>
          <w:u w:val="single"/>
        </w:rPr>
      </w:pPr>
    </w:p>
    <w:p w14:paraId="193631F8">
      <w:pPr>
        <w:tabs>
          <w:tab w:val="left" w:pos="1069"/>
          <w:tab w:val="left" w:pos="2352"/>
        </w:tabs>
        <w:spacing w:line="360" w:lineRule="exact"/>
        <w:jc w:val="left"/>
        <w:rPr>
          <w:rFonts w:ascii="宋体" w:hAnsi="宋体" w:cs="宋体"/>
          <w:color w:val="auto"/>
          <w:sz w:val="30"/>
          <w:highlight w:val="none"/>
        </w:rPr>
      </w:pPr>
      <w:r>
        <w:rPr>
          <w:rFonts w:hint="eastAsia" w:ascii="宋体" w:hAnsi="宋体" w:cs="宋体"/>
          <w:bCs/>
          <w:color w:val="auto"/>
          <w:sz w:val="22"/>
          <w:highlight w:val="none"/>
          <w:u w:val="single"/>
        </w:rPr>
        <w:t>备注：▲投标供应商必须提供本承诺书，不提供按无效投标处理。</w:t>
      </w:r>
    </w:p>
    <w:p w14:paraId="27D4D4C9">
      <w:pPr>
        <w:pStyle w:val="12"/>
        <w:tabs>
          <w:tab w:val="left" w:pos="1069"/>
          <w:tab w:val="left" w:pos="2352"/>
        </w:tabs>
        <w:spacing w:line="360" w:lineRule="exact"/>
        <w:jc w:val="center"/>
        <w:rPr>
          <w:rFonts w:hAnsi="宋体" w:cs="宋体"/>
          <w:color w:val="auto"/>
          <w:sz w:val="32"/>
          <w:highlight w:val="none"/>
        </w:rPr>
      </w:pPr>
    </w:p>
    <w:p w14:paraId="3EDA1DEE">
      <w:pPr>
        <w:tabs>
          <w:tab w:val="left" w:pos="1069"/>
          <w:tab w:val="left" w:pos="2352"/>
        </w:tabs>
        <w:spacing w:line="360" w:lineRule="exact"/>
        <w:jc w:val="left"/>
        <w:rPr>
          <w:rFonts w:ascii="宋体" w:hAnsi="宋体" w:cs="宋体"/>
          <w:color w:val="auto"/>
          <w:sz w:val="30"/>
          <w:highlight w:val="none"/>
        </w:rPr>
      </w:pPr>
    </w:p>
    <w:p w14:paraId="17F58820">
      <w:pPr>
        <w:tabs>
          <w:tab w:val="left" w:pos="2352"/>
        </w:tabs>
        <w:rPr>
          <w:color w:val="auto"/>
          <w:highlight w:val="none"/>
          <w:lang w:val="zh-CN"/>
        </w:rPr>
      </w:pPr>
    </w:p>
    <w:p w14:paraId="7C525180">
      <w:pPr>
        <w:pStyle w:val="12"/>
        <w:tabs>
          <w:tab w:val="left" w:pos="1069"/>
          <w:tab w:val="left" w:pos="2352"/>
        </w:tabs>
        <w:spacing w:line="360" w:lineRule="exact"/>
        <w:jc w:val="left"/>
        <w:rPr>
          <w:rFonts w:hint="eastAsia" w:hAnsi="宋体" w:eastAsia="宋体" w:cs="宋体"/>
          <w:b/>
          <w:bCs/>
          <w:color w:val="auto"/>
          <w:sz w:val="32"/>
          <w:highlight w:val="none"/>
          <w:lang w:eastAsia="zh-CN"/>
        </w:rPr>
      </w:pPr>
      <w:r>
        <w:rPr>
          <w:rFonts w:hint="eastAsia" w:hAnsi="宋体" w:cs="宋体"/>
          <w:b/>
          <w:bCs/>
          <w:color w:val="auto"/>
          <w:sz w:val="32"/>
          <w:highlight w:val="none"/>
          <w:lang w:val="zh-CN"/>
        </w:rPr>
        <w:t>附件</w:t>
      </w:r>
      <w:r>
        <w:rPr>
          <w:rFonts w:hint="eastAsia" w:hAnsi="宋体" w:cs="宋体"/>
          <w:b/>
          <w:bCs/>
          <w:color w:val="auto"/>
          <w:sz w:val="32"/>
          <w:highlight w:val="none"/>
          <w:lang w:val="en-US" w:eastAsia="zh-CN"/>
        </w:rPr>
        <w:t>七</w:t>
      </w:r>
    </w:p>
    <w:p w14:paraId="2E703B76">
      <w:pPr>
        <w:pStyle w:val="12"/>
        <w:tabs>
          <w:tab w:val="left" w:pos="1069"/>
          <w:tab w:val="left" w:pos="2352"/>
        </w:tabs>
        <w:spacing w:line="360" w:lineRule="exact"/>
        <w:jc w:val="center"/>
        <w:rPr>
          <w:rFonts w:hAnsi="宋体" w:cs="宋体"/>
          <w:b/>
          <w:bCs/>
          <w:color w:val="auto"/>
          <w:sz w:val="32"/>
          <w:highlight w:val="none"/>
          <w:lang w:val="zh-CN"/>
        </w:rPr>
      </w:pPr>
      <w:bookmarkStart w:id="255" w:name="_Toc18541_WPSOffice_Level3"/>
      <w:r>
        <w:rPr>
          <w:rFonts w:hint="eastAsia" w:hAnsi="宋体" w:cs="宋体"/>
          <w:b/>
          <w:bCs/>
          <w:color w:val="auto"/>
          <w:sz w:val="32"/>
          <w:highlight w:val="none"/>
          <w:lang w:val="zh-CN"/>
        </w:rPr>
        <w:t>（一）商务偏离表</w:t>
      </w:r>
      <w:bookmarkEnd w:id="255"/>
    </w:p>
    <w:p w14:paraId="19C72FB1">
      <w:pPr>
        <w:tabs>
          <w:tab w:val="left" w:pos="1069"/>
          <w:tab w:val="left" w:pos="2352"/>
        </w:tabs>
        <w:autoSpaceDE w:val="0"/>
        <w:autoSpaceDN w:val="0"/>
        <w:adjustRightInd w:val="0"/>
        <w:spacing w:line="360" w:lineRule="exact"/>
        <w:jc w:val="center"/>
        <w:rPr>
          <w:rFonts w:ascii="宋体" w:hAnsi="宋体" w:cs="宋体"/>
          <w:color w:val="auto"/>
          <w:sz w:val="32"/>
          <w:highlight w:val="none"/>
          <w:lang w:val="zh-CN"/>
        </w:rPr>
      </w:pPr>
    </w:p>
    <w:tbl>
      <w:tblPr>
        <w:tblStyle w:val="31"/>
        <w:tblW w:w="0" w:type="auto"/>
        <w:tblInd w:w="108" w:type="dxa"/>
        <w:tblLayout w:type="fixed"/>
        <w:tblCellMar>
          <w:top w:w="0" w:type="dxa"/>
          <w:left w:w="108" w:type="dxa"/>
          <w:bottom w:w="0" w:type="dxa"/>
          <w:right w:w="108" w:type="dxa"/>
        </w:tblCellMar>
      </w:tblPr>
      <w:tblGrid>
        <w:gridCol w:w="1080"/>
        <w:gridCol w:w="1620"/>
        <w:gridCol w:w="2220"/>
        <w:gridCol w:w="2220"/>
        <w:gridCol w:w="2295"/>
      </w:tblGrid>
      <w:tr w14:paraId="48A27940">
        <w:tblPrEx>
          <w:tblCellMar>
            <w:top w:w="0" w:type="dxa"/>
            <w:left w:w="108" w:type="dxa"/>
            <w:bottom w:w="0" w:type="dxa"/>
            <w:right w:w="108" w:type="dxa"/>
          </w:tblCellMar>
        </w:tblPrEx>
        <w:trPr>
          <w:trHeight w:val="936" w:hRule="atLeast"/>
        </w:trPr>
        <w:tc>
          <w:tcPr>
            <w:tcW w:w="1080" w:type="dxa"/>
            <w:tcBorders>
              <w:top w:val="single" w:color="auto" w:sz="6" w:space="0"/>
              <w:left w:val="single" w:color="auto" w:sz="6" w:space="0"/>
              <w:bottom w:val="single" w:color="auto" w:sz="6" w:space="0"/>
              <w:right w:val="single" w:color="auto" w:sz="6" w:space="0"/>
            </w:tcBorders>
            <w:vAlign w:val="center"/>
          </w:tcPr>
          <w:p w14:paraId="082AC287">
            <w:pPr>
              <w:tabs>
                <w:tab w:val="left" w:pos="1069"/>
                <w:tab w:val="left" w:pos="2352"/>
              </w:tabs>
              <w:autoSpaceDE w:val="0"/>
              <w:autoSpaceDN w:val="0"/>
              <w:adjustRightInd w:val="0"/>
              <w:spacing w:line="360" w:lineRule="exact"/>
              <w:rPr>
                <w:rFonts w:ascii="宋体" w:hAnsi="宋体" w:cs="宋体"/>
                <w:color w:val="auto"/>
                <w:sz w:val="24"/>
                <w:highlight w:val="none"/>
              </w:rPr>
            </w:pPr>
            <w:r>
              <w:rPr>
                <w:rFonts w:hint="eastAsia" w:ascii="宋体" w:hAnsi="宋体" w:cs="宋体"/>
                <w:color w:val="auto"/>
                <w:sz w:val="24"/>
                <w:highlight w:val="none"/>
              </w:rPr>
              <w:t>序号</w:t>
            </w:r>
          </w:p>
        </w:tc>
        <w:tc>
          <w:tcPr>
            <w:tcW w:w="1620" w:type="dxa"/>
            <w:tcBorders>
              <w:top w:val="single" w:color="auto" w:sz="6" w:space="0"/>
              <w:left w:val="single" w:color="auto" w:sz="6" w:space="0"/>
              <w:bottom w:val="single" w:color="auto" w:sz="6" w:space="0"/>
              <w:right w:val="single" w:color="auto" w:sz="6" w:space="0"/>
            </w:tcBorders>
            <w:vAlign w:val="center"/>
          </w:tcPr>
          <w:p w14:paraId="3CA1646A">
            <w:pPr>
              <w:tabs>
                <w:tab w:val="left" w:pos="1069"/>
                <w:tab w:val="left" w:pos="2352"/>
              </w:tabs>
              <w:autoSpaceDE w:val="0"/>
              <w:autoSpaceDN w:val="0"/>
              <w:adjustRightInd w:val="0"/>
              <w:spacing w:line="360" w:lineRule="exact"/>
              <w:jc w:val="center"/>
              <w:rPr>
                <w:rFonts w:ascii="宋体" w:hAnsi="宋体" w:cs="宋体"/>
                <w:color w:val="auto"/>
                <w:sz w:val="24"/>
                <w:highlight w:val="none"/>
                <w:lang w:val="zh-CN"/>
              </w:rPr>
            </w:pPr>
            <w:r>
              <w:rPr>
                <w:rFonts w:hint="eastAsia" w:ascii="宋体" w:hAnsi="宋体" w:cs="宋体"/>
                <w:color w:val="auto"/>
                <w:sz w:val="24"/>
                <w:highlight w:val="none"/>
                <w:lang w:val="zh-CN"/>
              </w:rPr>
              <w:t>内容</w:t>
            </w:r>
          </w:p>
        </w:tc>
        <w:tc>
          <w:tcPr>
            <w:tcW w:w="2220" w:type="dxa"/>
            <w:tcBorders>
              <w:top w:val="single" w:color="auto" w:sz="6" w:space="0"/>
              <w:left w:val="single" w:color="auto" w:sz="6" w:space="0"/>
              <w:bottom w:val="single" w:color="auto" w:sz="6" w:space="0"/>
              <w:right w:val="single" w:color="auto" w:sz="6" w:space="0"/>
            </w:tcBorders>
            <w:vAlign w:val="center"/>
          </w:tcPr>
          <w:p w14:paraId="318E8472">
            <w:pPr>
              <w:tabs>
                <w:tab w:val="left" w:pos="1069"/>
                <w:tab w:val="left" w:pos="2352"/>
              </w:tabs>
              <w:autoSpaceDE w:val="0"/>
              <w:autoSpaceDN w:val="0"/>
              <w:adjustRightInd w:val="0"/>
              <w:spacing w:line="360" w:lineRule="exact"/>
              <w:jc w:val="center"/>
              <w:rPr>
                <w:rFonts w:ascii="宋体" w:hAnsi="宋体" w:cs="宋体"/>
                <w:color w:val="auto"/>
                <w:sz w:val="24"/>
                <w:highlight w:val="none"/>
                <w:lang w:val="zh-CN"/>
              </w:rPr>
            </w:pPr>
            <w:r>
              <w:rPr>
                <w:rFonts w:hint="eastAsia" w:ascii="宋体" w:hAnsi="宋体" w:cs="宋体"/>
                <w:color w:val="auto"/>
                <w:sz w:val="24"/>
                <w:highlight w:val="none"/>
                <w:lang w:val="zh-CN"/>
              </w:rPr>
              <w:t>竞争性磋商文件规范要求</w:t>
            </w:r>
          </w:p>
        </w:tc>
        <w:tc>
          <w:tcPr>
            <w:tcW w:w="2220" w:type="dxa"/>
            <w:tcBorders>
              <w:top w:val="single" w:color="auto" w:sz="6" w:space="0"/>
              <w:left w:val="single" w:color="auto" w:sz="6" w:space="0"/>
              <w:bottom w:val="single" w:color="auto" w:sz="6" w:space="0"/>
              <w:right w:val="single" w:color="auto" w:sz="6" w:space="0"/>
            </w:tcBorders>
            <w:vAlign w:val="center"/>
          </w:tcPr>
          <w:p w14:paraId="542141B0">
            <w:pPr>
              <w:tabs>
                <w:tab w:val="left" w:pos="1069"/>
                <w:tab w:val="left" w:pos="2352"/>
              </w:tabs>
              <w:autoSpaceDE w:val="0"/>
              <w:autoSpaceDN w:val="0"/>
              <w:adjustRightInd w:val="0"/>
              <w:spacing w:line="360" w:lineRule="exact"/>
              <w:jc w:val="center"/>
              <w:rPr>
                <w:rFonts w:ascii="宋体" w:hAnsi="宋体" w:cs="宋体"/>
                <w:color w:val="auto"/>
                <w:sz w:val="24"/>
                <w:highlight w:val="none"/>
                <w:lang w:val="zh-CN"/>
              </w:rPr>
            </w:pPr>
            <w:r>
              <w:rPr>
                <w:rFonts w:hint="eastAsia" w:ascii="宋体" w:hAnsi="宋体" w:cs="宋体"/>
                <w:color w:val="auto"/>
                <w:sz w:val="24"/>
                <w:highlight w:val="none"/>
                <w:lang w:val="zh-CN"/>
              </w:rPr>
              <w:t>投标（响应）文件</w:t>
            </w:r>
          </w:p>
          <w:p w14:paraId="0B92BBD4">
            <w:pPr>
              <w:tabs>
                <w:tab w:val="left" w:pos="1069"/>
                <w:tab w:val="left" w:pos="2352"/>
              </w:tabs>
              <w:autoSpaceDE w:val="0"/>
              <w:autoSpaceDN w:val="0"/>
              <w:adjustRightInd w:val="0"/>
              <w:spacing w:line="360" w:lineRule="exact"/>
              <w:jc w:val="center"/>
              <w:rPr>
                <w:rFonts w:ascii="宋体" w:hAnsi="宋体" w:cs="宋体"/>
                <w:color w:val="auto"/>
                <w:sz w:val="24"/>
                <w:highlight w:val="none"/>
                <w:lang w:val="zh-CN"/>
              </w:rPr>
            </w:pPr>
            <w:r>
              <w:rPr>
                <w:rFonts w:hint="eastAsia" w:ascii="宋体" w:hAnsi="宋体" w:cs="宋体"/>
                <w:color w:val="auto"/>
                <w:sz w:val="24"/>
                <w:highlight w:val="none"/>
                <w:lang w:val="zh-CN"/>
              </w:rPr>
              <w:t>对应规范</w:t>
            </w:r>
          </w:p>
        </w:tc>
        <w:tc>
          <w:tcPr>
            <w:tcW w:w="2295" w:type="dxa"/>
            <w:tcBorders>
              <w:top w:val="single" w:color="auto" w:sz="6" w:space="0"/>
              <w:left w:val="single" w:color="auto" w:sz="6" w:space="0"/>
              <w:bottom w:val="single" w:color="auto" w:sz="6" w:space="0"/>
              <w:right w:val="single" w:color="auto" w:sz="6" w:space="0"/>
            </w:tcBorders>
            <w:vAlign w:val="center"/>
          </w:tcPr>
          <w:p w14:paraId="5660C0EC">
            <w:pPr>
              <w:tabs>
                <w:tab w:val="left" w:pos="1069"/>
                <w:tab w:val="left" w:pos="2352"/>
              </w:tabs>
              <w:autoSpaceDE w:val="0"/>
              <w:autoSpaceDN w:val="0"/>
              <w:adjustRightInd w:val="0"/>
              <w:spacing w:line="360" w:lineRule="exact"/>
              <w:jc w:val="center"/>
              <w:rPr>
                <w:rFonts w:ascii="宋体" w:hAnsi="宋体" w:cs="宋体"/>
                <w:color w:val="auto"/>
                <w:sz w:val="24"/>
                <w:highlight w:val="none"/>
                <w:lang w:val="zh-CN"/>
              </w:rPr>
            </w:pPr>
            <w:r>
              <w:rPr>
                <w:rFonts w:hint="eastAsia" w:ascii="宋体" w:hAnsi="宋体" w:cs="宋体"/>
                <w:color w:val="auto"/>
                <w:sz w:val="24"/>
                <w:highlight w:val="none"/>
                <w:lang w:val="zh-CN"/>
              </w:rPr>
              <w:t>备注</w:t>
            </w:r>
          </w:p>
        </w:tc>
      </w:tr>
      <w:tr w14:paraId="76A96ED8">
        <w:tblPrEx>
          <w:tblCellMar>
            <w:top w:w="0" w:type="dxa"/>
            <w:left w:w="108" w:type="dxa"/>
            <w:bottom w:w="0" w:type="dxa"/>
            <w:right w:w="108" w:type="dxa"/>
          </w:tblCellMar>
        </w:tblPrEx>
        <w:trPr>
          <w:trHeight w:val="424" w:hRule="atLeast"/>
        </w:trPr>
        <w:tc>
          <w:tcPr>
            <w:tcW w:w="1080" w:type="dxa"/>
            <w:tcBorders>
              <w:top w:val="single" w:color="auto" w:sz="6" w:space="0"/>
              <w:left w:val="single" w:color="auto" w:sz="6" w:space="0"/>
              <w:bottom w:val="single" w:color="auto" w:sz="6" w:space="0"/>
              <w:right w:val="single" w:color="auto" w:sz="6" w:space="0"/>
            </w:tcBorders>
          </w:tcPr>
          <w:p w14:paraId="1E887A19">
            <w:pPr>
              <w:tabs>
                <w:tab w:val="left" w:pos="1069"/>
                <w:tab w:val="left" w:pos="2352"/>
              </w:tabs>
              <w:autoSpaceDE w:val="0"/>
              <w:autoSpaceDN w:val="0"/>
              <w:adjustRightInd w:val="0"/>
              <w:spacing w:line="360" w:lineRule="exact"/>
              <w:jc w:val="center"/>
              <w:rPr>
                <w:rFonts w:ascii="宋体" w:hAnsi="宋体" w:cs="宋体"/>
                <w:color w:val="auto"/>
                <w:sz w:val="24"/>
                <w:highlight w:val="none"/>
                <w:lang w:val="zh-CN"/>
              </w:rPr>
            </w:pPr>
          </w:p>
        </w:tc>
        <w:tc>
          <w:tcPr>
            <w:tcW w:w="1620" w:type="dxa"/>
            <w:tcBorders>
              <w:top w:val="single" w:color="auto" w:sz="6" w:space="0"/>
              <w:left w:val="single" w:color="auto" w:sz="6" w:space="0"/>
              <w:bottom w:val="single" w:color="auto" w:sz="6" w:space="0"/>
              <w:right w:val="single" w:color="auto" w:sz="6" w:space="0"/>
            </w:tcBorders>
          </w:tcPr>
          <w:p w14:paraId="538D5D89">
            <w:pPr>
              <w:tabs>
                <w:tab w:val="left" w:pos="1069"/>
                <w:tab w:val="left" w:pos="2352"/>
              </w:tabs>
              <w:autoSpaceDE w:val="0"/>
              <w:autoSpaceDN w:val="0"/>
              <w:adjustRightInd w:val="0"/>
              <w:spacing w:line="360" w:lineRule="exact"/>
              <w:jc w:val="center"/>
              <w:rPr>
                <w:rFonts w:ascii="宋体" w:hAnsi="宋体" w:cs="宋体"/>
                <w:color w:val="auto"/>
                <w:sz w:val="24"/>
                <w:highlight w:val="none"/>
                <w:lang w:val="zh-CN"/>
              </w:rPr>
            </w:pPr>
          </w:p>
        </w:tc>
        <w:tc>
          <w:tcPr>
            <w:tcW w:w="2220" w:type="dxa"/>
            <w:tcBorders>
              <w:top w:val="single" w:color="auto" w:sz="6" w:space="0"/>
              <w:left w:val="single" w:color="auto" w:sz="6" w:space="0"/>
              <w:bottom w:val="single" w:color="auto" w:sz="6" w:space="0"/>
              <w:right w:val="single" w:color="auto" w:sz="6" w:space="0"/>
            </w:tcBorders>
          </w:tcPr>
          <w:p w14:paraId="4B2DDBFD">
            <w:pPr>
              <w:tabs>
                <w:tab w:val="left" w:pos="1069"/>
                <w:tab w:val="left" w:pos="2352"/>
              </w:tabs>
              <w:autoSpaceDE w:val="0"/>
              <w:autoSpaceDN w:val="0"/>
              <w:adjustRightInd w:val="0"/>
              <w:spacing w:line="360" w:lineRule="exact"/>
              <w:jc w:val="center"/>
              <w:rPr>
                <w:rFonts w:ascii="宋体" w:hAnsi="宋体" w:cs="宋体"/>
                <w:color w:val="auto"/>
                <w:sz w:val="24"/>
                <w:highlight w:val="none"/>
                <w:lang w:val="zh-CN"/>
              </w:rPr>
            </w:pPr>
          </w:p>
        </w:tc>
        <w:tc>
          <w:tcPr>
            <w:tcW w:w="2220" w:type="dxa"/>
            <w:tcBorders>
              <w:top w:val="single" w:color="auto" w:sz="6" w:space="0"/>
              <w:left w:val="single" w:color="auto" w:sz="6" w:space="0"/>
              <w:bottom w:val="single" w:color="auto" w:sz="6" w:space="0"/>
              <w:right w:val="single" w:color="auto" w:sz="6" w:space="0"/>
            </w:tcBorders>
          </w:tcPr>
          <w:p w14:paraId="335C36E0">
            <w:pPr>
              <w:tabs>
                <w:tab w:val="left" w:pos="1069"/>
                <w:tab w:val="left" w:pos="2352"/>
              </w:tabs>
              <w:autoSpaceDE w:val="0"/>
              <w:autoSpaceDN w:val="0"/>
              <w:adjustRightInd w:val="0"/>
              <w:spacing w:line="360" w:lineRule="exact"/>
              <w:jc w:val="center"/>
              <w:rPr>
                <w:rFonts w:ascii="宋体" w:hAnsi="宋体" w:cs="宋体"/>
                <w:color w:val="auto"/>
                <w:sz w:val="24"/>
                <w:highlight w:val="none"/>
                <w:lang w:val="zh-CN"/>
              </w:rPr>
            </w:pPr>
          </w:p>
        </w:tc>
        <w:tc>
          <w:tcPr>
            <w:tcW w:w="2295" w:type="dxa"/>
            <w:tcBorders>
              <w:top w:val="single" w:color="auto" w:sz="6" w:space="0"/>
              <w:left w:val="single" w:color="auto" w:sz="6" w:space="0"/>
              <w:bottom w:val="single" w:color="auto" w:sz="6" w:space="0"/>
              <w:right w:val="single" w:color="auto" w:sz="6" w:space="0"/>
            </w:tcBorders>
          </w:tcPr>
          <w:p w14:paraId="615465C4">
            <w:pPr>
              <w:tabs>
                <w:tab w:val="left" w:pos="1069"/>
                <w:tab w:val="left" w:pos="2352"/>
              </w:tabs>
              <w:autoSpaceDE w:val="0"/>
              <w:autoSpaceDN w:val="0"/>
              <w:adjustRightInd w:val="0"/>
              <w:spacing w:line="360" w:lineRule="exact"/>
              <w:jc w:val="center"/>
              <w:rPr>
                <w:rFonts w:ascii="宋体" w:hAnsi="宋体" w:cs="宋体"/>
                <w:color w:val="auto"/>
                <w:sz w:val="24"/>
                <w:highlight w:val="none"/>
                <w:lang w:val="zh-CN"/>
              </w:rPr>
            </w:pPr>
          </w:p>
        </w:tc>
      </w:tr>
      <w:tr w14:paraId="010383D4">
        <w:tblPrEx>
          <w:tblCellMar>
            <w:top w:w="0" w:type="dxa"/>
            <w:left w:w="108" w:type="dxa"/>
            <w:bottom w:w="0" w:type="dxa"/>
            <w:right w:w="108" w:type="dxa"/>
          </w:tblCellMar>
        </w:tblPrEx>
        <w:trPr>
          <w:trHeight w:val="424" w:hRule="atLeast"/>
        </w:trPr>
        <w:tc>
          <w:tcPr>
            <w:tcW w:w="1080" w:type="dxa"/>
            <w:tcBorders>
              <w:top w:val="single" w:color="auto" w:sz="6" w:space="0"/>
              <w:left w:val="single" w:color="auto" w:sz="6" w:space="0"/>
              <w:bottom w:val="single" w:color="auto" w:sz="6" w:space="0"/>
              <w:right w:val="single" w:color="auto" w:sz="6" w:space="0"/>
            </w:tcBorders>
          </w:tcPr>
          <w:p w14:paraId="3D039F4B">
            <w:pPr>
              <w:tabs>
                <w:tab w:val="left" w:pos="1069"/>
                <w:tab w:val="left" w:pos="2352"/>
              </w:tabs>
              <w:autoSpaceDE w:val="0"/>
              <w:autoSpaceDN w:val="0"/>
              <w:adjustRightInd w:val="0"/>
              <w:spacing w:line="360" w:lineRule="exact"/>
              <w:jc w:val="center"/>
              <w:rPr>
                <w:rFonts w:ascii="宋体" w:hAnsi="宋体" w:cs="宋体"/>
                <w:color w:val="auto"/>
                <w:sz w:val="24"/>
                <w:highlight w:val="none"/>
                <w:lang w:val="zh-CN"/>
              </w:rPr>
            </w:pPr>
          </w:p>
        </w:tc>
        <w:tc>
          <w:tcPr>
            <w:tcW w:w="1620" w:type="dxa"/>
            <w:tcBorders>
              <w:top w:val="single" w:color="auto" w:sz="6" w:space="0"/>
              <w:left w:val="single" w:color="auto" w:sz="6" w:space="0"/>
              <w:bottom w:val="single" w:color="auto" w:sz="6" w:space="0"/>
              <w:right w:val="single" w:color="auto" w:sz="6" w:space="0"/>
            </w:tcBorders>
          </w:tcPr>
          <w:p w14:paraId="74DB9F0E">
            <w:pPr>
              <w:tabs>
                <w:tab w:val="left" w:pos="1069"/>
                <w:tab w:val="left" w:pos="2352"/>
              </w:tabs>
              <w:autoSpaceDE w:val="0"/>
              <w:autoSpaceDN w:val="0"/>
              <w:adjustRightInd w:val="0"/>
              <w:spacing w:line="360" w:lineRule="exact"/>
              <w:jc w:val="center"/>
              <w:rPr>
                <w:rFonts w:ascii="宋体" w:hAnsi="宋体" w:cs="宋体"/>
                <w:color w:val="auto"/>
                <w:sz w:val="24"/>
                <w:highlight w:val="none"/>
                <w:lang w:val="zh-CN"/>
              </w:rPr>
            </w:pPr>
          </w:p>
        </w:tc>
        <w:tc>
          <w:tcPr>
            <w:tcW w:w="2220" w:type="dxa"/>
            <w:tcBorders>
              <w:top w:val="single" w:color="auto" w:sz="6" w:space="0"/>
              <w:left w:val="single" w:color="auto" w:sz="6" w:space="0"/>
              <w:bottom w:val="single" w:color="auto" w:sz="6" w:space="0"/>
              <w:right w:val="single" w:color="auto" w:sz="6" w:space="0"/>
            </w:tcBorders>
          </w:tcPr>
          <w:p w14:paraId="3976A1C0">
            <w:pPr>
              <w:tabs>
                <w:tab w:val="left" w:pos="1069"/>
                <w:tab w:val="left" w:pos="2352"/>
              </w:tabs>
              <w:autoSpaceDE w:val="0"/>
              <w:autoSpaceDN w:val="0"/>
              <w:adjustRightInd w:val="0"/>
              <w:spacing w:line="360" w:lineRule="exact"/>
              <w:jc w:val="center"/>
              <w:rPr>
                <w:rFonts w:ascii="宋体" w:hAnsi="宋体" w:cs="宋体"/>
                <w:color w:val="auto"/>
                <w:sz w:val="24"/>
                <w:highlight w:val="none"/>
                <w:lang w:val="zh-CN"/>
              </w:rPr>
            </w:pPr>
          </w:p>
        </w:tc>
        <w:tc>
          <w:tcPr>
            <w:tcW w:w="2220" w:type="dxa"/>
            <w:tcBorders>
              <w:top w:val="single" w:color="auto" w:sz="6" w:space="0"/>
              <w:left w:val="single" w:color="auto" w:sz="6" w:space="0"/>
              <w:bottom w:val="single" w:color="auto" w:sz="6" w:space="0"/>
              <w:right w:val="single" w:color="auto" w:sz="6" w:space="0"/>
            </w:tcBorders>
          </w:tcPr>
          <w:p w14:paraId="2DBF832E">
            <w:pPr>
              <w:tabs>
                <w:tab w:val="left" w:pos="1069"/>
                <w:tab w:val="left" w:pos="2352"/>
              </w:tabs>
              <w:autoSpaceDE w:val="0"/>
              <w:autoSpaceDN w:val="0"/>
              <w:adjustRightInd w:val="0"/>
              <w:spacing w:line="360" w:lineRule="exact"/>
              <w:jc w:val="center"/>
              <w:rPr>
                <w:rFonts w:ascii="宋体" w:hAnsi="宋体" w:cs="宋体"/>
                <w:color w:val="auto"/>
                <w:sz w:val="24"/>
                <w:highlight w:val="none"/>
                <w:lang w:val="zh-CN"/>
              </w:rPr>
            </w:pPr>
          </w:p>
        </w:tc>
        <w:tc>
          <w:tcPr>
            <w:tcW w:w="2295" w:type="dxa"/>
            <w:tcBorders>
              <w:top w:val="single" w:color="auto" w:sz="6" w:space="0"/>
              <w:left w:val="single" w:color="auto" w:sz="6" w:space="0"/>
              <w:bottom w:val="single" w:color="auto" w:sz="6" w:space="0"/>
              <w:right w:val="single" w:color="auto" w:sz="6" w:space="0"/>
            </w:tcBorders>
          </w:tcPr>
          <w:p w14:paraId="76CD47F6">
            <w:pPr>
              <w:tabs>
                <w:tab w:val="left" w:pos="1069"/>
                <w:tab w:val="left" w:pos="2352"/>
              </w:tabs>
              <w:autoSpaceDE w:val="0"/>
              <w:autoSpaceDN w:val="0"/>
              <w:adjustRightInd w:val="0"/>
              <w:spacing w:line="360" w:lineRule="exact"/>
              <w:jc w:val="center"/>
              <w:rPr>
                <w:rFonts w:ascii="宋体" w:hAnsi="宋体" w:cs="宋体"/>
                <w:color w:val="auto"/>
                <w:sz w:val="24"/>
                <w:highlight w:val="none"/>
                <w:lang w:val="zh-CN"/>
              </w:rPr>
            </w:pPr>
          </w:p>
        </w:tc>
      </w:tr>
      <w:tr w14:paraId="54491EAF">
        <w:tblPrEx>
          <w:tblCellMar>
            <w:top w:w="0" w:type="dxa"/>
            <w:left w:w="108" w:type="dxa"/>
            <w:bottom w:w="0" w:type="dxa"/>
            <w:right w:w="108" w:type="dxa"/>
          </w:tblCellMar>
        </w:tblPrEx>
        <w:trPr>
          <w:trHeight w:val="424" w:hRule="atLeast"/>
        </w:trPr>
        <w:tc>
          <w:tcPr>
            <w:tcW w:w="1080" w:type="dxa"/>
            <w:tcBorders>
              <w:top w:val="single" w:color="auto" w:sz="6" w:space="0"/>
              <w:left w:val="single" w:color="auto" w:sz="6" w:space="0"/>
              <w:bottom w:val="single" w:color="auto" w:sz="6" w:space="0"/>
              <w:right w:val="single" w:color="auto" w:sz="6" w:space="0"/>
            </w:tcBorders>
          </w:tcPr>
          <w:p w14:paraId="743262EC">
            <w:pPr>
              <w:tabs>
                <w:tab w:val="left" w:pos="1069"/>
                <w:tab w:val="left" w:pos="2352"/>
              </w:tabs>
              <w:autoSpaceDE w:val="0"/>
              <w:autoSpaceDN w:val="0"/>
              <w:adjustRightInd w:val="0"/>
              <w:spacing w:line="360" w:lineRule="exact"/>
              <w:jc w:val="center"/>
              <w:rPr>
                <w:rFonts w:ascii="宋体" w:hAnsi="宋体" w:cs="宋体"/>
                <w:color w:val="auto"/>
                <w:sz w:val="24"/>
                <w:highlight w:val="none"/>
                <w:lang w:val="zh-CN"/>
              </w:rPr>
            </w:pPr>
          </w:p>
        </w:tc>
        <w:tc>
          <w:tcPr>
            <w:tcW w:w="1620" w:type="dxa"/>
            <w:tcBorders>
              <w:top w:val="single" w:color="auto" w:sz="6" w:space="0"/>
              <w:left w:val="single" w:color="auto" w:sz="6" w:space="0"/>
              <w:bottom w:val="single" w:color="auto" w:sz="6" w:space="0"/>
              <w:right w:val="single" w:color="auto" w:sz="6" w:space="0"/>
            </w:tcBorders>
          </w:tcPr>
          <w:p w14:paraId="78D22786">
            <w:pPr>
              <w:tabs>
                <w:tab w:val="left" w:pos="1069"/>
                <w:tab w:val="left" w:pos="2352"/>
              </w:tabs>
              <w:autoSpaceDE w:val="0"/>
              <w:autoSpaceDN w:val="0"/>
              <w:adjustRightInd w:val="0"/>
              <w:spacing w:line="360" w:lineRule="exact"/>
              <w:jc w:val="center"/>
              <w:rPr>
                <w:rFonts w:ascii="宋体" w:hAnsi="宋体" w:cs="宋体"/>
                <w:color w:val="auto"/>
                <w:sz w:val="24"/>
                <w:highlight w:val="none"/>
                <w:lang w:val="zh-CN"/>
              </w:rPr>
            </w:pPr>
          </w:p>
        </w:tc>
        <w:tc>
          <w:tcPr>
            <w:tcW w:w="2220" w:type="dxa"/>
            <w:tcBorders>
              <w:top w:val="single" w:color="auto" w:sz="6" w:space="0"/>
              <w:left w:val="single" w:color="auto" w:sz="6" w:space="0"/>
              <w:bottom w:val="single" w:color="auto" w:sz="6" w:space="0"/>
              <w:right w:val="single" w:color="auto" w:sz="6" w:space="0"/>
            </w:tcBorders>
          </w:tcPr>
          <w:p w14:paraId="5A67E4DB">
            <w:pPr>
              <w:tabs>
                <w:tab w:val="left" w:pos="1069"/>
                <w:tab w:val="left" w:pos="2352"/>
              </w:tabs>
              <w:autoSpaceDE w:val="0"/>
              <w:autoSpaceDN w:val="0"/>
              <w:adjustRightInd w:val="0"/>
              <w:spacing w:line="360" w:lineRule="exact"/>
              <w:jc w:val="center"/>
              <w:rPr>
                <w:rFonts w:ascii="宋体" w:hAnsi="宋体" w:cs="宋体"/>
                <w:color w:val="auto"/>
                <w:sz w:val="24"/>
                <w:highlight w:val="none"/>
                <w:lang w:val="zh-CN"/>
              </w:rPr>
            </w:pPr>
          </w:p>
        </w:tc>
        <w:tc>
          <w:tcPr>
            <w:tcW w:w="2220" w:type="dxa"/>
            <w:tcBorders>
              <w:top w:val="single" w:color="auto" w:sz="6" w:space="0"/>
              <w:left w:val="single" w:color="auto" w:sz="6" w:space="0"/>
              <w:bottom w:val="single" w:color="auto" w:sz="6" w:space="0"/>
              <w:right w:val="single" w:color="auto" w:sz="6" w:space="0"/>
            </w:tcBorders>
          </w:tcPr>
          <w:p w14:paraId="4AEEEB0E">
            <w:pPr>
              <w:tabs>
                <w:tab w:val="left" w:pos="1069"/>
                <w:tab w:val="left" w:pos="2352"/>
              </w:tabs>
              <w:autoSpaceDE w:val="0"/>
              <w:autoSpaceDN w:val="0"/>
              <w:adjustRightInd w:val="0"/>
              <w:spacing w:line="360" w:lineRule="exact"/>
              <w:jc w:val="center"/>
              <w:rPr>
                <w:rFonts w:ascii="宋体" w:hAnsi="宋体" w:cs="宋体"/>
                <w:color w:val="auto"/>
                <w:sz w:val="24"/>
                <w:highlight w:val="none"/>
                <w:lang w:val="zh-CN"/>
              </w:rPr>
            </w:pPr>
          </w:p>
        </w:tc>
        <w:tc>
          <w:tcPr>
            <w:tcW w:w="2295" w:type="dxa"/>
            <w:tcBorders>
              <w:top w:val="single" w:color="auto" w:sz="6" w:space="0"/>
              <w:left w:val="single" w:color="auto" w:sz="6" w:space="0"/>
              <w:bottom w:val="single" w:color="auto" w:sz="6" w:space="0"/>
              <w:right w:val="single" w:color="auto" w:sz="6" w:space="0"/>
            </w:tcBorders>
          </w:tcPr>
          <w:p w14:paraId="38E3312A">
            <w:pPr>
              <w:tabs>
                <w:tab w:val="left" w:pos="1069"/>
                <w:tab w:val="left" w:pos="2352"/>
              </w:tabs>
              <w:autoSpaceDE w:val="0"/>
              <w:autoSpaceDN w:val="0"/>
              <w:adjustRightInd w:val="0"/>
              <w:spacing w:line="360" w:lineRule="exact"/>
              <w:jc w:val="center"/>
              <w:rPr>
                <w:rFonts w:ascii="宋体" w:hAnsi="宋体" w:cs="宋体"/>
                <w:color w:val="auto"/>
                <w:sz w:val="24"/>
                <w:highlight w:val="none"/>
                <w:lang w:val="zh-CN"/>
              </w:rPr>
            </w:pPr>
          </w:p>
        </w:tc>
      </w:tr>
      <w:tr w14:paraId="71DC7F16">
        <w:tblPrEx>
          <w:tblCellMar>
            <w:top w:w="0" w:type="dxa"/>
            <w:left w:w="108" w:type="dxa"/>
            <w:bottom w:w="0" w:type="dxa"/>
            <w:right w:w="108" w:type="dxa"/>
          </w:tblCellMar>
        </w:tblPrEx>
        <w:trPr>
          <w:trHeight w:val="436" w:hRule="atLeast"/>
        </w:trPr>
        <w:tc>
          <w:tcPr>
            <w:tcW w:w="1080" w:type="dxa"/>
            <w:tcBorders>
              <w:top w:val="single" w:color="auto" w:sz="6" w:space="0"/>
              <w:left w:val="single" w:color="auto" w:sz="6" w:space="0"/>
              <w:bottom w:val="single" w:color="auto" w:sz="6" w:space="0"/>
              <w:right w:val="single" w:color="auto" w:sz="6" w:space="0"/>
            </w:tcBorders>
          </w:tcPr>
          <w:p w14:paraId="7C3B74B5">
            <w:pPr>
              <w:tabs>
                <w:tab w:val="left" w:pos="1069"/>
                <w:tab w:val="left" w:pos="2352"/>
              </w:tabs>
              <w:autoSpaceDE w:val="0"/>
              <w:autoSpaceDN w:val="0"/>
              <w:adjustRightInd w:val="0"/>
              <w:spacing w:line="360" w:lineRule="exact"/>
              <w:jc w:val="center"/>
              <w:rPr>
                <w:rFonts w:ascii="宋体" w:hAnsi="宋体" w:cs="宋体"/>
                <w:color w:val="auto"/>
                <w:sz w:val="24"/>
                <w:highlight w:val="none"/>
                <w:lang w:val="zh-CN"/>
              </w:rPr>
            </w:pPr>
          </w:p>
        </w:tc>
        <w:tc>
          <w:tcPr>
            <w:tcW w:w="1620" w:type="dxa"/>
            <w:tcBorders>
              <w:top w:val="single" w:color="auto" w:sz="6" w:space="0"/>
              <w:left w:val="single" w:color="auto" w:sz="6" w:space="0"/>
              <w:bottom w:val="single" w:color="auto" w:sz="6" w:space="0"/>
              <w:right w:val="single" w:color="auto" w:sz="6" w:space="0"/>
            </w:tcBorders>
          </w:tcPr>
          <w:p w14:paraId="431214E8">
            <w:pPr>
              <w:tabs>
                <w:tab w:val="left" w:pos="1069"/>
                <w:tab w:val="left" w:pos="2352"/>
              </w:tabs>
              <w:autoSpaceDE w:val="0"/>
              <w:autoSpaceDN w:val="0"/>
              <w:adjustRightInd w:val="0"/>
              <w:spacing w:line="360" w:lineRule="exact"/>
              <w:jc w:val="center"/>
              <w:rPr>
                <w:rFonts w:ascii="宋体" w:hAnsi="宋体" w:cs="宋体"/>
                <w:color w:val="auto"/>
                <w:sz w:val="24"/>
                <w:highlight w:val="none"/>
                <w:lang w:val="zh-CN"/>
              </w:rPr>
            </w:pPr>
          </w:p>
        </w:tc>
        <w:tc>
          <w:tcPr>
            <w:tcW w:w="2220" w:type="dxa"/>
            <w:tcBorders>
              <w:top w:val="single" w:color="auto" w:sz="6" w:space="0"/>
              <w:left w:val="single" w:color="auto" w:sz="6" w:space="0"/>
              <w:bottom w:val="single" w:color="auto" w:sz="6" w:space="0"/>
              <w:right w:val="single" w:color="auto" w:sz="6" w:space="0"/>
            </w:tcBorders>
          </w:tcPr>
          <w:p w14:paraId="4F4FEE61">
            <w:pPr>
              <w:tabs>
                <w:tab w:val="left" w:pos="1069"/>
                <w:tab w:val="left" w:pos="2352"/>
              </w:tabs>
              <w:autoSpaceDE w:val="0"/>
              <w:autoSpaceDN w:val="0"/>
              <w:adjustRightInd w:val="0"/>
              <w:spacing w:line="360" w:lineRule="exact"/>
              <w:jc w:val="center"/>
              <w:rPr>
                <w:rFonts w:ascii="宋体" w:hAnsi="宋体" w:cs="宋体"/>
                <w:color w:val="auto"/>
                <w:sz w:val="24"/>
                <w:highlight w:val="none"/>
                <w:lang w:val="zh-CN"/>
              </w:rPr>
            </w:pPr>
          </w:p>
        </w:tc>
        <w:tc>
          <w:tcPr>
            <w:tcW w:w="2220" w:type="dxa"/>
            <w:tcBorders>
              <w:top w:val="single" w:color="auto" w:sz="6" w:space="0"/>
              <w:left w:val="single" w:color="auto" w:sz="6" w:space="0"/>
              <w:bottom w:val="single" w:color="auto" w:sz="6" w:space="0"/>
              <w:right w:val="single" w:color="auto" w:sz="6" w:space="0"/>
            </w:tcBorders>
          </w:tcPr>
          <w:p w14:paraId="63ADFA16">
            <w:pPr>
              <w:tabs>
                <w:tab w:val="left" w:pos="1069"/>
                <w:tab w:val="left" w:pos="2352"/>
              </w:tabs>
              <w:autoSpaceDE w:val="0"/>
              <w:autoSpaceDN w:val="0"/>
              <w:adjustRightInd w:val="0"/>
              <w:spacing w:line="360" w:lineRule="exact"/>
              <w:jc w:val="center"/>
              <w:rPr>
                <w:rFonts w:ascii="宋体" w:hAnsi="宋体" w:cs="宋体"/>
                <w:color w:val="auto"/>
                <w:sz w:val="24"/>
                <w:highlight w:val="none"/>
                <w:lang w:val="zh-CN"/>
              </w:rPr>
            </w:pPr>
          </w:p>
        </w:tc>
        <w:tc>
          <w:tcPr>
            <w:tcW w:w="2295" w:type="dxa"/>
            <w:tcBorders>
              <w:top w:val="single" w:color="auto" w:sz="6" w:space="0"/>
              <w:left w:val="single" w:color="auto" w:sz="6" w:space="0"/>
              <w:bottom w:val="single" w:color="auto" w:sz="6" w:space="0"/>
              <w:right w:val="single" w:color="auto" w:sz="6" w:space="0"/>
            </w:tcBorders>
          </w:tcPr>
          <w:p w14:paraId="0B4507AE">
            <w:pPr>
              <w:tabs>
                <w:tab w:val="left" w:pos="1069"/>
                <w:tab w:val="left" w:pos="2352"/>
              </w:tabs>
              <w:autoSpaceDE w:val="0"/>
              <w:autoSpaceDN w:val="0"/>
              <w:adjustRightInd w:val="0"/>
              <w:spacing w:line="360" w:lineRule="exact"/>
              <w:jc w:val="center"/>
              <w:rPr>
                <w:rFonts w:ascii="宋体" w:hAnsi="宋体" w:cs="宋体"/>
                <w:color w:val="auto"/>
                <w:sz w:val="24"/>
                <w:highlight w:val="none"/>
                <w:lang w:val="zh-CN"/>
              </w:rPr>
            </w:pPr>
          </w:p>
        </w:tc>
      </w:tr>
      <w:tr w14:paraId="7C3AFAA2">
        <w:tblPrEx>
          <w:tblCellMar>
            <w:top w:w="0" w:type="dxa"/>
            <w:left w:w="108" w:type="dxa"/>
            <w:bottom w:w="0" w:type="dxa"/>
            <w:right w:w="108" w:type="dxa"/>
          </w:tblCellMar>
        </w:tblPrEx>
        <w:trPr>
          <w:trHeight w:val="424" w:hRule="atLeast"/>
        </w:trPr>
        <w:tc>
          <w:tcPr>
            <w:tcW w:w="1080" w:type="dxa"/>
            <w:tcBorders>
              <w:top w:val="single" w:color="auto" w:sz="6" w:space="0"/>
              <w:left w:val="single" w:color="auto" w:sz="6" w:space="0"/>
              <w:bottom w:val="single" w:color="auto" w:sz="6" w:space="0"/>
              <w:right w:val="single" w:color="auto" w:sz="6" w:space="0"/>
            </w:tcBorders>
          </w:tcPr>
          <w:p w14:paraId="59809B26">
            <w:pPr>
              <w:tabs>
                <w:tab w:val="left" w:pos="1069"/>
                <w:tab w:val="left" w:pos="2352"/>
              </w:tabs>
              <w:autoSpaceDE w:val="0"/>
              <w:autoSpaceDN w:val="0"/>
              <w:adjustRightInd w:val="0"/>
              <w:spacing w:line="360" w:lineRule="exact"/>
              <w:jc w:val="center"/>
              <w:rPr>
                <w:rFonts w:ascii="宋体" w:hAnsi="宋体" w:cs="宋体"/>
                <w:color w:val="auto"/>
                <w:sz w:val="24"/>
                <w:highlight w:val="none"/>
                <w:lang w:val="zh-CN"/>
              </w:rPr>
            </w:pPr>
          </w:p>
        </w:tc>
        <w:tc>
          <w:tcPr>
            <w:tcW w:w="1620" w:type="dxa"/>
            <w:tcBorders>
              <w:top w:val="single" w:color="auto" w:sz="6" w:space="0"/>
              <w:left w:val="single" w:color="auto" w:sz="6" w:space="0"/>
              <w:bottom w:val="single" w:color="auto" w:sz="6" w:space="0"/>
              <w:right w:val="single" w:color="auto" w:sz="6" w:space="0"/>
            </w:tcBorders>
          </w:tcPr>
          <w:p w14:paraId="3C0C458C">
            <w:pPr>
              <w:tabs>
                <w:tab w:val="left" w:pos="1069"/>
                <w:tab w:val="left" w:pos="2352"/>
              </w:tabs>
              <w:autoSpaceDE w:val="0"/>
              <w:autoSpaceDN w:val="0"/>
              <w:adjustRightInd w:val="0"/>
              <w:spacing w:line="360" w:lineRule="exact"/>
              <w:jc w:val="center"/>
              <w:rPr>
                <w:rFonts w:ascii="宋体" w:hAnsi="宋体" w:cs="宋体"/>
                <w:color w:val="auto"/>
                <w:sz w:val="24"/>
                <w:highlight w:val="none"/>
                <w:lang w:val="zh-CN"/>
              </w:rPr>
            </w:pPr>
          </w:p>
        </w:tc>
        <w:tc>
          <w:tcPr>
            <w:tcW w:w="2220" w:type="dxa"/>
            <w:tcBorders>
              <w:top w:val="single" w:color="auto" w:sz="6" w:space="0"/>
              <w:left w:val="single" w:color="auto" w:sz="6" w:space="0"/>
              <w:bottom w:val="single" w:color="auto" w:sz="6" w:space="0"/>
              <w:right w:val="single" w:color="auto" w:sz="6" w:space="0"/>
            </w:tcBorders>
          </w:tcPr>
          <w:p w14:paraId="2362CD6D">
            <w:pPr>
              <w:tabs>
                <w:tab w:val="left" w:pos="1069"/>
                <w:tab w:val="left" w:pos="2352"/>
              </w:tabs>
              <w:autoSpaceDE w:val="0"/>
              <w:autoSpaceDN w:val="0"/>
              <w:adjustRightInd w:val="0"/>
              <w:spacing w:line="360" w:lineRule="exact"/>
              <w:jc w:val="center"/>
              <w:rPr>
                <w:rFonts w:ascii="宋体" w:hAnsi="宋体" w:cs="宋体"/>
                <w:color w:val="auto"/>
                <w:sz w:val="24"/>
                <w:highlight w:val="none"/>
                <w:lang w:val="zh-CN"/>
              </w:rPr>
            </w:pPr>
          </w:p>
        </w:tc>
        <w:tc>
          <w:tcPr>
            <w:tcW w:w="2220" w:type="dxa"/>
            <w:tcBorders>
              <w:top w:val="single" w:color="auto" w:sz="6" w:space="0"/>
              <w:left w:val="single" w:color="auto" w:sz="6" w:space="0"/>
              <w:bottom w:val="single" w:color="auto" w:sz="6" w:space="0"/>
              <w:right w:val="single" w:color="auto" w:sz="6" w:space="0"/>
            </w:tcBorders>
          </w:tcPr>
          <w:p w14:paraId="2685F5AC">
            <w:pPr>
              <w:tabs>
                <w:tab w:val="left" w:pos="1069"/>
                <w:tab w:val="left" w:pos="2352"/>
              </w:tabs>
              <w:autoSpaceDE w:val="0"/>
              <w:autoSpaceDN w:val="0"/>
              <w:adjustRightInd w:val="0"/>
              <w:spacing w:line="360" w:lineRule="exact"/>
              <w:jc w:val="center"/>
              <w:rPr>
                <w:rFonts w:ascii="宋体" w:hAnsi="宋体" w:cs="宋体"/>
                <w:color w:val="auto"/>
                <w:sz w:val="24"/>
                <w:highlight w:val="none"/>
                <w:lang w:val="zh-CN"/>
              </w:rPr>
            </w:pPr>
          </w:p>
        </w:tc>
        <w:tc>
          <w:tcPr>
            <w:tcW w:w="2295" w:type="dxa"/>
            <w:tcBorders>
              <w:top w:val="single" w:color="auto" w:sz="6" w:space="0"/>
              <w:left w:val="single" w:color="auto" w:sz="6" w:space="0"/>
              <w:bottom w:val="single" w:color="auto" w:sz="6" w:space="0"/>
              <w:right w:val="single" w:color="auto" w:sz="6" w:space="0"/>
            </w:tcBorders>
          </w:tcPr>
          <w:p w14:paraId="0C89F903">
            <w:pPr>
              <w:tabs>
                <w:tab w:val="left" w:pos="1069"/>
                <w:tab w:val="left" w:pos="2352"/>
              </w:tabs>
              <w:autoSpaceDE w:val="0"/>
              <w:autoSpaceDN w:val="0"/>
              <w:adjustRightInd w:val="0"/>
              <w:spacing w:line="360" w:lineRule="exact"/>
              <w:jc w:val="center"/>
              <w:rPr>
                <w:rFonts w:ascii="宋体" w:hAnsi="宋体" w:cs="宋体"/>
                <w:color w:val="auto"/>
                <w:sz w:val="24"/>
                <w:highlight w:val="none"/>
                <w:lang w:val="zh-CN"/>
              </w:rPr>
            </w:pPr>
          </w:p>
        </w:tc>
      </w:tr>
      <w:tr w14:paraId="4F0AB4A9">
        <w:tblPrEx>
          <w:tblCellMar>
            <w:top w:w="0" w:type="dxa"/>
            <w:left w:w="108" w:type="dxa"/>
            <w:bottom w:w="0" w:type="dxa"/>
            <w:right w:w="108" w:type="dxa"/>
          </w:tblCellMar>
        </w:tblPrEx>
        <w:trPr>
          <w:trHeight w:val="424" w:hRule="atLeast"/>
        </w:trPr>
        <w:tc>
          <w:tcPr>
            <w:tcW w:w="1080" w:type="dxa"/>
            <w:tcBorders>
              <w:top w:val="single" w:color="auto" w:sz="6" w:space="0"/>
              <w:left w:val="single" w:color="auto" w:sz="6" w:space="0"/>
              <w:bottom w:val="single" w:color="auto" w:sz="6" w:space="0"/>
              <w:right w:val="single" w:color="auto" w:sz="6" w:space="0"/>
            </w:tcBorders>
          </w:tcPr>
          <w:p w14:paraId="3B6FE63A">
            <w:pPr>
              <w:tabs>
                <w:tab w:val="left" w:pos="1069"/>
                <w:tab w:val="left" w:pos="2352"/>
              </w:tabs>
              <w:autoSpaceDE w:val="0"/>
              <w:autoSpaceDN w:val="0"/>
              <w:adjustRightInd w:val="0"/>
              <w:spacing w:line="360" w:lineRule="exact"/>
              <w:jc w:val="center"/>
              <w:rPr>
                <w:rFonts w:ascii="宋体" w:hAnsi="宋体" w:cs="宋体"/>
                <w:color w:val="auto"/>
                <w:sz w:val="24"/>
                <w:highlight w:val="none"/>
                <w:lang w:val="zh-CN"/>
              </w:rPr>
            </w:pPr>
          </w:p>
        </w:tc>
        <w:tc>
          <w:tcPr>
            <w:tcW w:w="1620" w:type="dxa"/>
            <w:tcBorders>
              <w:top w:val="single" w:color="auto" w:sz="6" w:space="0"/>
              <w:left w:val="single" w:color="auto" w:sz="6" w:space="0"/>
              <w:bottom w:val="single" w:color="auto" w:sz="6" w:space="0"/>
              <w:right w:val="single" w:color="auto" w:sz="6" w:space="0"/>
            </w:tcBorders>
          </w:tcPr>
          <w:p w14:paraId="75306BEA">
            <w:pPr>
              <w:tabs>
                <w:tab w:val="left" w:pos="1069"/>
                <w:tab w:val="left" w:pos="2352"/>
              </w:tabs>
              <w:autoSpaceDE w:val="0"/>
              <w:autoSpaceDN w:val="0"/>
              <w:adjustRightInd w:val="0"/>
              <w:spacing w:line="360" w:lineRule="exact"/>
              <w:jc w:val="center"/>
              <w:rPr>
                <w:rFonts w:ascii="宋体" w:hAnsi="宋体" w:cs="宋体"/>
                <w:color w:val="auto"/>
                <w:sz w:val="24"/>
                <w:highlight w:val="none"/>
                <w:lang w:val="zh-CN"/>
              </w:rPr>
            </w:pPr>
          </w:p>
        </w:tc>
        <w:tc>
          <w:tcPr>
            <w:tcW w:w="2220" w:type="dxa"/>
            <w:tcBorders>
              <w:top w:val="single" w:color="auto" w:sz="6" w:space="0"/>
              <w:left w:val="single" w:color="auto" w:sz="6" w:space="0"/>
              <w:bottom w:val="single" w:color="auto" w:sz="6" w:space="0"/>
              <w:right w:val="single" w:color="auto" w:sz="6" w:space="0"/>
            </w:tcBorders>
          </w:tcPr>
          <w:p w14:paraId="2C0249C9">
            <w:pPr>
              <w:tabs>
                <w:tab w:val="left" w:pos="1069"/>
                <w:tab w:val="left" w:pos="2352"/>
              </w:tabs>
              <w:autoSpaceDE w:val="0"/>
              <w:autoSpaceDN w:val="0"/>
              <w:adjustRightInd w:val="0"/>
              <w:spacing w:line="360" w:lineRule="exact"/>
              <w:jc w:val="center"/>
              <w:rPr>
                <w:rFonts w:ascii="宋体" w:hAnsi="宋体" w:cs="宋体"/>
                <w:color w:val="auto"/>
                <w:sz w:val="24"/>
                <w:highlight w:val="none"/>
                <w:lang w:val="zh-CN"/>
              </w:rPr>
            </w:pPr>
          </w:p>
        </w:tc>
        <w:tc>
          <w:tcPr>
            <w:tcW w:w="2220" w:type="dxa"/>
            <w:tcBorders>
              <w:top w:val="single" w:color="auto" w:sz="6" w:space="0"/>
              <w:left w:val="single" w:color="auto" w:sz="6" w:space="0"/>
              <w:bottom w:val="single" w:color="auto" w:sz="6" w:space="0"/>
              <w:right w:val="single" w:color="auto" w:sz="6" w:space="0"/>
            </w:tcBorders>
          </w:tcPr>
          <w:p w14:paraId="08C33A4C">
            <w:pPr>
              <w:tabs>
                <w:tab w:val="left" w:pos="1069"/>
                <w:tab w:val="left" w:pos="2352"/>
              </w:tabs>
              <w:autoSpaceDE w:val="0"/>
              <w:autoSpaceDN w:val="0"/>
              <w:adjustRightInd w:val="0"/>
              <w:spacing w:line="360" w:lineRule="exact"/>
              <w:jc w:val="center"/>
              <w:rPr>
                <w:rFonts w:ascii="宋体" w:hAnsi="宋体" w:cs="宋体"/>
                <w:color w:val="auto"/>
                <w:sz w:val="24"/>
                <w:highlight w:val="none"/>
                <w:lang w:val="zh-CN"/>
              </w:rPr>
            </w:pPr>
          </w:p>
        </w:tc>
        <w:tc>
          <w:tcPr>
            <w:tcW w:w="2295" w:type="dxa"/>
            <w:tcBorders>
              <w:top w:val="single" w:color="auto" w:sz="6" w:space="0"/>
              <w:left w:val="single" w:color="auto" w:sz="6" w:space="0"/>
              <w:bottom w:val="single" w:color="auto" w:sz="6" w:space="0"/>
              <w:right w:val="single" w:color="auto" w:sz="6" w:space="0"/>
            </w:tcBorders>
          </w:tcPr>
          <w:p w14:paraId="6E61C8D5">
            <w:pPr>
              <w:tabs>
                <w:tab w:val="left" w:pos="1069"/>
                <w:tab w:val="left" w:pos="2352"/>
              </w:tabs>
              <w:autoSpaceDE w:val="0"/>
              <w:autoSpaceDN w:val="0"/>
              <w:adjustRightInd w:val="0"/>
              <w:spacing w:line="360" w:lineRule="exact"/>
              <w:jc w:val="center"/>
              <w:rPr>
                <w:rFonts w:ascii="宋体" w:hAnsi="宋体" w:cs="宋体"/>
                <w:color w:val="auto"/>
                <w:sz w:val="24"/>
                <w:highlight w:val="none"/>
                <w:lang w:val="zh-CN"/>
              </w:rPr>
            </w:pPr>
          </w:p>
        </w:tc>
      </w:tr>
      <w:tr w14:paraId="561D41B1">
        <w:tblPrEx>
          <w:tblCellMar>
            <w:top w:w="0" w:type="dxa"/>
            <w:left w:w="108" w:type="dxa"/>
            <w:bottom w:w="0" w:type="dxa"/>
            <w:right w:w="108" w:type="dxa"/>
          </w:tblCellMar>
        </w:tblPrEx>
        <w:trPr>
          <w:trHeight w:val="424" w:hRule="atLeast"/>
        </w:trPr>
        <w:tc>
          <w:tcPr>
            <w:tcW w:w="1080" w:type="dxa"/>
            <w:tcBorders>
              <w:top w:val="single" w:color="auto" w:sz="6" w:space="0"/>
              <w:left w:val="single" w:color="auto" w:sz="6" w:space="0"/>
              <w:bottom w:val="single" w:color="auto" w:sz="6" w:space="0"/>
              <w:right w:val="single" w:color="auto" w:sz="6" w:space="0"/>
            </w:tcBorders>
          </w:tcPr>
          <w:p w14:paraId="60843B8A">
            <w:pPr>
              <w:tabs>
                <w:tab w:val="left" w:pos="1069"/>
                <w:tab w:val="left" w:pos="2352"/>
              </w:tabs>
              <w:autoSpaceDE w:val="0"/>
              <w:autoSpaceDN w:val="0"/>
              <w:adjustRightInd w:val="0"/>
              <w:spacing w:line="360" w:lineRule="exact"/>
              <w:jc w:val="center"/>
              <w:rPr>
                <w:rFonts w:ascii="宋体" w:hAnsi="宋体" w:cs="宋体"/>
                <w:color w:val="auto"/>
                <w:sz w:val="24"/>
                <w:highlight w:val="none"/>
                <w:lang w:val="zh-CN"/>
              </w:rPr>
            </w:pPr>
          </w:p>
        </w:tc>
        <w:tc>
          <w:tcPr>
            <w:tcW w:w="1620" w:type="dxa"/>
            <w:tcBorders>
              <w:top w:val="single" w:color="auto" w:sz="6" w:space="0"/>
              <w:left w:val="single" w:color="auto" w:sz="6" w:space="0"/>
              <w:bottom w:val="single" w:color="auto" w:sz="6" w:space="0"/>
              <w:right w:val="single" w:color="auto" w:sz="6" w:space="0"/>
            </w:tcBorders>
          </w:tcPr>
          <w:p w14:paraId="621127A6">
            <w:pPr>
              <w:tabs>
                <w:tab w:val="left" w:pos="1069"/>
                <w:tab w:val="left" w:pos="2352"/>
              </w:tabs>
              <w:autoSpaceDE w:val="0"/>
              <w:autoSpaceDN w:val="0"/>
              <w:adjustRightInd w:val="0"/>
              <w:spacing w:line="360" w:lineRule="exact"/>
              <w:jc w:val="center"/>
              <w:rPr>
                <w:rFonts w:ascii="宋体" w:hAnsi="宋体" w:cs="宋体"/>
                <w:color w:val="auto"/>
                <w:sz w:val="24"/>
                <w:highlight w:val="none"/>
                <w:lang w:val="zh-CN"/>
              </w:rPr>
            </w:pPr>
          </w:p>
        </w:tc>
        <w:tc>
          <w:tcPr>
            <w:tcW w:w="2220" w:type="dxa"/>
            <w:tcBorders>
              <w:top w:val="single" w:color="auto" w:sz="6" w:space="0"/>
              <w:left w:val="single" w:color="auto" w:sz="6" w:space="0"/>
              <w:bottom w:val="single" w:color="auto" w:sz="6" w:space="0"/>
              <w:right w:val="single" w:color="auto" w:sz="6" w:space="0"/>
            </w:tcBorders>
          </w:tcPr>
          <w:p w14:paraId="6CBCE20C">
            <w:pPr>
              <w:tabs>
                <w:tab w:val="left" w:pos="1069"/>
                <w:tab w:val="left" w:pos="2352"/>
              </w:tabs>
              <w:autoSpaceDE w:val="0"/>
              <w:autoSpaceDN w:val="0"/>
              <w:adjustRightInd w:val="0"/>
              <w:spacing w:line="360" w:lineRule="exact"/>
              <w:jc w:val="center"/>
              <w:rPr>
                <w:rFonts w:ascii="宋体" w:hAnsi="宋体" w:cs="宋体"/>
                <w:color w:val="auto"/>
                <w:sz w:val="24"/>
                <w:highlight w:val="none"/>
                <w:lang w:val="zh-CN"/>
              </w:rPr>
            </w:pPr>
          </w:p>
        </w:tc>
        <w:tc>
          <w:tcPr>
            <w:tcW w:w="2220" w:type="dxa"/>
            <w:tcBorders>
              <w:top w:val="single" w:color="auto" w:sz="6" w:space="0"/>
              <w:left w:val="single" w:color="auto" w:sz="6" w:space="0"/>
              <w:bottom w:val="single" w:color="auto" w:sz="6" w:space="0"/>
              <w:right w:val="single" w:color="auto" w:sz="6" w:space="0"/>
            </w:tcBorders>
          </w:tcPr>
          <w:p w14:paraId="3CD64F72">
            <w:pPr>
              <w:tabs>
                <w:tab w:val="left" w:pos="1069"/>
                <w:tab w:val="left" w:pos="2352"/>
              </w:tabs>
              <w:autoSpaceDE w:val="0"/>
              <w:autoSpaceDN w:val="0"/>
              <w:adjustRightInd w:val="0"/>
              <w:spacing w:line="360" w:lineRule="exact"/>
              <w:jc w:val="center"/>
              <w:rPr>
                <w:rFonts w:ascii="宋体" w:hAnsi="宋体" w:cs="宋体"/>
                <w:color w:val="auto"/>
                <w:sz w:val="24"/>
                <w:highlight w:val="none"/>
                <w:lang w:val="zh-CN"/>
              </w:rPr>
            </w:pPr>
          </w:p>
        </w:tc>
        <w:tc>
          <w:tcPr>
            <w:tcW w:w="2295" w:type="dxa"/>
            <w:tcBorders>
              <w:top w:val="single" w:color="auto" w:sz="6" w:space="0"/>
              <w:left w:val="single" w:color="auto" w:sz="6" w:space="0"/>
              <w:bottom w:val="single" w:color="auto" w:sz="6" w:space="0"/>
              <w:right w:val="single" w:color="auto" w:sz="6" w:space="0"/>
            </w:tcBorders>
          </w:tcPr>
          <w:p w14:paraId="37853368">
            <w:pPr>
              <w:tabs>
                <w:tab w:val="left" w:pos="1069"/>
                <w:tab w:val="left" w:pos="2352"/>
              </w:tabs>
              <w:autoSpaceDE w:val="0"/>
              <w:autoSpaceDN w:val="0"/>
              <w:adjustRightInd w:val="0"/>
              <w:spacing w:line="360" w:lineRule="exact"/>
              <w:jc w:val="center"/>
              <w:rPr>
                <w:rFonts w:ascii="宋体" w:hAnsi="宋体" w:cs="宋体"/>
                <w:color w:val="auto"/>
                <w:sz w:val="24"/>
                <w:highlight w:val="none"/>
                <w:lang w:val="zh-CN"/>
              </w:rPr>
            </w:pPr>
          </w:p>
        </w:tc>
      </w:tr>
      <w:tr w14:paraId="40B3149B">
        <w:tblPrEx>
          <w:tblCellMar>
            <w:top w:w="0" w:type="dxa"/>
            <w:left w:w="108" w:type="dxa"/>
            <w:bottom w:w="0" w:type="dxa"/>
            <w:right w:w="108" w:type="dxa"/>
          </w:tblCellMar>
        </w:tblPrEx>
        <w:trPr>
          <w:trHeight w:val="436" w:hRule="atLeast"/>
        </w:trPr>
        <w:tc>
          <w:tcPr>
            <w:tcW w:w="1080" w:type="dxa"/>
            <w:tcBorders>
              <w:top w:val="single" w:color="auto" w:sz="6" w:space="0"/>
              <w:left w:val="single" w:color="auto" w:sz="6" w:space="0"/>
              <w:bottom w:val="single" w:color="auto" w:sz="6" w:space="0"/>
              <w:right w:val="single" w:color="auto" w:sz="6" w:space="0"/>
            </w:tcBorders>
          </w:tcPr>
          <w:p w14:paraId="69C0EA28">
            <w:pPr>
              <w:tabs>
                <w:tab w:val="left" w:pos="1069"/>
                <w:tab w:val="left" w:pos="2352"/>
              </w:tabs>
              <w:autoSpaceDE w:val="0"/>
              <w:autoSpaceDN w:val="0"/>
              <w:adjustRightInd w:val="0"/>
              <w:spacing w:line="360" w:lineRule="exact"/>
              <w:jc w:val="center"/>
              <w:rPr>
                <w:rFonts w:ascii="宋体" w:hAnsi="宋体" w:cs="宋体"/>
                <w:color w:val="auto"/>
                <w:sz w:val="24"/>
                <w:highlight w:val="none"/>
                <w:lang w:val="zh-CN"/>
              </w:rPr>
            </w:pPr>
          </w:p>
        </w:tc>
        <w:tc>
          <w:tcPr>
            <w:tcW w:w="1620" w:type="dxa"/>
            <w:tcBorders>
              <w:top w:val="single" w:color="auto" w:sz="6" w:space="0"/>
              <w:left w:val="single" w:color="auto" w:sz="6" w:space="0"/>
              <w:bottom w:val="single" w:color="auto" w:sz="6" w:space="0"/>
              <w:right w:val="single" w:color="auto" w:sz="6" w:space="0"/>
            </w:tcBorders>
          </w:tcPr>
          <w:p w14:paraId="0BBF9C10">
            <w:pPr>
              <w:tabs>
                <w:tab w:val="left" w:pos="1069"/>
                <w:tab w:val="left" w:pos="2352"/>
              </w:tabs>
              <w:autoSpaceDE w:val="0"/>
              <w:autoSpaceDN w:val="0"/>
              <w:adjustRightInd w:val="0"/>
              <w:spacing w:line="360" w:lineRule="exact"/>
              <w:jc w:val="center"/>
              <w:rPr>
                <w:rFonts w:ascii="宋体" w:hAnsi="宋体" w:cs="宋体"/>
                <w:color w:val="auto"/>
                <w:sz w:val="24"/>
                <w:highlight w:val="none"/>
                <w:lang w:val="zh-CN"/>
              </w:rPr>
            </w:pPr>
          </w:p>
        </w:tc>
        <w:tc>
          <w:tcPr>
            <w:tcW w:w="2220" w:type="dxa"/>
            <w:tcBorders>
              <w:top w:val="single" w:color="auto" w:sz="6" w:space="0"/>
              <w:left w:val="single" w:color="auto" w:sz="6" w:space="0"/>
              <w:bottom w:val="single" w:color="auto" w:sz="6" w:space="0"/>
              <w:right w:val="single" w:color="auto" w:sz="6" w:space="0"/>
            </w:tcBorders>
          </w:tcPr>
          <w:p w14:paraId="056D3124">
            <w:pPr>
              <w:tabs>
                <w:tab w:val="left" w:pos="1069"/>
                <w:tab w:val="left" w:pos="2352"/>
              </w:tabs>
              <w:autoSpaceDE w:val="0"/>
              <w:autoSpaceDN w:val="0"/>
              <w:adjustRightInd w:val="0"/>
              <w:spacing w:line="360" w:lineRule="exact"/>
              <w:jc w:val="center"/>
              <w:rPr>
                <w:rFonts w:ascii="宋体" w:hAnsi="宋体" w:cs="宋体"/>
                <w:color w:val="auto"/>
                <w:sz w:val="24"/>
                <w:highlight w:val="none"/>
                <w:lang w:val="zh-CN"/>
              </w:rPr>
            </w:pPr>
          </w:p>
        </w:tc>
        <w:tc>
          <w:tcPr>
            <w:tcW w:w="2220" w:type="dxa"/>
            <w:tcBorders>
              <w:top w:val="single" w:color="auto" w:sz="6" w:space="0"/>
              <w:left w:val="single" w:color="auto" w:sz="6" w:space="0"/>
              <w:bottom w:val="single" w:color="auto" w:sz="6" w:space="0"/>
              <w:right w:val="single" w:color="auto" w:sz="6" w:space="0"/>
            </w:tcBorders>
          </w:tcPr>
          <w:p w14:paraId="696DC007">
            <w:pPr>
              <w:tabs>
                <w:tab w:val="left" w:pos="1069"/>
                <w:tab w:val="left" w:pos="2352"/>
              </w:tabs>
              <w:autoSpaceDE w:val="0"/>
              <w:autoSpaceDN w:val="0"/>
              <w:adjustRightInd w:val="0"/>
              <w:spacing w:line="360" w:lineRule="exact"/>
              <w:jc w:val="center"/>
              <w:rPr>
                <w:rFonts w:ascii="宋体" w:hAnsi="宋体" w:cs="宋体"/>
                <w:color w:val="auto"/>
                <w:sz w:val="24"/>
                <w:highlight w:val="none"/>
                <w:lang w:val="zh-CN"/>
              </w:rPr>
            </w:pPr>
          </w:p>
        </w:tc>
        <w:tc>
          <w:tcPr>
            <w:tcW w:w="2295" w:type="dxa"/>
            <w:tcBorders>
              <w:top w:val="single" w:color="auto" w:sz="6" w:space="0"/>
              <w:left w:val="single" w:color="auto" w:sz="6" w:space="0"/>
              <w:bottom w:val="single" w:color="auto" w:sz="6" w:space="0"/>
              <w:right w:val="single" w:color="auto" w:sz="6" w:space="0"/>
            </w:tcBorders>
          </w:tcPr>
          <w:p w14:paraId="38292F41">
            <w:pPr>
              <w:tabs>
                <w:tab w:val="left" w:pos="1069"/>
                <w:tab w:val="left" w:pos="2352"/>
              </w:tabs>
              <w:autoSpaceDE w:val="0"/>
              <w:autoSpaceDN w:val="0"/>
              <w:adjustRightInd w:val="0"/>
              <w:spacing w:line="360" w:lineRule="exact"/>
              <w:jc w:val="center"/>
              <w:rPr>
                <w:rFonts w:ascii="宋体" w:hAnsi="宋体" w:cs="宋体"/>
                <w:color w:val="auto"/>
                <w:sz w:val="24"/>
                <w:highlight w:val="none"/>
                <w:lang w:val="zh-CN"/>
              </w:rPr>
            </w:pPr>
          </w:p>
        </w:tc>
      </w:tr>
      <w:tr w14:paraId="34500DD1">
        <w:tblPrEx>
          <w:tblCellMar>
            <w:top w:w="0" w:type="dxa"/>
            <w:left w:w="108" w:type="dxa"/>
            <w:bottom w:w="0" w:type="dxa"/>
            <w:right w:w="108" w:type="dxa"/>
          </w:tblCellMar>
        </w:tblPrEx>
        <w:trPr>
          <w:trHeight w:val="424" w:hRule="atLeast"/>
        </w:trPr>
        <w:tc>
          <w:tcPr>
            <w:tcW w:w="1080" w:type="dxa"/>
            <w:tcBorders>
              <w:top w:val="single" w:color="auto" w:sz="6" w:space="0"/>
              <w:left w:val="single" w:color="auto" w:sz="6" w:space="0"/>
              <w:bottom w:val="single" w:color="auto" w:sz="6" w:space="0"/>
              <w:right w:val="single" w:color="auto" w:sz="6" w:space="0"/>
            </w:tcBorders>
          </w:tcPr>
          <w:p w14:paraId="50FAEC85">
            <w:pPr>
              <w:tabs>
                <w:tab w:val="left" w:pos="1069"/>
                <w:tab w:val="left" w:pos="2352"/>
              </w:tabs>
              <w:autoSpaceDE w:val="0"/>
              <w:autoSpaceDN w:val="0"/>
              <w:adjustRightInd w:val="0"/>
              <w:spacing w:line="360" w:lineRule="exact"/>
              <w:jc w:val="center"/>
              <w:rPr>
                <w:rFonts w:ascii="宋体" w:hAnsi="宋体" w:cs="宋体"/>
                <w:color w:val="auto"/>
                <w:sz w:val="24"/>
                <w:highlight w:val="none"/>
                <w:lang w:val="zh-CN"/>
              </w:rPr>
            </w:pPr>
          </w:p>
        </w:tc>
        <w:tc>
          <w:tcPr>
            <w:tcW w:w="1620" w:type="dxa"/>
            <w:tcBorders>
              <w:top w:val="single" w:color="auto" w:sz="6" w:space="0"/>
              <w:left w:val="single" w:color="auto" w:sz="6" w:space="0"/>
              <w:bottom w:val="single" w:color="auto" w:sz="6" w:space="0"/>
              <w:right w:val="single" w:color="auto" w:sz="6" w:space="0"/>
            </w:tcBorders>
          </w:tcPr>
          <w:p w14:paraId="52BA2C56">
            <w:pPr>
              <w:tabs>
                <w:tab w:val="left" w:pos="1069"/>
                <w:tab w:val="left" w:pos="2352"/>
              </w:tabs>
              <w:autoSpaceDE w:val="0"/>
              <w:autoSpaceDN w:val="0"/>
              <w:adjustRightInd w:val="0"/>
              <w:spacing w:line="360" w:lineRule="exact"/>
              <w:jc w:val="center"/>
              <w:rPr>
                <w:rFonts w:ascii="宋体" w:hAnsi="宋体" w:cs="宋体"/>
                <w:color w:val="auto"/>
                <w:sz w:val="24"/>
                <w:highlight w:val="none"/>
                <w:lang w:val="zh-CN"/>
              </w:rPr>
            </w:pPr>
          </w:p>
        </w:tc>
        <w:tc>
          <w:tcPr>
            <w:tcW w:w="2220" w:type="dxa"/>
            <w:tcBorders>
              <w:top w:val="single" w:color="auto" w:sz="6" w:space="0"/>
              <w:left w:val="single" w:color="auto" w:sz="6" w:space="0"/>
              <w:bottom w:val="single" w:color="auto" w:sz="6" w:space="0"/>
              <w:right w:val="single" w:color="auto" w:sz="6" w:space="0"/>
            </w:tcBorders>
          </w:tcPr>
          <w:p w14:paraId="1CB428E9">
            <w:pPr>
              <w:tabs>
                <w:tab w:val="left" w:pos="1069"/>
                <w:tab w:val="left" w:pos="2352"/>
              </w:tabs>
              <w:autoSpaceDE w:val="0"/>
              <w:autoSpaceDN w:val="0"/>
              <w:adjustRightInd w:val="0"/>
              <w:spacing w:line="360" w:lineRule="exact"/>
              <w:jc w:val="center"/>
              <w:rPr>
                <w:rFonts w:ascii="宋体" w:hAnsi="宋体" w:cs="宋体"/>
                <w:color w:val="auto"/>
                <w:sz w:val="24"/>
                <w:highlight w:val="none"/>
                <w:lang w:val="zh-CN"/>
              </w:rPr>
            </w:pPr>
          </w:p>
        </w:tc>
        <w:tc>
          <w:tcPr>
            <w:tcW w:w="2220" w:type="dxa"/>
            <w:tcBorders>
              <w:top w:val="single" w:color="auto" w:sz="6" w:space="0"/>
              <w:left w:val="single" w:color="auto" w:sz="6" w:space="0"/>
              <w:bottom w:val="single" w:color="auto" w:sz="6" w:space="0"/>
              <w:right w:val="single" w:color="auto" w:sz="6" w:space="0"/>
            </w:tcBorders>
          </w:tcPr>
          <w:p w14:paraId="79F031DE">
            <w:pPr>
              <w:tabs>
                <w:tab w:val="left" w:pos="1069"/>
                <w:tab w:val="left" w:pos="2352"/>
              </w:tabs>
              <w:autoSpaceDE w:val="0"/>
              <w:autoSpaceDN w:val="0"/>
              <w:adjustRightInd w:val="0"/>
              <w:spacing w:line="360" w:lineRule="exact"/>
              <w:jc w:val="center"/>
              <w:rPr>
                <w:rFonts w:ascii="宋体" w:hAnsi="宋体" w:cs="宋体"/>
                <w:color w:val="auto"/>
                <w:sz w:val="24"/>
                <w:highlight w:val="none"/>
                <w:lang w:val="zh-CN"/>
              </w:rPr>
            </w:pPr>
          </w:p>
        </w:tc>
        <w:tc>
          <w:tcPr>
            <w:tcW w:w="2295" w:type="dxa"/>
            <w:tcBorders>
              <w:top w:val="single" w:color="auto" w:sz="6" w:space="0"/>
              <w:left w:val="single" w:color="auto" w:sz="6" w:space="0"/>
              <w:bottom w:val="single" w:color="auto" w:sz="6" w:space="0"/>
              <w:right w:val="single" w:color="auto" w:sz="6" w:space="0"/>
            </w:tcBorders>
          </w:tcPr>
          <w:p w14:paraId="384ECCB2">
            <w:pPr>
              <w:tabs>
                <w:tab w:val="left" w:pos="1069"/>
                <w:tab w:val="left" w:pos="2352"/>
              </w:tabs>
              <w:autoSpaceDE w:val="0"/>
              <w:autoSpaceDN w:val="0"/>
              <w:adjustRightInd w:val="0"/>
              <w:spacing w:line="360" w:lineRule="exact"/>
              <w:jc w:val="center"/>
              <w:rPr>
                <w:rFonts w:ascii="宋体" w:hAnsi="宋体" w:cs="宋体"/>
                <w:color w:val="auto"/>
                <w:sz w:val="24"/>
                <w:highlight w:val="none"/>
                <w:lang w:val="zh-CN"/>
              </w:rPr>
            </w:pPr>
          </w:p>
        </w:tc>
      </w:tr>
    </w:tbl>
    <w:p w14:paraId="4DA8ADF3">
      <w:pPr>
        <w:tabs>
          <w:tab w:val="left" w:pos="1069"/>
          <w:tab w:val="left" w:pos="2352"/>
        </w:tabs>
        <w:autoSpaceDE w:val="0"/>
        <w:autoSpaceDN w:val="0"/>
        <w:adjustRightInd w:val="0"/>
        <w:spacing w:line="360" w:lineRule="exact"/>
        <w:rPr>
          <w:rFonts w:ascii="宋体" w:hAnsi="宋体" w:cs="宋体"/>
          <w:color w:val="auto"/>
          <w:sz w:val="24"/>
          <w:highlight w:val="none"/>
          <w:lang w:val="zh-CN"/>
        </w:rPr>
      </w:pPr>
      <w:r>
        <w:rPr>
          <w:rFonts w:hint="eastAsia" w:ascii="宋体" w:hAnsi="宋体" w:cs="宋体"/>
          <w:color w:val="auto"/>
          <w:sz w:val="24"/>
          <w:highlight w:val="none"/>
          <w:lang w:val="zh-CN"/>
        </w:rPr>
        <w:t>供应商盖章：</w:t>
      </w:r>
    </w:p>
    <w:p w14:paraId="2CE6CB42">
      <w:pPr>
        <w:tabs>
          <w:tab w:val="left" w:pos="1069"/>
          <w:tab w:val="left" w:pos="2352"/>
        </w:tabs>
        <w:autoSpaceDE w:val="0"/>
        <w:autoSpaceDN w:val="0"/>
        <w:adjustRightInd w:val="0"/>
        <w:spacing w:line="360" w:lineRule="exact"/>
        <w:rPr>
          <w:rFonts w:ascii="宋体" w:hAnsi="宋体" w:cs="宋体"/>
          <w:color w:val="auto"/>
          <w:sz w:val="32"/>
          <w:highlight w:val="none"/>
          <w:lang w:val="zh-CN"/>
        </w:rPr>
      </w:pPr>
    </w:p>
    <w:p w14:paraId="0DADBCB0">
      <w:pPr>
        <w:pStyle w:val="12"/>
        <w:tabs>
          <w:tab w:val="left" w:pos="1069"/>
          <w:tab w:val="left" w:pos="2352"/>
        </w:tabs>
        <w:spacing w:line="360" w:lineRule="exact"/>
        <w:jc w:val="center"/>
        <w:rPr>
          <w:rFonts w:hAnsi="宋体" w:cs="宋体"/>
          <w:b/>
          <w:bCs/>
          <w:color w:val="auto"/>
          <w:sz w:val="32"/>
          <w:highlight w:val="none"/>
          <w:lang w:val="zh-CN"/>
        </w:rPr>
      </w:pPr>
      <w:bookmarkStart w:id="256" w:name="_Toc4031_WPSOffice_Level3"/>
      <w:r>
        <w:rPr>
          <w:rFonts w:hint="eastAsia" w:hAnsi="宋体" w:cs="宋体"/>
          <w:b/>
          <w:bCs/>
          <w:color w:val="auto"/>
          <w:sz w:val="32"/>
          <w:highlight w:val="none"/>
          <w:lang w:val="zh-CN"/>
        </w:rPr>
        <w:t>（二）技术偏离表</w:t>
      </w:r>
      <w:bookmarkEnd w:id="256"/>
    </w:p>
    <w:tbl>
      <w:tblPr>
        <w:tblStyle w:val="31"/>
        <w:tblW w:w="0" w:type="auto"/>
        <w:tblInd w:w="108" w:type="dxa"/>
        <w:tblLayout w:type="fixed"/>
        <w:tblCellMar>
          <w:top w:w="0" w:type="dxa"/>
          <w:left w:w="108" w:type="dxa"/>
          <w:bottom w:w="0" w:type="dxa"/>
          <w:right w:w="108" w:type="dxa"/>
        </w:tblCellMar>
      </w:tblPr>
      <w:tblGrid>
        <w:gridCol w:w="1080"/>
        <w:gridCol w:w="1620"/>
        <w:gridCol w:w="2220"/>
        <w:gridCol w:w="2220"/>
        <w:gridCol w:w="2295"/>
      </w:tblGrid>
      <w:tr w14:paraId="36BE375E">
        <w:tblPrEx>
          <w:tblCellMar>
            <w:top w:w="0" w:type="dxa"/>
            <w:left w:w="108" w:type="dxa"/>
            <w:bottom w:w="0" w:type="dxa"/>
            <w:right w:w="108" w:type="dxa"/>
          </w:tblCellMar>
        </w:tblPrEx>
        <w:trPr>
          <w:trHeight w:val="918" w:hRule="atLeast"/>
        </w:trPr>
        <w:tc>
          <w:tcPr>
            <w:tcW w:w="1080" w:type="dxa"/>
            <w:tcBorders>
              <w:top w:val="single" w:color="auto" w:sz="6" w:space="0"/>
              <w:left w:val="single" w:color="auto" w:sz="6" w:space="0"/>
              <w:bottom w:val="single" w:color="auto" w:sz="6" w:space="0"/>
              <w:right w:val="single" w:color="auto" w:sz="6" w:space="0"/>
            </w:tcBorders>
            <w:vAlign w:val="center"/>
          </w:tcPr>
          <w:p w14:paraId="1A20AF7E">
            <w:pPr>
              <w:tabs>
                <w:tab w:val="left" w:pos="1069"/>
                <w:tab w:val="left" w:pos="2352"/>
              </w:tabs>
              <w:autoSpaceDE w:val="0"/>
              <w:autoSpaceDN w:val="0"/>
              <w:adjustRightInd w:val="0"/>
              <w:spacing w:line="360" w:lineRule="exact"/>
              <w:jc w:val="center"/>
              <w:rPr>
                <w:rFonts w:ascii="宋体" w:hAnsi="宋体" w:cs="宋体"/>
                <w:color w:val="auto"/>
                <w:sz w:val="22"/>
                <w:highlight w:val="none"/>
                <w:lang w:val="zh-CN"/>
              </w:rPr>
            </w:pPr>
            <w:r>
              <w:rPr>
                <w:rFonts w:hint="eastAsia" w:ascii="宋体" w:hAnsi="宋体" w:cs="宋体"/>
                <w:color w:val="auto"/>
                <w:sz w:val="22"/>
                <w:highlight w:val="none"/>
                <w:lang w:val="zh-CN"/>
              </w:rPr>
              <w:t>序号</w:t>
            </w:r>
          </w:p>
        </w:tc>
        <w:tc>
          <w:tcPr>
            <w:tcW w:w="1620" w:type="dxa"/>
            <w:tcBorders>
              <w:top w:val="single" w:color="auto" w:sz="6" w:space="0"/>
              <w:left w:val="single" w:color="auto" w:sz="6" w:space="0"/>
              <w:bottom w:val="single" w:color="auto" w:sz="6" w:space="0"/>
              <w:right w:val="single" w:color="auto" w:sz="6" w:space="0"/>
            </w:tcBorders>
            <w:vAlign w:val="center"/>
          </w:tcPr>
          <w:p w14:paraId="2C358C0D">
            <w:pPr>
              <w:tabs>
                <w:tab w:val="left" w:pos="1069"/>
                <w:tab w:val="left" w:pos="2352"/>
              </w:tabs>
              <w:autoSpaceDE w:val="0"/>
              <w:autoSpaceDN w:val="0"/>
              <w:adjustRightInd w:val="0"/>
              <w:spacing w:line="360" w:lineRule="exact"/>
              <w:jc w:val="center"/>
              <w:rPr>
                <w:rFonts w:ascii="宋体" w:hAnsi="宋体" w:cs="宋体"/>
                <w:color w:val="auto"/>
                <w:sz w:val="22"/>
                <w:highlight w:val="none"/>
                <w:lang w:val="zh-CN"/>
              </w:rPr>
            </w:pPr>
            <w:r>
              <w:rPr>
                <w:rFonts w:hint="eastAsia" w:ascii="宋体" w:hAnsi="宋体" w:cs="宋体"/>
                <w:color w:val="auto"/>
                <w:sz w:val="22"/>
                <w:highlight w:val="none"/>
                <w:lang w:val="zh-CN"/>
              </w:rPr>
              <w:t>内容</w:t>
            </w:r>
          </w:p>
        </w:tc>
        <w:tc>
          <w:tcPr>
            <w:tcW w:w="2220" w:type="dxa"/>
            <w:tcBorders>
              <w:top w:val="single" w:color="auto" w:sz="6" w:space="0"/>
              <w:left w:val="single" w:color="auto" w:sz="6" w:space="0"/>
              <w:bottom w:val="single" w:color="auto" w:sz="6" w:space="0"/>
              <w:right w:val="single" w:color="auto" w:sz="6" w:space="0"/>
            </w:tcBorders>
            <w:vAlign w:val="center"/>
          </w:tcPr>
          <w:p w14:paraId="0A6E4B29">
            <w:pPr>
              <w:tabs>
                <w:tab w:val="left" w:pos="1069"/>
                <w:tab w:val="left" w:pos="2352"/>
              </w:tabs>
              <w:autoSpaceDE w:val="0"/>
              <w:autoSpaceDN w:val="0"/>
              <w:adjustRightInd w:val="0"/>
              <w:spacing w:line="360" w:lineRule="exact"/>
              <w:jc w:val="center"/>
              <w:rPr>
                <w:rFonts w:ascii="宋体" w:hAnsi="宋体" w:cs="宋体"/>
                <w:color w:val="auto"/>
                <w:sz w:val="22"/>
                <w:highlight w:val="none"/>
                <w:lang w:val="zh-CN"/>
              </w:rPr>
            </w:pPr>
            <w:r>
              <w:rPr>
                <w:rFonts w:hint="eastAsia" w:ascii="宋体" w:hAnsi="宋体" w:cs="宋体"/>
                <w:color w:val="auto"/>
                <w:sz w:val="22"/>
                <w:highlight w:val="none"/>
                <w:lang w:val="zh-CN"/>
              </w:rPr>
              <w:t>竞争性磋商文件规范要求</w:t>
            </w:r>
          </w:p>
        </w:tc>
        <w:tc>
          <w:tcPr>
            <w:tcW w:w="2220" w:type="dxa"/>
            <w:tcBorders>
              <w:top w:val="single" w:color="auto" w:sz="6" w:space="0"/>
              <w:left w:val="single" w:color="auto" w:sz="6" w:space="0"/>
              <w:bottom w:val="single" w:color="auto" w:sz="6" w:space="0"/>
              <w:right w:val="single" w:color="auto" w:sz="6" w:space="0"/>
            </w:tcBorders>
            <w:vAlign w:val="center"/>
          </w:tcPr>
          <w:p w14:paraId="67843A7C">
            <w:pPr>
              <w:tabs>
                <w:tab w:val="left" w:pos="1069"/>
                <w:tab w:val="left" w:pos="2352"/>
              </w:tabs>
              <w:autoSpaceDE w:val="0"/>
              <w:autoSpaceDN w:val="0"/>
              <w:adjustRightInd w:val="0"/>
              <w:spacing w:line="360" w:lineRule="exact"/>
              <w:jc w:val="center"/>
              <w:rPr>
                <w:rFonts w:ascii="宋体" w:hAnsi="宋体" w:cs="宋体"/>
                <w:color w:val="auto"/>
                <w:sz w:val="22"/>
                <w:highlight w:val="none"/>
                <w:lang w:val="zh-CN"/>
              </w:rPr>
            </w:pPr>
            <w:r>
              <w:rPr>
                <w:rFonts w:hint="eastAsia" w:ascii="宋体" w:hAnsi="宋体" w:cs="宋体"/>
                <w:color w:val="auto"/>
                <w:sz w:val="22"/>
                <w:highlight w:val="none"/>
                <w:lang w:val="zh-CN"/>
              </w:rPr>
              <w:t>投标（响应）文件</w:t>
            </w:r>
          </w:p>
          <w:p w14:paraId="0A42ED1F">
            <w:pPr>
              <w:tabs>
                <w:tab w:val="left" w:pos="1069"/>
                <w:tab w:val="left" w:pos="2352"/>
              </w:tabs>
              <w:autoSpaceDE w:val="0"/>
              <w:autoSpaceDN w:val="0"/>
              <w:adjustRightInd w:val="0"/>
              <w:spacing w:line="360" w:lineRule="exact"/>
              <w:jc w:val="center"/>
              <w:rPr>
                <w:rFonts w:ascii="宋体" w:hAnsi="宋体" w:cs="宋体"/>
                <w:color w:val="auto"/>
                <w:sz w:val="22"/>
                <w:highlight w:val="none"/>
                <w:lang w:val="zh-CN"/>
              </w:rPr>
            </w:pPr>
            <w:r>
              <w:rPr>
                <w:rFonts w:hint="eastAsia" w:ascii="宋体" w:hAnsi="宋体" w:cs="宋体"/>
                <w:color w:val="auto"/>
                <w:sz w:val="22"/>
                <w:highlight w:val="none"/>
                <w:lang w:val="zh-CN"/>
              </w:rPr>
              <w:t>对应规范</w:t>
            </w:r>
          </w:p>
        </w:tc>
        <w:tc>
          <w:tcPr>
            <w:tcW w:w="2295" w:type="dxa"/>
            <w:tcBorders>
              <w:top w:val="single" w:color="auto" w:sz="6" w:space="0"/>
              <w:left w:val="single" w:color="auto" w:sz="6" w:space="0"/>
              <w:bottom w:val="single" w:color="auto" w:sz="6" w:space="0"/>
              <w:right w:val="single" w:color="auto" w:sz="6" w:space="0"/>
            </w:tcBorders>
            <w:vAlign w:val="center"/>
          </w:tcPr>
          <w:p w14:paraId="5F37AD5D">
            <w:pPr>
              <w:tabs>
                <w:tab w:val="left" w:pos="1069"/>
                <w:tab w:val="left" w:pos="2352"/>
              </w:tabs>
              <w:autoSpaceDE w:val="0"/>
              <w:autoSpaceDN w:val="0"/>
              <w:adjustRightInd w:val="0"/>
              <w:spacing w:line="360" w:lineRule="exact"/>
              <w:jc w:val="center"/>
              <w:rPr>
                <w:rFonts w:ascii="宋体" w:hAnsi="宋体" w:cs="宋体"/>
                <w:color w:val="auto"/>
                <w:sz w:val="22"/>
                <w:highlight w:val="none"/>
                <w:lang w:val="zh-CN"/>
              </w:rPr>
            </w:pPr>
            <w:r>
              <w:rPr>
                <w:rFonts w:hint="eastAsia" w:ascii="宋体" w:hAnsi="宋体" w:cs="宋体"/>
                <w:color w:val="auto"/>
                <w:sz w:val="22"/>
                <w:highlight w:val="none"/>
                <w:lang w:val="zh-CN"/>
              </w:rPr>
              <w:t>备注</w:t>
            </w:r>
          </w:p>
        </w:tc>
      </w:tr>
      <w:tr w14:paraId="2118361F">
        <w:tblPrEx>
          <w:tblCellMar>
            <w:top w:w="0" w:type="dxa"/>
            <w:left w:w="108" w:type="dxa"/>
            <w:bottom w:w="0" w:type="dxa"/>
            <w:right w:w="108" w:type="dxa"/>
          </w:tblCellMar>
        </w:tblPrEx>
        <w:tc>
          <w:tcPr>
            <w:tcW w:w="1080" w:type="dxa"/>
            <w:tcBorders>
              <w:top w:val="single" w:color="auto" w:sz="6" w:space="0"/>
              <w:left w:val="single" w:color="auto" w:sz="6" w:space="0"/>
              <w:bottom w:val="single" w:color="auto" w:sz="6" w:space="0"/>
              <w:right w:val="single" w:color="auto" w:sz="6" w:space="0"/>
            </w:tcBorders>
          </w:tcPr>
          <w:p w14:paraId="5C86CC49">
            <w:pPr>
              <w:tabs>
                <w:tab w:val="left" w:pos="1069"/>
                <w:tab w:val="left" w:pos="2352"/>
              </w:tabs>
              <w:autoSpaceDE w:val="0"/>
              <w:autoSpaceDN w:val="0"/>
              <w:adjustRightInd w:val="0"/>
              <w:spacing w:line="360" w:lineRule="exact"/>
              <w:jc w:val="center"/>
              <w:rPr>
                <w:rFonts w:ascii="宋体" w:hAnsi="宋体" w:cs="宋体"/>
                <w:color w:val="auto"/>
                <w:sz w:val="22"/>
                <w:highlight w:val="none"/>
                <w:lang w:val="zh-CN"/>
              </w:rPr>
            </w:pPr>
          </w:p>
        </w:tc>
        <w:tc>
          <w:tcPr>
            <w:tcW w:w="1620" w:type="dxa"/>
            <w:tcBorders>
              <w:top w:val="single" w:color="auto" w:sz="6" w:space="0"/>
              <w:left w:val="single" w:color="auto" w:sz="6" w:space="0"/>
              <w:bottom w:val="single" w:color="auto" w:sz="6" w:space="0"/>
              <w:right w:val="single" w:color="auto" w:sz="6" w:space="0"/>
            </w:tcBorders>
          </w:tcPr>
          <w:p w14:paraId="29FECE33">
            <w:pPr>
              <w:tabs>
                <w:tab w:val="left" w:pos="1069"/>
                <w:tab w:val="left" w:pos="2352"/>
              </w:tabs>
              <w:autoSpaceDE w:val="0"/>
              <w:autoSpaceDN w:val="0"/>
              <w:adjustRightInd w:val="0"/>
              <w:spacing w:line="360" w:lineRule="exact"/>
              <w:jc w:val="center"/>
              <w:rPr>
                <w:rFonts w:ascii="宋体" w:hAnsi="宋体" w:cs="宋体"/>
                <w:color w:val="auto"/>
                <w:sz w:val="22"/>
                <w:highlight w:val="none"/>
                <w:lang w:val="zh-CN"/>
              </w:rPr>
            </w:pPr>
          </w:p>
        </w:tc>
        <w:tc>
          <w:tcPr>
            <w:tcW w:w="2220" w:type="dxa"/>
            <w:tcBorders>
              <w:top w:val="single" w:color="auto" w:sz="6" w:space="0"/>
              <w:left w:val="single" w:color="auto" w:sz="6" w:space="0"/>
              <w:bottom w:val="single" w:color="auto" w:sz="6" w:space="0"/>
              <w:right w:val="single" w:color="auto" w:sz="6" w:space="0"/>
            </w:tcBorders>
          </w:tcPr>
          <w:p w14:paraId="5F9F68E3">
            <w:pPr>
              <w:tabs>
                <w:tab w:val="left" w:pos="1069"/>
                <w:tab w:val="left" w:pos="2352"/>
              </w:tabs>
              <w:autoSpaceDE w:val="0"/>
              <w:autoSpaceDN w:val="0"/>
              <w:adjustRightInd w:val="0"/>
              <w:spacing w:line="360" w:lineRule="exact"/>
              <w:jc w:val="center"/>
              <w:rPr>
                <w:rFonts w:ascii="宋体" w:hAnsi="宋体" w:cs="宋体"/>
                <w:color w:val="auto"/>
                <w:sz w:val="22"/>
                <w:highlight w:val="none"/>
                <w:lang w:val="zh-CN"/>
              </w:rPr>
            </w:pPr>
          </w:p>
        </w:tc>
        <w:tc>
          <w:tcPr>
            <w:tcW w:w="2220" w:type="dxa"/>
            <w:tcBorders>
              <w:top w:val="single" w:color="auto" w:sz="6" w:space="0"/>
              <w:left w:val="single" w:color="auto" w:sz="6" w:space="0"/>
              <w:bottom w:val="single" w:color="auto" w:sz="6" w:space="0"/>
              <w:right w:val="single" w:color="auto" w:sz="6" w:space="0"/>
            </w:tcBorders>
          </w:tcPr>
          <w:p w14:paraId="7D77ADBF">
            <w:pPr>
              <w:tabs>
                <w:tab w:val="left" w:pos="1069"/>
                <w:tab w:val="left" w:pos="2352"/>
              </w:tabs>
              <w:autoSpaceDE w:val="0"/>
              <w:autoSpaceDN w:val="0"/>
              <w:adjustRightInd w:val="0"/>
              <w:spacing w:line="360" w:lineRule="exact"/>
              <w:jc w:val="center"/>
              <w:rPr>
                <w:rFonts w:ascii="宋体" w:hAnsi="宋体" w:cs="宋体"/>
                <w:color w:val="auto"/>
                <w:sz w:val="22"/>
                <w:highlight w:val="none"/>
                <w:lang w:val="zh-CN"/>
              </w:rPr>
            </w:pPr>
          </w:p>
        </w:tc>
        <w:tc>
          <w:tcPr>
            <w:tcW w:w="2295" w:type="dxa"/>
            <w:tcBorders>
              <w:top w:val="single" w:color="auto" w:sz="6" w:space="0"/>
              <w:left w:val="single" w:color="auto" w:sz="6" w:space="0"/>
              <w:bottom w:val="single" w:color="auto" w:sz="6" w:space="0"/>
              <w:right w:val="single" w:color="auto" w:sz="6" w:space="0"/>
            </w:tcBorders>
          </w:tcPr>
          <w:p w14:paraId="08C46606">
            <w:pPr>
              <w:tabs>
                <w:tab w:val="left" w:pos="1069"/>
                <w:tab w:val="left" w:pos="2352"/>
              </w:tabs>
              <w:autoSpaceDE w:val="0"/>
              <w:autoSpaceDN w:val="0"/>
              <w:adjustRightInd w:val="0"/>
              <w:spacing w:line="360" w:lineRule="exact"/>
              <w:jc w:val="center"/>
              <w:rPr>
                <w:rFonts w:ascii="宋体" w:hAnsi="宋体" w:cs="宋体"/>
                <w:color w:val="auto"/>
                <w:sz w:val="22"/>
                <w:highlight w:val="none"/>
                <w:lang w:val="zh-CN"/>
              </w:rPr>
            </w:pPr>
          </w:p>
        </w:tc>
      </w:tr>
      <w:tr w14:paraId="56C0AAEB">
        <w:tblPrEx>
          <w:tblCellMar>
            <w:top w:w="0" w:type="dxa"/>
            <w:left w:w="108" w:type="dxa"/>
            <w:bottom w:w="0" w:type="dxa"/>
            <w:right w:w="108" w:type="dxa"/>
          </w:tblCellMar>
        </w:tblPrEx>
        <w:tc>
          <w:tcPr>
            <w:tcW w:w="1080" w:type="dxa"/>
            <w:tcBorders>
              <w:top w:val="single" w:color="auto" w:sz="6" w:space="0"/>
              <w:left w:val="single" w:color="auto" w:sz="6" w:space="0"/>
              <w:bottom w:val="single" w:color="auto" w:sz="6" w:space="0"/>
              <w:right w:val="single" w:color="auto" w:sz="6" w:space="0"/>
            </w:tcBorders>
          </w:tcPr>
          <w:p w14:paraId="1FB51B9D">
            <w:pPr>
              <w:tabs>
                <w:tab w:val="left" w:pos="1069"/>
                <w:tab w:val="left" w:pos="2352"/>
              </w:tabs>
              <w:autoSpaceDE w:val="0"/>
              <w:autoSpaceDN w:val="0"/>
              <w:adjustRightInd w:val="0"/>
              <w:spacing w:line="360" w:lineRule="exact"/>
              <w:jc w:val="center"/>
              <w:rPr>
                <w:rFonts w:ascii="宋体" w:hAnsi="宋体" w:cs="宋体"/>
                <w:color w:val="auto"/>
                <w:sz w:val="22"/>
                <w:highlight w:val="none"/>
                <w:lang w:val="zh-CN"/>
              </w:rPr>
            </w:pPr>
          </w:p>
        </w:tc>
        <w:tc>
          <w:tcPr>
            <w:tcW w:w="1620" w:type="dxa"/>
            <w:tcBorders>
              <w:top w:val="single" w:color="auto" w:sz="6" w:space="0"/>
              <w:left w:val="single" w:color="auto" w:sz="6" w:space="0"/>
              <w:bottom w:val="single" w:color="auto" w:sz="6" w:space="0"/>
              <w:right w:val="single" w:color="auto" w:sz="6" w:space="0"/>
            </w:tcBorders>
          </w:tcPr>
          <w:p w14:paraId="4D611704">
            <w:pPr>
              <w:tabs>
                <w:tab w:val="left" w:pos="1069"/>
                <w:tab w:val="left" w:pos="2352"/>
              </w:tabs>
              <w:autoSpaceDE w:val="0"/>
              <w:autoSpaceDN w:val="0"/>
              <w:adjustRightInd w:val="0"/>
              <w:spacing w:line="360" w:lineRule="exact"/>
              <w:jc w:val="center"/>
              <w:rPr>
                <w:rFonts w:ascii="宋体" w:hAnsi="宋体" w:cs="宋体"/>
                <w:color w:val="auto"/>
                <w:sz w:val="22"/>
                <w:highlight w:val="none"/>
                <w:lang w:val="zh-CN"/>
              </w:rPr>
            </w:pPr>
          </w:p>
        </w:tc>
        <w:tc>
          <w:tcPr>
            <w:tcW w:w="2220" w:type="dxa"/>
            <w:tcBorders>
              <w:top w:val="single" w:color="auto" w:sz="6" w:space="0"/>
              <w:left w:val="single" w:color="auto" w:sz="6" w:space="0"/>
              <w:bottom w:val="single" w:color="auto" w:sz="6" w:space="0"/>
              <w:right w:val="single" w:color="auto" w:sz="6" w:space="0"/>
            </w:tcBorders>
          </w:tcPr>
          <w:p w14:paraId="61ECA239">
            <w:pPr>
              <w:tabs>
                <w:tab w:val="left" w:pos="1069"/>
                <w:tab w:val="left" w:pos="2352"/>
              </w:tabs>
              <w:autoSpaceDE w:val="0"/>
              <w:autoSpaceDN w:val="0"/>
              <w:adjustRightInd w:val="0"/>
              <w:spacing w:line="360" w:lineRule="exact"/>
              <w:jc w:val="center"/>
              <w:rPr>
                <w:rFonts w:ascii="宋体" w:hAnsi="宋体" w:cs="宋体"/>
                <w:color w:val="auto"/>
                <w:sz w:val="22"/>
                <w:highlight w:val="none"/>
                <w:lang w:val="zh-CN"/>
              </w:rPr>
            </w:pPr>
          </w:p>
        </w:tc>
        <w:tc>
          <w:tcPr>
            <w:tcW w:w="2220" w:type="dxa"/>
            <w:tcBorders>
              <w:top w:val="single" w:color="auto" w:sz="6" w:space="0"/>
              <w:left w:val="single" w:color="auto" w:sz="6" w:space="0"/>
              <w:bottom w:val="single" w:color="auto" w:sz="6" w:space="0"/>
              <w:right w:val="single" w:color="auto" w:sz="6" w:space="0"/>
            </w:tcBorders>
          </w:tcPr>
          <w:p w14:paraId="0A83646C">
            <w:pPr>
              <w:tabs>
                <w:tab w:val="left" w:pos="1069"/>
                <w:tab w:val="left" w:pos="2352"/>
              </w:tabs>
              <w:autoSpaceDE w:val="0"/>
              <w:autoSpaceDN w:val="0"/>
              <w:adjustRightInd w:val="0"/>
              <w:spacing w:line="360" w:lineRule="exact"/>
              <w:jc w:val="center"/>
              <w:rPr>
                <w:rFonts w:ascii="宋体" w:hAnsi="宋体" w:cs="宋体"/>
                <w:color w:val="auto"/>
                <w:sz w:val="22"/>
                <w:highlight w:val="none"/>
                <w:lang w:val="zh-CN"/>
              </w:rPr>
            </w:pPr>
          </w:p>
        </w:tc>
        <w:tc>
          <w:tcPr>
            <w:tcW w:w="2295" w:type="dxa"/>
            <w:tcBorders>
              <w:top w:val="single" w:color="auto" w:sz="6" w:space="0"/>
              <w:left w:val="single" w:color="auto" w:sz="6" w:space="0"/>
              <w:bottom w:val="single" w:color="auto" w:sz="6" w:space="0"/>
              <w:right w:val="single" w:color="auto" w:sz="6" w:space="0"/>
            </w:tcBorders>
          </w:tcPr>
          <w:p w14:paraId="58B89F00">
            <w:pPr>
              <w:tabs>
                <w:tab w:val="left" w:pos="1069"/>
                <w:tab w:val="left" w:pos="2352"/>
              </w:tabs>
              <w:autoSpaceDE w:val="0"/>
              <w:autoSpaceDN w:val="0"/>
              <w:adjustRightInd w:val="0"/>
              <w:spacing w:line="360" w:lineRule="exact"/>
              <w:jc w:val="center"/>
              <w:rPr>
                <w:rFonts w:ascii="宋体" w:hAnsi="宋体" w:cs="宋体"/>
                <w:color w:val="auto"/>
                <w:sz w:val="22"/>
                <w:highlight w:val="none"/>
                <w:lang w:val="zh-CN"/>
              </w:rPr>
            </w:pPr>
          </w:p>
        </w:tc>
      </w:tr>
      <w:tr w14:paraId="066AB8C4">
        <w:tblPrEx>
          <w:tblCellMar>
            <w:top w:w="0" w:type="dxa"/>
            <w:left w:w="108" w:type="dxa"/>
            <w:bottom w:w="0" w:type="dxa"/>
            <w:right w:w="108" w:type="dxa"/>
          </w:tblCellMar>
        </w:tblPrEx>
        <w:tc>
          <w:tcPr>
            <w:tcW w:w="1080" w:type="dxa"/>
            <w:tcBorders>
              <w:top w:val="single" w:color="auto" w:sz="6" w:space="0"/>
              <w:left w:val="single" w:color="auto" w:sz="6" w:space="0"/>
              <w:bottom w:val="single" w:color="auto" w:sz="6" w:space="0"/>
              <w:right w:val="single" w:color="auto" w:sz="6" w:space="0"/>
            </w:tcBorders>
          </w:tcPr>
          <w:p w14:paraId="29D1269F">
            <w:pPr>
              <w:tabs>
                <w:tab w:val="left" w:pos="1069"/>
                <w:tab w:val="left" w:pos="2352"/>
              </w:tabs>
              <w:autoSpaceDE w:val="0"/>
              <w:autoSpaceDN w:val="0"/>
              <w:adjustRightInd w:val="0"/>
              <w:spacing w:line="360" w:lineRule="exact"/>
              <w:jc w:val="center"/>
              <w:rPr>
                <w:rFonts w:ascii="宋体" w:hAnsi="宋体" w:cs="宋体"/>
                <w:color w:val="auto"/>
                <w:sz w:val="22"/>
                <w:highlight w:val="none"/>
                <w:lang w:val="zh-CN"/>
              </w:rPr>
            </w:pPr>
          </w:p>
        </w:tc>
        <w:tc>
          <w:tcPr>
            <w:tcW w:w="1620" w:type="dxa"/>
            <w:tcBorders>
              <w:top w:val="single" w:color="auto" w:sz="6" w:space="0"/>
              <w:left w:val="single" w:color="auto" w:sz="6" w:space="0"/>
              <w:bottom w:val="single" w:color="auto" w:sz="6" w:space="0"/>
              <w:right w:val="single" w:color="auto" w:sz="6" w:space="0"/>
            </w:tcBorders>
          </w:tcPr>
          <w:p w14:paraId="183F3AAE">
            <w:pPr>
              <w:tabs>
                <w:tab w:val="left" w:pos="1069"/>
                <w:tab w:val="left" w:pos="2352"/>
              </w:tabs>
              <w:autoSpaceDE w:val="0"/>
              <w:autoSpaceDN w:val="0"/>
              <w:adjustRightInd w:val="0"/>
              <w:spacing w:line="360" w:lineRule="exact"/>
              <w:jc w:val="center"/>
              <w:rPr>
                <w:rFonts w:ascii="宋体" w:hAnsi="宋体" w:cs="宋体"/>
                <w:color w:val="auto"/>
                <w:sz w:val="22"/>
                <w:highlight w:val="none"/>
                <w:lang w:val="zh-CN"/>
              </w:rPr>
            </w:pPr>
          </w:p>
        </w:tc>
        <w:tc>
          <w:tcPr>
            <w:tcW w:w="2220" w:type="dxa"/>
            <w:tcBorders>
              <w:top w:val="single" w:color="auto" w:sz="6" w:space="0"/>
              <w:left w:val="single" w:color="auto" w:sz="6" w:space="0"/>
              <w:bottom w:val="single" w:color="auto" w:sz="6" w:space="0"/>
              <w:right w:val="single" w:color="auto" w:sz="6" w:space="0"/>
            </w:tcBorders>
          </w:tcPr>
          <w:p w14:paraId="6D168F28">
            <w:pPr>
              <w:tabs>
                <w:tab w:val="left" w:pos="1069"/>
                <w:tab w:val="left" w:pos="2352"/>
              </w:tabs>
              <w:autoSpaceDE w:val="0"/>
              <w:autoSpaceDN w:val="0"/>
              <w:adjustRightInd w:val="0"/>
              <w:spacing w:line="360" w:lineRule="exact"/>
              <w:jc w:val="center"/>
              <w:rPr>
                <w:rFonts w:ascii="宋体" w:hAnsi="宋体" w:cs="宋体"/>
                <w:color w:val="auto"/>
                <w:sz w:val="22"/>
                <w:highlight w:val="none"/>
                <w:lang w:val="zh-CN"/>
              </w:rPr>
            </w:pPr>
          </w:p>
        </w:tc>
        <w:tc>
          <w:tcPr>
            <w:tcW w:w="2220" w:type="dxa"/>
            <w:tcBorders>
              <w:top w:val="single" w:color="auto" w:sz="6" w:space="0"/>
              <w:left w:val="single" w:color="auto" w:sz="6" w:space="0"/>
              <w:bottom w:val="single" w:color="auto" w:sz="6" w:space="0"/>
              <w:right w:val="single" w:color="auto" w:sz="6" w:space="0"/>
            </w:tcBorders>
          </w:tcPr>
          <w:p w14:paraId="700EFEDD">
            <w:pPr>
              <w:tabs>
                <w:tab w:val="left" w:pos="1069"/>
                <w:tab w:val="left" w:pos="2352"/>
              </w:tabs>
              <w:autoSpaceDE w:val="0"/>
              <w:autoSpaceDN w:val="0"/>
              <w:adjustRightInd w:val="0"/>
              <w:spacing w:line="360" w:lineRule="exact"/>
              <w:jc w:val="center"/>
              <w:rPr>
                <w:rFonts w:ascii="宋体" w:hAnsi="宋体" w:cs="宋体"/>
                <w:color w:val="auto"/>
                <w:sz w:val="22"/>
                <w:highlight w:val="none"/>
                <w:lang w:val="zh-CN"/>
              </w:rPr>
            </w:pPr>
          </w:p>
        </w:tc>
        <w:tc>
          <w:tcPr>
            <w:tcW w:w="2295" w:type="dxa"/>
            <w:tcBorders>
              <w:top w:val="single" w:color="auto" w:sz="6" w:space="0"/>
              <w:left w:val="single" w:color="auto" w:sz="6" w:space="0"/>
              <w:bottom w:val="single" w:color="auto" w:sz="6" w:space="0"/>
              <w:right w:val="single" w:color="auto" w:sz="6" w:space="0"/>
            </w:tcBorders>
          </w:tcPr>
          <w:p w14:paraId="385274B3">
            <w:pPr>
              <w:tabs>
                <w:tab w:val="left" w:pos="1069"/>
                <w:tab w:val="left" w:pos="2352"/>
              </w:tabs>
              <w:autoSpaceDE w:val="0"/>
              <w:autoSpaceDN w:val="0"/>
              <w:adjustRightInd w:val="0"/>
              <w:spacing w:line="360" w:lineRule="exact"/>
              <w:jc w:val="center"/>
              <w:rPr>
                <w:rFonts w:ascii="宋体" w:hAnsi="宋体" w:cs="宋体"/>
                <w:color w:val="auto"/>
                <w:sz w:val="22"/>
                <w:highlight w:val="none"/>
                <w:lang w:val="zh-CN"/>
              </w:rPr>
            </w:pPr>
          </w:p>
        </w:tc>
      </w:tr>
      <w:tr w14:paraId="49BCD85C">
        <w:tblPrEx>
          <w:tblCellMar>
            <w:top w:w="0" w:type="dxa"/>
            <w:left w:w="108" w:type="dxa"/>
            <w:bottom w:w="0" w:type="dxa"/>
            <w:right w:w="108" w:type="dxa"/>
          </w:tblCellMar>
        </w:tblPrEx>
        <w:tc>
          <w:tcPr>
            <w:tcW w:w="1080" w:type="dxa"/>
            <w:tcBorders>
              <w:top w:val="single" w:color="auto" w:sz="6" w:space="0"/>
              <w:left w:val="single" w:color="auto" w:sz="6" w:space="0"/>
              <w:bottom w:val="single" w:color="auto" w:sz="6" w:space="0"/>
              <w:right w:val="single" w:color="auto" w:sz="6" w:space="0"/>
            </w:tcBorders>
          </w:tcPr>
          <w:p w14:paraId="4363CD4E">
            <w:pPr>
              <w:tabs>
                <w:tab w:val="left" w:pos="1069"/>
                <w:tab w:val="left" w:pos="2352"/>
              </w:tabs>
              <w:autoSpaceDE w:val="0"/>
              <w:autoSpaceDN w:val="0"/>
              <w:adjustRightInd w:val="0"/>
              <w:spacing w:line="360" w:lineRule="exact"/>
              <w:jc w:val="center"/>
              <w:rPr>
                <w:rFonts w:ascii="宋体" w:hAnsi="宋体" w:cs="宋体"/>
                <w:color w:val="auto"/>
                <w:sz w:val="22"/>
                <w:highlight w:val="none"/>
                <w:lang w:val="zh-CN"/>
              </w:rPr>
            </w:pPr>
          </w:p>
        </w:tc>
        <w:tc>
          <w:tcPr>
            <w:tcW w:w="1620" w:type="dxa"/>
            <w:tcBorders>
              <w:top w:val="single" w:color="auto" w:sz="6" w:space="0"/>
              <w:left w:val="single" w:color="auto" w:sz="6" w:space="0"/>
              <w:bottom w:val="single" w:color="auto" w:sz="6" w:space="0"/>
              <w:right w:val="single" w:color="auto" w:sz="6" w:space="0"/>
            </w:tcBorders>
          </w:tcPr>
          <w:p w14:paraId="3256598D">
            <w:pPr>
              <w:tabs>
                <w:tab w:val="left" w:pos="1069"/>
                <w:tab w:val="left" w:pos="2352"/>
              </w:tabs>
              <w:autoSpaceDE w:val="0"/>
              <w:autoSpaceDN w:val="0"/>
              <w:adjustRightInd w:val="0"/>
              <w:spacing w:line="360" w:lineRule="exact"/>
              <w:jc w:val="center"/>
              <w:rPr>
                <w:rFonts w:ascii="宋体" w:hAnsi="宋体" w:cs="宋体"/>
                <w:color w:val="auto"/>
                <w:sz w:val="22"/>
                <w:highlight w:val="none"/>
                <w:lang w:val="zh-CN"/>
              </w:rPr>
            </w:pPr>
          </w:p>
        </w:tc>
        <w:tc>
          <w:tcPr>
            <w:tcW w:w="2220" w:type="dxa"/>
            <w:tcBorders>
              <w:top w:val="single" w:color="auto" w:sz="6" w:space="0"/>
              <w:left w:val="single" w:color="auto" w:sz="6" w:space="0"/>
              <w:bottom w:val="single" w:color="auto" w:sz="6" w:space="0"/>
              <w:right w:val="single" w:color="auto" w:sz="6" w:space="0"/>
            </w:tcBorders>
          </w:tcPr>
          <w:p w14:paraId="12F8F3EB">
            <w:pPr>
              <w:tabs>
                <w:tab w:val="left" w:pos="1069"/>
                <w:tab w:val="left" w:pos="2352"/>
              </w:tabs>
              <w:autoSpaceDE w:val="0"/>
              <w:autoSpaceDN w:val="0"/>
              <w:adjustRightInd w:val="0"/>
              <w:spacing w:line="360" w:lineRule="exact"/>
              <w:jc w:val="center"/>
              <w:rPr>
                <w:rFonts w:ascii="宋体" w:hAnsi="宋体" w:cs="宋体"/>
                <w:color w:val="auto"/>
                <w:sz w:val="22"/>
                <w:highlight w:val="none"/>
                <w:lang w:val="zh-CN"/>
              </w:rPr>
            </w:pPr>
          </w:p>
        </w:tc>
        <w:tc>
          <w:tcPr>
            <w:tcW w:w="2220" w:type="dxa"/>
            <w:tcBorders>
              <w:top w:val="single" w:color="auto" w:sz="6" w:space="0"/>
              <w:left w:val="single" w:color="auto" w:sz="6" w:space="0"/>
              <w:bottom w:val="single" w:color="auto" w:sz="6" w:space="0"/>
              <w:right w:val="single" w:color="auto" w:sz="6" w:space="0"/>
            </w:tcBorders>
          </w:tcPr>
          <w:p w14:paraId="4B013857">
            <w:pPr>
              <w:tabs>
                <w:tab w:val="left" w:pos="1069"/>
                <w:tab w:val="left" w:pos="2352"/>
              </w:tabs>
              <w:autoSpaceDE w:val="0"/>
              <w:autoSpaceDN w:val="0"/>
              <w:adjustRightInd w:val="0"/>
              <w:spacing w:line="360" w:lineRule="exact"/>
              <w:jc w:val="center"/>
              <w:rPr>
                <w:rFonts w:ascii="宋体" w:hAnsi="宋体" w:cs="宋体"/>
                <w:color w:val="auto"/>
                <w:sz w:val="22"/>
                <w:highlight w:val="none"/>
                <w:lang w:val="zh-CN"/>
              </w:rPr>
            </w:pPr>
          </w:p>
        </w:tc>
        <w:tc>
          <w:tcPr>
            <w:tcW w:w="2295" w:type="dxa"/>
            <w:tcBorders>
              <w:top w:val="single" w:color="auto" w:sz="6" w:space="0"/>
              <w:left w:val="single" w:color="auto" w:sz="6" w:space="0"/>
              <w:bottom w:val="single" w:color="auto" w:sz="6" w:space="0"/>
              <w:right w:val="single" w:color="auto" w:sz="6" w:space="0"/>
            </w:tcBorders>
          </w:tcPr>
          <w:p w14:paraId="22FB957B">
            <w:pPr>
              <w:tabs>
                <w:tab w:val="left" w:pos="1069"/>
                <w:tab w:val="left" w:pos="2352"/>
              </w:tabs>
              <w:autoSpaceDE w:val="0"/>
              <w:autoSpaceDN w:val="0"/>
              <w:adjustRightInd w:val="0"/>
              <w:spacing w:line="360" w:lineRule="exact"/>
              <w:jc w:val="center"/>
              <w:rPr>
                <w:rFonts w:ascii="宋体" w:hAnsi="宋体" w:cs="宋体"/>
                <w:color w:val="auto"/>
                <w:sz w:val="22"/>
                <w:highlight w:val="none"/>
                <w:lang w:val="zh-CN"/>
              </w:rPr>
            </w:pPr>
          </w:p>
        </w:tc>
      </w:tr>
      <w:tr w14:paraId="290FF34D">
        <w:tblPrEx>
          <w:tblCellMar>
            <w:top w:w="0" w:type="dxa"/>
            <w:left w:w="108" w:type="dxa"/>
            <w:bottom w:w="0" w:type="dxa"/>
            <w:right w:w="108" w:type="dxa"/>
          </w:tblCellMar>
        </w:tblPrEx>
        <w:tc>
          <w:tcPr>
            <w:tcW w:w="1080" w:type="dxa"/>
            <w:tcBorders>
              <w:top w:val="single" w:color="auto" w:sz="6" w:space="0"/>
              <w:left w:val="single" w:color="auto" w:sz="6" w:space="0"/>
              <w:bottom w:val="single" w:color="auto" w:sz="6" w:space="0"/>
              <w:right w:val="single" w:color="auto" w:sz="6" w:space="0"/>
            </w:tcBorders>
          </w:tcPr>
          <w:p w14:paraId="3F040D73">
            <w:pPr>
              <w:tabs>
                <w:tab w:val="left" w:pos="1069"/>
                <w:tab w:val="left" w:pos="2352"/>
              </w:tabs>
              <w:autoSpaceDE w:val="0"/>
              <w:autoSpaceDN w:val="0"/>
              <w:adjustRightInd w:val="0"/>
              <w:spacing w:line="360" w:lineRule="exact"/>
              <w:jc w:val="center"/>
              <w:rPr>
                <w:rFonts w:ascii="宋体" w:hAnsi="宋体" w:cs="宋体"/>
                <w:color w:val="auto"/>
                <w:sz w:val="22"/>
                <w:highlight w:val="none"/>
                <w:lang w:val="zh-CN"/>
              </w:rPr>
            </w:pPr>
          </w:p>
        </w:tc>
        <w:tc>
          <w:tcPr>
            <w:tcW w:w="1620" w:type="dxa"/>
            <w:tcBorders>
              <w:top w:val="single" w:color="auto" w:sz="6" w:space="0"/>
              <w:left w:val="single" w:color="auto" w:sz="6" w:space="0"/>
              <w:bottom w:val="single" w:color="auto" w:sz="6" w:space="0"/>
              <w:right w:val="single" w:color="auto" w:sz="6" w:space="0"/>
            </w:tcBorders>
          </w:tcPr>
          <w:p w14:paraId="3A8A9F94">
            <w:pPr>
              <w:tabs>
                <w:tab w:val="left" w:pos="1069"/>
                <w:tab w:val="left" w:pos="2352"/>
              </w:tabs>
              <w:autoSpaceDE w:val="0"/>
              <w:autoSpaceDN w:val="0"/>
              <w:adjustRightInd w:val="0"/>
              <w:spacing w:line="360" w:lineRule="exact"/>
              <w:jc w:val="center"/>
              <w:rPr>
                <w:rFonts w:ascii="宋体" w:hAnsi="宋体" w:cs="宋体"/>
                <w:color w:val="auto"/>
                <w:sz w:val="22"/>
                <w:highlight w:val="none"/>
                <w:lang w:val="zh-CN"/>
              </w:rPr>
            </w:pPr>
          </w:p>
        </w:tc>
        <w:tc>
          <w:tcPr>
            <w:tcW w:w="2220" w:type="dxa"/>
            <w:tcBorders>
              <w:top w:val="single" w:color="auto" w:sz="6" w:space="0"/>
              <w:left w:val="single" w:color="auto" w:sz="6" w:space="0"/>
              <w:bottom w:val="single" w:color="auto" w:sz="6" w:space="0"/>
              <w:right w:val="single" w:color="auto" w:sz="6" w:space="0"/>
            </w:tcBorders>
          </w:tcPr>
          <w:p w14:paraId="4B510B2E">
            <w:pPr>
              <w:tabs>
                <w:tab w:val="left" w:pos="1069"/>
                <w:tab w:val="left" w:pos="2352"/>
              </w:tabs>
              <w:autoSpaceDE w:val="0"/>
              <w:autoSpaceDN w:val="0"/>
              <w:adjustRightInd w:val="0"/>
              <w:spacing w:line="360" w:lineRule="exact"/>
              <w:jc w:val="center"/>
              <w:rPr>
                <w:rFonts w:ascii="宋体" w:hAnsi="宋体" w:cs="宋体"/>
                <w:color w:val="auto"/>
                <w:sz w:val="22"/>
                <w:highlight w:val="none"/>
                <w:lang w:val="zh-CN"/>
              </w:rPr>
            </w:pPr>
          </w:p>
        </w:tc>
        <w:tc>
          <w:tcPr>
            <w:tcW w:w="2220" w:type="dxa"/>
            <w:tcBorders>
              <w:top w:val="single" w:color="auto" w:sz="6" w:space="0"/>
              <w:left w:val="single" w:color="auto" w:sz="6" w:space="0"/>
              <w:bottom w:val="single" w:color="auto" w:sz="6" w:space="0"/>
              <w:right w:val="single" w:color="auto" w:sz="6" w:space="0"/>
            </w:tcBorders>
          </w:tcPr>
          <w:p w14:paraId="66F994C2">
            <w:pPr>
              <w:tabs>
                <w:tab w:val="left" w:pos="1069"/>
                <w:tab w:val="left" w:pos="2352"/>
              </w:tabs>
              <w:autoSpaceDE w:val="0"/>
              <w:autoSpaceDN w:val="0"/>
              <w:adjustRightInd w:val="0"/>
              <w:spacing w:line="360" w:lineRule="exact"/>
              <w:jc w:val="center"/>
              <w:rPr>
                <w:rFonts w:ascii="宋体" w:hAnsi="宋体" w:cs="宋体"/>
                <w:color w:val="auto"/>
                <w:sz w:val="22"/>
                <w:highlight w:val="none"/>
                <w:lang w:val="zh-CN"/>
              </w:rPr>
            </w:pPr>
          </w:p>
        </w:tc>
        <w:tc>
          <w:tcPr>
            <w:tcW w:w="2295" w:type="dxa"/>
            <w:tcBorders>
              <w:top w:val="single" w:color="auto" w:sz="6" w:space="0"/>
              <w:left w:val="single" w:color="auto" w:sz="6" w:space="0"/>
              <w:bottom w:val="single" w:color="auto" w:sz="6" w:space="0"/>
              <w:right w:val="single" w:color="auto" w:sz="6" w:space="0"/>
            </w:tcBorders>
          </w:tcPr>
          <w:p w14:paraId="465FC0A8">
            <w:pPr>
              <w:tabs>
                <w:tab w:val="left" w:pos="1069"/>
                <w:tab w:val="left" w:pos="2352"/>
              </w:tabs>
              <w:autoSpaceDE w:val="0"/>
              <w:autoSpaceDN w:val="0"/>
              <w:adjustRightInd w:val="0"/>
              <w:spacing w:line="360" w:lineRule="exact"/>
              <w:jc w:val="center"/>
              <w:rPr>
                <w:rFonts w:ascii="宋体" w:hAnsi="宋体" w:cs="宋体"/>
                <w:color w:val="auto"/>
                <w:sz w:val="22"/>
                <w:highlight w:val="none"/>
                <w:lang w:val="zh-CN"/>
              </w:rPr>
            </w:pPr>
          </w:p>
        </w:tc>
      </w:tr>
      <w:tr w14:paraId="4B389B6E">
        <w:tblPrEx>
          <w:tblCellMar>
            <w:top w:w="0" w:type="dxa"/>
            <w:left w:w="108" w:type="dxa"/>
            <w:bottom w:w="0" w:type="dxa"/>
            <w:right w:w="108" w:type="dxa"/>
          </w:tblCellMar>
        </w:tblPrEx>
        <w:tc>
          <w:tcPr>
            <w:tcW w:w="1080" w:type="dxa"/>
            <w:tcBorders>
              <w:top w:val="single" w:color="auto" w:sz="6" w:space="0"/>
              <w:left w:val="single" w:color="auto" w:sz="6" w:space="0"/>
              <w:bottom w:val="single" w:color="auto" w:sz="6" w:space="0"/>
              <w:right w:val="single" w:color="auto" w:sz="6" w:space="0"/>
            </w:tcBorders>
          </w:tcPr>
          <w:p w14:paraId="6B0227EB">
            <w:pPr>
              <w:tabs>
                <w:tab w:val="left" w:pos="1069"/>
                <w:tab w:val="left" w:pos="2352"/>
              </w:tabs>
              <w:autoSpaceDE w:val="0"/>
              <w:autoSpaceDN w:val="0"/>
              <w:adjustRightInd w:val="0"/>
              <w:spacing w:line="360" w:lineRule="exact"/>
              <w:jc w:val="center"/>
              <w:rPr>
                <w:rFonts w:ascii="宋体" w:hAnsi="宋体" w:cs="宋体"/>
                <w:color w:val="auto"/>
                <w:sz w:val="22"/>
                <w:highlight w:val="none"/>
                <w:lang w:val="zh-CN"/>
              </w:rPr>
            </w:pPr>
          </w:p>
        </w:tc>
        <w:tc>
          <w:tcPr>
            <w:tcW w:w="1620" w:type="dxa"/>
            <w:tcBorders>
              <w:top w:val="single" w:color="auto" w:sz="6" w:space="0"/>
              <w:left w:val="single" w:color="auto" w:sz="6" w:space="0"/>
              <w:bottom w:val="single" w:color="auto" w:sz="6" w:space="0"/>
              <w:right w:val="single" w:color="auto" w:sz="6" w:space="0"/>
            </w:tcBorders>
          </w:tcPr>
          <w:p w14:paraId="4B716291">
            <w:pPr>
              <w:tabs>
                <w:tab w:val="left" w:pos="1069"/>
                <w:tab w:val="left" w:pos="2352"/>
              </w:tabs>
              <w:autoSpaceDE w:val="0"/>
              <w:autoSpaceDN w:val="0"/>
              <w:adjustRightInd w:val="0"/>
              <w:spacing w:line="360" w:lineRule="exact"/>
              <w:jc w:val="center"/>
              <w:rPr>
                <w:rFonts w:ascii="宋体" w:hAnsi="宋体" w:cs="宋体"/>
                <w:color w:val="auto"/>
                <w:sz w:val="22"/>
                <w:highlight w:val="none"/>
                <w:lang w:val="zh-CN"/>
              </w:rPr>
            </w:pPr>
          </w:p>
        </w:tc>
        <w:tc>
          <w:tcPr>
            <w:tcW w:w="2220" w:type="dxa"/>
            <w:tcBorders>
              <w:top w:val="single" w:color="auto" w:sz="6" w:space="0"/>
              <w:left w:val="single" w:color="auto" w:sz="6" w:space="0"/>
              <w:bottom w:val="single" w:color="auto" w:sz="6" w:space="0"/>
              <w:right w:val="single" w:color="auto" w:sz="6" w:space="0"/>
            </w:tcBorders>
          </w:tcPr>
          <w:p w14:paraId="310E9EEB">
            <w:pPr>
              <w:tabs>
                <w:tab w:val="left" w:pos="1069"/>
                <w:tab w:val="left" w:pos="2352"/>
              </w:tabs>
              <w:autoSpaceDE w:val="0"/>
              <w:autoSpaceDN w:val="0"/>
              <w:adjustRightInd w:val="0"/>
              <w:spacing w:line="360" w:lineRule="exact"/>
              <w:jc w:val="center"/>
              <w:rPr>
                <w:rFonts w:ascii="宋体" w:hAnsi="宋体" w:cs="宋体"/>
                <w:color w:val="auto"/>
                <w:sz w:val="22"/>
                <w:highlight w:val="none"/>
                <w:lang w:val="zh-CN"/>
              </w:rPr>
            </w:pPr>
          </w:p>
        </w:tc>
        <w:tc>
          <w:tcPr>
            <w:tcW w:w="2220" w:type="dxa"/>
            <w:tcBorders>
              <w:top w:val="single" w:color="auto" w:sz="6" w:space="0"/>
              <w:left w:val="single" w:color="auto" w:sz="6" w:space="0"/>
              <w:bottom w:val="single" w:color="auto" w:sz="6" w:space="0"/>
              <w:right w:val="single" w:color="auto" w:sz="6" w:space="0"/>
            </w:tcBorders>
          </w:tcPr>
          <w:p w14:paraId="64E10F13">
            <w:pPr>
              <w:tabs>
                <w:tab w:val="left" w:pos="1069"/>
                <w:tab w:val="left" w:pos="2352"/>
              </w:tabs>
              <w:autoSpaceDE w:val="0"/>
              <w:autoSpaceDN w:val="0"/>
              <w:adjustRightInd w:val="0"/>
              <w:spacing w:line="360" w:lineRule="exact"/>
              <w:jc w:val="center"/>
              <w:rPr>
                <w:rFonts w:ascii="宋体" w:hAnsi="宋体" w:cs="宋体"/>
                <w:color w:val="auto"/>
                <w:sz w:val="22"/>
                <w:highlight w:val="none"/>
                <w:lang w:val="zh-CN"/>
              </w:rPr>
            </w:pPr>
          </w:p>
        </w:tc>
        <w:tc>
          <w:tcPr>
            <w:tcW w:w="2295" w:type="dxa"/>
            <w:tcBorders>
              <w:top w:val="single" w:color="auto" w:sz="6" w:space="0"/>
              <w:left w:val="single" w:color="auto" w:sz="6" w:space="0"/>
              <w:bottom w:val="single" w:color="auto" w:sz="6" w:space="0"/>
              <w:right w:val="single" w:color="auto" w:sz="6" w:space="0"/>
            </w:tcBorders>
          </w:tcPr>
          <w:p w14:paraId="5C1E80C6">
            <w:pPr>
              <w:tabs>
                <w:tab w:val="left" w:pos="1069"/>
                <w:tab w:val="left" w:pos="2352"/>
              </w:tabs>
              <w:autoSpaceDE w:val="0"/>
              <w:autoSpaceDN w:val="0"/>
              <w:adjustRightInd w:val="0"/>
              <w:spacing w:line="360" w:lineRule="exact"/>
              <w:jc w:val="center"/>
              <w:rPr>
                <w:rFonts w:ascii="宋体" w:hAnsi="宋体" w:cs="宋体"/>
                <w:color w:val="auto"/>
                <w:sz w:val="22"/>
                <w:highlight w:val="none"/>
                <w:lang w:val="zh-CN"/>
              </w:rPr>
            </w:pPr>
          </w:p>
        </w:tc>
      </w:tr>
      <w:tr w14:paraId="2C0F4F8D">
        <w:tblPrEx>
          <w:tblCellMar>
            <w:top w:w="0" w:type="dxa"/>
            <w:left w:w="108" w:type="dxa"/>
            <w:bottom w:w="0" w:type="dxa"/>
            <w:right w:w="108" w:type="dxa"/>
          </w:tblCellMar>
        </w:tblPrEx>
        <w:tc>
          <w:tcPr>
            <w:tcW w:w="1080" w:type="dxa"/>
            <w:tcBorders>
              <w:top w:val="single" w:color="auto" w:sz="6" w:space="0"/>
              <w:left w:val="single" w:color="auto" w:sz="6" w:space="0"/>
              <w:bottom w:val="single" w:color="auto" w:sz="6" w:space="0"/>
              <w:right w:val="single" w:color="auto" w:sz="6" w:space="0"/>
            </w:tcBorders>
          </w:tcPr>
          <w:p w14:paraId="719A65EA">
            <w:pPr>
              <w:tabs>
                <w:tab w:val="left" w:pos="1069"/>
                <w:tab w:val="left" w:pos="2352"/>
              </w:tabs>
              <w:autoSpaceDE w:val="0"/>
              <w:autoSpaceDN w:val="0"/>
              <w:adjustRightInd w:val="0"/>
              <w:spacing w:line="360" w:lineRule="exact"/>
              <w:jc w:val="center"/>
              <w:rPr>
                <w:rFonts w:ascii="宋体" w:hAnsi="宋体" w:cs="宋体"/>
                <w:color w:val="auto"/>
                <w:sz w:val="22"/>
                <w:highlight w:val="none"/>
                <w:lang w:val="zh-CN"/>
              </w:rPr>
            </w:pPr>
          </w:p>
        </w:tc>
        <w:tc>
          <w:tcPr>
            <w:tcW w:w="1620" w:type="dxa"/>
            <w:tcBorders>
              <w:top w:val="single" w:color="auto" w:sz="6" w:space="0"/>
              <w:left w:val="single" w:color="auto" w:sz="6" w:space="0"/>
              <w:bottom w:val="single" w:color="auto" w:sz="6" w:space="0"/>
              <w:right w:val="single" w:color="auto" w:sz="6" w:space="0"/>
            </w:tcBorders>
          </w:tcPr>
          <w:p w14:paraId="4B55A142">
            <w:pPr>
              <w:tabs>
                <w:tab w:val="left" w:pos="1069"/>
                <w:tab w:val="left" w:pos="2352"/>
              </w:tabs>
              <w:autoSpaceDE w:val="0"/>
              <w:autoSpaceDN w:val="0"/>
              <w:adjustRightInd w:val="0"/>
              <w:spacing w:line="360" w:lineRule="exact"/>
              <w:jc w:val="center"/>
              <w:rPr>
                <w:rFonts w:ascii="宋体" w:hAnsi="宋体" w:cs="宋体"/>
                <w:color w:val="auto"/>
                <w:sz w:val="22"/>
                <w:highlight w:val="none"/>
                <w:lang w:val="zh-CN"/>
              </w:rPr>
            </w:pPr>
          </w:p>
        </w:tc>
        <w:tc>
          <w:tcPr>
            <w:tcW w:w="2220" w:type="dxa"/>
            <w:tcBorders>
              <w:top w:val="single" w:color="auto" w:sz="6" w:space="0"/>
              <w:left w:val="single" w:color="auto" w:sz="6" w:space="0"/>
              <w:bottom w:val="single" w:color="auto" w:sz="6" w:space="0"/>
              <w:right w:val="single" w:color="auto" w:sz="6" w:space="0"/>
            </w:tcBorders>
          </w:tcPr>
          <w:p w14:paraId="24F16C63">
            <w:pPr>
              <w:tabs>
                <w:tab w:val="left" w:pos="1069"/>
                <w:tab w:val="left" w:pos="2352"/>
              </w:tabs>
              <w:autoSpaceDE w:val="0"/>
              <w:autoSpaceDN w:val="0"/>
              <w:adjustRightInd w:val="0"/>
              <w:spacing w:line="360" w:lineRule="exact"/>
              <w:jc w:val="center"/>
              <w:rPr>
                <w:rFonts w:ascii="宋体" w:hAnsi="宋体" w:cs="宋体"/>
                <w:color w:val="auto"/>
                <w:sz w:val="22"/>
                <w:highlight w:val="none"/>
                <w:lang w:val="zh-CN"/>
              </w:rPr>
            </w:pPr>
          </w:p>
        </w:tc>
        <w:tc>
          <w:tcPr>
            <w:tcW w:w="2220" w:type="dxa"/>
            <w:tcBorders>
              <w:top w:val="single" w:color="auto" w:sz="6" w:space="0"/>
              <w:left w:val="single" w:color="auto" w:sz="6" w:space="0"/>
              <w:bottom w:val="single" w:color="auto" w:sz="6" w:space="0"/>
              <w:right w:val="single" w:color="auto" w:sz="6" w:space="0"/>
            </w:tcBorders>
          </w:tcPr>
          <w:p w14:paraId="03CFC2D2">
            <w:pPr>
              <w:tabs>
                <w:tab w:val="left" w:pos="1069"/>
                <w:tab w:val="left" w:pos="2352"/>
              </w:tabs>
              <w:autoSpaceDE w:val="0"/>
              <w:autoSpaceDN w:val="0"/>
              <w:adjustRightInd w:val="0"/>
              <w:spacing w:line="360" w:lineRule="exact"/>
              <w:jc w:val="center"/>
              <w:rPr>
                <w:rFonts w:ascii="宋体" w:hAnsi="宋体" w:cs="宋体"/>
                <w:color w:val="auto"/>
                <w:sz w:val="22"/>
                <w:highlight w:val="none"/>
                <w:lang w:val="zh-CN"/>
              </w:rPr>
            </w:pPr>
          </w:p>
        </w:tc>
        <w:tc>
          <w:tcPr>
            <w:tcW w:w="2295" w:type="dxa"/>
            <w:tcBorders>
              <w:top w:val="single" w:color="auto" w:sz="6" w:space="0"/>
              <w:left w:val="single" w:color="auto" w:sz="6" w:space="0"/>
              <w:bottom w:val="single" w:color="auto" w:sz="6" w:space="0"/>
              <w:right w:val="single" w:color="auto" w:sz="6" w:space="0"/>
            </w:tcBorders>
          </w:tcPr>
          <w:p w14:paraId="780824EC">
            <w:pPr>
              <w:tabs>
                <w:tab w:val="left" w:pos="1069"/>
                <w:tab w:val="left" w:pos="2352"/>
              </w:tabs>
              <w:autoSpaceDE w:val="0"/>
              <w:autoSpaceDN w:val="0"/>
              <w:adjustRightInd w:val="0"/>
              <w:spacing w:line="360" w:lineRule="exact"/>
              <w:jc w:val="center"/>
              <w:rPr>
                <w:rFonts w:ascii="宋体" w:hAnsi="宋体" w:cs="宋体"/>
                <w:color w:val="auto"/>
                <w:sz w:val="22"/>
                <w:highlight w:val="none"/>
                <w:lang w:val="zh-CN"/>
              </w:rPr>
            </w:pPr>
          </w:p>
        </w:tc>
      </w:tr>
      <w:tr w14:paraId="736BD148">
        <w:tblPrEx>
          <w:tblCellMar>
            <w:top w:w="0" w:type="dxa"/>
            <w:left w:w="108" w:type="dxa"/>
            <w:bottom w:w="0" w:type="dxa"/>
            <w:right w:w="108" w:type="dxa"/>
          </w:tblCellMar>
        </w:tblPrEx>
        <w:tc>
          <w:tcPr>
            <w:tcW w:w="1080" w:type="dxa"/>
            <w:tcBorders>
              <w:top w:val="single" w:color="auto" w:sz="6" w:space="0"/>
              <w:left w:val="single" w:color="auto" w:sz="6" w:space="0"/>
              <w:bottom w:val="single" w:color="auto" w:sz="6" w:space="0"/>
              <w:right w:val="single" w:color="auto" w:sz="6" w:space="0"/>
            </w:tcBorders>
          </w:tcPr>
          <w:p w14:paraId="6B2D1AA7">
            <w:pPr>
              <w:tabs>
                <w:tab w:val="left" w:pos="1069"/>
                <w:tab w:val="left" w:pos="2352"/>
              </w:tabs>
              <w:autoSpaceDE w:val="0"/>
              <w:autoSpaceDN w:val="0"/>
              <w:adjustRightInd w:val="0"/>
              <w:spacing w:line="360" w:lineRule="exact"/>
              <w:jc w:val="center"/>
              <w:rPr>
                <w:rFonts w:ascii="宋体" w:hAnsi="宋体" w:cs="宋体"/>
                <w:color w:val="auto"/>
                <w:sz w:val="22"/>
                <w:highlight w:val="none"/>
                <w:lang w:val="zh-CN"/>
              </w:rPr>
            </w:pPr>
          </w:p>
        </w:tc>
        <w:tc>
          <w:tcPr>
            <w:tcW w:w="1620" w:type="dxa"/>
            <w:tcBorders>
              <w:top w:val="single" w:color="auto" w:sz="6" w:space="0"/>
              <w:left w:val="single" w:color="auto" w:sz="6" w:space="0"/>
              <w:bottom w:val="single" w:color="auto" w:sz="6" w:space="0"/>
              <w:right w:val="single" w:color="auto" w:sz="6" w:space="0"/>
            </w:tcBorders>
          </w:tcPr>
          <w:p w14:paraId="1575C97F">
            <w:pPr>
              <w:tabs>
                <w:tab w:val="left" w:pos="1069"/>
                <w:tab w:val="left" w:pos="2352"/>
              </w:tabs>
              <w:autoSpaceDE w:val="0"/>
              <w:autoSpaceDN w:val="0"/>
              <w:adjustRightInd w:val="0"/>
              <w:spacing w:line="360" w:lineRule="exact"/>
              <w:jc w:val="center"/>
              <w:rPr>
                <w:rFonts w:ascii="宋体" w:hAnsi="宋体" w:cs="宋体"/>
                <w:color w:val="auto"/>
                <w:sz w:val="22"/>
                <w:highlight w:val="none"/>
                <w:lang w:val="zh-CN"/>
              </w:rPr>
            </w:pPr>
          </w:p>
        </w:tc>
        <w:tc>
          <w:tcPr>
            <w:tcW w:w="2220" w:type="dxa"/>
            <w:tcBorders>
              <w:top w:val="single" w:color="auto" w:sz="6" w:space="0"/>
              <w:left w:val="single" w:color="auto" w:sz="6" w:space="0"/>
              <w:bottom w:val="single" w:color="auto" w:sz="6" w:space="0"/>
              <w:right w:val="single" w:color="auto" w:sz="6" w:space="0"/>
            </w:tcBorders>
          </w:tcPr>
          <w:p w14:paraId="54E377C2">
            <w:pPr>
              <w:tabs>
                <w:tab w:val="left" w:pos="1069"/>
                <w:tab w:val="left" w:pos="2352"/>
              </w:tabs>
              <w:autoSpaceDE w:val="0"/>
              <w:autoSpaceDN w:val="0"/>
              <w:adjustRightInd w:val="0"/>
              <w:spacing w:line="360" w:lineRule="exact"/>
              <w:jc w:val="center"/>
              <w:rPr>
                <w:rFonts w:ascii="宋体" w:hAnsi="宋体" w:cs="宋体"/>
                <w:color w:val="auto"/>
                <w:sz w:val="22"/>
                <w:highlight w:val="none"/>
                <w:lang w:val="zh-CN"/>
              </w:rPr>
            </w:pPr>
          </w:p>
        </w:tc>
        <w:tc>
          <w:tcPr>
            <w:tcW w:w="2220" w:type="dxa"/>
            <w:tcBorders>
              <w:top w:val="single" w:color="auto" w:sz="6" w:space="0"/>
              <w:left w:val="single" w:color="auto" w:sz="6" w:space="0"/>
              <w:bottom w:val="single" w:color="auto" w:sz="6" w:space="0"/>
              <w:right w:val="single" w:color="auto" w:sz="6" w:space="0"/>
            </w:tcBorders>
          </w:tcPr>
          <w:p w14:paraId="68B5670F">
            <w:pPr>
              <w:tabs>
                <w:tab w:val="left" w:pos="1069"/>
                <w:tab w:val="left" w:pos="2352"/>
              </w:tabs>
              <w:autoSpaceDE w:val="0"/>
              <w:autoSpaceDN w:val="0"/>
              <w:adjustRightInd w:val="0"/>
              <w:spacing w:line="360" w:lineRule="exact"/>
              <w:jc w:val="center"/>
              <w:rPr>
                <w:rFonts w:ascii="宋体" w:hAnsi="宋体" w:cs="宋体"/>
                <w:color w:val="auto"/>
                <w:sz w:val="22"/>
                <w:highlight w:val="none"/>
                <w:lang w:val="zh-CN"/>
              </w:rPr>
            </w:pPr>
          </w:p>
        </w:tc>
        <w:tc>
          <w:tcPr>
            <w:tcW w:w="2295" w:type="dxa"/>
            <w:tcBorders>
              <w:top w:val="single" w:color="auto" w:sz="6" w:space="0"/>
              <w:left w:val="single" w:color="auto" w:sz="6" w:space="0"/>
              <w:bottom w:val="single" w:color="auto" w:sz="6" w:space="0"/>
              <w:right w:val="single" w:color="auto" w:sz="6" w:space="0"/>
            </w:tcBorders>
          </w:tcPr>
          <w:p w14:paraId="3500F247">
            <w:pPr>
              <w:tabs>
                <w:tab w:val="left" w:pos="1069"/>
                <w:tab w:val="left" w:pos="2352"/>
              </w:tabs>
              <w:autoSpaceDE w:val="0"/>
              <w:autoSpaceDN w:val="0"/>
              <w:adjustRightInd w:val="0"/>
              <w:spacing w:line="360" w:lineRule="exact"/>
              <w:jc w:val="center"/>
              <w:rPr>
                <w:rFonts w:ascii="宋体" w:hAnsi="宋体" w:cs="宋体"/>
                <w:color w:val="auto"/>
                <w:sz w:val="22"/>
                <w:highlight w:val="none"/>
                <w:lang w:val="zh-CN"/>
              </w:rPr>
            </w:pPr>
          </w:p>
        </w:tc>
      </w:tr>
      <w:tr w14:paraId="3136C15A">
        <w:tblPrEx>
          <w:tblCellMar>
            <w:top w:w="0" w:type="dxa"/>
            <w:left w:w="108" w:type="dxa"/>
            <w:bottom w:w="0" w:type="dxa"/>
            <w:right w:w="108" w:type="dxa"/>
          </w:tblCellMar>
        </w:tblPrEx>
        <w:tc>
          <w:tcPr>
            <w:tcW w:w="1080" w:type="dxa"/>
            <w:tcBorders>
              <w:top w:val="single" w:color="auto" w:sz="6" w:space="0"/>
              <w:left w:val="single" w:color="auto" w:sz="6" w:space="0"/>
              <w:bottom w:val="single" w:color="auto" w:sz="6" w:space="0"/>
              <w:right w:val="single" w:color="auto" w:sz="6" w:space="0"/>
            </w:tcBorders>
          </w:tcPr>
          <w:p w14:paraId="253DEF7A">
            <w:pPr>
              <w:tabs>
                <w:tab w:val="left" w:pos="1069"/>
                <w:tab w:val="left" w:pos="2352"/>
              </w:tabs>
              <w:autoSpaceDE w:val="0"/>
              <w:autoSpaceDN w:val="0"/>
              <w:adjustRightInd w:val="0"/>
              <w:spacing w:line="360" w:lineRule="exact"/>
              <w:jc w:val="center"/>
              <w:rPr>
                <w:rFonts w:ascii="宋体" w:hAnsi="宋体" w:cs="宋体"/>
                <w:color w:val="auto"/>
                <w:sz w:val="22"/>
                <w:highlight w:val="none"/>
                <w:lang w:val="zh-CN"/>
              </w:rPr>
            </w:pPr>
          </w:p>
        </w:tc>
        <w:tc>
          <w:tcPr>
            <w:tcW w:w="1620" w:type="dxa"/>
            <w:tcBorders>
              <w:top w:val="single" w:color="auto" w:sz="6" w:space="0"/>
              <w:left w:val="single" w:color="auto" w:sz="6" w:space="0"/>
              <w:bottom w:val="single" w:color="auto" w:sz="6" w:space="0"/>
              <w:right w:val="single" w:color="auto" w:sz="6" w:space="0"/>
            </w:tcBorders>
          </w:tcPr>
          <w:p w14:paraId="6AE93521">
            <w:pPr>
              <w:tabs>
                <w:tab w:val="left" w:pos="1069"/>
                <w:tab w:val="left" w:pos="2352"/>
              </w:tabs>
              <w:autoSpaceDE w:val="0"/>
              <w:autoSpaceDN w:val="0"/>
              <w:adjustRightInd w:val="0"/>
              <w:spacing w:line="360" w:lineRule="exact"/>
              <w:jc w:val="center"/>
              <w:rPr>
                <w:rFonts w:ascii="宋体" w:hAnsi="宋体" w:cs="宋体"/>
                <w:color w:val="auto"/>
                <w:sz w:val="22"/>
                <w:highlight w:val="none"/>
                <w:lang w:val="zh-CN"/>
              </w:rPr>
            </w:pPr>
          </w:p>
        </w:tc>
        <w:tc>
          <w:tcPr>
            <w:tcW w:w="2220" w:type="dxa"/>
            <w:tcBorders>
              <w:top w:val="single" w:color="auto" w:sz="6" w:space="0"/>
              <w:left w:val="single" w:color="auto" w:sz="6" w:space="0"/>
              <w:bottom w:val="single" w:color="auto" w:sz="6" w:space="0"/>
              <w:right w:val="single" w:color="auto" w:sz="6" w:space="0"/>
            </w:tcBorders>
          </w:tcPr>
          <w:p w14:paraId="0B3AEC94">
            <w:pPr>
              <w:tabs>
                <w:tab w:val="left" w:pos="1069"/>
                <w:tab w:val="left" w:pos="2352"/>
              </w:tabs>
              <w:autoSpaceDE w:val="0"/>
              <w:autoSpaceDN w:val="0"/>
              <w:adjustRightInd w:val="0"/>
              <w:spacing w:line="360" w:lineRule="exact"/>
              <w:jc w:val="center"/>
              <w:rPr>
                <w:rFonts w:ascii="宋体" w:hAnsi="宋体" w:cs="宋体"/>
                <w:color w:val="auto"/>
                <w:sz w:val="22"/>
                <w:highlight w:val="none"/>
                <w:lang w:val="zh-CN"/>
              </w:rPr>
            </w:pPr>
          </w:p>
        </w:tc>
        <w:tc>
          <w:tcPr>
            <w:tcW w:w="2220" w:type="dxa"/>
            <w:tcBorders>
              <w:top w:val="single" w:color="auto" w:sz="6" w:space="0"/>
              <w:left w:val="single" w:color="auto" w:sz="6" w:space="0"/>
              <w:bottom w:val="single" w:color="auto" w:sz="6" w:space="0"/>
              <w:right w:val="single" w:color="auto" w:sz="6" w:space="0"/>
            </w:tcBorders>
          </w:tcPr>
          <w:p w14:paraId="3698E708">
            <w:pPr>
              <w:tabs>
                <w:tab w:val="left" w:pos="1069"/>
                <w:tab w:val="left" w:pos="2352"/>
              </w:tabs>
              <w:autoSpaceDE w:val="0"/>
              <w:autoSpaceDN w:val="0"/>
              <w:adjustRightInd w:val="0"/>
              <w:spacing w:line="360" w:lineRule="exact"/>
              <w:jc w:val="center"/>
              <w:rPr>
                <w:rFonts w:ascii="宋体" w:hAnsi="宋体" w:cs="宋体"/>
                <w:color w:val="auto"/>
                <w:sz w:val="22"/>
                <w:highlight w:val="none"/>
                <w:lang w:val="zh-CN"/>
              </w:rPr>
            </w:pPr>
          </w:p>
        </w:tc>
        <w:tc>
          <w:tcPr>
            <w:tcW w:w="2295" w:type="dxa"/>
            <w:tcBorders>
              <w:top w:val="single" w:color="auto" w:sz="6" w:space="0"/>
              <w:left w:val="single" w:color="auto" w:sz="6" w:space="0"/>
              <w:bottom w:val="single" w:color="auto" w:sz="6" w:space="0"/>
              <w:right w:val="single" w:color="auto" w:sz="6" w:space="0"/>
            </w:tcBorders>
          </w:tcPr>
          <w:p w14:paraId="5AA7E49B">
            <w:pPr>
              <w:tabs>
                <w:tab w:val="left" w:pos="1069"/>
                <w:tab w:val="left" w:pos="2352"/>
              </w:tabs>
              <w:autoSpaceDE w:val="0"/>
              <w:autoSpaceDN w:val="0"/>
              <w:adjustRightInd w:val="0"/>
              <w:spacing w:line="360" w:lineRule="exact"/>
              <w:jc w:val="center"/>
              <w:rPr>
                <w:rFonts w:ascii="宋体" w:hAnsi="宋体" w:cs="宋体"/>
                <w:color w:val="auto"/>
                <w:sz w:val="22"/>
                <w:highlight w:val="none"/>
                <w:lang w:val="zh-CN"/>
              </w:rPr>
            </w:pPr>
          </w:p>
        </w:tc>
      </w:tr>
    </w:tbl>
    <w:p w14:paraId="0345630D">
      <w:pPr>
        <w:tabs>
          <w:tab w:val="left" w:pos="1069"/>
          <w:tab w:val="left" w:pos="2352"/>
        </w:tabs>
        <w:spacing w:line="360" w:lineRule="exact"/>
        <w:rPr>
          <w:rFonts w:ascii="宋体" w:hAnsi="宋体" w:cs="宋体"/>
          <w:color w:val="auto"/>
          <w:spacing w:val="20"/>
          <w:sz w:val="22"/>
          <w:highlight w:val="none"/>
        </w:rPr>
      </w:pPr>
      <w:r>
        <w:rPr>
          <w:rFonts w:hint="eastAsia" w:ascii="宋体" w:hAnsi="宋体" w:cs="宋体"/>
          <w:color w:val="auto"/>
          <w:sz w:val="22"/>
          <w:highlight w:val="none"/>
          <w:lang w:val="zh-CN"/>
        </w:rPr>
        <w:t>供应商盖章：</w:t>
      </w:r>
    </w:p>
    <w:p w14:paraId="0890703B">
      <w:pPr>
        <w:tabs>
          <w:tab w:val="left" w:pos="1069"/>
          <w:tab w:val="left" w:pos="2352"/>
        </w:tabs>
        <w:rPr>
          <w:rFonts w:ascii="宋体" w:hAnsi="宋体" w:cs="宋体"/>
          <w:color w:val="auto"/>
          <w:highlight w:val="none"/>
        </w:rPr>
      </w:pPr>
      <w:bookmarkStart w:id="257" w:name="_Toc30988_WPSOffice_Level2"/>
    </w:p>
    <w:p w14:paraId="1709A83F">
      <w:pPr>
        <w:tabs>
          <w:tab w:val="left" w:pos="1069"/>
          <w:tab w:val="left" w:pos="2352"/>
        </w:tabs>
        <w:rPr>
          <w:rFonts w:ascii="宋体" w:hAnsi="宋体" w:cs="宋体"/>
          <w:color w:val="auto"/>
          <w:highlight w:val="none"/>
        </w:rPr>
      </w:pPr>
    </w:p>
    <w:p w14:paraId="0ABCC7C9">
      <w:pPr>
        <w:tabs>
          <w:tab w:val="left" w:pos="1069"/>
          <w:tab w:val="left" w:pos="2352"/>
        </w:tabs>
        <w:rPr>
          <w:rFonts w:ascii="宋体" w:hAnsi="宋体" w:cs="宋体"/>
          <w:color w:val="auto"/>
          <w:highlight w:val="none"/>
        </w:rPr>
      </w:pPr>
      <w:r>
        <w:rPr>
          <w:rFonts w:hint="eastAsia" w:ascii="宋体" w:hAnsi="宋体" w:cs="宋体"/>
          <w:color w:val="auto"/>
          <w:highlight w:val="none"/>
        </w:rPr>
        <w:t>备注：表格可以延续</w:t>
      </w:r>
      <w:bookmarkEnd w:id="257"/>
    </w:p>
    <w:p w14:paraId="595C1933">
      <w:pPr>
        <w:pStyle w:val="12"/>
        <w:tabs>
          <w:tab w:val="left" w:pos="1069"/>
          <w:tab w:val="left" w:pos="2352"/>
        </w:tabs>
        <w:spacing w:line="360" w:lineRule="exact"/>
        <w:rPr>
          <w:rFonts w:hAnsi="宋体" w:cs="宋体"/>
          <w:color w:val="auto"/>
          <w:sz w:val="22"/>
          <w:highlight w:val="none"/>
        </w:rPr>
      </w:pPr>
    </w:p>
    <w:p w14:paraId="70700631">
      <w:pPr>
        <w:tabs>
          <w:tab w:val="left" w:pos="1069"/>
          <w:tab w:val="left" w:pos="2352"/>
        </w:tabs>
        <w:rPr>
          <w:rFonts w:ascii="宋体" w:hAnsi="宋体" w:cs="宋体"/>
          <w:b/>
          <w:bCs/>
          <w:color w:val="auto"/>
          <w:sz w:val="32"/>
          <w:szCs w:val="32"/>
          <w:highlight w:val="none"/>
        </w:rPr>
      </w:pPr>
    </w:p>
    <w:p w14:paraId="47E2AFEF">
      <w:pPr>
        <w:tabs>
          <w:tab w:val="left" w:pos="1069"/>
          <w:tab w:val="left" w:pos="2352"/>
        </w:tabs>
        <w:rPr>
          <w:rFonts w:hint="eastAsia" w:ascii="宋体" w:hAnsi="宋体" w:eastAsia="宋体" w:cs="宋体"/>
          <w:b/>
          <w:bCs/>
          <w:color w:val="auto"/>
          <w:sz w:val="32"/>
          <w:szCs w:val="32"/>
          <w:highlight w:val="none"/>
          <w:lang w:eastAsia="zh-CN"/>
        </w:rPr>
      </w:pPr>
      <w:r>
        <w:rPr>
          <w:rFonts w:hint="eastAsia" w:ascii="宋体" w:hAnsi="宋体" w:cs="宋体"/>
          <w:b/>
          <w:bCs/>
          <w:color w:val="auto"/>
          <w:sz w:val="32"/>
          <w:szCs w:val="32"/>
          <w:highlight w:val="none"/>
        </w:rPr>
        <w:t>附件</w:t>
      </w:r>
      <w:r>
        <w:rPr>
          <w:rFonts w:hint="eastAsia" w:ascii="宋体" w:hAnsi="宋体" w:cs="宋体"/>
          <w:b/>
          <w:bCs/>
          <w:color w:val="auto"/>
          <w:sz w:val="32"/>
          <w:szCs w:val="32"/>
          <w:highlight w:val="none"/>
          <w:lang w:val="en-US" w:eastAsia="zh-CN"/>
        </w:rPr>
        <w:t>八</w:t>
      </w:r>
    </w:p>
    <w:p w14:paraId="2F69294D">
      <w:pPr>
        <w:tabs>
          <w:tab w:val="left" w:pos="1069"/>
          <w:tab w:val="left" w:pos="2352"/>
        </w:tabs>
        <w:jc w:val="center"/>
        <w:rPr>
          <w:rFonts w:ascii="宋体" w:hAnsi="宋体" w:cs="宋体"/>
          <w:b/>
          <w:bCs/>
          <w:color w:val="auto"/>
          <w:sz w:val="32"/>
          <w:szCs w:val="32"/>
          <w:highlight w:val="none"/>
        </w:rPr>
      </w:pPr>
      <w:r>
        <w:rPr>
          <w:rFonts w:hint="eastAsia" w:ascii="宋体" w:hAnsi="宋体" w:cs="宋体"/>
          <w:b/>
          <w:bCs/>
          <w:color w:val="auto"/>
          <w:sz w:val="32"/>
          <w:szCs w:val="32"/>
          <w:highlight w:val="none"/>
        </w:rPr>
        <w:t>供应商项目服务人员汇总表</w:t>
      </w:r>
    </w:p>
    <w:p w14:paraId="20C7B587">
      <w:pPr>
        <w:tabs>
          <w:tab w:val="left" w:pos="1069"/>
          <w:tab w:val="left" w:pos="2352"/>
        </w:tabs>
        <w:spacing w:line="360" w:lineRule="auto"/>
        <w:rPr>
          <w:rFonts w:ascii="宋体" w:hAnsi="宋体" w:cs="宋体"/>
          <w:color w:val="auto"/>
          <w:sz w:val="22"/>
          <w:highlight w:val="none"/>
          <w:u w:val="single"/>
          <w:lang w:val="zh-CN"/>
        </w:rPr>
      </w:pPr>
      <w:r>
        <w:rPr>
          <w:rFonts w:hint="eastAsia" w:ascii="宋体" w:hAnsi="宋体" w:cs="宋体"/>
          <w:color w:val="auto"/>
          <w:sz w:val="22"/>
          <w:highlight w:val="none"/>
        </w:rPr>
        <w:t>项目名称：</w:t>
      </w:r>
      <w:r>
        <w:rPr>
          <w:rFonts w:hint="eastAsia" w:ascii="宋体" w:hAnsi="宋体" w:cs="宋体"/>
          <w:color w:val="auto"/>
          <w:sz w:val="22"/>
          <w:highlight w:val="none"/>
          <w:u w:val="single"/>
          <w:lang w:val="zh-CN"/>
        </w:rPr>
        <w:t>2024年泰顺县罗阳镇上洪村堆谷洋农田宜机化改造项目</w:t>
      </w:r>
    </w:p>
    <w:p w14:paraId="7BCDB410">
      <w:pPr>
        <w:tabs>
          <w:tab w:val="left" w:pos="1069"/>
          <w:tab w:val="left" w:pos="2352"/>
        </w:tabs>
        <w:spacing w:line="360" w:lineRule="auto"/>
        <w:rPr>
          <w:rFonts w:ascii="宋体" w:hAnsi="宋体" w:cs="宋体"/>
          <w:bCs/>
          <w:color w:val="auto"/>
          <w:sz w:val="22"/>
          <w:highlight w:val="none"/>
        </w:rPr>
      </w:pPr>
      <w:r>
        <w:rPr>
          <w:rFonts w:hint="eastAsia" w:ascii="宋体" w:hAnsi="宋体" w:cs="宋体"/>
          <w:color w:val="auto"/>
          <w:sz w:val="22"/>
          <w:highlight w:val="none"/>
        </w:rPr>
        <w:t>采购编号：</w:t>
      </w:r>
      <w:r>
        <w:rPr>
          <w:rFonts w:hint="eastAsia" w:ascii="宋体" w:hAnsi="宋体" w:cs="宋体"/>
          <w:color w:val="auto"/>
          <w:sz w:val="22"/>
          <w:highlight w:val="none"/>
          <w:u w:val="single"/>
          <w:lang w:val="zh-CN"/>
        </w:rPr>
        <w:t>TSCG202502006</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2520"/>
        <w:gridCol w:w="720"/>
        <w:gridCol w:w="720"/>
        <w:gridCol w:w="720"/>
        <w:gridCol w:w="1080"/>
        <w:gridCol w:w="1458"/>
        <w:gridCol w:w="1560"/>
      </w:tblGrid>
      <w:tr w14:paraId="3D2E44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trPr>
        <w:tc>
          <w:tcPr>
            <w:tcW w:w="828" w:type="dxa"/>
            <w:vAlign w:val="center"/>
          </w:tcPr>
          <w:p w14:paraId="6B3E0D25">
            <w:pPr>
              <w:tabs>
                <w:tab w:val="left" w:pos="1069"/>
                <w:tab w:val="left" w:pos="2352"/>
              </w:tabs>
              <w:jc w:val="center"/>
              <w:rPr>
                <w:rFonts w:ascii="宋体" w:hAnsi="宋体" w:cs="宋体"/>
                <w:bCs/>
                <w:color w:val="auto"/>
                <w:sz w:val="22"/>
                <w:highlight w:val="none"/>
              </w:rPr>
            </w:pPr>
            <w:r>
              <w:rPr>
                <w:rFonts w:hint="eastAsia" w:ascii="宋体" w:hAnsi="宋体" w:cs="宋体"/>
                <w:bCs/>
                <w:color w:val="auto"/>
                <w:sz w:val="22"/>
                <w:highlight w:val="none"/>
              </w:rPr>
              <w:t>姓名</w:t>
            </w:r>
          </w:p>
        </w:tc>
        <w:tc>
          <w:tcPr>
            <w:tcW w:w="2520" w:type="dxa"/>
            <w:vAlign w:val="center"/>
          </w:tcPr>
          <w:p w14:paraId="051A8994">
            <w:pPr>
              <w:tabs>
                <w:tab w:val="left" w:pos="1069"/>
                <w:tab w:val="left" w:pos="2352"/>
              </w:tabs>
              <w:jc w:val="center"/>
              <w:rPr>
                <w:rFonts w:ascii="宋体" w:hAnsi="宋体" w:cs="宋体"/>
                <w:bCs/>
                <w:color w:val="auto"/>
                <w:sz w:val="22"/>
                <w:highlight w:val="none"/>
              </w:rPr>
            </w:pPr>
            <w:r>
              <w:rPr>
                <w:rFonts w:hint="eastAsia" w:ascii="宋体" w:hAnsi="宋体" w:cs="宋体"/>
                <w:bCs/>
                <w:color w:val="auto"/>
                <w:sz w:val="22"/>
                <w:highlight w:val="none"/>
              </w:rPr>
              <w:t>本项目主要工作</w:t>
            </w:r>
          </w:p>
        </w:tc>
        <w:tc>
          <w:tcPr>
            <w:tcW w:w="720" w:type="dxa"/>
            <w:vAlign w:val="center"/>
          </w:tcPr>
          <w:p w14:paraId="3D43E5A3">
            <w:pPr>
              <w:tabs>
                <w:tab w:val="left" w:pos="1069"/>
                <w:tab w:val="left" w:pos="2352"/>
              </w:tabs>
              <w:jc w:val="center"/>
              <w:rPr>
                <w:rFonts w:ascii="宋体" w:hAnsi="宋体" w:cs="宋体"/>
                <w:bCs/>
                <w:color w:val="auto"/>
                <w:sz w:val="22"/>
                <w:highlight w:val="none"/>
              </w:rPr>
            </w:pPr>
            <w:r>
              <w:rPr>
                <w:rFonts w:hint="eastAsia" w:ascii="宋体" w:hAnsi="宋体" w:cs="宋体"/>
                <w:bCs/>
                <w:color w:val="auto"/>
                <w:sz w:val="22"/>
                <w:highlight w:val="none"/>
              </w:rPr>
              <w:t>年龄</w:t>
            </w:r>
          </w:p>
        </w:tc>
        <w:tc>
          <w:tcPr>
            <w:tcW w:w="720" w:type="dxa"/>
            <w:vAlign w:val="center"/>
          </w:tcPr>
          <w:p w14:paraId="0BFA1F10">
            <w:pPr>
              <w:tabs>
                <w:tab w:val="left" w:pos="1069"/>
                <w:tab w:val="left" w:pos="2352"/>
              </w:tabs>
              <w:jc w:val="center"/>
              <w:rPr>
                <w:rFonts w:ascii="宋体" w:hAnsi="宋体" w:cs="宋体"/>
                <w:bCs/>
                <w:color w:val="auto"/>
                <w:sz w:val="22"/>
                <w:highlight w:val="none"/>
              </w:rPr>
            </w:pPr>
            <w:r>
              <w:rPr>
                <w:rFonts w:hint="eastAsia" w:ascii="宋体" w:hAnsi="宋体" w:cs="宋体"/>
                <w:bCs/>
                <w:color w:val="auto"/>
                <w:sz w:val="22"/>
                <w:highlight w:val="none"/>
              </w:rPr>
              <w:t>性别</w:t>
            </w:r>
          </w:p>
        </w:tc>
        <w:tc>
          <w:tcPr>
            <w:tcW w:w="720" w:type="dxa"/>
            <w:vAlign w:val="center"/>
          </w:tcPr>
          <w:p w14:paraId="59769CB0">
            <w:pPr>
              <w:tabs>
                <w:tab w:val="left" w:pos="1069"/>
                <w:tab w:val="left" w:pos="2352"/>
              </w:tabs>
              <w:jc w:val="center"/>
              <w:rPr>
                <w:rFonts w:ascii="宋体" w:hAnsi="宋体" w:cs="宋体"/>
                <w:bCs/>
                <w:color w:val="auto"/>
                <w:sz w:val="22"/>
                <w:highlight w:val="none"/>
              </w:rPr>
            </w:pPr>
            <w:r>
              <w:rPr>
                <w:rFonts w:hint="eastAsia" w:ascii="宋体" w:hAnsi="宋体" w:cs="宋体"/>
                <w:bCs/>
                <w:color w:val="auto"/>
                <w:sz w:val="22"/>
                <w:highlight w:val="none"/>
              </w:rPr>
              <w:t>专业</w:t>
            </w:r>
          </w:p>
        </w:tc>
        <w:tc>
          <w:tcPr>
            <w:tcW w:w="1080" w:type="dxa"/>
            <w:vAlign w:val="center"/>
          </w:tcPr>
          <w:p w14:paraId="325C6129">
            <w:pPr>
              <w:tabs>
                <w:tab w:val="left" w:pos="1069"/>
                <w:tab w:val="left" w:pos="2352"/>
              </w:tabs>
              <w:jc w:val="center"/>
              <w:rPr>
                <w:rFonts w:ascii="宋体" w:hAnsi="宋体" w:cs="宋体"/>
                <w:bCs/>
                <w:color w:val="auto"/>
                <w:sz w:val="22"/>
                <w:highlight w:val="none"/>
              </w:rPr>
            </w:pPr>
            <w:r>
              <w:rPr>
                <w:rFonts w:hint="eastAsia" w:ascii="宋体" w:hAnsi="宋体" w:cs="宋体"/>
                <w:bCs/>
                <w:color w:val="auto"/>
                <w:sz w:val="22"/>
                <w:highlight w:val="none"/>
              </w:rPr>
              <w:t>专业</w:t>
            </w:r>
          </w:p>
          <w:p w14:paraId="4B3867E3">
            <w:pPr>
              <w:tabs>
                <w:tab w:val="left" w:pos="1069"/>
                <w:tab w:val="left" w:pos="2352"/>
              </w:tabs>
              <w:jc w:val="center"/>
              <w:rPr>
                <w:rFonts w:ascii="宋体" w:hAnsi="宋体" w:cs="宋体"/>
                <w:bCs/>
                <w:color w:val="auto"/>
                <w:sz w:val="22"/>
                <w:highlight w:val="none"/>
              </w:rPr>
            </w:pPr>
            <w:r>
              <w:rPr>
                <w:rFonts w:hint="eastAsia" w:ascii="宋体" w:hAnsi="宋体" w:cs="宋体"/>
                <w:bCs/>
                <w:color w:val="auto"/>
                <w:sz w:val="22"/>
                <w:highlight w:val="none"/>
              </w:rPr>
              <w:t>年限</w:t>
            </w:r>
          </w:p>
        </w:tc>
        <w:tc>
          <w:tcPr>
            <w:tcW w:w="1458" w:type="dxa"/>
            <w:vAlign w:val="center"/>
          </w:tcPr>
          <w:p w14:paraId="291E34BC">
            <w:pPr>
              <w:tabs>
                <w:tab w:val="left" w:pos="1069"/>
                <w:tab w:val="left" w:pos="2352"/>
              </w:tabs>
              <w:jc w:val="center"/>
              <w:rPr>
                <w:rFonts w:ascii="宋体" w:hAnsi="宋体" w:cs="宋体"/>
                <w:bCs/>
                <w:color w:val="auto"/>
                <w:sz w:val="22"/>
                <w:highlight w:val="none"/>
              </w:rPr>
            </w:pPr>
            <w:r>
              <w:rPr>
                <w:rFonts w:hint="eastAsia" w:ascii="宋体" w:hAnsi="宋体" w:cs="宋体"/>
                <w:bCs/>
                <w:color w:val="auto"/>
                <w:sz w:val="22"/>
                <w:highlight w:val="none"/>
              </w:rPr>
              <w:t>职务</w:t>
            </w:r>
          </w:p>
          <w:p w14:paraId="148BE740">
            <w:pPr>
              <w:tabs>
                <w:tab w:val="left" w:pos="1069"/>
                <w:tab w:val="left" w:pos="2352"/>
              </w:tabs>
              <w:jc w:val="center"/>
              <w:rPr>
                <w:rFonts w:ascii="宋体" w:hAnsi="宋体" w:cs="宋体"/>
                <w:bCs/>
                <w:color w:val="auto"/>
                <w:sz w:val="22"/>
                <w:highlight w:val="none"/>
              </w:rPr>
            </w:pPr>
            <w:r>
              <w:rPr>
                <w:rFonts w:hint="eastAsia" w:ascii="宋体" w:hAnsi="宋体" w:cs="宋体"/>
                <w:bCs/>
                <w:color w:val="auto"/>
                <w:sz w:val="22"/>
                <w:highlight w:val="none"/>
              </w:rPr>
              <w:t>和职称/认证</w:t>
            </w:r>
          </w:p>
        </w:tc>
        <w:tc>
          <w:tcPr>
            <w:tcW w:w="1560" w:type="dxa"/>
            <w:vAlign w:val="center"/>
          </w:tcPr>
          <w:p w14:paraId="08DCE193">
            <w:pPr>
              <w:tabs>
                <w:tab w:val="left" w:pos="1069"/>
                <w:tab w:val="left" w:pos="2352"/>
              </w:tabs>
              <w:jc w:val="center"/>
              <w:rPr>
                <w:rFonts w:ascii="宋体" w:hAnsi="宋体" w:cs="宋体"/>
                <w:bCs/>
                <w:color w:val="auto"/>
                <w:sz w:val="22"/>
                <w:highlight w:val="none"/>
              </w:rPr>
            </w:pPr>
            <w:r>
              <w:rPr>
                <w:rFonts w:hint="eastAsia" w:ascii="宋体" w:hAnsi="宋体" w:cs="宋体"/>
                <w:bCs/>
                <w:color w:val="auto"/>
                <w:sz w:val="22"/>
                <w:highlight w:val="none"/>
              </w:rPr>
              <w:t>备注</w:t>
            </w:r>
          </w:p>
        </w:tc>
      </w:tr>
      <w:tr w14:paraId="37C513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 w:hRule="atLeast"/>
        </w:trPr>
        <w:tc>
          <w:tcPr>
            <w:tcW w:w="828" w:type="dxa"/>
            <w:vAlign w:val="center"/>
          </w:tcPr>
          <w:p w14:paraId="5B98C445">
            <w:pPr>
              <w:tabs>
                <w:tab w:val="left" w:pos="1069"/>
                <w:tab w:val="left" w:pos="2352"/>
              </w:tabs>
              <w:spacing w:line="360" w:lineRule="auto"/>
              <w:rPr>
                <w:rFonts w:ascii="宋体" w:hAnsi="宋体" w:cs="宋体"/>
                <w:color w:val="auto"/>
                <w:sz w:val="22"/>
                <w:highlight w:val="none"/>
              </w:rPr>
            </w:pPr>
          </w:p>
        </w:tc>
        <w:tc>
          <w:tcPr>
            <w:tcW w:w="2520" w:type="dxa"/>
            <w:vAlign w:val="center"/>
          </w:tcPr>
          <w:p w14:paraId="5A0DC21B">
            <w:pPr>
              <w:tabs>
                <w:tab w:val="left" w:pos="1069"/>
                <w:tab w:val="left" w:pos="2352"/>
              </w:tabs>
              <w:spacing w:line="360" w:lineRule="auto"/>
              <w:rPr>
                <w:rFonts w:ascii="宋体" w:hAnsi="宋体" w:cs="宋体"/>
                <w:color w:val="auto"/>
                <w:sz w:val="22"/>
                <w:highlight w:val="none"/>
              </w:rPr>
            </w:pPr>
          </w:p>
        </w:tc>
        <w:tc>
          <w:tcPr>
            <w:tcW w:w="720" w:type="dxa"/>
            <w:vAlign w:val="center"/>
          </w:tcPr>
          <w:p w14:paraId="0F5CEB3B">
            <w:pPr>
              <w:tabs>
                <w:tab w:val="left" w:pos="1069"/>
                <w:tab w:val="left" w:pos="2352"/>
              </w:tabs>
              <w:spacing w:line="360" w:lineRule="auto"/>
              <w:rPr>
                <w:rFonts w:ascii="宋体" w:hAnsi="宋体" w:cs="宋体"/>
                <w:color w:val="auto"/>
                <w:sz w:val="22"/>
                <w:highlight w:val="none"/>
              </w:rPr>
            </w:pPr>
          </w:p>
        </w:tc>
        <w:tc>
          <w:tcPr>
            <w:tcW w:w="720" w:type="dxa"/>
            <w:vAlign w:val="center"/>
          </w:tcPr>
          <w:p w14:paraId="643BED09">
            <w:pPr>
              <w:tabs>
                <w:tab w:val="left" w:pos="1069"/>
                <w:tab w:val="left" w:pos="2352"/>
              </w:tabs>
              <w:spacing w:line="360" w:lineRule="auto"/>
              <w:rPr>
                <w:rFonts w:ascii="宋体" w:hAnsi="宋体" w:cs="宋体"/>
                <w:color w:val="auto"/>
                <w:sz w:val="22"/>
                <w:highlight w:val="none"/>
              </w:rPr>
            </w:pPr>
          </w:p>
        </w:tc>
        <w:tc>
          <w:tcPr>
            <w:tcW w:w="720" w:type="dxa"/>
            <w:vAlign w:val="center"/>
          </w:tcPr>
          <w:p w14:paraId="65FBFC74">
            <w:pPr>
              <w:tabs>
                <w:tab w:val="left" w:pos="1069"/>
                <w:tab w:val="left" w:pos="2352"/>
              </w:tabs>
              <w:spacing w:line="360" w:lineRule="auto"/>
              <w:rPr>
                <w:rFonts w:ascii="宋体" w:hAnsi="宋体" w:cs="宋体"/>
                <w:color w:val="auto"/>
                <w:sz w:val="22"/>
                <w:highlight w:val="none"/>
              </w:rPr>
            </w:pPr>
          </w:p>
        </w:tc>
        <w:tc>
          <w:tcPr>
            <w:tcW w:w="1080" w:type="dxa"/>
            <w:vAlign w:val="center"/>
          </w:tcPr>
          <w:p w14:paraId="176B738C">
            <w:pPr>
              <w:tabs>
                <w:tab w:val="left" w:pos="1069"/>
                <w:tab w:val="left" w:pos="2352"/>
              </w:tabs>
              <w:spacing w:line="360" w:lineRule="auto"/>
              <w:rPr>
                <w:rFonts w:ascii="宋体" w:hAnsi="宋体" w:cs="宋体"/>
                <w:color w:val="auto"/>
                <w:sz w:val="22"/>
                <w:highlight w:val="none"/>
              </w:rPr>
            </w:pPr>
          </w:p>
        </w:tc>
        <w:tc>
          <w:tcPr>
            <w:tcW w:w="1458" w:type="dxa"/>
            <w:vAlign w:val="center"/>
          </w:tcPr>
          <w:p w14:paraId="2AE8914C">
            <w:pPr>
              <w:tabs>
                <w:tab w:val="left" w:pos="1069"/>
                <w:tab w:val="left" w:pos="2352"/>
              </w:tabs>
              <w:spacing w:line="360" w:lineRule="auto"/>
              <w:ind w:left="5250"/>
              <w:rPr>
                <w:rFonts w:ascii="宋体" w:hAnsi="宋体" w:cs="宋体"/>
                <w:color w:val="auto"/>
                <w:spacing w:val="12"/>
                <w:sz w:val="22"/>
                <w:highlight w:val="none"/>
              </w:rPr>
            </w:pPr>
          </w:p>
        </w:tc>
        <w:tc>
          <w:tcPr>
            <w:tcW w:w="1560" w:type="dxa"/>
            <w:vAlign w:val="center"/>
          </w:tcPr>
          <w:p w14:paraId="0F46113F">
            <w:pPr>
              <w:tabs>
                <w:tab w:val="left" w:pos="1069"/>
                <w:tab w:val="left" w:pos="2352"/>
              </w:tabs>
              <w:spacing w:line="360" w:lineRule="auto"/>
              <w:rPr>
                <w:rFonts w:ascii="宋体" w:hAnsi="宋体" w:cs="宋体"/>
                <w:color w:val="auto"/>
                <w:sz w:val="22"/>
                <w:highlight w:val="none"/>
              </w:rPr>
            </w:pPr>
          </w:p>
        </w:tc>
      </w:tr>
      <w:tr w14:paraId="2BC5F6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 w:hRule="atLeast"/>
        </w:trPr>
        <w:tc>
          <w:tcPr>
            <w:tcW w:w="828" w:type="dxa"/>
            <w:vAlign w:val="center"/>
          </w:tcPr>
          <w:p w14:paraId="772BED21">
            <w:pPr>
              <w:tabs>
                <w:tab w:val="left" w:pos="1069"/>
                <w:tab w:val="left" w:pos="2352"/>
              </w:tabs>
              <w:spacing w:line="360" w:lineRule="auto"/>
              <w:rPr>
                <w:rFonts w:ascii="宋体" w:hAnsi="宋体" w:cs="宋体"/>
                <w:color w:val="auto"/>
                <w:sz w:val="22"/>
                <w:highlight w:val="none"/>
              </w:rPr>
            </w:pPr>
          </w:p>
        </w:tc>
        <w:tc>
          <w:tcPr>
            <w:tcW w:w="2520" w:type="dxa"/>
            <w:vAlign w:val="center"/>
          </w:tcPr>
          <w:p w14:paraId="5CC37C78">
            <w:pPr>
              <w:tabs>
                <w:tab w:val="left" w:pos="1069"/>
                <w:tab w:val="left" w:pos="2352"/>
              </w:tabs>
              <w:spacing w:line="360" w:lineRule="auto"/>
              <w:rPr>
                <w:rFonts w:ascii="宋体" w:hAnsi="宋体" w:cs="宋体"/>
                <w:color w:val="auto"/>
                <w:sz w:val="22"/>
                <w:highlight w:val="none"/>
              </w:rPr>
            </w:pPr>
          </w:p>
        </w:tc>
        <w:tc>
          <w:tcPr>
            <w:tcW w:w="720" w:type="dxa"/>
            <w:vAlign w:val="center"/>
          </w:tcPr>
          <w:p w14:paraId="7C0F4784">
            <w:pPr>
              <w:tabs>
                <w:tab w:val="left" w:pos="1069"/>
                <w:tab w:val="left" w:pos="2352"/>
              </w:tabs>
              <w:spacing w:line="360" w:lineRule="auto"/>
              <w:rPr>
                <w:rFonts w:ascii="宋体" w:hAnsi="宋体" w:cs="宋体"/>
                <w:color w:val="auto"/>
                <w:sz w:val="22"/>
                <w:highlight w:val="none"/>
              </w:rPr>
            </w:pPr>
          </w:p>
        </w:tc>
        <w:tc>
          <w:tcPr>
            <w:tcW w:w="720" w:type="dxa"/>
            <w:vAlign w:val="center"/>
          </w:tcPr>
          <w:p w14:paraId="71803637">
            <w:pPr>
              <w:tabs>
                <w:tab w:val="left" w:pos="1069"/>
                <w:tab w:val="left" w:pos="2352"/>
              </w:tabs>
              <w:spacing w:line="360" w:lineRule="auto"/>
              <w:rPr>
                <w:rFonts w:ascii="宋体" w:hAnsi="宋体" w:cs="宋体"/>
                <w:color w:val="auto"/>
                <w:sz w:val="22"/>
                <w:highlight w:val="none"/>
              </w:rPr>
            </w:pPr>
          </w:p>
        </w:tc>
        <w:tc>
          <w:tcPr>
            <w:tcW w:w="720" w:type="dxa"/>
            <w:vAlign w:val="center"/>
          </w:tcPr>
          <w:p w14:paraId="7178BE29">
            <w:pPr>
              <w:tabs>
                <w:tab w:val="left" w:pos="1069"/>
                <w:tab w:val="left" w:pos="2352"/>
              </w:tabs>
              <w:spacing w:line="360" w:lineRule="auto"/>
              <w:rPr>
                <w:rFonts w:ascii="宋体" w:hAnsi="宋体" w:cs="宋体"/>
                <w:color w:val="auto"/>
                <w:sz w:val="22"/>
                <w:highlight w:val="none"/>
              </w:rPr>
            </w:pPr>
          </w:p>
        </w:tc>
        <w:tc>
          <w:tcPr>
            <w:tcW w:w="1080" w:type="dxa"/>
            <w:vAlign w:val="center"/>
          </w:tcPr>
          <w:p w14:paraId="7551FE49">
            <w:pPr>
              <w:tabs>
                <w:tab w:val="left" w:pos="1069"/>
                <w:tab w:val="left" w:pos="2352"/>
              </w:tabs>
              <w:spacing w:line="360" w:lineRule="auto"/>
              <w:rPr>
                <w:rFonts w:ascii="宋体" w:hAnsi="宋体" w:cs="宋体"/>
                <w:color w:val="auto"/>
                <w:sz w:val="22"/>
                <w:highlight w:val="none"/>
              </w:rPr>
            </w:pPr>
          </w:p>
        </w:tc>
        <w:tc>
          <w:tcPr>
            <w:tcW w:w="1458" w:type="dxa"/>
            <w:vAlign w:val="center"/>
          </w:tcPr>
          <w:p w14:paraId="59462AD2">
            <w:pPr>
              <w:tabs>
                <w:tab w:val="left" w:pos="1069"/>
                <w:tab w:val="left" w:pos="2352"/>
              </w:tabs>
              <w:spacing w:line="360" w:lineRule="auto"/>
              <w:rPr>
                <w:rFonts w:ascii="宋体" w:hAnsi="宋体" w:cs="宋体"/>
                <w:color w:val="auto"/>
                <w:sz w:val="22"/>
                <w:highlight w:val="none"/>
              </w:rPr>
            </w:pPr>
          </w:p>
        </w:tc>
        <w:tc>
          <w:tcPr>
            <w:tcW w:w="1560" w:type="dxa"/>
            <w:vAlign w:val="center"/>
          </w:tcPr>
          <w:p w14:paraId="7411F9F6">
            <w:pPr>
              <w:tabs>
                <w:tab w:val="left" w:pos="1069"/>
                <w:tab w:val="left" w:pos="2352"/>
              </w:tabs>
              <w:spacing w:line="360" w:lineRule="auto"/>
              <w:ind w:left="5250"/>
              <w:rPr>
                <w:rFonts w:ascii="宋体" w:hAnsi="宋体" w:cs="宋体"/>
                <w:color w:val="auto"/>
                <w:spacing w:val="12"/>
                <w:sz w:val="22"/>
                <w:highlight w:val="none"/>
              </w:rPr>
            </w:pPr>
          </w:p>
        </w:tc>
      </w:tr>
      <w:tr w14:paraId="40AE40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 w:hRule="atLeast"/>
        </w:trPr>
        <w:tc>
          <w:tcPr>
            <w:tcW w:w="828" w:type="dxa"/>
            <w:vAlign w:val="center"/>
          </w:tcPr>
          <w:p w14:paraId="7F9547A1">
            <w:pPr>
              <w:tabs>
                <w:tab w:val="left" w:pos="1069"/>
                <w:tab w:val="left" w:pos="2352"/>
              </w:tabs>
              <w:spacing w:line="360" w:lineRule="auto"/>
              <w:rPr>
                <w:rFonts w:ascii="宋体" w:hAnsi="宋体" w:cs="宋体"/>
                <w:color w:val="auto"/>
                <w:sz w:val="22"/>
                <w:highlight w:val="none"/>
              </w:rPr>
            </w:pPr>
          </w:p>
        </w:tc>
        <w:tc>
          <w:tcPr>
            <w:tcW w:w="2520" w:type="dxa"/>
            <w:vAlign w:val="center"/>
          </w:tcPr>
          <w:p w14:paraId="247D1621">
            <w:pPr>
              <w:tabs>
                <w:tab w:val="left" w:pos="1069"/>
                <w:tab w:val="left" w:pos="2352"/>
              </w:tabs>
              <w:spacing w:line="360" w:lineRule="auto"/>
              <w:rPr>
                <w:rFonts w:ascii="宋体" w:hAnsi="宋体" w:cs="宋体"/>
                <w:color w:val="auto"/>
                <w:sz w:val="22"/>
                <w:highlight w:val="none"/>
              </w:rPr>
            </w:pPr>
          </w:p>
        </w:tc>
        <w:tc>
          <w:tcPr>
            <w:tcW w:w="720" w:type="dxa"/>
            <w:vAlign w:val="center"/>
          </w:tcPr>
          <w:p w14:paraId="0CDBD01A">
            <w:pPr>
              <w:tabs>
                <w:tab w:val="left" w:pos="1069"/>
                <w:tab w:val="left" w:pos="2352"/>
              </w:tabs>
              <w:spacing w:line="360" w:lineRule="auto"/>
              <w:rPr>
                <w:rFonts w:ascii="宋体" w:hAnsi="宋体" w:cs="宋体"/>
                <w:color w:val="auto"/>
                <w:sz w:val="22"/>
                <w:highlight w:val="none"/>
              </w:rPr>
            </w:pPr>
          </w:p>
        </w:tc>
        <w:tc>
          <w:tcPr>
            <w:tcW w:w="720" w:type="dxa"/>
            <w:vAlign w:val="center"/>
          </w:tcPr>
          <w:p w14:paraId="1F22F078">
            <w:pPr>
              <w:tabs>
                <w:tab w:val="left" w:pos="1069"/>
                <w:tab w:val="left" w:pos="2352"/>
              </w:tabs>
              <w:spacing w:line="360" w:lineRule="auto"/>
              <w:rPr>
                <w:rFonts w:ascii="宋体" w:hAnsi="宋体" w:cs="宋体"/>
                <w:color w:val="auto"/>
                <w:sz w:val="22"/>
                <w:highlight w:val="none"/>
              </w:rPr>
            </w:pPr>
          </w:p>
        </w:tc>
        <w:tc>
          <w:tcPr>
            <w:tcW w:w="720" w:type="dxa"/>
            <w:vAlign w:val="center"/>
          </w:tcPr>
          <w:p w14:paraId="7F00A98D">
            <w:pPr>
              <w:tabs>
                <w:tab w:val="left" w:pos="1069"/>
                <w:tab w:val="left" w:pos="2352"/>
              </w:tabs>
              <w:spacing w:line="360" w:lineRule="auto"/>
              <w:rPr>
                <w:rFonts w:ascii="宋体" w:hAnsi="宋体" w:cs="宋体"/>
                <w:color w:val="auto"/>
                <w:sz w:val="22"/>
                <w:highlight w:val="none"/>
              </w:rPr>
            </w:pPr>
          </w:p>
        </w:tc>
        <w:tc>
          <w:tcPr>
            <w:tcW w:w="1080" w:type="dxa"/>
            <w:vAlign w:val="center"/>
          </w:tcPr>
          <w:p w14:paraId="6CC4E622">
            <w:pPr>
              <w:tabs>
                <w:tab w:val="left" w:pos="1069"/>
                <w:tab w:val="left" w:pos="2352"/>
              </w:tabs>
              <w:spacing w:line="360" w:lineRule="auto"/>
              <w:rPr>
                <w:rFonts w:ascii="宋体" w:hAnsi="宋体" w:cs="宋体"/>
                <w:color w:val="auto"/>
                <w:sz w:val="22"/>
                <w:highlight w:val="none"/>
              </w:rPr>
            </w:pPr>
          </w:p>
        </w:tc>
        <w:tc>
          <w:tcPr>
            <w:tcW w:w="1458" w:type="dxa"/>
            <w:vAlign w:val="center"/>
          </w:tcPr>
          <w:p w14:paraId="10B4573B">
            <w:pPr>
              <w:tabs>
                <w:tab w:val="left" w:pos="1069"/>
                <w:tab w:val="left" w:pos="2352"/>
              </w:tabs>
              <w:spacing w:line="360" w:lineRule="auto"/>
              <w:rPr>
                <w:rFonts w:ascii="宋体" w:hAnsi="宋体" w:cs="宋体"/>
                <w:color w:val="auto"/>
                <w:sz w:val="22"/>
                <w:highlight w:val="none"/>
              </w:rPr>
            </w:pPr>
          </w:p>
        </w:tc>
        <w:tc>
          <w:tcPr>
            <w:tcW w:w="1560" w:type="dxa"/>
            <w:vAlign w:val="center"/>
          </w:tcPr>
          <w:p w14:paraId="54AF946D">
            <w:pPr>
              <w:tabs>
                <w:tab w:val="left" w:pos="1069"/>
                <w:tab w:val="left" w:pos="2352"/>
              </w:tabs>
              <w:spacing w:line="360" w:lineRule="auto"/>
              <w:rPr>
                <w:rFonts w:ascii="宋体" w:hAnsi="宋体" w:cs="宋体"/>
                <w:color w:val="auto"/>
                <w:sz w:val="22"/>
                <w:highlight w:val="none"/>
              </w:rPr>
            </w:pPr>
          </w:p>
        </w:tc>
      </w:tr>
      <w:tr w14:paraId="7D1B17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 w:hRule="atLeast"/>
        </w:trPr>
        <w:tc>
          <w:tcPr>
            <w:tcW w:w="828" w:type="dxa"/>
            <w:vAlign w:val="center"/>
          </w:tcPr>
          <w:p w14:paraId="41FE69D5">
            <w:pPr>
              <w:tabs>
                <w:tab w:val="left" w:pos="1069"/>
                <w:tab w:val="left" w:pos="2352"/>
              </w:tabs>
              <w:spacing w:line="360" w:lineRule="auto"/>
              <w:rPr>
                <w:rFonts w:ascii="宋体" w:hAnsi="宋体" w:cs="宋体"/>
                <w:color w:val="auto"/>
                <w:sz w:val="22"/>
                <w:highlight w:val="none"/>
              </w:rPr>
            </w:pPr>
          </w:p>
        </w:tc>
        <w:tc>
          <w:tcPr>
            <w:tcW w:w="2520" w:type="dxa"/>
            <w:vAlign w:val="center"/>
          </w:tcPr>
          <w:p w14:paraId="7E08B0CC">
            <w:pPr>
              <w:tabs>
                <w:tab w:val="left" w:pos="1069"/>
                <w:tab w:val="left" w:pos="2352"/>
              </w:tabs>
              <w:spacing w:line="360" w:lineRule="auto"/>
              <w:rPr>
                <w:rFonts w:ascii="宋体" w:hAnsi="宋体" w:cs="宋体"/>
                <w:color w:val="auto"/>
                <w:sz w:val="22"/>
                <w:highlight w:val="none"/>
              </w:rPr>
            </w:pPr>
          </w:p>
        </w:tc>
        <w:tc>
          <w:tcPr>
            <w:tcW w:w="720" w:type="dxa"/>
            <w:vAlign w:val="center"/>
          </w:tcPr>
          <w:p w14:paraId="77FBDE23">
            <w:pPr>
              <w:tabs>
                <w:tab w:val="left" w:pos="1069"/>
                <w:tab w:val="left" w:pos="2352"/>
              </w:tabs>
              <w:spacing w:line="360" w:lineRule="auto"/>
              <w:rPr>
                <w:rFonts w:ascii="宋体" w:hAnsi="宋体" w:cs="宋体"/>
                <w:color w:val="auto"/>
                <w:sz w:val="22"/>
                <w:highlight w:val="none"/>
              </w:rPr>
            </w:pPr>
          </w:p>
        </w:tc>
        <w:tc>
          <w:tcPr>
            <w:tcW w:w="720" w:type="dxa"/>
            <w:vAlign w:val="center"/>
          </w:tcPr>
          <w:p w14:paraId="674332ED">
            <w:pPr>
              <w:tabs>
                <w:tab w:val="left" w:pos="1069"/>
                <w:tab w:val="left" w:pos="2352"/>
              </w:tabs>
              <w:spacing w:line="360" w:lineRule="auto"/>
              <w:rPr>
                <w:rFonts w:ascii="宋体" w:hAnsi="宋体" w:cs="宋体"/>
                <w:color w:val="auto"/>
                <w:sz w:val="22"/>
                <w:highlight w:val="none"/>
              </w:rPr>
            </w:pPr>
          </w:p>
        </w:tc>
        <w:tc>
          <w:tcPr>
            <w:tcW w:w="720" w:type="dxa"/>
            <w:vAlign w:val="center"/>
          </w:tcPr>
          <w:p w14:paraId="66B4ADB0">
            <w:pPr>
              <w:tabs>
                <w:tab w:val="left" w:pos="1069"/>
                <w:tab w:val="left" w:pos="2352"/>
              </w:tabs>
              <w:spacing w:line="360" w:lineRule="auto"/>
              <w:rPr>
                <w:rFonts w:ascii="宋体" w:hAnsi="宋体" w:cs="宋体"/>
                <w:color w:val="auto"/>
                <w:sz w:val="22"/>
                <w:highlight w:val="none"/>
              </w:rPr>
            </w:pPr>
          </w:p>
        </w:tc>
        <w:tc>
          <w:tcPr>
            <w:tcW w:w="1080" w:type="dxa"/>
            <w:vAlign w:val="center"/>
          </w:tcPr>
          <w:p w14:paraId="4C2B8F89">
            <w:pPr>
              <w:tabs>
                <w:tab w:val="left" w:pos="1069"/>
                <w:tab w:val="left" w:pos="2352"/>
              </w:tabs>
              <w:spacing w:line="360" w:lineRule="auto"/>
              <w:rPr>
                <w:rFonts w:ascii="宋体" w:hAnsi="宋体" w:cs="宋体"/>
                <w:color w:val="auto"/>
                <w:sz w:val="22"/>
                <w:highlight w:val="none"/>
              </w:rPr>
            </w:pPr>
          </w:p>
        </w:tc>
        <w:tc>
          <w:tcPr>
            <w:tcW w:w="1458" w:type="dxa"/>
            <w:vAlign w:val="center"/>
          </w:tcPr>
          <w:p w14:paraId="6FEEF9C2">
            <w:pPr>
              <w:tabs>
                <w:tab w:val="left" w:pos="1069"/>
                <w:tab w:val="left" w:pos="2352"/>
              </w:tabs>
              <w:spacing w:line="360" w:lineRule="auto"/>
              <w:rPr>
                <w:rFonts w:ascii="宋体" w:hAnsi="宋体" w:cs="宋体"/>
                <w:color w:val="auto"/>
                <w:sz w:val="22"/>
                <w:highlight w:val="none"/>
              </w:rPr>
            </w:pPr>
          </w:p>
        </w:tc>
        <w:tc>
          <w:tcPr>
            <w:tcW w:w="1560" w:type="dxa"/>
            <w:vAlign w:val="center"/>
          </w:tcPr>
          <w:p w14:paraId="17FEB79D">
            <w:pPr>
              <w:tabs>
                <w:tab w:val="left" w:pos="1069"/>
                <w:tab w:val="left" w:pos="2352"/>
              </w:tabs>
              <w:spacing w:line="360" w:lineRule="auto"/>
              <w:rPr>
                <w:rFonts w:ascii="宋体" w:hAnsi="宋体" w:cs="宋体"/>
                <w:color w:val="auto"/>
                <w:sz w:val="22"/>
                <w:highlight w:val="none"/>
              </w:rPr>
            </w:pPr>
          </w:p>
        </w:tc>
      </w:tr>
      <w:tr w14:paraId="6178D6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 w:hRule="atLeast"/>
        </w:trPr>
        <w:tc>
          <w:tcPr>
            <w:tcW w:w="828" w:type="dxa"/>
            <w:vAlign w:val="center"/>
          </w:tcPr>
          <w:p w14:paraId="40F7C50A">
            <w:pPr>
              <w:tabs>
                <w:tab w:val="left" w:pos="1069"/>
                <w:tab w:val="left" w:pos="2352"/>
              </w:tabs>
              <w:spacing w:line="360" w:lineRule="auto"/>
              <w:rPr>
                <w:rFonts w:ascii="宋体" w:hAnsi="宋体" w:cs="宋体"/>
                <w:color w:val="auto"/>
                <w:sz w:val="22"/>
                <w:highlight w:val="none"/>
              </w:rPr>
            </w:pPr>
          </w:p>
        </w:tc>
        <w:tc>
          <w:tcPr>
            <w:tcW w:w="2520" w:type="dxa"/>
            <w:vAlign w:val="center"/>
          </w:tcPr>
          <w:p w14:paraId="4FD1DFF4">
            <w:pPr>
              <w:tabs>
                <w:tab w:val="left" w:pos="1069"/>
                <w:tab w:val="left" w:pos="2352"/>
              </w:tabs>
              <w:spacing w:line="360" w:lineRule="auto"/>
              <w:rPr>
                <w:rFonts w:ascii="宋体" w:hAnsi="宋体" w:cs="宋体"/>
                <w:color w:val="auto"/>
                <w:sz w:val="22"/>
                <w:highlight w:val="none"/>
              </w:rPr>
            </w:pPr>
          </w:p>
        </w:tc>
        <w:tc>
          <w:tcPr>
            <w:tcW w:w="720" w:type="dxa"/>
            <w:vAlign w:val="center"/>
          </w:tcPr>
          <w:p w14:paraId="4B007DAE">
            <w:pPr>
              <w:tabs>
                <w:tab w:val="left" w:pos="1069"/>
                <w:tab w:val="left" w:pos="2352"/>
              </w:tabs>
              <w:spacing w:line="360" w:lineRule="auto"/>
              <w:rPr>
                <w:rFonts w:ascii="宋体" w:hAnsi="宋体" w:cs="宋体"/>
                <w:color w:val="auto"/>
                <w:sz w:val="22"/>
                <w:highlight w:val="none"/>
              </w:rPr>
            </w:pPr>
          </w:p>
        </w:tc>
        <w:tc>
          <w:tcPr>
            <w:tcW w:w="720" w:type="dxa"/>
            <w:vAlign w:val="center"/>
          </w:tcPr>
          <w:p w14:paraId="5A2DCE2B">
            <w:pPr>
              <w:tabs>
                <w:tab w:val="left" w:pos="1069"/>
                <w:tab w:val="left" w:pos="2352"/>
              </w:tabs>
              <w:spacing w:line="360" w:lineRule="auto"/>
              <w:rPr>
                <w:rFonts w:ascii="宋体" w:hAnsi="宋体" w:cs="宋体"/>
                <w:color w:val="auto"/>
                <w:sz w:val="22"/>
                <w:highlight w:val="none"/>
              </w:rPr>
            </w:pPr>
          </w:p>
        </w:tc>
        <w:tc>
          <w:tcPr>
            <w:tcW w:w="720" w:type="dxa"/>
            <w:vAlign w:val="center"/>
          </w:tcPr>
          <w:p w14:paraId="757EF4EA">
            <w:pPr>
              <w:tabs>
                <w:tab w:val="left" w:pos="1069"/>
                <w:tab w:val="left" w:pos="2352"/>
              </w:tabs>
              <w:spacing w:line="360" w:lineRule="auto"/>
              <w:rPr>
                <w:rFonts w:ascii="宋体" w:hAnsi="宋体" w:cs="宋体"/>
                <w:color w:val="auto"/>
                <w:sz w:val="22"/>
                <w:highlight w:val="none"/>
              </w:rPr>
            </w:pPr>
          </w:p>
        </w:tc>
        <w:tc>
          <w:tcPr>
            <w:tcW w:w="1080" w:type="dxa"/>
            <w:vAlign w:val="center"/>
          </w:tcPr>
          <w:p w14:paraId="4E8E1460">
            <w:pPr>
              <w:tabs>
                <w:tab w:val="left" w:pos="1069"/>
                <w:tab w:val="left" w:pos="2352"/>
              </w:tabs>
              <w:spacing w:line="360" w:lineRule="auto"/>
              <w:rPr>
                <w:rFonts w:ascii="宋体" w:hAnsi="宋体" w:cs="宋体"/>
                <w:color w:val="auto"/>
                <w:sz w:val="22"/>
                <w:highlight w:val="none"/>
              </w:rPr>
            </w:pPr>
          </w:p>
        </w:tc>
        <w:tc>
          <w:tcPr>
            <w:tcW w:w="1458" w:type="dxa"/>
            <w:vAlign w:val="center"/>
          </w:tcPr>
          <w:p w14:paraId="43B827D4">
            <w:pPr>
              <w:tabs>
                <w:tab w:val="left" w:pos="1069"/>
                <w:tab w:val="left" w:pos="2352"/>
              </w:tabs>
              <w:spacing w:line="360" w:lineRule="auto"/>
              <w:rPr>
                <w:rFonts w:ascii="宋体" w:hAnsi="宋体" w:cs="宋体"/>
                <w:color w:val="auto"/>
                <w:sz w:val="22"/>
                <w:highlight w:val="none"/>
              </w:rPr>
            </w:pPr>
          </w:p>
        </w:tc>
        <w:tc>
          <w:tcPr>
            <w:tcW w:w="1560" w:type="dxa"/>
            <w:vAlign w:val="center"/>
          </w:tcPr>
          <w:p w14:paraId="25799FA1">
            <w:pPr>
              <w:tabs>
                <w:tab w:val="left" w:pos="1069"/>
                <w:tab w:val="left" w:pos="2352"/>
              </w:tabs>
              <w:spacing w:line="360" w:lineRule="auto"/>
              <w:rPr>
                <w:rFonts w:ascii="宋体" w:hAnsi="宋体" w:cs="宋体"/>
                <w:color w:val="auto"/>
                <w:sz w:val="22"/>
                <w:highlight w:val="none"/>
              </w:rPr>
            </w:pPr>
          </w:p>
        </w:tc>
      </w:tr>
      <w:tr w14:paraId="3B779B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 w:hRule="atLeast"/>
        </w:trPr>
        <w:tc>
          <w:tcPr>
            <w:tcW w:w="828" w:type="dxa"/>
            <w:vAlign w:val="center"/>
          </w:tcPr>
          <w:p w14:paraId="3B9F5127">
            <w:pPr>
              <w:tabs>
                <w:tab w:val="left" w:pos="1069"/>
                <w:tab w:val="left" w:pos="2352"/>
              </w:tabs>
              <w:spacing w:line="360" w:lineRule="auto"/>
              <w:rPr>
                <w:rFonts w:ascii="宋体" w:hAnsi="宋体" w:cs="宋体"/>
                <w:color w:val="auto"/>
                <w:sz w:val="22"/>
                <w:highlight w:val="none"/>
              </w:rPr>
            </w:pPr>
          </w:p>
        </w:tc>
        <w:tc>
          <w:tcPr>
            <w:tcW w:w="2520" w:type="dxa"/>
            <w:vAlign w:val="center"/>
          </w:tcPr>
          <w:p w14:paraId="31E9B42E">
            <w:pPr>
              <w:tabs>
                <w:tab w:val="left" w:pos="1069"/>
                <w:tab w:val="left" w:pos="2352"/>
              </w:tabs>
              <w:spacing w:line="360" w:lineRule="auto"/>
              <w:rPr>
                <w:rFonts w:ascii="宋体" w:hAnsi="宋体" w:cs="宋体"/>
                <w:color w:val="auto"/>
                <w:sz w:val="22"/>
                <w:highlight w:val="none"/>
              </w:rPr>
            </w:pPr>
          </w:p>
        </w:tc>
        <w:tc>
          <w:tcPr>
            <w:tcW w:w="720" w:type="dxa"/>
            <w:vAlign w:val="center"/>
          </w:tcPr>
          <w:p w14:paraId="3DBC5BE1">
            <w:pPr>
              <w:tabs>
                <w:tab w:val="left" w:pos="1069"/>
                <w:tab w:val="left" w:pos="2352"/>
              </w:tabs>
              <w:spacing w:line="360" w:lineRule="auto"/>
              <w:rPr>
                <w:rFonts w:ascii="宋体" w:hAnsi="宋体" w:cs="宋体"/>
                <w:color w:val="auto"/>
                <w:sz w:val="22"/>
                <w:highlight w:val="none"/>
              </w:rPr>
            </w:pPr>
          </w:p>
        </w:tc>
        <w:tc>
          <w:tcPr>
            <w:tcW w:w="720" w:type="dxa"/>
            <w:vAlign w:val="center"/>
          </w:tcPr>
          <w:p w14:paraId="1FCF690F">
            <w:pPr>
              <w:tabs>
                <w:tab w:val="left" w:pos="1069"/>
                <w:tab w:val="left" w:pos="2352"/>
              </w:tabs>
              <w:spacing w:line="360" w:lineRule="auto"/>
              <w:rPr>
                <w:rFonts w:ascii="宋体" w:hAnsi="宋体" w:cs="宋体"/>
                <w:color w:val="auto"/>
                <w:sz w:val="22"/>
                <w:highlight w:val="none"/>
              </w:rPr>
            </w:pPr>
          </w:p>
        </w:tc>
        <w:tc>
          <w:tcPr>
            <w:tcW w:w="720" w:type="dxa"/>
            <w:vAlign w:val="center"/>
          </w:tcPr>
          <w:p w14:paraId="3257EC11">
            <w:pPr>
              <w:tabs>
                <w:tab w:val="left" w:pos="1069"/>
                <w:tab w:val="left" w:pos="2352"/>
              </w:tabs>
              <w:spacing w:line="360" w:lineRule="auto"/>
              <w:rPr>
                <w:rFonts w:ascii="宋体" w:hAnsi="宋体" w:cs="宋体"/>
                <w:color w:val="auto"/>
                <w:sz w:val="22"/>
                <w:highlight w:val="none"/>
              </w:rPr>
            </w:pPr>
          </w:p>
        </w:tc>
        <w:tc>
          <w:tcPr>
            <w:tcW w:w="1080" w:type="dxa"/>
            <w:vAlign w:val="center"/>
          </w:tcPr>
          <w:p w14:paraId="5865A410">
            <w:pPr>
              <w:tabs>
                <w:tab w:val="left" w:pos="1069"/>
                <w:tab w:val="left" w:pos="2352"/>
              </w:tabs>
              <w:spacing w:line="360" w:lineRule="auto"/>
              <w:rPr>
                <w:rFonts w:ascii="宋体" w:hAnsi="宋体" w:cs="宋体"/>
                <w:color w:val="auto"/>
                <w:sz w:val="22"/>
                <w:highlight w:val="none"/>
              </w:rPr>
            </w:pPr>
          </w:p>
        </w:tc>
        <w:tc>
          <w:tcPr>
            <w:tcW w:w="1458" w:type="dxa"/>
            <w:vAlign w:val="center"/>
          </w:tcPr>
          <w:p w14:paraId="093D93E8">
            <w:pPr>
              <w:tabs>
                <w:tab w:val="left" w:pos="1069"/>
                <w:tab w:val="left" w:pos="2352"/>
              </w:tabs>
              <w:spacing w:line="360" w:lineRule="auto"/>
              <w:rPr>
                <w:rFonts w:ascii="宋体" w:hAnsi="宋体" w:cs="宋体"/>
                <w:color w:val="auto"/>
                <w:sz w:val="22"/>
                <w:highlight w:val="none"/>
              </w:rPr>
            </w:pPr>
          </w:p>
        </w:tc>
        <w:tc>
          <w:tcPr>
            <w:tcW w:w="1560" w:type="dxa"/>
            <w:vAlign w:val="center"/>
          </w:tcPr>
          <w:p w14:paraId="4928EDC1">
            <w:pPr>
              <w:tabs>
                <w:tab w:val="left" w:pos="1069"/>
                <w:tab w:val="left" w:pos="2352"/>
              </w:tabs>
              <w:spacing w:line="360" w:lineRule="auto"/>
              <w:rPr>
                <w:rFonts w:ascii="宋体" w:hAnsi="宋体" w:cs="宋体"/>
                <w:color w:val="auto"/>
                <w:sz w:val="22"/>
                <w:highlight w:val="none"/>
              </w:rPr>
            </w:pPr>
          </w:p>
        </w:tc>
      </w:tr>
      <w:tr w14:paraId="74BF7D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 w:hRule="atLeast"/>
        </w:trPr>
        <w:tc>
          <w:tcPr>
            <w:tcW w:w="828" w:type="dxa"/>
            <w:vAlign w:val="center"/>
          </w:tcPr>
          <w:p w14:paraId="0D0C18C2">
            <w:pPr>
              <w:tabs>
                <w:tab w:val="left" w:pos="1069"/>
                <w:tab w:val="left" w:pos="2352"/>
              </w:tabs>
              <w:spacing w:line="360" w:lineRule="auto"/>
              <w:rPr>
                <w:rFonts w:ascii="宋体" w:hAnsi="宋体" w:cs="宋体"/>
                <w:color w:val="auto"/>
                <w:sz w:val="22"/>
                <w:highlight w:val="none"/>
              </w:rPr>
            </w:pPr>
          </w:p>
        </w:tc>
        <w:tc>
          <w:tcPr>
            <w:tcW w:w="2520" w:type="dxa"/>
            <w:vAlign w:val="center"/>
          </w:tcPr>
          <w:p w14:paraId="613A8887">
            <w:pPr>
              <w:tabs>
                <w:tab w:val="left" w:pos="1069"/>
                <w:tab w:val="left" w:pos="2352"/>
              </w:tabs>
              <w:spacing w:line="360" w:lineRule="auto"/>
              <w:rPr>
                <w:rFonts w:ascii="宋体" w:hAnsi="宋体" w:cs="宋体"/>
                <w:color w:val="auto"/>
                <w:sz w:val="22"/>
                <w:highlight w:val="none"/>
              </w:rPr>
            </w:pPr>
          </w:p>
        </w:tc>
        <w:tc>
          <w:tcPr>
            <w:tcW w:w="720" w:type="dxa"/>
            <w:vAlign w:val="center"/>
          </w:tcPr>
          <w:p w14:paraId="4B47E64D">
            <w:pPr>
              <w:tabs>
                <w:tab w:val="left" w:pos="1069"/>
                <w:tab w:val="left" w:pos="2352"/>
              </w:tabs>
              <w:spacing w:line="360" w:lineRule="auto"/>
              <w:rPr>
                <w:rFonts w:ascii="宋体" w:hAnsi="宋体" w:cs="宋体"/>
                <w:color w:val="auto"/>
                <w:sz w:val="22"/>
                <w:highlight w:val="none"/>
              </w:rPr>
            </w:pPr>
          </w:p>
        </w:tc>
        <w:tc>
          <w:tcPr>
            <w:tcW w:w="720" w:type="dxa"/>
            <w:vAlign w:val="center"/>
          </w:tcPr>
          <w:p w14:paraId="30E1A94A">
            <w:pPr>
              <w:tabs>
                <w:tab w:val="left" w:pos="1069"/>
                <w:tab w:val="left" w:pos="2352"/>
              </w:tabs>
              <w:spacing w:line="360" w:lineRule="auto"/>
              <w:rPr>
                <w:rFonts w:ascii="宋体" w:hAnsi="宋体" w:cs="宋体"/>
                <w:color w:val="auto"/>
                <w:sz w:val="22"/>
                <w:highlight w:val="none"/>
              </w:rPr>
            </w:pPr>
          </w:p>
        </w:tc>
        <w:tc>
          <w:tcPr>
            <w:tcW w:w="720" w:type="dxa"/>
            <w:vAlign w:val="center"/>
          </w:tcPr>
          <w:p w14:paraId="5B7513F3">
            <w:pPr>
              <w:tabs>
                <w:tab w:val="left" w:pos="1069"/>
                <w:tab w:val="left" w:pos="2352"/>
              </w:tabs>
              <w:spacing w:line="360" w:lineRule="auto"/>
              <w:rPr>
                <w:rFonts w:ascii="宋体" w:hAnsi="宋体" w:cs="宋体"/>
                <w:color w:val="auto"/>
                <w:sz w:val="22"/>
                <w:highlight w:val="none"/>
              </w:rPr>
            </w:pPr>
          </w:p>
        </w:tc>
        <w:tc>
          <w:tcPr>
            <w:tcW w:w="1080" w:type="dxa"/>
            <w:vAlign w:val="center"/>
          </w:tcPr>
          <w:p w14:paraId="7492B889">
            <w:pPr>
              <w:tabs>
                <w:tab w:val="left" w:pos="1069"/>
                <w:tab w:val="left" w:pos="2352"/>
              </w:tabs>
              <w:spacing w:line="360" w:lineRule="auto"/>
              <w:rPr>
                <w:rFonts w:ascii="宋体" w:hAnsi="宋体" w:cs="宋体"/>
                <w:color w:val="auto"/>
                <w:sz w:val="22"/>
                <w:highlight w:val="none"/>
              </w:rPr>
            </w:pPr>
          </w:p>
        </w:tc>
        <w:tc>
          <w:tcPr>
            <w:tcW w:w="1458" w:type="dxa"/>
            <w:vAlign w:val="center"/>
          </w:tcPr>
          <w:p w14:paraId="7D6EEA19">
            <w:pPr>
              <w:tabs>
                <w:tab w:val="left" w:pos="1069"/>
                <w:tab w:val="left" w:pos="2352"/>
              </w:tabs>
              <w:spacing w:line="360" w:lineRule="auto"/>
              <w:rPr>
                <w:rFonts w:ascii="宋体" w:hAnsi="宋体" w:cs="宋体"/>
                <w:color w:val="auto"/>
                <w:sz w:val="22"/>
                <w:highlight w:val="none"/>
              </w:rPr>
            </w:pPr>
          </w:p>
        </w:tc>
        <w:tc>
          <w:tcPr>
            <w:tcW w:w="1560" w:type="dxa"/>
            <w:vAlign w:val="center"/>
          </w:tcPr>
          <w:p w14:paraId="77C07CA9">
            <w:pPr>
              <w:tabs>
                <w:tab w:val="left" w:pos="1069"/>
                <w:tab w:val="left" w:pos="2352"/>
              </w:tabs>
              <w:spacing w:line="360" w:lineRule="auto"/>
              <w:rPr>
                <w:rFonts w:ascii="宋体" w:hAnsi="宋体" w:cs="宋体"/>
                <w:color w:val="auto"/>
                <w:sz w:val="22"/>
                <w:highlight w:val="none"/>
              </w:rPr>
            </w:pPr>
          </w:p>
        </w:tc>
      </w:tr>
      <w:tr w14:paraId="0F2720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 w:hRule="atLeast"/>
        </w:trPr>
        <w:tc>
          <w:tcPr>
            <w:tcW w:w="828" w:type="dxa"/>
            <w:vAlign w:val="center"/>
          </w:tcPr>
          <w:p w14:paraId="63EFAE14">
            <w:pPr>
              <w:tabs>
                <w:tab w:val="left" w:pos="1069"/>
                <w:tab w:val="left" w:pos="2352"/>
              </w:tabs>
              <w:spacing w:line="360" w:lineRule="auto"/>
              <w:rPr>
                <w:rFonts w:ascii="宋体" w:hAnsi="宋体" w:cs="宋体"/>
                <w:color w:val="auto"/>
                <w:sz w:val="22"/>
                <w:highlight w:val="none"/>
              </w:rPr>
            </w:pPr>
          </w:p>
        </w:tc>
        <w:tc>
          <w:tcPr>
            <w:tcW w:w="2520" w:type="dxa"/>
            <w:vAlign w:val="center"/>
          </w:tcPr>
          <w:p w14:paraId="6CA6DD9B">
            <w:pPr>
              <w:tabs>
                <w:tab w:val="left" w:pos="1069"/>
                <w:tab w:val="left" w:pos="2352"/>
              </w:tabs>
              <w:spacing w:line="360" w:lineRule="auto"/>
              <w:rPr>
                <w:rFonts w:ascii="宋体" w:hAnsi="宋体" w:cs="宋体"/>
                <w:color w:val="auto"/>
                <w:sz w:val="22"/>
                <w:highlight w:val="none"/>
              </w:rPr>
            </w:pPr>
          </w:p>
        </w:tc>
        <w:tc>
          <w:tcPr>
            <w:tcW w:w="720" w:type="dxa"/>
            <w:vAlign w:val="center"/>
          </w:tcPr>
          <w:p w14:paraId="7982FF1F">
            <w:pPr>
              <w:tabs>
                <w:tab w:val="left" w:pos="1069"/>
                <w:tab w:val="left" w:pos="2352"/>
              </w:tabs>
              <w:spacing w:line="360" w:lineRule="auto"/>
              <w:rPr>
                <w:rFonts w:ascii="宋体" w:hAnsi="宋体" w:cs="宋体"/>
                <w:color w:val="auto"/>
                <w:sz w:val="22"/>
                <w:highlight w:val="none"/>
              </w:rPr>
            </w:pPr>
          </w:p>
        </w:tc>
        <w:tc>
          <w:tcPr>
            <w:tcW w:w="720" w:type="dxa"/>
            <w:vAlign w:val="center"/>
          </w:tcPr>
          <w:p w14:paraId="5ECAA211">
            <w:pPr>
              <w:tabs>
                <w:tab w:val="left" w:pos="1069"/>
                <w:tab w:val="left" w:pos="2352"/>
              </w:tabs>
              <w:spacing w:line="360" w:lineRule="auto"/>
              <w:rPr>
                <w:rFonts w:ascii="宋体" w:hAnsi="宋体" w:cs="宋体"/>
                <w:color w:val="auto"/>
                <w:sz w:val="22"/>
                <w:highlight w:val="none"/>
              </w:rPr>
            </w:pPr>
          </w:p>
        </w:tc>
        <w:tc>
          <w:tcPr>
            <w:tcW w:w="720" w:type="dxa"/>
            <w:vAlign w:val="center"/>
          </w:tcPr>
          <w:p w14:paraId="0BC61427">
            <w:pPr>
              <w:tabs>
                <w:tab w:val="left" w:pos="1069"/>
                <w:tab w:val="left" w:pos="2352"/>
              </w:tabs>
              <w:spacing w:line="360" w:lineRule="auto"/>
              <w:rPr>
                <w:rFonts w:ascii="宋体" w:hAnsi="宋体" w:cs="宋体"/>
                <w:color w:val="auto"/>
                <w:sz w:val="22"/>
                <w:highlight w:val="none"/>
              </w:rPr>
            </w:pPr>
          </w:p>
        </w:tc>
        <w:tc>
          <w:tcPr>
            <w:tcW w:w="1080" w:type="dxa"/>
            <w:vAlign w:val="center"/>
          </w:tcPr>
          <w:p w14:paraId="7B1C2982">
            <w:pPr>
              <w:tabs>
                <w:tab w:val="left" w:pos="1069"/>
                <w:tab w:val="left" w:pos="2352"/>
              </w:tabs>
              <w:spacing w:line="360" w:lineRule="auto"/>
              <w:rPr>
                <w:rFonts w:ascii="宋体" w:hAnsi="宋体" w:cs="宋体"/>
                <w:color w:val="auto"/>
                <w:sz w:val="22"/>
                <w:highlight w:val="none"/>
              </w:rPr>
            </w:pPr>
          </w:p>
        </w:tc>
        <w:tc>
          <w:tcPr>
            <w:tcW w:w="1458" w:type="dxa"/>
            <w:vAlign w:val="center"/>
          </w:tcPr>
          <w:p w14:paraId="3F1686C9">
            <w:pPr>
              <w:tabs>
                <w:tab w:val="left" w:pos="1069"/>
                <w:tab w:val="left" w:pos="2352"/>
              </w:tabs>
              <w:spacing w:line="360" w:lineRule="auto"/>
              <w:rPr>
                <w:rFonts w:ascii="宋体" w:hAnsi="宋体" w:cs="宋体"/>
                <w:color w:val="auto"/>
                <w:sz w:val="22"/>
                <w:highlight w:val="none"/>
              </w:rPr>
            </w:pPr>
          </w:p>
        </w:tc>
        <w:tc>
          <w:tcPr>
            <w:tcW w:w="1560" w:type="dxa"/>
            <w:vAlign w:val="center"/>
          </w:tcPr>
          <w:p w14:paraId="7145D10E">
            <w:pPr>
              <w:tabs>
                <w:tab w:val="left" w:pos="1069"/>
                <w:tab w:val="left" w:pos="2352"/>
              </w:tabs>
              <w:spacing w:line="360" w:lineRule="auto"/>
              <w:rPr>
                <w:rFonts w:ascii="宋体" w:hAnsi="宋体" w:cs="宋体"/>
                <w:color w:val="auto"/>
                <w:sz w:val="22"/>
                <w:highlight w:val="none"/>
              </w:rPr>
            </w:pPr>
          </w:p>
        </w:tc>
      </w:tr>
      <w:tr w14:paraId="20C3AA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 w:hRule="atLeast"/>
        </w:trPr>
        <w:tc>
          <w:tcPr>
            <w:tcW w:w="828" w:type="dxa"/>
            <w:vAlign w:val="center"/>
          </w:tcPr>
          <w:p w14:paraId="13914122">
            <w:pPr>
              <w:tabs>
                <w:tab w:val="left" w:pos="1069"/>
                <w:tab w:val="left" w:pos="2352"/>
              </w:tabs>
              <w:spacing w:line="360" w:lineRule="auto"/>
              <w:rPr>
                <w:rFonts w:ascii="宋体" w:hAnsi="宋体" w:cs="宋体"/>
                <w:color w:val="auto"/>
                <w:sz w:val="22"/>
                <w:highlight w:val="none"/>
              </w:rPr>
            </w:pPr>
          </w:p>
        </w:tc>
        <w:tc>
          <w:tcPr>
            <w:tcW w:w="2520" w:type="dxa"/>
            <w:vAlign w:val="center"/>
          </w:tcPr>
          <w:p w14:paraId="4C357AE3">
            <w:pPr>
              <w:tabs>
                <w:tab w:val="left" w:pos="1069"/>
                <w:tab w:val="left" w:pos="2352"/>
              </w:tabs>
              <w:spacing w:line="360" w:lineRule="auto"/>
              <w:rPr>
                <w:rFonts w:ascii="宋体" w:hAnsi="宋体" w:cs="宋体"/>
                <w:color w:val="auto"/>
                <w:sz w:val="22"/>
                <w:highlight w:val="none"/>
              </w:rPr>
            </w:pPr>
          </w:p>
        </w:tc>
        <w:tc>
          <w:tcPr>
            <w:tcW w:w="720" w:type="dxa"/>
            <w:vAlign w:val="center"/>
          </w:tcPr>
          <w:p w14:paraId="5D9EC9F1">
            <w:pPr>
              <w:tabs>
                <w:tab w:val="left" w:pos="1069"/>
                <w:tab w:val="left" w:pos="2352"/>
              </w:tabs>
              <w:spacing w:line="360" w:lineRule="auto"/>
              <w:rPr>
                <w:rFonts w:ascii="宋体" w:hAnsi="宋体" w:cs="宋体"/>
                <w:color w:val="auto"/>
                <w:sz w:val="22"/>
                <w:highlight w:val="none"/>
              </w:rPr>
            </w:pPr>
          </w:p>
        </w:tc>
        <w:tc>
          <w:tcPr>
            <w:tcW w:w="720" w:type="dxa"/>
            <w:vAlign w:val="center"/>
          </w:tcPr>
          <w:p w14:paraId="5D6E50BC">
            <w:pPr>
              <w:tabs>
                <w:tab w:val="left" w:pos="1069"/>
                <w:tab w:val="left" w:pos="2352"/>
              </w:tabs>
              <w:spacing w:line="360" w:lineRule="auto"/>
              <w:rPr>
                <w:rFonts w:ascii="宋体" w:hAnsi="宋体" w:cs="宋体"/>
                <w:color w:val="auto"/>
                <w:sz w:val="22"/>
                <w:highlight w:val="none"/>
              </w:rPr>
            </w:pPr>
          </w:p>
        </w:tc>
        <w:tc>
          <w:tcPr>
            <w:tcW w:w="720" w:type="dxa"/>
            <w:vAlign w:val="center"/>
          </w:tcPr>
          <w:p w14:paraId="7AABF470">
            <w:pPr>
              <w:tabs>
                <w:tab w:val="left" w:pos="1069"/>
                <w:tab w:val="left" w:pos="2352"/>
              </w:tabs>
              <w:spacing w:line="360" w:lineRule="auto"/>
              <w:rPr>
                <w:rFonts w:ascii="宋体" w:hAnsi="宋体" w:cs="宋体"/>
                <w:color w:val="auto"/>
                <w:sz w:val="22"/>
                <w:highlight w:val="none"/>
              </w:rPr>
            </w:pPr>
          </w:p>
        </w:tc>
        <w:tc>
          <w:tcPr>
            <w:tcW w:w="1080" w:type="dxa"/>
            <w:vAlign w:val="center"/>
          </w:tcPr>
          <w:p w14:paraId="01A84414">
            <w:pPr>
              <w:tabs>
                <w:tab w:val="left" w:pos="1069"/>
                <w:tab w:val="left" w:pos="2352"/>
              </w:tabs>
              <w:spacing w:line="360" w:lineRule="auto"/>
              <w:rPr>
                <w:rFonts w:ascii="宋体" w:hAnsi="宋体" w:cs="宋体"/>
                <w:color w:val="auto"/>
                <w:sz w:val="22"/>
                <w:highlight w:val="none"/>
              </w:rPr>
            </w:pPr>
          </w:p>
        </w:tc>
        <w:tc>
          <w:tcPr>
            <w:tcW w:w="1458" w:type="dxa"/>
            <w:vAlign w:val="center"/>
          </w:tcPr>
          <w:p w14:paraId="7EE91C33">
            <w:pPr>
              <w:tabs>
                <w:tab w:val="left" w:pos="1069"/>
                <w:tab w:val="left" w:pos="2352"/>
              </w:tabs>
              <w:spacing w:line="360" w:lineRule="auto"/>
              <w:rPr>
                <w:rFonts w:ascii="宋体" w:hAnsi="宋体" w:cs="宋体"/>
                <w:color w:val="auto"/>
                <w:sz w:val="22"/>
                <w:highlight w:val="none"/>
              </w:rPr>
            </w:pPr>
          </w:p>
        </w:tc>
        <w:tc>
          <w:tcPr>
            <w:tcW w:w="1560" w:type="dxa"/>
            <w:vAlign w:val="center"/>
          </w:tcPr>
          <w:p w14:paraId="6FC723E8">
            <w:pPr>
              <w:tabs>
                <w:tab w:val="left" w:pos="1069"/>
                <w:tab w:val="left" w:pos="2352"/>
              </w:tabs>
              <w:spacing w:line="360" w:lineRule="auto"/>
              <w:rPr>
                <w:rFonts w:ascii="宋体" w:hAnsi="宋体" w:cs="宋体"/>
                <w:color w:val="auto"/>
                <w:sz w:val="22"/>
                <w:highlight w:val="none"/>
              </w:rPr>
            </w:pPr>
          </w:p>
        </w:tc>
      </w:tr>
      <w:tr w14:paraId="17C6B4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 w:hRule="atLeast"/>
        </w:trPr>
        <w:tc>
          <w:tcPr>
            <w:tcW w:w="828" w:type="dxa"/>
            <w:vAlign w:val="center"/>
          </w:tcPr>
          <w:p w14:paraId="4E16BBA2">
            <w:pPr>
              <w:tabs>
                <w:tab w:val="left" w:pos="1069"/>
                <w:tab w:val="left" w:pos="2352"/>
              </w:tabs>
              <w:spacing w:line="360" w:lineRule="auto"/>
              <w:rPr>
                <w:rFonts w:ascii="宋体" w:hAnsi="宋体" w:cs="宋体"/>
                <w:color w:val="auto"/>
                <w:sz w:val="22"/>
                <w:highlight w:val="none"/>
              </w:rPr>
            </w:pPr>
          </w:p>
        </w:tc>
        <w:tc>
          <w:tcPr>
            <w:tcW w:w="2520" w:type="dxa"/>
            <w:vAlign w:val="center"/>
          </w:tcPr>
          <w:p w14:paraId="74E33110">
            <w:pPr>
              <w:tabs>
                <w:tab w:val="left" w:pos="1069"/>
                <w:tab w:val="left" w:pos="2352"/>
              </w:tabs>
              <w:spacing w:line="360" w:lineRule="auto"/>
              <w:rPr>
                <w:rFonts w:ascii="宋体" w:hAnsi="宋体" w:cs="宋体"/>
                <w:color w:val="auto"/>
                <w:sz w:val="22"/>
                <w:highlight w:val="none"/>
              </w:rPr>
            </w:pPr>
          </w:p>
        </w:tc>
        <w:tc>
          <w:tcPr>
            <w:tcW w:w="720" w:type="dxa"/>
            <w:vAlign w:val="center"/>
          </w:tcPr>
          <w:p w14:paraId="4F79C6FA">
            <w:pPr>
              <w:tabs>
                <w:tab w:val="left" w:pos="1069"/>
                <w:tab w:val="left" w:pos="2352"/>
              </w:tabs>
              <w:spacing w:line="360" w:lineRule="auto"/>
              <w:rPr>
                <w:rFonts w:ascii="宋体" w:hAnsi="宋体" w:cs="宋体"/>
                <w:color w:val="auto"/>
                <w:sz w:val="22"/>
                <w:highlight w:val="none"/>
              </w:rPr>
            </w:pPr>
          </w:p>
        </w:tc>
        <w:tc>
          <w:tcPr>
            <w:tcW w:w="720" w:type="dxa"/>
            <w:vAlign w:val="center"/>
          </w:tcPr>
          <w:p w14:paraId="37635EFC">
            <w:pPr>
              <w:tabs>
                <w:tab w:val="left" w:pos="1069"/>
                <w:tab w:val="left" w:pos="2352"/>
              </w:tabs>
              <w:spacing w:line="360" w:lineRule="auto"/>
              <w:rPr>
                <w:rFonts w:ascii="宋体" w:hAnsi="宋体" w:cs="宋体"/>
                <w:color w:val="auto"/>
                <w:sz w:val="22"/>
                <w:highlight w:val="none"/>
              </w:rPr>
            </w:pPr>
          </w:p>
        </w:tc>
        <w:tc>
          <w:tcPr>
            <w:tcW w:w="720" w:type="dxa"/>
            <w:vAlign w:val="center"/>
          </w:tcPr>
          <w:p w14:paraId="0BCF3677">
            <w:pPr>
              <w:tabs>
                <w:tab w:val="left" w:pos="1069"/>
                <w:tab w:val="left" w:pos="2352"/>
              </w:tabs>
              <w:spacing w:line="360" w:lineRule="auto"/>
              <w:rPr>
                <w:rFonts w:ascii="宋体" w:hAnsi="宋体" w:cs="宋体"/>
                <w:color w:val="auto"/>
                <w:sz w:val="22"/>
                <w:highlight w:val="none"/>
              </w:rPr>
            </w:pPr>
          </w:p>
        </w:tc>
        <w:tc>
          <w:tcPr>
            <w:tcW w:w="1080" w:type="dxa"/>
            <w:vAlign w:val="center"/>
          </w:tcPr>
          <w:p w14:paraId="1AA2A23E">
            <w:pPr>
              <w:tabs>
                <w:tab w:val="left" w:pos="1069"/>
                <w:tab w:val="left" w:pos="2352"/>
              </w:tabs>
              <w:spacing w:line="360" w:lineRule="auto"/>
              <w:rPr>
                <w:rFonts w:ascii="宋体" w:hAnsi="宋体" w:cs="宋体"/>
                <w:color w:val="auto"/>
                <w:sz w:val="22"/>
                <w:highlight w:val="none"/>
              </w:rPr>
            </w:pPr>
          </w:p>
        </w:tc>
        <w:tc>
          <w:tcPr>
            <w:tcW w:w="1458" w:type="dxa"/>
            <w:vAlign w:val="center"/>
          </w:tcPr>
          <w:p w14:paraId="478D9F6F">
            <w:pPr>
              <w:tabs>
                <w:tab w:val="left" w:pos="1069"/>
                <w:tab w:val="left" w:pos="2352"/>
              </w:tabs>
              <w:spacing w:line="360" w:lineRule="auto"/>
              <w:rPr>
                <w:rFonts w:ascii="宋体" w:hAnsi="宋体" w:cs="宋体"/>
                <w:color w:val="auto"/>
                <w:sz w:val="22"/>
                <w:highlight w:val="none"/>
              </w:rPr>
            </w:pPr>
          </w:p>
        </w:tc>
        <w:tc>
          <w:tcPr>
            <w:tcW w:w="1560" w:type="dxa"/>
            <w:vAlign w:val="center"/>
          </w:tcPr>
          <w:p w14:paraId="5F4A4E80">
            <w:pPr>
              <w:tabs>
                <w:tab w:val="left" w:pos="1069"/>
                <w:tab w:val="left" w:pos="2352"/>
              </w:tabs>
              <w:spacing w:line="360" w:lineRule="auto"/>
              <w:rPr>
                <w:rFonts w:ascii="宋体" w:hAnsi="宋体" w:cs="宋体"/>
                <w:color w:val="auto"/>
                <w:sz w:val="22"/>
                <w:highlight w:val="none"/>
              </w:rPr>
            </w:pPr>
          </w:p>
        </w:tc>
      </w:tr>
      <w:tr w14:paraId="60DA57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 w:hRule="atLeast"/>
        </w:trPr>
        <w:tc>
          <w:tcPr>
            <w:tcW w:w="828" w:type="dxa"/>
            <w:vAlign w:val="center"/>
          </w:tcPr>
          <w:p w14:paraId="7CE86EA9">
            <w:pPr>
              <w:tabs>
                <w:tab w:val="left" w:pos="1069"/>
                <w:tab w:val="left" w:pos="2352"/>
              </w:tabs>
              <w:spacing w:line="360" w:lineRule="auto"/>
              <w:rPr>
                <w:rFonts w:ascii="宋体" w:hAnsi="宋体" w:cs="宋体"/>
                <w:color w:val="auto"/>
                <w:sz w:val="22"/>
                <w:highlight w:val="none"/>
              </w:rPr>
            </w:pPr>
          </w:p>
        </w:tc>
        <w:tc>
          <w:tcPr>
            <w:tcW w:w="2520" w:type="dxa"/>
            <w:vAlign w:val="center"/>
          </w:tcPr>
          <w:p w14:paraId="15EFE4F7">
            <w:pPr>
              <w:tabs>
                <w:tab w:val="left" w:pos="1069"/>
                <w:tab w:val="left" w:pos="2352"/>
              </w:tabs>
              <w:spacing w:line="360" w:lineRule="auto"/>
              <w:rPr>
                <w:rFonts w:ascii="宋体" w:hAnsi="宋体" w:cs="宋体"/>
                <w:color w:val="auto"/>
                <w:sz w:val="22"/>
                <w:highlight w:val="none"/>
              </w:rPr>
            </w:pPr>
          </w:p>
        </w:tc>
        <w:tc>
          <w:tcPr>
            <w:tcW w:w="720" w:type="dxa"/>
            <w:vAlign w:val="center"/>
          </w:tcPr>
          <w:p w14:paraId="675E65D5">
            <w:pPr>
              <w:tabs>
                <w:tab w:val="left" w:pos="1069"/>
                <w:tab w:val="left" w:pos="2352"/>
              </w:tabs>
              <w:spacing w:line="360" w:lineRule="auto"/>
              <w:rPr>
                <w:rFonts w:ascii="宋体" w:hAnsi="宋体" w:cs="宋体"/>
                <w:color w:val="auto"/>
                <w:sz w:val="22"/>
                <w:highlight w:val="none"/>
              </w:rPr>
            </w:pPr>
          </w:p>
        </w:tc>
        <w:tc>
          <w:tcPr>
            <w:tcW w:w="720" w:type="dxa"/>
            <w:vAlign w:val="center"/>
          </w:tcPr>
          <w:p w14:paraId="06E861AB">
            <w:pPr>
              <w:tabs>
                <w:tab w:val="left" w:pos="1069"/>
                <w:tab w:val="left" w:pos="2352"/>
              </w:tabs>
              <w:spacing w:line="360" w:lineRule="auto"/>
              <w:rPr>
                <w:rFonts w:ascii="宋体" w:hAnsi="宋体" w:cs="宋体"/>
                <w:color w:val="auto"/>
                <w:sz w:val="22"/>
                <w:highlight w:val="none"/>
              </w:rPr>
            </w:pPr>
          </w:p>
        </w:tc>
        <w:tc>
          <w:tcPr>
            <w:tcW w:w="720" w:type="dxa"/>
            <w:vAlign w:val="center"/>
          </w:tcPr>
          <w:p w14:paraId="2ADBF5E0">
            <w:pPr>
              <w:tabs>
                <w:tab w:val="left" w:pos="1069"/>
                <w:tab w:val="left" w:pos="2352"/>
              </w:tabs>
              <w:spacing w:line="360" w:lineRule="auto"/>
              <w:rPr>
                <w:rFonts w:ascii="宋体" w:hAnsi="宋体" w:cs="宋体"/>
                <w:color w:val="auto"/>
                <w:sz w:val="22"/>
                <w:highlight w:val="none"/>
              </w:rPr>
            </w:pPr>
          </w:p>
        </w:tc>
        <w:tc>
          <w:tcPr>
            <w:tcW w:w="1080" w:type="dxa"/>
            <w:vAlign w:val="center"/>
          </w:tcPr>
          <w:p w14:paraId="550FD73C">
            <w:pPr>
              <w:tabs>
                <w:tab w:val="left" w:pos="1069"/>
                <w:tab w:val="left" w:pos="2352"/>
              </w:tabs>
              <w:spacing w:line="360" w:lineRule="auto"/>
              <w:rPr>
                <w:rFonts w:ascii="宋体" w:hAnsi="宋体" w:cs="宋体"/>
                <w:color w:val="auto"/>
                <w:sz w:val="22"/>
                <w:highlight w:val="none"/>
              </w:rPr>
            </w:pPr>
          </w:p>
        </w:tc>
        <w:tc>
          <w:tcPr>
            <w:tcW w:w="1458" w:type="dxa"/>
            <w:vAlign w:val="center"/>
          </w:tcPr>
          <w:p w14:paraId="4C28134F">
            <w:pPr>
              <w:tabs>
                <w:tab w:val="left" w:pos="1069"/>
                <w:tab w:val="left" w:pos="2352"/>
              </w:tabs>
              <w:spacing w:line="360" w:lineRule="auto"/>
              <w:rPr>
                <w:rFonts w:ascii="宋体" w:hAnsi="宋体" w:cs="宋体"/>
                <w:color w:val="auto"/>
                <w:sz w:val="22"/>
                <w:highlight w:val="none"/>
              </w:rPr>
            </w:pPr>
          </w:p>
        </w:tc>
        <w:tc>
          <w:tcPr>
            <w:tcW w:w="1560" w:type="dxa"/>
            <w:vAlign w:val="center"/>
          </w:tcPr>
          <w:p w14:paraId="722E26C2">
            <w:pPr>
              <w:tabs>
                <w:tab w:val="left" w:pos="1069"/>
                <w:tab w:val="left" w:pos="2352"/>
              </w:tabs>
              <w:spacing w:line="360" w:lineRule="auto"/>
              <w:rPr>
                <w:rFonts w:ascii="宋体" w:hAnsi="宋体" w:cs="宋体"/>
                <w:color w:val="auto"/>
                <w:sz w:val="22"/>
                <w:highlight w:val="none"/>
              </w:rPr>
            </w:pPr>
          </w:p>
        </w:tc>
      </w:tr>
      <w:tr w14:paraId="1D7C06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 w:hRule="atLeast"/>
        </w:trPr>
        <w:tc>
          <w:tcPr>
            <w:tcW w:w="828" w:type="dxa"/>
            <w:vAlign w:val="center"/>
          </w:tcPr>
          <w:p w14:paraId="66D6D443">
            <w:pPr>
              <w:tabs>
                <w:tab w:val="left" w:pos="1069"/>
                <w:tab w:val="left" w:pos="2352"/>
              </w:tabs>
              <w:spacing w:line="360" w:lineRule="auto"/>
              <w:rPr>
                <w:rFonts w:ascii="宋体" w:hAnsi="宋体" w:cs="宋体"/>
                <w:color w:val="auto"/>
                <w:sz w:val="22"/>
                <w:highlight w:val="none"/>
              </w:rPr>
            </w:pPr>
          </w:p>
        </w:tc>
        <w:tc>
          <w:tcPr>
            <w:tcW w:w="2520" w:type="dxa"/>
            <w:vAlign w:val="center"/>
          </w:tcPr>
          <w:p w14:paraId="422D368C">
            <w:pPr>
              <w:tabs>
                <w:tab w:val="left" w:pos="1069"/>
                <w:tab w:val="left" w:pos="2352"/>
              </w:tabs>
              <w:spacing w:line="360" w:lineRule="auto"/>
              <w:rPr>
                <w:rFonts w:ascii="宋体" w:hAnsi="宋体" w:cs="宋体"/>
                <w:color w:val="auto"/>
                <w:sz w:val="22"/>
                <w:highlight w:val="none"/>
              </w:rPr>
            </w:pPr>
          </w:p>
        </w:tc>
        <w:tc>
          <w:tcPr>
            <w:tcW w:w="720" w:type="dxa"/>
            <w:vAlign w:val="center"/>
          </w:tcPr>
          <w:p w14:paraId="0D39EB4D">
            <w:pPr>
              <w:tabs>
                <w:tab w:val="left" w:pos="1069"/>
                <w:tab w:val="left" w:pos="2352"/>
              </w:tabs>
              <w:spacing w:line="360" w:lineRule="auto"/>
              <w:rPr>
                <w:rFonts w:ascii="宋体" w:hAnsi="宋体" w:cs="宋体"/>
                <w:color w:val="auto"/>
                <w:sz w:val="22"/>
                <w:highlight w:val="none"/>
              </w:rPr>
            </w:pPr>
          </w:p>
        </w:tc>
        <w:tc>
          <w:tcPr>
            <w:tcW w:w="720" w:type="dxa"/>
            <w:vAlign w:val="center"/>
          </w:tcPr>
          <w:p w14:paraId="5B418DFF">
            <w:pPr>
              <w:tabs>
                <w:tab w:val="left" w:pos="1069"/>
                <w:tab w:val="left" w:pos="2352"/>
              </w:tabs>
              <w:spacing w:line="360" w:lineRule="auto"/>
              <w:rPr>
                <w:rFonts w:ascii="宋体" w:hAnsi="宋体" w:cs="宋体"/>
                <w:color w:val="auto"/>
                <w:sz w:val="22"/>
                <w:highlight w:val="none"/>
              </w:rPr>
            </w:pPr>
          </w:p>
        </w:tc>
        <w:tc>
          <w:tcPr>
            <w:tcW w:w="720" w:type="dxa"/>
            <w:vAlign w:val="center"/>
          </w:tcPr>
          <w:p w14:paraId="1521E374">
            <w:pPr>
              <w:tabs>
                <w:tab w:val="left" w:pos="1069"/>
                <w:tab w:val="left" w:pos="2352"/>
              </w:tabs>
              <w:spacing w:line="360" w:lineRule="auto"/>
              <w:rPr>
                <w:rFonts w:ascii="宋体" w:hAnsi="宋体" w:cs="宋体"/>
                <w:color w:val="auto"/>
                <w:sz w:val="22"/>
                <w:highlight w:val="none"/>
              </w:rPr>
            </w:pPr>
          </w:p>
        </w:tc>
        <w:tc>
          <w:tcPr>
            <w:tcW w:w="1080" w:type="dxa"/>
            <w:vAlign w:val="center"/>
          </w:tcPr>
          <w:p w14:paraId="6410C39E">
            <w:pPr>
              <w:tabs>
                <w:tab w:val="left" w:pos="1069"/>
                <w:tab w:val="left" w:pos="2352"/>
              </w:tabs>
              <w:spacing w:line="360" w:lineRule="auto"/>
              <w:rPr>
                <w:rFonts w:ascii="宋体" w:hAnsi="宋体" w:cs="宋体"/>
                <w:color w:val="auto"/>
                <w:sz w:val="22"/>
                <w:highlight w:val="none"/>
              </w:rPr>
            </w:pPr>
          </w:p>
        </w:tc>
        <w:tc>
          <w:tcPr>
            <w:tcW w:w="1458" w:type="dxa"/>
            <w:vAlign w:val="center"/>
          </w:tcPr>
          <w:p w14:paraId="0E7FB9B6">
            <w:pPr>
              <w:tabs>
                <w:tab w:val="left" w:pos="1069"/>
                <w:tab w:val="left" w:pos="2352"/>
              </w:tabs>
              <w:spacing w:line="360" w:lineRule="auto"/>
              <w:rPr>
                <w:rFonts w:ascii="宋体" w:hAnsi="宋体" w:cs="宋体"/>
                <w:color w:val="auto"/>
                <w:sz w:val="22"/>
                <w:highlight w:val="none"/>
              </w:rPr>
            </w:pPr>
          </w:p>
        </w:tc>
        <w:tc>
          <w:tcPr>
            <w:tcW w:w="1560" w:type="dxa"/>
            <w:vAlign w:val="center"/>
          </w:tcPr>
          <w:p w14:paraId="0FC452C2">
            <w:pPr>
              <w:tabs>
                <w:tab w:val="left" w:pos="1069"/>
                <w:tab w:val="left" w:pos="2352"/>
              </w:tabs>
              <w:spacing w:line="360" w:lineRule="auto"/>
              <w:rPr>
                <w:rFonts w:ascii="宋体" w:hAnsi="宋体" w:cs="宋体"/>
                <w:color w:val="auto"/>
                <w:sz w:val="22"/>
                <w:highlight w:val="none"/>
              </w:rPr>
            </w:pPr>
          </w:p>
        </w:tc>
      </w:tr>
      <w:tr w14:paraId="5FC9CF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 w:hRule="atLeast"/>
        </w:trPr>
        <w:tc>
          <w:tcPr>
            <w:tcW w:w="828" w:type="dxa"/>
            <w:vAlign w:val="center"/>
          </w:tcPr>
          <w:p w14:paraId="5BD24B04">
            <w:pPr>
              <w:tabs>
                <w:tab w:val="left" w:pos="1069"/>
                <w:tab w:val="left" w:pos="2352"/>
              </w:tabs>
              <w:spacing w:line="360" w:lineRule="auto"/>
              <w:rPr>
                <w:rFonts w:ascii="宋体" w:hAnsi="宋体" w:cs="宋体"/>
                <w:color w:val="auto"/>
                <w:sz w:val="22"/>
                <w:highlight w:val="none"/>
              </w:rPr>
            </w:pPr>
          </w:p>
        </w:tc>
        <w:tc>
          <w:tcPr>
            <w:tcW w:w="2520" w:type="dxa"/>
            <w:vAlign w:val="center"/>
          </w:tcPr>
          <w:p w14:paraId="4ABE6275">
            <w:pPr>
              <w:tabs>
                <w:tab w:val="left" w:pos="1069"/>
                <w:tab w:val="left" w:pos="2352"/>
              </w:tabs>
              <w:spacing w:line="360" w:lineRule="auto"/>
              <w:rPr>
                <w:rFonts w:ascii="宋体" w:hAnsi="宋体" w:cs="宋体"/>
                <w:color w:val="auto"/>
                <w:sz w:val="22"/>
                <w:highlight w:val="none"/>
              </w:rPr>
            </w:pPr>
          </w:p>
        </w:tc>
        <w:tc>
          <w:tcPr>
            <w:tcW w:w="720" w:type="dxa"/>
            <w:vAlign w:val="center"/>
          </w:tcPr>
          <w:p w14:paraId="7155D062">
            <w:pPr>
              <w:tabs>
                <w:tab w:val="left" w:pos="1069"/>
                <w:tab w:val="left" w:pos="2352"/>
              </w:tabs>
              <w:spacing w:line="360" w:lineRule="auto"/>
              <w:rPr>
                <w:rFonts w:ascii="宋体" w:hAnsi="宋体" w:cs="宋体"/>
                <w:color w:val="auto"/>
                <w:sz w:val="22"/>
                <w:highlight w:val="none"/>
              </w:rPr>
            </w:pPr>
          </w:p>
        </w:tc>
        <w:tc>
          <w:tcPr>
            <w:tcW w:w="720" w:type="dxa"/>
            <w:vAlign w:val="center"/>
          </w:tcPr>
          <w:p w14:paraId="67BAFF60">
            <w:pPr>
              <w:tabs>
                <w:tab w:val="left" w:pos="1069"/>
                <w:tab w:val="left" w:pos="2352"/>
              </w:tabs>
              <w:spacing w:line="360" w:lineRule="auto"/>
              <w:rPr>
                <w:rFonts w:ascii="宋体" w:hAnsi="宋体" w:cs="宋体"/>
                <w:color w:val="auto"/>
                <w:sz w:val="22"/>
                <w:highlight w:val="none"/>
              </w:rPr>
            </w:pPr>
          </w:p>
        </w:tc>
        <w:tc>
          <w:tcPr>
            <w:tcW w:w="720" w:type="dxa"/>
            <w:vAlign w:val="center"/>
          </w:tcPr>
          <w:p w14:paraId="0CFA7078">
            <w:pPr>
              <w:tabs>
                <w:tab w:val="left" w:pos="1069"/>
                <w:tab w:val="left" w:pos="2352"/>
              </w:tabs>
              <w:spacing w:line="360" w:lineRule="auto"/>
              <w:rPr>
                <w:rFonts w:ascii="宋体" w:hAnsi="宋体" w:cs="宋体"/>
                <w:color w:val="auto"/>
                <w:sz w:val="22"/>
                <w:highlight w:val="none"/>
              </w:rPr>
            </w:pPr>
          </w:p>
        </w:tc>
        <w:tc>
          <w:tcPr>
            <w:tcW w:w="1080" w:type="dxa"/>
            <w:vAlign w:val="center"/>
          </w:tcPr>
          <w:p w14:paraId="2C50E425">
            <w:pPr>
              <w:tabs>
                <w:tab w:val="left" w:pos="1069"/>
                <w:tab w:val="left" w:pos="2352"/>
              </w:tabs>
              <w:spacing w:line="360" w:lineRule="auto"/>
              <w:rPr>
                <w:rFonts w:ascii="宋体" w:hAnsi="宋体" w:cs="宋体"/>
                <w:color w:val="auto"/>
                <w:sz w:val="22"/>
                <w:highlight w:val="none"/>
              </w:rPr>
            </w:pPr>
          </w:p>
        </w:tc>
        <w:tc>
          <w:tcPr>
            <w:tcW w:w="1458" w:type="dxa"/>
            <w:vAlign w:val="center"/>
          </w:tcPr>
          <w:p w14:paraId="39725770">
            <w:pPr>
              <w:tabs>
                <w:tab w:val="left" w:pos="1069"/>
                <w:tab w:val="left" w:pos="2352"/>
              </w:tabs>
              <w:spacing w:line="360" w:lineRule="auto"/>
              <w:rPr>
                <w:rFonts w:ascii="宋体" w:hAnsi="宋体" w:cs="宋体"/>
                <w:color w:val="auto"/>
                <w:sz w:val="22"/>
                <w:highlight w:val="none"/>
              </w:rPr>
            </w:pPr>
          </w:p>
        </w:tc>
        <w:tc>
          <w:tcPr>
            <w:tcW w:w="1560" w:type="dxa"/>
            <w:vAlign w:val="center"/>
          </w:tcPr>
          <w:p w14:paraId="1C3DEDCF">
            <w:pPr>
              <w:tabs>
                <w:tab w:val="left" w:pos="1069"/>
                <w:tab w:val="left" w:pos="2352"/>
              </w:tabs>
              <w:spacing w:line="360" w:lineRule="auto"/>
              <w:rPr>
                <w:rFonts w:ascii="宋体" w:hAnsi="宋体" w:cs="宋体"/>
                <w:color w:val="auto"/>
                <w:sz w:val="22"/>
                <w:highlight w:val="none"/>
              </w:rPr>
            </w:pPr>
          </w:p>
        </w:tc>
      </w:tr>
      <w:tr w14:paraId="0EADC4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 w:hRule="atLeast"/>
        </w:trPr>
        <w:tc>
          <w:tcPr>
            <w:tcW w:w="828" w:type="dxa"/>
            <w:vAlign w:val="center"/>
          </w:tcPr>
          <w:p w14:paraId="03DF96A2">
            <w:pPr>
              <w:tabs>
                <w:tab w:val="left" w:pos="1069"/>
                <w:tab w:val="left" w:pos="2352"/>
              </w:tabs>
              <w:spacing w:line="360" w:lineRule="auto"/>
              <w:rPr>
                <w:rFonts w:ascii="宋体" w:hAnsi="宋体" w:cs="宋体"/>
                <w:color w:val="auto"/>
                <w:sz w:val="22"/>
                <w:highlight w:val="none"/>
              </w:rPr>
            </w:pPr>
          </w:p>
        </w:tc>
        <w:tc>
          <w:tcPr>
            <w:tcW w:w="2520" w:type="dxa"/>
            <w:vAlign w:val="center"/>
          </w:tcPr>
          <w:p w14:paraId="41430223">
            <w:pPr>
              <w:tabs>
                <w:tab w:val="left" w:pos="1069"/>
                <w:tab w:val="left" w:pos="2352"/>
              </w:tabs>
              <w:spacing w:line="360" w:lineRule="auto"/>
              <w:rPr>
                <w:rFonts w:ascii="宋体" w:hAnsi="宋体" w:cs="宋体"/>
                <w:color w:val="auto"/>
                <w:sz w:val="22"/>
                <w:highlight w:val="none"/>
              </w:rPr>
            </w:pPr>
          </w:p>
        </w:tc>
        <w:tc>
          <w:tcPr>
            <w:tcW w:w="720" w:type="dxa"/>
            <w:vAlign w:val="center"/>
          </w:tcPr>
          <w:p w14:paraId="5BC01D89">
            <w:pPr>
              <w:tabs>
                <w:tab w:val="left" w:pos="1069"/>
                <w:tab w:val="left" w:pos="2352"/>
              </w:tabs>
              <w:spacing w:line="360" w:lineRule="auto"/>
              <w:rPr>
                <w:rFonts w:ascii="宋体" w:hAnsi="宋体" w:cs="宋体"/>
                <w:color w:val="auto"/>
                <w:sz w:val="22"/>
                <w:highlight w:val="none"/>
              </w:rPr>
            </w:pPr>
          </w:p>
        </w:tc>
        <w:tc>
          <w:tcPr>
            <w:tcW w:w="720" w:type="dxa"/>
            <w:vAlign w:val="center"/>
          </w:tcPr>
          <w:p w14:paraId="15E1FE08">
            <w:pPr>
              <w:tabs>
                <w:tab w:val="left" w:pos="1069"/>
                <w:tab w:val="left" w:pos="2352"/>
              </w:tabs>
              <w:spacing w:line="360" w:lineRule="auto"/>
              <w:rPr>
                <w:rFonts w:ascii="宋体" w:hAnsi="宋体" w:cs="宋体"/>
                <w:color w:val="auto"/>
                <w:sz w:val="22"/>
                <w:highlight w:val="none"/>
              </w:rPr>
            </w:pPr>
          </w:p>
        </w:tc>
        <w:tc>
          <w:tcPr>
            <w:tcW w:w="720" w:type="dxa"/>
            <w:vAlign w:val="center"/>
          </w:tcPr>
          <w:p w14:paraId="322E6083">
            <w:pPr>
              <w:tabs>
                <w:tab w:val="left" w:pos="1069"/>
                <w:tab w:val="left" w:pos="2352"/>
              </w:tabs>
              <w:spacing w:line="360" w:lineRule="auto"/>
              <w:rPr>
                <w:rFonts w:ascii="宋体" w:hAnsi="宋体" w:cs="宋体"/>
                <w:color w:val="auto"/>
                <w:sz w:val="22"/>
                <w:highlight w:val="none"/>
              </w:rPr>
            </w:pPr>
          </w:p>
        </w:tc>
        <w:tc>
          <w:tcPr>
            <w:tcW w:w="1080" w:type="dxa"/>
            <w:vAlign w:val="center"/>
          </w:tcPr>
          <w:p w14:paraId="67614A49">
            <w:pPr>
              <w:tabs>
                <w:tab w:val="left" w:pos="1069"/>
                <w:tab w:val="left" w:pos="2352"/>
              </w:tabs>
              <w:spacing w:line="360" w:lineRule="auto"/>
              <w:rPr>
                <w:rFonts w:ascii="宋体" w:hAnsi="宋体" w:cs="宋体"/>
                <w:color w:val="auto"/>
                <w:sz w:val="22"/>
                <w:highlight w:val="none"/>
              </w:rPr>
            </w:pPr>
          </w:p>
        </w:tc>
        <w:tc>
          <w:tcPr>
            <w:tcW w:w="1458" w:type="dxa"/>
            <w:vAlign w:val="center"/>
          </w:tcPr>
          <w:p w14:paraId="66DCB386">
            <w:pPr>
              <w:tabs>
                <w:tab w:val="left" w:pos="1069"/>
                <w:tab w:val="left" w:pos="2352"/>
              </w:tabs>
              <w:spacing w:line="360" w:lineRule="auto"/>
              <w:rPr>
                <w:rFonts w:ascii="宋体" w:hAnsi="宋体" w:cs="宋体"/>
                <w:color w:val="auto"/>
                <w:sz w:val="22"/>
                <w:highlight w:val="none"/>
              </w:rPr>
            </w:pPr>
          </w:p>
        </w:tc>
        <w:tc>
          <w:tcPr>
            <w:tcW w:w="1560" w:type="dxa"/>
            <w:vAlign w:val="center"/>
          </w:tcPr>
          <w:p w14:paraId="4644BF25">
            <w:pPr>
              <w:tabs>
                <w:tab w:val="left" w:pos="1069"/>
                <w:tab w:val="left" w:pos="2352"/>
              </w:tabs>
              <w:spacing w:line="360" w:lineRule="auto"/>
              <w:rPr>
                <w:rFonts w:ascii="宋体" w:hAnsi="宋体" w:cs="宋体"/>
                <w:color w:val="auto"/>
                <w:sz w:val="22"/>
                <w:highlight w:val="none"/>
              </w:rPr>
            </w:pPr>
          </w:p>
        </w:tc>
      </w:tr>
      <w:tr w14:paraId="35BB79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 w:hRule="atLeast"/>
        </w:trPr>
        <w:tc>
          <w:tcPr>
            <w:tcW w:w="828" w:type="dxa"/>
            <w:vAlign w:val="center"/>
          </w:tcPr>
          <w:p w14:paraId="33F49708">
            <w:pPr>
              <w:tabs>
                <w:tab w:val="left" w:pos="1069"/>
                <w:tab w:val="left" w:pos="2352"/>
              </w:tabs>
              <w:spacing w:line="360" w:lineRule="auto"/>
              <w:rPr>
                <w:rFonts w:ascii="宋体" w:hAnsi="宋体" w:cs="宋体"/>
                <w:color w:val="auto"/>
                <w:sz w:val="22"/>
                <w:highlight w:val="none"/>
              </w:rPr>
            </w:pPr>
          </w:p>
        </w:tc>
        <w:tc>
          <w:tcPr>
            <w:tcW w:w="2520" w:type="dxa"/>
            <w:vAlign w:val="center"/>
          </w:tcPr>
          <w:p w14:paraId="5518E957">
            <w:pPr>
              <w:tabs>
                <w:tab w:val="left" w:pos="1069"/>
                <w:tab w:val="left" w:pos="2352"/>
              </w:tabs>
              <w:spacing w:line="360" w:lineRule="auto"/>
              <w:rPr>
                <w:rFonts w:ascii="宋体" w:hAnsi="宋体" w:cs="宋体"/>
                <w:color w:val="auto"/>
                <w:sz w:val="22"/>
                <w:highlight w:val="none"/>
              </w:rPr>
            </w:pPr>
          </w:p>
        </w:tc>
        <w:tc>
          <w:tcPr>
            <w:tcW w:w="720" w:type="dxa"/>
            <w:vAlign w:val="center"/>
          </w:tcPr>
          <w:p w14:paraId="1ABECABA">
            <w:pPr>
              <w:tabs>
                <w:tab w:val="left" w:pos="1069"/>
                <w:tab w:val="left" w:pos="2352"/>
              </w:tabs>
              <w:spacing w:line="360" w:lineRule="auto"/>
              <w:rPr>
                <w:rFonts w:ascii="宋体" w:hAnsi="宋体" w:cs="宋体"/>
                <w:color w:val="auto"/>
                <w:sz w:val="22"/>
                <w:highlight w:val="none"/>
              </w:rPr>
            </w:pPr>
          </w:p>
        </w:tc>
        <w:tc>
          <w:tcPr>
            <w:tcW w:w="720" w:type="dxa"/>
            <w:vAlign w:val="center"/>
          </w:tcPr>
          <w:p w14:paraId="2D94B5A0">
            <w:pPr>
              <w:tabs>
                <w:tab w:val="left" w:pos="1069"/>
                <w:tab w:val="left" w:pos="2352"/>
              </w:tabs>
              <w:spacing w:line="360" w:lineRule="auto"/>
              <w:rPr>
                <w:rFonts w:ascii="宋体" w:hAnsi="宋体" w:cs="宋体"/>
                <w:color w:val="auto"/>
                <w:sz w:val="22"/>
                <w:highlight w:val="none"/>
              </w:rPr>
            </w:pPr>
          </w:p>
        </w:tc>
        <w:tc>
          <w:tcPr>
            <w:tcW w:w="720" w:type="dxa"/>
            <w:vAlign w:val="center"/>
          </w:tcPr>
          <w:p w14:paraId="50BD6328">
            <w:pPr>
              <w:tabs>
                <w:tab w:val="left" w:pos="1069"/>
                <w:tab w:val="left" w:pos="2352"/>
              </w:tabs>
              <w:spacing w:line="360" w:lineRule="auto"/>
              <w:rPr>
                <w:rFonts w:ascii="宋体" w:hAnsi="宋体" w:cs="宋体"/>
                <w:color w:val="auto"/>
                <w:sz w:val="22"/>
                <w:highlight w:val="none"/>
              </w:rPr>
            </w:pPr>
          </w:p>
        </w:tc>
        <w:tc>
          <w:tcPr>
            <w:tcW w:w="1080" w:type="dxa"/>
            <w:vAlign w:val="center"/>
          </w:tcPr>
          <w:p w14:paraId="7CA2DA3C">
            <w:pPr>
              <w:tabs>
                <w:tab w:val="left" w:pos="1069"/>
                <w:tab w:val="left" w:pos="2352"/>
              </w:tabs>
              <w:spacing w:line="360" w:lineRule="auto"/>
              <w:rPr>
                <w:rFonts w:ascii="宋体" w:hAnsi="宋体" w:cs="宋体"/>
                <w:color w:val="auto"/>
                <w:sz w:val="22"/>
                <w:highlight w:val="none"/>
              </w:rPr>
            </w:pPr>
          </w:p>
        </w:tc>
        <w:tc>
          <w:tcPr>
            <w:tcW w:w="1458" w:type="dxa"/>
            <w:vAlign w:val="center"/>
          </w:tcPr>
          <w:p w14:paraId="163DCF78">
            <w:pPr>
              <w:tabs>
                <w:tab w:val="left" w:pos="1069"/>
                <w:tab w:val="left" w:pos="2352"/>
              </w:tabs>
              <w:spacing w:line="360" w:lineRule="auto"/>
              <w:rPr>
                <w:rFonts w:ascii="宋体" w:hAnsi="宋体" w:cs="宋体"/>
                <w:color w:val="auto"/>
                <w:sz w:val="22"/>
                <w:highlight w:val="none"/>
              </w:rPr>
            </w:pPr>
          </w:p>
        </w:tc>
        <w:tc>
          <w:tcPr>
            <w:tcW w:w="1560" w:type="dxa"/>
            <w:vAlign w:val="center"/>
          </w:tcPr>
          <w:p w14:paraId="7276DA87">
            <w:pPr>
              <w:tabs>
                <w:tab w:val="left" w:pos="1069"/>
                <w:tab w:val="left" w:pos="2352"/>
              </w:tabs>
              <w:spacing w:line="360" w:lineRule="auto"/>
              <w:rPr>
                <w:rFonts w:ascii="宋体" w:hAnsi="宋体" w:cs="宋体"/>
                <w:color w:val="auto"/>
                <w:sz w:val="22"/>
                <w:highlight w:val="none"/>
              </w:rPr>
            </w:pPr>
          </w:p>
        </w:tc>
      </w:tr>
    </w:tbl>
    <w:p w14:paraId="5A1CFA8A">
      <w:pPr>
        <w:tabs>
          <w:tab w:val="left" w:pos="1069"/>
          <w:tab w:val="left" w:pos="2352"/>
        </w:tabs>
        <w:spacing w:line="360" w:lineRule="exact"/>
        <w:ind w:left="985" w:hanging="981" w:hangingChars="440"/>
        <w:rPr>
          <w:rFonts w:ascii="宋体" w:hAnsi="宋体" w:cs="宋体"/>
          <w:color w:val="auto"/>
          <w:sz w:val="22"/>
          <w:highlight w:val="none"/>
        </w:rPr>
      </w:pPr>
      <w:r>
        <w:rPr>
          <w:rFonts w:hint="eastAsia" w:ascii="宋体" w:hAnsi="宋体" w:cs="宋体"/>
          <w:color w:val="auto"/>
          <w:sz w:val="22"/>
          <w:highlight w:val="none"/>
        </w:rPr>
        <w:t>注：  1. 项目负责人及其他服务人员均应列入；</w:t>
      </w:r>
    </w:p>
    <w:p w14:paraId="29CE15B7">
      <w:pPr>
        <w:tabs>
          <w:tab w:val="left" w:pos="1069"/>
          <w:tab w:val="left" w:pos="2352"/>
        </w:tabs>
        <w:spacing w:line="360" w:lineRule="exact"/>
        <w:ind w:left="727" w:leftChars="321" w:hanging="44" w:hangingChars="20"/>
        <w:rPr>
          <w:rFonts w:ascii="宋体" w:hAnsi="宋体" w:cs="宋体"/>
          <w:color w:val="auto"/>
          <w:sz w:val="22"/>
          <w:highlight w:val="none"/>
        </w:rPr>
      </w:pPr>
      <w:r>
        <w:rPr>
          <w:rFonts w:hint="eastAsia" w:ascii="宋体" w:hAnsi="宋体" w:cs="宋体"/>
          <w:color w:val="auto"/>
          <w:sz w:val="22"/>
          <w:highlight w:val="none"/>
        </w:rPr>
        <w:t>2. 列入本表人员如要更换，需经采购人同意，擅自更换或不到位属违约行为；</w:t>
      </w:r>
    </w:p>
    <w:p w14:paraId="06854957">
      <w:pPr>
        <w:tabs>
          <w:tab w:val="left" w:pos="1069"/>
          <w:tab w:val="left" w:pos="2352"/>
        </w:tabs>
        <w:spacing w:line="360" w:lineRule="exact"/>
        <w:ind w:left="727" w:leftChars="321" w:hanging="44" w:hangingChars="20"/>
        <w:rPr>
          <w:rFonts w:ascii="宋体" w:hAnsi="宋体" w:cs="宋体"/>
          <w:color w:val="auto"/>
          <w:sz w:val="22"/>
          <w:highlight w:val="none"/>
        </w:rPr>
      </w:pPr>
      <w:r>
        <w:rPr>
          <w:rFonts w:hint="eastAsia" w:ascii="宋体" w:hAnsi="宋体" w:cs="宋体"/>
          <w:color w:val="auto"/>
          <w:sz w:val="22"/>
          <w:highlight w:val="none"/>
        </w:rPr>
        <w:t>3. 职称证书、执业资格证书、职业水平证书等人员证件复印件附后（如有）。</w:t>
      </w:r>
    </w:p>
    <w:p w14:paraId="70A91E84">
      <w:pPr>
        <w:tabs>
          <w:tab w:val="left" w:pos="1069"/>
          <w:tab w:val="left" w:pos="2352"/>
        </w:tabs>
        <w:spacing w:line="360" w:lineRule="exact"/>
        <w:ind w:left="727" w:leftChars="321" w:hanging="44" w:hangingChars="20"/>
        <w:rPr>
          <w:rFonts w:ascii="宋体" w:hAnsi="宋体" w:cs="宋体"/>
          <w:color w:val="auto"/>
          <w:sz w:val="22"/>
          <w:highlight w:val="none"/>
        </w:rPr>
      </w:pPr>
      <w:r>
        <w:rPr>
          <w:rFonts w:hint="eastAsia" w:ascii="宋体" w:hAnsi="宋体" w:cs="宋体"/>
          <w:color w:val="auto"/>
          <w:sz w:val="22"/>
          <w:highlight w:val="none"/>
        </w:rPr>
        <w:t>4.表格可以延续。</w:t>
      </w:r>
    </w:p>
    <w:p w14:paraId="06F7AD01">
      <w:pPr>
        <w:pStyle w:val="12"/>
        <w:tabs>
          <w:tab w:val="left" w:pos="1069"/>
          <w:tab w:val="left" w:pos="2352"/>
        </w:tabs>
        <w:spacing w:line="440" w:lineRule="atLeast"/>
        <w:rPr>
          <w:rFonts w:hAnsi="宋体" w:cs="宋体"/>
          <w:color w:val="auto"/>
          <w:sz w:val="22"/>
          <w:szCs w:val="22"/>
          <w:highlight w:val="none"/>
        </w:rPr>
      </w:pPr>
      <w:r>
        <w:rPr>
          <w:rFonts w:hint="eastAsia" w:hAnsi="宋体" w:cs="宋体"/>
          <w:color w:val="auto"/>
          <w:sz w:val="22"/>
          <w:szCs w:val="22"/>
          <w:highlight w:val="none"/>
        </w:rPr>
        <w:t>供应商全称：（盖章）</w:t>
      </w:r>
    </w:p>
    <w:p w14:paraId="16AF0266">
      <w:pPr>
        <w:pStyle w:val="12"/>
        <w:tabs>
          <w:tab w:val="left" w:pos="1069"/>
          <w:tab w:val="left" w:pos="2352"/>
        </w:tabs>
        <w:spacing w:line="440" w:lineRule="atLeast"/>
        <w:rPr>
          <w:rFonts w:hAnsi="宋体" w:cs="宋体"/>
          <w:color w:val="auto"/>
          <w:sz w:val="22"/>
          <w:szCs w:val="22"/>
          <w:highlight w:val="none"/>
          <w:lang w:val="zh-CN"/>
        </w:rPr>
      </w:pPr>
      <w:r>
        <w:rPr>
          <w:rFonts w:hint="eastAsia" w:hAnsi="宋体" w:cs="宋体"/>
          <w:color w:val="auto"/>
          <w:sz w:val="22"/>
          <w:szCs w:val="22"/>
          <w:highlight w:val="none"/>
        </w:rPr>
        <w:t>法定代表人（签字或盖章）或</w:t>
      </w:r>
      <w:r>
        <w:rPr>
          <w:rFonts w:hint="eastAsia" w:hAnsi="宋体" w:cs="宋体"/>
          <w:color w:val="auto"/>
          <w:sz w:val="22"/>
          <w:szCs w:val="22"/>
          <w:highlight w:val="none"/>
          <w:lang w:val="zh-CN"/>
        </w:rPr>
        <w:t>授权代表（签字）：</w:t>
      </w:r>
    </w:p>
    <w:p w14:paraId="6246FF8C">
      <w:pPr>
        <w:pStyle w:val="12"/>
        <w:tabs>
          <w:tab w:val="left" w:pos="1069"/>
          <w:tab w:val="left" w:pos="2352"/>
        </w:tabs>
        <w:spacing w:line="360" w:lineRule="exact"/>
        <w:jc w:val="left"/>
        <w:rPr>
          <w:rFonts w:hAnsi="宋体" w:cs="宋体"/>
          <w:color w:val="auto"/>
          <w:sz w:val="22"/>
          <w:szCs w:val="22"/>
          <w:highlight w:val="none"/>
        </w:rPr>
      </w:pPr>
      <w:r>
        <w:rPr>
          <w:rFonts w:hint="eastAsia" w:hAnsi="宋体" w:cs="宋体"/>
          <w:color w:val="auto"/>
          <w:sz w:val="22"/>
          <w:szCs w:val="22"/>
          <w:highlight w:val="none"/>
        </w:rPr>
        <w:t>日期：</w:t>
      </w:r>
    </w:p>
    <w:p w14:paraId="7CB20329">
      <w:pPr>
        <w:tabs>
          <w:tab w:val="left" w:pos="1069"/>
          <w:tab w:val="left" w:pos="2352"/>
        </w:tabs>
        <w:spacing w:line="360" w:lineRule="exact"/>
        <w:jc w:val="left"/>
        <w:rPr>
          <w:rFonts w:ascii="宋体" w:hAnsi="宋体" w:cs="宋体"/>
          <w:color w:val="auto"/>
          <w:sz w:val="30"/>
          <w:highlight w:val="none"/>
        </w:rPr>
      </w:pPr>
    </w:p>
    <w:p w14:paraId="0D47F5E2">
      <w:pPr>
        <w:tabs>
          <w:tab w:val="left" w:pos="1069"/>
          <w:tab w:val="left" w:pos="2352"/>
        </w:tabs>
        <w:spacing w:line="360" w:lineRule="exact"/>
        <w:jc w:val="left"/>
        <w:rPr>
          <w:rFonts w:hint="eastAsia" w:ascii="宋体" w:hAnsi="宋体" w:cs="宋体"/>
          <w:b/>
          <w:bCs/>
          <w:color w:val="auto"/>
          <w:sz w:val="30"/>
          <w:highlight w:val="none"/>
          <w:lang w:val="en-US" w:eastAsia="zh-CN"/>
        </w:rPr>
      </w:pPr>
    </w:p>
    <w:p w14:paraId="746FC309">
      <w:pPr>
        <w:tabs>
          <w:tab w:val="left" w:pos="1069"/>
          <w:tab w:val="left" w:pos="2352"/>
        </w:tabs>
        <w:spacing w:line="360" w:lineRule="exact"/>
        <w:jc w:val="left"/>
        <w:rPr>
          <w:rFonts w:hint="default" w:ascii="宋体" w:hAnsi="宋体" w:eastAsia="宋体" w:cs="宋体"/>
          <w:b/>
          <w:bCs/>
          <w:color w:val="auto"/>
          <w:sz w:val="30"/>
          <w:highlight w:val="none"/>
          <w:lang w:val="en-US" w:eastAsia="zh-CN"/>
        </w:rPr>
      </w:pPr>
      <w:r>
        <w:rPr>
          <w:rFonts w:hint="eastAsia" w:ascii="宋体" w:hAnsi="宋体" w:cs="宋体"/>
          <w:b/>
          <w:bCs/>
          <w:color w:val="auto"/>
          <w:sz w:val="30"/>
          <w:highlight w:val="none"/>
          <w:lang w:val="en-US" w:eastAsia="zh-CN"/>
        </w:rPr>
        <w:t>附件九</w:t>
      </w:r>
    </w:p>
    <w:p w14:paraId="56C970A0">
      <w:pPr>
        <w:tabs>
          <w:tab w:val="left" w:pos="1069"/>
          <w:tab w:val="left" w:pos="2352"/>
        </w:tabs>
        <w:spacing w:line="360" w:lineRule="exact"/>
        <w:jc w:val="left"/>
        <w:rPr>
          <w:rFonts w:ascii="宋体" w:hAnsi="宋体" w:cs="宋体"/>
          <w:b/>
          <w:bCs/>
          <w:color w:val="auto"/>
          <w:sz w:val="30"/>
          <w:highlight w:val="none"/>
        </w:rPr>
      </w:pPr>
    </w:p>
    <w:p w14:paraId="75410B3D">
      <w:pPr>
        <w:pStyle w:val="60"/>
        <w:spacing w:line="400" w:lineRule="exact"/>
        <w:jc w:val="center"/>
        <w:rPr>
          <w:rFonts w:hint="eastAsia" w:ascii="宋体" w:hAnsi="宋体"/>
          <w:b/>
          <w:color w:val="auto"/>
          <w:sz w:val="32"/>
          <w:szCs w:val="32"/>
          <w:highlight w:val="none"/>
        </w:rPr>
      </w:pPr>
      <w:r>
        <w:rPr>
          <w:rFonts w:hint="eastAsia" w:ascii="宋体" w:hAnsi="宋体"/>
          <w:b/>
          <w:color w:val="auto"/>
          <w:sz w:val="32"/>
          <w:szCs w:val="32"/>
          <w:highlight w:val="none"/>
        </w:rPr>
        <w:t>联合</w:t>
      </w:r>
      <w:r>
        <w:rPr>
          <w:rFonts w:hint="eastAsia" w:ascii="宋体" w:hAnsi="宋体"/>
          <w:b/>
          <w:color w:val="auto"/>
          <w:sz w:val="32"/>
          <w:szCs w:val="32"/>
          <w:highlight w:val="none"/>
          <w:lang w:val="en-US" w:eastAsia="zh-CN"/>
        </w:rPr>
        <w:t>投标</w:t>
      </w:r>
      <w:r>
        <w:rPr>
          <w:rFonts w:hint="eastAsia" w:ascii="宋体" w:hAnsi="宋体"/>
          <w:b/>
          <w:color w:val="auto"/>
          <w:sz w:val="32"/>
          <w:szCs w:val="32"/>
          <w:highlight w:val="none"/>
        </w:rPr>
        <w:t>体协议书</w:t>
      </w:r>
    </w:p>
    <w:p w14:paraId="7802D61D">
      <w:pPr>
        <w:pStyle w:val="60"/>
        <w:spacing w:line="400" w:lineRule="exact"/>
        <w:jc w:val="center"/>
        <w:rPr>
          <w:rFonts w:hint="eastAsia" w:ascii="宋体" w:hAnsi="宋体"/>
          <w:color w:val="auto"/>
          <w:sz w:val="32"/>
          <w:szCs w:val="32"/>
          <w:highlight w:val="none"/>
        </w:rPr>
      </w:pPr>
    </w:p>
    <w:p w14:paraId="2740050F">
      <w:pPr>
        <w:widowControl/>
        <w:spacing w:before="100" w:beforeAutospacing="1" w:after="100" w:afterAutospacing="1" w:line="360" w:lineRule="auto"/>
        <w:jc w:val="left"/>
        <w:rPr>
          <w:rFonts w:hint="eastAsia" w:ascii="宋体" w:hAnsi="宋体"/>
          <w:color w:val="auto"/>
          <w:sz w:val="23"/>
          <w:szCs w:val="23"/>
          <w:highlight w:val="none"/>
          <w:u w:val="single"/>
          <w:lang w:val="en-US" w:eastAsia="zh-CN"/>
        </w:rPr>
      </w:pPr>
      <w:r>
        <w:rPr>
          <w:rFonts w:hint="eastAsia" w:ascii="宋体" w:hAnsi="宋体"/>
          <w:color w:val="auto"/>
          <w:sz w:val="23"/>
          <w:szCs w:val="23"/>
          <w:highlight w:val="none"/>
          <w:u w:val="single"/>
          <w:lang w:val="en-US" w:eastAsia="zh-CN"/>
        </w:rPr>
        <w:t xml:space="preserve">    </w:t>
      </w:r>
      <w:r>
        <w:rPr>
          <w:rFonts w:hint="eastAsia" w:ascii="宋体" w:hAnsi="宋体"/>
          <w:color w:val="auto"/>
          <w:kern w:val="0"/>
          <w:sz w:val="22"/>
          <w:highlight w:val="none"/>
          <w:u w:val="single"/>
        </w:rPr>
        <w:t xml:space="preserve">（所有成员单位名称）    </w:t>
      </w:r>
      <w:r>
        <w:rPr>
          <w:rFonts w:hint="eastAsia" w:ascii="宋体" w:hAnsi="宋体"/>
          <w:color w:val="auto"/>
          <w:kern w:val="0"/>
          <w:sz w:val="22"/>
          <w:highlight w:val="none"/>
        </w:rPr>
        <w:t>自愿组成联合体，参加</w:t>
      </w:r>
      <w:r>
        <w:rPr>
          <w:rFonts w:hint="eastAsia" w:ascii="宋体" w:hAnsi="宋体"/>
          <w:color w:val="auto"/>
          <w:kern w:val="0"/>
          <w:sz w:val="22"/>
          <w:highlight w:val="none"/>
          <w:u w:val="single"/>
          <w:lang w:eastAsia="zh-CN"/>
        </w:rPr>
        <w:t>2024年泰顺县罗阳镇上洪村堆谷洋农田宜机化改造项目</w:t>
      </w:r>
      <w:r>
        <w:rPr>
          <w:rFonts w:hint="eastAsia" w:ascii="宋体" w:hAnsi="宋体"/>
          <w:color w:val="auto"/>
          <w:kern w:val="0"/>
          <w:sz w:val="22"/>
          <w:highlight w:val="none"/>
          <w:u w:val="single"/>
        </w:rPr>
        <w:t>（项目编号：</w:t>
      </w:r>
      <w:r>
        <w:rPr>
          <w:rFonts w:hint="eastAsia" w:ascii="宋体" w:hAnsi="宋体"/>
          <w:color w:val="auto"/>
          <w:kern w:val="0"/>
          <w:sz w:val="22"/>
          <w:highlight w:val="none"/>
          <w:u w:val="single"/>
          <w:lang w:eastAsia="zh-CN"/>
        </w:rPr>
        <w:t xml:space="preserve">TSCG202502006 </w:t>
      </w:r>
      <w:r>
        <w:rPr>
          <w:rFonts w:hint="eastAsia" w:ascii="宋体" w:hAnsi="宋体"/>
          <w:color w:val="auto"/>
          <w:kern w:val="0"/>
          <w:sz w:val="22"/>
          <w:highlight w:val="none"/>
          <w:u w:val="single"/>
        </w:rPr>
        <w:t>）项目</w:t>
      </w:r>
      <w:r>
        <w:rPr>
          <w:rFonts w:hint="eastAsia" w:ascii="宋体" w:hAnsi="宋体"/>
          <w:color w:val="auto"/>
          <w:kern w:val="0"/>
          <w:sz w:val="22"/>
          <w:highlight w:val="none"/>
        </w:rPr>
        <w:t>投标。现就有关事宜订立协议如下：</w:t>
      </w:r>
      <w:r>
        <w:rPr>
          <w:rFonts w:hint="eastAsia" w:ascii="宋体" w:hAnsi="宋体"/>
          <w:color w:val="auto"/>
          <w:kern w:val="0"/>
          <w:sz w:val="22"/>
          <w:highlight w:val="none"/>
        </w:rPr>
        <w:br w:type="textWrapping"/>
      </w:r>
      <w:r>
        <w:rPr>
          <w:rFonts w:hint="eastAsia" w:ascii="宋体" w:hAnsi="宋体"/>
          <w:color w:val="auto"/>
          <w:kern w:val="0"/>
          <w:sz w:val="22"/>
          <w:highlight w:val="none"/>
        </w:rPr>
        <w:t>1．</w:t>
      </w:r>
      <w:r>
        <w:rPr>
          <w:rFonts w:hint="eastAsia" w:ascii="宋体" w:hAnsi="宋体"/>
          <w:color w:val="auto"/>
          <w:kern w:val="0"/>
          <w:sz w:val="22"/>
          <w:highlight w:val="none"/>
          <w:u w:val="single"/>
        </w:rPr>
        <w:t xml:space="preserve">                 </w:t>
      </w:r>
      <w:r>
        <w:rPr>
          <w:rFonts w:hint="eastAsia" w:ascii="宋体" w:hAnsi="宋体"/>
          <w:color w:val="auto"/>
          <w:kern w:val="0"/>
          <w:sz w:val="22"/>
          <w:highlight w:val="none"/>
        </w:rPr>
        <w:t>为联合体牵头人，</w:t>
      </w:r>
      <w:r>
        <w:rPr>
          <w:rFonts w:hint="eastAsia" w:ascii="宋体" w:hAnsi="宋体"/>
          <w:color w:val="auto"/>
          <w:kern w:val="0"/>
          <w:sz w:val="22"/>
          <w:highlight w:val="none"/>
          <w:u w:val="single"/>
        </w:rPr>
        <w:t xml:space="preserve">              </w:t>
      </w:r>
      <w:r>
        <w:rPr>
          <w:rFonts w:hint="eastAsia" w:ascii="宋体" w:hAnsi="宋体"/>
          <w:color w:val="auto"/>
          <w:kern w:val="0"/>
          <w:sz w:val="22"/>
          <w:highlight w:val="none"/>
        </w:rPr>
        <w:t>为联合体成员；</w:t>
      </w:r>
      <w:r>
        <w:rPr>
          <w:rFonts w:hint="eastAsia" w:ascii="宋体" w:hAnsi="宋体"/>
          <w:color w:val="auto"/>
          <w:kern w:val="0"/>
          <w:sz w:val="22"/>
          <w:highlight w:val="none"/>
        </w:rPr>
        <w:br w:type="textWrapping"/>
      </w:r>
      <w:r>
        <w:rPr>
          <w:rFonts w:hint="eastAsia" w:ascii="宋体" w:hAnsi="宋体"/>
          <w:color w:val="auto"/>
          <w:kern w:val="0"/>
          <w:sz w:val="22"/>
          <w:highlight w:val="none"/>
        </w:rPr>
        <w:t>2．联合体内部有关事项规定如下：</w:t>
      </w:r>
      <w:r>
        <w:rPr>
          <w:rFonts w:hint="eastAsia" w:ascii="宋体" w:hAnsi="宋体"/>
          <w:color w:val="auto"/>
          <w:kern w:val="0"/>
          <w:sz w:val="22"/>
          <w:highlight w:val="none"/>
        </w:rPr>
        <w:br w:type="textWrapping"/>
      </w:r>
      <w:r>
        <w:rPr>
          <w:rFonts w:hint="eastAsia" w:ascii="宋体" w:hAnsi="宋体"/>
          <w:color w:val="auto"/>
          <w:kern w:val="0"/>
          <w:sz w:val="22"/>
          <w:highlight w:val="none"/>
        </w:rPr>
        <w:t>（1）联合体由牵头人负责与业主联系；</w:t>
      </w:r>
      <w:r>
        <w:rPr>
          <w:rFonts w:hint="eastAsia" w:ascii="宋体" w:hAnsi="宋体"/>
          <w:color w:val="auto"/>
          <w:kern w:val="0"/>
          <w:sz w:val="22"/>
          <w:highlight w:val="none"/>
        </w:rPr>
        <w:br w:type="textWrapping"/>
      </w:r>
      <w:r>
        <w:rPr>
          <w:rFonts w:hint="eastAsia" w:ascii="宋体" w:hAnsi="宋体"/>
          <w:color w:val="auto"/>
          <w:kern w:val="0"/>
          <w:sz w:val="22"/>
          <w:highlight w:val="none"/>
        </w:rPr>
        <w:t>（2）投标工作由联合体牵头人负责，由双方组成的投标小组具体实施</w:t>
      </w:r>
      <w:r>
        <w:rPr>
          <w:rFonts w:hint="eastAsia" w:ascii="宋体" w:hAnsi="宋体"/>
          <w:color w:val="auto"/>
          <w:kern w:val="0"/>
          <w:sz w:val="22"/>
          <w:highlight w:val="none"/>
          <w:lang w:eastAsia="zh-CN"/>
        </w:rPr>
        <w:t>，</w:t>
      </w:r>
      <w:r>
        <w:rPr>
          <w:rFonts w:hint="eastAsia" w:ascii="宋体" w:hAnsi="宋体"/>
          <w:color w:val="auto"/>
          <w:kern w:val="0"/>
          <w:sz w:val="22"/>
          <w:highlight w:val="none"/>
          <w:lang w:val="en-US" w:eastAsia="zh-CN"/>
        </w:rPr>
        <w:t>其中</w:t>
      </w:r>
      <w:r>
        <w:rPr>
          <w:rFonts w:hint="eastAsia" w:ascii="宋体" w:hAnsi="宋体"/>
          <w:color w:val="auto"/>
          <w:kern w:val="0"/>
          <w:sz w:val="22"/>
          <w:highlight w:val="none"/>
          <w:u w:val="single"/>
          <w:lang w:val="en-US" w:eastAsia="zh-CN"/>
        </w:rPr>
        <w:t xml:space="preserve">          </w:t>
      </w:r>
      <w:r>
        <w:rPr>
          <w:rFonts w:hint="eastAsia" w:ascii="宋体" w:hAnsi="宋体"/>
          <w:color w:val="auto"/>
          <w:kern w:val="0"/>
          <w:sz w:val="22"/>
          <w:highlight w:val="none"/>
          <w:lang w:val="en-US" w:eastAsia="zh-CN"/>
        </w:rPr>
        <w:t>负责运营部分，</w:t>
      </w:r>
      <w:r>
        <w:rPr>
          <w:rFonts w:hint="eastAsia" w:ascii="宋体" w:hAnsi="宋体"/>
          <w:color w:val="auto"/>
          <w:kern w:val="0"/>
          <w:sz w:val="22"/>
          <w:highlight w:val="none"/>
          <w:u w:val="single"/>
          <w:lang w:val="en-US" w:eastAsia="zh-CN"/>
        </w:rPr>
        <w:t xml:space="preserve">          </w:t>
      </w:r>
      <w:r>
        <w:rPr>
          <w:rFonts w:hint="eastAsia" w:ascii="宋体" w:hAnsi="宋体"/>
          <w:color w:val="auto"/>
          <w:kern w:val="0"/>
          <w:sz w:val="22"/>
          <w:highlight w:val="none"/>
          <w:lang w:val="en-US" w:eastAsia="zh-CN"/>
        </w:rPr>
        <w:t>负责宜机化改造部分</w:t>
      </w:r>
      <w:r>
        <w:rPr>
          <w:rFonts w:hint="eastAsia" w:ascii="宋体" w:hAnsi="宋体"/>
          <w:color w:val="auto"/>
          <w:kern w:val="0"/>
          <w:sz w:val="22"/>
          <w:highlight w:val="none"/>
        </w:rPr>
        <w:t>；</w:t>
      </w:r>
      <w:r>
        <w:rPr>
          <w:rFonts w:hint="eastAsia" w:ascii="宋体" w:hAnsi="宋体"/>
          <w:color w:val="auto"/>
          <w:kern w:val="0"/>
          <w:sz w:val="22"/>
          <w:highlight w:val="none"/>
        </w:rPr>
        <w:br w:type="textWrapping"/>
      </w:r>
      <w:r>
        <w:rPr>
          <w:rFonts w:hint="eastAsia" w:ascii="宋体" w:hAnsi="宋体"/>
          <w:color w:val="auto"/>
          <w:kern w:val="0"/>
          <w:sz w:val="22"/>
          <w:highlight w:val="none"/>
        </w:rPr>
        <w:t>（3）联合体将严格按照招标文件的各项要求，递交投标文件，切实执行一切合同文件，共同承担合同规定的一切义务和责任，同时按照内部职责的划分，承担自身所负的责任和风险；</w:t>
      </w:r>
      <w:r>
        <w:rPr>
          <w:rFonts w:hint="eastAsia" w:ascii="宋体" w:hAnsi="宋体"/>
          <w:color w:val="auto"/>
          <w:kern w:val="0"/>
          <w:sz w:val="22"/>
          <w:highlight w:val="none"/>
        </w:rPr>
        <w:br w:type="textWrapping"/>
      </w:r>
      <w:r>
        <w:rPr>
          <w:rFonts w:hint="eastAsia" w:ascii="宋体" w:hAnsi="宋体"/>
          <w:color w:val="auto"/>
          <w:kern w:val="0"/>
          <w:sz w:val="22"/>
          <w:highlight w:val="none"/>
        </w:rPr>
        <w:t xml:space="preserve">（4）联合体各成员单位内部的职责分工如下：                                     </w:t>
      </w:r>
      <w:r>
        <w:rPr>
          <w:rFonts w:hint="eastAsia" w:ascii="宋体" w:hAnsi="宋体"/>
          <w:color w:val="auto"/>
          <w:kern w:val="0"/>
          <w:sz w:val="22"/>
          <w:highlight w:val="none"/>
        </w:rPr>
        <w:br w:type="textWrapping"/>
      </w:r>
      <w:r>
        <w:rPr>
          <w:rFonts w:hint="eastAsia" w:ascii="宋体" w:hAnsi="宋体"/>
          <w:color w:val="auto"/>
          <w:kern w:val="0"/>
          <w:sz w:val="22"/>
          <w:highlight w:val="none"/>
        </w:rPr>
        <w:t>（5）投标工作和联合体在中标后工程实施过程中的有关费用按各自承担的工作量分摊。</w:t>
      </w:r>
      <w:r>
        <w:rPr>
          <w:rFonts w:hint="eastAsia" w:ascii="宋体" w:hAnsi="宋体"/>
          <w:color w:val="auto"/>
          <w:kern w:val="0"/>
          <w:sz w:val="22"/>
          <w:highlight w:val="none"/>
        </w:rPr>
        <w:br w:type="textWrapping"/>
      </w:r>
      <w:r>
        <w:rPr>
          <w:rFonts w:hint="eastAsia" w:ascii="宋体" w:hAnsi="宋体"/>
          <w:color w:val="auto"/>
          <w:kern w:val="0"/>
          <w:sz w:val="22"/>
          <w:highlight w:val="none"/>
        </w:rPr>
        <w:t>3．本协议书自签署之日起生效，合同履行完毕后自动失效。</w:t>
      </w:r>
      <w:r>
        <w:rPr>
          <w:rFonts w:hint="eastAsia" w:ascii="宋体" w:hAnsi="宋体"/>
          <w:color w:val="auto"/>
          <w:kern w:val="0"/>
          <w:sz w:val="22"/>
          <w:highlight w:val="none"/>
        </w:rPr>
        <w:br w:type="textWrapping"/>
      </w:r>
      <w:r>
        <w:rPr>
          <w:rFonts w:hint="eastAsia" w:ascii="宋体" w:hAnsi="宋体"/>
          <w:color w:val="auto"/>
          <w:kern w:val="0"/>
          <w:sz w:val="22"/>
          <w:highlight w:val="none"/>
        </w:rPr>
        <w:t>4．本协议书正本一式三份，送交业主一份，联合体成员各一份。</w:t>
      </w:r>
    </w:p>
    <w:p w14:paraId="74FAD5A1">
      <w:pPr>
        <w:widowControl/>
        <w:spacing w:before="100" w:beforeAutospacing="1" w:after="100" w:afterAutospacing="1" w:line="360" w:lineRule="auto"/>
        <w:jc w:val="left"/>
        <w:rPr>
          <w:rFonts w:hint="eastAsia" w:ascii="宋体" w:hAnsi="宋体"/>
          <w:color w:val="auto"/>
          <w:kern w:val="0"/>
          <w:sz w:val="22"/>
          <w:highlight w:val="none"/>
        </w:rPr>
      </w:pPr>
    </w:p>
    <w:p w14:paraId="0CC299CB">
      <w:pPr>
        <w:widowControl/>
        <w:spacing w:before="100" w:beforeAutospacing="1" w:after="100" w:afterAutospacing="1" w:line="360" w:lineRule="auto"/>
        <w:jc w:val="left"/>
        <w:rPr>
          <w:rFonts w:hint="eastAsia" w:ascii="宋体" w:hAnsi="宋体"/>
          <w:color w:val="auto"/>
          <w:kern w:val="0"/>
          <w:sz w:val="22"/>
          <w:highlight w:val="none"/>
        </w:rPr>
      </w:pPr>
      <w:r>
        <w:rPr>
          <w:rFonts w:hint="eastAsia" w:ascii="宋体" w:hAnsi="宋体"/>
          <w:color w:val="auto"/>
          <w:kern w:val="0"/>
          <w:sz w:val="22"/>
          <w:highlight w:val="none"/>
        </w:rPr>
        <w:t xml:space="preserve">联合体牵头人名称（盖公章）：            </w:t>
      </w:r>
      <w:r>
        <w:rPr>
          <w:rFonts w:hint="eastAsia" w:ascii="宋体" w:hAnsi="宋体"/>
          <w:color w:val="auto"/>
          <w:kern w:val="0"/>
          <w:sz w:val="22"/>
          <w:highlight w:val="none"/>
        </w:rPr>
        <w:br w:type="textWrapping"/>
      </w:r>
      <w:r>
        <w:rPr>
          <w:rFonts w:hint="eastAsia" w:ascii="宋体" w:hAnsi="宋体"/>
          <w:color w:val="auto"/>
          <w:kern w:val="0"/>
          <w:sz w:val="22"/>
          <w:highlight w:val="none"/>
        </w:rPr>
        <w:t>法定代表人（签字或盖章）：</w:t>
      </w:r>
    </w:p>
    <w:p w14:paraId="6645B5CA">
      <w:pPr>
        <w:spacing w:line="360" w:lineRule="auto"/>
        <w:jc w:val="left"/>
        <w:rPr>
          <w:rFonts w:hint="eastAsia" w:ascii="宋体" w:hAnsi="宋体"/>
          <w:color w:val="auto"/>
          <w:kern w:val="0"/>
          <w:sz w:val="22"/>
          <w:highlight w:val="none"/>
        </w:rPr>
      </w:pPr>
    </w:p>
    <w:p w14:paraId="08922410">
      <w:pPr>
        <w:widowControl/>
        <w:spacing w:before="100" w:beforeAutospacing="1" w:after="100" w:afterAutospacing="1" w:line="360" w:lineRule="auto"/>
        <w:jc w:val="left"/>
        <w:rPr>
          <w:rFonts w:hint="eastAsia" w:ascii="宋体" w:hAnsi="宋体"/>
          <w:color w:val="auto"/>
          <w:kern w:val="0"/>
          <w:sz w:val="22"/>
          <w:highlight w:val="none"/>
        </w:rPr>
      </w:pPr>
      <w:r>
        <w:rPr>
          <w:rFonts w:hint="eastAsia" w:ascii="宋体" w:hAnsi="宋体"/>
          <w:color w:val="auto"/>
          <w:kern w:val="0"/>
          <w:sz w:val="22"/>
          <w:highlight w:val="none"/>
        </w:rPr>
        <w:t xml:space="preserve">联合体成员名称（盖公章）：        </w:t>
      </w:r>
      <w:r>
        <w:rPr>
          <w:rFonts w:hint="eastAsia" w:ascii="宋体" w:hAnsi="宋体"/>
          <w:color w:val="auto"/>
          <w:kern w:val="0"/>
          <w:sz w:val="22"/>
          <w:highlight w:val="none"/>
        </w:rPr>
        <w:br w:type="textWrapping"/>
      </w:r>
      <w:r>
        <w:rPr>
          <w:rFonts w:hint="eastAsia" w:ascii="宋体" w:hAnsi="宋体"/>
          <w:color w:val="auto"/>
          <w:kern w:val="0"/>
          <w:sz w:val="22"/>
          <w:highlight w:val="none"/>
        </w:rPr>
        <w:t>法定代表人（签字或盖章）：</w:t>
      </w:r>
    </w:p>
    <w:p w14:paraId="2448AC6E">
      <w:pPr>
        <w:spacing w:line="360" w:lineRule="exact"/>
        <w:jc w:val="left"/>
        <w:rPr>
          <w:rFonts w:hint="eastAsia" w:ascii="宋体"/>
          <w:b/>
          <w:bCs/>
          <w:color w:val="auto"/>
          <w:sz w:val="30"/>
          <w:highlight w:val="none"/>
        </w:rPr>
      </w:pPr>
    </w:p>
    <w:p w14:paraId="067D147A">
      <w:pPr>
        <w:spacing w:line="360" w:lineRule="exact"/>
        <w:jc w:val="both"/>
        <w:rPr>
          <w:rFonts w:hint="eastAsia" w:ascii="宋体"/>
          <w:b/>
          <w:bCs/>
          <w:color w:val="auto"/>
          <w:sz w:val="24"/>
          <w:szCs w:val="24"/>
          <w:highlight w:val="none"/>
        </w:rPr>
      </w:pPr>
      <w:r>
        <w:rPr>
          <w:rFonts w:hint="eastAsia" w:ascii="宋体"/>
          <w:b/>
          <w:bCs/>
          <w:color w:val="auto"/>
          <w:sz w:val="24"/>
          <w:szCs w:val="24"/>
          <w:highlight w:val="none"/>
        </w:rPr>
        <w:t>注：</w:t>
      </w:r>
      <w:r>
        <w:rPr>
          <w:rFonts w:hint="eastAsia" w:ascii="宋体"/>
          <w:b/>
          <w:bCs/>
          <w:color w:val="auto"/>
          <w:sz w:val="24"/>
          <w:szCs w:val="24"/>
          <w:highlight w:val="none"/>
          <w:u w:val="single"/>
        </w:rPr>
        <w:t>此版为参考模式，可以删减，供应商应结合实际明确双方权利和义务</w:t>
      </w:r>
      <w:r>
        <w:rPr>
          <w:rFonts w:hint="eastAsia" w:ascii="宋体"/>
          <w:b/>
          <w:bCs/>
          <w:color w:val="auto"/>
          <w:sz w:val="24"/>
          <w:szCs w:val="24"/>
          <w:highlight w:val="none"/>
        </w:rPr>
        <w:t>。</w:t>
      </w:r>
    </w:p>
    <w:p w14:paraId="7AE6B14C">
      <w:pPr>
        <w:tabs>
          <w:tab w:val="left" w:pos="1069"/>
          <w:tab w:val="left" w:pos="2352"/>
        </w:tabs>
        <w:spacing w:line="360" w:lineRule="exact"/>
        <w:jc w:val="left"/>
        <w:rPr>
          <w:rFonts w:hint="eastAsia" w:ascii="宋体" w:hAnsi="宋体" w:cs="宋体"/>
          <w:b/>
          <w:bCs/>
          <w:color w:val="auto"/>
          <w:sz w:val="30"/>
          <w:highlight w:val="none"/>
        </w:rPr>
      </w:pPr>
    </w:p>
    <w:p w14:paraId="782D0E55">
      <w:pPr>
        <w:tabs>
          <w:tab w:val="left" w:pos="1069"/>
          <w:tab w:val="left" w:pos="2352"/>
        </w:tabs>
        <w:spacing w:line="360" w:lineRule="exact"/>
        <w:jc w:val="left"/>
        <w:rPr>
          <w:rFonts w:hint="eastAsia" w:ascii="宋体" w:hAnsi="宋体" w:cs="宋体"/>
          <w:b/>
          <w:bCs/>
          <w:color w:val="auto"/>
          <w:sz w:val="30"/>
          <w:highlight w:val="none"/>
        </w:rPr>
      </w:pPr>
    </w:p>
    <w:p w14:paraId="3336F118">
      <w:pPr>
        <w:tabs>
          <w:tab w:val="left" w:pos="1069"/>
          <w:tab w:val="left" w:pos="2352"/>
        </w:tabs>
        <w:spacing w:line="360" w:lineRule="exact"/>
        <w:jc w:val="left"/>
        <w:rPr>
          <w:rFonts w:ascii="宋体" w:hAnsi="宋体" w:cs="宋体"/>
          <w:b/>
          <w:bCs/>
          <w:color w:val="auto"/>
          <w:szCs w:val="21"/>
          <w:highlight w:val="none"/>
        </w:rPr>
      </w:pPr>
      <w:r>
        <w:rPr>
          <w:rFonts w:hint="eastAsia" w:ascii="宋体" w:hAnsi="宋体" w:cs="宋体"/>
          <w:b/>
          <w:bCs/>
          <w:color w:val="auto"/>
          <w:sz w:val="30"/>
          <w:highlight w:val="none"/>
        </w:rPr>
        <w:t>附件十</w:t>
      </w:r>
    </w:p>
    <w:p w14:paraId="0C1A9523">
      <w:pPr>
        <w:tabs>
          <w:tab w:val="left" w:pos="1069"/>
          <w:tab w:val="left" w:pos="2352"/>
        </w:tabs>
        <w:autoSpaceDE w:val="0"/>
        <w:autoSpaceDN w:val="0"/>
        <w:adjustRightInd w:val="0"/>
        <w:spacing w:line="500" w:lineRule="atLeast"/>
        <w:jc w:val="center"/>
        <w:rPr>
          <w:rFonts w:ascii="宋体" w:hAnsi="宋体" w:cs="宋体"/>
          <w:b/>
          <w:bCs/>
          <w:color w:val="auto"/>
          <w:sz w:val="32"/>
          <w:highlight w:val="none"/>
        </w:rPr>
      </w:pPr>
      <w:bookmarkStart w:id="258" w:name="_Toc28287_WPSOffice_Level3"/>
      <w:r>
        <w:rPr>
          <w:rFonts w:hint="eastAsia" w:ascii="宋体" w:hAnsi="宋体" w:cs="宋体"/>
          <w:b/>
          <w:bCs/>
          <w:color w:val="auto"/>
          <w:sz w:val="32"/>
          <w:highlight w:val="none"/>
        </w:rPr>
        <w:t>供应商项目业绩清单</w:t>
      </w:r>
      <w:bookmarkEnd w:id="258"/>
    </w:p>
    <w:p w14:paraId="5E1395B4">
      <w:pPr>
        <w:pStyle w:val="12"/>
        <w:tabs>
          <w:tab w:val="left" w:pos="1069"/>
          <w:tab w:val="left" w:pos="2352"/>
        </w:tabs>
        <w:spacing w:line="360" w:lineRule="exact"/>
        <w:jc w:val="center"/>
        <w:rPr>
          <w:rFonts w:hAnsi="宋体" w:cs="宋体"/>
          <w:color w:val="auto"/>
          <w:sz w:val="22"/>
          <w:highlight w:val="none"/>
        </w:rPr>
      </w:pPr>
    </w:p>
    <w:tbl>
      <w:tblPr>
        <w:tblStyle w:val="31"/>
        <w:tblW w:w="0" w:type="auto"/>
        <w:tblInd w:w="94" w:type="dxa"/>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756"/>
        <w:gridCol w:w="1153"/>
        <w:gridCol w:w="1154"/>
        <w:gridCol w:w="1154"/>
        <w:gridCol w:w="1154"/>
        <w:gridCol w:w="1154"/>
        <w:gridCol w:w="1154"/>
        <w:gridCol w:w="1154"/>
        <w:gridCol w:w="770"/>
      </w:tblGrid>
      <w:tr w14:paraId="72936889">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c>
          <w:tcPr>
            <w:tcW w:w="756" w:type="dxa"/>
            <w:tcBorders>
              <w:top w:val="double" w:color="000000" w:sz="6" w:space="0"/>
            </w:tcBorders>
            <w:vAlign w:val="center"/>
          </w:tcPr>
          <w:p w14:paraId="4D31AA1B">
            <w:pPr>
              <w:tabs>
                <w:tab w:val="left" w:pos="1069"/>
                <w:tab w:val="left" w:pos="2352"/>
                <w:tab w:val="left" w:pos="4140"/>
              </w:tabs>
              <w:adjustRightInd w:val="0"/>
              <w:snapToGrid w:val="0"/>
              <w:spacing w:line="320" w:lineRule="atLeast"/>
              <w:jc w:val="center"/>
              <w:rPr>
                <w:rFonts w:ascii="宋体" w:hAnsi="宋体" w:cs="宋体"/>
                <w:caps/>
                <w:color w:val="auto"/>
                <w:spacing w:val="20"/>
                <w:sz w:val="22"/>
                <w:highlight w:val="none"/>
              </w:rPr>
            </w:pPr>
            <w:r>
              <w:rPr>
                <w:rFonts w:hint="eastAsia" w:ascii="宋体" w:hAnsi="宋体" w:cs="宋体"/>
                <w:caps/>
                <w:color w:val="auto"/>
                <w:spacing w:val="20"/>
                <w:sz w:val="22"/>
                <w:highlight w:val="none"/>
              </w:rPr>
              <w:t>序号</w:t>
            </w:r>
          </w:p>
        </w:tc>
        <w:tc>
          <w:tcPr>
            <w:tcW w:w="1153" w:type="dxa"/>
            <w:tcBorders>
              <w:top w:val="double" w:color="000000" w:sz="6" w:space="0"/>
            </w:tcBorders>
            <w:vAlign w:val="center"/>
          </w:tcPr>
          <w:p w14:paraId="5468CA1F">
            <w:pPr>
              <w:tabs>
                <w:tab w:val="left" w:pos="1069"/>
                <w:tab w:val="left" w:pos="2352"/>
                <w:tab w:val="left" w:pos="4140"/>
              </w:tabs>
              <w:adjustRightInd w:val="0"/>
              <w:snapToGrid w:val="0"/>
              <w:spacing w:line="320" w:lineRule="atLeast"/>
              <w:jc w:val="center"/>
              <w:rPr>
                <w:rFonts w:ascii="宋体" w:hAnsi="宋体" w:cs="宋体"/>
                <w:color w:val="auto"/>
                <w:spacing w:val="20"/>
                <w:sz w:val="22"/>
                <w:highlight w:val="none"/>
              </w:rPr>
            </w:pPr>
            <w:r>
              <w:rPr>
                <w:rFonts w:hint="eastAsia" w:ascii="宋体" w:hAnsi="宋体" w:cs="宋体"/>
                <w:color w:val="auto"/>
                <w:spacing w:val="20"/>
                <w:sz w:val="22"/>
                <w:highlight w:val="none"/>
              </w:rPr>
              <w:t>采购</w:t>
            </w:r>
          </w:p>
          <w:p w14:paraId="0047E702">
            <w:pPr>
              <w:tabs>
                <w:tab w:val="left" w:pos="1069"/>
                <w:tab w:val="left" w:pos="2352"/>
                <w:tab w:val="left" w:pos="4140"/>
              </w:tabs>
              <w:adjustRightInd w:val="0"/>
              <w:snapToGrid w:val="0"/>
              <w:spacing w:line="320" w:lineRule="atLeast"/>
              <w:jc w:val="center"/>
              <w:rPr>
                <w:rFonts w:ascii="宋体" w:hAnsi="宋体" w:cs="宋体"/>
                <w:caps/>
                <w:color w:val="auto"/>
                <w:spacing w:val="20"/>
                <w:sz w:val="22"/>
                <w:highlight w:val="none"/>
              </w:rPr>
            </w:pPr>
            <w:r>
              <w:rPr>
                <w:rFonts w:hint="eastAsia" w:ascii="宋体" w:hAnsi="宋体" w:cs="宋体"/>
                <w:color w:val="auto"/>
                <w:spacing w:val="20"/>
                <w:sz w:val="22"/>
                <w:highlight w:val="none"/>
              </w:rPr>
              <w:t>单位</w:t>
            </w:r>
          </w:p>
        </w:tc>
        <w:tc>
          <w:tcPr>
            <w:tcW w:w="1154" w:type="dxa"/>
            <w:tcBorders>
              <w:top w:val="double" w:color="000000" w:sz="6" w:space="0"/>
            </w:tcBorders>
            <w:vAlign w:val="center"/>
          </w:tcPr>
          <w:p w14:paraId="3CA5D87B">
            <w:pPr>
              <w:tabs>
                <w:tab w:val="left" w:pos="1069"/>
                <w:tab w:val="left" w:pos="2352"/>
                <w:tab w:val="left" w:pos="4140"/>
              </w:tabs>
              <w:adjustRightInd w:val="0"/>
              <w:snapToGrid w:val="0"/>
              <w:spacing w:line="320" w:lineRule="atLeast"/>
              <w:jc w:val="center"/>
              <w:rPr>
                <w:rFonts w:ascii="宋体" w:hAnsi="宋体" w:cs="宋体"/>
                <w:caps/>
                <w:color w:val="auto"/>
                <w:spacing w:val="20"/>
                <w:sz w:val="22"/>
                <w:highlight w:val="none"/>
              </w:rPr>
            </w:pPr>
            <w:r>
              <w:rPr>
                <w:rFonts w:hint="eastAsia" w:ascii="宋体" w:hAnsi="宋体" w:cs="宋体"/>
                <w:caps/>
                <w:color w:val="auto"/>
                <w:spacing w:val="20"/>
                <w:sz w:val="22"/>
                <w:highlight w:val="none"/>
              </w:rPr>
              <w:t>项目</w:t>
            </w:r>
          </w:p>
          <w:p w14:paraId="3FAD4F88">
            <w:pPr>
              <w:tabs>
                <w:tab w:val="left" w:pos="1069"/>
                <w:tab w:val="left" w:pos="2352"/>
                <w:tab w:val="left" w:pos="4140"/>
              </w:tabs>
              <w:adjustRightInd w:val="0"/>
              <w:snapToGrid w:val="0"/>
              <w:spacing w:line="320" w:lineRule="atLeast"/>
              <w:jc w:val="center"/>
              <w:rPr>
                <w:rFonts w:ascii="宋体" w:hAnsi="宋体" w:cs="宋体"/>
                <w:caps/>
                <w:color w:val="auto"/>
                <w:spacing w:val="20"/>
                <w:sz w:val="22"/>
                <w:highlight w:val="none"/>
              </w:rPr>
            </w:pPr>
            <w:r>
              <w:rPr>
                <w:rFonts w:hint="eastAsia" w:ascii="宋体" w:hAnsi="宋体" w:cs="宋体"/>
                <w:caps/>
                <w:color w:val="auto"/>
                <w:spacing w:val="20"/>
                <w:sz w:val="22"/>
                <w:highlight w:val="none"/>
              </w:rPr>
              <w:t>名称</w:t>
            </w:r>
          </w:p>
        </w:tc>
        <w:tc>
          <w:tcPr>
            <w:tcW w:w="1154" w:type="dxa"/>
            <w:tcBorders>
              <w:top w:val="double" w:color="000000" w:sz="6" w:space="0"/>
            </w:tcBorders>
            <w:vAlign w:val="center"/>
          </w:tcPr>
          <w:p w14:paraId="387398B8">
            <w:pPr>
              <w:tabs>
                <w:tab w:val="left" w:pos="1069"/>
                <w:tab w:val="left" w:pos="2352"/>
                <w:tab w:val="left" w:pos="4140"/>
              </w:tabs>
              <w:adjustRightInd w:val="0"/>
              <w:snapToGrid w:val="0"/>
              <w:spacing w:line="320" w:lineRule="atLeast"/>
              <w:jc w:val="center"/>
              <w:rPr>
                <w:rFonts w:ascii="宋体" w:hAnsi="宋体" w:cs="宋体"/>
                <w:caps/>
                <w:color w:val="auto"/>
                <w:spacing w:val="20"/>
                <w:sz w:val="22"/>
                <w:highlight w:val="none"/>
              </w:rPr>
            </w:pPr>
            <w:r>
              <w:rPr>
                <w:rFonts w:hint="eastAsia" w:ascii="宋体" w:hAnsi="宋体" w:cs="宋体"/>
                <w:caps/>
                <w:color w:val="auto"/>
                <w:spacing w:val="20"/>
                <w:sz w:val="22"/>
                <w:highlight w:val="none"/>
              </w:rPr>
              <w:t>数量</w:t>
            </w:r>
          </w:p>
        </w:tc>
        <w:tc>
          <w:tcPr>
            <w:tcW w:w="1154" w:type="dxa"/>
            <w:tcBorders>
              <w:top w:val="double" w:color="000000" w:sz="6" w:space="0"/>
            </w:tcBorders>
            <w:vAlign w:val="center"/>
          </w:tcPr>
          <w:p w14:paraId="109B7E1A">
            <w:pPr>
              <w:tabs>
                <w:tab w:val="left" w:pos="1069"/>
                <w:tab w:val="left" w:pos="2352"/>
                <w:tab w:val="left" w:pos="4140"/>
              </w:tabs>
              <w:adjustRightInd w:val="0"/>
              <w:snapToGrid w:val="0"/>
              <w:spacing w:line="320" w:lineRule="atLeast"/>
              <w:jc w:val="center"/>
              <w:rPr>
                <w:rFonts w:ascii="宋体" w:hAnsi="宋体" w:cs="宋体"/>
                <w:caps/>
                <w:color w:val="auto"/>
                <w:spacing w:val="20"/>
                <w:sz w:val="22"/>
                <w:highlight w:val="none"/>
              </w:rPr>
            </w:pPr>
            <w:r>
              <w:rPr>
                <w:rFonts w:hint="eastAsia" w:ascii="宋体" w:hAnsi="宋体" w:cs="宋体"/>
                <w:caps/>
                <w:color w:val="auto"/>
                <w:spacing w:val="20"/>
                <w:sz w:val="22"/>
                <w:highlight w:val="none"/>
              </w:rPr>
              <w:t>合同</w:t>
            </w:r>
          </w:p>
          <w:p w14:paraId="60E5F20C">
            <w:pPr>
              <w:tabs>
                <w:tab w:val="left" w:pos="1069"/>
                <w:tab w:val="left" w:pos="2352"/>
                <w:tab w:val="left" w:pos="4140"/>
              </w:tabs>
              <w:adjustRightInd w:val="0"/>
              <w:snapToGrid w:val="0"/>
              <w:spacing w:line="320" w:lineRule="atLeast"/>
              <w:jc w:val="center"/>
              <w:rPr>
                <w:rFonts w:ascii="宋体" w:hAnsi="宋体" w:cs="宋体"/>
                <w:caps/>
                <w:color w:val="auto"/>
                <w:spacing w:val="20"/>
                <w:sz w:val="22"/>
                <w:highlight w:val="none"/>
              </w:rPr>
            </w:pPr>
            <w:r>
              <w:rPr>
                <w:rFonts w:hint="eastAsia" w:ascii="宋体" w:hAnsi="宋体" w:cs="宋体"/>
                <w:caps/>
                <w:color w:val="auto"/>
                <w:spacing w:val="20"/>
                <w:sz w:val="22"/>
                <w:highlight w:val="none"/>
              </w:rPr>
              <w:t>金额</w:t>
            </w:r>
          </w:p>
        </w:tc>
        <w:tc>
          <w:tcPr>
            <w:tcW w:w="1154" w:type="dxa"/>
            <w:tcBorders>
              <w:top w:val="double" w:color="000000" w:sz="6" w:space="0"/>
            </w:tcBorders>
            <w:vAlign w:val="center"/>
          </w:tcPr>
          <w:p w14:paraId="27A29651">
            <w:pPr>
              <w:tabs>
                <w:tab w:val="left" w:pos="1069"/>
                <w:tab w:val="left" w:pos="2352"/>
                <w:tab w:val="left" w:pos="4140"/>
              </w:tabs>
              <w:adjustRightInd w:val="0"/>
              <w:snapToGrid w:val="0"/>
              <w:spacing w:line="320" w:lineRule="atLeast"/>
              <w:jc w:val="center"/>
              <w:rPr>
                <w:rFonts w:ascii="宋体" w:hAnsi="宋体" w:cs="宋体"/>
                <w:color w:val="auto"/>
                <w:spacing w:val="20"/>
                <w:sz w:val="22"/>
                <w:highlight w:val="none"/>
              </w:rPr>
            </w:pPr>
            <w:r>
              <w:rPr>
                <w:rFonts w:hint="eastAsia" w:ascii="宋体" w:hAnsi="宋体" w:cs="宋体"/>
                <w:color w:val="auto"/>
                <w:spacing w:val="20"/>
                <w:sz w:val="22"/>
                <w:highlight w:val="none"/>
              </w:rPr>
              <w:t>签约</w:t>
            </w:r>
          </w:p>
          <w:p w14:paraId="3641911D">
            <w:pPr>
              <w:tabs>
                <w:tab w:val="left" w:pos="1069"/>
                <w:tab w:val="left" w:pos="2352"/>
                <w:tab w:val="left" w:pos="4140"/>
              </w:tabs>
              <w:adjustRightInd w:val="0"/>
              <w:snapToGrid w:val="0"/>
              <w:spacing w:line="320" w:lineRule="atLeast"/>
              <w:jc w:val="center"/>
              <w:rPr>
                <w:rFonts w:ascii="宋体" w:hAnsi="宋体" w:cs="宋体"/>
                <w:caps/>
                <w:color w:val="auto"/>
                <w:spacing w:val="20"/>
                <w:sz w:val="22"/>
                <w:highlight w:val="none"/>
              </w:rPr>
            </w:pPr>
            <w:r>
              <w:rPr>
                <w:rFonts w:hint="eastAsia" w:ascii="宋体" w:hAnsi="宋体" w:cs="宋体"/>
                <w:color w:val="auto"/>
                <w:spacing w:val="20"/>
                <w:sz w:val="22"/>
                <w:highlight w:val="none"/>
              </w:rPr>
              <w:t>日期</w:t>
            </w:r>
          </w:p>
        </w:tc>
        <w:tc>
          <w:tcPr>
            <w:tcW w:w="1154" w:type="dxa"/>
            <w:tcBorders>
              <w:top w:val="double" w:color="000000" w:sz="6" w:space="0"/>
            </w:tcBorders>
            <w:vAlign w:val="center"/>
          </w:tcPr>
          <w:p w14:paraId="01DE8F70">
            <w:pPr>
              <w:tabs>
                <w:tab w:val="left" w:pos="1069"/>
                <w:tab w:val="left" w:pos="2352"/>
                <w:tab w:val="left" w:pos="4140"/>
              </w:tabs>
              <w:adjustRightInd w:val="0"/>
              <w:snapToGrid w:val="0"/>
              <w:spacing w:line="320" w:lineRule="atLeast"/>
              <w:jc w:val="center"/>
              <w:rPr>
                <w:rFonts w:ascii="宋体" w:hAnsi="宋体" w:cs="宋体"/>
                <w:color w:val="auto"/>
                <w:spacing w:val="20"/>
                <w:sz w:val="22"/>
                <w:highlight w:val="none"/>
              </w:rPr>
            </w:pPr>
            <w:r>
              <w:rPr>
                <w:rFonts w:hint="eastAsia" w:ascii="宋体" w:hAnsi="宋体" w:cs="宋体"/>
                <w:color w:val="auto"/>
                <w:spacing w:val="20"/>
                <w:sz w:val="22"/>
                <w:highlight w:val="none"/>
              </w:rPr>
              <w:t>联系人</w:t>
            </w:r>
          </w:p>
        </w:tc>
        <w:tc>
          <w:tcPr>
            <w:tcW w:w="1154" w:type="dxa"/>
            <w:tcBorders>
              <w:top w:val="double" w:color="000000" w:sz="6" w:space="0"/>
            </w:tcBorders>
            <w:vAlign w:val="center"/>
          </w:tcPr>
          <w:p w14:paraId="3BB41258">
            <w:pPr>
              <w:tabs>
                <w:tab w:val="left" w:pos="1069"/>
                <w:tab w:val="left" w:pos="2352"/>
                <w:tab w:val="left" w:pos="4140"/>
              </w:tabs>
              <w:adjustRightInd w:val="0"/>
              <w:snapToGrid w:val="0"/>
              <w:spacing w:line="320" w:lineRule="atLeast"/>
              <w:jc w:val="center"/>
              <w:rPr>
                <w:rFonts w:ascii="宋体" w:hAnsi="宋体" w:cs="宋体"/>
                <w:color w:val="auto"/>
                <w:spacing w:val="20"/>
                <w:sz w:val="22"/>
                <w:highlight w:val="none"/>
              </w:rPr>
            </w:pPr>
            <w:r>
              <w:rPr>
                <w:rFonts w:hint="eastAsia" w:ascii="宋体" w:hAnsi="宋体" w:cs="宋体"/>
                <w:color w:val="auto"/>
                <w:spacing w:val="20"/>
                <w:sz w:val="22"/>
                <w:highlight w:val="none"/>
              </w:rPr>
              <w:t>联系</w:t>
            </w:r>
          </w:p>
          <w:p w14:paraId="34E6544D">
            <w:pPr>
              <w:tabs>
                <w:tab w:val="left" w:pos="1069"/>
                <w:tab w:val="left" w:pos="2352"/>
                <w:tab w:val="left" w:pos="4140"/>
              </w:tabs>
              <w:adjustRightInd w:val="0"/>
              <w:snapToGrid w:val="0"/>
              <w:spacing w:line="320" w:lineRule="atLeast"/>
              <w:jc w:val="center"/>
              <w:rPr>
                <w:rFonts w:ascii="宋体" w:hAnsi="宋体" w:cs="宋体"/>
                <w:color w:val="auto"/>
                <w:spacing w:val="20"/>
                <w:sz w:val="22"/>
                <w:highlight w:val="none"/>
              </w:rPr>
            </w:pPr>
            <w:r>
              <w:rPr>
                <w:rFonts w:hint="eastAsia" w:ascii="宋体" w:hAnsi="宋体" w:cs="宋体"/>
                <w:color w:val="auto"/>
                <w:spacing w:val="20"/>
                <w:sz w:val="22"/>
                <w:highlight w:val="none"/>
              </w:rPr>
              <w:t>电话</w:t>
            </w:r>
          </w:p>
        </w:tc>
        <w:tc>
          <w:tcPr>
            <w:tcW w:w="770" w:type="dxa"/>
            <w:tcBorders>
              <w:top w:val="double" w:color="000000" w:sz="6" w:space="0"/>
            </w:tcBorders>
            <w:vAlign w:val="center"/>
          </w:tcPr>
          <w:p w14:paraId="446F6AEB">
            <w:pPr>
              <w:tabs>
                <w:tab w:val="left" w:pos="1069"/>
                <w:tab w:val="left" w:pos="2352"/>
                <w:tab w:val="left" w:pos="4140"/>
              </w:tabs>
              <w:adjustRightInd w:val="0"/>
              <w:snapToGrid w:val="0"/>
              <w:spacing w:line="320" w:lineRule="atLeast"/>
              <w:jc w:val="center"/>
              <w:rPr>
                <w:rFonts w:ascii="宋体" w:hAnsi="宋体" w:cs="宋体"/>
                <w:color w:val="auto"/>
                <w:spacing w:val="20"/>
                <w:sz w:val="22"/>
                <w:highlight w:val="none"/>
              </w:rPr>
            </w:pPr>
            <w:r>
              <w:rPr>
                <w:rFonts w:hint="eastAsia" w:ascii="宋体" w:hAnsi="宋体" w:cs="宋体"/>
                <w:color w:val="auto"/>
                <w:spacing w:val="20"/>
                <w:sz w:val="22"/>
                <w:highlight w:val="none"/>
              </w:rPr>
              <w:t>备注</w:t>
            </w:r>
          </w:p>
        </w:tc>
      </w:tr>
      <w:tr w14:paraId="50287CDE">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409" w:hRule="atLeast"/>
        </w:trPr>
        <w:tc>
          <w:tcPr>
            <w:tcW w:w="756" w:type="dxa"/>
          </w:tcPr>
          <w:p w14:paraId="129FC328">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3" w:type="dxa"/>
          </w:tcPr>
          <w:p w14:paraId="5DA00490">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222FDC43">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7F1BA3FE">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7EA4478F">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150B81C2">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59B04D91">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0DAB60ED">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770" w:type="dxa"/>
          </w:tcPr>
          <w:p w14:paraId="568BF821">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r>
      <w:tr w14:paraId="3F4D581B">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409" w:hRule="atLeast"/>
        </w:trPr>
        <w:tc>
          <w:tcPr>
            <w:tcW w:w="756" w:type="dxa"/>
          </w:tcPr>
          <w:p w14:paraId="50C6FF30">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3" w:type="dxa"/>
          </w:tcPr>
          <w:p w14:paraId="5B16CB1B">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57150B56">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14795BB9">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748B7DBD">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3544C4C7">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5024B9D4">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42BB1515">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770" w:type="dxa"/>
          </w:tcPr>
          <w:p w14:paraId="00F1E206">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r>
      <w:tr w14:paraId="6A1B475D">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409" w:hRule="atLeast"/>
        </w:trPr>
        <w:tc>
          <w:tcPr>
            <w:tcW w:w="756" w:type="dxa"/>
          </w:tcPr>
          <w:p w14:paraId="23756E4B">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3" w:type="dxa"/>
          </w:tcPr>
          <w:p w14:paraId="45B49593">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314E54EB">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577F51A2">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7CC646AC">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485A347D">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62C95150">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5B9CAD57">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770" w:type="dxa"/>
          </w:tcPr>
          <w:p w14:paraId="7CF8A17B">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r>
      <w:tr w14:paraId="3B2A5F63">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409" w:hRule="atLeast"/>
        </w:trPr>
        <w:tc>
          <w:tcPr>
            <w:tcW w:w="756" w:type="dxa"/>
          </w:tcPr>
          <w:p w14:paraId="39F0E11A">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3" w:type="dxa"/>
          </w:tcPr>
          <w:p w14:paraId="5DCB80EB">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4A0F7C58">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72F1DD9F">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5684CBEC">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3793FE74">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5ED3C9A5">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1ECC2C9A">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770" w:type="dxa"/>
          </w:tcPr>
          <w:p w14:paraId="2A3F6CD5">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r>
      <w:tr w14:paraId="78D603BB">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409" w:hRule="atLeast"/>
        </w:trPr>
        <w:tc>
          <w:tcPr>
            <w:tcW w:w="756" w:type="dxa"/>
          </w:tcPr>
          <w:p w14:paraId="781B0910">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3" w:type="dxa"/>
          </w:tcPr>
          <w:p w14:paraId="43541168">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731B22F6">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65B53937">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6B6D847D">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618E3463">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21C245DE">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29D0E7B0">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770" w:type="dxa"/>
          </w:tcPr>
          <w:p w14:paraId="3D384031">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r>
      <w:tr w14:paraId="7D4488DE">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409" w:hRule="atLeast"/>
        </w:trPr>
        <w:tc>
          <w:tcPr>
            <w:tcW w:w="756" w:type="dxa"/>
          </w:tcPr>
          <w:p w14:paraId="71F2B08C">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3" w:type="dxa"/>
          </w:tcPr>
          <w:p w14:paraId="25FB3312">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14D2244D">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4AF85346">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4CCAB30F">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119D3789">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558CF599">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55BFFEEA">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770" w:type="dxa"/>
          </w:tcPr>
          <w:p w14:paraId="072B4418">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r>
      <w:tr w14:paraId="45B8DEEC">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409" w:hRule="atLeast"/>
        </w:trPr>
        <w:tc>
          <w:tcPr>
            <w:tcW w:w="756" w:type="dxa"/>
          </w:tcPr>
          <w:p w14:paraId="53A617EC">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3" w:type="dxa"/>
          </w:tcPr>
          <w:p w14:paraId="743B3834">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7184842C">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1B9E60BC">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75C802DA">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4DD72679">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52B12EF3">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54D97A47">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770" w:type="dxa"/>
          </w:tcPr>
          <w:p w14:paraId="2F1B0844">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r>
      <w:tr w14:paraId="78BC4762">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409" w:hRule="atLeast"/>
        </w:trPr>
        <w:tc>
          <w:tcPr>
            <w:tcW w:w="756" w:type="dxa"/>
          </w:tcPr>
          <w:p w14:paraId="51C3D799">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3" w:type="dxa"/>
          </w:tcPr>
          <w:p w14:paraId="3A1E80C7">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1C17A2E8">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0601C6AD">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70827F76">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202EED32">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14D6A68D">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73D695E4">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770" w:type="dxa"/>
          </w:tcPr>
          <w:p w14:paraId="17C3B7E0">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r>
      <w:tr w14:paraId="69913655">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409" w:hRule="atLeast"/>
        </w:trPr>
        <w:tc>
          <w:tcPr>
            <w:tcW w:w="756" w:type="dxa"/>
          </w:tcPr>
          <w:p w14:paraId="209AF90E">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3" w:type="dxa"/>
          </w:tcPr>
          <w:p w14:paraId="586E037C">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2C2EA9A6">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3083014A">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6105F70B">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643B0237">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3CDD2456">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1547FE11">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770" w:type="dxa"/>
          </w:tcPr>
          <w:p w14:paraId="79BEAC50">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r>
      <w:tr w14:paraId="215357E9">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409" w:hRule="atLeast"/>
        </w:trPr>
        <w:tc>
          <w:tcPr>
            <w:tcW w:w="756" w:type="dxa"/>
          </w:tcPr>
          <w:p w14:paraId="09B805DD">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3" w:type="dxa"/>
          </w:tcPr>
          <w:p w14:paraId="6BE5E065">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2D5041B2">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2D18B6BE">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51338D36">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54B909E9">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774656DA">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302C39D0">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770" w:type="dxa"/>
          </w:tcPr>
          <w:p w14:paraId="629D7D46">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r>
      <w:tr w14:paraId="266FDC0F">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409" w:hRule="atLeast"/>
        </w:trPr>
        <w:tc>
          <w:tcPr>
            <w:tcW w:w="756" w:type="dxa"/>
          </w:tcPr>
          <w:p w14:paraId="4A008BD8">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3" w:type="dxa"/>
          </w:tcPr>
          <w:p w14:paraId="44308BB8">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49383B04">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462DFE3B">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38A9209C">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4D984332">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3E3891D6">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5D8E01BB">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770" w:type="dxa"/>
          </w:tcPr>
          <w:p w14:paraId="09E8A81E">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r>
      <w:tr w14:paraId="2D4B545A">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409" w:hRule="atLeast"/>
        </w:trPr>
        <w:tc>
          <w:tcPr>
            <w:tcW w:w="756" w:type="dxa"/>
          </w:tcPr>
          <w:p w14:paraId="06B57054">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3" w:type="dxa"/>
          </w:tcPr>
          <w:p w14:paraId="755748C3">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2A471D8A">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722855CC">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3F1F4534">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0FD935CB">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2A02784F">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714EAB29">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770" w:type="dxa"/>
          </w:tcPr>
          <w:p w14:paraId="7C390C20">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r>
      <w:tr w14:paraId="591B81AA">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409" w:hRule="atLeast"/>
        </w:trPr>
        <w:tc>
          <w:tcPr>
            <w:tcW w:w="756" w:type="dxa"/>
          </w:tcPr>
          <w:p w14:paraId="1BB664F4">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3" w:type="dxa"/>
          </w:tcPr>
          <w:p w14:paraId="535CAA3F">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5A9233F9">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624522FA">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337AB76D">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0380F7CE">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61F3FEE3">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56EAC467">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770" w:type="dxa"/>
          </w:tcPr>
          <w:p w14:paraId="2CCC9D92">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r>
      <w:tr w14:paraId="0ED32AC1">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409" w:hRule="atLeast"/>
        </w:trPr>
        <w:tc>
          <w:tcPr>
            <w:tcW w:w="756" w:type="dxa"/>
          </w:tcPr>
          <w:p w14:paraId="03F79EDD">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3" w:type="dxa"/>
          </w:tcPr>
          <w:p w14:paraId="4CB4B437">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4BA9E143">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4A34254F">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4A27AACE">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17AE1D1D">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04F21FBB">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5CEF4592">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770" w:type="dxa"/>
          </w:tcPr>
          <w:p w14:paraId="3B6C476C">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r>
      <w:tr w14:paraId="17D07440">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409" w:hRule="atLeast"/>
        </w:trPr>
        <w:tc>
          <w:tcPr>
            <w:tcW w:w="756" w:type="dxa"/>
          </w:tcPr>
          <w:p w14:paraId="707140E7">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3" w:type="dxa"/>
          </w:tcPr>
          <w:p w14:paraId="4C04BEAB">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4BD1DBC2">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6451979C">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55543DAD">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1FB86B77">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6C21FF92">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75067140">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770" w:type="dxa"/>
          </w:tcPr>
          <w:p w14:paraId="28314B61">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r>
      <w:tr w14:paraId="63F81139">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409" w:hRule="atLeast"/>
        </w:trPr>
        <w:tc>
          <w:tcPr>
            <w:tcW w:w="756" w:type="dxa"/>
          </w:tcPr>
          <w:p w14:paraId="533E6F9B">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3" w:type="dxa"/>
          </w:tcPr>
          <w:p w14:paraId="1B08DAA7">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4018328F">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71F9CA20">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05F5F7D7">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7C308D32">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0987C87E">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2FCBAF76">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770" w:type="dxa"/>
          </w:tcPr>
          <w:p w14:paraId="083E6D31">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r>
      <w:tr w14:paraId="35A4647B">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409" w:hRule="atLeast"/>
        </w:trPr>
        <w:tc>
          <w:tcPr>
            <w:tcW w:w="756" w:type="dxa"/>
          </w:tcPr>
          <w:p w14:paraId="5B056EF9">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3" w:type="dxa"/>
          </w:tcPr>
          <w:p w14:paraId="221736E3">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18B25981">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221B448C">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662B427C">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55135D52">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7508DEF6">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414DA021">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770" w:type="dxa"/>
          </w:tcPr>
          <w:p w14:paraId="4B15AD68">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r>
      <w:tr w14:paraId="50E03E35">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409" w:hRule="atLeast"/>
        </w:trPr>
        <w:tc>
          <w:tcPr>
            <w:tcW w:w="756" w:type="dxa"/>
          </w:tcPr>
          <w:p w14:paraId="5913028F">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3" w:type="dxa"/>
          </w:tcPr>
          <w:p w14:paraId="01FBAD97">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40CD13EA">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2E1A09B0">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63E4B450">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2DBA1BAF">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19036A6E">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68D63381">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770" w:type="dxa"/>
          </w:tcPr>
          <w:p w14:paraId="6877A894">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r>
      <w:tr w14:paraId="50A071EF">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409" w:hRule="atLeast"/>
        </w:trPr>
        <w:tc>
          <w:tcPr>
            <w:tcW w:w="756" w:type="dxa"/>
          </w:tcPr>
          <w:p w14:paraId="2EB8CD99">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3" w:type="dxa"/>
          </w:tcPr>
          <w:p w14:paraId="6AD90359">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652E6075">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73482DC6">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60924F2C">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6A797DDB">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750898E9">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787DCD91">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770" w:type="dxa"/>
          </w:tcPr>
          <w:p w14:paraId="7EB72245">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r>
      <w:tr w14:paraId="7A9886BB">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409" w:hRule="atLeast"/>
        </w:trPr>
        <w:tc>
          <w:tcPr>
            <w:tcW w:w="756" w:type="dxa"/>
          </w:tcPr>
          <w:p w14:paraId="7191A9FE">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3" w:type="dxa"/>
          </w:tcPr>
          <w:p w14:paraId="56EBD531">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3914A17D">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50200A68">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12FC55A5">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0FA9EFA3">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2032F846">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Pr>
          <w:p w14:paraId="4C626558">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770" w:type="dxa"/>
          </w:tcPr>
          <w:p w14:paraId="2206C538">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r>
      <w:tr w14:paraId="33FC1DCB">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409" w:hRule="atLeast"/>
        </w:trPr>
        <w:tc>
          <w:tcPr>
            <w:tcW w:w="756" w:type="dxa"/>
            <w:tcBorders>
              <w:bottom w:val="double" w:color="000000" w:sz="6" w:space="0"/>
            </w:tcBorders>
          </w:tcPr>
          <w:p w14:paraId="031AD65A">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3" w:type="dxa"/>
            <w:tcBorders>
              <w:bottom w:val="double" w:color="000000" w:sz="6" w:space="0"/>
            </w:tcBorders>
          </w:tcPr>
          <w:p w14:paraId="107E9356">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Borders>
              <w:bottom w:val="double" w:color="000000" w:sz="6" w:space="0"/>
            </w:tcBorders>
          </w:tcPr>
          <w:p w14:paraId="1E5CF57B">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Borders>
              <w:bottom w:val="double" w:color="000000" w:sz="6" w:space="0"/>
            </w:tcBorders>
          </w:tcPr>
          <w:p w14:paraId="79B08CA2">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Borders>
              <w:bottom w:val="double" w:color="000000" w:sz="6" w:space="0"/>
            </w:tcBorders>
          </w:tcPr>
          <w:p w14:paraId="10E8EB16">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Borders>
              <w:bottom w:val="double" w:color="000000" w:sz="6" w:space="0"/>
            </w:tcBorders>
          </w:tcPr>
          <w:p w14:paraId="2CDD5C6C">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Borders>
              <w:bottom w:val="double" w:color="000000" w:sz="6" w:space="0"/>
            </w:tcBorders>
          </w:tcPr>
          <w:p w14:paraId="7FD4C6F4">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1154" w:type="dxa"/>
            <w:tcBorders>
              <w:bottom w:val="double" w:color="000000" w:sz="6" w:space="0"/>
            </w:tcBorders>
          </w:tcPr>
          <w:p w14:paraId="05A7BEAC">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c>
          <w:tcPr>
            <w:tcW w:w="770" w:type="dxa"/>
            <w:tcBorders>
              <w:bottom w:val="double" w:color="000000" w:sz="6" w:space="0"/>
            </w:tcBorders>
          </w:tcPr>
          <w:p w14:paraId="62BDDA24">
            <w:pPr>
              <w:tabs>
                <w:tab w:val="left" w:pos="1069"/>
                <w:tab w:val="left" w:pos="2352"/>
                <w:tab w:val="left" w:pos="4140"/>
              </w:tabs>
              <w:adjustRightInd w:val="0"/>
              <w:snapToGrid w:val="0"/>
              <w:spacing w:line="320" w:lineRule="atLeast"/>
              <w:rPr>
                <w:rFonts w:ascii="宋体" w:hAnsi="宋体" w:cs="宋体"/>
                <w:color w:val="auto"/>
                <w:spacing w:val="20"/>
                <w:sz w:val="22"/>
                <w:highlight w:val="none"/>
              </w:rPr>
            </w:pPr>
          </w:p>
        </w:tc>
      </w:tr>
    </w:tbl>
    <w:p w14:paraId="7FD38C9C">
      <w:pPr>
        <w:pStyle w:val="12"/>
        <w:tabs>
          <w:tab w:val="left" w:pos="1069"/>
          <w:tab w:val="left" w:pos="2352"/>
        </w:tabs>
        <w:spacing w:line="360" w:lineRule="exact"/>
        <w:rPr>
          <w:rFonts w:hAnsi="宋体" w:cs="宋体"/>
          <w:b/>
          <w:bCs/>
          <w:color w:val="auto"/>
          <w:sz w:val="32"/>
          <w:highlight w:val="none"/>
        </w:rPr>
      </w:pPr>
      <w:r>
        <w:rPr>
          <w:rFonts w:hint="eastAsia" w:hAnsi="宋体" w:cs="宋体"/>
          <w:color w:val="auto"/>
          <w:sz w:val="22"/>
          <w:highlight w:val="none"/>
        </w:rPr>
        <w:t>本表后附相关证明材料，证明材料以第七部分评审细则中的要求为准。</w:t>
      </w:r>
    </w:p>
    <w:p w14:paraId="371FF077">
      <w:pPr>
        <w:tabs>
          <w:tab w:val="left" w:pos="1069"/>
          <w:tab w:val="left" w:pos="2352"/>
        </w:tabs>
        <w:rPr>
          <w:rFonts w:ascii="宋体" w:hAnsi="宋体" w:cs="宋体"/>
          <w:color w:val="auto"/>
          <w:spacing w:val="20"/>
          <w:sz w:val="22"/>
          <w:highlight w:val="none"/>
        </w:rPr>
      </w:pPr>
    </w:p>
    <w:p w14:paraId="2041378A">
      <w:pPr>
        <w:tabs>
          <w:tab w:val="left" w:pos="1069"/>
          <w:tab w:val="left" w:pos="2352"/>
        </w:tabs>
        <w:rPr>
          <w:rFonts w:ascii="宋体" w:hAnsi="宋体" w:cs="宋体"/>
          <w:color w:val="auto"/>
          <w:sz w:val="36"/>
          <w:szCs w:val="36"/>
          <w:highlight w:val="none"/>
        </w:rPr>
      </w:pPr>
      <w:r>
        <w:rPr>
          <w:rFonts w:hint="eastAsia" w:ascii="宋体" w:hAnsi="宋体" w:cs="宋体"/>
          <w:color w:val="auto"/>
          <w:spacing w:val="20"/>
          <w:sz w:val="22"/>
          <w:highlight w:val="none"/>
        </w:rPr>
        <w:t>供应商盖章：</w:t>
      </w:r>
    </w:p>
    <w:p w14:paraId="01F93DAC">
      <w:pPr>
        <w:tabs>
          <w:tab w:val="left" w:pos="1069"/>
          <w:tab w:val="left" w:pos="2352"/>
        </w:tabs>
        <w:spacing w:line="400" w:lineRule="exact"/>
        <w:jc w:val="left"/>
        <w:rPr>
          <w:rFonts w:ascii="宋体" w:hAnsi="宋体" w:cs="宋体"/>
          <w:b/>
          <w:bCs/>
          <w:color w:val="auto"/>
          <w:sz w:val="30"/>
          <w:highlight w:val="none"/>
        </w:rPr>
      </w:pPr>
    </w:p>
    <w:p w14:paraId="6440C2FD">
      <w:pPr>
        <w:tabs>
          <w:tab w:val="left" w:pos="1069"/>
          <w:tab w:val="left" w:pos="2352"/>
        </w:tabs>
        <w:spacing w:line="400" w:lineRule="exact"/>
        <w:jc w:val="left"/>
        <w:rPr>
          <w:rFonts w:ascii="宋体" w:hAnsi="宋体" w:cs="宋体"/>
          <w:b/>
          <w:bCs/>
          <w:color w:val="auto"/>
          <w:sz w:val="30"/>
          <w:highlight w:val="none"/>
        </w:rPr>
      </w:pPr>
    </w:p>
    <w:p w14:paraId="26F9DBC9">
      <w:pPr>
        <w:tabs>
          <w:tab w:val="left" w:pos="1069"/>
          <w:tab w:val="left" w:pos="2352"/>
        </w:tabs>
        <w:spacing w:line="400" w:lineRule="exact"/>
        <w:jc w:val="left"/>
        <w:rPr>
          <w:rFonts w:ascii="宋体" w:hAnsi="宋体" w:cs="宋体"/>
          <w:b/>
          <w:bCs/>
          <w:color w:val="auto"/>
          <w:sz w:val="30"/>
          <w:highlight w:val="none"/>
        </w:rPr>
      </w:pPr>
    </w:p>
    <w:p w14:paraId="1FA03566">
      <w:pPr>
        <w:tabs>
          <w:tab w:val="left" w:pos="1069"/>
          <w:tab w:val="left" w:pos="2352"/>
        </w:tabs>
        <w:spacing w:line="400" w:lineRule="exact"/>
        <w:jc w:val="left"/>
        <w:rPr>
          <w:rFonts w:ascii="宋体" w:hAnsi="宋体" w:cs="宋体"/>
          <w:b/>
          <w:bCs/>
          <w:color w:val="auto"/>
          <w:sz w:val="30"/>
          <w:highlight w:val="none"/>
        </w:rPr>
      </w:pPr>
    </w:p>
    <w:p w14:paraId="643F966E">
      <w:pPr>
        <w:tabs>
          <w:tab w:val="left" w:pos="1069"/>
          <w:tab w:val="left" w:pos="2352"/>
        </w:tabs>
        <w:spacing w:line="400" w:lineRule="exact"/>
        <w:jc w:val="left"/>
        <w:rPr>
          <w:rFonts w:ascii="宋体" w:hAnsi="宋体" w:cs="宋体"/>
          <w:b/>
          <w:bCs/>
          <w:color w:val="auto"/>
          <w:sz w:val="30"/>
          <w:highlight w:val="none"/>
        </w:rPr>
      </w:pPr>
      <w:r>
        <w:rPr>
          <w:rFonts w:hint="eastAsia" w:ascii="宋体" w:hAnsi="宋体" w:cs="宋体"/>
          <w:b/>
          <w:bCs/>
          <w:color w:val="auto"/>
          <w:sz w:val="30"/>
          <w:highlight w:val="none"/>
        </w:rPr>
        <w:t>附件十一</w:t>
      </w:r>
    </w:p>
    <w:p w14:paraId="2CA14834">
      <w:pPr>
        <w:tabs>
          <w:tab w:val="left" w:pos="1069"/>
          <w:tab w:val="left" w:pos="2352"/>
        </w:tabs>
        <w:spacing w:line="420" w:lineRule="exact"/>
        <w:jc w:val="center"/>
        <w:rPr>
          <w:rFonts w:ascii="宋体" w:hAnsi="宋体" w:cs="宋体"/>
          <w:b/>
          <w:bCs/>
          <w:color w:val="auto"/>
          <w:sz w:val="30"/>
          <w:highlight w:val="none"/>
        </w:rPr>
      </w:pPr>
      <w:bookmarkStart w:id="259" w:name="_Toc31819"/>
      <w:r>
        <w:rPr>
          <w:rFonts w:hint="eastAsia" w:ascii="宋体" w:hAnsi="宋体" w:cs="宋体"/>
          <w:b/>
          <w:bCs/>
          <w:color w:val="auto"/>
          <w:sz w:val="30"/>
          <w:highlight w:val="none"/>
        </w:rPr>
        <w:t>政府采购活动现场确认声明书</w:t>
      </w:r>
      <w:bookmarkEnd w:id="259"/>
    </w:p>
    <w:p w14:paraId="18015EEE">
      <w:pPr>
        <w:pStyle w:val="47"/>
        <w:widowControl w:val="0"/>
        <w:tabs>
          <w:tab w:val="left" w:pos="1069"/>
          <w:tab w:val="left" w:pos="2352"/>
        </w:tabs>
        <w:snapToGrid w:val="0"/>
        <w:spacing w:line="420" w:lineRule="exact"/>
        <w:jc w:val="both"/>
        <w:rPr>
          <w:rFonts w:hAnsi="宋体" w:cs="宋体"/>
          <w:color w:val="auto"/>
          <w:kern w:val="0"/>
          <w:sz w:val="24"/>
          <w:szCs w:val="24"/>
          <w:highlight w:val="none"/>
          <w:u w:val="single"/>
        </w:rPr>
      </w:pPr>
    </w:p>
    <w:p w14:paraId="680FBE6F">
      <w:pPr>
        <w:pStyle w:val="47"/>
        <w:widowControl w:val="0"/>
        <w:tabs>
          <w:tab w:val="left" w:pos="1069"/>
          <w:tab w:val="left" w:pos="2352"/>
        </w:tabs>
        <w:snapToGrid w:val="0"/>
        <w:spacing w:line="400" w:lineRule="exact"/>
        <w:jc w:val="both"/>
        <w:rPr>
          <w:rFonts w:hAnsi="宋体" w:cs="宋体"/>
          <w:color w:val="auto"/>
          <w:kern w:val="0"/>
          <w:sz w:val="22"/>
          <w:szCs w:val="22"/>
          <w:highlight w:val="none"/>
        </w:rPr>
      </w:pPr>
      <w:r>
        <w:rPr>
          <w:rFonts w:hint="eastAsia" w:hAnsi="宋体" w:cs="宋体"/>
          <w:color w:val="auto"/>
          <w:kern w:val="0"/>
          <w:sz w:val="22"/>
          <w:szCs w:val="22"/>
          <w:highlight w:val="none"/>
          <w:u w:val="single"/>
        </w:rPr>
        <w:t>杭州华旗招标代理有限公司</w:t>
      </w:r>
      <w:r>
        <w:rPr>
          <w:rFonts w:hint="eastAsia" w:hAnsi="宋体" w:cs="宋体"/>
          <w:color w:val="auto"/>
          <w:kern w:val="0"/>
          <w:sz w:val="22"/>
          <w:szCs w:val="22"/>
          <w:highlight w:val="none"/>
        </w:rPr>
        <w:t>：</w:t>
      </w:r>
    </w:p>
    <w:p w14:paraId="4180337F">
      <w:pPr>
        <w:pStyle w:val="47"/>
        <w:widowControl w:val="0"/>
        <w:tabs>
          <w:tab w:val="left" w:pos="1069"/>
          <w:tab w:val="left" w:pos="2352"/>
        </w:tabs>
        <w:snapToGrid w:val="0"/>
        <w:spacing w:line="400" w:lineRule="exact"/>
        <w:ind w:firstLine="470" w:firstLineChars="200"/>
        <w:jc w:val="both"/>
        <w:rPr>
          <w:rFonts w:hAnsi="宋体" w:cs="宋体"/>
          <w:color w:val="auto"/>
          <w:spacing w:val="6"/>
          <w:sz w:val="22"/>
          <w:szCs w:val="22"/>
          <w:highlight w:val="none"/>
        </w:rPr>
      </w:pPr>
      <w:r>
        <w:rPr>
          <w:rFonts w:hint="eastAsia" w:hAnsi="宋体" w:cs="宋体"/>
          <w:color w:val="auto"/>
          <w:spacing w:val="6"/>
          <w:sz w:val="22"/>
          <w:szCs w:val="22"/>
          <w:highlight w:val="none"/>
        </w:rPr>
        <w:t>本人经由</w:t>
      </w:r>
      <w:r>
        <w:rPr>
          <w:rFonts w:hint="eastAsia" w:hAnsi="宋体" w:cs="宋体"/>
          <w:color w:val="auto"/>
          <w:spacing w:val="6"/>
          <w:sz w:val="22"/>
          <w:szCs w:val="22"/>
          <w:highlight w:val="none"/>
          <w:u w:val="single"/>
        </w:rPr>
        <w:t xml:space="preserve">   （供应商全称）     </w:t>
      </w:r>
      <w:r>
        <w:rPr>
          <w:rFonts w:hint="eastAsia" w:hAnsi="宋体" w:cs="宋体"/>
          <w:color w:val="auto"/>
          <w:spacing w:val="6"/>
          <w:sz w:val="22"/>
          <w:szCs w:val="22"/>
          <w:highlight w:val="none"/>
        </w:rPr>
        <w:t>负责人</w:t>
      </w:r>
      <w:r>
        <w:rPr>
          <w:rFonts w:hint="eastAsia" w:hAnsi="宋体" w:cs="宋体"/>
          <w:color w:val="auto"/>
          <w:spacing w:val="6"/>
          <w:sz w:val="22"/>
          <w:szCs w:val="22"/>
          <w:highlight w:val="none"/>
          <w:u w:val="single"/>
        </w:rPr>
        <w:t xml:space="preserve">   （法定代表人姓名）</w:t>
      </w:r>
      <w:r>
        <w:rPr>
          <w:rFonts w:hint="eastAsia" w:hAnsi="宋体" w:cs="宋体"/>
          <w:color w:val="auto"/>
          <w:spacing w:val="6"/>
          <w:sz w:val="22"/>
          <w:szCs w:val="22"/>
          <w:highlight w:val="none"/>
        </w:rPr>
        <w:t>合法授权参加</w:t>
      </w:r>
      <w:r>
        <w:rPr>
          <w:rFonts w:hint="eastAsia" w:hAnsi="宋体" w:cs="宋体"/>
          <w:color w:val="auto"/>
          <w:spacing w:val="6"/>
          <w:sz w:val="22"/>
          <w:szCs w:val="22"/>
          <w:highlight w:val="none"/>
          <w:u w:val="single"/>
        </w:rPr>
        <w:t xml:space="preserve">           </w:t>
      </w:r>
      <w:r>
        <w:rPr>
          <w:rFonts w:hint="eastAsia" w:hAnsi="宋体" w:cs="宋体"/>
          <w:color w:val="auto"/>
          <w:spacing w:val="6"/>
          <w:sz w:val="22"/>
          <w:szCs w:val="22"/>
          <w:highlight w:val="none"/>
          <w:u w:val="single"/>
          <w:lang w:eastAsia="zh-CN"/>
        </w:rPr>
        <w:t>2024年泰顺县罗阳镇上洪村堆谷洋农田宜机化改造项目</w:t>
      </w:r>
      <w:r>
        <w:rPr>
          <w:rFonts w:hint="eastAsia" w:hAnsi="宋体" w:cs="宋体"/>
          <w:color w:val="auto"/>
          <w:spacing w:val="6"/>
          <w:sz w:val="22"/>
          <w:szCs w:val="22"/>
          <w:highlight w:val="none"/>
        </w:rPr>
        <w:t>（项目编号：</w:t>
      </w:r>
      <w:r>
        <w:rPr>
          <w:rFonts w:hint="eastAsia" w:hAnsi="宋体" w:cs="宋体"/>
          <w:color w:val="auto"/>
          <w:spacing w:val="6"/>
          <w:sz w:val="22"/>
          <w:szCs w:val="22"/>
          <w:highlight w:val="none"/>
          <w:u w:val="single"/>
        </w:rPr>
        <w:t xml:space="preserve"> </w:t>
      </w:r>
      <w:r>
        <w:rPr>
          <w:rFonts w:hint="eastAsia" w:hAnsi="宋体" w:cs="宋体"/>
          <w:color w:val="auto"/>
          <w:spacing w:val="6"/>
          <w:sz w:val="22"/>
          <w:szCs w:val="22"/>
          <w:highlight w:val="none"/>
          <w:u w:val="single"/>
          <w:lang w:eastAsia="zh-CN"/>
        </w:rPr>
        <w:t>TSCG202502006</w:t>
      </w:r>
      <w:r>
        <w:rPr>
          <w:rFonts w:hint="eastAsia" w:hAnsi="宋体" w:cs="宋体"/>
          <w:color w:val="auto"/>
          <w:spacing w:val="6"/>
          <w:sz w:val="22"/>
          <w:szCs w:val="22"/>
          <w:highlight w:val="none"/>
          <w:u w:val="single"/>
        </w:rPr>
        <w:t xml:space="preserve"> </w:t>
      </w:r>
      <w:r>
        <w:rPr>
          <w:rFonts w:hint="eastAsia" w:hAnsi="宋体" w:cs="宋体"/>
          <w:color w:val="auto"/>
          <w:spacing w:val="6"/>
          <w:sz w:val="22"/>
          <w:szCs w:val="22"/>
          <w:highlight w:val="none"/>
        </w:rPr>
        <w:t xml:space="preserve">）政府采购活动，经与本单位法人代表（负责人）联系确认，现就有关公平竞争事项郑重声明如下： </w:t>
      </w:r>
    </w:p>
    <w:p w14:paraId="17115401">
      <w:pPr>
        <w:pStyle w:val="48"/>
        <w:widowControl/>
        <w:tabs>
          <w:tab w:val="left" w:pos="1069"/>
          <w:tab w:val="left" w:pos="2352"/>
        </w:tabs>
        <w:adjustRightInd w:val="0"/>
        <w:snapToGrid w:val="0"/>
        <w:spacing w:line="400" w:lineRule="exact"/>
        <w:ind w:firstLine="446" w:firstLineChars="200"/>
        <w:textAlignment w:val="baseline"/>
        <w:rPr>
          <w:rFonts w:hint="default" w:ascii="宋体" w:hAnsi="宋体" w:cs="宋体"/>
          <w:color w:val="auto"/>
          <w:kern w:val="0"/>
          <w:sz w:val="22"/>
          <w:szCs w:val="22"/>
          <w:highlight w:val="none"/>
        </w:rPr>
      </w:pPr>
      <w:r>
        <w:rPr>
          <w:rFonts w:ascii="宋体" w:hAnsi="宋体" w:cs="宋体"/>
          <w:color w:val="auto"/>
          <w:kern w:val="0"/>
          <w:sz w:val="22"/>
          <w:szCs w:val="22"/>
          <w:highlight w:val="none"/>
        </w:rPr>
        <w:t>一、本单位与采购人之间 □不存在利害关系 □存在下列利害关系</w:t>
      </w:r>
      <w:r>
        <w:rPr>
          <w:rFonts w:ascii="宋体" w:hAnsi="宋体" w:cs="宋体"/>
          <w:color w:val="auto"/>
          <w:kern w:val="0"/>
          <w:sz w:val="22"/>
          <w:szCs w:val="22"/>
          <w:highlight w:val="none"/>
          <w:u w:val="single"/>
        </w:rPr>
        <w:t xml:space="preserve">           </w:t>
      </w:r>
      <w:r>
        <w:rPr>
          <w:rFonts w:ascii="宋体" w:hAnsi="宋体" w:cs="宋体"/>
          <w:color w:val="auto"/>
          <w:kern w:val="0"/>
          <w:sz w:val="22"/>
          <w:szCs w:val="22"/>
          <w:highlight w:val="none"/>
        </w:rPr>
        <w:t>：</w:t>
      </w:r>
    </w:p>
    <w:p w14:paraId="53E6831A">
      <w:pPr>
        <w:pStyle w:val="48"/>
        <w:widowControl/>
        <w:tabs>
          <w:tab w:val="left" w:pos="1069"/>
          <w:tab w:val="left" w:pos="2352"/>
        </w:tabs>
        <w:adjustRightInd w:val="0"/>
        <w:snapToGrid w:val="0"/>
        <w:spacing w:line="400" w:lineRule="exact"/>
        <w:ind w:firstLine="446" w:firstLineChars="200"/>
        <w:textAlignment w:val="baseline"/>
        <w:rPr>
          <w:rFonts w:hint="default" w:ascii="宋体" w:hAnsi="宋体" w:cs="宋体"/>
          <w:color w:val="auto"/>
          <w:kern w:val="0"/>
          <w:sz w:val="22"/>
          <w:szCs w:val="22"/>
          <w:highlight w:val="none"/>
        </w:rPr>
      </w:pPr>
      <w:r>
        <w:rPr>
          <w:rFonts w:ascii="宋体" w:hAnsi="宋体" w:cs="宋体"/>
          <w:color w:val="auto"/>
          <w:kern w:val="0"/>
          <w:sz w:val="22"/>
          <w:szCs w:val="22"/>
          <w:highlight w:val="none"/>
        </w:rPr>
        <w:t xml:space="preserve">  A.投资关系    B.行政隶属关系    C.业务指导关系</w:t>
      </w:r>
    </w:p>
    <w:p w14:paraId="0D719CA1">
      <w:pPr>
        <w:pStyle w:val="48"/>
        <w:widowControl/>
        <w:tabs>
          <w:tab w:val="left" w:pos="1069"/>
          <w:tab w:val="left" w:pos="2352"/>
        </w:tabs>
        <w:adjustRightInd w:val="0"/>
        <w:snapToGrid w:val="0"/>
        <w:spacing w:line="400" w:lineRule="exact"/>
        <w:ind w:firstLine="446" w:firstLineChars="200"/>
        <w:textAlignment w:val="baseline"/>
        <w:rPr>
          <w:rFonts w:hint="default" w:ascii="宋体" w:hAnsi="宋体" w:cs="宋体"/>
          <w:color w:val="auto"/>
          <w:kern w:val="0"/>
          <w:sz w:val="22"/>
          <w:szCs w:val="22"/>
          <w:highlight w:val="none"/>
        </w:rPr>
      </w:pPr>
      <w:r>
        <w:rPr>
          <w:rFonts w:ascii="宋体" w:hAnsi="宋体" w:cs="宋体"/>
          <w:color w:val="auto"/>
          <w:kern w:val="0"/>
          <w:sz w:val="22"/>
          <w:szCs w:val="22"/>
          <w:highlight w:val="none"/>
        </w:rPr>
        <w:t xml:space="preserve">  D.其他可能</w:t>
      </w:r>
      <w:r>
        <w:rPr>
          <w:rFonts w:ascii="宋体" w:hAnsi="宋体" w:cs="宋体"/>
          <w:color w:val="auto"/>
          <w:sz w:val="22"/>
          <w:szCs w:val="22"/>
          <w:highlight w:val="none"/>
        </w:rPr>
        <w:t>影响采购公正的</w:t>
      </w:r>
      <w:r>
        <w:rPr>
          <w:rFonts w:ascii="宋体" w:hAnsi="宋体" w:cs="宋体"/>
          <w:color w:val="auto"/>
          <w:kern w:val="0"/>
          <w:sz w:val="22"/>
          <w:szCs w:val="22"/>
          <w:highlight w:val="none"/>
        </w:rPr>
        <w:t>利害关系</w:t>
      </w:r>
      <w:r>
        <w:rPr>
          <w:rFonts w:ascii="宋体" w:hAnsi="宋体" w:cs="宋体"/>
          <w:color w:val="auto"/>
          <w:kern w:val="0"/>
          <w:sz w:val="22"/>
          <w:szCs w:val="22"/>
          <w:highlight w:val="none"/>
          <w:u w:val="single"/>
        </w:rPr>
        <w:t xml:space="preserve">（如有，请如实说明）                 </w:t>
      </w:r>
      <w:r>
        <w:rPr>
          <w:rFonts w:ascii="宋体" w:hAnsi="宋体" w:cs="宋体"/>
          <w:color w:val="auto"/>
          <w:kern w:val="0"/>
          <w:sz w:val="22"/>
          <w:szCs w:val="22"/>
          <w:highlight w:val="none"/>
        </w:rPr>
        <w:t>。</w:t>
      </w:r>
    </w:p>
    <w:p w14:paraId="08D1A1B0">
      <w:pPr>
        <w:pStyle w:val="48"/>
        <w:widowControl/>
        <w:tabs>
          <w:tab w:val="left" w:pos="1069"/>
          <w:tab w:val="left" w:pos="2352"/>
        </w:tabs>
        <w:adjustRightInd w:val="0"/>
        <w:snapToGrid w:val="0"/>
        <w:spacing w:line="400" w:lineRule="exact"/>
        <w:ind w:firstLine="470" w:firstLineChars="200"/>
        <w:textAlignment w:val="baseline"/>
        <w:rPr>
          <w:rFonts w:hint="default" w:ascii="宋体" w:hAnsi="宋体" w:cs="宋体"/>
          <w:color w:val="auto"/>
          <w:kern w:val="0"/>
          <w:sz w:val="22"/>
          <w:szCs w:val="22"/>
          <w:highlight w:val="none"/>
        </w:rPr>
      </w:pPr>
      <w:r>
        <w:rPr>
          <w:rFonts w:ascii="宋体" w:hAnsi="宋体" w:cs="宋体"/>
          <w:color w:val="auto"/>
          <w:spacing w:val="6"/>
          <w:sz w:val="22"/>
          <w:szCs w:val="22"/>
          <w:highlight w:val="none"/>
        </w:rPr>
        <w:t>二、</w:t>
      </w:r>
      <w:r>
        <w:rPr>
          <w:rFonts w:ascii="宋体" w:hAnsi="宋体" w:cs="宋体"/>
          <w:color w:val="auto"/>
          <w:kern w:val="0"/>
          <w:sz w:val="22"/>
          <w:szCs w:val="22"/>
          <w:highlight w:val="none"/>
        </w:rPr>
        <w:t>现已清楚知道参加本项目采购活动的其他所有供应商名称，本单位 □与其他所有供应商之间均不存在利害关系 □与</w:t>
      </w:r>
      <w:r>
        <w:rPr>
          <w:rFonts w:ascii="宋体" w:hAnsi="宋体" w:cs="宋体"/>
          <w:color w:val="auto"/>
          <w:kern w:val="0"/>
          <w:sz w:val="22"/>
          <w:szCs w:val="22"/>
          <w:highlight w:val="none"/>
          <w:u w:val="single"/>
        </w:rPr>
        <w:t xml:space="preserve">           （供应商名称）</w:t>
      </w:r>
      <w:r>
        <w:rPr>
          <w:rFonts w:ascii="宋体" w:hAnsi="宋体" w:cs="宋体"/>
          <w:color w:val="auto"/>
          <w:kern w:val="0"/>
          <w:sz w:val="22"/>
          <w:szCs w:val="22"/>
          <w:highlight w:val="none"/>
        </w:rPr>
        <w:t>之间存在下列利害关系</w:t>
      </w:r>
      <w:r>
        <w:rPr>
          <w:rFonts w:ascii="宋体" w:hAnsi="宋体" w:cs="宋体"/>
          <w:color w:val="auto"/>
          <w:kern w:val="0"/>
          <w:sz w:val="22"/>
          <w:szCs w:val="22"/>
          <w:highlight w:val="none"/>
          <w:u w:val="single"/>
        </w:rPr>
        <w:t xml:space="preserve">          </w:t>
      </w:r>
      <w:r>
        <w:rPr>
          <w:rFonts w:ascii="宋体" w:hAnsi="宋体" w:cs="宋体"/>
          <w:color w:val="auto"/>
          <w:kern w:val="0"/>
          <w:sz w:val="22"/>
          <w:szCs w:val="22"/>
          <w:highlight w:val="none"/>
        </w:rPr>
        <w:t>：</w:t>
      </w:r>
    </w:p>
    <w:p w14:paraId="00C349D5">
      <w:pPr>
        <w:pStyle w:val="47"/>
        <w:widowControl w:val="0"/>
        <w:tabs>
          <w:tab w:val="left" w:pos="1069"/>
          <w:tab w:val="left" w:pos="2352"/>
        </w:tabs>
        <w:adjustRightInd w:val="0"/>
        <w:snapToGrid w:val="0"/>
        <w:spacing w:line="400" w:lineRule="exact"/>
        <w:ind w:firstLine="446" w:firstLineChars="200"/>
        <w:jc w:val="both"/>
        <w:textAlignment w:val="baseline"/>
        <w:rPr>
          <w:rFonts w:hAnsi="宋体" w:cs="宋体"/>
          <w:color w:val="auto"/>
          <w:kern w:val="0"/>
          <w:sz w:val="22"/>
          <w:szCs w:val="22"/>
          <w:highlight w:val="none"/>
        </w:rPr>
      </w:pPr>
      <w:r>
        <w:rPr>
          <w:rFonts w:hint="eastAsia" w:hAnsi="宋体" w:cs="宋体"/>
          <w:color w:val="auto"/>
          <w:kern w:val="0"/>
          <w:sz w:val="22"/>
          <w:szCs w:val="22"/>
          <w:highlight w:val="none"/>
        </w:rPr>
        <w:t xml:space="preserve">  A.法定代表人或负责人或实际控制人是同一人</w:t>
      </w:r>
    </w:p>
    <w:p w14:paraId="45EAA21B">
      <w:pPr>
        <w:pStyle w:val="47"/>
        <w:widowControl w:val="0"/>
        <w:tabs>
          <w:tab w:val="left" w:pos="1069"/>
          <w:tab w:val="left" w:pos="2352"/>
        </w:tabs>
        <w:adjustRightInd w:val="0"/>
        <w:snapToGrid w:val="0"/>
        <w:spacing w:line="400" w:lineRule="exact"/>
        <w:ind w:firstLine="446" w:firstLineChars="200"/>
        <w:jc w:val="both"/>
        <w:textAlignment w:val="baseline"/>
        <w:rPr>
          <w:rFonts w:hAnsi="宋体" w:cs="宋体"/>
          <w:color w:val="auto"/>
          <w:spacing w:val="6"/>
          <w:sz w:val="22"/>
          <w:szCs w:val="22"/>
          <w:highlight w:val="none"/>
        </w:rPr>
      </w:pPr>
      <w:r>
        <w:rPr>
          <w:rFonts w:hint="eastAsia" w:hAnsi="宋体" w:cs="宋体"/>
          <w:color w:val="auto"/>
          <w:kern w:val="0"/>
          <w:sz w:val="22"/>
          <w:szCs w:val="22"/>
          <w:highlight w:val="none"/>
        </w:rPr>
        <w:t xml:space="preserve">  B.法定代表人或负责人或实际控制人是夫妻关系</w:t>
      </w:r>
    </w:p>
    <w:p w14:paraId="61D42E18">
      <w:pPr>
        <w:pStyle w:val="47"/>
        <w:widowControl w:val="0"/>
        <w:tabs>
          <w:tab w:val="left" w:pos="1069"/>
          <w:tab w:val="left" w:pos="2352"/>
        </w:tabs>
        <w:adjustRightInd w:val="0"/>
        <w:snapToGrid w:val="0"/>
        <w:spacing w:line="400" w:lineRule="exact"/>
        <w:ind w:firstLine="446" w:firstLineChars="200"/>
        <w:jc w:val="both"/>
        <w:textAlignment w:val="baseline"/>
        <w:rPr>
          <w:rFonts w:hAnsi="宋体" w:cs="宋体"/>
          <w:color w:val="auto"/>
          <w:spacing w:val="6"/>
          <w:sz w:val="22"/>
          <w:szCs w:val="22"/>
          <w:highlight w:val="none"/>
        </w:rPr>
      </w:pPr>
      <w:r>
        <w:rPr>
          <w:rFonts w:hint="eastAsia" w:hAnsi="宋体" w:cs="宋体"/>
          <w:color w:val="auto"/>
          <w:kern w:val="0"/>
          <w:sz w:val="22"/>
          <w:szCs w:val="22"/>
          <w:highlight w:val="none"/>
        </w:rPr>
        <w:t xml:space="preserve">  C.法定代表人或负责人或实际控制人是直系血亲关系</w:t>
      </w:r>
    </w:p>
    <w:p w14:paraId="65D524A9">
      <w:pPr>
        <w:pStyle w:val="47"/>
        <w:widowControl w:val="0"/>
        <w:tabs>
          <w:tab w:val="left" w:pos="1069"/>
          <w:tab w:val="left" w:pos="2352"/>
        </w:tabs>
        <w:adjustRightInd w:val="0"/>
        <w:snapToGrid w:val="0"/>
        <w:spacing w:line="400" w:lineRule="exact"/>
        <w:ind w:firstLine="446" w:firstLineChars="200"/>
        <w:jc w:val="both"/>
        <w:textAlignment w:val="baseline"/>
        <w:rPr>
          <w:rFonts w:hAnsi="宋体" w:cs="宋体"/>
          <w:color w:val="auto"/>
          <w:spacing w:val="6"/>
          <w:sz w:val="22"/>
          <w:szCs w:val="22"/>
          <w:highlight w:val="none"/>
        </w:rPr>
      </w:pPr>
      <w:r>
        <w:rPr>
          <w:rFonts w:hint="eastAsia" w:hAnsi="宋体" w:cs="宋体"/>
          <w:color w:val="auto"/>
          <w:kern w:val="0"/>
          <w:sz w:val="22"/>
          <w:szCs w:val="22"/>
          <w:highlight w:val="none"/>
        </w:rPr>
        <w:t xml:space="preserve">  D.法定代表人或负责人或实际控制人存在三代以内旁系血亲关系</w:t>
      </w:r>
    </w:p>
    <w:p w14:paraId="0D9FF36D">
      <w:pPr>
        <w:pStyle w:val="47"/>
        <w:widowControl w:val="0"/>
        <w:tabs>
          <w:tab w:val="left" w:pos="1069"/>
          <w:tab w:val="left" w:pos="2352"/>
        </w:tabs>
        <w:adjustRightInd w:val="0"/>
        <w:snapToGrid w:val="0"/>
        <w:spacing w:line="400" w:lineRule="exact"/>
        <w:ind w:firstLine="446" w:firstLineChars="200"/>
        <w:jc w:val="both"/>
        <w:textAlignment w:val="baseline"/>
        <w:rPr>
          <w:rFonts w:hAnsi="宋体" w:cs="宋体"/>
          <w:color w:val="auto"/>
          <w:kern w:val="0"/>
          <w:sz w:val="22"/>
          <w:szCs w:val="22"/>
          <w:highlight w:val="none"/>
        </w:rPr>
      </w:pPr>
      <w:r>
        <w:rPr>
          <w:rFonts w:hint="eastAsia" w:hAnsi="宋体" w:cs="宋体"/>
          <w:color w:val="auto"/>
          <w:kern w:val="0"/>
          <w:sz w:val="22"/>
          <w:szCs w:val="22"/>
          <w:highlight w:val="none"/>
        </w:rPr>
        <w:t xml:space="preserve">  E.法定代表人或负责人或实际控制人存在近姻亲关系</w:t>
      </w:r>
    </w:p>
    <w:p w14:paraId="5D0D4C3D">
      <w:pPr>
        <w:pStyle w:val="47"/>
        <w:widowControl w:val="0"/>
        <w:tabs>
          <w:tab w:val="left" w:pos="1069"/>
          <w:tab w:val="left" w:pos="2352"/>
        </w:tabs>
        <w:adjustRightInd w:val="0"/>
        <w:snapToGrid w:val="0"/>
        <w:spacing w:line="400" w:lineRule="exact"/>
        <w:ind w:firstLine="446" w:firstLineChars="200"/>
        <w:jc w:val="both"/>
        <w:textAlignment w:val="baseline"/>
        <w:rPr>
          <w:rFonts w:hAnsi="宋体" w:cs="宋体"/>
          <w:color w:val="auto"/>
          <w:kern w:val="0"/>
          <w:sz w:val="22"/>
          <w:szCs w:val="22"/>
          <w:highlight w:val="none"/>
        </w:rPr>
      </w:pPr>
      <w:r>
        <w:rPr>
          <w:rFonts w:hint="eastAsia" w:hAnsi="宋体" w:cs="宋体"/>
          <w:color w:val="auto"/>
          <w:kern w:val="0"/>
          <w:sz w:val="22"/>
          <w:szCs w:val="22"/>
          <w:highlight w:val="none"/>
        </w:rPr>
        <w:t xml:space="preserve">  F.法定代表人或负责人或实际控制人存在股份控制或实际控制关系</w:t>
      </w:r>
    </w:p>
    <w:p w14:paraId="52D762FC">
      <w:pPr>
        <w:pStyle w:val="47"/>
        <w:widowControl w:val="0"/>
        <w:tabs>
          <w:tab w:val="left" w:pos="1069"/>
          <w:tab w:val="left" w:pos="2352"/>
        </w:tabs>
        <w:adjustRightInd w:val="0"/>
        <w:snapToGrid w:val="0"/>
        <w:spacing w:line="400" w:lineRule="exact"/>
        <w:ind w:firstLine="446" w:firstLineChars="200"/>
        <w:jc w:val="both"/>
        <w:textAlignment w:val="baseline"/>
        <w:rPr>
          <w:rFonts w:hAnsi="宋体" w:cs="宋体"/>
          <w:color w:val="auto"/>
          <w:kern w:val="0"/>
          <w:sz w:val="22"/>
          <w:szCs w:val="22"/>
          <w:highlight w:val="none"/>
        </w:rPr>
      </w:pPr>
      <w:r>
        <w:rPr>
          <w:rFonts w:hint="eastAsia" w:hAnsi="宋体" w:cs="宋体"/>
          <w:color w:val="auto"/>
          <w:kern w:val="0"/>
          <w:sz w:val="22"/>
          <w:szCs w:val="22"/>
          <w:highlight w:val="none"/>
        </w:rPr>
        <w:t xml:space="preserve">  G.存在共同直接或间接投资设立子公司、联营企业和合营企业情况</w:t>
      </w:r>
    </w:p>
    <w:p w14:paraId="56512257">
      <w:pPr>
        <w:pStyle w:val="47"/>
        <w:widowControl w:val="0"/>
        <w:tabs>
          <w:tab w:val="left" w:pos="1069"/>
          <w:tab w:val="left" w:pos="2352"/>
        </w:tabs>
        <w:adjustRightInd w:val="0"/>
        <w:snapToGrid w:val="0"/>
        <w:spacing w:line="400" w:lineRule="exact"/>
        <w:ind w:firstLine="446" w:firstLineChars="200"/>
        <w:jc w:val="both"/>
        <w:textAlignment w:val="baseline"/>
        <w:rPr>
          <w:rFonts w:hAnsi="宋体" w:cs="宋体"/>
          <w:color w:val="auto"/>
          <w:sz w:val="22"/>
          <w:szCs w:val="22"/>
          <w:highlight w:val="none"/>
        </w:rPr>
      </w:pPr>
      <w:r>
        <w:rPr>
          <w:rFonts w:hint="eastAsia" w:hAnsi="宋体" w:cs="宋体"/>
          <w:color w:val="auto"/>
          <w:kern w:val="0"/>
          <w:sz w:val="22"/>
          <w:szCs w:val="22"/>
          <w:highlight w:val="none"/>
        </w:rPr>
        <w:t xml:space="preserve">  H.存在分级代理或代销关系、同一生产制造商关系、</w:t>
      </w:r>
      <w:r>
        <w:rPr>
          <w:rFonts w:hint="eastAsia" w:hAnsi="宋体" w:cs="宋体"/>
          <w:color w:val="auto"/>
          <w:sz w:val="22"/>
          <w:szCs w:val="22"/>
          <w:highlight w:val="none"/>
        </w:rPr>
        <w:t>管理关系、重要业务（占主营业务收入50%以上）或重要财务往来关系（如融资）等其他实质性控制关系</w:t>
      </w:r>
    </w:p>
    <w:p w14:paraId="05101391">
      <w:pPr>
        <w:pStyle w:val="47"/>
        <w:widowControl w:val="0"/>
        <w:tabs>
          <w:tab w:val="left" w:pos="1069"/>
          <w:tab w:val="left" w:pos="2352"/>
        </w:tabs>
        <w:adjustRightInd w:val="0"/>
        <w:snapToGrid w:val="0"/>
        <w:spacing w:line="400" w:lineRule="exact"/>
        <w:ind w:firstLine="446" w:firstLineChars="200"/>
        <w:jc w:val="both"/>
        <w:textAlignment w:val="baseline"/>
        <w:rPr>
          <w:rFonts w:hAnsi="宋体" w:cs="宋体"/>
          <w:color w:val="auto"/>
          <w:spacing w:val="6"/>
          <w:sz w:val="22"/>
          <w:szCs w:val="22"/>
          <w:highlight w:val="none"/>
        </w:rPr>
      </w:pPr>
      <w:r>
        <w:rPr>
          <w:rFonts w:hint="eastAsia" w:hAnsi="宋体" w:cs="宋体"/>
          <w:color w:val="auto"/>
          <w:sz w:val="22"/>
          <w:szCs w:val="22"/>
          <w:highlight w:val="none"/>
        </w:rPr>
        <w:t xml:space="preserve">  I</w:t>
      </w:r>
      <w:r>
        <w:rPr>
          <w:rFonts w:hint="eastAsia" w:hAnsi="宋体" w:cs="宋体"/>
          <w:color w:val="auto"/>
          <w:kern w:val="0"/>
          <w:sz w:val="22"/>
          <w:szCs w:val="22"/>
          <w:highlight w:val="none"/>
        </w:rPr>
        <w:t>.</w:t>
      </w:r>
      <w:r>
        <w:rPr>
          <w:rFonts w:hint="eastAsia" w:hAnsi="宋体" w:cs="宋体"/>
          <w:color w:val="auto"/>
          <w:sz w:val="22"/>
          <w:szCs w:val="22"/>
          <w:highlight w:val="none"/>
        </w:rPr>
        <w:t>其他利害关系情况</w:t>
      </w:r>
      <w:r>
        <w:rPr>
          <w:rFonts w:hint="eastAsia" w:hAnsi="宋体" w:cs="宋体"/>
          <w:color w:val="auto"/>
          <w:sz w:val="22"/>
          <w:szCs w:val="22"/>
          <w:highlight w:val="none"/>
          <w:u w:val="single"/>
        </w:rPr>
        <w:t xml:space="preserve">                              </w:t>
      </w:r>
      <w:r>
        <w:rPr>
          <w:rFonts w:hint="eastAsia" w:hAnsi="宋体" w:cs="宋体"/>
          <w:color w:val="auto"/>
          <w:kern w:val="0"/>
          <w:sz w:val="22"/>
          <w:szCs w:val="22"/>
          <w:highlight w:val="none"/>
        </w:rPr>
        <w:t>。</w:t>
      </w:r>
    </w:p>
    <w:p w14:paraId="4BCC75F8">
      <w:pPr>
        <w:pStyle w:val="48"/>
        <w:widowControl/>
        <w:tabs>
          <w:tab w:val="left" w:pos="1069"/>
          <w:tab w:val="left" w:pos="2352"/>
        </w:tabs>
        <w:adjustRightInd w:val="0"/>
        <w:snapToGrid w:val="0"/>
        <w:spacing w:line="400" w:lineRule="exact"/>
        <w:ind w:firstLine="446" w:firstLineChars="200"/>
        <w:textAlignment w:val="baseline"/>
        <w:rPr>
          <w:rFonts w:hint="default" w:ascii="宋体" w:hAnsi="宋体" w:cs="宋体"/>
          <w:color w:val="auto"/>
          <w:kern w:val="0"/>
          <w:sz w:val="22"/>
          <w:szCs w:val="22"/>
          <w:highlight w:val="none"/>
        </w:rPr>
      </w:pPr>
      <w:r>
        <w:rPr>
          <w:rFonts w:ascii="宋体" w:hAnsi="宋体" w:cs="宋体"/>
          <w:color w:val="auto"/>
          <w:sz w:val="22"/>
          <w:szCs w:val="22"/>
          <w:highlight w:val="none"/>
        </w:rPr>
        <w:t>三、现已清楚知道并</w:t>
      </w:r>
      <w:r>
        <w:rPr>
          <w:rFonts w:ascii="宋体" w:hAnsi="宋体" w:cs="宋体"/>
          <w:color w:val="auto"/>
          <w:kern w:val="0"/>
          <w:sz w:val="22"/>
          <w:szCs w:val="22"/>
          <w:highlight w:val="none"/>
        </w:rPr>
        <w:t>严格遵守政府采购法律法规和现场纪律。</w:t>
      </w:r>
    </w:p>
    <w:p w14:paraId="3BE90C3D">
      <w:pPr>
        <w:pStyle w:val="48"/>
        <w:widowControl/>
        <w:tabs>
          <w:tab w:val="left" w:pos="1069"/>
          <w:tab w:val="left" w:pos="2352"/>
        </w:tabs>
        <w:adjustRightInd w:val="0"/>
        <w:snapToGrid w:val="0"/>
        <w:spacing w:line="400" w:lineRule="exact"/>
        <w:ind w:firstLine="446" w:firstLineChars="200"/>
        <w:textAlignment w:val="baseline"/>
        <w:rPr>
          <w:rFonts w:hint="default" w:ascii="宋体" w:hAnsi="宋体" w:cs="宋体"/>
          <w:color w:val="auto"/>
          <w:kern w:val="0"/>
          <w:sz w:val="22"/>
          <w:szCs w:val="22"/>
          <w:highlight w:val="none"/>
        </w:rPr>
      </w:pPr>
      <w:r>
        <w:rPr>
          <w:rFonts w:ascii="宋体" w:hAnsi="宋体" w:cs="宋体"/>
          <w:color w:val="auto"/>
          <w:kern w:val="0"/>
          <w:sz w:val="22"/>
          <w:szCs w:val="22"/>
          <w:highlight w:val="none"/>
        </w:rPr>
        <w:t>四、我发现</w:t>
      </w:r>
      <w:r>
        <w:rPr>
          <w:rFonts w:ascii="宋体" w:hAnsi="宋体" w:cs="宋体"/>
          <w:color w:val="auto"/>
          <w:kern w:val="0"/>
          <w:sz w:val="22"/>
          <w:szCs w:val="22"/>
          <w:highlight w:val="none"/>
          <w:u w:val="single"/>
        </w:rPr>
        <w:t xml:space="preserve">            </w:t>
      </w:r>
      <w:r>
        <w:rPr>
          <w:rFonts w:ascii="宋体" w:hAnsi="宋体" w:cs="宋体"/>
          <w:color w:val="auto"/>
          <w:kern w:val="0"/>
          <w:sz w:val="22"/>
          <w:szCs w:val="22"/>
          <w:highlight w:val="none"/>
        </w:rPr>
        <w:t>供应商之间存在或可能存在上述第二条第</w:t>
      </w:r>
      <w:r>
        <w:rPr>
          <w:rFonts w:ascii="宋体" w:hAnsi="宋体" w:cs="宋体"/>
          <w:color w:val="auto"/>
          <w:kern w:val="0"/>
          <w:sz w:val="22"/>
          <w:szCs w:val="22"/>
          <w:highlight w:val="none"/>
          <w:u w:val="single"/>
        </w:rPr>
        <w:t xml:space="preserve">      </w:t>
      </w:r>
      <w:r>
        <w:rPr>
          <w:rFonts w:ascii="宋体" w:hAnsi="宋体" w:cs="宋体"/>
          <w:color w:val="auto"/>
          <w:kern w:val="0"/>
          <w:sz w:val="22"/>
          <w:szCs w:val="22"/>
          <w:highlight w:val="none"/>
        </w:rPr>
        <w:t>项利害关系。</w:t>
      </w:r>
    </w:p>
    <w:p w14:paraId="133D66C3">
      <w:pPr>
        <w:pStyle w:val="47"/>
        <w:widowControl w:val="0"/>
        <w:tabs>
          <w:tab w:val="left" w:pos="1069"/>
          <w:tab w:val="left" w:pos="2352"/>
        </w:tabs>
        <w:snapToGrid w:val="0"/>
        <w:spacing w:line="400" w:lineRule="exact"/>
        <w:ind w:firstLine="446" w:firstLineChars="200"/>
        <w:jc w:val="both"/>
        <w:rPr>
          <w:rFonts w:hAnsi="宋体" w:cs="宋体"/>
          <w:color w:val="auto"/>
          <w:sz w:val="22"/>
          <w:szCs w:val="22"/>
          <w:highlight w:val="none"/>
        </w:rPr>
      </w:pPr>
    </w:p>
    <w:p w14:paraId="77995C04">
      <w:pPr>
        <w:pStyle w:val="47"/>
        <w:widowControl w:val="0"/>
        <w:tabs>
          <w:tab w:val="left" w:pos="1069"/>
          <w:tab w:val="left" w:pos="2352"/>
        </w:tabs>
        <w:snapToGrid w:val="0"/>
        <w:spacing w:line="400" w:lineRule="exact"/>
        <w:ind w:firstLine="446" w:firstLineChars="200"/>
        <w:jc w:val="both"/>
        <w:rPr>
          <w:rFonts w:hAnsi="宋体" w:cs="宋体"/>
          <w:color w:val="auto"/>
          <w:sz w:val="22"/>
          <w:szCs w:val="22"/>
          <w:highlight w:val="none"/>
        </w:rPr>
      </w:pPr>
      <w:r>
        <w:rPr>
          <w:rFonts w:hint="eastAsia" w:hAnsi="宋体" w:cs="宋体"/>
          <w:color w:val="auto"/>
          <w:sz w:val="22"/>
          <w:szCs w:val="22"/>
          <w:highlight w:val="none"/>
        </w:rPr>
        <w:t xml:space="preserve">                                     供应商代表签名：</w:t>
      </w:r>
    </w:p>
    <w:p w14:paraId="2611D1A4">
      <w:pPr>
        <w:tabs>
          <w:tab w:val="left" w:pos="1069"/>
          <w:tab w:val="left" w:pos="2352"/>
        </w:tabs>
        <w:spacing w:before="317" w:beforeLines="100" w:after="317" w:afterLines="100" w:line="400" w:lineRule="exact"/>
        <w:ind w:left="4928" w:leftChars="2314" w:firstLine="892" w:firstLineChars="400"/>
        <w:rPr>
          <w:rFonts w:ascii="宋体" w:hAnsi="宋体" w:cs="宋体"/>
          <w:color w:val="auto"/>
          <w:sz w:val="22"/>
          <w:highlight w:val="none"/>
        </w:rPr>
      </w:pPr>
      <w:r>
        <w:rPr>
          <w:rFonts w:hint="eastAsia" w:ascii="宋体" w:hAnsi="宋体" w:cs="宋体"/>
          <w:color w:val="auto"/>
          <w:sz w:val="22"/>
          <w:highlight w:val="none"/>
        </w:rPr>
        <w:t>年  月  日</w:t>
      </w:r>
    </w:p>
    <w:p w14:paraId="2F30FC0F">
      <w:pPr>
        <w:pStyle w:val="7"/>
        <w:tabs>
          <w:tab w:val="left" w:pos="1069"/>
          <w:tab w:val="left" w:pos="2352"/>
        </w:tabs>
        <w:spacing w:line="400" w:lineRule="exact"/>
        <w:ind w:left="490" w:hanging="490"/>
        <w:rPr>
          <w:rFonts w:ascii="宋体" w:hAnsi="宋体" w:cs="宋体"/>
          <w:b/>
          <w:bCs/>
          <w:color w:val="auto"/>
          <w:szCs w:val="21"/>
          <w:highlight w:val="none"/>
        </w:rPr>
      </w:pPr>
    </w:p>
    <w:p w14:paraId="1A8D45CA">
      <w:pPr>
        <w:pStyle w:val="12"/>
        <w:tabs>
          <w:tab w:val="left" w:pos="1069"/>
          <w:tab w:val="left" w:pos="2352"/>
        </w:tabs>
        <w:spacing w:line="360" w:lineRule="exact"/>
        <w:jc w:val="left"/>
        <w:rPr>
          <w:rFonts w:hAnsi="宋体" w:cs="宋体"/>
          <w:b/>
          <w:color w:val="auto"/>
          <w:sz w:val="32"/>
          <w:szCs w:val="32"/>
          <w:highlight w:val="none"/>
          <w:lang w:val="zh-CN"/>
        </w:rPr>
      </w:pPr>
      <w:r>
        <w:rPr>
          <w:rFonts w:hint="eastAsia" w:hAnsi="宋体" w:cs="宋体"/>
          <w:color w:val="auto"/>
          <w:sz w:val="22"/>
          <w:szCs w:val="22"/>
          <w:highlight w:val="none"/>
        </w:rPr>
        <w:br w:type="page"/>
      </w:r>
      <w:bookmarkStart w:id="260" w:name="_Toc24860_WPSOffice_Level1"/>
      <w:r>
        <w:rPr>
          <w:rFonts w:hint="eastAsia" w:hAnsi="宋体" w:cs="宋体"/>
          <w:color w:val="auto"/>
          <w:sz w:val="22"/>
          <w:szCs w:val="22"/>
          <w:highlight w:val="none"/>
        </w:rPr>
        <w:t xml:space="preserve">                           </w:t>
      </w:r>
      <w:r>
        <w:rPr>
          <w:rFonts w:hint="eastAsia" w:hAnsi="宋体" w:cs="宋体"/>
          <w:b/>
          <w:color w:val="auto"/>
          <w:sz w:val="32"/>
          <w:szCs w:val="32"/>
          <w:highlight w:val="none"/>
          <w:lang w:val="zh-CN"/>
        </w:rPr>
        <w:t>第</w:t>
      </w:r>
      <w:r>
        <w:rPr>
          <w:rFonts w:hint="eastAsia" w:hAnsi="宋体" w:cs="宋体"/>
          <w:b/>
          <w:color w:val="auto"/>
          <w:sz w:val="32"/>
          <w:szCs w:val="32"/>
          <w:highlight w:val="none"/>
        </w:rPr>
        <w:t>七</w:t>
      </w:r>
      <w:r>
        <w:rPr>
          <w:rFonts w:hint="eastAsia" w:hAnsi="宋体" w:cs="宋体"/>
          <w:b/>
          <w:color w:val="auto"/>
          <w:sz w:val="32"/>
          <w:szCs w:val="32"/>
          <w:highlight w:val="none"/>
          <w:lang w:val="zh-CN"/>
        </w:rPr>
        <w:t>部分</w:t>
      </w:r>
      <w:bookmarkEnd w:id="260"/>
      <w:r>
        <w:rPr>
          <w:rFonts w:hint="eastAsia" w:hAnsi="宋体" w:cs="宋体"/>
          <w:b/>
          <w:color w:val="auto"/>
          <w:sz w:val="32"/>
          <w:szCs w:val="32"/>
          <w:highlight w:val="none"/>
        </w:rPr>
        <w:t>、</w:t>
      </w:r>
      <w:r>
        <w:rPr>
          <w:rFonts w:hint="eastAsia" w:hAnsi="宋体" w:cs="宋体"/>
          <w:b/>
          <w:color w:val="auto"/>
          <w:sz w:val="32"/>
          <w:szCs w:val="32"/>
          <w:highlight w:val="none"/>
          <w:lang w:val="zh-CN"/>
        </w:rPr>
        <w:t>评标办法</w:t>
      </w:r>
    </w:p>
    <w:p w14:paraId="279A301B">
      <w:pPr>
        <w:tabs>
          <w:tab w:val="left" w:pos="1069"/>
          <w:tab w:val="left" w:pos="2352"/>
        </w:tabs>
        <w:snapToGrid w:val="0"/>
        <w:spacing w:line="380" w:lineRule="exact"/>
        <w:ind w:firstLine="540"/>
        <w:rPr>
          <w:rFonts w:ascii="宋体" w:hAnsi="宋体" w:cs="宋体"/>
          <w:color w:val="auto"/>
          <w:sz w:val="22"/>
          <w:highlight w:val="none"/>
        </w:rPr>
      </w:pPr>
      <w:r>
        <w:rPr>
          <w:rFonts w:hint="eastAsia" w:ascii="宋体" w:hAnsi="宋体" w:cs="宋体"/>
          <w:color w:val="auto"/>
          <w:sz w:val="22"/>
          <w:highlight w:val="none"/>
        </w:rPr>
        <w:t>根据《中华人民共和国政府采购法》等有关政府采购法规，结合本次所要采购项目的实际，按照公平、公正、科学、择优的原则选择中标（成交）单位，特制定本评审办法。</w:t>
      </w:r>
    </w:p>
    <w:p w14:paraId="18143FB3">
      <w:pPr>
        <w:tabs>
          <w:tab w:val="left" w:pos="1069"/>
          <w:tab w:val="left" w:pos="2352"/>
        </w:tabs>
        <w:snapToGrid w:val="0"/>
        <w:spacing w:line="380" w:lineRule="exact"/>
        <w:ind w:firstLine="3846" w:firstLineChars="1725"/>
        <w:rPr>
          <w:rFonts w:ascii="宋体" w:hAnsi="宋体" w:cs="宋体"/>
          <w:b/>
          <w:color w:val="auto"/>
          <w:sz w:val="22"/>
          <w:highlight w:val="none"/>
        </w:rPr>
      </w:pPr>
      <w:bookmarkStart w:id="261" w:name="_Toc32552_WPSOffice_Level2"/>
      <w:r>
        <w:rPr>
          <w:rFonts w:hint="eastAsia" w:ascii="宋体" w:hAnsi="宋体" w:cs="宋体"/>
          <w:b/>
          <w:color w:val="auto"/>
          <w:sz w:val="22"/>
          <w:highlight w:val="none"/>
        </w:rPr>
        <w:t>一、总则</w:t>
      </w:r>
      <w:bookmarkEnd w:id="261"/>
    </w:p>
    <w:p w14:paraId="75676496">
      <w:pPr>
        <w:tabs>
          <w:tab w:val="left" w:pos="1069"/>
          <w:tab w:val="left" w:pos="2352"/>
        </w:tabs>
        <w:snapToGrid w:val="0"/>
        <w:spacing w:line="380" w:lineRule="exact"/>
        <w:ind w:firstLine="540"/>
        <w:rPr>
          <w:rFonts w:ascii="宋体" w:hAnsi="宋体" w:cs="宋体"/>
          <w:color w:val="auto"/>
          <w:sz w:val="22"/>
          <w:highlight w:val="none"/>
        </w:rPr>
      </w:pPr>
      <w:r>
        <w:rPr>
          <w:rFonts w:hint="eastAsia" w:ascii="宋体" w:hAnsi="宋体" w:cs="宋体"/>
          <w:color w:val="auto"/>
          <w:sz w:val="22"/>
          <w:highlight w:val="none"/>
        </w:rPr>
        <w:t>评审工作遵循公平、公正、民主、科学的原则和诚实、信誉、效率的服务原则。本着科学、严谨的态度，认真进行评审。择优选定提供服务单位，最大限度的保护当事人权益，严格按照竞争性磋商文件的商务、技术要求，对投标（响应）文件进行综合评定，提出优选方案，编写评审报告。评审小组必须严格遵守保密规定，不得泄漏评审的有关情况，不得索贿受贿，不得接受吃请和礼品，不得参加影响公正评审的有关活动。对未中标（成交）单位，评审小组不作任何解释。供应商不得以任何方式干扰采购工作的进行，一经发现其投标（响应）文件将被拒绝。</w:t>
      </w:r>
    </w:p>
    <w:p w14:paraId="6ED9CF84">
      <w:pPr>
        <w:tabs>
          <w:tab w:val="left" w:pos="1069"/>
          <w:tab w:val="left" w:pos="2352"/>
        </w:tabs>
        <w:snapToGrid w:val="0"/>
        <w:spacing w:line="380" w:lineRule="exact"/>
        <w:ind w:firstLine="3846" w:firstLineChars="1725"/>
        <w:rPr>
          <w:rFonts w:ascii="宋体" w:hAnsi="宋体" w:cs="宋体"/>
          <w:color w:val="auto"/>
          <w:sz w:val="22"/>
          <w:highlight w:val="none"/>
        </w:rPr>
      </w:pPr>
      <w:bookmarkStart w:id="262" w:name="_Toc15399_WPSOffice_Level2"/>
      <w:r>
        <w:rPr>
          <w:rFonts w:hint="eastAsia" w:ascii="宋体" w:hAnsi="宋体" w:cs="宋体"/>
          <w:b/>
          <w:color w:val="auto"/>
          <w:sz w:val="22"/>
          <w:highlight w:val="none"/>
        </w:rPr>
        <w:t>二、评审组织</w:t>
      </w:r>
      <w:bookmarkEnd w:id="262"/>
    </w:p>
    <w:p w14:paraId="7B289710">
      <w:pPr>
        <w:tabs>
          <w:tab w:val="left" w:pos="1069"/>
          <w:tab w:val="left" w:pos="2352"/>
        </w:tabs>
        <w:snapToGrid w:val="0"/>
        <w:spacing w:line="380" w:lineRule="exact"/>
        <w:ind w:firstLine="540"/>
        <w:rPr>
          <w:rFonts w:ascii="宋体" w:hAnsi="宋体" w:cs="宋体"/>
          <w:color w:val="auto"/>
          <w:sz w:val="22"/>
          <w:highlight w:val="none"/>
        </w:rPr>
      </w:pPr>
      <w:r>
        <w:rPr>
          <w:rFonts w:hint="eastAsia" w:ascii="宋体" w:hAnsi="宋体" w:cs="宋体"/>
          <w:color w:val="auto"/>
          <w:sz w:val="22"/>
          <w:highlight w:val="none"/>
        </w:rPr>
        <w:t>评审工作由采购人依法组建的评审小组负责，评审小组由采购人代表以及评审专家库中随机抽取的有关技术、经济专家共同组成。评审全过程由采购管理部门全程监督。</w:t>
      </w:r>
    </w:p>
    <w:p w14:paraId="36C5CAC6">
      <w:pPr>
        <w:tabs>
          <w:tab w:val="left" w:pos="1069"/>
          <w:tab w:val="left" w:pos="2352"/>
        </w:tabs>
        <w:snapToGrid w:val="0"/>
        <w:spacing w:line="380" w:lineRule="exact"/>
        <w:ind w:firstLine="1774" w:firstLineChars="796"/>
        <w:rPr>
          <w:rFonts w:ascii="宋体" w:hAnsi="宋体" w:cs="宋体"/>
          <w:color w:val="auto"/>
          <w:sz w:val="22"/>
          <w:highlight w:val="none"/>
        </w:rPr>
      </w:pPr>
      <w:bookmarkStart w:id="263" w:name="_Toc7010_WPSOffice_Level2"/>
      <w:r>
        <w:rPr>
          <w:rFonts w:hint="eastAsia" w:ascii="宋体" w:hAnsi="宋体" w:cs="宋体"/>
          <w:b/>
          <w:color w:val="auto"/>
          <w:sz w:val="22"/>
          <w:highlight w:val="none"/>
        </w:rPr>
        <w:t>三、投标（响应）文件递交截止、磋商程序、磋商原则和方式</w:t>
      </w:r>
      <w:bookmarkEnd w:id="263"/>
    </w:p>
    <w:p w14:paraId="3082D8F0">
      <w:pPr>
        <w:pStyle w:val="12"/>
        <w:tabs>
          <w:tab w:val="left" w:pos="1069"/>
          <w:tab w:val="left" w:pos="2352"/>
        </w:tabs>
        <w:adjustRightInd w:val="0"/>
        <w:snapToGrid w:val="0"/>
        <w:spacing w:line="380" w:lineRule="exact"/>
        <w:ind w:firstLine="446" w:firstLineChars="200"/>
        <w:rPr>
          <w:rFonts w:hAnsi="宋体" w:cs="宋体"/>
          <w:b/>
          <w:color w:val="auto"/>
          <w:sz w:val="22"/>
          <w:highlight w:val="none"/>
        </w:rPr>
      </w:pPr>
      <w:r>
        <w:rPr>
          <w:rFonts w:hint="eastAsia" w:hAnsi="宋体" w:cs="宋体"/>
          <w:color w:val="auto"/>
          <w:sz w:val="22"/>
          <w:highlight w:val="none"/>
        </w:rPr>
        <w:t>1、投标（响应）文件递交截止</w:t>
      </w:r>
    </w:p>
    <w:p w14:paraId="7F606BEB">
      <w:pPr>
        <w:pStyle w:val="12"/>
        <w:tabs>
          <w:tab w:val="left" w:pos="1069"/>
          <w:tab w:val="left" w:pos="2352"/>
        </w:tabs>
        <w:adjustRightInd w:val="0"/>
        <w:snapToGrid w:val="0"/>
        <w:spacing w:line="380" w:lineRule="exact"/>
        <w:ind w:firstLine="446" w:firstLineChars="200"/>
        <w:rPr>
          <w:rFonts w:hAnsi="宋体" w:cs="宋体"/>
          <w:b/>
          <w:color w:val="auto"/>
          <w:sz w:val="22"/>
          <w:highlight w:val="none"/>
        </w:rPr>
      </w:pPr>
      <w:r>
        <w:rPr>
          <w:rFonts w:hint="eastAsia" w:hAnsi="宋体" w:cs="宋体"/>
          <w:color w:val="auto"/>
          <w:sz w:val="22"/>
          <w:highlight w:val="none"/>
        </w:rPr>
        <w:t>投标供应商须按竞争性磋商文件规定的时间在线递交投标（响应）文件。</w:t>
      </w:r>
    </w:p>
    <w:p w14:paraId="45264967">
      <w:pPr>
        <w:pStyle w:val="12"/>
        <w:tabs>
          <w:tab w:val="left" w:pos="1069"/>
          <w:tab w:val="left" w:pos="2352"/>
        </w:tabs>
        <w:adjustRightInd w:val="0"/>
        <w:snapToGrid w:val="0"/>
        <w:spacing w:line="380" w:lineRule="exact"/>
        <w:ind w:firstLine="450"/>
        <w:rPr>
          <w:rFonts w:hAnsi="宋体" w:cs="宋体"/>
          <w:b/>
          <w:color w:val="auto"/>
          <w:sz w:val="22"/>
          <w:highlight w:val="none"/>
        </w:rPr>
      </w:pPr>
      <w:r>
        <w:rPr>
          <w:rFonts w:hint="eastAsia" w:hAnsi="宋体" w:cs="宋体"/>
          <w:color w:val="auto"/>
          <w:sz w:val="22"/>
          <w:highlight w:val="none"/>
        </w:rPr>
        <w:t>2、本次采购是根据竞争性磋商采购方式进行，各供应商首次报价不公开。</w:t>
      </w:r>
    </w:p>
    <w:p w14:paraId="161DC0DB">
      <w:pPr>
        <w:pStyle w:val="12"/>
        <w:tabs>
          <w:tab w:val="left" w:pos="1069"/>
          <w:tab w:val="left" w:pos="2352"/>
        </w:tabs>
        <w:adjustRightInd w:val="0"/>
        <w:snapToGrid w:val="0"/>
        <w:spacing w:line="380" w:lineRule="exact"/>
        <w:ind w:firstLine="450"/>
        <w:rPr>
          <w:rFonts w:hAnsi="宋体" w:cs="宋体"/>
          <w:b/>
          <w:color w:val="auto"/>
          <w:sz w:val="22"/>
          <w:highlight w:val="none"/>
        </w:rPr>
      </w:pPr>
      <w:r>
        <w:rPr>
          <w:rFonts w:hint="eastAsia" w:hAnsi="宋体" w:cs="宋体"/>
          <w:color w:val="auto"/>
          <w:sz w:val="22"/>
          <w:highlight w:val="none"/>
        </w:rPr>
        <w:t>2.1 如评审小组认为竞争性磋商文件能够详细列明采购标的的技术、服务要求的，评审结束后，评审小组可以直接对供应商进行打分评价。</w:t>
      </w:r>
    </w:p>
    <w:p w14:paraId="3D89EF22">
      <w:pPr>
        <w:pStyle w:val="12"/>
        <w:tabs>
          <w:tab w:val="left" w:pos="1069"/>
          <w:tab w:val="left" w:pos="2352"/>
        </w:tabs>
        <w:adjustRightInd w:val="0"/>
        <w:snapToGrid w:val="0"/>
        <w:spacing w:line="380" w:lineRule="exact"/>
        <w:ind w:firstLine="450"/>
        <w:rPr>
          <w:rFonts w:hAnsi="宋体" w:cs="宋体"/>
          <w:b/>
          <w:color w:val="auto"/>
          <w:sz w:val="22"/>
          <w:highlight w:val="none"/>
        </w:rPr>
      </w:pPr>
      <w:r>
        <w:rPr>
          <w:rFonts w:hint="eastAsia" w:hAnsi="宋体" w:cs="宋体"/>
          <w:color w:val="auto"/>
          <w:sz w:val="22"/>
          <w:highlight w:val="none"/>
        </w:rPr>
        <w:t>2.2如评审小组认为需要修改竞争性磋商文件的，在磋商过程中，评审小组可以根据竞争性磋商文件和磋商情况实质性变动采购需求中的技术、服务要求以及合同草案条款，但不得变动竞争性磋商文件中的其他内容。实质性变动的内容，须经采购人代表确认。</w:t>
      </w:r>
    </w:p>
    <w:p w14:paraId="472842EE">
      <w:pPr>
        <w:pStyle w:val="12"/>
        <w:tabs>
          <w:tab w:val="left" w:pos="1069"/>
          <w:tab w:val="left" w:pos="2352"/>
        </w:tabs>
        <w:adjustRightInd w:val="0"/>
        <w:snapToGrid w:val="0"/>
        <w:spacing w:line="380" w:lineRule="exact"/>
        <w:ind w:firstLine="450"/>
        <w:rPr>
          <w:rFonts w:hAnsi="宋体" w:cs="宋体"/>
          <w:b/>
          <w:color w:val="auto"/>
          <w:sz w:val="22"/>
          <w:highlight w:val="none"/>
        </w:rPr>
      </w:pPr>
      <w:r>
        <w:rPr>
          <w:rFonts w:hint="eastAsia" w:hAnsi="宋体" w:cs="宋体"/>
          <w:color w:val="auto"/>
          <w:sz w:val="22"/>
          <w:highlight w:val="none"/>
        </w:rPr>
        <w:t>对竞争性磋商文件作出的实质性变动是竞争性磋商文件的有效组成部分，评审小组应当及时以书面形式同时通知所有参加磋商的供应商。</w:t>
      </w:r>
    </w:p>
    <w:p w14:paraId="36542438">
      <w:pPr>
        <w:pStyle w:val="12"/>
        <w:tabs>
          <w:tab w:val="left" w:pos="1069"/>
          <w:tab w:val="left" w:pos="2352"/>
        </w:tabs>
        <w:adjustRightInd w:val="0"/>
        <w:snapToGrid w:val="0"/>
        <w:spacing w:line="380" w:lineRule="exact"/>
        <w:ind w:firstLine="450"/>
        <w:rPr>
          <w:rFonts w:hAnsi="宋体" w:cs="宋体"/>
          <w:b/>
          <w:color w:val="auto"/>
          <w:sz w:val="22"/>
          <w:highlight w:val="none"/>
        </w:rPr>
      </w:pPr>
      <w:r>
        <w:rPr>
          <w:rFonts w:hint="eastAsia" w:hAnsi="宋体" w:cs="宋体"/>
          <w:color w:val="auto"/>
          <w:sz w:val="22"/>
          <w:highlight w:val="none"/>
        </w:rPr>
        <w:t>供应商应当按照竞争性磋商文件的变动情况和评审小组的要求重新提交投标（响应）文件，并由其法定代表人或授权代表签字或者加盖公章。由授权代表签字的，应当附法定代表人授权书。供应商为自然人的，应当由本人签字并附身份证明。</w:t>
      </w:r>
    </w:p>
    <w:p w14:paraId="6AFACFB8">
      <w:pPr>
        <w:tabs>
          <w:tab w:val="left" w:pos="1069"/>
          <w:tab w:val="left" w:pos="2352"/>
        </w:tabs>
        <w:adjustRightInd w:val="0"/>
        <w:spacing w:line="380" w:lineRule="exact"/>
        <w:ind w:firstLine="420"/>
        <w:rPr>
          <w:rFonts w:ascii="宋体" w:hAnsi="宋体" w:cs="宋体"/>
          <w:color w:val="auto"/>
          <w:sz w:val="22"/>
          <w:highlight w:val="none"/>
        </w:rPr>
      </w:pPr>
      <w:r>
        <w:rPr>
          <w:rFonts w:hint="eastAsia" w:ascii="宋体" w:hAnsi="宋体" w:cs="宋体"/>
          <w:color w:val="auto"/>
          <w:sz w:val="22"/>
          <w:highlight w:val="none"/>
        </w:rPr>
        <w:t>已提交投标（响应）文件的供应商，在提交最终报价之前，可以根据磋商情况退出磋商。</w:t>
      </w:r>
    </w:p>
    <w:p w14:paraId="3E385625">
      <w:pPr>
        <w:pStyle w:val="12"/>
        <w:tabs>
          <w:tab w:val="left" w:pos="1069"/>
          <w:tab w:val="left" w:pos="2352"/>
        </w:tabs>
        <w:adjustRightInd w:val="0"/>
        <w:snapToGrid w:val="0"/>
        <w:spacing w:line="380" w:lineRule="exact"/>
        <w:ind w:firstLine="450"/>
        <w:rPr>
          <w:rFonts w:hAnsi="宋体" w:cs="宋体"/>
          <w:color w:val="auto"/>
          <w:sz w:val="22"/>
          <w:highlight w:val="none"/>
        </w:rPr>
      </w:pPr>
      <w:r>
        <w:rPr>
          <w:rFonts w:hint="eastAsia" w:hAnsi="宋体" w:cs="宋体"/>
          <w:color w:val="auto"/>
          <w:sz w:val="22"/>
          <w:highlight w:val="none"/>
        </w:rPr>
        <w:t>2.3 磋商的顺序，按供应商签到的逆顺序进行。开展磋商，评审小组所有成员集中与单一供应商（供应商的法定代表人或法定代表人授权代表须在线参加）分别进行磋商，并要求供应商提交最终报价。在竞争性磋商文件未做任何调整的情况下，参与磋商的供应商如有出现最终报价超过投标（响应）文件中报价的，则该供应商的报价按无效处理。</w:t>
      </w:r>
    </w:p>
    <w:p w14:paraId="7CE9E477">
      <w:pPr>
        <w:pStyle w:val="12"/>
        <w:tabs>
          <w:tab w:val="left" w:pos="1069"/>
          <w:tab w:val="left" w:pos="2352"/>
        </w:tabs>
        <w:adjustRightInd w:val="0"/>
        <w:snapToGrid w:val="0"/>
        <w:spacing w:line="380" w:lineRule="exact"/>
        <w:ind w:firstLine="450"/>
        <w:rPr>
          <w:rFonts w:hAnsi="宋体" w:cs="宋体"/>
          <w:b/>
          <w:color w:val="auto"/>
          <w:sz w:val="22"/>
          <w:highlight w:val="none"/>
        </w:rPr>
      </w:pPr>
      <w:r>
        <w:rPr>
          <w:rFonts w:hint="eastAsia" w:hAnsi="宋体" w:cs="宋体"/>
          <w:color w:val="auto"/>
          <w:sz w:val="22"/>
          <w:highlight w:val="none"/>
        </w:rPr>
        <w:t>3、评审原则和方法</w:t>
      </w:r>
    </w:p>
    <w:p w14:paraId="73EC8E7C">
      <w:pPr>
        <w:pStyle w:val="12"/>
        <w:tabs>
          <w:tab w:val="left" w:pos="1069"/>
          <w:tab w:val="left" w:pos="2352"/>
        </w:tabs>
        <w:adjustRightInd w:val="0"/>
        <w:snapToGrid w:val="0"/>
        <w:spacing w:line="380" w:lineRule="exact"/>
        <w:ind w:firstLine="450"/>
        <w:rPr>
          <w:rFonts w:hAnsi="宋体" w:cs="宋体"/>
          <w:b/>
          <w:color w:val="auto"/>
          <w:sz w:val="22"/>
          <w:highlight w:val="none"/>
        </w:rPr>
      </w:pPr>
      <w:r>
        <w:rPr>
          <w:rFonts w:hint="eastAsia" w:hAnsi="宋体" w:cs="宋体"/>
          <w:color w:val="auto"/>
          <w:sz w:val="22"/>
          <w:highlight w:val="none"/>
        </w:rPr>
        <w:t>3.1 评审小组负责审查投标（响应）文件是否符合竞争性磋商文件的要求，并作出评价。评审小组认为必要时，可向供应商进行质疑。评审小组有权决定全部或部分供应商投标（响应）文件无效。</w:t>
      </w:r>
    </w:p>
    <w:p w14:paraId="41647F0C">
      <w:pPr>
        <w:pStyle w:val="12"/>
        <w:tabs>
          <w:tab w:val="left" w:pos="1069"/>
          <w:tab w:val="left" w:pos="2352"/>
        </w:tabs>
        <w:adjustRightInd w:val="0"/>
        <w:snapToGrid w:val="0"/>
        <w:spacing w:line="380" w:lineRule="exact"/>
        <w:ind w:firstLine="450"/>
        <w:rPr>
          <w:rFonts w:hAnsi="宋体" w:cs="宋体"/>
          <w:b/>
          <w:color w:val="auto"/>
          <w:sz w:val="22"/>
          <w:highlight w:val="none"/>
        </w:rPr>
      </w:pPr>
      <w:r>
        <w:rPr>
          <w:rFonts w:hint="eastAsia" w:hAnsi="宋体" w:cs="宋体"/>
          <w:color w:val="auto"/>
          <w:sz w:val="22"/>
          <w:highlight w:val="none"/>
        </w:rPr>
        <w:t>3.2 评审小组将综合分析合格供应商的各项指标，而不是以单项指标的优劣评选出成交的供应商。</w:t>
      </w:r>
    </w:p>
    <w:p w14:paraId="3A57A3AB">
      <w:pPr>
        <w:pStyle w:val="12"/>
        <w:tabs>
          <w:tab w:val="left" w:pos="1069"/>
          <w:tab w:val="left" w:pos="2352"/>
        </w:tabs>
        <w:adjustRightInd w:val="0"/>
        <w:snapToGrid w:val="0"/>
        <w:spacing w:line="380" w:lineRule="exact"/>
        <w:ind w:firstLine="450"/>
        <w:rPr>
          <w:rFonts w:hAnsi="宋体" w:cs="宋体"/>
          <w:b/>
          <w:color w:val="auto"/>
          <w:sz w:val="22"/>
          <w:highlight w:val="none"/>
        </w:rPr>
      </w:pPr>
      <w:r>
        <w:rPr>
          <w:rFonts w:hint="eastAsia" w:hAnsi="宋体" w:cs="宋体"/>
          <w:color w:val="auto"/>
          <w:sz w:val="22"/>
          <w:highlight w:val="none"/>
        </w:rPr>
        <w:t>3.3 经磋商确定最终采购需求和提交最终报价的供应商后，由评审小组采用综合评分法对提交最终报价的供应商的投标（响应）文件和最终报价进行综合评分。如竞争性磋商文件所列采购内容明确不需要修改的或供应商投标（响应）文件清楚明确不需要澄清的，可以不进行磋商环节，直接要求供应商进行最终报价，进行综合评分。</w:t>
      </w:r>
    </w:p>
    <w:p w14:paraId="59CAF642">
      <w:pPr>
        <w:pStyle w:val="12"/>
        <w:tabs>
          <w:tab w:val="left" w:pos="1069"/>
          <w:tab w:val="left" w:pos="2352"/>
        </w:tabs>
        <w:adjustRightInd w:val="0"/>
        <w:snapToGrid w:val="0"/>
        <w:spacing w:line="380" w:lineRule="exact"/>
        <w:ind w:firstLine="450"/>
        <w:rPr>
          <w:rFonts w:hAnsi="宋体" w:cs="宋体"/>
          <w:b/>
          <w:color w:val="auto"/>
          <w:sz w:val="22"/>
          <w:highlight w:val="none"/>
        </w:rPr>
      </w:pPr>
      <w:r>
        <w:rPr>
          <w:rFonts w:hint="eastAsia" w:hAnsi="宋体" w:cs="宋体"/>
          <w:color w:val="auto"/>
          <w:sz w:val="22"/>
          <w:highlight w:val="none"/>
        </w:rPr>
        <w:t>本次评审采用综合评分法，评审小组根据竞争性磋商文件制定的评审办法对供应商进行评审排序，将综合得分第一的供应商向采购人推荐其为中标（成交）供应商。</w:t>
      </w:r>
    </w:p>
    <w:p w14:paraId="47C03C85">
      <w:pPr>
        <w:pStyle w:val="12"/>
        <w:tabs>
          <w:tab w:val="left" w:pos="1069"/>
          <w:tab w:val="left" w:pos="2352"/>
        </w:tabs>
        <w:adjustRightInd w:val="0"/>
        <w:snapToGrid w:val="0"/>
        <w:spacing w:line="380" w:lineRule="exact"/>
        <w:ind w:firstLine="450"/>
        <w:rPr>
          <w:rFonts w:hAnsi="宋体" w:cs="宋体"/>
          <w:b/>
          <w:color w:val="auto"/>
          <w:sz w:val="22"/>
          <w:highlight w:val="none"/>
        </w:rPr>
      </w:pPr>
      <w:r>
        <w:rPr>
          <w:rFonts w:hint="eastAsia" w:hAnsi="宋体" w:cs="宋体"/>
          <w:color w:val="auto"/>
          <w:sz w:val="22"/>
          <w:highlight w:val="none"/>
        </w:rPr>
        <w:t>4、投标（响应）文件的澄清</w:t>
      </w:r>
    </w:p>
    <w:p w14:paraId="3A5B9D88">
      <w:pPr>
        <w:pStyle w:val="12"/>
        <w:tabs>
          <w:tab w:val="left" w:pos="1069"/>
          <w:tab w:val="left" w:pos="2352"/>
        </w:tabs>
        <w:adjustRightInd w:val="0"/>
        <w:snapToGrid w:val="0"/>
        <w:spacing w:line="380" w:lineRule="exact"/>
        <w:ind w:firstLine="223" w:firstLineChars="100"/>
        <w:rPr>
          <w:rFonts w:hAnsi="宋体" w:cs="宋体"/>
          <w:b/>
          <w:color w:val="auto"/>
          <w:sz w:val="22"/>
          <w:highlight w:val="none"/>
        </w:rPr>
      </w:pPr>
      <w:r>
        <w:rPr>
          <w:rFonts w:hint="eastAsia" w:hAnsi="宋体" w:cs="宋体"/>
          <w:color w:val="auto"/>
          <w:sz w:val="22"/>
          <w:highlight w:val="none"/>
        </w:rPr>
        <w:t>为有利于对投标（响应）文件的评议，必要时采购人可要求供应商对投标（响应）文件进行澄清，并作出答复。答复须有供应商授权代表签字并作为投标（响应）文件内容的一部分。</w:t>
      </w:r>
    </w:p>
    <w:p w14:paraId="1CBDD638">
      <w:pPr>
        <w:tabs>
          <w:tab w:val="left" w:pos="1069"/>
          <w:tab w:val="left" w:pos="2352"/>
        </w:tabs>
        <w:rPr>
          <w:color w:val="auto"/>
          <w:highlight w:val="none"/>
        </w:rPr>
      </w:pPr>
      <w:bookmarkStart w:id="264" w:name="_Toc28287_WPSOffice_Level2"/>
    </w:p>
    <w:p w14:paraId="1BB29362">
      <w:pPr>
        <w:pStyle w:val="12"/>
        <w:numPr>
          <w:ilvl w:val="0"/>
          <w:numId w:val="8"/>
        </w:numPr>
        <w:tabs>
          <w:tab w:val="left" w:pos="1069"/>
          <w:tab w:val="left" w:pos="2352"/>
        </w:tabs>
        <w:adjustRightInd w:val="0"/>
        <w:snapToGrid w:val="0"/>
        <w:spacing w:line="380" w:lineRule="exact"/>
        <w:ind w:firstLine="446" w:firstLineChars="200"/>
        <w:jc w:val="center"/>
        <w:rPr>
          <w:rFonts w:hAnsi="宋体" w:cs="宋体"/>
          <w:b/>
          <w:bCs/>
          <w:color w:val="auto"/>
          <w:sz w:val="22"/>
          <w:highlight w:val="none"/>
        </w:rPr>
      </w:pPr>
      <w:r>
        <w:rPr>
          <w:rFonts w:hint="eastAsia" w:hAnsi="宋体" w:cs="宋体"/>
          <w:b/>
          <w:bCs/>
          <w:color w:val="auto"/>
          <w:sz w:val="22"/>
          <w:highlight w:val="none"/>
        </w:rPr>
        <w:t>评审细则</w:t>
      </w:r>
      <w:bookmarkEnd w:id="264"/>
      <w:bookmarkStart w:id="265" w:name="_Toc20707_WPSOffice_Level3"/>
    </w:p>
    <w:bookmarkEnd w:id="265"/>
    <w:p w14:paraId="2FC60264">
      <w:pPr>
        <w:adjustRightInd w:val="0"/>
        <w:snapToGrid w:val="0"/>
        <w:spacing w:line="400" w:lineRule="exact"/>
        <w:ind w:firstLine="223" w:firstLineChars="100"/>
        <w:rPr>
          <w:rFonts w:ascii="宋体" w:hAnsi="宋体"/>
          <w:b/>
          <w:bCs/>
          <w:color w:val="auto"/>
          <w:sz w:val="22"/>
          <w:highlight w:val="none"/>
        </w:rPr>
      </w:pPr>
      <w:r>
        <w:rPr>
          <w:rFonts w:hint="eastAsia" w:ascii="宋体" w:hAnsi="宋体"/>
          <w:b/>
          <w:bCs/>
          <w:color w:val="auto"/>
          <w:sz w:val="22"/>
          <w:highlight w:val="none"/>
        </w:rPr>
        <w:t>（一）报价评分（</w:t>
      </w:r>
      <w:r>
        <w:rPr>
          <w:rFonts w:hint="eastAsia" w:ascii="宋体" w:hAnsi="宋体"/>
          <w:b/>
          <w:bCs/>
          <w:color w:val="auto"/>
          <w:sz w:val="22"/>
          <w:highlight w:val="none"/>
          <w:lang w:val="en-US" w:eastAsia="zh-CN"/>
        </w:rPr>
        <w:t>3</w:t>
      </w:r>
      <w:r>
        <w:rPr>
          <w:rFonts w:hint="eastAsia" w:ascii="宋体" w:hAnsi="宋体"/>
          <w:b/>
          <w:bCs/>
          <w:color w:val="auto"/>
          <w:sz w:val="22"/>
          <w:highlight w:val="none"/>
        </w:rPr>
        <w:t>0分）</w:t>
      </w:r>
    </w:p>
    <w:p w14:paraId="71550FB9">
      <w:pPr>
        <w:pStyle w:val="12"/>
        <w:adjustRightInd w:val="0"/>
        <w:snapToGrid w:val="0"/>
        <w:spacing w:line="380" w:lineRule="exact"/>
        <w:ind w:firstLine="450"/>
        <w:rPr>
          <w:rFonts w:hint="eastAsia" w:ascii="宋体" w:hAnsi="宋体" w:eastAsia="宋体" w:cs="Arial"/>
          <w:color w:val="auto"/>
          <w:sz w:val="22"/>
          <w:szCs w:val="22"/>
          <w:highlight w:val="none"/>
          <w:lang w:val="en-US" w:eastAsia="zh-CN"/>
        </w:rPr>
      </w:pPr>
      <w:r>
        <w:rPr>
          <w:rFonts w:hint="eastAsia" w:ascii="宋体" w:hAnsi="宋体" w:eastAsia="宋体" w:cs="Arial"/>
          <w:color w:val="auto"/>
          <w:sz w:val="22"/>
          <w:szCs w:val="22"/>
          <w:highlight w:val="none"/>
          <w:lang w:val="en-US" w:eastAsia="zh-CN"/>
        </w:rPr>
        <w:t>1.每亩年租金收益</w:t>
      </w:r>
    </w:p>
    <w:p w14:paraId="459E6D02">
      <w:pPr>
        <w:pStyle w:val="12"/>
        <w:adjustRightInd w:val="0"/>
        <w:snapToGrid w:val="0"/>
        <w:spacing w:line="380" w:lineRule="exact"/>
        <w:ind w:firstLine="450"/>
        <w:rPr>
          <w:rFonts w:hint="eastAsia" w:ascii="宋体" w:hAnsi="宋体" w:eastAsia="宋体" w:cs="Arial"/>
          <w:color w:val="auto"/>
          <w:sz w:val="22"/>
          <w:szCs w:val="22"/>
          <w:highlight w:val="none"/>
          <w:lang w:val="en-US" w:eastAsia="zh-CN"/>
        </w:rPr>
      </w:pPr>
      <w:r>
        <w:rPr>
          <w:rFonts w:hint="eastAsia" w:ascii="宋体" w:hAnsi="宋体" w:eastAsia="宋体" w:cs="Arial"/>
          <w:color w:val="auto"/>
          <w:sz w:val="22"/>
          <w:szCs w:val="22"/>
          <w:highlight w:val="none"/>
          <w:lang w:val="en-US" w:eastAsia="zh-CN"/>
        </w:rPr>
        <w:t>以满足竞争性磋商文件要求且最终报价</w:t>
      </w:r>
      <w:r>
        <w:rPr>
          <w:rFonts w:hint="eastAsia" w:hAnsi="宋体" w:cs="Arial"/>
          <w:color w:val="auto"/>
          <w:sz w:val="22"/>
          <w:szCs w:val="22"/>
          <w:highlight w:val="none"/>
          <w:lang w:val="en-US" w:eastAsia="zh-CN"/>
        </w:rPr>
        <w:t>最高</w:t>
      </w:r>
      <w:r>
        <w:rPr>
          <w:rFonts w:hint="eastAsia" w:ascii="宋体" w:hAnsi="宋体" w:eastAsia="宋体" w:cs="Arial"/>
          <w:color w:val="auto"/>
          <w:sz w:val="22"/>
          <w:szCs w:val="22"/>
          <w:highlight w:val="none"/>
          <w:lang w:val="en-US" w:eastAsia="zh-CN"/>
        </w:rPr>
        <w:t>的有效供应商的价格为磋商基准价，满分为</w:t>
      </w:r>
      <w:r>
        <w:rPr>
          <w:rFonts w:hint="eastAsia" w:hAnsi="宋体" w:cs="Arial"/>
          <w:color w:val="auto"/>
          <w:sz w:val="22"/>
          <w:szCs w:val="22"/>
          <w:highlight w:val="none"/>
          <w:lang w:val="en-US" w:eastAsia="zh-CN"/>
        </w:rPr>
        <w:t>15</w:t>
      </w:r>
      <w:r>
        <w:rPr>
          <w:rFonts w:hint="eastAsia" w:ascii="宋体" w:hAnsi="宋体" w:eastAsia="宋体" w:cs="Arial"/>
          <w:color w:val="auto"/>
          <w:sz w:val="22"/>
          <w:szCs w:val="22"/>
          <w:highlight w:val="none"/>
          <w:lang w:val="en-US" w:eastAsia="zh-CN"/>
        </w:rPr>
        <w:t>分。</w:t>
      </w:r>
    </w:p>
    <w:p w14:paraId="7B8C0E2D">
      <w:pPr>
        <w:pStyle w:val="12"/>
        <w:adjustRightInd w:val="0"/>
        <w:snapToGrid w:val="0"/>
        <w:spacing w:line="380" w:lineRule="exact"/>
        <w:ind w:firstLine="450"/>
        <w:rPr>
          <w:rFonts w:hint="eastAsia" w:ascii="宋体" w:hAnsi="宋体" w:eastAsia="宋体" w:cs="Arial"/>
          <w:color w:val="auto"/>
          <w:sz w:val="22"/>
          <w:szCs w:val="22"/>
          <w:highlight w:val="none"/>
          <w:lang w:val="en-US" w:eastAsia="zh-CN"/>
        </w:rPr>
      </w:pPr>
      <w:r>
        <w:rPr>
          <w:rFonts w:hint="eastAsia" w:ascii="宋体" w:hAnsi="宋体" w:eastAsia="宋体" w:cs="Arial"/>
          <w:color w:val="auto"/>
          <w:sz w:val="22"/>
          <w:szCs w:val="22"/>
          <w:highlight w:val="none"/>
          <w:lang w:val="en-US" w:eastAsia="zh-CN"/>
        </w:rPr>
        <w:t>每亩年租金收益报价得分=（投标报价/评标基准价）×</w:t>
      </w:r>
      <w:r>
        <w:rPr>
          <w:rFonts w:hint="eastAsia" w:hAnsi="宋体" w:cs="Arial"/>
          <w:color w:val="auto"/>
          <w:sz w:val="22"/>
          <w:szCs w:val="22"/>
          <w:highlight w:val="none"/>
          <w:lang w:val="en-US" w:eastAsia="zh-CN"/>
        </w:rPr>
        <w:t>15</w:t>
      </w:r>
      <w:r>
        <w:rPr>
          <w:rFonts w:hint="eastAsia" w:ascii="宋体" w:hAnsi="宋体" w:eastAsia="宋体" w:cs="Arial"/>
          <w:color w:val="auto"/>
          <w:sz w:val="22"/>
          <w:szCs w:val="22"/>
          <w:highlight w:val="none"/>
          <w:lang w:val="en-US" w:eastAsia="zh-CN"/>
        </w:rPr>
        <w:t>%×100；</w:t>
      </w:r>
    </w:p>
    <w:p w14:paraId="3B0B60B2">
      <w:pPr>
        <w:pStyle w:val="12"/>
        <w:adjustRightInd w:val="0"/>
        <w:snapToGrid w:val="0"/>
        <w:spacing w:line="380" w:lineRule="exact"/>
        <w:ind w:firstLine="450"/>
        <w:rPr>
          <w:rFonts w:hint="eastAsia" w:ascii="宋体" w:hAnsi="宋体" w:eastAsia="宋体" w:cs="Arial"/>
          <w:color w:val="auto"/>
          <w:sz w:val="22"/>
          <w:szCs w:val="22"/>
          <w:highlight w:val="none"/>
          <w:lang w:val="en-US" w:eastAsia="zh-CN"/>
        </w:rPr>
      </w:pPr>
      <w:r>
        <w:rPr>
          <w:rFonts w:hint="eastAsia" w:ascii="宋体" w:hAnsi="宋体" w:eastAsia="宋体" w:cs="Arial"/>
          <w:color w:val="auto"/>
          <w:sz w:val="22"/>
          <w:szCs w:val="22"/>
          <w:highlight w:val="none"/>
          <w:lang w:val="en-US" w:eastAsia="zh-CN"/>
        </w:rPr>
        <w:t>2.</w:t>
      </w:r>
      <w:r>
        <w:rPr>
          <w:rFonts w:hint="eastAsia" w:hAnsi="宋体" w:cs="Arial"/>
          <w:color w:val="auto"/>
          <w:sz w:val="22"/>
          <w:szCs w:val="22"/>
          <w:highlight w:val="none"/>
          <w:lang w:val="en-US" w:eastAsia="zh-CN"/>
        </w:rPr>
        <w:t>改造</w:t>
      </w:r>
      <w:r>
        <w:rPr>
          <w:rFonts w:hint="eastAsia" w:ascii="宋体" w:hAnsi="宋体" w:eastAsia="宋体" w:cs="Arial"/>
          <w:color w:val="auto"/>
          <w:sz w:val="22"/>
          <w:szCs w:val="22"/>
          <w:highlight w:val="none"/>
          <w:lang w:val="en-US" w:eastAsia="zh-CN"/>
        </w:rPr>
        <w:t>部分下浮率</w:t>
      </w:r>
    </w:p>
    <w:p w14:paraId="30166EE9">
      <w:pPr>
        <w:pStyle w:val="12"/>
        <w:adjustRightInd w:val="0"/>
        <w:snapToGrid w:val="0"/>
        <w:spacing w:line="380" w:lineRule="exact"/>
        <w:ind w:firstLine="450"/>
        <w:rPr>
          <w:rFonts w:hint="eastAsia" w:ascii="宋体" w:hAnsi="宋体" w:eastAsia="宋体" w:cs="Arial"/>
          <w:color w:val="auto"/>
          <w:sz w:val="22"/>
          <w:szCs w:val="22"/>
          <w:highlight w:val="none"/>
          <w:lang w:val="en-US" w:eastAsia="zh-CN"/>
        </w:rPr>
      </w:pPr>
      <w:r>
        <w:rPr>
          <w:rFonts w:hint="eastAsia" w:ascii="宋体" w:hAnsi="宋体" w:eastAsia="宋体" w:cs="Arial"/>
          <w:color w:val="auto"/>
          <w:sz w:val="22"/>
          <w:szCs w:val="22"/>
          <w:highlight w:val="none"/>
          <w:lang w:val="en-US" w:eastAsia="zh-CN"/>
        </w:rPr>
        <w:t>以满足竞争性磋商文件要求且最终报价（1-下浮率%）最低的有效供应商的价格为磋商基准价，满分为</w:t>
      </w:r>
      <w:r>
        <w:rPr>
          <w:rFonts w:hint="eastAsia" w:hAnsi="宋体" w:cs="Arial"/>
          <w:color w:val="auto"/>
          <w:sz w:val="22"/>
          <w:szCs w:val="22"/>
          <w:highlight w:val="none"/>
          <w:lang w:val="en-US" w:eastAsia="zh-CN"/>
        </w:rPr>
        <w:t>15</w:t>
      </w:r>
      <w:r>
        <w:rPr>
          <w:rFonts w:hint="eastAsia" w:ascii="宋体" w:hAnsi="宋体" w:eastAsia="宋体" w:cs="Arial"/>
          <w:color w:val="auto"/>
          <w:sz w:val="22"/>
          <w:szCs w:val="22"/>
          <w:highlight w:val="none"/>
          <w:lang w:val="en-US" w:eastAsia="zh-CN"/>
        </w:rPr>
        <w:t>分。</w:t>
      </w:r>
    </w:p>
    <w:p w14:paraId="79BC7221">
      <w:pPr>
        <w:pStyle w:val="12"/>
        <w:adjustRightInd w:val="0"/>
        <w:snapToGrid w:val="0"/>
        <w:spacing w:line="380" w:lineRule="exact"/>
        <w:ind w:firstLine="450"/>
        <w:rPr>
          <w:rFonts w:hint="eastAsia" w:ascii="宋体" w:hAnsi="宋体" w:eastAsia="宋体" w:cs="Arial"/>
          <w:color w:val="auto"/>
          <w:sz w:val="22"/>
          <w:szCs w:val="22"/>
          <w:highlight w:val="none"/>
          <w:lang w:val="en-US" w:eastAsia="zh-CN"/>
        </w:rPr>
      </w:pPr>
      <w:r>
        <w:rPr>
          <w:rFonts w:hint="eastAsia" w:hAnsi="宋体" w:cs="Arial"/>
          <w:color w:val="auto"/>
          <w:sz w:val="22"/>
          <w:szCs w:val="22"/>
          <w:highlight w:val="none"/>
          <w:lang w:val="en-US" w:eastAsia="zh-CN"/>
        </w:rPr>
        <w:t>改造</w:t>
      </w:r>
      <w:r>
        <w:rPr>
          <w:rFonts w:hint="eastAsia" w:ascii="宋体" w:hAnsi="宋体" w:eastAsia="宋体" w:cs="Arial"/>
          <w:color w:val="auto"/>
          <w:sz w:val="22"/>
          <w:szCs w:val="22"/>
          <w:highlight w:val="none"/>
          <w:lang w:val="en-US" w:eastAsia="zh-CN"/>
        </w:rPr>
        <w:t>实施部分下浮率报价得分=（评标基准价/（1-下浮率%））×</w:t>
      </w:r>
      <w:r>
        <w:rPr>
          <w:rFonts w:hint="eastAsia" w:hAnsi="宋体" w:cs="Arial"/>
          <w:color w:val="auto"/>
          <w:sz w:val="22"/>
          <w:szCs w:val="22"/>
          <w:highlight w:val="none"/>
          <w:lang w:val="en-US" w:eastAsia="zh-CN"/>
        </w:rPr>
        <w:t>15</w:t>
      </w:r>
      <w:r>
        <w:rPr>
          <w:rFonts w:hint="eastAsia" w:ascii="宋体" w:hAnsi="宋体" w:eastAsia="宋体" w:cs="Arial"/>
          <w:color w:val="auto"/>
          <w:sz w:val="22"/>
          <w:szCs w:val="22"/>
          <w:highlight w:val="none"/>
          <w:lang w:val="en-US" w:eastAsia="zh-CN"/>
        </w:rPr>
        <w:t>%×100。</w:t>
      </w:r>
    </w:p>
    <w:p w14:paraId="7058397C">
      <w:pPr>
        <w:pStyle w:val="12"/>
        <w:adjustRightInd w:val="0"/>
        <w:snapToGrid w:val="0"/>
        <w:spacing w:line="380" w:lineRule="exact"/>
        <w:ind w:firstLine="450"/>
        <w:rPr>
          <w:rFonts w:hAnsi="宋体" w:cs="Arial"/>
          <w:color w:val="auto"/>
          <w:sz w:val="22"/>
          <w:highlight w:val="none"/>
          <w:u w:val="single"/>
        </w:rPr>
      </w:pPr>
      <w:r>
        <w:rPr>
          <w:rFonts w:hint="eastAsia" w:ascii="宋体" w:hAnsi="宋体" w:eastAsia="宋体" w:cs="Arial"/>
          <w:color w:val="auto"/>
          <w:sz w:val="22"/>
          <w:szCs w:val="22"/>
          <w:highlight w:val="none"/>
          <w:lang w:val="en-US" w:eastAsia="zh-CN"/>
        </w:rPr>
        <w:t>3.</w:t>
      </w:r>
      <w:r>
        <w:rPr>
          <w:rFonts w:hint="eastAsia" w:ascii="宋体" w:hAnsi="宋体" w:eastAsia="宋体" w:cs="Arial"/>
          <w:color w:val="auto"/>
          <w:sz w:val="22"/>
          <w:szCs w:val="22"/>
          <w:highlight w:val="none"/>
        </w:rPr>
        <w:t>本项目专门面向中小企业采购，不再执行价格评审优惠的扶持政策</w:t>
      </w:r>
      <w:r>
        <w:rPr>
          <w:rFonts w:hint="eastAsia" w:hAnsi="宋体" w:cs="宋体"/>
          <w:color w:val="auto"/>
          <w:sz w:val="22"/>
          <w:highlight w:val="none"/>
        </w:rPr>
        <w:t>。</w:t>
      </w:r>
    </w:p>
    <w:p w14:paraId="61AE3B7B">
      <w:pPr>
        <w:adjustRightInd w:val="0"/>
        <w:snapToGrid w:val="0"/>
        <w:spacing w:line="400" w:lineRule="exact"/>
        <w:ind w:firstLine="223" w:firstLineChars="100"/>
        <w:rPr>
          <w:rFonts w:ascii="宋体" w:hAnsi="宋体"/>
          <w:b/>
          <w:bCs/>
          <w:color w:val="auto"/>
          <w:sz w:val="22"/>
          <w:highlight w:val="none"/>
        </w:rPr>
      </w:pPr>
      <w:r>
        <w:rPr>
          <w:rFonts w:hint="eastAsia" w:ascii="宋体" w:hAnsi="宋体"/>
          <w:b/>
          <w:bCs/>
          <w:color w:val="auto"/>
          <w:sz w:val="22"/>
          <w:highlight w:val="none"/>
        </w:rPr>
        <w:t>（二）</w:t>
      </w:r>
      <w:r>
        <w:rPr>
          <w:rFonts w:hint="eastAsia" w:ascii="宋体" w:hAnsi="宋体"/>
          <w:b/>
          <w:bCs/>
          <w:color w:val="auto"/>
          <w:sz w:val="22"/>
          <w:highlight w:val="none"/>
          <w:lang w:val="en-US" w:eastAsia="zh-CN"/>
        </w:rPr>
        <w:t>商务技术</w:t>
      </w:r>
      <w:r>
        <w:rPr>
          <w:rFonts w:hint="eastAsia" w:ascii="宋体" w:hAnsi="宋体"/>
          <w:b/>
          <w:bCs/>
          <w:color w:val="auto"/>
          <w:sz w:val="22"/>
          <w:highlight w:val="none"/>
        </w:rPr>
        <w:t>评分（</w:t>
      </w:r>
      <w:r>
        <w:rPr>
          <w:rFonts w:hint="eastAsia" w:ascii="宋体" w:hAnsi="宋体"/>
          <w:b/>
          <w:bCs/>
          <w:color w:val="auto"/>
          <w:sz w:val="22"/>
          <w:highlight w:val="none"/>
          <w:lang w:val="en-US" w:eastAsia="zh-CN"/>
        </w:rPr>
        <w:t>7</w:t>
      </w:r>
      <w:r>
        <w:rPr>
          <w:rFonts w:hint="eastAsia" w:ascii="宋体" w:hAnsi="宋体"/>
          <w:b/>
          <w:bCs/>
          <w:color w:val="auto"/>
          <w:sz w:val="22"/>
          <w:highlight w:val="none"/>
        </w:rPr>
        <w:t>0分）</w:t>
      </w:r>
    </w:p>
    <w:tbl>
      <w:tblPr>
        <w:tblStyle w:val="32"/>
        <w:tblpPr w:leftFromText="180" w:rightFromText="180" w:vertAnchor="text" w:horzAnchor="page" w:tblpX="1586" w:tblpY="626"/>
        <w:tblOverlap w:val="never"/>
        <w:tblW w:w="954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66"/>
        <w:gridCol w:w="1321"/>
        <w:gridCol w:w="6461"/>
        <w:gridCol w:w="1097"/>
      </w:tblGrid>
      <w:tr w14:paraId="33CD46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trPr>
        <w:tc>
          <w:tcPr>
            <w:tcW w:w="666" w:type="dxa"/>
            <w:vAlign w:val="center"/>
          </w:tcPr>
          <w:p w14:paraId="06DD5CC9">
            <w:pPr>
              <w:keepNext w:val="0"/>
              <w:keepLines w:val="0"/>
              <w:pageBreakBefore w:val="0"/>
              <w:widowControl/>
              <w:kinsoku/>
              <w:wordWrap/>
              <w:overflowPunct/>
              <w:topLinePunct w:val="0"/>
              <w:autoSpaceDE/>
              <w:autoSpaceDN/>
              <w:bidi w:val="0"/>
              <w:adjustRightInd/>
              <w:snapToGrid w:val="0"/>
              <w:spacing w:line="340" w:lineRule="exact"/>
              <w:jc w:val="center"/>
              <w:textAlignment w:val="auto"/>
              <w:rPr>
                <w:rFonts w:hint="eastAsia" w:ascii="宋体" w:hAnsi="宋体" w:eastAsia="宋体" w:cs="宋体"/>
                <w:b/>
                <w:bCs w:val="0"/>
                <w:color w:val="auto"/>
                <w:kern w:val="0"/>
                <w:sz w:val="22"/>
                <w:szCs w:val="22"/>
                <w:highlight w:val="none"/>
                <w:lang w:val="en-US" w:eastAsia="zh-CN"/>
              </w:rPr>
            </w:pPr>
            <w:r>
              <w:rPr>
                <w:rFonts w:hint="eastAsia" w:ascii="宋体" w:hAnsi="宋体" w:eastAsia="宋体" w:cs="宋体"/>
                <w:b/>
                <w:bCs w:val="0"/>
                <w:color w:val="auto"/>
                <w:kern w:val="0"/>
                <w:sz w:val="22"/>
                <w:szCs w:val="22"/>
                <w:highlight w:val="none"/>
                <w:lang w:val="en-US" w:eastAsia="zh-CN"/>
              </w:rPr>
              <w:t>序号</w:t>
            </w:r>
          </w:p>
        </w:tc>
        <w:tc>
          <w:tcPr>
            <w:tcW w:w="1321" w:type="dxa"/>
            <w:vAlign w:val="center"/>
          </w:tcPr>
          <w:p w14:paraId="5BCCAB11">
            <w:pPr>
              <w:keepNext w:val="0"/>
              <w:keepLines w:val="0"/>
              <w:pageBreakBefore w:val="0"/>
              <w:widowControl/>
              <w:kinsoku/>
              <w:wordWrap/>
              <w:overflowPunct/>
              <w:topLinePunct w:val="0"/>
              <w:autoSpaceDE/>
              <w:autoSpaceDN/>
              <w:bidi w:val="0"/>
              <w:adjustRightInd/>
              <w:snapToGrid w:val="0"/>
              <w:spacing w:line="340" w:lineRule="exact"/>
              <w:jc w:val="center"/>
              <w:textAlignment w:val="auto"/>
              <w:rPr>
                <w:rFonts w:hint="eastAsia" w:ascii="宋体" w:hAnsi="宋体" w:eastAsia="宋体" w:cs="宋体"/>
                <w:b/>
                <w:bCs w:val="0"/>
                <w:color w:val="auto"/>
                <w:kern w:val="0"/>
                <w:sz w:val="22"/>
                <w:szCs w:val="22"/>
                <w:highlight w:val="none"/>
                <w:lang w:val="en-US" w:eastAsia="zh-CN"/>
              </w:rPr>
            </w:pPr>
            <w:r>
              <w:rPr>
                <w:rFonts w:hint="eastAsia" w:ascii="宋体" w:hAnsi="宋体" w:eastAsia="宋体" w:cs="宋体"/>
                <w:b/>
                <w:bCs w:val="0"/>
                <w:color w:val="auto"/>
                <w:kern w:val="0"/>
                <w:sz w:val="22"/>
                <w:szCs w:val="22"/>
                <w:highlight w:val="none"/>
                <w:lang w:val="en-US" w:eastAsia="zh-CN"/>
              </w:rPr>
              <w:t>评审内容</w:t>
            </w:r>
          </w:p>
        </w:tc>
        <w:tc>
          <w:tcPr>
            <w:tcW w:w="6461" w:type="dxa"/>
            <w:vAlign w:val="center"/>
          </w:tcPr>
          <w:p w14:paraId="28E43C49">
            <w:pPr>
              <w:keepNext w:val="0"/>
              <w:keepLines w:val="0"/>
              <w:pageBreakBefore w:val="0"/>
              <w:widowControl/>
              <w:kinsoku/>
              <w:wordWrap/>
              <w:overflowPunct/>
              <w:topLinePunct w:val="0"/>
              <w:autoSpaceDE/>
              <w:autoSpaceDN/>
              <w:bidi w:val="0"/>
              <w:adjustRightInd/>
              <w:snapToGrid w:val="0"/>
              <w:spacing w:line="340" w:lineRule="exact"/>
              <w:ind w:firstLine="446" w:firstLineChars="200"/>
              <w:jc w:val="center"/>
              <w:textAlignment w:val="auto"/>
              <w:rPr>
                <w:rFonts w:hint="eastAsia" w:ascii="宋体" w:hAnsi="宋体" w:eastAsia="宋体" w:cs="宋体"/>
                <w:b/>
                <w:bCs w:val="0"/>
                <w:color w:val="auto"/>
                <w:kern w:val="0"/>
                <w:sz w:val="22"/>
                <w:szCs w:val="22"/>
                <w:highlight w:val="none"/>
                <w:lang w:val="en-US" w:eastAsia="zh-CN"/>
              </w:rPr>
            </w:pPr>
            <w:r>
              <w:rPr>
                <w:rFonts w:hint="eastAsia" w:ascii="宋体" w:hAnsi="宋体" w:eastAsia="宋体" w:cs="宋体"/>
                <w:b/>
                <w:bCs w:val="0"/>
                <w:color w:val="auto"/>
                <w:kern w:val="0"/>
                <w:sz w:val="22"/>
                <w:szCs w:val="22"/>
                <w:highlight w:val="none"/>
                <w:lang w:val="en-US" w:eastAsia="zh-CN"/>
              </w:rPr>
              <w:t>评分标准</w:t>
            </w:r>
          </w:p>
        </w:tc>
        <w:tc>
          <w:tcPr>
            <w:tcW w:w="1097" w:type="dxa"/>
            <w:vAlign w:val="center"/>
          </w:tcPr>
          <w:p w14:paraId="4FEAE717">
            <w:pPr>
              <w:keepNext w:val="0"/>
              <w:keepLines w:val="0"/>
              <w:pageBreakBefore w:val="0"/>
              <w:widowControl/>
              <w:kinsoku/>
              <w:wordWrap/>
              <w:overflowPunct/>
              <w:topLinePunct w:val="0"/>
              <w:autoSpaceDE/>
              <w:autoSpaceDN/>
              <w:bidi w:val="0"/>
              <w:adjustRightInd/>
              <w:snapToGrid w:val="0"/>
              <w:spacing w:line="340" w:lineRule="exact"/>
              <w:jc w:val="center"/>
              <w:textAlignment w:val="auto"/>
              <w:rPr>
                <w:rFonts w:hint="eastAsia" w:ascii="宋体" w:hAnsi="宋体" w:eastAsia="宋体" w:cs="宋体"/>
                <w:b/>
                <w:bCs w:val="0"/>
                <w:color w:val="auto"/>
                <w:kern w:val="0"/>
                <w:sz w:val="22"/>
                <w:szCs w:val="22"/>
                <w:highlight w:val="none"/>
                <w:lang w:val="en-US" w:eastAsia="zh-CN"/>
              </w:rPr>
            </w:pPr>
            <w:r>
              <w:rPr>
                <w:rFonts w:hint="eastAsia" w:ascii="宋体" w:hAnsi="宋体" w:eastAsia="宋体" w:cs="宋体"/>
                <w:b/>
                <w:bCs w:val="0"/>
                <w:color w:val="auto"/>
                <w:kern w:val="0"/>
                <w:sz w:val="22"/>
                <w:szCs w:val="22"/>
                <w:highlight w:val="none"/>
                <w:lang w:val="en-US" w:eastAsia="zh-CN"/>
              </w:rPr>
              <w:t>分值</w:t>
            </w:r>
          </w:p>
        </w:tc>
      </w:tr>
      <w:tr w14:paraId="67A918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trPr>
        <w:tc>
          <w:tcPr>
            <w:tcW w:w="666" w:type="dxa"/>
            <w:vAlign w:val="center"/>
          </w:tcPr>
          <w:p w14:paraId="61F56B0C">
            <w:pPr>
              <w:keepNext w:val="0"/>
              <w:keepLines w:val="0"/>
              <w:pageBreakBefore w:val="0"/>
              <w:widowControl/>
              <w:kinsoku/>
              <w:wordWrap/>
              <w:overflowPunct/>
              <w:topLinePunct w:val="0"/>
              <w:autoSpaceDE/>
              <w:autoSpaceDN/>
              <w:bidi w:val="0"/>
              <w:adjustRightInd/>
              <w:snapToGrid w:val="0"/>
              <w:spacing w:line="300" w:lineRule="exact"/>
              <w:jc w:val="center"/>
              <w:textAlignment w:val="auto"/>
              <w:rPr>
                <w:rFonts w:hint="eastAsia" w:ascii="宋体" w:hAnsi="宋体" w:eastAsia="宋体" w:cs="宋体"/>
                <w:b/>
                <w:bCs w:val="0"/>
                <w:color w:val="auto"/>
                <w:kern w:val="0"/>
                <w:sz w:val="22"/>
                <w:szCs w:val="22"/>
                <w:highlight w:val="none"/>
                <w:lang w:val="en-US" w:eastAsia="zh-CN"/>
              </w:rPr>
            </w:pPr>
          </w:p>
        </w:tc>
        <w:tc>
          <w:tcPr>
            <w:tcW w:w="1321" w:type="dxa"/>
            <w:vAlign w:val="center"/>
          </w:tcPr>
          <w:p w14:paraId="202B529A">
            <w:pPr>
              <w:keepNext w:val="0"/>
              <w:keepLines w:val="0"/>
              <w:pageBreakBefore w:val="0"/>
              <w:widowControl/>
              <w:kinsoku/>
              <w:wordWrap/>
              <w:overflowPunct/>
              <w:topLinePunct w:val="0"/>
              <w:autoSpaceDE/>
              <w:autoSpaceDN/>
              <w:bidi w:val="0"/>
              <w:adjustRightInd/>
              <w:snapToGrid w:val="0"/>
              <w:spacing w:line="300" w:lineRule="exact"/>
              <w:jc w:val="center"/>
              <w:textAlignment w:val="auto"/>
              <w:rPr>
                <w:rFonts w:hint="eastAsia" w:ascii="宋体" w:hAnsi="宋体" w:eastAsia="宋体" w:cs="宋体"/>
                <w:b/>
                <w:bCs w:val="0"/>
                <w:color w:val="auto"/>
                <w:kern w:val="0"/>
                <w:sz w:val="22"/>
                <w:szCs w:val="22"/>
                <w:highlight w:val="none"/>
                <w:lang w:val="en-US" w:eastAsia="zh-CN"/>
              </w:rPr>
            </w:pPr>
          </w:p>
        </w:tc>
        <w:tc>
          <w:tcPr>
            <w:tcW w:w="6461" w:type="dxa"/>
            <w:vAlign w:val="center"/>
          </w:tcPr>
          <w:p w14:paraId="362C9949">
            <w:pPr>
              <w:keepNext w:val="0"/>
              <w:keepLines w:val="0"/>
              <w:pageBreakBefore w:val="0"/>
              <w:widowControl/>
              <w:kinsoku/>
              <w:wordWrap/>
              <w:overflowPunct/>
              <w:topLinePunct w:val="0"/>
              <w:autoSpaceDE/>
              <w:autoSpaceDN/>
              <w:bidi w:val="0"/>
              <w:adjustRightInd/>
              <w:snapToGrid w:val="0"/>
              <w:spacing w:line="300" w:lineRule="exact"/>
              <w:ind w:firstLine="446" w:firstLineChars="200"/>
              <w:jc w:val="left"/>
              <w:textAlignment w:val="auto"/>
              <w:rPr>
                <w:rFonts w:hint="eastAsia" w:ascii="宋体" w:hAnsi="宋体" w:eastAsia="宋体" w:cs="宋体"/>
                <w:b/>
                <w:bCs w:val="0"/>
                <w:color w:val="auto"/>
                <w:kern w:val="0"/>
                <w:sz w:val="22"/>
                <w:szCs w:val="22"/>
                <w:highlight w:val="none"/>
                <w:lang w:val="en-US" w:eastAsia="zh-CN"/>
              </w:rPr>
            </w:pPr>
            <w:r>
              <w:rPr>
                <w:rFonts w:hint="eastAsia" w:ascii="宋体" w:hAnsi="宋体" w:eastAsia="宋体" w:cs="宋体"/>
                <w:b/>
                <w:bCs w:val="0"/>
                <w:color w:val="auto"/>
                <w:kern w:val="0"/>
                <w:sz w:val="22"/>
                <w:szCs w:val="22"/>
                <w:highlight w:val="none"/>
                <w:lang w:val="en-US" w:eastAsia="zh-CN"/>
              </w:rPr>
              <w:t>（一）项目运营部分的评分（35分）</w:t>
            </w:r>
          </w:p>
        </w:tc>
        <w:tc>
          <w:tcPr>
            <w:tcW w:w="1097" w:type="dxa"/>
            <w:vAlign w:val="center"/>
          </w:tcPr>
          <w:p w14:paraId="4B30CE02">
            <w:pPr>
              <w:keepNext w:val="0"/>
              <w:keepLines w:val="0"/>
              <w:pageBreakBefore w:val="0"/>
              <w:widowControl/>
              <w:kinsoku/>
              <w:wordWrap/>
              <w:overflowPunct/>
              <w:topLinePunct w:val="0"/>
              <w:autoSpaceDE/>
              <w:autoSpaceDN/>
              <w:bidi w:val="0"/>
              <w:adjustRightInd/>
              <w:snapToGrid w:val="0"/>
              <w:spacing w:line="300" w:lineRule="exact"/>
              <w:jc w:val="center"/>
              <w:textAlignment w:val="auto"/>
              <w:rPr>
                <w:rFonts w:hint="eastAsia" w:ascii="宋体" w:hAnsi="宋体" w:eastAsia="宋体" w:cs="宋体"/>
                <w:b/>
                <w:bCs w:val="0"/>
                <w:color w:val="auto"/>
                <w:kern w:val="0"/>
                <w:sz w:val="22"/>
                <w:szCs w:val="22"/>
                <w:highlight w:val="none"/>
                <w:lang w:val="en-US" w:eastAsia="zh-CN"/>
              </w:rPr>
            </w:pPr>
          </w:p>
        </w:tc>
      </w:tr>
      <w:tr w14:paraId="4746AA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8" w:hRule="atLeast"/>
        </w:trPr>
        <w:tc>
          <w:tcPr>
            <w:tcW w:w="666" w:type="dxa"/>
            <w:vAlign w:val="center"/>
          </w:tcPr>
          <w:p w14:paraId="6A1774DD">
            <w:pPr>
              <w:keepNext w:val="0"/>
              <w:keepLines w:val="0"/>
              <w:pageBreakBefore w:val="0"/>
              <w:widowControl/>
              <w:numPr>
                <w:ilvl w:val="0"/>
                <w:numId w:val="9"/>
              </w:numPr>
              <w:kinsoku/>
              <w:wordWrap/>
              <w:overflowPunct/>
              <w:topLinePunct w:val="0"/>
              <w:autoSpaceDE/>
              <w:autoSpaceDN/>
              <w:bidi w:val="0"/>
              <w:adjustRightInd/>
              <w:snapToGrid w:val="0"/>
              <w:spacing w:line="300" w:lineRule="exact"/>
              <w:ind w:left="425" w:leftChars="0" w:hanging="425" w:firstLineChars="0"/>
              <w:jc w:val="center"/>
              <w:textAlignment w:val="auto"/>
              <w:rPr>
                <w:rFonts w:hint="eastAsia" w:ascii="宋体" w:hAnsi="宋体" w:eastAsia="宋体" w:cs="宋体"/>
                <w:b w:val="0"/>
                <w:bCs/>
                <w:color w:val="auto"/>
                <w:kern w:val="0"/>
                <w:sz w:val="22"/>
                <w:szCs w:val="22"/>
                <w:highlight w:val="none"/>
                <w:lang w:val="en-US" w:eastAsia="zh-CN"/>
              </w:rPr>
            </w:pPr>
          </w:p>
        </w:tc>
        <w:tc>
          <w:tcPr>
            <w:tcW w:w="1321" w:type="dxa"/>
            <w:vAlign w:val="center"/>
          </w:tcPr>
          <w:p w14:paraId="3ABA462E">
            <w:pPr>
              <w:keepNext w:val="0"/>
              <w:keepLines w:val="0"/>
              <w:pageBreakBefore w:val="0"/>
              <w:widowControl/>
              <w:kinsoku/>
              <w:wordWrap/>
              <w:overflowPunct/>
              <w:topLinePunct w:val="0"/>
              <w:autoSpaceDE/>
              <w:autoSpaceDN/>
              <w:bidi w:val="0"/>
              <w:adjustRightInd/>
              <w:snapToGrid w:val="0"/>
              <w:spacing w:line="300" w:lineRule="exact"/>
              <w:jc w:val="center"/>
              <w:textAlignment w:val="auto"/>
              <w:rPr>
                <w:rFonts w:hint="eastAsia" w:ascii="宋体" w:hAnsi="宋体" w:eastAsia="宋体" w:cs="宋体"/>
                <w:b w:val="0"/>
                <w:bCs/>
                <w:color w:val="auto"/>
                <w:kern w:val="0"/>
                <w:sz w:val="22"/>
                <w:szCs w:val="22"/>
                <w:highlight w:val="none"/>
                <w:lang w:val="en-US" w:eastAsia="zh-CN"/>
              </w:rPr>
            </w:pPr>
            <w:r>
              <w:rPr>
                <w:rFonts w:hint="eastAsia" w:ascii="宋体" w:hAnsi="宋体" w:eastAsia="宋体" w:cs="宋体"/>
                <w:b w:val="0"/>
                <w:bCs/>
                <w:color w:val="auto"/>
                <w:kern w:val="0"/>
                <w:sz w:val="22"/>
                <w:szCs w:val="22"/>
                <w:highlight w:val="none"/>
                <w:lang w:val="en-US" w:eastAsia="zh-CN"/>
              </w:rPr>
              <w:t>类似项目业绩</w:t>
            </w:r>
          </w:p>
        </w:tc>
        <w:tc>
          <w:tcPr>
            <w:tcW w:w="6461" w:type="dxa"/>
            <w:vAlign w:val="center"/>
          </w:tcPr>
          <w:p w14:paraId="1C4D2FE5">
            <w:pPr>
              <w:keepNext w:val="0"/>
              <w:keepLines w:val="0"/>
              <w:pageBreakBefore w:val="0"/>
              <w:widowControl/>
              <w:kinsoku/>
              <w:wordWrap/>
              <w:overflowPunct/>
              <w:topLinePunct w:val="0"/>
              <w:autoSpaceDE/>
              <w:autoSpaceDN/>
              <w:bidi w:val="0"/>
              <w:adjustRightInd/>
              <w:snapToGrid w:val="0"/>
              <w:spacing w:line="300" w:lineRule="exact"/>
              <w:jc w:val="left"/>
              <w:textAlignment w:val="auto"/>
              <w:rPr>
                <w:rFonts w:hint="eastAsia" w:ascii="宋体" w:hAnsi="宋体" w:eastAsia="宋体" w:cs="宋体"/>
                <w:b w:val="0"/>
                <w:bCs/>
                <w:color w:val="auto"/>
                <w:kern w:val="0"/>
                <w:sz w:val="22"/>
                <w:szCs w:val="22"/>
                <w:highlight w:val="none"/>
                <w:lang w:val="en-US" w:eastAsia="zh-CN"/>
              </w:rPr>
            </w:pPr>
            <w:r>
              <w:rPr>
                <w:rFonts w:hint="eastAsia" w:ascii="宋体" w:hAnsi="宋体" w:eastAsia="宋体" w:cs="宋体"/>
                <w:b w:val="0"/>
                <w:bCs/>
                <w:color w:val="auto"/>
                <w:kern w:val="0"/>
                <w:sz w:val="22"/>
                <w:szCs w:val="22"/>
                <w:highlight w:val="none"/>
                <w:lang w:val="en-US" w:eastAsia="zh-CN"/>
              </w:rPr>
              <w:t>根据投标人承接过的类似项目业绩进行打分，每个业绩得1分，最高得2分。（提供业绩合同扫描件并加盖公章，否则不得分）</w:t>
            </w:r>
          </w:p>
        </w:tc>
        <w:tc>
          <w:tcPr>
            <w:tcW w:w="1097" w:type="dxa"/>
            <w:vAlign w:val="center"/>
          </w:tcPr>
          <w:p w14:paraId="1BE56579">
            <w:pPr>
              <w:keepNext w:val="0"/>
              <w:keepLines w:val="0"/>
              <w:pageBreakBefore w:val="0"/>
              <w:widowControl/>
              <w:kinsoku/>
              <w:wordWrap/>
              <w:overflowPunct/>
              <w:topLinePunct w:val="0"/>
              <w:autoSpaceDE/>
              <w:autoSpaceDN/>
              <w:bidi w:val="0"/>
              <w:adjustRightInd/>
              <w:snapToGrid w:val="0"/>
              <w:spacing w:line="300" w:lineRule="exact"/>
              <w:jc w:val="center"/>
              <w:textAlignment w:val="auto"/>
              <w:rPr>
                <w:rFonts w:hint="eastAsia" w:ascii="宋体" w:hAnsi="宋体" w:eastAsia="宋体" w:cs="宋体"/>
                <w:b w:val="0"/>
                <w:bCs/>
                <w:color w:val="auto"/>
                <w:kern w:val="0"/>
                <w:sz w:val="22"/>
                <w:szCs w:val="22"/>
                <w:highlight w:val="none"/>
                <w:lang w:val="en-US" w:eastAsia="zh-CN"/>
              </w:rPr>
            </w:pPr>
            <w:r>
              <w:rPr>
                <w:rFonts w:hint="eastAsia" w:ascii="宋体" w:hAnsi="宋体" w:eastAsia="宋体" w:cs="宋体"/>
                <w:b w:val="0"/>
                <w:bCs/>
                <w:color w:val="auto"/>
                <w:kern w:val="0"/>
                <w:sz w:val="22"/>
                <w:szCs w:val="22"/>
                <w:highlight w:val="none"/>
                <w:lang w:val="en-US" w:eastAsia="zh-CN"/>
              </w:rPr>
              <w:t>0-2分</w:t>
            </w:r>
          </w:p>
        </w:tc>
      </w:tr>
      <w:tr w14:paraId="1E84EB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7" w:hRule="atLeast"/>
        </w:trPr>
        <w:tc>
          <w:tcPr>
            <w:tcW w:w="666" w:type="dxa"/>
            <w:vAlign w:val="center"/>
          </w:tcPr>
          <w:p w14:paraId="3CC16871">
            <w:pPr>
              <w:keepNext w:val="0"/>
              <w:keepLines w:val="0"/>
              <w:pageBreakBefore w:val="0"/>
              <w:widowControl/>
              <w:numPr>
                <w:ilvl w:val="0"/>
                <w:numId w:val="9"/>
              </w:numPr>
              <w:kinsoku/>
              <w:wordWrap/>
              <w:overflowPunct/>
              <w:topLinePunct w:val="0"/>
              <w:autoSpaceDE/>
              <w:autoSpaceDN/>
              <w:bidi w:val="0"/>
              <w:adjustRightInd/>
              <w:snapToGrid w:val="0"/>
              <w:spacing w:line="300" w:lineRule="exact"/>
              <w:ind w:left="425" w:leftChars="0" w:hanging="425" w:firstLineChars="0"/>
              <w:jc w:val="center"/>
              <w:textAlignment w:val="auto"/>
              <w:rPr>
                <w:rFonts w:hint="eastAsia" w:ascii="宋体" w:hAnsi="宋体" w:eastAsia="宋体" w:cs="宋体"/>
                <w:b w:val="0"/>
                <w:bCs/>
                <w:color w:val="auto"/>
                <w:kern w:val="0"/>
                <w:sz w:val="22"/>
                <w:szCs w:val="22"/>
                <w:highlight w:val="none"/>
                <w:lang w:val="en-US" w:eastAsia="zh-CN"/>
              </w:rPr>
            </w:pPr>
          </w:p>
        </w:tc>
        <w:tc>
          <w:tcPr>
            <w:tcW w:w="1321" w:type="dxa"/>
            <w:shd w:val="clear" w:color="auto" w:fill="auto"/>
            <w:vAlign w:val="center"/>
          </w:tcPr>
          <w:p w14:paraId="46A7C6CE">
            <w:pPr>
              <w:keepNext w:val="0"/>
              <w:keepLines w:val="0"/>
              <w:pageBreakBefore w:val="0"/>
              <w:widowControl/>
              <w:kinsoku/>
              <w:wordWrap/>
              <w:overflowPunct/>
              <w:topLinePunct w:val="0"/>
              <w:autoSpaceDE/>
              <w:autoSpaceDN/>
              <w:bidi w:val="0"/>
              <w:adjustRightInd/>
              <w:snapToGrid w:val="0"/>
              <w:spacing w:line="300" w:lineRule="exact"/>
              <w:jc w:val="center"/>
              <w:textAlignment w:val="auto"/>
              <w:rPr>
                <w:rFonts w:hint="eastAsia" w:ascii="宋体" w:hAnsi="宋体" w:eastAsia="宋体" w:cs="宋体"/>
                <w:b w:val="0"/>
                <w:bCs/>
                <w:color w:val="auto"/>
                <w:kern w:val="0"/>
                <w:sz w:val="22"/>
                <w:szCs w:val="22"/>
                <w:highlight w:val="none"/>
                <w:lang w:val="en-US" w:eastAsia="zh-CN" w:bidi="ar-SA"/>
              </w:rPr>
            </w:pPr>
            <w:r>
              <w:rPr>
                <w:rFonts w:hint="eastAsia" w:ascii="宋体" w:hAnsi="宋体" w:eastAsia="宋体" w:cs="宋体"/>
                <w:b w:val="0"/>
                <w:bCs/>
                <w:color w:val="auto"/>
                <w:kern w:val="0"/>
                <w:sz w:val="22"/>
                <w:szCs w:val="22"/>
                <w:highlight w:val="none"/>
                <w:lang w:val="en-US" w:eastAsia="zh-CN"/>
              </w:rPr>
              <w:t>拟投入设备情况</w:t>
            </w:r>
          </w:p>
        </w:tc>
        <w:tc>
          <w:tcPr>
            <w:tcW w:w="6461" w:type="dxa"/>
            <w:shd w:val="clear" w:color="auto" w:fill="auto"/>
            <w:vAlign w:val="center"/>
          </w:tcPr>
          <w:p w14:paraId="407CD0E2">
            <w:pPr>
              <w:keepNext w:val="0"/>
              <w:keepLines w:val="0"/>
              <w:pageBreakBefore w:val="0"/>
              <w:widowControl/>
              <w:kinsoku/>
              <w:wordWrap/>
              <w:overflowPunct/>
              <w:topLinePunct w:val="0"/>
              <w:autoSpaceDE/>
              <w:autoSpaceDN/>
              <w:bidi w:val="0"/>
              <w:adjustRightInd/>
              <w:snapToGrid w:val="0"/>
              <w:spacing w:line="300" w:lineRule="exact"/>
              <w:jc w:val="left"/>
              <w:textAlignment w:val="auto"/>
              <w:rPr>
                <w:rFonts w:hint="eastAsia" w:ascii="宋体" w:hAnsi="宋体" w:eastAsia="宋体" w:cs="宋体"/>
                <w:b w:val="0"/>
                <w:bCs/>
                <w:color w:val="auto"/>
                <w:kern w:val="0"/>
                <w:sz w:val="22"/>
                <w:szCs w:val="22"/>
                <w:highlight w:val="none"/>
                <w:lang w:val="zh-CN" w:eastAsia="zh-CN"/>
              </w:rPr>
            </w:pPr>
            <w:r>
              <w:rPr>
                <w:rFonts w:hint="eastAsia" w:ascii="宋体" w:hAnsi="宋体" w:eastAsia="宋体" w:cs="宋体"/>
                <w:b w:val="0"/>
                <w:bCs/>
                <w:color w:val="auto"/>
                <w:kern w:val="0"/>
                <w:sz w:val="22"/>
                <w:szCs w:val="22"/>
                <w:highlight w:val="none"/>
                <w:lang w:val="zh-CN" w:eastAsia="zh-CN"/>
              </w:rPr>
              <w:t>根据投标人拟投入的设备的齐全性、充足性，由评委综合</w:t>
            </w:r>
            <w:r>
              <w:rPr>
                <w:rFonts w:hint="eastAsia" w:ascii="宋体" w:hAnsi="宋体" w:eastAsia="宋体" w:cs="宋体"/>
                <w:b w:val="0"/>
                <w:bCs/>
                <w:color w:val="auto"/>
                <w:kern w:val="0"/>
                <w:sz w:val="22"/>
                <w:szCs w:val="22"/>
                <w:highlight w:val="none"/>
                <w:lang w:val="en-US" w:eastAsia="zh-CN"/>
              </w:rPr>
              <w:t>评分，在</w:t>
            </w:r>
            <w:r>
              <w:rPr>
                <w:rFonts w:hint="eastAsia" w:ascii="宋体" w:hAnsi="宋体" w:eastAsia="宋体" w:cs="宋体"/>
                <w:b w:val="0"/>
                <w:bCs/>
                <w:color w:val="auto"/>
                <w:kern w:val="0"/>
                <w:sz w:val="22"/>
                <w:szCs w:val="22"/>
                <w:highlight w:val="none"/>
                <w:lang w:val="zh-CN" w:eastAsia="zh-CN"/>
              </w:rPr>
              <w:t>分值范围内打分。</w:t>
            </w:r>
            <w:r>
              <w:rPr>
                <w:rFonts w:hint="eastAsia" w:ascii="宋体" w:hAnsi="宋体" w:eastAsia="宋体" w:cs="宋体"/>
                <w:b w:val="0"/>
                <w:bCs/>
                <w:color w:val="auto"/>
                <w:kern w:val="0"/>
                <w:sz w:val="22"/>
                <w:szCs w:val="22"/>
                <w:highlight w:val="none"/>
                <w:lang w:val="en-US" w:eastAsia="zh-CN"/>
              </w:rPr>
              <w:t>（</w:t>
            </w:r>
            <w:r>
              <w:rPr>
                <w:rFonts w:hint="eastAsia" w:ascii="宋体" w:hAnsi="宋体" w:cs="宋体"/>
                <w:b w:val="0"/>
                <w:bCs/>
                <w:color w:val="auto"/>
                <w:kern w:val="0"/>
                <w:sz w:val="22"/>
                <w:szCs w:val="22"/>
                <w:highlight w:val="none"/>
                <w:lang w:val="en-US" w:eastAsia="zh-CN"/>
              </w:rPr>
              <w:t>评分</w:t>
            </w:r>
            <w:r>
              <w:rPr>
                <w:rFonts w:hint="eastAsia" w:ascii="宋体" w:hAnsi="宋体" w:eastAsia="宋体" w:cs="宋体"/>
                <w:b w:val="0"/>
                <w:bCs/>
                <w:color w:val="auto"/>
                <w:kern w:val="0"/>
                <w:sz w:val="22"/>
                <w:szCs w:val="22"/>
                <w:highlight w:val="none"/>
                <w:lang w:val="en-US" w:eastAsia="zh-CN"/>
              </w:rPr>
              <w:t>分值：3，2，1，0）</w:t>
            </w:r>
          </w:p>
          <w:p w14:paraId="510CBCC3">
            <w:pPr>
              <w:keepNext w:val="0"/>
              <w:keepLines w:val="0"/>
              <w:pageBreakBefore w:val="0"/>
              <w:widowControl/>
              <w:kinsoku/>
              <w:wordWrap/>
              <w:overflowPunct/>
              <w:topLinePunct w:val="0"/>
              <w:autoSpaceDE/>
              <w:autoSpaceDN/>
              <w:bidi w:val="0"/>
              <w:adjustRightInd/>
              <w:snapToGrid w:val="0"/>
              <w:spacing w:line="300" w:lineRule="exact"/>
              <w:jc w:val="left"/>
              <w:textAlignment w:val="auto"/>
              <w:rPr>
                <w:rFonts w:hint="eastAsia" w:ascii="宋体" w:hAnsi="宋体" w:eastAsia="宋体" w:cs="宋体"/>
                <w:b w:val="0"/>
                <w:bCs/>
                <w:color w:val="auto"/>
                <w:kern w:val="0"/>
                <w:sz w:val="22"/>
                <w:szCs w:val="22"/>
                <w:highlight w:val="none"/>
                <w:lang w:val="en-US" w:eastAsia="zh-CN" w:bidi="ar-SA"/>
              </w:rPr>
            </w:pPr>
            <w:r>
              <w:rPr>
                <w:rFonts w:hint="eastAsia" w:ascii="宋体" w:hAnsi="宋体" w:eastAsia="宋体" w:cs="宋体"/>
                <w:b w:val="0"/>
                <w:bCs/>
                <w:color w:val="auto"/>
                <w:kern w:val="0"/>
                <w:sz w:val="22"/>
                <w:szCs w:val="22"/>
                <w:highlight w:val="none"/>
                <w:lang w:val="zh-CN" w:eastAsia="zh-CN"/>
              </w:rPr>
              <w:t>（</w:t>
            </w:r>
            <w:r>
              <w:rPr>
                <w:rFonts w:hint="eastAsia" w:ascii="宋体" w:hAnsi="宋体" w:eastAsia="宋体" w:cs="宋体"/>
                <w:b w:val="0"/>
                <w:bCs/>
                <w:color w:val="auto"/>
                <w:kern w:val="0"/>
                <w:sz w:val="22"/>
                <w:szCs w:val="22"/>
                <w:highlight w:val="none"/>
                <w:lang w:val="en-US" w:eastAsia="zh-CN"/>
              </w:rPr>
              <w:t>设备自有的：</w:t>
            </w:r>
            <w:r>
              <w:rPr>
                <w:rFonts w:hint="eastAsia" w:ascii="宋体" w:hAnsi="宋体" w:eastAsia="宋体" w:cs="宋体"/>
                <w:b w:val="0"/>
                <w:bCs/>
                <w:color w:val="auto"/>
                <w:kern w:val="0"/>
                <w:sz w:val="22"/>
                <w:szCs w:val="22"/>
                <w:highlight w:val="none"/>
                <w:lang w:val="zh-CN" w:eastAsia="zh-CN"/>
              </w:rPr>
              <w:t>投标人需提供设备</w:t>
            </w:r>
            <w:r>
              <w:rPr>
                <w:rFonts w:hint="eastAsia" w:ascii="宋体" w:hAnsi="宋体" w:eastAsia="宋体" w:cs="宋体"/>
                <w:b w:val="0"/>
                <w:bCs/>
                <w:color w:val="auto"/>
                <w:kern w:val="0"/>
                <w:sz w:val="22"/>
                <w:szCs w:val="22"/>
                <w:highlight w:val="none"/>
                <w:lang w:val="en-US" w:eastAsia="zh-CN"/>
              </w:rPr>
              <w:t>企业购买</w:t>
            </w:r>
            <w:r>
              <w:rPr>
                <w:rFonts w:hint="eastAsia" w:ascii="宋体" w:hAnsi="宋体" w:eastAsia="宋体" w:cs="宋体"/>
                <w:b w:val="0"/>
                <w:bCs/>
                <w:color w:val="auto"/>
                <w:kern w:val="0"/>
                <w:sz w:val="22"/>
                <w:szCs w:val="22"/>
                <w:highlight w:val="none"/>
                <w:lang w:val="zh-CN" w:eastAsia="zh-CN"/>
              </w:rPr>
              <w:t>发票扫描件，</w:t>
            </w:r>
            <w:r>
              <w:rPr>
                <w:rFonts w:hint="eastAsia" w:ascii="宋体" w:hAnsi="宋体" w:eastAsia="宋体" w:cs="宋体"/>
                <w:b w:val="0"/>
                <w:bCs/>
                <w:color w:val="auto"/>
                <w:kern w:val="0"/>
                <w:sz w:val="22"/>
                <w:szCs w:val="22"/>
                <w:highlight w:val="none"/>
                <w:lang w:val="en-US" w:eastAsia="zh-CN"/>
              </w:rPr>
              <w:t>设备租赁的：</w:t>
            </w:r>
            <w:r>
              <w:rPr>
                <w:rFonts w:hint="eastAsia" w:ascii="宋体" w:hAnsi="宋体" w:eastAsia="宋体" w:cs="宋体"/>
                <w:b w:val="0"/>
                <w:bCs/>
                <w:color w:val="auto"/>
                <w:kern w:val="0"/>
                <w:sz w:val="22"/>
                <w:szCs w:val="22"/>
                <w:highlight w:val="none"/>
                <w:lang w:val="zh-CN" w:eastAsia="zh-CN"/>
              </w:rPr>
              <w:t>投标人需提供设备</w:t>
            </w:r>
            <w:r>
              <w:rPr>
                <w:rFonts w:hint="eastAsia" w:ascii="宋体" w:hAnsi="宋体" w:eastAsia="宋体" w:cs="宋体"/>
                <w:b w:val="0"/>
                <w:bCs/>
                <w:color w:val="auto"/>
                <w:kern w:val="0"/>
                <w:sz w:val="22"/>
                <w:szCs w:val="22"/>
                <w:highlight w:val="none"/>
                <w:lang w:val="en-US" w:eastAsia="zh-CN"/>
              </w:rPr>
              <w:t>租赁合同</w:t>
            </w:r>
            <w:r>
              <w:rPr>
                <w:rFonts w:hint="eastAsia" w:ascii="宋体" w:hAnsi="宋体" w:eastAsia="宋体" w:cs="宋体"/>
                <w:b w:val="0"/>
                <w:bCs/>
                <w:color w:val="auto"/>
                <w:kern w:val="0"/>
                <w:sz w:val="22"/>
                <w:szCs w:val="22"/>
                <w:highlight w:val="none"/>
                <w:lang w:val="zh-CN" w:eastAsia="zh-CN"/>
              </w:rPr>
              <w:t>扫描件否则不得分。）</w:t>
            </w:r>
          </w:p>
        </w:tc>
        <w:tc>
          <w:tcPr>
            <w:tcW w:w="1097" w:type="dxa"/>
            <w:shd w:val="clear" w:color="auto" w:fill="auto"/>
            <w:vAlign w:val="center"/>
          </w:tcPr>
          <w:p w14:paraId="2D5C5D30">
            <w:pPr>
              <w:keepNext w:val="0"/>
              <w:keepLines w:val="0"/>
              <w:pageBreakBefore w:val="0"/>
              <w:widowControl/>
              <w:kinsoku/>
              <w:wordWrap/>
              <w:overflowPunct/>
              <w:topLinePunct w:val="0"/>
              <w:autoSpaceDE/>
              <w:autoSpaceDN/>
              <w:bidi w:val="0"/>
              <w:adjustRightInd/>
              <w:snapToGrid w:val="0"/>
              <w:spacing w:line="300" w:lineRule="exact"/>
              <w:jc w:val="center"/>
              <w:textAlignment w:val="auto"/>
              <w:rPr>
                <w:rFonts w:hint="eastAsia" w:ascii="宋体" w:hAnsi="宋体" w:eastAsia="宋体" w:cs="宋体"/>
                <w:b w:val="0"/>
                <w:bCs/>
                <w:color w:val="auto"/>
                <w:kern w:val="0"/>
                <w:sz w:val="22"/>
                <w:szCs w:val="22"/>
                <w:highlight w:val="none"/>
                <w:lang w:val="en-US" w:eastAsia="zh-CN" w:bidi="ar-SA"/>
              </w:rPr>
            </w:pPr>
            <w:r>
              <w:rPr>
                <w:rFonts w:hint="eastAsia" w:ascii="宋体" w:hAnsi="宋体" w:eastAsia="宋体" w:cs="宋体"/>
                <w:b w:val="0"/>
                <w:bCs/>
                <w:color w:val="auto"/>
                <w:kern w:val="0"/>
                <w:sz w:val="22"/>
                <w:szCs w:val="22"/>
                <w:highlight w:val="none"/>
                <w:lang w:val="en-US" w:eastAsia="zh-CN"/>
              </w:rPr>
              <w:t>0-</w:t>
            </w:r>
            <w:r>
              <w:rPr>
                <w:rFonts w:hint="eastAsia" w:ascii="宋体" w:hAnsi="宋体" w:cs="宋体"/>
                <w:b w:val="0"/>
                <w:bCs/>
                <w:color w:val="auto"/>
                <w:kern w:val="0"/>
                <w:sz w:val="22"/>
                <w:szCs w:val="22"/>
                <w:highlight w:val="none"/>
                <w:lang w:val="en-US" w:eastAsia="zh-CN"/>
              </w:rPr>
              <w:t>3</w:t>
            </w:r>
            <w:r>
              <w:rPr>
                <w:rFonts w:hint="eastAsia" w:ascii="宋体" w:hAnsi="宋体" w:eastAsia="宋体" w:cs="宋体"/>
                <w:b w:val="0"/>
                <w:bCs/>
                <w:color w:val="auto"/>
                <w:kern w:val="0"/>
                <w:sz w:val="22"/>
                <w:szCs w:val="22"/>
                <w:highlight w:val="none"/>
                <w:lang w:val="en-US" w:eastAsia="zh-CN"/>
              </w:rPr>
              <w:t>分</w:t>
            </w:r>
          </w:p>
        </w:tc>
      </w:tr>
      <w:tr w14:paraId="78E0DD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3" w:hRule="atLeast"/>
        </w:trPr>
        <w:tc>
          <w:tcPr>
            <w:tcW w:w="666" w:type="dxa"/>
            <w:vAlign w:val="center"/>
          </w:tcPr>
          <w:p w14:paraId="3749C536">
            <w:pPr>
              <w:keepNext w:val="0"/>
              <w:keepLines w:val="0"/>
              <w:pageBreakBefore w:val="0"/>
              <w:widowControl/>
              <w:numPr>
                <w:ilvl w:val="0"/>
                <w:numId w:val="9"/>
              </w:numPr>
              <w:kinsoku/>
              <w:wordWrap/>
              <w:overflowPunct/>
              <w:topLinePunct w:val="0"/>
              <w:autoSpaceDE/>
              <w:autoSpaceDN/>
              <w:bidi w:val="0"/>
              <w:adjustRightInd/>
              <w:snapToGrid w:val="0"/>
              <w:spacing w:line="300" w:lineRule="exact"/>
              <w:ind w:left="425" w:leftChars="0" w:hanging="425" w:firstLineChars="0"/>
              <w:jc w:val="center"/>
              <w:textAlignment w:val="auto"/>
              <w:rPr>
                <w:rFonts w:hint="eastAsia" w:ascii="宋体" w:hAnsi="宋体" w:eastAsia="宋体" w:cs="宋体"/>
                <w:b w:val="0"/>
                <w:bCs/>
                <w:color w:val="auto"/>
                <w:kern w:val="0"/>
                <w:sz w:val="22"/>
                <w:szCs w:val="22"/>
                <w:highlight w:val="none"/>
                <w:lang w:val="en-US" w:eastAsia="zh-CN"/>
              </w:rPr>
            </w:pPr>
          </w:p>
        </w:tc>
        <w:tc>
          <w:tcPr>
            <w:tcW w:w="1321" w:type="dxa"/>
            <w:vAlign w:val="center"/>
          </w:tcPr>
          <w:p w14:paraId="7A770AA7">
            <w:pPr>
              <w:keepNext w:val="0"/>
              <w:keepLines w:val="0"/>
              <w:pageBreakBefore w:val="0"/>
              <w:widowControl/>
              <w:kinsoku/>
              <w:wordWrap/>
              <w:overflowPunct/>
              <w:topLinePunct w:val="0"/>
              <w:autoSpaceDE/>
              <w:autoSpaceDN/>
              <w:bidi w:val="0"/>
              <w:adjustRightInd/>
              <w:snapToGrid w:val="0"/>
              <w:spacing w:line="300" w:lineRule="exact"/>
              <w:jc w:val="center"/>
              <w:textAlignment w:val="auto"/>
              <w:rPr>
                <w:rFonts w:hint="eastAsia" w:ascii="宋体" w:hAnsi="宋体" w:eastAsia="宋体" w:cs="宋体"/>
                <w:b w:val="0"/>
                <w:bCs/>
                <w:color w:val="auto"/>
                <w:kern w:val="0"/>
                <w:sz w:val="22"/>
                <w:szCs w:val="22"/>
                <w:highlight w:val="none"/>
                <w:lang w:val="en-US" w:eastAsia="zh-CN"/>
              </w:rPr>
            </w:pPr>
            <w:r>
              <w:rPr>
                <w:rFonts w:hint="eastAsia" w:ascii="宋体" w:hAnsi="宋体" w:eastAsia="宋体" w:cs="宋体"/>
                <w:b w:val="0"/>
                <w:bCs/>
                <w:color w:val="auto"/>
                <w:kern w:val="0"/>
                <w:sz w:val="22"/>
                <w:szCs w:val="22"/>
                <w:highlight w:val="none"/>
                <w:lang w:val="en-US" w:eastAsia="zh-CN"/>
              </w:rPr>
              <w:t>对项目的理解及重难点</w:t>
            </w:r>
          </w:p>
        </w:tc>
        <w:tc>
          <w:tcPr>
            <w:tcW w:w="6461" w:type="dxa"/>
            <w:vAlign w:val="center"/>
          </w:tcPr>
          <w:p w14:paraId="17190118">
            <w:pPr>
              <w:keepNext w:val="0"/>
              <w:keepLines w:val="0"/>
              <w:pageBreakBefore w:val="0"/>
              <w:widowControl/>
              <w:kinsoku/>
              <w:wordWrap/>
              <w:overflowPunct/>
              <w:topLinePunct w:val="0"/>
              <w:autoSpaceDE/>
              <w:autoSpaceDN/>
              <w:bidi w:val="0"/>
              <w:adjustRightInd/>
              <w:snapToGrid w:val="0"/>
              <w:spacing w:line="300" w:lineRule="exact"/>
              <w:jc w:val="left"/>
              <w:textAlignment w:val="auto"/>
              <w:rPr>
                <w:rFonts w:hint="eastAsia" w:ascii="宋体" w:hAnsi="宋体" w:eastAsia="宋体" w:cs="宋体"/>
                <w:b w:val="0"/>
                <w:bCs/>
                <w:color w:val="auto"/>
                <w:kern w:val="0"/>
                <w:sz w:val="22"/>
                <w:szCs w:val="22"/>
                <w:highlight w:val="none"/>
                <w:lang w:val="en-US" w:eastAsia="zh-CN"/>
              </w:rPr>
            </w:pPr>
            <w:r>
              <w:rPr>
                <w:rFonts w:hint="eastAsia" w:ascii="宋体" w:hAnsi="宋体" w:eastAsia="宋体" w:cs="宋体"/>
                <w:b w:val="0"/>
                <w:bCs/>
                <w:color w:val="auto"/>
                <w:kern w:val="0"/>
                <w:sz w:val="22"/>
                <w:szCs w:val="22"/>
                <w:highlight w:val="none"/>
                <w:lang w:val="en-US" w:eastAsia="zh-CN"/>
              </w:rPr>
              <w:t>投标人本项目的现状了解、需求的理解程度，是否全面、透彻，以及针对本项目的重点、难点进行分析及提出相应解决措施，由评委在分值范围内打分。（</w:t>
            </w:r>
            <w:r>
              <w:rPr>
                <w:rFonts w:hint="eastAsia" w:ascii="宋体" w:hAnsi="宋体" w:cs="宋体"/>
                <w:b w:val="0"/>
                <w:bCs/>
                <w:color w:val="auto"/>
                <w:kern w:val="0"/>
                <w:sz w:val="22"/>
                <w:szCs w:val="22"/>
                <w:highlight w:val="none"/>
                <w:lang w:val="en-US" w:eastAsia="zh-CN"/>
              </w:rPr>
              <w:t>评分</w:t>
            </w:r>
            <w:r>
              <w:rPr>
                <w:rFonts w:hint="eastAsia" w:ascii="宋体" w:hAnsi="宋体" w:eastAsia="宋体" w:cs="宋体"/>
                <w:b w:val="0"/>
                <w:bCs/>
                <w:color w:val="auto"/>
                <w:kern w:val="0"/>
                <w:sz w:val="22"/>
                <w:szCs w:val="22"/>
                <w:highlight w:val="none"/>
                <w:lang w:val="en-US" w:eastAsia="zh-CN"/>
              </w:rPr>
              <w:t>分值：</w:t>
            </w:r>
            <w:r>
              <w:rPr>
                <w:rFonts w:hint="eastAsia" w:ascii="宋体" w:hAnsi="宋体" w:cs="宋体"/>
                <w:b w:val="0"/>
                <w:bCs/>
                <w:color w:val="auto"/>
                <w:kern w:val="0"/>
                <w:sz w:val="22"/>
                <w:szCs w:val="22"/>
                <w:highlight w:val="none"/>
                <w:lang w:val="en-US" w:eastAsia="zh-CN"/>
              </w:rPr>
              <w:t>5</w:t>
            </w:r>
            <w:r>
              <w:rPr>
                <w:rFonts w:hint="eastAsia" w:ascii="宋体" w:hAnsi="宋体" w:eastAsia="宋体" w:cs="宋体"/>
                <w:b w:val="0"/>
                <w:bCs/>
                <w:color w:val="auto"/>
                <w:kern w:val="0"/>
                <w:sz w:val="22"/>
                <w:szCs w:val="22"/>
                <w:highlight w:val="none"/>
                <w:lang w:val="en-US" w:eastAsia="zh-CN"/>
              </w:rPr>
              <w:t>，</w:t>
            </w:r>
            <w:r>
              <w:rPr>
                <w:rFonts w:hint="eastAsia" w:ascii="宋体" w:hAnsi="宋体" w:cs="宋体"/>
                <w:b w:val="0"/>
                <w:bCs/>
                <w:color w:val="auto"/>
                <w:kern w:val="0"/>
                <w:sz w:val="22"/>
                <w:szCs w:val="22"/>
                <w:highlight w:val="none"/>
                <w:lang w:val="en-US" w:eastAsia="zh-CN"/>
              </w:rPr>
              <w:t>4，</w:t>
            </w:r>
            <w:r>
              <w:rPr>
                <w:rFonts w:hint="eastAsia" w:ascii="宋体" w:hAnsi="宋体" w:eastAsia="宋体" w:cs="宋体"/>
                <w:b w:val="0"/>
                <w:bCs/>
                <w:color w:val="auto"/>
                <w:kern w:val="0"/>
                <w:sz w:val="22"/>
                <w:szCs w:val="22"/>
                <w:highlight w:val="none"/>
                <w:lang w:val="en-US" w:eastAsia="zh-CN"/>
              </w:rPr>
              <w:t>3，2，1，0）</w:t>
            </w:r>
          </w:p>
        </w:tc>
        <w:tc>
          <w:tcPr>
            <w:tcW w:w="1097" w:type="dxa"/>
            <w:vAlign w:val="center"/>
          </w:tcPr>
          <w:p w14:paraId="1447E135">
            <w:pPr>
              <w:keepNext w:val="0"/>
              <w:keepLines w:val="0"/>
              <w:pageBreakBefore w:val="0"/>
              <w:widowControl/>
              <w:kinsoku/>
              <w:wordWrap/>
              <w:overflowPunct/>
              <w:topLinePunct w:val="0"/>
              <w:autoSpaceDE/>
              <w:autoSpaceDN/>
              <w:bidi w:val="0"/>
              <w:adjustRightInd/>
              <w:snapToGrid w:val="0"/>
              <w:spacing w:line="300" w:lineRule="exact"/>
              <w:jc w:val="center"/>
              <w:textAlignment w:val="auto"/>
              <w:rPr>
                <w:rFonts w:hint="eastAsia" w:ascii="宋体" w:hAnsi="宋体" w:eastAsia="宋体" w:cs="宋体"/>
                <w:b w:val="0"/>
                <w:bCs/>
                <w:color w:val="auto"/>
                <w:kern w:val="0"/>
                <w:sz w:val="22"/>
                <w:szCs w:val="22"/>
                <w:highlight w:val="none"/>
                <w:lang w:val="en-US" w:eastAsia="zh-CN"/>
              </w:rPr>
            </w:pPr>
            <w:r>
              <w:rPr>
                <w:rFonts w:hint="eastAsia" w:ascii="宋体" w:hAnsi="宋体" w:eastAsia="宋体" w:cs="宋体"/>
                <w:b w:val="0"/>
                <w:bCs/>
                <w:color w:val="auto"/>
                <w:kern w:val="0"/>
                <w:sz w:val="22"/>
                <w:szCs w:val="22"/>
                <w:highlight w:val="none"/>
                <w:lang w:val="en-US" w:eastAsia="zh-CN"/>
              </w:rPr>
              <w:t>0-</w:t>
            </w:r>
            <w:r>
              <w:rPr>
                <w:rFonts w:hint="eastAsia" w:ascii="宋体" w:hAnsi="宋体" w:cs="宋体"/>
                <w:b w:val="0"/>
                <w:bCs/>
                <w:color w:val="auto"/>
                <w:kern w:val="0"/>
                <w:sz w:val="22"/>
                <w:szCs w:val="22"/>
                <w:highlight w:val="none"/>
                <w:lang w:val="en-US" w:eastAsia="zh-CN"/>
              </w:rPr>
              <w:t>5</w:t>
            </w:r>
            <w:r>
              <w:rPr>
                <w:rFonts w:hint="eastAsia" w:ascii="宋体" w:hAnsi="宋体" w:eastAsia="宋体" w:cs="宋体"/>
                <w:b w:val="0"/>
                <w:bCs/>
                <w:color w:val="auto"/>
                <w:kern w:val="0"/>
                <w:sz w:val="22"/>
                <w:szCs w:val="22"/>
                <w:highlight w:val="none"/>
                <w:lang w:val="en-US" w:eastAsia="zh-CN"/>
              </w:rPr>
              <w:t>分</w:t>
            </w:r>
          </w:p>
        </w:tc>
      </w:tr>
      <w:tr w14:paraId="28605B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8" w:hRule="atLeast"/>
        </w:trPr>
        <w:tc>
          <w:tcPr>
            <w:tcW w:w="666" w:type="dxa"/>
            <w:vMerge w:val="restart"/>
            <w:vAlign w:val="center"/>
          </w:tcPr>
          <w:p w14:paraId="7CF99FA0">
            <w:pPr>
              <w:keepNext w:val="0"/>
              <w:keepLines w:val="0"/>
              <w:pageBreakBefore w:val="0"/>
              <w:widowControl/>
              <w:numPr>
                <w:ilvl w:val="0"/>
                <w:numId w:val="9"/>
              </w:numPr>
              <w:kinsoku/>
              <w:wordWrap/>
              <w:overflowPunct/>
              <w:topLinePunct w:val="0"/>
              <w:autoSpaceDE/>
              <w:autoSpaceDN/>
              <w:bidi w:val="0"/>
              <w:adjustRightInd/>
              <w:snapToGrid w:val="0"/>
              <w:spacing w:line="300" w:lineRule="exact"/>
              <w:ind w:left="425" w:leftChars="0" w:hanging="425" w:firstLineChars="0"/>
              <w:jc w:val="center"/>
              <w:textAlignment w:val="auto"/>
              <w:rPr>
                <w:rFonts w:hint="eastAsia" w:ascii="宋体" w:hAnsi="宋体" w:eastAsia="宋体" w:cs="宋体"/>
                <w:b w:val="0"/>
                <w:bCs/>
                <w:color w:val="auto"/>
                <w:kern w:val="0"/>
                <w:sz w:val="22"/>
                <w:szCs w:val="22"/>
                <w:highlight w:val="none"/>
                <w:lang w:val="en-US" w:eastAsia="zh-CN"/>
              </w:rPr>
            </w:pPr>
          </w:p>
        </w:tc>
        <w:tc>
          <w:tcPr>
            <w:tcW w:w="1321" w:type="dxa"/>
            <w:vMerge w:val="restart"/>
            <w:vAlign w:val="center"/>
          </w:tcPr>
          <w:p w14:paraId="11B402CB">
            <w:pPr>
              <w:keepNext w:val="0"/>
              <w:keepLines w:val="0"/>
              <w:pageBreakBefore w:val="0"/>
              <w:widowControl/>
              <w:kinsoku/>
              <w:wordWrap/>
              <w:overflowPunct/>
              <w:topLinePunct w:val="0"/>
              <w:autoSpaceDE/>
              <w:autoSpaceDN/>
              <w:bidi w:val="0"/>
              <w:adjustRightInd/>
              <w:snapToGrid w:val="0"/>
              <w:spacing w:line="300" w:lineRule="exact"/>
              <w:jc w:val="center"/>
              <w:textAlignment w:val="auto"/>
              <w:rPr>
                <w:rFonts w:hint="eastAsia" w:ascii="宋体" w:hAnsi="宋体" w:eastAsia="宋体" w:cs="宋体"/>
                <w:b w:val="0"/>
                <w:bCs/>
                <w:color w:val="auto"/>
                <w:kern w:val="0"/>
                <w:sz w:val="22"/>
                <w:szCs w:val="22"/>
                <w:highlight w:val="none"/>
                <w:lang w:val="en-US" w:eastAsia="zh-CN"/>
              </w:rPr>
            </w:pPr>
            <w:r>
              <w:rPr>
                <w:rFonts w:hint="eastAsia" w:ascii="宋体" w:hAnsi="宋体" w:eastAsia="宋体" w:cs="宋体"/>
                <w:b w:val="0"/>
                <w:bCs/>
                <w:color w:val="auto"/>
                <w:kern w:val="0"/>
                <w:sz w:val="22"/>
                <w:szCs w:val="22"/>
                <w:highlight w:val="none"/>
                <w:lang w:val="en-US" w:eastAsia="zh-CN"/>
              </w:rPr>
              <w:t>实施方案</w:t>
            </w:r>
          </w:p>
          <w:p w14:paraId="26E51246">
            <w:pPr>
              <w:keepNext w:val="0"/>
              <w:keepLines w:val="0"/>
              <w:pageBreakBefore w:val="0"/>
              <w:widowControl/>
              <w:kinsoku/>
              <w:wordWrap/>
              <w:overflowPunct/>
              <w:topLinePunct w:val="0"/>
              <w:autoSpaceDE/>
              <w:autoSpaceDN/>
              <w:bidi w:val="0"/>
              <w:adjustRightInd/>
              <w:snapToGrid w:val="0"/>
              <w:spacing w:line="300" w:lineRule="exact"/>
              <w:ind w:firstLine="446" w:firstLineChars="200"/>
              <w:jc w:val="center"/>
              <w:textAlignment w:val="auto"/>
              <w:rPr>
                <w:rFonts w:hint="eastAsia" w:ascii="宋体" w:hAnsi="宋体" w:eastAsia="宋体" w:cs="宋体"/>
                <w:b w:val="0"/>
                <w:bCs/>
                <w:color w:val="auto"/>
                <w:kern w:val="0"/>
                <w:sz w:val="22"/>
                <w:szCs w:val="22"/>
                <w:highlight w:val="none"/>
                <w:lang w:val="en-US" w:eastAsia="zh-CN"/>
              </w:rPr>
            </w:pPr>
          </w:p>
        </w:tc>
        <w:tc>
          <w:tcPr>
            <w:tcW w:w="6461" w:type="dxa"/>
            <w:vAlign w:val="center"/>
          </w:tcPr>
          <w:p w14:paraId="6BB80BFB">
            <w:pPr>
              <w:keepNext w:val="0"/>
              <w:keepLines w:val="0"/>
              <w:pageBreakBefore w:val="0"/>
              <w:widowControl/>
              <w:kinsoku/>
              <w:wordWrap/>
              <w:overflowPunct/>
              <w:topLinePunct w:val="0"/>
              <w:autoSpaceDE/>
              <w:autoSpaceDN/>
              <w:bidi w:val="0"/>
              <w:adjustRightInd/>
              <w:snapToGrid w:val="0"/>
              <w:spacing w:line="300" w:lineRule="exact"/>
              <w:jc w:val="left"/>
              <w:textAlignment w:val="auto"/>
              <w:rPr>
                <w:rFonts w:hint="eastAsia" w:ascii="宋体" w:hAnsi="宋体" w:eastAsia="宋体" w:cs="宋体"/>
                <w:b w:val="0"/>
                <w:bCs/>
                <w:color w:val="auto"/>
                <w:kern w:val="0"/>
                <w:sz w:val="22"/>
                <w:szCs w:val="22"/>
                <w:highlight w:val="none"/>
                <w:lang w:val="en-US" w:eastAsia="zh-CN"/>
              </w:rPr>
            </w:pPr>
            <w:r>
              <w:rPr>
                <w:rFonts w:hint="eastAsia" w:ascii="宋体" w:hAnsi="宋体" w:eastAsia="宋体" w:cs="宋体"/>
                <w:b w:val="0"/>
                <w:bCs/>
                <w:color w:val="auto"/>
                <w:kern w:val="0"/>
                <w:sz w:val="22"/>
                <w:szCs w:val="22"/>
                <w:highlight w:val="none"/>
                <w:lang w:val="en-US" w:eastAsia="zh-CN"/>
              </w:rPr>
              <w:t>总体项目运营管理思路、方向等，根据方案合理性、科学性、可行性，是否贴合项目需求综合打分。（</w:t>
            </w:r>
            <w:r>
              <w:rPr>
                <w:rFonts w:hint="eastAsia" w:ascii="宋体" w:hAnsi="宋体" w:cs="宋体"/>
                <w:b w:val="0"/>
                <w:bCs/>
                <w:color w:val="auto"/>
                <w:kern w:val="0"/>
                <w:sz w:val="22"/>
                <w:szCs w:val="22"/>
                <w:highlight w:val="none"/>
                <w:lang w:val="en-US" w:eastAsia="zh-CN"/>
              </w:rPr>
              <w:t>评分</w:t>
            </w:r>
            <w:r>
              <w:rPr>
                <w:rFonts w:hint="eastAsia" w:ascii="宋体" w:hAnsi="宋体" w:eastAsia="宋体" w:cs="宋体"/>
                <w:b w:val="0"/>
                <w:bCs/>
                <w:color w:val="auto"/>
                <w:kern w:val="0"/>
                <w:sz w:val="22"/>
                <w:szCs w:val="22"/>
                <w:highlight w:val="none"/>
                <w:lang w:val="en-US" w:eastAsia="zh-CN"/>
              </w:rPr>
              <w:t>分值：</w:t>
            </w:r>
            <w:r>
              <w:rPr>
                <w:rFonts w:hint="eastAsia" w:ascii="宋体" w:hAnsi="宋体" w:cs="宋体"/>
                <w:b w:val="0"/>
                <w:bCs/>
                <w:color w:val="auto"/>
                <w:kern w:val="0"/>
                <w:sz w:val="22"/>
                <w:szCs w:val="22"/>
                <w:highlight w:val="none"/>
                <w:lang w:val="en-US" w:eastAsia="zh-CN"/>
              </w:rPr>
              <w:t>5</w:t>
            </w:r>
            <w:r>
              <w:rPr>
                <w:rFonts w:hint="eastAsia" w:ascii="宋体" w:hAnsi="宋体" w:eastAsia="宋体" w:cs="宋体"/>
                <w:b w:val="0"/>
                <w:bCs/>
                <w:color w:val="auto"/>
                <w:kern w:val="0"/>
                <w:sz w:val="22"/>
                <w:szCs w:val="22"/>
                <w:highlight w:val="none"/>
                <w:lang w:val="en-US" w:eastAsia="zh-CN"/>
              </w:rPr>
              <w:t>，</w:t>
            </w:r>
            <w:r>
              <w:rPr>
                <w:rFonts w:hint="eastAsia" w:ascii="宋体" w:hAnsi="宋体" w:cs="宋体"/>
                <w:b w:val="0"/>
                <w:bCs/>
                <w:color w:val="auto"/>
                <w:kern w:val="0"/>
                <w:sz w:val="22"/>
                <w:szCs w:val="22"/>
                <w:highlight w:val="none"/>
                <w:lang w:val="en-US" w:eastAsia="zh-CN"/>
              </w:rPr>
              <w:t>4，</w:t>
            </w:r>
            <w:r>
              <w:rPr>
                <w:rFonts w:hint="eastAsia" w:ascii="宋体" w:hAnsi="宋体" w:eastAsia="宋体" w:cs="宋体"/>
                <w:b w:val="0"/>
                <w:bCs/>
                <w:color w:val="auto"/>
                <w:kern w:val="0"/>
                <w:sz w:val="22"/>
                <w:szCs w:val="22"/>
                <w:highlight w:val="none"/>
                <w:lang w:val="en-US" w:eastAsia="zh-CN"/>
              </w:rPr>
              <w:t>3，2，1，0）</w:t>
            </w:r>
          </w:p>
        </w:tc>
        <w:tc>
          <w:tcPr>
            <w:tcW w:w="1097" w:type="dxa"/>
            <w:vAlign w:val="center"/>
          </w:tcPr>
          <w:p w14:paraId="01033913">
            <w:pPr>
              <w:keepNext w:val="0"/>
              <w:keepLines w:val="0"/>
              <w:pageBreakBefore w:val="0"/>
              <w:widowControl/>
              <w:kinsoku/>
              <w:wordWrap/>
              <w:overflowPunct/>
              <w:topLinePunct w:val="0"/>
              <w:autoSpaceDE/>
              <w:autoSpaceDN/>
              <w:bidi w:val="0"/>
              <w:adjustRightInd/>
              <w:snapToGrid w:val="0"/>
              <w:spacing w:line="300" w:lineRule="exact"/>
              <w:jc w:val="center"/>
              <w:textAlignment w:val="auto"/>
              <w:rPr>
                <w:rFonts w:hint="eastAsia" w:ascii="宋体" w:hAnsi="宋体" w:eastAsia="宋体" w:cs="宋体"/>
                <w:b w:val="0"/>
                <w:bCs/>
                <w:color w:val="auto"/>
                <w:kern w:val="0"/>
                <w:sz w:val="22"/>
                <w:szCs w:val="22"/>
                <w:highlight w:val="none"/>
                <w:lang w:val="en-US" w:eastAsia="zh-CN"/>
              </w:rPr>
            </w:pPr>
            <w:r>
              <w:rPr>
                <w:rFonts w:hint="eastAsia" w:ascii="宋体" w:hAnsi="宋体" w:eastAsia="宋体" w:cs="宋体"/>
                <w:b w:val="0"/>
                <w:bCs/>
                <w:color w:val="auto"/>
                <w:kern w:val="0"/>
                <w:sz w:val="22"/>
                <w:szCs w:val="22"/>
                <w:highlight w:val="none"/>
                <w:lang w:val="en-US" w:eastAsia="zh-CN"/>
              </w:rPr>
              <w:t>0-</w:t>
            </w:r>
            <w:r>
              <w:rPr>
                <w:rFonts w:hint="eastAsia" w:ascii="宋体" w:hAnsi="宋体" w:cs="宋体"/>
                <w:b w:val="0"/>
                <w:bCs/>
                <w:color w:val="auto"/>
                <w:kern w:val="0"/>
                <w:sz w:val="22"/>
                <w:szCs w:val="22"/>
                <w:highlight w:val="none"/>
                <w:lang w:val="en-US" w:eastAsia="zh-CN"/>
              </w:rPr>
              <w:t>5</w:t>
            </w:r>
            <w:r>
              <w:rPr>
                <w:rFonts w:hint="eastAsia" w:ascii="宋体" w:hAnsi="宋体" w:eastAsia="宋体" w:cs="宋体"/>
                <w:b w:val="0"/>
                <w:bCs/>
                <w:color w:val="auto"/>
                <w:kern w:val="0"/>
                <w:sz w:val="22"/>
                <w:szCs w:val="22"/>
                <w:highlight w:val="none"/>
                <w:lang w:val="en-US" w:eastAsia="zh-CN"/>
              </w:rPr>
              <w:t>分</w:t>
            </w:r>
          </w:p>
        </w:tc>
      </w:tr>
      <w:tr w14:paraId="48BE0F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trPr>
        <w:tc>
          <w:tcPr>
            <w:tcW w:w="666" w:type="dxa"/>
            <w:vMerge w:val="continue"/>
            <w:vAlign w:val="center"/>
          </w:tcPr>
          <w:p w14:paraId="7BC0B96E">
            <w:pPr>
              <w:keepNext w:val="0"/>
              <w:keepLines w:val="0"/>
              <w:pageBreakBefore w:val="0"/>
              <w:widowControl/>
              <w:kinsoku/>
              <w:wordWrap/>
              <w:overflowPunct/>
              <w:topLinePunct w:val="0"/>
              <w:autoSpaceDE/>
              <w:autoSpaceDN/>
              <w:bidi w:val="0"/>
              <w:adjustRightInd/>
              <w:snapToGrid w:val="0"/>
              <w:spacing w:line="300" w:lineRule="exact"/>
              <w:ind w:firstLine="446" w:firstLineChars="200"/>
              <w:jc w:val="center"/>
              <w:textAlignment w:val="auto"/>
              <w:rPr>
                <w:rFonts w:hint="eastAsia" w:ascii="宋体" w:hAnsi="宋体" w:eastAsia="宋体" w:cs="宋体"/>
                <w:b w:val="0"/>
                <w:bCs/>
                <w:color w:val="auto"/>
                <w:kern w:val="0"/>
                <w:sz w:val="22"/>
                <w:szCs w:val="22"/>
                <w:highlight w:val="none"/>
                <w:lang w:val="en-US" w:eastAsia="zh-CN"/>
              </w:rPr>
            </w:pPr>
          </w:p>
        </w:tc>
        <w:tc>
          <w:tcPr>
            <w:tcW w:w="1321" w:type="dxa"/>
            <w:vMerge w:val="continue"/>
            <w:vAlign w:val="center"/>
          </w:tcPr>
          <w:p w14:paraId="27B528BC">
            <w:pPr>
              <w:keepNext w:val="0"/>
              <w:keepLines w:val="0"/>
              <w:pageBreakBefore w:val="0"/>
              <w:widowControl/>
              <w:kinsoku/>
              <w:wordWrap/>
              <w:overflowPunct/>
              <w:topLinePunct w:val="0"/>
              <w:autoSpaceDE/>
              <w:autoSpaceDN/>
              <w:bidi w:val="0"/>
              <w:adjustRightInd/>
              <w:snapToGrid w:val="0"/>
              <w:spacing w:line="300" w:lineRule="exact"/>
              <w:ind w:firstLine="446" w:firstLineChars="200"/>
              <w:jc w:val="left"/>
              <w:textAlignment w:val="auto"/>
              <w:rPr>
                <w:rFonts w:hint="eastAsia" w:ascii="宋体" w:hAnsi="宋体" w:eastAsia="宋体" w:cs="宋体"/>
                <w:b w:val="0"/>
                <w:bCs/>
                <w:color w:val="auto"/>
                <w:kern w:val="0"/>
                <w:sz w:val="22"/>
                <w:szCs w:val="22"/>
                <w:highlight w:val="none"/>
                <w:lang w:val="en-US" w:eastAsia="zh-CN"/>
              </w:rPr>
            </w:pPr>
          </w:p>
        </w:tc>
        <w:tc>
          <w:tcPr>
            <w:tcW w:w="6461" w:type="dxa"/>
            <w:vAlign w:val="center"/>
          </w:tcPr>
          <w:p w14:paraId="12034A93">
            <w:pPr>
              <w:keepNext w:val="0"/>
              <w:keepLines w:val="0"/>
              <w:pageBreakBefore w:val="0"/>
              <w:widowControl/>
              <w:kinsoku/>
              <w:wordWrap/>
              <w:overflowPunct/>
              <w:topLinePunct w:val="0"/>
              <w:autoSpaceDE/>
              <w:autoSpaceDN/>
              <w:bidi w:val="0"/>
              <w:adjustRightInd/>
              <w:snapToGrid w:val="0"/>
              <w:spacing w:line="300" w:lineRule="exact"/>
              <w:jc w:val="left"/>
              <w:textAlignment w:val="auto"/>
              <w:rPr>
                <w:rFonts w:hint="eastAsia" w:ascii="宋体" w:hAnsi="宋体" w:eastAsia="宋体" w:cs="宋体"/>
                <w:b w:val="0"/>
                <w:bCs/>
                <w:color w:val="auto"/>
                <w:kern w:val="0"/>
                <w:sz w:val="22"/>
                <w:szCs w:val="22"/>
                <w:highlight w:val="none"/>
                <w:lang w:val="en-US" w:eastAsia="zh-CN"/>
              </w:rPr>
            </w:pPr>
            <w:r>
              <w:rPr>
                <w:rFonts w:hint="eastAsia" w:ascii="宋体" w:hAnsi="宋体" w:eastAsia="宋体" w:cs="宋体"/>
                <w:b w:val="0"/>
                <w:bCs/>
                <w:color w:val="auto"/>
                <w:kern w:val="0"/>
                <w:sz w:val="22"/>
                <w:szCs w:val="22"/>
                <w:highlight w:val="none"/>
                <w:lang w:val="en-US" w:eastAsia="zh-CN"/>
              </w:rPr>
              <w:t>改造后运营、耕种方案，根据方案合理性、科学性、可行性，是否贴合项目需求综合打分。（</w:t>
            </w:r>
            <w:r>
              <w:rPr>
                <w:rFonts w:hint="eastAsia" w:ascii="宋体" w:hAnsi="宋体" w:cs="宋体"/>
                <w:b w:val="0"/>
                <w:bCs/>
                <w:color w:val="auto"/>
                <w:kern w:val="0"/>
                <w:sz w:val="22"/>
                <w:szCs w:val="22"/>
                <w:highlight w:val="none"/>
                <w:lang w:val="en-US" w:eastAsia="zh-CN"/>
              </w:rPr>
              <w:t>评分</w:t>
            </w:r>
            <w:r>
              <w:rPr>
                <w:rFonts w:hint="eastAsia" w:ascii="宋体" w:hAnsi="宋体" w:eastAsia="宋体" w:cs="宋体"/>
                <w:b w:val="0"/>
                <w:bCs/>
                <w:color w:val="auto"/>
                <w:kern w:val="0"/>
                <w:sz w:val="22"/>
                <w:szCs w:val="22"/>
                <w:highlight w:val="none"/>
                <w:lang w:val="en-US" w:eastAsia="zh-CN"/>
              </w:rPr>
              <w:t>分值：</w:t>
            </w:r>
            <w:r>
              <w:rPr>
                <w:rFonts w:hint="eastAsia" w:ascii="宋体" w:hAnsi="宋体" w:cs="宋体"/>
                <w:b w:val="0"/>
                <w:bCs/>
                <w:color w:val="auto"/>
                <w:kern w:val="0"/>
                <w:sz w:val="22"/>
                <w:szCs w:val="22"/>
                <w:highlight w:val="none"/>
                <w:lang w:val="en-US" w:eastAsia="zh-CN"/>
              </w:rPr>
              <w:t>5</w:t>
            </w:r>
            <w:r>
              <w:rPr>
                <w:rFonts w:hint="eastAsia" w:ascii="宋体" w:hAnsi="宋体" w:eastAsia="宋体" w:cs="宋体"/>
                <w:b w:val="0"/>
                <w:bCs/>
                <w:color w:val="auto"/>
                <w:kern w:val="0"/>
                <w:sz w:val="22"/>
                <w:szCs w:val="22"/>
                <w:highlight w:val="none"/>
                <w:lang w:val="en-US" w:eastAsia="zh-CN"/>
              </w:rPr>
              <w:t>，</w:t>
            </w:r>
            <w:r>
              <w:rPr>
                <w:rFonts w:hint="eastAsia" w:ascii="宋体" w:hAnsi="宋体" w:cs="宋体"/>
                <w:b w:val="0"/>
                <w:bCs/>
                <w:color w:val="auto"/>
                <w:kern w:val="0"/>
                <w:sz w:val="22"/>
                <w:szCs w:val="22"/>
                <w:highlight w:val="none"/>
                <w:lang w:val="en-US" w:eastAsia="zh-CN"/>
              </w:rPr>
              <w:t>4，</w:t>
            </w:r>
            <w:r>
              <w:rPr>
                <w:rFonts w:hint="eastAsia" w:ascii="宋体" w:hAnsi="宋体" w:eastAsia="宋体" w:cs="宋体"/>
                <w:b w:val="0"/>
                <w:bCs/>
                <w:color w:val="auto"/>
                <w:kern w:val="0"/>
                <w:sz w:val="22"/>
                <w:szCs w:val="22"/>
                <w:highlight w:val="none"/>
                <w:lang w:val="en-US" w:eastAsia="zh-CN"/>
              </w:rPr>
              <w:t>3，2，1，0）</w:t>
            </w:r>
          </w:p>
        </w:tc>
        <w:tc>
          <w:tcPr>
            <w:tcW w:w="1097" w:type="dxa"/>
            <w:vAlign w:val="center"/>
          </w:tcPr>
          <w:p w14:paraId="51602A06">
            <w:pPr>
              <w:keepNext w:val="0"/>
              <w:keepLines w:val="0"/>
              <w:pageBreakBefore w:val="0"/>
              <w:widowControl/>
              <w:kinsoku/>
              <w:wordWrap/>
              <w:overflowPunct/>
              <w:topLinePunct w:val="0"/>
              <w:autoSpaceDE/>
              <w:autoSpaceDN/>
              <w:bidi w:val="0"/>
              <w:adjustRightInd/>
              <w:snapToGrid w:val="0"/>
              <w:spacing w:line="300" w:lineRule="exact"/>
              <w:jc w:val="center"/>
              <w:textAlignment w:val="auto"/>
              <w:rPr>
                <w:rFonts w:hint="eastAsia" w:ascii="宋体" w:hAnsi="宋体" w:eastAsia="宋体" w:cs="宋体"/>
                <w:b w:val="0"/>
                <w:bCs/>
                <w:color w:val="auto"/>
                <w:kern w:val="0"/>
                <w:sz w:val="22"/>
                <w:szCs w:val="22"/>
                <w:highlight w:val="none"/>
                <w:lang w:val="en-US" w:eastAsia="zh-CN"/>
              </w:rPr>
            </w:pPr>
            <w:r>
              <w:rPr>
                <w:rFonts w:hint="eastAsia" w:ascii="宋体" w:hAnsi="宋体" w:eastAsia="宋体" w:cs="宋体"/>
                <w:b w:val="0"/>
                <w:bCs/>
                <w:color w:val="auto"/>
                <w:kern w:val="0"/>
                <w:sz w:val="22"/>
                <w:szCs w:val="22"/>
                <w:highlight w:val="none"/>
                <w:lang w:val="en-US" w:eastAsia="zh-CN"/>
              </w:rPr>
              <w:t>0-</w:t>
            </w:r>
            <w:r>
              <w:rPr>
                <w:rFonts w:hint="eastAsia" w:ascii="宋体" w:hAnsi="宋体" w:cs="宋体"/>
                <w:b w:val="0"/>
                <w:bCs/>
                <w:color w:val="auto"/>
                <w:kern w:val="0"/>
                <w:sz w:val="22"/>
                <w:szCs w:val="22"/>
                <w:highlight w:val="none"/>
                <w:lang w:val="en-US" w:eastAsia="zh-CN"/>
              </w:rPr>
              <w:t>5</w:t>
            </w:r>
            <w:r>
              <w:rPr>
                <w:rFonts w:hint="eastAsia" w:ascii="宋体" w:hAnsi="宋体" w:eastAsia="宋体" w:cs="宋体"/>
                <w:b w:val="0"/>
                <w:bCs/>
                <w:color w:val="auto"/>
                <w:kern w:val="0"/>
                <w:sz w:val="22"/>
                <w:szCs w:val="22"/>
                <w:highlight w:val="none"/>
                <w:lang w:val="en-US" w:eastAsia="zh-CN"/>
              </w:rPr>
              <w:t>分</w:t>
            </w:r>
          </w:p>
        </w:tc>
      </w:tr>
      <w:tr w14:paraId="11EE75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trPr>
        <w:tc>
          <w:tcPr>
            <w:tcW w:w="666" w:type="dxa"/>
            <w:vMerge w:val="continue"/>
            <w:vAlign w:val="center"/>
          </w:tcPr>
          <w:p w14:paraId="6477223B">
            <w:pPr>
              <w:keepNext w:val="0"/>
              <w:keepLines w:val="0"/>
              <w:pageBreakBefore w:val="0"/>
              <w:widowControl/>
              <w:kinsoku/>
              <w:wordWrap/>
              <w:overflowPunct/>
              <w:topLinePunct w:val="0"/>
              <w:autoSpaceDE/>
              <w:autoSpaceDN/>
              <w:bidi w:val="0"/>
              <w:adjustRightInd/>
              <w:snapToGrid w:val="0"/>
              <w:spacing w:line="300" w:lineRule="exact"/>
              <w:ind w:firstLine="446" w:firstLineChars="200"/>
              <w:jc w:val="center"/>
              <w:textAlignment w:val="auto"/>
              <w:rPr>
                <w:rFonts w:hint="eastAsia" w:ascii="宋体" w:hAnsi="宋体" w:eastAsia="宋体" w:cs="宋体"/>
                <w:b w:val="0"/>
                <w:bCs/>
                <w:color w:val="auto"/>
                <w:kern w:val="0"/>
                <w:sz w:val="22"/>
                <w:szCs w:val="22"/>
                <w:highlight w:val="none"/>
                <w:lang w:val="en-US" w:eastAsia="zh-CN"/>
              </w:rPr>
            </w:pPr>
          </w:p>
        </w:tc>
        <w:tc>
          <w:tcPr>
            <w:tcW w:w="1321" w:type="dxa"/>
            <w:vMerge w:val="continue"/>
            <w:vAlign w:val="center"/>
          </w:tcPr>
          <w:p w14:paraId="149CCE94">
            <w:pPr>
              <w:keepNext w:val="0"/>
              <w:keepLines w:val="0"/>
              <w:pageBreakBefore w:val="0"/>
              <w:widowControl/>
              <w:kinsoku/>
              <w:wordWrap/>
              <w:overflowPunct/>
              <w:topLinePunct w:val="0"/>
              <w:autoSpaceDE/>
              <w:autoSpaceDN/>
              <w:bidi w:val="0"/>
              <w:adjustRightInd/>
              <w:snapToGrid w:val="0"/>
              <w:spacing w:line="300" w:lineRule="exact"/>
              <w:ind w:firstLine="446" w:firstLineChars="200"/>
              <w:jc w:val="left"/>
              <w:textAlignment w:val="auto"/>
              <w:rPr>
                <w:rFonts w:hint="eastAsia" w:ascii="宋体" w:hAnsi="宋体" w:eastAsia="宋体" w:cs="宋体"/>
                <w:b w:val="0"/>
                <w:bCs/>
                <w:color w:val="auto"/>
                <w:kern w:val="0"/>
                <w:sz w:val="22"/>
                <w:szCs w:val="22"/>
                <w:highlight w:val="none"/>
                <w:lang w:val="en-US" w:eastAsia="zh-CN"/>
              </w:rPr>
            </w:pPr>
          </w:p>
        </w:tc>
        <w:tc>
          <w:tcPr>
            <w:tcW w:w="6461" w:type="dxa"/>
            <w:shd w:val="clear" w:color="auto" w:fill="auto"/>
            <w:vAlign w:val="center"/>
          </w:tcPr>
          <w:p w14:paraId="3822C70D">
            <w:pPr>
              <w:keepNext w:val="0"/>
              <w:keepLines w:val="0"/>
              <w:pageBreakBefore w:val="0"/>
              <w:widowControl/>
              <w:kinsoku/>
              <w:wordWrap/>
              <w:overflowPunct/>
              <w:topLinePunct w:val="0"/>
              <w:autoSpaceDE/>
              <w:autoSpaceDN/>
              <w:bidi w:val="0"/>
              <w:adjustRightInd/>
              <w:snapToGrid w:val="0"/>
              <w:spacing w:line="300" w:lineRule="exact"/>
              <w:jc w:val="left"/>
              <w:textAlignment w:val="auto"/>
              <w:rPr>
                <w:rFonts w:hint="eastAsia" w:ascii="宋体" w:hAnsi="宋体" w:eastAsia="宋体" w:cs="宋体"/>
                <w:b w:val="0"/>
                <w:bCs/>
                <w:color w:val="auto"/>
                <w:kern w:val="0"/>
                <w:sz w:val="22"/>
                <w:szCs w:val="22"/>
                <w:highlight w:val="none"/>
                <w:lang w:val="en-US" w:eastAsia="zh-CN"/>
              </w:rPr>
            </w:pPr>
            <w:r>
              <w:rPr>
                <w:rFonts w:hint="eastAsia" w:ascii="宋体" w:hAnsi="宋体" w:eastAsia="宋体" w:cs="宋体"/>
                <w:b w:val="0"/>
                <w:bCs/>
                <w:color w:val="auto"/>
                <w:kern w:val="0"/>
                <w:sz w:val="22"/>
                <w:szCs w:val="22"/>
                <w:highlight w:val="none"/>
                <w:lang w:val="en-US" w:eastAsia="zh-CN"/>
              </w:rPr>
              <w:t>年收益保障承诺等，根据方案合理性、科学性、可行性，是否贴合项目需求综合打分。（</w:t>
            </w:r>
            <w:r>
              <w:rPr>
                <w:rFonts w:hint="eastAsia" w:ascii="宋体" w:hAnsi="宋体" w:cs="宋体"/>
                <w:b w:val="0"/>
                <w:bCs/>
                <w:color w:val="auto"/>
                <w:kern w:val="0"/>
                <w:sz w:val="22"/>
                <w:szCs w:val="22"/>
                <w:highlight w:val="none"/>
                <w:lang w:val="en-US" w:eastAsia="zh-CN"/>
              </w:rPr>
              <w:t>评分</w:t>
            </w:r>
            <w:r>
              <w:rPr>
                <w:rFonts w:hint="eastAsia" w:ascii="宋体" w:hAnsi="宋体" w:eastAsia="宋体" w:cs="宋体"/>
                <w:b w:val="0"/>
                <w:bCs/>
                <w:color w:val="auto"/>
                <w:kern w:val="0"/>
                <w:sz w:val="22"/>
                <w:szCs w:val="22"/>
                <w:highlight w:val="none"/>
                <w:lang w:val="en-US" w:eastAsia="zh-CN"/>
              </w:rPr>
              <w:t>分值：</w:t>
            </w:r>
            <w:r>
              <w:rPr>
                <w:rFonts w:hint="eastAsia" w:ascii="宋体" w:hAnsi="宋体" w:cs="宋体"/>
                <w:b w:val="0"/>
                <w:bCs/>
                <w:color w:val="auto"/>
                <w:kern w:val="0"/>
                <w:sz w:val="22"/>
                <w:szCs w:val="22"/>
                <w:highlight w:val="none"/>
                <w:lang w:val="en-US" w:eastAsia="zh-CN"/>
              </w:rPr>
              <w:t>5</w:t>
            </w:r>
            <w:r>
              <w:rPr>
                <w:rFonts w:hint="eastAsia" w:ascii="宋体" w:hAnsi="宋体" w:eastAsia="宋体" w:cs="宋体"/>
                <w:b w:val="0"/>
                <w:bCs/>
                <w:color w:val="auto"/>
                <w:kern w:val="0"/>
                <w:sz w:val="22"/>
                <w:szCs w:val="22"/>
                <w:highlight w:val="none"/>
                <w:lang w:val="en-US" w:eastAsia="zh-CN"/>
              </w:rPr>
              <w:t>，</w:t>
            </w:r>
            <w:r>
              <w:rPr>
                <w:rFonts w:hint="eastAsia" w:ascii="宋体" w:hAnsi="宋体" w:cs="宋体"/>
                <w:b w:val="0"/>
                <w:bCs/>
                <w:color w:val="auto"/>
                <w:kern w:val="0"/>
                <w:sz w:val="22"/>
                <w:szCs w:val="22"/>
                <w:highlight w:val="none"/>
                <w:lang w:val="en-US" w:eastAsia="zh-CN"/>
              </w:rPr>
              <w:t>4，</w:t>
            </w:r>
            <w:r>
              <w:rPr>
                <w:rFonts w:hint="eastAsia" w:ascii="宋体" w:hAnsi="宋体" w:eastAsia="宋体" w:cs="宋体"/>
                <w:b w:val="0"/>
                <w:bCs/>
                <w:color w:val="auto"/>
                <w:kern w:val="0"/>
                <w:sz w:val="22"/>
                <w:szCs w:val="22"/>
                <w:highlight w:val="none"/>
                <w:lang w:val="en-US" w:eastAsia="zh-CN"/>
              </w:rPr>
              <w:t>3，2，1，0）</w:t>
            </w:r>
          </w:p>
        </w:tc>
        <w:tc>
          <w:tcPr>
            <w:tcW w:w="1097" w:type="dxa"/>
            <w:shd w:val="clear" w:color="auto" w:fill="auto"/>
            <w:vAlign w:val="center"/>
          </w:tcPr>
          <w:p w14:paraId="6988CF62">
            <w:pPr>
              <w:keepNext w:val="0"/>
              <w:keepLines w:val="0"/>
              <w:pageBreakBefore w:val="0"/>
              <w:widowControl/>
              <w:kinsoku/>
              <w:wordWrap/>
              <w:overflowPunct/>
              <w:topLinePunct w:val="0"/>
              <w:autoSpaceDE/>
              <w:autoSpaceDN/>
              <w:bidi w:val="0"/>
              <w:adjustRightInd/>
              <w:snapToGrid w:val="0"/>
              <w:spacing w:line="300" w:lineRule="exact"/>
              <w:jc w:val="center"/>
              <w:textAlignment w:val="auto"/>
              <w:rPr>
                <w:rFonts w:hint="eastAsia" w:ascii="宋体" w:hAnsi="宋体" w:eastAsia="宋体" w:cs="宋体"/>
                <w:b w:val="0"/>
                <w:bCs/>
                <w:color w:val="auto"/>
                <w:kern w:val="0"/>
                <w:sz w:val="22"/>
                <w:szCs w:val="22"/>
                <w:highlight w:val="none"/>
                <w:lang w:val="en-US" w:eastAsia="zh-CN"/>
              </w:rPr>
            </w:pPr>
            <w:r>
              <w:rPr>
                <w:rFonts w:hint="eastAsia" w:ascii="宋体" w:hAnsi="宋体" w:eastAsia="宋体" w:cs="宋体"/>
                <w:b w:val="0"/>
                <w:bCs/>
                <w:color w:val="auto"/>
                <w:kern w:val="0"/>
                <w:sz w:val="22"/>
                <w:szCs w:val="22"/>
                <w:highlight w:val="none"/>
                <w:lang w:val="en-US" w:eastAsia="zh-CN"/>
              </w:rPr>
              <w:t>0-</w:t>
            </w:r>
            <w:r>
              <w:rPr>
                <w:rFonts w:hint="eastAsia" w:ascii="宋体" w:hAnsi="宋体" w:cs="宋体"/>
                <w:b w:val="0"/>
                <w:bCs/>
                <w:color w:val="auto"/>
                <w:kern w:val="0"/>
                <w:sz w:val="22"/>
                <w:szCs w:val="22"/>
                <w:highlight w:val="none"/>
                <w:lang w:val="en-US" w:eastAsia="zh-CN"/>
              </w:rPr>
              <w:t>5</w:t>
            </w:r>
            <w:r>
              <w:rPr>
                <w:rFonts w:hint="eastAsia" w:ascii="宋体" w:hAnsi="宋体" w:eastAsia="宋体" w:cs="宋体"/>
                <w:b w:val="0"/>
                <w:bCs/>
                <w:color w:val="auto"/>
                <w:kern w:val="0"/>
                <w:sz w:val="22"/>
                <w:szCs w:val="22"/>
                <w:highlight w:val="none"/>
                <w:lang w:val="en-US" w:eastAsia="zh-CN"/>
              </w:rPr>
              <w:t>分</w:t>
            </w:r>
          </w:p>
        </w:tc>
      </w:tr>
      <w:tr w14:paraId="12DD45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4" w:hRule="atLeast"/>
        </w:trPr>
        <w:tc>
          <w:tcPr>
            <w:tcW w:w="666" w:type="dxa"/>
            <w:shd w:val="clear" w:color="auto" w:fill="auto"/>
            <w:vAlign w:val="center"/>
          </w:tcPr>
          <w:p w14:paraId="1F8E4355">
            <w:pPr>
              <w:keepNext w:val="0"/>
              <w:keepLines w:val="0"/>
              <w:pageBreakBefore w:val="0"/>
              <w:widowControl/>
              <w:numPr>
                <w:ilvl w:val="0"/>
                <w:numId w:val="9"/>
              </w:numPr>
              <w:kinsoku/>
              <w:wordWrap/>
              <w:overflowPunct/>
              <w:topLinePunct w:val="0"/>
              <w:autoSpaceDE/>
              <w:autoSpaceDN/>
              <w:bidi w:val="0"/>
              <w:adjustRightInd/>
              <w:snapToGrid w:val="0"/>
              <w:spacing w:line="300" w:lineRule="exact"/>
              <w:ind w:left="425" w:leftChars="0" w:hanging="425" w:firstLineChars="0"/>
              <w:jc w:val="center"/>
              <w:textAlignment w:val="auto"/>
              <w:rPr>
                <w:rFonts w:hint="eastAsia" w:ascii="宋体" w:hAnsi="宋体" w:eastAsia="宋体" w:cs="宋体"/>
                <w:b w:val="0"/>
                <w:bCs/>
                <w:color w:val="auto"/>
                <w:kern w:val="0"/>
                <w:sz w:val="22"/>
                <w:szCs w:val="22"/>
                <w:highlight w:val="none"/>
                <w:lang w:val="en-US" w:eastAsia="zh-CN"/>
              </w:rPr>
            </w:pPr>
          </w:p>
        </w:tc>
        <w:tc>
          <w:tcPr>
            <w:tcW w:w="1321" w:type="dxa"/>
            <w:vAlign w:val="center"/>
          </w:tcPr>
          <w:p w14:paraId="6E375F9C">
            <w:pPr>
              <w:keepNext w:val="0"/>
              <w:keepLines w:val="0"/>
              <w:pageBreakBefore w:val="0"/>
              <w:widowControl/>
              <w:kinsoku/>
              <w:wordWrap/>
              <w:overflowPunct/>
              <w:topLinePunct w:val="0"/>
              <w:autoSpaceDE/>
              <w:autoSpaceDN/>
              <w:bidi w:val="0"/>
              <w:adjustRightInd/>
              <w:snapToGrid w:val="0"/>
              <w:spacing w:line="300" w:lineRule="exact"/>
              <w:jc w:val="center"/>
              <w:textAlignment w:val="auto"/>
              <w:rPr>
                <w:rFonts w:hint="eastAsia" w:ascii="宋体" w:hAnsi="宋体" w:eastAsia="宋体" w:cs="宋体"/>
                <w:b w:val="0"/>
                <w:bCs/>
                <w:color w:val="auto"/>
                <w:kern w:val="0"/>
                <w:sz w:val="22"/>
                <w:szCs w:val="22"/>
                <w:highlight w:val="none"/>
                <w:lang w:val="en-US" w:eastAsia="zh-CN"/>
              </w:rPr>
            </w:pPr>
            <w:r>
              <w:rPr>
                <w:rFonts w:hint="eastAsia" w:ascii="宋体" w:hAnsi="宋体" w:eastAsia="宋体" w:cs="宋体"/>
                <w:b w:val="0"/>
                <w:bCs/>
                <w:color w:val="auto"/>
                <w:kern w:val="0"/>
                <w:sz w:val="22"/>
                <w:szCs w:val="22"/>
                <w:highlight w:val="none"/>
                <w:lang w:val="en-US" w:eastAsia="zh-CN"/>
              </w:rPr>
              <w:t>投标人陈述和答辩</w:t>
            </w:r>
          </w:p>
        </w:tc>
        <w:tc>
          <w:tcPr>
            <w:tcW w:w="6461" w:type="dxa"/>
            <w:shd w:val="clear" w:color="auto" w:fill="auto"/>
            <w:vAlign w:val="center"/>
          </w:tcPr>
          <w:p w14:paraId="472379A0">
            <w:pPr>
              <w:keepNext w:val="0"/>
              <w:keepLines w:val="0"/>
              <w:pageBreakBefore w:val="0"/>
              <w:widowControl/>
              <w:kinsoku/>
              <w:wordWrap/>
              <w:overflowPunct/>
              <w:topLinePunct w:val="0"/>
              <w:autoSpaceDE/>
              <w:autoSpaceDN/>
              <w:bidi w:val="0"/>
              <w:adjustRightInd/>
              <w:snapToGrid w:val="0"/>
              <w:spacing w:line="300" w:lineRule="exact"/>
              <w:jc w:val="left"/>
              <w:textAlignment w:val="auto"/>
              <w:rPr>
                <w:rFonts w:hint="eastAsia" w:ascii="宋体" w:hAnsi="宋体" w:eastAsia="宋体" w:cs="宋体"/>
                <w:b w:val="0"/>
                <w:bCs/>
                <w:color w:val="auto"/>
                <w:kern w:val="0"/>
                <w:sz w:val="22"/>
                <w:szCs w:val="22"/>
                <w:highlight w:val="none"/>
                <w:lang w:val="en-US" w:eastAsia="zh-CN"/>
              </w:rPr>
            </w:pPr>
            <w:r>
              <w:rPr>
                <w:rFonts w:hint="eastAsia" w:ascii="宋体" w:hAnsi="宋体" w:eastAsia="宋体" w:cs="宋体"/>
                <w:b w:val="0"/>
                <w:bCs/>
                <w:color w:val="auto"/>
                <w:kern w:val="0"/>
                <w:sz w:val="22"/>
                <w:szCs w:val="22"/>
                <w:highlight w:val="none"/>
                <w:lang w:val="en-US" w:eastAsia="zh-CN"/>
              </w:rPr>
              <w:t>投标人针对运营方案内容进行综合性陈述、讲解（限时10分钟），并应对专家的提问，根据其讲解内容合理性、科学性、可行性，是否贴合项目需求综合打分。（</w:t>
            </w:r>
            <w:r>
              <w:rPr>
                <w:rFonts w:hint="eastAsia" w:ascii="宋体" w:hAnsi="宋体" w:cs="宋体"/>
                <w:b w:val="0"/>
                <w:bCs/>
                <w:color w:val="auto"/>
                <w:kern w:val="0"/>
                <w:sz w:val="22"/>
                <w:szCs w:val="22"/>
                <w:highlight w:val="none"/>
                <w:lang w:val="en-US" w:eastAsia="zh-CN"/>
              </w:rPr>
              <w:t>评分</w:t>
            </w:r>
            <w:r>
              <w:rPr>
                <w:rFonts w:hint="eastAsia" w:ascii="宋体" w:hAnsi="宋体" w:eastAsia="宋体" w:cs="宋体"/>
                <w:b w:val="0"/>
                <w:bCs/>
                <w:color w:val="auto"/>
                <w:kern w:val="0"/>
                <w:sz w:val="22"/>
                <w:szCs w:val="22"/>
                <w:highlight w:val="none"/>
                <w:lang w:val="en-US" w:eastAsia="zh-CN"/>
              </w:rPr>
              <w:t>分值：</w:t>
            </w:r>
            <w:r>
              <w:rPr>
                <w:rFonts w:hint="eastAsia" w:ascii="宋体" w:hAnsi="宋体" w:cs="宋体"/>
                <w:b w:val="0"/>
                <w:bCs/>
                <w:color w:val="auto"/>
                <w:kern w:val="0"/>
                <w:sz w:val="22"/>
                <w:szCs w:val="22"/>
                <w:highlight w:val="none"/>
                <w:lang w:val="en-US" w:eastAsia="zh-CN"/>
              </w:rPr>
              <w:t>5</w:t>
            </w:r>
            <w:r>
              <w:rPr>
                <w:rFonts w:hint="eastAsia" w:ascii="宋体" w:hAnsi="宋体" w:eastAsia="宋体" w:cs="宋体"/>
                <w:b w:val="0"/>
                <w:bCs/>
                <w:color w:val="auto"/>
                <w:kern w:val="0"/>
                <w:sz w:val="22"/>
                <w:szCs w:val="22"/>
                <w:highlight w:val="none"/>
                <w:lang w:val="en-US" w:eastAsia="zh-CN"/>
              </w:rPr>
              <w:t>，</w:t>
            </w:r>
            <w:r>
              <w:rPr>
                <w:rFonts w:hint="eastAsia" w:ascii="宋体" w:hAnsi="宋体" w:cs="宋体"/>
                <w:b w:val="0"/>
                <w:bCs/>
                <w:color w:val="auto"/>
                <w:kern w:val="0"/>
                <w:sz w:val="22"/>
                <w:szCs w:val="22"/>
                <w:highlight w:val="none"/>
                <w:lang w:val="en-US" w:eastAsia="zh-CN"/>
              </w:rPr>
              <w:t>4，</w:t>
            </w:r>
            <w:r>
              <w:rPr>
                <w:rFonts w:hint="eastAsia" w:ascii="宋体" w:hAnsi="宋体" w:eastAsia="宋体" w:cs="宋体"/>
                <w:b w:val="0"/>
                <w:bCs/>
                <w:color w:val="auto"/>
                <w:kern w:val="0"/>
                <w:sz w:val="22"/>
                <w:szCs w:val="22"/>
                <w:highlight w:val="none"/>
                <w:lang w:val="en-US" w:eastAsia="zh-CN"/>
              </w:rPr>
              <w:t>3，2，1，0）</w:t>
            </w:r>
            <w:r>
              <w:rPr>
                <w:rFonts w:hint="eastAsia" w:ascii="宋体" w:hAnsi="宋体" w:eastAsia="宋体" w:cs="宋体"/>
                <w:b w:val="0"/>
                <w:bCs/>
                <w:color w:val="auto"/>
                <w:kern w:val="0"/>
                <w:sz w:val="22"/>
                <w:szCs w:val="22"/>
                <w:highlight w:val="none"/>
                <w:lang w:val="en-US" w:eastAsia="zh-CN"/>
              </w:rPr>
              <w:br w:type="textWrapping"/>
            </w:r>
            <w:r>
              <w:rPr>
                <w:rFonts w:hint="eastAsia" w:ascii="宋体" w:hAnsi="宋体" w:eastAsia="宋体" w:cs="宋体"/>
                <w:b w:val="0"/>
                <w:bCs/>
                <w:color w:val="auto"/>
                <w:kern w:val="0"/>
                <w:sz w:val="22"/>
                <w:szCs w:val="22"/>
                <w:highlight w:val="none"/>
                <w:lang w:val="en-US" w:eastAsia="zh-CN"/>
              </w:rPr>
              <w:t>注：需到本项目评标现场[泰顺县公共资源交易中心5楼评标室（温州市泰顺县罗阳镇新城大道123号）]进行现场讲解，须提供法定代表人授权书，否则不得分。</w:t>
            </w:r>
          </w:p>
        </w:tc>
        <w:tc>
          <w:tcPr>
            <w:tcW w:w="1097" w:type="dxa"/>
            <w:shd w:val="clear" w:color="auto" w:fill="auto"/>
            <w:vAlign w:val="center"/>
          </w:tcPr>
          <w:p w14:paraId="6EF8EC01">
            <w:pPr>
              <w:keepNext w:val="0"/>
              <w:keepLines w:val="0"/>
              <w:pageBreakBefore w:val="0"/>
              <w:widowControl/>
              <w:kinsoku/>
              <w:wordWrap/>
              <w:overflowPunct/>
              <w:topLinePunct w:val="0"/>
              <w:autoSpaceDE/>
              <w:autoSpaceDN/>
              <w:bidi w:val="0"/>
              <w:adjustRightInd/>
              <w:snapToGrid w:val="0"/>
              <w:spacing w:line="300" w:lineRule="exact"/>
              <w:jc w:val="center"/>
              <w:textAlignment w:val="auto"/>
              <w:rPr>
                <w:rFonts w:hint="eastAsia" w:ascii="宋体" w:hAnsi="宋体" w:eastAsia="宋体" w:cs="宋体"/>
                <w:b w:val="0"/>
                <w:bCs/>
                <w:color w:val="auto"/>
                <w:kern w:val="0"/>
                <w:sz w:val="22"/>
                <w:szCs w:val="22"/>
                <w:highlight w:val="none"/>
                <w:lang w:val="en-US" w:eastAsia="zh-CN"/>
              </w:rPr>
            </w:pPr>
            <w:r>
              <w:rPr>
                <w:rFonts w:hint="eastAsia" w:ascii="宋体" w:hAnsi="宋体" w:eastAsia="宋体" w:cs="宋体"/>
                <w:b w:val="0"/>
                <w:bCs/>
                <w:color w:val="auto"/>
                <w:kern w:val="0"/>
                <w:sz w:val="22"/>
                <w:szCs w:val="22"/>
                <w:highlight w:val="none"/>
                <w:lang w:val="en-US" w:eastAsia="zh-CN"/>
              </w:rPr>
              <w:t>0-</w:t>
            </w:r>
            <w:r>
              <w:rPr>
                <w:rFonts w:hint="eastAsia" w:ascii="宋体" w:hAnsi="宋体" w:cs="宋体"/>
                <w:b w:val="0"/>
                <w:bCs/>
                <w:color w:val="auto"/>
                <w:kern w:val="0"/>
                <w:sz w:val="22"/>
                <w:szCs w:val="22"/>
                <w:highlight w:val="none"/>
                <w:lang w:val="en-US" w:eastAsia="zh-CN"/>
              </w:rPr>
              <w:t>5</w:t>
            </w:r>
            <w:r>
              <w:rPr>
                <w:rFonts w:hint="eastAsia" w:ascii="宋体" w:hAnsi="宋体" w:eastAsia="宋体" w:cs="宋体"/>
                <w:b w:val="0"/>
                <w:bCs/>
                <w:color w:val="auto"/>
                <w:kern w:val="0"/>
                <w:sz w:val="22"/>
                <w:szCs w:val="22"/>
                <w:highlight w:val="none"/>
                <w:lang w:val="en-US" w:eastAsia="zh-CN"/>
              </w:rPr>
              <w:t>分</w:t>
            </w:r>
          </w:p>
        </w:tc>
      </w:tr>
      <w:tr w14:paraId="0B8A09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666" w:type="dxa"/>
            <w:shd w:val="clear" w:color="auto" w:fill="auto"/>
            <w:vAlign w:val="center"/>
          </w:tcPr>
          <w:p w14:paraId="6E171DDA">
            <w:pPr>
              <w:keepNext w:val="0"/>
              <w:keepLines w:val="0"/>
              <w:pageBreakBefore w:val="0"/>
              <w:widowControl/>
              <w:numPr>
                <w:ilvl w:val="0"/>
                <w:numId w:val="9"/>
              </w:numPr>
              <w:kinsoku/>
              <w:wordWrap/>
              <w:overflowPunct/>
              <w:topLinePunct w:val="0"/>
              <w:autoSpaceDE/>
              <w:autoSpaceDN/>
              <w:bidi w:val="0"/>
              <w:adjustRightInd/>
              <w:snapToGrid w:val="0"/>
              <w:spacing w:line="300" w:lineRule="exact"/>
              <w:ind w:left="425" w:leftChars="0" w:hanging="425" w:firstLineChars="0"/>
              <w:jc w:val="center"/>
              <w:textAlignment w:val="auto"/>
              <w:rPr>
                <w:rFonts w:hint="eastAsia" w:ascii="宋体" w:hAnsi="宋体" w:eastAsia="宋体" w:cs="宋体"/>
                <w:b w:val="0"/>
                <w:bCs/>
                <w:color w:val="auto"/>
                <w:kern w:val="0"/>
                <w:sz w:val="22"/>
                <w:szCs w:val="22"/>
                <w:highlight w:val="none"/>
                <w:lang w:val="en-US" w:eastAsia="zh-CN"/>
              </w:rPr>
            </w:pPr>
          </w:p>
        </w:tc>
        <w:tc>
          <w:tcPr>
            <w:tcW w:w="1321" w:type="dxa"/>
            <w:shd w:val="clear" w:color="auto" w:fill="auto"/>
            <w:vAlign w:val="center"/>
          </w:tcPr>
          <w:p w14:paraId="3B0CAF41">
            <w:pPr>
              <w:keepNext w:val="0"/>
              <w:keepLines w:val="0"/>
              <w:pageBreakBefore w:val="0"/>
              <w:widowControl/>
              <w:kinsoku/>
              <w:wordWrap/>
              <w:overflowPunct/>
              <w:topLinePunct w:val="0"/>
              <w:autoSpaceDE/>
              <w:autoSpaceDN/>
              <w:bidi w:val="0"/>
              <w:adjustRightInd/>
              <w:snapToGrid w:val="0"/>
              <w:spacing w:line="300" w:lineRule="exact"/>
              <w:jc w:val="center"/>
              <w:textAlignment w:val="auto"/>
              <w:rPr>
                <w:rFonts w:hint="eastAsia" w:ascii="宋体" w:hAnsi="宋体" w:eastAsia="宋体" w:cs="宋体"/>
                <w:b w:val="0"/>
                <w:bCs/>
                <w:color w:val="auto"/>
                <w:kern w:val="0"/>
                <w:sz w:val="22"/>
                <w:szCs w:val="22"/>
                <w:highlight w:val="none"/>
                <w:lang w:val="en-US" w:eastAsia="zh-CN" w:bidi="ar-SA"/>
              </w:rPr>
            </w:pPr>
            <w:r>
              <w:rPr>
                <w:rFonts w:hint="eastAsia" w:ascii="宋体" w:hAnsi="宋体" w:cs="宋体"/>
                <w:b w:val="0"/>
                <w:bCs/>
                <w:color w:val="auto"/>
                <w:kern w:val="0"/>
                <w:sz w:val="22"/>
                <w:szCs w:val="22"/>
                <w:highlight w:val="none"/>
                <w:lang w:val="en-US" w:eastAsia="zh-CN"/>
              </w:rPr>
              <w:t>服务承诺</w:t>
            </w:r>
          </w:p>
        </w:tc>
        <w:tc>
          <w:tcPr>
            <w:tcW w:w="6461" w:type="dxa"/>
            <w:shd w:val="clear" w:color="auto" w:fill="auto"/>
            <w:vAlign w:val="center"/>
          </w:tcPr>
          <w:p w14:paraId="26FA71B5">
            <w:pPr>
              <w:keepNext w:val="0"/>
              <w:keepLines w:val="0"/>
              <w:pageBreakBefore w:val="0"/>
              <w:widowControl/>
              <w:kinsoku/>
              <w:wordWrap/>
              <w:overflowPunct/>
              <w:topLinePunct w:val="0"/>
              <w:autoSpaceDE/>
              <w:autoSpaceDN/>
              <w:bidi w:val="0"/>
              <w:adjustRightInd/>
              <w:snapToGrid w:val="0"/>
              <w:spacing w:line="300" w:lineRule="exact"/>
              <w:jc w:val="left"/>
              <w:textAlignment w:val="auto"/>
              <w:rPr>
                <w:rFonts w:hint="eastAsia" w:ascii="宋体" w:hAnsi="宋体" w:eastAsia="宋体" w:cs="宋体"/>
                <w:b w:val="0"/>
                <w:bCs/>
                <w:color w:val="auto"/>
                <w:kern w:val="0"/>
                <w:sz w:val="22"/>
                <w:szCs w:val="22"/>
                <w:highlight w:val="none"/>
                <w:lang w:val="en-US" w:eastAsia="zh-CN" w:bidi="ar-SA"/>
              </w:rPr>
            </w:pPr>
            <w:r>
              <w:rPr>
                <w:rFonts w:hint="eastAsia" w:ascii="宋体" w:hAnsi="宋体" w:eastAsia="宋体" w:cs="宋体"/>
                <w:b w:val="0"/>
                <w:bCs/>
                <w:color w:val="auto"/>
                <w:kern w:val="0"/>
                <w:sz w:val="22"/>
                <w:szCs w:val="22"/>
                <w:highlight w:val="none"/>
                <w:lang w:val="en-US" w:eastAsia="zh-CN"/>
              </w:rPr>
              <w:t>投标供应商针对本项目服务承诺</w:t>
            </w:r>
            <w:r>
              <w:rPr>
                <w:rFonts w:hint="eastAsia" w:ascii="宋体" w:hAnsi="宋体" w:cs="宋体"/>
                <w:b w:val="0"/>
                <w:bCs/>
                <w:color w:val="auto"/>
                <w:kern w:val="0"/>
                <w:sz w:val="22"/>
                <w:szCs w:val="22"/>
                <w:highlight w:val="none"/>
                <w:lang w:val="en-US" w:eastAsia="zh-CN"/>
              </w:rPr>
              <w:t>，针对</w:t>
            </w:r>
            <w:r>
              <w:rPr>
                <w:rFonts w:hint="eastAsia" w:ascii="宋体" w:hAnsi="宋体" w:eastAsia="宋体" w:cs="宋体"/>
                <w:b w:val="0"/>
                <w:bCs/>
                <w:color w:val="auto"/>
                <w:kern w:val="0"/>
                <w:sz w:val="22"/>
                <w:szCs w:val="22"/>
                <w:highlight w:val="none"/>
                <w:lang w:val="en-US" w:eastAsia="zh-CN"/>
              </w:rPr>
              <w:t>方案</w:t>
            </w:r>
            <w:r>
              <w:rPr>
                <w:rFonts w:hint="eastAsia" w:ascii="宋体" w:hAnsi="宋体" w:cs="宋体"/>
                <w:b w:val="0"/>
                <w:bCs/>
                <w:color w:val="auto"/>
                <w:kern w:val="0"/>
                <w:sz w:val="22"/>
                <w:szCs w:val="22"/>
                <w:highlight w:val="none"/>
                <w:lang w:val="en-US" w:eastAsia="zh-CN"/>
              </w:rPr>
              <w:t>是否</w:t>
            </w:r>
            <w:r>
              <w:rPr>
                <w:rFonts w:hint="eastAsia" w:ascii="宋体" w:hAnsi="宋体" w:eastAsia="宋体" w:cs="宋体"/>
                <w:b w:val="0"/>
                <w:bCs/>
                <w:color w:val="auto"/>
                <w:kern w:val="0"/>
                <w:sz w:val="22"/>
                <w:szCs w:val="22"/>
                <w:highlight w:val="none"/>
                <w:lang w:val="en-US" w:eastAsia="zh-CN"/>
              </w:rPr>
              <w:t>完善合理、</w:t>
            </w:r>
            <w:r>
              <w:rPr>
                <w:rFonts w:hint="eastAsia" w:ascii="宋体" w:hAnsi="宋体" w:cs="宋体"/>
                <w:b w:val="0"/>
                <w:bCs/>
                <w:color w:val="auto"/>
                <w:kern w:val="0"/>
                <w:sz w:val="22"/>
                <w:szCs w:val="22"/>
                <w:highlight w:val="none"/>
                <w:lang w:val="en-US" w:eastAsia="zh-CN"/>
              </w:rPr>
              <w:t>有</w:t>
            </w:r>
            <w:r>
              <w:rPr>
                <w:rFonts w:hint="eastAsia" w:ascii="宋体" w:hAnsi="宋体" w:eastAsia="宋体" w:cs="宋体"/>
                <w:b w:val="0"/>
                <w:bCs/>
                <w:color w:val="auto"/>
                <w:kern w:val="0"/>
                <w:sz w:val="22"/>
                <w:szCs w:val="22"/>
                <w:highlight w:val="none"/>
                <w:lang w:val="en-US" w:eastAsia="zh-CN"/>
              </w:rPr>
              <w:t>针对性强、切实可行</w:t>
            </w:r>
            <w:r>
              <w:rPr>
                <w:rFonts w:hint="eastAsia" w:ascii="宋体" w:hAnsi="宋体" w:cs="宋体"/>
                <w:b w:val="0"/>
                <w:bCs/>
                <w:color w:val="auto"/>
                <w:kern w:val="0"/>
                <w:sz w:val="22"/>
                <w:szCs w:val="22"/>
                <w:highlight w:val="none"/>
                <w:lang w:val="en-US" w:eastAsia="zh-CN"/>
              </w:rPr>
              <w:t>，贴合项目需求情况综合打分</w:t>
            </w:r>
            <w:r>
              <w:rPr>
                <w:rFonts w:hint="eastAsia" w:ascii="宋体" w:hAnsi="宋体" w:eastAsia="宋体" w:cs="宋体"/>
                <w:b w:val="0"/>
                <w:bCs/>
                <w:color w:val="auto"/>
                <w:kern w:val="0"/>
                <w:sz w:val="22"/>
                <w:szCs w:val="22"/>
                <w:highlight w:val="none"/>
                <w:lang w:val="en-US" w:eastAsia="zh-CN"/>
              </w:rPr>
              <w:t>。（评分分值：5,4，3，2，1，0）</w:t>
            </w:r>
          </w:p>
        </w:tc>
        <w:tc>
          <w:tcPr>
            <w:tcW w:w="1097" w:type="dxa"/>
            <w:shd w:val="clear" w:color="auto" w:fill="auto"/>
            <w:vAlign w:val="center"/>
          </w:tcPr>
          <w:p w14:paraId="14470EA9">
            <w:pPr>
              <w:keepNext w:val="0"/>
              <w:keepLines w:val="0"/>
              <w:pageBreakBefore w:val="0"/>
              <w:widowControl/>
              <w:kinsoku/>
              <w:wordWrap/>
              <w:overflowPunct/>
              <w:topLinePunct w:val="0"/>
              <w:autoSpaceDE/>
              <w:autoSpaceDN/>
              <w:bidi w:val="0"/>
              <w:adjustRightInd/>
              <w:snapToGrid w:val="0"/>
              <w:spacing w:line="300" w:lineRule="exact"/>
              <w:jc w:val="center"/>
              <w:textAlignment w:val="auto"/>
              <w:rPr>
                <w:rFonts w:hint="eastAsia" w:ascii="宋体" w:hAnsi="宋体" w:eastAsia="宋体" w:cs="宋体"/>
                <w:b w:val="0"/>
                <w:bCs/>
                <w:color w:val="auto"/>
                <w:kern w:val="0"/>
                <w:sz w:val="22"/>
                <w:szCs w:val="22"/>
                <w:highlight w:val="none"/>
                <w:lang w:val="en-US" w:eastAsia="zh-CN" w:bidi="ar-SA"/>
              </w:rPr>
            </w:pPr>
            <w:r>
              <w:rPr>
                <w:rFonts w:hint="eastAsia" w:ascii="宋体" w:hAnsi="宋体" w:cs="宋体"/>
                <w:b w:val="0"/>
                <w:bCs/>
                <w:color w:val="auto"/>
                <w:kern w:val="0"/>
                <w:sz w:val="22"/>
                <w:szCs w:val="22"/>
                <w:highlight w:val="none"/>
                <w:lang w:val="en-US" w:eastAsia="zh-CN"/>
              </w:rPr>
              <w:t>0-5分</w:t>
            </w:r>
          </w:p>
        </w:tc>
      </w:tr>
      <w:tr w14:paraId="3DDF17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trPr>
        <w:tc>
          <w:tcPr>
            <w:tcW w:w="666" w:type="dxa"/>
            <w:vAlign w:val="center"/>
          </w:tcPr>
          <w:p w14:paraId="59A1C8B9">
            <w:pPr>
              <w:keepNext w:val="0"/>
              <w:keepLines w:val="0"/>
              <w:pageBreakBefore w:val="0"/>
              <w:widowControl/>
              <w:kinsoku/>
              <w:wordWrap/>
              <w:overflowPunct/>
              <w:topLinePunct w:val="0"/>
              <w:autoSpaceDE/>
              <w:autoSpaceDN/>
              <w:bidi w:val="0"/>
              <w:adjustRightInd/>
              <w:snapToGrid w:val="0"/>
              <w:spacing w:line="300" w:lineRule="exact"/>
              <w:jc w:val="center"/>
              <w:textAlignment w:val="auto"/>
              <w:rPr>
                <w:rFonts w:hint="eastAsia" w:ascii="宋体" w:hAnsi="宋体" w:eastAsia="宋体" w:cs="宋体"/>
                <w:b w:val="0"/>
                <w:bCs/>
                <w:color w:val="auto"/>
                <w:kern w:val="0"/>
                <w:sz w:val="22"/>
                <w:szCs w:val="22"/>
                <w:highlight w:val="none"/>
                <w:lang w:val="en-US" w:eastAsia="zh-CN"/>
              </w:rPr>
            </w:pPr>
          </w:p>
        </w:tc>
        <w:tc>
          <w:tcPr>
            <w:tcW w:w="1321" w:type="dxa"/>
            <w:vAlign w:val="center"/>
          </w:tcPr>
          <w:p w14:paraId="35524116">
            <w:pPr>
              <w:keepNext w:val="0"/>
              <w:keepLines w:val="0"/>
              <w:pageBreakBefore w:val="0"/>
              <w:widowControl/>
              <w:kinsoku/>
              <w:wordWrap/>
              <w:overflowPunct/>
              <w:topLinePunct w:val="0"/>
              <w:autoSpaceDE/>
              <w:autoSpaceDN/>
              <w:bidi w:val="0"/>
              <w:adjustRightInd/>
              <w:snapToGrid w:val="0"/>
              <w:spacing w:line="300" w:lineRule="exact"/>
              <w:jc w:val="center"/>
              <w:textAlignment w:val="auto"/>
              <w:rPr>
                <w:rFonts w:hint="eastAsia" w:ascii="宋体" w:hAnsi="宋体" w:eastAsia="宋体" w:cs="宋体"/>
                <w:b w:val="0"/>
                <w:bCs/>
                <w:color w:val="auto"/>
                <w:kern w:val="0"/>
                <w:sz w:val="22"/>
                <w:szCs w:val="22"/>
                <w:highlight w:val="none"/>
                <w:lang w:val="en-US" w:eastAsia="zh-CN"/>
              </w:rPr>
            </w:pPr>
          </w:p>
        </w:tc>
        <w:tc>
          <w:tcPr>
            <w:tcW w:w="6461" w:type="dxa"/>
            <w:vAlign w:val="center"/>
          </w:tcPr>
          <w:p w14:paraId="67074CE9">
            <w:pPr>
              <w:keepNext w:val="0"/>
              <w:keepLines w:val="0"/>
              <w:pageBreakBefore w:val="0"/>
              <w:widowControl/>
              <w:kinsoku/>
              <w:wordWrap/>
              <w:overflowPunct/>
              <w:topLinePunct w:val="0"/>
              <w:autoSpaceDE/>
              <w:autoSpaceDN/>
              <w:bidi w:val="0"/>
              <w:adjustRightInd/>
              <w:snapToGrid w:val="0"/>
              <w:spacing w:line="300" w:lineRule="exact"/>
              <w:jc w:val="left"/>
              <w:textAlignment w:val="auto"/>
              <w:rPr>
                <w:rFonts w:hint="eastAsia" w:ascii="宋体" w:hAnsi="宋体" w:eastAsia="宋体" w:cs="宋体"/>
                <w:b w:val="0"/>
                <w:bCs/>
                <w:color w:val="auto"/>
                <w:kern w:val="0"/>
                <w:sz w:val="22"/>
                <w:szCs w:val="22"/>
                <w:highlight w:val="none"/>
                <w:lang w:val="en-US" w:eastAsia="zh-CN"/>
              </w:rPr>
            </w:pPr>
            <w:r>
              <w:rPr>
                <w:rFonts w:hint="eastAsia" w:ascii="宋体" w:hAnsi="宋体" w:eastAsia="宋体" w:cs="宋体"/>
                <w:b/>
                <w:bCs w:val="0"/>
                <w:color w:val="auto"/>
                <w:kern w:val="0"/>
                <w:sz w:val="22"/>
                <w:szCs w:val="22"/>
                <w:highlight w:val="none"/>
                <w:lang w:val="en-US" w:eastAsia="zh-CN"/>
              </w:rPr>
              <w:t>（二）</w:t>
            </w:r>
            <w:r>
              <w:rPr>
                <w:rFonts w:hint="eastAsia" w:ascii="宋体" w:hAnsi="宋体" w:cs="宋体"/>
                <w:b/>
                <w:bCs w:val="0"/>
                <w:color w:val="auto"/>
                <w:kern w:val="0"/>
                <w:sz w:val="22"/>
                <w:szCs w:val="22"/>
                <w:highlight w:val="none"/>
                <w:lang w:val="en-US" w:eastAsia="zh-CN"/>
              </w:rPr>
              <w:t>改造</w:t>
            </w:r>
            <w:r>
              <w:rPr>
                <w:rFonts w:hint="eastAsia" w:ascii="宋体" w:hAnsi="宋体" w:eastAsia="宋体" w:cs="宋体"/>
                <w:b/>
                <w:bCs w:val="0"/>
                <w:color w:val="auto"/>
                <w:kern w:val="0"/>
                <w:sz w:val="22"/>
                <w:szCs w:val="22"/>
                <w:highlight w:val="none"/>
                <w:lang w:val="en-US" w:eastAsia="zh-CN"/>
              </w:rPr>
              <w:t>实施部分的评分（35分）</w:t>
            </w:r>
          </w:p>
        </w:tc>
        <w:tc>
          <w:tcPr>
            <w:tcW w:w="1097" w:type="dxa"/>
            <w:vAlign w:val="center"/>
          </w:tcPr>
          <w:p w14:paraId="68F49AFC">
            <w:pPr>
              <w:keepNext w:val="0"/>
              <w:keepLines w:val="0"/>
              <w:pageBreakBefore w:val="0"/>
              <w:widowControl/>
              <w:kinsoku/>
              <w:wordWrap/>
              <w:overflowPunct/>
              <w:topLinePunct w:val="0"/>
              <w:autoSpaceDE/>
              <w:autoSpaceDN/>
              <w:bidi w:val="0"/>
              <w:adjustRightInd/>
              <w:snapToGrid w:val="0"/>
              <w:spacing w:line="300" w:lineRule="exact"/>
              <w:jc w:val="center"/>
              <w:textAlignment w:val="auto"/>
              <w:rPr>
                <w:rFonts w:hint="eastAsia" w:ascii="宋体" w:hAnsi="宋体" w:eastAsia="宋体" w:cs="宋体"/>
                <w:b w:val="0"/>
                <w:bCs/>
                <w:color w:val="auto"/>
                <w:kern w:val="0"/>
                <w:sz w:val="22"/>
                <w:szCs w:val="22"/>
                <w:highlight w:val="none"/>
                <w:lang w:val="en-US" w:eastAsia="zh-CN"/>
              </w:rPr>
            </w:pPr>
          </w:p>
        </w:tc>
      </w:tr>
      <w:tr w14:paraId="166F4C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35" w:hRule="atLeast"/>
        </w:trPr>
        <w:tc>
          <w:tcPr>
            <w:tcW w:w="666" w:type="dxa"/>
            <w:vAlign w:val="center"/>
          </w:tcPr>
          <w:p w14:paraId="7572614B">
            <w:pPr>
              <w:keepNext w:val="0"/>
              <w:keepLines w:val="0"/>
              <w:pageBreakBefore w:val="0"/>
              <w:widowControl/>
              <w:numPr>
                <w:ilvl w:val="0"/>
                <w:numId w:val="9"/>
              </w:numPr>
              <w:kinsoku/>
              <w:wordWrap/>
              <w:overflowPunct/>
              <w:topLinePunct w:val="0"/>
              <w:autoSpaceDE/>
              <w:autoSpaceDN/>
              <w:bidi w:val="0"/>
              <w:adjustRightInd/>
              <w:snapToGrid w:val="0"/>
              <w:spacing w:line="300" w:lineRule="exact"/>
              <w:ind w:left="425" w:leftChars="0" w:hanging="425" w:firstLineChars="0"/>
              <w:jc w:val="center"/>
              <w:textAlignment w:val="auto"/>
              <w:rPr>
                <w:rFonts w:hint="eastAsia" w:ascii="宋体" w:hAnsi="宋体" w:eastAsia="宋体" w:cs="宋体"/>
                <w:b w:val="0"/>
                <w:bCs/>
                <w:color w:val="auto"/>
                <w:kern w:val="0"/>
                <w:sz w:val="22"/>
                <w:szCs w:val="22"/>
                <w:highlight w:val="none"/>
                <w:lang w:val="en-US" w:eastAsia="zh-CN"/>
              </w:rPr>
            </w:pPr>
          </w:p>
        </w:tc>
        <w:tc>
          <w:tcPr>
            <w:tcW w:w="1321" w:type="dxa"/>
            <w:shd w:val="clear" w:color="auto" w:fill="auto"/>
            <w:vAlign w:val="center"/>
          </w:tcPr>
          <w:p w14:paraId="22DAD6CB">
            <w:pPr>
              <w:keepNext w:val="0"/>
              <w:keepLines w:val="0"/>
              <w:pageBreakBefore w:val="0"/>
              <w:widowControl/>
              <w:kinsoku/>
              <w:wordWrap/>
              <w:overflowPunct/>
              <w:topLinePunct w:val="0"/>
              <w:autoSpaceDE/>
              <w:autoSpaceDN/>
              <w:bidi w:val="0"/>
              <w:adjustRightInd/>
              <w:snapToGrid w:val="0"/>
              <w:spacing w:line="300" w:lineRule="exact"/>
              <w:jc w:val="center"/>
              <w:textAlignment w:val="auto"/>
              <w:rPr>
                <w:rFonts w:hint="default" w:ascii="宋体" w:hAnsi="宋体" w:eastAsia="宋体" w:cs="宋体"/>
                <w:b w:val="0"/>
                <w:bCs/>
                <w:color w:val="auto"/>
                <w:kern w:val="0"/>
                <w:sz w:val="22"/>
                <w:szCs w:val="22"/>
                <w:highlight w:val="none"/>
                <w:lang w:val="en-US" w:eastAsia="zh-CN" w:bidi="ar-SA"/>
              </w:rPr>
            </w:pPr>
            <w:r>
              <w:rPr>
                <w:rFonts w:hint="eastAsia" w:ascii="宋体" w:hAnsi="宋体" w:eastAsia="宋体" w:cs="宋体"/>
                <w:b w:val="0"/>
                <w:bCs/>
                <w:color w:val="auto"/>
                <w:kern w:val="0"/>
                <w:sz w:val="22"/>
                <w:szCs w:val="22"/>
                <w:highlight w:val="none"/>
                <w:lang w:val="en-US" w:eastAsia="zh-CN"/>
              </w:rPr>
              <w:t>项目负责人及项目</w:t>
            </w:r>
            <w:r>
              <w:rPr>
                <w:rFonts w:hint="eastAsia" w:ascii="宋体" w:hAnsi="宋体" w:cs="宋体"/>
                <w:b w:val="0"/>
                <w:bCs/>
                <w:color w:val="auto"/>
                <w:kern w:val="0"/>
                <w:sz w:val="22"/>
                <w:szCs w:val="22"/>
                <w:highlight w:val="none"/>
                <w:lang w:val="en-US" w:eastAsia="zh-CN"/>
              </w:rPr>
              <w:t>组成人员</w:t>
            </w:r>
          </w:p>
        </w:tc>
        <w:tc>
          <w:tcPr>
            <w:tcW w:w="6461" w:type="dxa"/>
            <w:shd w:val="clear" w:color="auto" w:fill="auto"/>
            <w:vAlign w:val="center"/>
          </w:tcPr>
          <w:p w14:paraId="5E6CC6D0">
            <w:pPr>
              <w:keepNext w:val="0"/>
              <w:keepLines w:val="0"/>
              <w:pageBreakBefore w:val="0"/>
              <w:widowControl/>
              <w:kinsoku/>
              <w:wordWrap/>
              <w:overflowPunct/>
              <w:topLinePunct w:val="0"/>
              <w:autoSpaceDE/>
              <w:autoSpaceDN/>
              <w:bidi w:val="0"/>
              <w:adjustRightInd/>
              <w:snapToGrid w:val="0"/>
              <w:spacing w:line="300" w:lineRule="exact"/>
              <w:jc w:val="left"/>
              <w:textAlignment w:val="auto"/>
              <w:rPr>
                <w:rFonts w:hint="default" w:ascii="宋体" w:hAnsi="宋体" w:eastAsia="宋体" w:cs="宋体"/>
                <w:b w:val="0"/>
                <w:bCs/>
                <w:color w:val="auto"/>
                <w:kern w:val="0"/>
                <w:sz w:val="22"/>
                <w:szCs w:val="22"/>
                <w:highlight w:val="none"/>
                <w:lang w:val="en-US" w:eastAsia="zh-CN"/>
              </w:rPr>
            </w:pPr>
            <w:r>
              <w:rPr>
                <w:rFonts w:hint="eastAsia" w:ascii="宋体" w:hAnsi="宋体" w:eastAsia="宋体" w:cs="宋体"/>
                <w:b w:val="0"/>
                <w:bCs/>
                <w:color w:val="auto"/>
                <w:kern w:val="0"/>
                <w:sz w:val="22"/>
                <w:szCs w:val="22"/>
                <w:highlight w:val="none"/>
                <w:lang w:val="en-US" w:eastAsia="zh-CN"/>
              </w:rPr>
              <w:t>拟派建设项目负责人具有注册在投标人单位的注册土木工程师(水利水电工程)或注册建造师[水利水电工程</w:t>
            </w:r>
            <w:r>
              <w:rPr>
                <w:rFonts w:hint="eastAsia" w:ascii="宋体" w:hAnsi="宋体" w:cs="宋体"/>
                <w:b w:val="0"/>
                <w:bCs/>
                <w:color w:val="auto"/>
                <w:kern w:val="0"/>
                <w:sz w:val="22"/>
                <w:szCs w:val="22"/>
                <w:highlight w:val="none"/>
                <w:lang w:val="en-US" w:eastAsia="zh-CN"/>
              </w:rPr>
              <w:t>（或市政工程</w:t>
            </w:r>
            <w:r>
              <w:rPr>
                <w:rFonts w:hint="eastAsia" w:ascii="宋体" w:hAnsi="宋体" w:eastAsia="宋体" w:cs="宋体"/>
                <w:b w:val="0"/>
                <w:bCs/>
                <w:color w:val="auto"/>
                <w:kern w:val="0"/>
                <w:sz w:val="22"/>
                <w:szCs w:val="22"/>
                <w:highlight w:val="none"/>
                <w:lang w:val="en-US" w:eastAsia="zh-CN"/>
              </w:rPr>
              <w:t>）二级及以上]执业资格的得</w:t>
            </w:r>
            <w:r>
              <w:rPr>
                <w:rFonts w:hint="eastAsia" w:ascii="宋体" w:hAnsi="宋体" w:cs="宋体"/>
                <w:b w:val="0"/>
                <w:bCs/>
                <w:color w:val="auto"/>
                <w:kern w:val="0"/>
                <w:sz w:val="22"/>
                <w:szCs w:val="22"/>
                <w:highlight w:val="none"/>
                <w:lang w:val="en-US" w:eastAsia="zh-CN"/>
              </w:rPr>
              <w:t>3.5</w:t>
            </w:r>
            <w:r>
              <w:rPr>
                <w:rFonts w:hint="eastAsia" w:ascii="宋体" w:hAnsi="宋体" w:eastAsia="宋体" w:cs="宋体"/>
                <w:b w:val="0"/>
                <w:bCs/>
                <w:color w:val="auto"/>
                <w:kern w:val="0"/>
                <w:sz w:val="22"/>
                <w:szCs w:val="22"/>
                <w:highlight w:val="none"/>
                <w:lang w:val="en-US" w:eastAsia="zh-CN"/>
              </w:rPr>
              <w:t>分；具有安全生产考核B证的得</w:t>
            </w:r>
            <w:r>
              <w:rPr>
                <w:rFonts w:hint="eastAsia" w:ascii="宋体" w:hAnsi="宋体" w:cs="宋体"/>
                <w:b w:val="0"/>
                <w:bCs/>
                <w:color w:val="auto"/>
                <w:kern w:val="0"/>
                <w:sz w:val="22"/>
                <w:szCs w:val="22"/>
                <w:highlight w:val="none"/>
                <w:lang w:val="en-US" w:eastAsia="zh-CN"/>
              </w:rPr>
              <w:t>3.5</w:t>
            </w:r>
            <w:r>
              <w:rPr>
                <w:rFonts w:hint="eastAsia" w:ascii="宋体" w:hAnsi="宋体" w:eastAsia="宋体" w:cs="宋体"/>
                <w:b w:val="0"/>
                <w:bCs/>
                <w:color w:val="auto"/>
                <w:kern w:val="0"/>
                <w:sz w:val="22"/>
                <w:szCs w:val="22"/>
                <w:highlight w:val="none"/>
                <w:lang w:val="en-US" w:eastAsia="zh-CN"/>
              </w:rPr>
              <w:t>分；（0-</w:t>
            </w:r>
            <w:r>
              <w:rPr>
                <w:rFonts w:hint="eastAsia" w:ascii="宋体" w:hAnsi="宋体" w:cs="宋体"/>
                <w:b w:val="0"/>
                <w:bCs/>
                <w:color w:val="auto"/>
                <w:kern w:val="0"/>
                <w:sz w:val="22"/>
                <w:szCs w:val="22"/>
                <w:highlight w:val="none"/>
                <w:lang w:val="en-US" w:eastAsia="zh-CN"/>
              </w:rPr>
              <w:t>7</w:t>
            </w:r>
            <w:r>
              <w:rPr>
                <w:rFonts w:hint="eastAsia" w:ascii="宋体" w:hAnsi="宋体" w:eastAsia="宋体" w:cs="宋体"/>
                <w:b w:val="0"/>
                <w:bCs/>
                <w:color w:val="auto"/>
                <w:kern w:val="0"/>
                <w:sz w:val="22"/>
                <w:szCs w:val="22"/>
                <w:highlight w:val="none"/>
                <w:lang w:val="en-US" w:eastAsia="zh-CN"/>
              </w:rPr>
              <w:t>分）</w:t>
            </w:r>
            <w:r>
              <w:rPr>
                <w:rFonts w:hint="eastAsia" w:ascii="宋体" w:hAnsi="宋体" w:eastAsia="宋体" w:cs="宋体"/>
                <w:b w:val="0"/>
                <w:bCs/>
                <w:color w:val="auto"/>
                <w:kern w:val="0"/>
                <w:sz w:val="22"/>
                <w:szCs w:val="22"/>
                <w:highlight w:val="none"/>
                <w:lang w:val="en-US" w:eastAsia="zh-CN"/>
              </w:rPr>
              <w:br w:type="textWrapping"/>
            </w:r>
            <w:r>
              <w:rPr>
                <w:rFonts w:hint="eastAsia" w:ascii="宋体" w:hAnsi="宋体" w:cs="宋体"/>
                <w:b w:val="0"/>
                <w:bCs/>
                <w:color w:val="auto"/>
                <w:kern w:val="0"/>
                <w:sz w:val="22"/>
                <w:szCs w:val="22"/>
                <w:highlight w:val="none"/>
                <w:lang w:val="en-US" w:eastAsia="zh-CN"/>
              </w:rPr>
              <w:t>项目组成员中具有施工员、材料员、质检员的，每具有一个得1分，最高的3分。</w:t>
            </w:r>
          </w:p>
          <w:p w14:paraId="4A75B1D2">
            <w:pPr>
              <w:keepNext w:val="0"/>
              <w:keepLines w:val="0"/>
              <w:pageBreakBefore w:val="0"/>
              <w:widowControl/>
              <w:kinsoku/>
              <w:wordWrap/>
              <w:overflowPunct/>
              <w:topLinePunct w:val="0"/>
              <w:autoSpaceDE/>
              <w:autoSpaceDN/>
              <w:bidi w:val="0"/>
              <w:adjustRightInd/>
              <w:snapToGrid w:val="0"/>
              <w:spacing w:line="300" w:lineRule="exact"/>
              <w:jc w:val="left"/>
              <w:textAlignment w:val="auto"/>
              <w:rPr>
                <w:rFonts w:hint="eastAsia" w:ascii="宋体" w:hAnsi="宋体" w:eastAsia="宋体" w:cs="宋体"/>
                <w:b w:val="0"/>
                <w:bCs/>
                <w:color w:val="auto"/>
                <w:kern w:val="0"/>
                <w:sz w:val="22"/>
                <w:szCs w:val="22"/>
                <w:highlight w:val="none"/>
                <w:lang w:val="en-US" w:eastAsia="zh-CN" w:bidi="ar-SA"/>
              </w:rPr>
            </w:pPr>
            <w:r>
              <w:rPr>
                <w:rFonts w:hint="eastAsia" w:ascii="宋体" w:hAnsi="宋体" w:eastAsia="宋体" w:cs="宋体"/>
                <w:b w:val="0"/>
                <w:bCs/>
                <w:color w:val="auto"/>
                <w:kern w:val="0"/>
                <w:sz w:val="22"/>
                <w:szCs w:val="22"/>
                <w:highlight w:val="none"/>
                <w:lang w:val="en-US" w:eastAsia="zh-CN"/>
              </w:rPr>
              <w:t>注：以上人员均需提供对应的证书原件扫描件或复印件、社保缴纳证明，否则不得分。</w:t>
            </w:r>
          </w:p>
        </w:tc>
        <w:tc>
          <w:tcPr>
            <w:tcW w:w="1097" w:type="dxa"/>
            <w:shd w:val="clear" w:color="auto" w:fill="auto"/>
            <w:vAlign w:val="center"/>
          </w:tcPr>
          <w:p w14:paraId="3589805C">
            <w:pPr>
              <w:keepNext w:val="0"/>
              <w:keepLines w:val="0"/>
              <w:pageBreakBefore w:val="0"/>
              <w:widowControl/>
              <w:kinsoku/>
              <w:wordWrap/>
              <w:overflowPunct/>
              <w:topLinePunct w:val="0"/>
              <w:autoSpaceDE/>
              <w:autoSpaceDN/>
              <w:bidi w:val="0"/>
              <w:adjustRightInd/>
              <w:snapToGrid w:val="0"/>
              <w:spacing w:line="300" w:lineRule="exact"/>
              <w:jc w:val="center"/>
              <w:textAlignment w:val="auto"/>
              <w:rPr>
                <w:rFonts w:hint="eastAsia" w:ascii="宋体" w:hAnsi="宋体" w:eastAsia="宋体" w:cs="宋体"/>
                <w:b w:val="0"/>
                <w:bCs/>
                <w:color w:val="auto"/>
                <w:kern w:val="0"/>
                <w:sz w:val="22"/>
                <w:szCs w:val="22"/>
                <w:highlight w:val="none"/>
                <w:lang w:val="en-US" w:eastAsia="zh-CN" w:bidi="ar-SA"/>
              </w:rPr>
            </w:pPr>
            <w:r>
              <w:rPr>
                <w:rFonts w:hint="eastAsia" w:ascii="宋体" w:hAnsi="宋体" w:eastAsia="宋体" w:cs="宋体"/>
                <w:b w:val="0"/>
                <w:bCs/>
                <w:color w:val="auto"/>
                <w:kern w:val="0"/>
                <w:sz w:val="22"/>
                <w:szCs w:val="22"/>
                <w:highlight w:val="none"/>
                <w:lang w:val="en-US" w:eastAsia="zh-CN"/>
              </w:rPr>
              <w:t>0-</w:t>
            </w:r>
            <w:r>
              <w:rPr>
                <w:rFonts w:hint="eastAsia" w:ascii="宋体" w:hAnsi="宋体" w:cs="宋体"/>
                <w:b w:val="0"/>
                <w:bCs/>
                <w:color w:val="auto"/>
                <w:kern w:val="0"/>
                <w:sz w:val="22"/>
                <w:szCs w:val="22"/>
                <w:highlight w:val="none"/>
                <w:lang w:val="en-US" w:eastAsia="zh-CN"/>
              </w:rPr>
              <w:t>10</w:t>
            </w:r>
            <w:r>
              <w:rPr>
                <w:rFonts w:hint="eastAsia" w:ascii="宋体" w:hAnsi="宋体" w:eastAsia="宋体" w:cs="宋体"/>
                <w:b w:val="0"/>
                <w:bCs/>
                <w:color w:val="auto"/>
                <w:kern w:val="0"/>
                <w:sz w:val="22"/>
                <w:szCs w:val="22"/>
                <w:highlight w:val="none"/>
                <w:lang w:val="en-US" w:eastAsia="zh-CN"/>
              </w:rPr>
              <w:t>分</w:t>
            </w:r>
          </w:p>
        </w:tc>
      </w:tr>
      <w:tr w14:paraId="46D90A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7" w:hRule="atLeast"/>
        </w:trPr>
        <w:tc>
          <w:tcPr>
            <w:tcW w:w="666" w:type="dxa"/>
            <w:vAlign w:val="center"/>
          </w:tcPr>
          <w:p w14:paraId="608BFDCB">
            <w:pPr>
              <w:keepNext w:val="0"/>
              <w:keepLines w:val="0"/>
              <w:pageBreakBefore w:val="0"/>
              <w:widowControl/>
              <w:numPr>
                <w:ilvl w:val="0"/>
                <w:numId w:val="9"/>
              </w:numPr>
              <w:kinsoku/>
              <w:wordWrap/>
              <w:overflowPunct/>
              <w:topLinePunct w:val="0"/>
              <w:autoSpaceDE/>
              <w:autoSpaceDN/>
              <w:bidi w:val="0"/>
              <w:adjustRightInd/>
              <w:snapToGrid w:val="0"/>
              <w:spacing w:line="300" w:lineRule="exact"/>
              <w:ind w:left="425" w:leftChars="0" w:hanging="425" w:firstLineChars="0"/>
              <w:jc w:val="center"/>
              <w:textAlignment w:val="auto"/>
              <w:rPr>
                <w:rFonts w:hint="eastAsia" w:ascii="宋体" w:hAnsi="宋体" w:eastAsia="宋体" w:cs="宋体"/>
                <w:b w:val="0"/>
                <w:bCs/>
                <w:color w:val="auto"/>
                <w:kern w:val="0"/>
                <w:sz w:val="22"/>
                <w:szCs w:val="22"/>
                <w:highlight w:val="none"/>
                <w:lang w:val="en-US" w:eastAsia="zh-CN"/>
              </w:rPr>
            </w:pPr>
          </w:p>
        </w:tc>
        <w:tc>
          <w:tcPr>
            <w:tcW w:w="1321" w:type="dxa"/>
            <w:shd w:val="clear" w:color="auto" w:fill="auto"/>
            <w:vAlign w:val="center"/>
          </w:tcPr>
          <w:p w14:paraId="71BE8705">
            <w:pPr>
              <w:keepNext w:val="0"/>
              <w:keepLines w:val="0"/>
              <w:pageBreakBefore w:val="0"/>
              <w:widowControl/>
              <w:kinsoku/>
              <w:wordWrap/>
              <w:overflowPunct/>
              <w:topLinePunct w:val="0"/>
              <w:autoSpaceDE/>
              <w:autoSpaceDN/>
              <w:bidi w:val="0"/>
              <w:adjustRightInd/>
              <w:snapToGrid w:val="0"/>
              <w:spacing w:line="300" w:lineRule="exact"/>
              <w:jc w:val="both"/>
              <w:textAlignment w:val="auto"/>
              <w:rPr>
                <w:rFonts w:hint="eastAsia" w:ascii="宋体" w:hAnsi="宋体" w:eastAsia="宋体" w:cs="宋体"/>
                <w:b w:val="0"/>
                <w:bCs/>
                <w:color w:val="auto"/>
                <w:kern w:val="0"/>
                <w:sz w:val="22"/>
                <w:szCs w:val="22"/>
                <w:highlight w:val="none"/>
                <w:lang w:val="en-US" w:eastAsia="zh-CN"/>
              </w:rPr>
            </w:pPr>
            <w:r>
              <w:rPr>
                <w:rFonts w:hint="eastAsia" w:ascii="宋体" w:hAnsi="宋体" w:eastAsia="宋体" w:cs="宋体"/>
                <w:b w:val="0"/>
                <w:bCs/>
                <w:color w:val="auto"/>
                <w:kern w:val="0"/>
                <w:sz w:val="22"/>
                <w:szCs w:val="22"/>
                <w:highlight w:val="none"/>
                <w:lang w:val="en-US" w:eastAsia="zh-CN"/>
              </w:rPr>
              <w:t>各专业工种的配置和劳动力的投入</w:t>
            </w:r>
          </w:p>
        </w:tc>
        <w:tc>
          <w:tcPr>
            <w:tcW w:w="6461" w:type="dxa"/>
            <w:shd w:val="clear" w:color="auto" w:fill="auto"/>
            <w:vAlign w:val="center"/>
          </w:tcPr>
          <w:p w14:paraId="2C287468">
            <w:pPr>
              <w:keepNext w:val="0"/>
              <w:keepLines w:val="0"/>
              <w:pageBreakBefore w:val="0"/>
              <w:widowControl/>
              <w:kinsoku/>
              <w:wordWrap/>
              <w:overflowPunct/>
              <w:topLinePunct w:val="0"/>
              <w:autoSpaceDE/>
              <w:autoSpaceDN/>
              <w:bidi w:val="0"/>
              <w:adjustRightInd/>
              <w:snapToGrid w:val="0"/>
              <w:spacing w:line="300" w:lineRule="exact"/>
              <w:jc w:val="left"/>
              <w:textAlignment w:val="auto"/>
              <w:rPr>
                <w:rFonts w:hint="eastAsia" w:ascii="宋体" w:hAnsi="宋体" w:eastAsia="宋体" w:cs="宋体"/>
                <w:b w:val="0"/>
                <w:bCs/>
                <w:color w:val="auto"/>
                <w:kern w:val="0"/>
                <w:sz w:val="22"/>
                <w:szCs w:val="22"/>
                <w:highlight w:val="none"/>
                <w:lang w:val="en-US" w:eastAsia="zh-CN"/>
              </w:rPr>
            </w:pPr>
            <w:r>
              <w:rPr>
                <w:rFonts w:hint="eastAsia" w:ascii="宋体" w:hAnsi="宋体" w:eastAsia="宋体" w:cs="宋体"/>
                <w:b w:val="0"/>
                <w:bCs/>
                <w:color w:val="auto"/>
                <w:kern w:val="0"/>
                <w:sz w:val="22"/>
                <w:szCs w:val="22"/>
                <w:highlight w:val="none"/>
                <w:lang w:val="en-US" w:eastAsia="zh-CN"/>
              </w:rPr>
              <w:t>对各专业工种的配置和劳动力的投入（专业工种的配置、劳动力的投入、保障等）。（</w:t>
            </w:r>
            <w:r>
              <w:rPr>
                <w:rFonts w:hint="eastAsia" w:ascii="宋体" w:hAnsi="宋体" w:cs="宋体"/>
                <w:b w:val="0"/>
                <w:bCs/>
                <w:color w:val="auto"/>
                <w:kern w:val="0"/>
                <w:sz w:val="22"/>
                <w:szCs w:val="22"/>
                <w:highlight w:val="none"/>
                <w:lang w:val="en-US" w:eastAsia="zh-CN"/>
              </w:rPr>
              <w:t>评分</w:t>
            </w:r>
            <w:r>
              <w:rPr>
                <w:rFonts w:hint="eastAsia" w:ascii="宋体" w:hAnsi="宋体" w:eastAsia="宋体" w:cs="宋体"/>
                <w:b w:val="0"/>
                <w:bCs/>
                <w:color w:val="auto"/>
                <w:kern w:val="0"/>
                <w:sz w:val="22"/>
                <w:szCs w:val="22"/>
                <w:highlight w:val="none"/>
                <w:lang w:val="en-US" w:eastAsia="zh-CN"/>
              </w:rPr>
              <w:t>分值：</w:t>
            </w:r>
            <w:r>
              <w:rPr>
                <w:rFonts w:hint="eastAsia" w:ascii="宋体" w:hAnsi="宋体" w:cs="宋体"/>
                <w:b w:val="0"/>
                <w:bCs/>
                <w:color w:val="auto"/>
                <w:kern w:val="0"/>
                <w:sz w:val="22"/>
                <w:szCs w:val="22"/>
                <w:highlight w:val="none"/>
                <w:lang w:val="en-US" w:eastAsia="zh-CN"/>
              </w:rPr>
              <w:t>5</w:t>
            </w:r>
            <w:r>
              <w:rPr>
                <w:rFonts w:hint="eastAsia" w:ascii="宋体" w:hAnsi="宋体" w:eastAsia="宋体" w:cs="宋体"/>
                <w:b w:val="0"/>
                <w:bCs/>
                <w:color w:val="auto"/>
                <w:kern w:val="0"/>
                <w:sz w:val="22"/>
                <w:szCs w:val="22"/>
                <w:highlight w:val="none"/>
                <w:lang w:val="en-US" w:eastAsia="zh-CN"/>
              </w:rPr>
              <w:t>，</w:t>
            </w:r>
            <w:r>
              <w:rPr>
                <w:rFonts w:hint="eastAsia" w:ascii="宋体" w:hAnsi="宋体" w:cs="宋体"/>
                <w:b w:val="0"/>
                <w:bCs/>
                <w:color w:val="auto"/>
                <w:kern w:val="0"/>
                <w:sz w:val="22"/>
                <w:szCs w:val="22"/>
                <w:highlight w:val="none"/>
                <w:lang w:val="en-US" w:eastAsia="zh-CN"/>
              </w:rPr>
              <w:t>4，</w:t>
            </w:r>
            <w:r>
              <w:rPr>
                <w:rFonts w:hint="eastAsia" w:ascii="宋体" w:hAnsi="宋体" w:eastAsia="宋体" w:cs="宋体"/>
                <w:b w:val="0"/>
                <w:bCs/>
                <w:color w:val="auto"/>
                <w:kern w:val="0"/>
                <w:sz w:val="22"/>
                <w:szCs w:val="22"/>
                <w:highlight w:val="none"/>
                <w:lang w:val="en-US" w:eastAsia="zh-CN"/>
              </w:rPr>
              <w:t>3，2，1，0）</w:t>
            </w:r>
          </w:p>
        </w:tc>
        <w:tc>
          <w:tcPr>
            <w:tcW w:w="1097" w:type="dxa"/>
            <w:shd w:val="clear" w:color="auto" w:fill="auto"/>
            <w:vAlign w:val="center"/>
          </w:tcPr>
          <w:p w14:paraId="41432FEF">
            <w:pPr>
              <w:keepNext w:val="0"/>
              <w:keepLines w:val="0"/>
              <w:pageBreakBefore w:val="0"/>
              <w:widowControl/>
              <w:kinsoku/>
              <w:wordWrap/>
              <w:overflowPunct/>
              <w:topLinePunct w:val="0"/>
              <w:autoSpaceDE/>
              <w:autoSpaceDN/>
              <w:bidi w:val="0"/>
              <w:adjustRightInd/>
              <w:snapToGrid w:val="0"/>
              <w:spacing w:line="300" w:lineRule="exact"/>
              <w:jc w:val="center"/>
              <w:textAlignment w:val="auto"/>
              <w:rPr>
                <w:rFonts w:hint="eastAsia" w:ascii="宋体" w:hAnsi="宋体" w:eastAsia="宋体" w:cs="宋体"/>
                <w:b w:val="0"/>
                <w:bCs/>
                <w:color w:val="auto"/>
                <w:kern w:val="0"/>
                <w:sz w:val="22"/>
                <w:szCs w:val="22"/>
                <w:highlight w:val="none"/>
                <w:lang w:val="en-US" w:eastAsia="zh-CN"/>
              </w:rPr>
            </w:pPr>
            <w:r>
              <w:rPr>
                <w:rFonts w:hint="eastAsia" w:ascii="宋体" w:hAnsi="宋体" w:eastAsia="宋体" w:cs="宋体"/>
                <w:b w:val="0"/>
                <w:bCs/>
                <w:color w:val="auto"/>
                <w:kern w:val="0"/>
                <w:sz w:val="22"/>
                <w:szCs w:val="22"/>
                <w:highlight w:val="none"/>
                <w:lang w:val="en-US" w:eastAsia="zh-CN"/>
              </w:rPr>
              <w:t>0-5分</w:t>
            </w:r>
          </w:p>
        </w:tc>
      </w:tr>
      <w:tr w14:paraId="3C7953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7" w:hRule="atLeast"/>
        </w:trPr>
        <w:tc>
          <w:tcPr>
            <w:tcW w:w="666" w:type="dxa"/>
            <w:vAlign w:val="center"/>
          </w:tcPr>
          <w:p w14:paraId="714308C3">
            <w:pPr>
              <w:keepNext w:val="0"/>
              <w:keepLines w:val="0"/>
              <w:pageBreakBefore w:val="0"/>
              <w:widowControl/>
              <w:numPr>
                <w:ilvl w:val="0"/>
                <w:numId w:val="9"/>
              </w:numPr>
              <w:kinsoku/>
              <w:wordWrap/>
              <w:overflowPunct/>
              <w:topLinePunct w:val="0"/>
              <w:autoSpaceDE/>
              <w:autoSpaceDN/>
              <w:bidi w:val="0"/>
              <w:adjustRightInd/>
              <w:snapToGrid w:val="0"/>
              <w:spacing w:line="300" w:lineRule="exact"/>
              <w:ind w:left="425" w:leftChars="0" w:hanging="425" w:firstLineChars="0"/>
              <w:jc w:val="center"/>
              <w:textAlignment w:val="auto"/>
              <w:rPr>
                <w:rFonts w:hint="eastAsia" w:ascii="宋体" w:hAnsi="宋体" w:eastAsia="宋体" w:cs="宋体"/>
                <w:b w:val="0"/>
                <w:bCs/>
                <w:color w:val="auto"/>
                <w:kern w:val="0"/>
                <w:sz w:val="22"/>
                <w:szCs w:val="22"/>
                <w:highlight w:val="none"/>
                <w:lang w:val="en-US" w:eastAsia="zh-CN"/>
              </w:rPr>
            </w:pPr>
          </w:p>
        </w:tc>
        <w:tc>
          <w:tcPr>
            <w:tcW w:w="1321" w:type="dxa"/>
            <w:shd w:val="clear" w:color="auto" w:fill="auto"/>
            <w:vAlign w:val="center"/>
          </w:tcPr>
          <w:p w14:paraId="47B613BB">
            <w:pPr>
              <w:keepNext w:val="0"/>
              <w:keepLines w:val="0"/>
              <w:pageBreakBefore w:val="0"/>
              <w:widowControl/>
              <w:kinsoku/>
              <w:wordWrap/>
              <w:overflowPunct/>
              <w:topLinePunct w:val="0"/>
              <w:autoSpaceDE/>
              <w:autoSpaceDN/>
              <w:bidi w:val="0"/>
              <w:adjustRightInd/>
              <w:snapToGrid w:val="0"/>
              <w:spacing w:line="300" w:lineRule="exact"/>
              <w:jc w:val="center"/>
              <w:textAlignment w:val="auto"/>
              <w:rPr>
                <w:rFonts w:hint="eastAsia" w:ascii="宋体" w:hAnsi="宋体" w:eastAsia="宋体" w:cs="宋体"/>
                <w:b w:val="0"/>
                <w:bCs/>
                <w:color w:val="auto"/>
                <w:kern w:val="0"/>
                <w:sz w:val="22"/>
                <w:szCs w:val="22"/>
                <w:highlight w:val="none"/>
                <w:lang w:val="en-US" w:eastAsia="zh-CN" w:bidi="ar-SA"/>
              </w:rPr>
            </w:pPr>
            <w:r>
              <w:rPr>
                <w:rFonts w:hint="eastAsia" w:ascii="宋体" w:hAnsi="宋体" w:eastAsia="宋体" w:cs="宋体"/>
                <w:b w:val="0"/>
                <w:bCs/>
                <w:color w:val="auto"/>
                <w:kern w:val="0"/>
                <w:sz w:val="22"/>
                <w:szCs w:val="22"/>
                <w:highlight w:val="none"/>
                <w:lang w:val="en-US" w:eastAsia="zh-CN"/>
              </w:rPr>
              <w:t>施工实施方案</w:t>
            </w:r>
          </w:p>
        </w:tc>
        <w:tc>
          <w:tcPr>
            <w:tcW w:w="6461" w:type="dxa"/>
            <w:shd w:val="clear" w:color="auto" w:fill="auto"/>
            <w:vAlign w:val="center"/>
          </w:tcPr>
          <w:p w14:paraId="16DC0BAF">
            <w:pPr>
              <w:keepNext w:val="0"/>
              <w:keepLines w:val="0"/>
              <w:pageBreakBefore w:val="0"/>
              <w:widowControl/>
              <w:kinsoku/>
              <w:wordWrap/>
              <w:overflowPunct/>
              <w:topLinePunct w:val="0"/>
              <w:autoSpaceDE/>
              <w:autoSpaceDN/>
              <w:bidi w:val="0"/>
              <w:adjustRightInd/>
              <w:snapToGrid w:val="0"/>
              <w:spacing w:line="300" w:lineRule="exact"/>
              <w:jc w:val="both"/>
              <w:textAlignment w:val="auto"/>
              <w:rPr>
                <w:rFonts w:hint="eastAsia" w:ascii="宋体" w:hAnsi="宋体" w:eastAsia="宋体" w:cs="宋体"/>
                <w:b w:val="0"/>
                <w:bCs/>
                <w:color w:val="auto"/>
                <w:kern w:val="0"/>
                <w:sz w:val="22"/>
                <w:szCs w:val="22"/>
                <w:highlight w:val="none"/>
                <w:lang w:val="en-US" w:eastAsia="zh-CN" w:bidi="ar-SA"/>
              </w:rPr>
            </w:pPr>
            <w:r>
              <w:rPr>
                <w:rFonts w:hint="eastAsia" w:ascii="宋体" w:hAnsi="宋体" w:eastAsia="宋体" w:cs="宋体"/>
                <w:b w:val="0"/>
                <w:bCs/>
                <w:color w:val="auto"/>
                <w:kern w:val="0"/>
                <w:sz w:val="22"/>
                <w:szCs w:val="22"/>
                <w:highlight w:val="none"/>
                <w:lang w:val="en-US" w:eastAsia="zh-CN"/>
              </w:rPr>
              <w:t>项目施工实施方案，根据方案合理性、科学性、可行性，是否贴合项目需求综合打分。（</w:t>
            </w:r>
            <w:r>
              <w:rPr>
                <w:rFonts w:hint="eastAsia" w:ascii="宋体" w:hAnsi="宋体" w:cs="宋体"/>
                <w:b w:val="0"/>
                <w:bCs/>
                <w:color w:val="auto"/>
                <w:kern w:val="0"/>
                <w:sz w:val="22"/>
                <w:szCs w:val="22"/>
                <w:highlight w:val="none"/>
                <w:lang w:val="en-US" w:eastAsia="zh-CN"/>
              </w:rPr>
              <w:t>评分</w:t>
            </w:r>
            <w:r>
              <w:rPr>
                <w:rFonts w:hint="eastAsia" w:ascii="宋体" w:hAnsi="宋体" w:eastAsia="宋体" w:cs="宋体"/>
                <w:b w:val="0"/>
                <w:bCs/>
                <w:color w:val="auto"/>
                <w:kern w:val="0"/>
                <w:sz w:val="22"/>
                <w:szCs w:val="22"/>
                <w:highlight w:val="none"/>
                <w:lang w:val="en-US" w:eastAsia="zh-CN"/>
              </w:rPr>
              <w:t>分值：</w:t>
            </w:r>
            <w:r>
              <w:rPr>
                <w:rFonts w:hint="eastAsia" w:ascii="宋体" w:hAnsi="宋体" w:cs="宋体"/>
                <w:b w:val="0"/>
                <w:bCs/>
                <w:color w:val="auto"/>
                <w:kern w:val="0"/>
                <w:sz w:val="22"/>
                <w:szCs w:val="22"/>
                <w:highlight w:val="none"/>
                <w:lang w:val="en-US" w:eastAsia="zh-CN"/>
              </w:rPr>
              <w:t>5</w:t>
            </w:r>
            <w:r>
              <w:rPr>
                <w:rFonts w:hint="eastAsia" w:ascii="宋体" w:hAnsi="宋体" w:eastAsia="宋体" w:cs="宋体"/>
                <w:b w:val="0"/>
                <w:bCs/>
                <w:color w:val="auto"/>
                <w:kern w:val="0"/>
                <w:sz w:val="22"/>
                <w:szCs w:val="22"/>
                <w:highlight w:val="none"/>
                <w:lang w:val="en-US" w:eastAsia="zh-CN"/>
              </w:rPr>
              <w:t>，</w:t>
            </w:r>
            <w:r>
              <w:rPr>
                <w:rFonts w:hint="eastAsia" w:ascii="宋体" w:hAnsi="宋体" w:cs="宋体"/>
                <w:b w:val="0"/>
                <w:bCs/>
                <w:color w:val="auto"/>
                <w:kern w:val="0"/>
                <w:sz w:val="22"/>
                <w:szCs w:val="22"/>
                <w:highlight w:val="none"/>
                <w:lang w:val="en-US" w:eastAsia="zh-CN"/>
              </w:rPr>
              <w:t>4，</w:t>
            </w:r>
            <w:r>
              <w:rPr>
                <w:rFonts w:hint="eastAsia" w:ascii="宋体" w:hAnsi="宋体" w:eastAsia="宋体" w:cs="宋体"/>
                <w:b w:val="0"/>
                <w:bCs/>
                <w:color w:val="auto"/>
                <w:kern w:val="0"/>
                <w:sz w:val="22"/>
                <w:szCs w:val="22"/>
                <w:highlight w:val="none"/>
                <w:lang w:val="en-US" w:eastAsia="zh-CN"/>
              </w:rPr>
              <w:t>3，2，1，0）</w:t>
            </w:r>
          </w:p>
        </w:tc>
        <w:tc>
          <w:tcPr>
            <w:tcW w:w="1097" w:type="dxa"/>
            <w:shd w:val="clear" w:color="auto" w:fill="auto"/>
            <w:vAlign w:val="center"/>
          </w:tcPr>
          <w:p w14:paraId="4D38E8EF">
            <w:pPr>
              <w:keepNext w:val="0"/>
              <w:keepLines w:val="0"/>
              <w:pageBreakBefore w:val="0"/>
              <w:widowControl/>
              <w:kinsoku/>
              <w:wordWrap/>
              <w:overflowPunct/>
              <w:topLinePunct w:val="0"/>
              <w:autoSpaceDE/>
              <w:autoSpaceDN/>
              <w:bidi w:val="0"/>
              <w:adjustRightInd/>
              <w:snapToGrid w:val="0"/>
              <w:spacing w:line="300" w:lineRule="exact"/>
              <w:jc w:val="center"/>
              <w:textAlignment w:val="auto"/>
              <w:rPr>
                <w:rFonts w:hint="eastAsia" w:ascii="宋体" w:hAnsi="宋体" w:eastAsia="宋体" w:cs="宋体"/>
                <w:b w:val="0"/>
                <w:bCs/>
                <w:color w:val="auto"/>
                <w:kern w:val="0"/>
                <w:sz w:val="22"/>
                <w:szCs w:val="22"/>
                <w:highlight w:val="none"/>
                <w:lang w:val="en-US" w:eastAsia="zh-CN"/>
              </w:rPr>
            </w:pPr>
            <w:r>
              <w:rPr>
                <w:rFonts w:hint="eastAsia" w:ascii="宋体" w:hAnsi="宋体" w:eastAsia="宋体" w:cs="宋体"/>
                <w:b w:val="0"/>
                <w:bCs/>
                <w:color w:val="auto"/>
                <w:kern w:val="0"/>
                <w:sz w:val="22"/>
                <w:szCs w:val="22"/>
                <w:highlight w:val="none"/>
                <w:lang w:val="en-US" w:eastAsia="zh-CN"/>
              </w:rPr>
              <w:t>0-5分</w:t>
            </w:r>
          </w:p>
        </w:tc>
      </w:tr>
      <w:tr w14:paraId="0D1F7D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7" w:hRule="atLeast"/>
        </w:trPr>
        <w:tc>
          <w:tcPr>
            <w:tcW w:w="666" w:type="dxa"/>
            <w:vAlign w:val="center"/>
          </w:tcPr>
          <w:p w14:paraId="0287F27A">
            <w:pPr>
              <w:keepNext w:val="0"/>
              <w:keepLines w:val="0"/>
              <w:pageBreakBefore w:val="0"/>
              <w:widowControl/>
              <w:numPr>
                <w:ilvl w:val="0"/>
                <w:numId w:val="9"/>
              </w:numPr>
              <w:kinsoku/>
              <w:wordWrap/>
              <w:overflowPunct/>
              <w:topLinePunct w:val="0"/>
              <w:autoSpaceDE/>
              <w:autoSpaceDN/>
              <w:bidi w:val="0"/>
              <w:adjustRightInd/>
              <w:snapToGrid w:val="0"/>
              <w:spacing w:line="300" w:lineRule="exact"/>
              <w:ind w:left="425" w:leftChars="0" w:hanging="425" w:firstLineChars="0"/>
              <w:jc w:val="center"/>
              <w:textAlignment w:val="auto"/>
              <w:rPr>
                <w:rFonts w:hint="eastAsia" w:ascii="宋体" w:hAnsi="宋体" w:eastAsia="宋体" w:cs="宋体"/>
                <w:b w:val="0"/>
                <w:bCs/>
                <w:color w:val="auto"/>
                <w:kern w:val="0"/>
                <w:sz w:val="22"/>
                <w:szCs w:val="22"/>
                <w:highlight w:val="none"/>
                <w:lang w:val="en-US" w:eastAsia="zh-CN"/>
              </w:rPr>
            </w:pPr>
          </w:p>
        </w:tc>
        <w:tc>
          <w:tcPr>
            <w:tcW w:w="1321" w:type="dxa"/>
            <w:shd w:val="clear" w:color="auto" w:fill="auto"/>
            <w:vAlign w:val="center"/>
          </w:tcPr>
          <w:p w14:paraId="320209F3">
            <w:pPr>
              <w:keepNext w:val="0"/>
              <w:keepLines w:val="0"/>
              <w:pageBreakBefore w:val="0"/>
              <w:widowControl/>
              <w:kinsoku/>
              <w:wordWrap/>
              <w:overflowPunct/>
              <w:topLinePunct w:val="0"/>
              <w:autoSpaceDE/>
              <w:autoSpaceDN/>
              <w:bidi w:val="0"/>
              <w:adjustRightInd/>
              <w:snapToGrid w:val="0"/>
              <w:spacing w:line="300" w:lineRule="exact"/>
              <w:jc w:val="center"/>
              <w:textAlignment w:val="auto"/>
              <w:rPr>
                <w:rFonts w:hint="eastAsia" w:ascii="宋体" w:hAnsi="宋体" w:eastAsia="宋体" w:cs="宋体"/>
                <w:b w:val="0"/>
                <w:bCs/>
                <w:color w:val="auto"/>
                <w:kern w:val="0"/>
                <w:sz w:val="22"/>
                <w:szCs w:val="22"/>
                <w:highlight w:val="none"/>
                <w:lang w:val="en-US" w:eastAsia="zh-CN"/>
              </w:rPr>
            </w:pPr>
            <w:r>
              <w:rPr>
                <w:rFonts w:hint="eastAsia" w:ascii="宋体" w:hAnsi="宋体" w:eastAsia="宋体" w:cs="宋体"/>
                <w:b w:val="0"/>
                <w:bCs/>
                <w:color w:val="auto"/>
                <w:kern w:val="0"/>
                <w:sz w:val="22"/>
                <w:szCs w:val="22"/>
                <w:highlight w:val="none"/>
                <w:lang w:val="en-US" w:eastAsia="zh-CN"/>
              </w:rPr>
              <w:t>进度计划</w:t>
            </w:r>
          </w:p>
        </w:tc>
        <w:tc>
          <w:tcPr>
            <w:tcW w:w="6461" w:type="dxa"/>
            <w:shd w:val="clear" w:color="auto" w:fill="auto"/>
          </w:tcPr>
          <w:p w14:paraId="40C1A6C2">
            <w:pPr>
              <w:keepNext w:val="0"/>
              <w:keepLines w:val="0"/>
              <w:pageBreakBefore w:val="0"/>
              <w:widowControl/>
              <w:kinsoku/>
              <w:wordWrap/>
              <w:overflowPunct/>
              <w:topLinePunct w:val="0"/>
              <w:autoSpaceDE/>
              <w:autoSpaceDN/>
              <w:bidi w:val="0"/>
              <w:adjustRightInd/>
              <w:snapToGrid w:val="0"/>
              <w:spacing w:line="300" w:lineRule="exact"/>
              <w:jc w:val="left"/>
              <w:textAlignment w:val="auto"/>
              <w:rPr>
                <w:rFonts w:hint="eastAsia" w:ascii="宋体" w:hAnsi="宋体" w:eastAsia="宋体" w:cs="宋体"/>
                <w:b w:val="0"/>
                <w:bCs/>
                <w:color w:val="auto"/>
                <w:kern w:val="0"/>
                <w:sz w:val="22"/>
                <w:szCs w:val="22"/>
                <w:highlight w:val="none"/>
                <w:lang w:val="en-US" w:eastAsia="zh-CN"/>
              </w:rPr>
            </w:pPr>
            <w:r>
              <w:rPr>
                <w:rFonts w:hint="eastAsia" w:ascii="宋体" w:hAnsi="宋体" w:eastAsia="宋体" w:cs="宋体"/>
                <w:b w:val="0"/>
                <w:bCs/>
                <w:color w:val="auto"/>
                <w:kern w:val="0"/>
                <w:sz w:val="22"/>
                <w:szCs w:val="22"/>
                <w:highlight w:val="none"/>
                <w:lang w:val="en-US" w:eastAsia="zh-CN"/>
              </w:rPr>
              <w:t>对施工进度控制（项目整体工期安排、施工阶段的工期分解、工作任务的合理安排、施工进度的控制方法、月周进度分析与优化改进等）。（</w:t>
            </w:r>
            <w:r>
              <w:rPr>
                <w:rFonts w:hint="eastAsia" w:ascii="宋体" w:hAnsi="宋体" w:cs="宋体"/>
                <w:b w:val="0"/>
                <w:bCs/>
                <w:color w:val="auto"/>
                <w:kern w:val="0"/>
                <w:sz w:val="22"/>
                <w:szCs w:val="22"/>
                <w:highlight w:val="none"/>
                <w:lang w:val="en-US" w:eastAsia="zh-CN"/>
              </w:rPr>
              <w:t>评分</w:t>
            </w:r>
            <w:r>
              <w:rPr>
                <w:rFonts w:hint="eastAsia" w:ascii="宋体" w:hAnsi="宋体" w:eastAsia="宋体" w:cs="宋体"/>
                <w:b w:val="0"/>
                <w:bCs/>
                <w:color w:val="auto"/>
                <w:kern w:val="0"/>
                <w:sz w:val="22"/>
                <w:szCs w:val="22"/>
                <w:highlight w:val="none"/>
                <w:lang w:val="en-US" w:eastAsia="zh-CN"/>
              </w:rPr>
              <w:t>分值：</w:t>
            </w:r>
            <w:r>
              <w:rPr>
                <w:rFonts w:hint="eastAsia" w:ascii="宋体" w:hAnsi="宋体" w:cs="宋体"/>
                <w:b w:val="0"/>
                <w:bCs/>
                <w:color w:val="auto"/>
                <w:kern w:val="0"/>
                <w:sz w:val="22"/>
                <w:szCs w:val="22"/>
                <w:highlight w:val="none"/>
                <w:lang w:val="en-US" w:eastAsia="zh-CN"/>
              </w:rPr>
              <w:t>5</w:t>
            </w:r>
            <w:r>
              <w:rPr>
                <w:rFonts w:hint="eastAsia" w:ascii="宋体" w:hAnsi="宋体" w:eastAsia="宋体" w:cs="宋体"/>
                <w:b w:val="0"/>
                <w:bCs/>
                <w:color w:val="auto"/>
                <w:kern w:val="0"/>
                <w:sz w:val="22"/>
                <w:szCs w:val="22"/>
                <w:highlight w:val="none"/>
                <w:lang w:val="en-US" w:eastAsia="zh-CN"/>
              </w:rPr>
              <w:t>，</w:t>
            </w:r>
            <w:r>
              <w:rPr>
                <w:rFonts w:hint="eastAsia" w:ascii="宋体" w:hAnsi="宋体" w:cs="宋体"/>
                <w:b w:val="0"/>
                <w:bCs/>
                <w:color w:val="auto"/>
                <w:kern w:val="0"/>
                <w:sz w:val="22"/>
                <w:szCs w:val="22"/>
                <w:highlight w:val="none"/>
                <w:lang w:val="en-US" w:eastAsia="zh-CN"/>
              </w:rPr>
              <w:t>4，</w:t>
            </w:r>
            <w:r>
              <w:rPr>
                <w:rFonts w:hint="eastAsia" w:ascii="宋体" w:hAnsi="宋体" w:eastAsia="宋体" w:cs="宋体"/>
                <w:b w:val="0"/>
                <w:bCs/>
                <w:color w:val="auto"/>
                <w:kern w:val="0"/>
                <w:sz w:val="22"/>
                <w:szCs w:val="22"/>
                <w:highlight w:val="none"/>
                <w:lang w:val="en-US" w:eastAsia="zh-CN"/>
              </w:rPr>
              <w:t>3，2，1，0）</w:t>
            </w:r>
          </w:p>
        </w:tc>
        <w:tc>
          <w:tcPr>
            <w:tcW w:w="1097" w:type="dxa"/>
            <w:vAlign w:val="center"/>
          </w:tcPr>
          <w:p w14:paraId="2026712F">
            <w:pPr>
              <w:keepNext w:val="0"/>
              <w:keepLines w:val="0"/>
              <w:pageBreakBefore w:val="0"/>
              <w:widowControl/>
              <w:kinsoku/>
              <w:wordWrap/>
              <w:overflowPunct/>
              <w:topLinePunct w:val="0"/>
              <w:autoSpaceDE/>
              <w:autoSpaceDN/>
              <w:bidi w:val="0"/>
              <w:adjustRightInd/>
              <w:snapToGrid w:val="0"/>
              <w:spacing w:line="300" w:lineRule="exact"/>
              <w:jc w:val="center"/>
              <w:textAlignment w:val="auto"/>
              <w:rPr>
                <w:rFonts w:hint="eastAsia" w:ascii="宋体" w:hAnsi="宋体" w:eastAsia="宋体" w:cs="宋体"/>
                <w:b w:val="0"/>
                <w:bCs/>
                <w:color w:val="auto"/>
                <w:kern w:val="0"/>
                <w:sz w:val="22"/>
                <w:szCs w:val="22"/>
                <w:highlight w:val="none"/>
                <w:lang w:val="en-US" w:eastAsia="zh-CN"/>
              </w:rPr>
            </w:pPr>
            <w:r>
              <w:rPr>
                <w:rFonts w:hint="eastAsia" w:ascii="宋体" w:hAnsi="宋体" w:eastAsia="宋体" w:cs="宋体"/>
                <w:b w:val="0"/>
                <w:bCs/>
                <w:color w:val="auto"/>
                <w:kern w:val="0"/>
                <w:sz w:val="22"/>
                <w:szCs w:val="22"/>
                <w:highlight w:val="none"/>
                <w:lang w:val="en-US" w:eastAsia="zh-CN"/>
              </w:rPr>
              <w:t>0-5分</w:t>
            </w:r>
          </w:p>
        </w:tc>
      </w:tr>
      <w:tr w14:paraId="3C6E5E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7" w:hRule="atLeast"/>
        </w:trPr>
        <w:tc>
          <w:tcPr>
            <w:tcW w:w="666" w:type="dxa"/>
          </w:tcPr>
          <w:p w14:paraId="2AA88A24">
            <w:pPr>
              <w:keepNext w:val="0"/>
              <w:keepLines w:val="0"/>
              <w:pageBreakBefore w:val="0"/>
              <w:widowControl/>
              <w:numPr>
                <w:ilvl w:val="0"/>
                <w:numId w:val="9"/>
              </w:numPr>
              <w:kinsoku/>
              <w:wordWrap/>
              <w:overflowPunct/>
              <w:topLinePunct w:val="0"/>
              <w:autoSpaceDE/>
              <w:autoSpaceDN/>
              <w:bidi w:val="0"/>
              <w:adjustRightInd/>
              <w:snapToGrid w:val="0"/>
              <w:spacing w:line="300" w:lineRule="exact"/>
              <w:ind w:left="425" w:leftChars="0" w:hanging="425" w:firstLineChars="0"/>
              <w:jc w:val="center"/>
              <w:textAlignment w:val="auto"/>
              <w:rPr>
                <w:rFonts w:hint="eastAsia" w:ascii="宋体" w:hAnsi="宋体" w:eastAsia="宋体" w:cs="宋体"/>
                <w:b w:val="0"/>
                <w:bCs/>
                <w:color w:val="auto"/>
                <w:kern w:val="0"/>
                <w:sz w:val="22"/>
                <w:szCs w:val="22"/>
                <w:highlight w:val="none"/>
                <w:lang w:val="en-US" w:eastAsia="zh-CN"/>
              </w:rPr>
            </w:pPr>
          </w:p>
        </w:tc>
        <w:tc>
          <w:tcPr>
            <w:tcW w:w="1321" w:type="dxa"/>
            <w:shd w:val="clear" w:color="auto" w:fill="auto"/>
            <w:vAlign w:val="center"/>
          </w:tcPr>
          <w:p w14:paraId="70A6F36D">
            <w:pPr>
              <w:keepNext w:val="0"/>
              <w:keepLines w:val="0"/>
              <w:pageBreakBefore w:val="0"/>
              <w:widowControl/>
              <w:kinsoku/>
              <w:wordWrap/>
              <w:overflowPunct/>
              <w:topLinePunct w:val="0"/>
              <w:autoSpaceDE/>
              <w:autoSpaceDN/>
              <w:bidi w:val="0"/>
              <w:adjustRightInd/>
              <w:snapToGrid w:val="0"/>
              <w:spacing w:line="300" w:lineRule="exact"/>
              <w:jc w:val="center"/>
              <w:textAlignment w:val="auto"/>
              <w:rPr>
                <w:rFonts w:hint="eastAsia" w:ascii="宋体" w:hAnsi="宋体" w:eastAsia="宋体" w:cs="宋体"/>
                <w:b w:val="0"/>
                <w:bCs/>
                <w:color w:val="auto"/>
                <w:kern w:val="0"/>
                <w:sz w:val="22"/>
                <w:szCs w:val="22"/>
                <w:highlight w:val="none"/>
                <w:lang w:val="en-US" w:eastAsia="zh-CN"/>
              </w:rPr>
            </w:pPr>
            <w:r>
              <w:rPr>
                <w:rFonts w:hint="eastAsia" w:ascii="宋体" w:hAnsi="宋体" w:eastAsia="宋体" w:cs="宋体"/>
                <w:b w:val="0"/>
                <w:bCs/>
                <w:color w:val="auto"/>
                <w:kern w:val="0"/>
                <w:sz w:val="22"/>
                <w:szCs w:val="22"/>
                <w:highlight w:val="none"/>
                <w:lang w:val="en-US" w:eastAsia="zh-CN"/>
              </w:rPr>
              <w:t>设备和检验仪器的投入</w:t>
            </w:r>
          </w:p>
        </w:tc>
        <w:tc>
          <w:tcPr>
            <w:tcW w:w="6461" w:type="dxa"/>
            <w:shd w:val="clear" w:color="auto" w:fill="auto"/>
            <w:vAlign w:val="center"/>
          </w:tcPr>
          <w:p w14:paraId="029CBE3A">
            <w:pPr>
              <w:keepNext w:val="0"/>
              <w:keepLines w:val="0"/>
              <w:pageBreakBefore w:val="0"/>
              <w:widowControl/>
              <w:kinsoku/>
              <w:wordWrap/>
              <w:overflowPunct/>
              <w:topLinePunct w:val="0"/>
              <w:autoSpaceDE/>
              <w:autoSpaceDN/>
              <w:bidi w:val="0"/>
              <w:adjustRightInd/>
              <w:snapToGrid w:val="0"/>
              <w:spacing w:line="300" w:lineRule="exact"/>
              <w:jc w:val="left"/>
              <w:textAlignment w:val="auto"/>
              <w:rPr>
                <w:rFonts w:hint="eastAsia" w:ascii="宋体" w:hAnsi="宋体" w:eastAsia="宋体" w:cs="宋体"/>
                <w:b w:val="0"/>
                <w:bCs/>
                <w:color w:val="auto"/>
                <w:kern w:val="0"/>
                <w:sz w:val="22"/>
                <w:szCs w:val="22"/>
                <w:highlight w:val="none"/>
                <w:lang w:val="en-US" w:eastAsia="zh-CN"/>
              </w:rPr>
            </w:pPr>
            <w:r>
              <w:rPr>
                <w:rFonts w:hint="eastAsia" w:ascii="宋体" w:hAnsi="宋体" w:eastAsia="宋体" w:cs="宋体"/>
                <w:b w:val="0"/>
                <w:bCs/>
                <w:color w:val="auto"/>
                <w:kern w:val="0"/>
                <w:sz w:val="22"/>
                <w:szCs w:val="22"/>
                <w:highlight w:val="none"/>
                <w:lang w:val="en-US" w:eastAsia="zh-CN"/>
              </w:rPr>
              <w:t>对施工设备和检验仪器的投入（贴合项目所需的设备、检验仪器的先进性、合理性）（</w:t>
            </w:r>
            <w:r>
              <w:rPr>
                <w:rFonts w:hint="eastAsia" w:ascii="宋体" w:hAnsi="宋体" w:cs="宋体"/>
                <w:b w:val="0"/>
                <w:bCs/>
                <w:color w:val="auto"/>
                <w:kern w:val="0"/>
                <w:sz w:val="22"/>
                <w:szCs w:val="22"/>
                <w:highlight w:val="none"/>
                <w:lang w:val="en-US" w:eastAsia="zh-CN"/>
              </w:rPr>
              <w:t>评分</w:t>
            </w:r>
            <w:r>
              <w:rPr>
                <w:rFonts w:hint="eastAsia" w:ascii="宋体" w:hAnsi="宋体" w:eastAsia="宋体" w:cs="宋体"/>
                <w:b w:val="0"/>
                <w:bCs/>
                <w:color w:val="auto"/>
                <w:kern w:val="0"/>
                <w:sz w:val="22"/>
                <w:szCs w:val="22"/>
                <w:highlight w:val="none"/>
                <w:lang w:val="en-US" w:eastAsia="zh-CN"/>
              </w:rPr>
              <w:t>分值：</w:t>
            </w:r>
            <w:r>
              <w:rPr>
                <w:rFonts w:hint="eastAsia" w:ascii="宋体" w:hAnsi="宋体" w:cs="宋体"/>
                <w:b w:val="0"/>
                <w:bCs/>
                <w:color w:val="auto"/>
                <w:kern w:val="0"/>
                <w:sz w:val="22"/>
                <w:szCs w:val="22"/>
                <w:highlight w:val="none"/>
                <w:lang w:val="en-US" w:eastAsia="zh-CN"/>
              </w:rPr>
              <w:t>5</w:t>
            </w:r>
            <w:r>
              <w:rPr>
                <w:rFonts w:hint="eastAsia" w:ascii="宋体" w:hAnsi="宋体" w:eastAsia="宋体" w:cs="宋体"/>
                <w:b w:val="0"/>
                <w:bCs/>
                <w:color w:val="auto"/>
                <w:kern w:val="0"/>
                <w:sz w:val="22"/>
                <w:szCs w:val="22"/>
                <w:highlight w:val="none"/>
                <w:lang w:val="en-US" w:eastAsia="zh-CN"/>
              </w:rPr>
              <w:t>，</w:t>
            </w:r>
            <w:r>
              <w:rPr>
                <w:rFonts w:hint="eastAsia" w:ascii="宋体" w:hAnsi="宋体" w:cs="宋体"/>
                <w:b w:val="0"/>
                <w:bCs/>
                <w:color w:val="auto"/>
                <w:kern w:val="0"/>
                <w:sz w:val="22"/>
                <w:szCs w:val="22"/>
                <w:highlight w:val="none"/>
                <w:lang w:val="en-US" w:eastAsia="zh-CN"/>
              </w:rPr>
              <w:t>4，</w:t>
            </w:r>
            <w:r>
              <w:rPr>
                <w:rFonts w:hint="eastAsia" w:ascii="宋体" w:hAnsi="宋体" w:eastAsia="宋体" w:cs="宋体"/>
                <w:b w:val="0"/>
                <w:bCs/>
                <w:color w:val="auto"/>
                <w:kern w:val="0"/>
                <w:sz w:val="22"/>
                <w:szCs w:val="22"/>
                <w:highlight w:val="none"/>
                <w:lang w:val="en-US" w:eastAsia="zh-CN"/>
              </w:rPr>
              <w:t>3，2，1，0）</w:t>
            </w:r>
          </w:p>
        </w:tc>
        <w:tc>
          <w:tcPr>
            <w:tcW w:w="1097" w:type="dxa"/>
            <w:vAlign w:val="center"/>
          </w:tcPr>
          <w:p w14:paraId="0A2D2D19">
            <w:pPr>
              <w:keepNext w:val="0"/>
              <w:keepLines w:val="0"/>
              <w:pageBreakBefore w:val="0"/>
              <w:widowControl/>
              <w:kinsoku/>
              <w:wordWrap/>
              <w:overflowPunct/>
              <w:topLinePunct w:val="0"/>
              <w:autoSpaceDE/>
              <w:autoSpaceDN/>
              <w:bidi w:val="0"/>
              <w:adjustRightInd/>
              <w:snapToGrid w:val="0"/>
              <w:spacing w:line="300" w:lineRule="exact"/>
              <w:jc w:val="center"/>
              <w:textAlignment w:val="auto"/>
              <w:rPr>
                <w:rFonts w:hint="eastAsia" w:ascii="宋体" w:hAnsi="宋体" w:eastAsia="宋体" w:cs="宋体"/>
                <w:b w:val="0"/>
                <w:bCs/>
                <w:color w:val="auto"/>
                <w:kern w:val="0"/>
                <w:sz w:val="22"/>
                <w:szCs w:val="22"/>
                <w:highlight w:val="none"/>
                <w:lang w:val="en-US" w:eastAsia="zh-CN"/>
              </w:rPr>
            </w:pPr>
            <w:r>
              <w:rPr>
                <w:rFonts w:hint="eastAsia" w:ascii="宋体" w:hAnsi="宋体" w:eastAsia="宋体" w:cs="宋体"/>
                <w:b w:val="0"/>
                <w:bCs/>
                <w:color w:val="auto"/>
                <w:kern w:val="0"/>
                <w:sz w:val="22"/>
                <w:szCs w:val="22"/>
                <w:highlight w:val="none"/>
                <w:lang w:val="en-US" w:eastAsia="zh-CN"/>
              </w:rPr>
              <w:t>0-</w:t>
            </w:r>
            <w:r>
              <w:rPr>
                <w:rFonts w:hint="eastAsia" w:ascii="宋体" w:hAnsi="宋体" w:cs="宋体"/>
                <w:b w:val="0"/>
                <w:bCs/>
                <w:color w:val="auto"/>
                <w:kern w:val="0"/>
                <w:sz w:val="22"/>
                <w:szCs w:val="22"/>
                <w:highlight w:val="none"/>
                <w:lang w:val="en-US" w:eastAsia="zh-CN"/>
              </w:rPr>
              <w:t>5</w:t>
            </w:r>
            <w:r>
              <w:rPr>
                <w:rFonts w:hint="eastAsia" w:ascii="宋体" w:hAnsi="宋体" w:eastAsia="宋体" w:cs="宋体"/>
                <w:b w:val="0"/>
                <w:bCs/>
                <w:color w:val="auto"/>
                <w:kern w:val="0"/>
                <w:sz w:val="22"/>
                <w:szCs w:val="22"/>
                <w:highlight w:val="none"/>
                <w:lang w:val="en-US" w:eastAsia="zh-CN"/>
              </w:rPr>
              <w:t>分</w:t>
            </w:r>
          </w:p>
        </w:tc>
      </w:tr>
      <w:tr w14:paraId="164DAB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7" w:hRule="atLeast"/>
        </w:trPr>
        <w:tc>
          <w:tcPr>
            <w:tcW w:w="666" w:type="dxa"/>
          </w:tcPr>
          <w:p w14:paraId="22D9B485">
            <w:pPr>
              <w:keepNext w:val="0"/>
              <w:keepLines w:val="0"/>
              <w:pageBreakBefore w:val="0"/>
              <w:widowControl/>
              <w:numPr>
                <w:ilvl w:val="0"/>
                <w:numId w:val="9"/>
              </w:numPr>
              <w:kinsoku/>
              <w:wordWrap/>
              <w:overflowPunct/>
              <w:topLinePunct w:val="0"/>
              <w:autoSpaceDE/>
              <w:autoSpaceDN/>
              <w:bidi w:val="0"/>
              <w:adjustRightInd/>
              <w:snapToGrid w:val="0"/>
              <w:spacing w:line="300" w:lineRule="exact"/>
              <w:ind w:left="425" w:leftChars="0" w:hanging="425" w:firstLineChars="0"/>
              <w:jc w:val="center"/>
              <w:textAlignment w:val="auto"/>
              <w:rPr>
                <w:rFonts w:hint="eastAsia" w:ascii="宋体" w:hAnsi="宋体" w:eastAsia="宋体" w:cs="宋体"/>
                <w:b w:val="0"/>
                <w:bCs/>
                <w:color w:val="auto"/>
                <w:kern w:val="0"/>
                <w:sz w:val="22"/>
                <w:szCs w:val="22"/>
                <w:highlight w:val="none"/>
                <w:lang w:val="en-US" w:eastAsia="zh-CN"/>
              </w:rPr>
            </w:pPr>
          </w:p>
        </w:tc>
        <w:tc>
          <w:tcPr>
            <w:tcW w:w="1321" w:type="dxa"/>
            <w:shd w:val="clear" w:color="auto" w:fill="auto"/>
            <w:vAlign w:val="center"/>
          </w:tcPr>
          <w:p w14:paraId="7141D376">
            <w:pPr>
              <w:keepNext w:val="0"/>
              <w:keepLines w:val="0"/>
              <w:pageBreakBefore w:val="0"/>
              <w:widowControl/>
              <w:kinsoku/>
              <w:wordWrap/>
              <w:overflowPunct/>
              <w:topLinePunct w:val="0"/>
              <w:autoSpaceDE/>
              <w:autoSpaceDN/>
              <w:bidi w:val="0"/>
              <w:adjustRightInd/>
              <w:snapToGrid w:val="0"/>
              <w:spacing w:line="300" w:lineRule="exact"/>
              <w:jc w:val="center"/>
              <w:textAlignment w:val="auto"/>
              <w:rPr>
                <w:rFonts w:hint="eastAsia" w:ascii="宋体" w:hAnsi="宋体" w:eastAsia="宋体" w:cs="宋体"/>
                <w:b w:val="0"/>
                <w:bCs/>
                <w:color w:val="auto"/>
                <w:kern w:val="0"/>
                <w:sz w:val="22"/>
                <w:szCs w:val="22"/>
                <w:highlight w:val="none"/>
                <w:lang w:val="en-US" w:eastAsia="zh-CN"/>
              </w:rPr>
            </w:pPr>
            <w:r>
              <w:rPr>
                <w:rFonts w:hint="eastAsia" w:ascii="宋体" w:hAnsi="宋体" w:eastAsia="宋体" w:cs="宋体"/>
                <w:b w:val="0"/>
                <w:bCs/>
                <w:color w:val="auto"/>
                <w:kern w:val="0"/>
                <w:sz w:val="22"/>
                <w:szCs w:val="22"/>
                <w:highlight w:val="none"/>
                <w:lang w:val="en-US" w:eastAsia="zh-CN"/>
              </w:rPr>
              <w:t>关键部位和关键施工方案</w:t>
            </w:r>
          </w:p>
        </w:tc>
        <w:tc>
          <w:tcPr>
            <w:tcW w:w="6461" w:type="dxa"/>
            <w:shd w:val="clear" w:color="auto" w:fill="auto"/>
            <w:vAlign w:val="center"/>
          </w:tcPr>
          <w:p w14:paraId="5B7DD39E">
            <w:pPr>
              <w:keepNext w:val="0"/>
              <w:keepLines w:val="0"/>
              <w:pageBreakBefore w:val="0"/>
              <w:widowControl/>
              <w:kinsoku/>
              <w:wordWrap/>
              <w:overflowPunct/>
              <w:topLinePunct w:val="0"/>
              <w:autoSpaceDE/>
              <w:autoSpaceDN/>
              <w:bidi w:val="0"/>
              <w:adjustRightInd/>
              <w:snapToGrid w:val="0"/>
              <w:spacing w:line="300" w:lineRule="exact"/>
              <w:jc w:val="left"/>
              <w:textAlignment w:val="auto"/>
              <w:rPr>
                <w:rFonts w:hint="eastAsia" w:ascii="宋体" w:hAnsi="宋体" w:eastAsia="宋体" w:cs="宋体"/>
                <w:b w:val="0"/>
                <w:bCs/>
                <w:color w:val="auto"/>
                <w:kern w:val="0"/>
                <w:sz w:val="22"/>
                <w:szCs w:val="22"/>
                <w:highlight w:val="none"/>
                <w:lang w:val="en-US" w:eastAsia="zh-CN"/>
              </w:rPr>
            </w:pPr>
            <w:r>
              <w:rPr>
                <w:rFonts w:hint="eastAsia" w:ascii="宋体" w:hAnsi="宋体" w:eastAsia="宋体" w:cs="宋体"/>
                <w:b w:val="0"/>
                <w:bCs/>
                <w:color w:val="auto"/>
                <w:kern w:val="0"/>
                <w:sz w:val="22"/>
                <w:szCs w:val="22"/>
                <w:highlight w:val="none"/>
                <w:lang w:val="en-US" w:eastAsia="zh-CN"/>
              </w:rPr>
              <w:t>对</w:t>
            </w:r>
            <w:r>
              <w:rPr>
                <w:rFonts w:hint="eastAsia" w:ascii="宋体" w:hAnsi="宋体" w:cs="宋体"/>
                <w:b w:val="0"/>
                <w:bCs/>
                <w:color w:val="auto"/>
                <w:kern w:val="0"/>
                <w:sz w:val="22"/>
                <w:szCs w:val="22"/>
                <w:highlight w:val="none"/>
                <w:lang w:val="en-US" w:eastAsia="zh-CN"/>
              </w:rPr>
              <w:t>项目</w:t>
            </w:r>
            <w:r>
              <w:rPr>
                <w:rFonts w:hint="eastAsia" w:ascii="宋体" w:hAnsi="宋体" w:eastAsia="宋体" w:cs="宋体"/>
                <w:b w:val="0"/>
                <w:bCs/>
                <w:color w:val="auto"/>
                <w:kern w:val="0"/>
                <w:sz w:val="22"/>
                <w:szCs w:val="22"/>
                <w:highlight w:val="none"/>
                <w:lang w:val="en-US" w:eastAsia="zh-CN"/>
              </w:rPr>
              <w:t>的关键部位和关键施工方案（</w:t>
            </w:r>
            <w:r>
              <w:rPr>
                <w:rFonts w:hint="eastAsia" w:ascii="宋体" w:hAnsi="宋体" w:eastAsia="宋体" w:cs="宋体"/>
                <w:b w:val="0"/>
                <w:bCs/>
                <w:color w:val="auto"/>
                <w:kern w:val="0"/>
                <w:sz w:val="22"/>
                <w:szCs w:val="22"/>
                <w:highlight w:val="none"/>
                <w:lang w:val="en-US" w:eastAsia="en-US"/>
              </w:rPr>
              <w:t>项目重点难点分析及合理化建议，施工关键技术方案可行性、合理性。</w:t>
            </w:r>
            <w:r>
              <w:rPr>
                <w:rFonts w:hint="eastAsia" w:ascii="宋体" w:hAnsi="宋体" w:eastAsia="宋体" w:cs="宋体"/>
                <w:b w:val="0"/>
                <w:bCs/>
                <w:color w:val="auto"/>
                <w:kern w:val="0"/>
                <w:sz w:val="22"/>
                <w:szCs w:val="22"/>
                <w:highlight w:val="none"/>
                <w:lang w:val="en-US" w:eastAsia="zh-CN"/>
              </w:rPr>
              <w:t>）（</w:t>
            </w:r>
            <w:r>
              <w:rPr>
                <w:rFonts w:hint="eastAsia" w:ascii="宋体" w:hAnsi="宋体" w:cs="宋体"/>
                <w:b w:val="0"/>
                <w:bCs/>
                <w:color w:val="auto"/>
                <w:kern w:val="0"/>
                <w:sz w:val="22"/>
                <w:szCs w:val="22"/>
                <w:highlight w:val="none"/>
                <w:lang w:val="en-US" w:eastAsia="zh-CN"/>
              </w:rPr>
              <w:t>评分</w:t>
            </w:r>
            <w:r>
              <w:rPr>
                <w:rFonts w:hint="eastAsia" w:ascii="宋体" w:hAnsi="宋体" w:eastAsia="宋体" w:cs="宋体"/>
                <w:b w:val="0"/>
                <w:bCs/>
                <w:color w:val="auto"/>
                <w:kern w:val="0"/>
                <w:sz w:val="22"/>
                <w:szCs w:val="22"/>
                <w:highlight w:val="none"/>
                <w:lang w:val="en-US" w:eastAsia="zh-CN"/>
              </w:rPr>
              <w:t>分值：</w:t>
            </w:r>
            <w:r>
              <w:rPr>
                <w:rFonts w:hint="eastAsia" w:ascii="宋体" w:hAnsi="宋体" w:cs="宋体"/>
                <w:b w:val="0"/>
                <w:bCs/>
                <w:color w:val="auto"/>
                <w:kern w:val="0"/>
                <w:sz w:val="22"/>
                <w:szCs w:val="22"/>
                <w:highlight w:val="none"/>
                <w:lang w:val="en-US" w:eastAsia="zh-CN"/>
              </w:rPr>
              <w:t>5</w:t>
            </w:r>
            <w:r>
              <w:rPr>
                <w:rFonts w:hint="eastAsia" w:ascii="宋体" w:hAnsi="宋体" w:eastAsia="宋体" w:cs="宋体"/>
                <w:b w:val="0"/>
                <w:bCs/>
                <w:color w:val="auto"/>
                <w:kern w:val="0"/>
                <w:sz w:val="22"/>
                <w:szCs w:val="22"/>
                <w:highlight w:val="none"/>
                <w:lang w:val="en-US" w:eastAsia="zh-CN"/>
              </w:rPr>
              <w:t>，</w:t>
            </w:r>
            <w:r>
              <w:rPr>
                <w:rFonts w:hint="eastAsia" w:ascii="宋体" w:hAnsi="宋体" w:cs="宋体"/>
                <w:b w:val="0"/>
                <w:bCs/>
                <w:color w:val="auto"/>
                <w:kern w:val="0"/>
                <w:sz w:val="22"/>
                <w:szCs w:val="22"/>
                <w:highlight w:val="none"/>
                <w:lang w:val="en-US" w:eastAsia="zh-CN"/>
              </w:rPr>
              <w:t>4，</w:t>
            </w:r>
            <w:r>
              <w:rPr>
                <w:rFonts w:hint="eastAsia" w:ascii="宋体" w:hAnsi="宋体" w:eastAsia="宋体" w:cs="宋体"/>
                <w:b w:val="0"/>
                <w:bCs/>
                <w:color w:val="auto"/>
                <w:kern w:val="0"/>
                <w:sz w:val="22"/>
                <w:szCs w:val="22"/>
                <w:highlight w:val="none"/>
                <w:lang w:val="en-US" w:eastAsia="zh-CN"/>
              </w:rPr>
              <w:t>3，2，1，0）</w:t>
            </w:r>
          </w:p>
        </w:tc>
        <w:tc>
          <w:tcPr>
            <w:tcW w:w="1097" w:type="dxa"/>
            <w:vAlign w:val="center"/>
          </w:tcPr>
          <w:p w14:paraId="576795AD">
            <w:pPr>
              <w:keepNext w:val="0"/>
              <w:keepLines w:val="0"/>
              <w:pageBreakBefore w:val="0"/>
              <w:widowControl/>
              <w:kinsoku/>
              <w:wordWrap/>
              <w:overflowPunct/>
              <w:topLinePunct w:val="0"/>
              <w:autoSpaceDE/>
              <w:autoSpaceDN/>
              <w:bidi w:val="0"/>
              <w:adjustRightInd/>
              <w:snapToGrid w:val="0"/>
              <w:spacing w:line="300" w:lineRule="exact"/>
              <w:jc w:val="center"/>
              <w:textAlignment w:val="auto"/>
              <w:rPr>
                <w:rFonts w:hint="eastAsia" w:ascii="宋体" w:hAnsi="宋体" w:eastAsia="宋体" w:cs="宋体"/>
                <w:b w:val="0"/>
                <w:bCs/>
                <w:color w:val="auto"/>
                <w:kern w:val="0"/>
                <w:sz w:val="22"/>
                <w:szCs w:val="22"/>
                <w:highlight w:val="none"/>
                <w:lang w:val="en-US" w:eastAsia="zh-CN"/>
              </w:rPr>
            </w:pPr>
            <w:r>
              <w:rPr>
                <w:rFonts w:hint="eastAsia" w:ascii="宋体" w:hAnsi="宋体" w:eastAsia="宋体" w:cs="宋体"/>
                <w:b w:val="0"/>
                <w:bCs/>
                <w:color w:val="auto"/>
                <w:kern w:val="0"/>
                <w:sz w:val="22"/>
                <w:szCs w:val="22"/>
                <w:highlight w:val="none"/>
                <w:lang w:val="en-US" w:eastAsia="zh-CN"/>
              </w:rPr>
              <w:t>0-5分</w:t>
            </w:r>
          </w:p>
        </w:tc>
      </w:tr>
    </w:tbl>
    <w:p w14:paraId="27EA530E">
      <w:pPr>
        <w:rPr>
          <w:rFonts w:hint="eastAsia"/>
          <w:color w:val="auto"/>
          <w:highlight w:val="none"/>
          <w:lang w:val="en-US" w:eastAsia="zh-CN"/>
        </w:rPr>
      </w:pPr>
    </w:p>
    <w:p w14:paraId="58FA1622">
      <w:pPr>
        <w:keepNext w:val="0"/>
        <w:keepLines w:val="0"/>
        <w:suppressLineNumbers w:val="0"/>
        <w:spacing w:before="0" w:beforeAutospacing="0" w:after="0" w:afterAutospacing="0" w:line="240" w:lineRule="auto"/>
        <w:ind w:left="0" w:right="0" w:firstLine="486" w:firstLineChars="200"/>
        <w:jc w:val="left"/>
        <w:rPr>
          <w:rFonts w:cs="宋体"/>
          <w:b/>
          <w:bCs/>
          <w:color w:val="auto"/>
          <w:sz w:val="24"/>
          <w:szCs w:val="24"/>
          <w:highlight w:val="none"/>
          <w:u w:val="single"/>
        </w:rPr>
      </w:pPr>
      <w:bookmarkStart w:id="266" w:name="_Toc18541_WPSOffice_Level2"/>
      <w:r>
        <w:rPr>
          <w:rFonts w:hint="eastAsia" w:ascii="宋体" w:hAnsi="宋体" w:eastAsia="宋体" w:cs="宋体"/>
          <w:b/>
          <w:bCs/>
          <w:color w:val="auto"/>
          <w:sz w:val="24"/>
          <w:szCs w:val="24"/>
          <w:highlight w:val="none"/>
          <w:u w:val="single"/>
          <w:lang w:val="en-US" w:eastAsia="zh-CN"/>
        </w:rPr>
        <w:t>注：如投标人为联合体的，联合体任一成员具备即可得分。</w:t>
      </w:r>
    </w:p>
    <w:p w14:paraId="201BACEA">
      <w:pPr>
        <w:pStyle w:val="12"/>
        <w:tabs>
          <w:tab w:val="left" w:pos="1069"/>
          <w:tab w:val="left" w:pos="2352"/>
        </w:tabs>
        <w:adjustRightInd w:val="0"/>
        <w:snapToGrid w:val="0"/>
        <w:spacing w:line="420" w:lineRule="exact"/>
        <w:ind w:left="335"/>
        <w:jc w:val="center"/>
        <w:rPr>
          <w:rFonts w:hint="eastAsia" w:hAnsi="宋体" w:cs="宋体"/>
          <w:b/>
          <w:bCs/>
          <w:color w:val="auto"/>
          <w:sz w:val="22"/>
          <w:szCs w:val="22"/>
          <w:highlight w:val="none"/>
        </w:rPr>
      </w:pPr>
    </w:p>
    <w:p w14:paraId="2979A587">
      <w:pPr>
        <w:pStyle w:val="12"/>
        <w:tabs>
          <w:tab w:val="left" w:pos="1069"/>
          <w:tab w:val="left" w:pos="2352"/>
        </w:tabs>
        <w:adjustRightInd w:val="0"/>
        <w:snapToGrid w:val="0"/>
        <w:spacing w:line="420" w:lineRule="exact"/>
        <w:ind w:left="335"/>
        <w:jc w:val="center"/>
        <w:rPr>
          <w:rFonts w:hAnsi="宋体" w:cs="宋体"/>
          <w:b/>
          <w:bCs/>
          <w:color w:val="auto"/>
          <w:sz w:val="22"/>
          <w:szCs w:val="22"/>
          <w:highlight w:val="none"/>
        </w:rPr>
      </w:pPr>
      <w:r>
        <w:rPr>
          <w:rFonts w:hint="eastAsia" w:hAnsi="宋体" w:cs="宋体"/>
          <w:b/>
          <w:bCs/>
          <w:color w:val="auto"/>
          <w:sz w:val="22"/>
          <w:szCs w:val="22"/>
          <w:highlight w:val="none"/>
        </w:rPr>
        <w:t>五、说明</w:t>
      </w:r>
      <w:bookmarkEnd w:id="266"/>
    </w:p>
    <w:p w14:paraId="183AF3B3">
      <w:pPr>
        <w:pStyle w:val="12"/>
        <w:tabs>
          <w:tab w:val="left" w:pos="1069"/>
          <w:tab w:val="left" w:pos="2352"/>
        </w:tabs>
        <w:adjustRightInd w:val="0"/>
        <w:snapToGrid w:val="0"/>
        <w:spacing w:line="440" w:lineRule="atLeast"/>
        <w:rPr>
          <w:rFonts w:hAnsi="宋体" w:cs="宋体"/>
          <w:color w:val="auto"/>
          <w:sz w:val="22"/>
          <w:highlight w:val="none"/>
        </w:rPr>
      </w:pPr>
      <w:r>
        <w:rPr>
          <w:rFonts w:hint="eastAsia" w:hAnsi="宋体" w:cs="宋体"/>
          <w:color w:val="auto"/>
          <w:sz w:val="22"/>
          <w:highlight w:val="none"/>
        </w:rPr>
        <w:t>1、每个供应商最终得分=商务技术分值（所有评审小组成员打分的算术平均值）＋报价分值。</w:t>
      </w:r>
    </w:p>
    <w:p w14:paraId="2506E76D">
      <w:pPr>
        <w:pStyle w:val="12"/>
        <w:tabs>
          <w:tab w:val="left" w:pos="1069"/>
          <w:tab w:val="left" w:pos="2352"/>
        </w:tabs>
        <w:adjustRightInd w:val="0"/>
        <w:snapToGrid w:val="0"/>
        <w:spacing w:line="440" w:lineRule="atLeast"/>
        <w:rPr>
          <w:rFonts w:hAnsi="宋体" w:cs="宋体"/>
          <w:color w:val="auto"/>
          <w:sz w:val="22"/>
          <w:highlight w:val="none"/>
        </w:rPr>
      </w:pPr>
      <w:r>
        <w:rPr>
          <w:rFonts w:hint="eastAsia" w:hAnsi="宋体" w:cs="宋体"/>
          <w:color w:val="auto"/>
          <w:sz w:val="22"/>
          <w:highlight w:val="none"/>
        </w:rPr>
        <w:t>2、评审小组推荐综合得分第一名的供应商为中标（成交）供应商，如果得分相同的，按投标报价由低到高顺序排列，得分且报价均相同的，按商务技术得分由高到低排列。</w:t>
      </w:r>
    </w:p>
    <w:p w14:paraId="32ABDDFE">
      <w:pPr>
        <w:pStyle w:val="12"/>
        <w:tabs>
          <w:tab w:val="left" w:pos="1069"/>
          <w:tab w:val="left" w:pos="2352"/>
        </w:tabs>
        <w:adjustRightInd w:val="0"/>
        <w:snapToGrid w:val="0"/>
        <w:spacing w:line="440" w:lineRule="atLeast"/>
        <w:rPr>
          <w:rFonts w:hAnsi="宋体" w:cs="宋体"/>
          <w:color w:val="auto"/>
          <w:sz w:val="22"/>
          <w:highlight w:val="none"/>
        </w:rPr>
      </w:pPr>
      <w:r>
        <w:rPr>
          <w:rFonts w:hint="eastAsia" w:hAnsi="宋体" w:cs="宋体"/>
          <w:color w:val="auto"/>
          <w:sz w:val="22"/>
          <w:highlight w:val="none"/>
        </w:rPr>
        <w:t>3、所有分值计算保留小数点后二位，小数点后三位四舍五入。</w:t>
      </w:r>
    </w:p>
    <w:p w14:paraId="68169FF6">
      <w:pPr>
        <w:pStyle w:val="12"/>
        <w:tabs>
          <w:tab w:val="left" w:pos="1069"/>
          <w:tab w:val="left" w:pos="2352"/>
        </w:tabs>
        <w:adjustRightInd w:val="0"/>
        <w:snapToGrid w:val="0"/>
        <w:spacing w:line="440" w:lineRule="atLeast"/>
        <w:rPr>
          <w:color w:val="auto"/>
          <w:highlight w:val="none"/>
        </w:rPr>
      </w:pPr>
      <w:r>
        <w:rPr>
          <w:rFonts w:hint="eastAsia" w:hAnsi="宋体" w:cs="宋体"/>
          <w:color w:val="auto"/>
          <w:sz w:val="22"/>
          <w:highlight w:val="none"/>
        </w:rPr>
        <w:t>参见本竞争性磋商文件第三部分：“供应商须知”中的相关内容，未尽事宜按有关法律规定处理。</w:t>
      </w:r>
    </w:p>
    <w:p w14:paraId="07959AB7">
      <w:pPr>
        <w:pStyle w:val="12"/>
        <w:tabs>
          <w:tab w:val="left" w:pos="1069"/>
          <w:tab w:val="left" w:pos="2352"/>
        </w:tabs>
        <w:adjustRightInd w:val="0"/>
        <w:snapToGrid w:val="0"/>
        <w:spacing w:line="440" w:lineRule="atLeast"/>
        <w:rPr>
          <w:color w:val="auto"/>
          <w:highlight w:val="none"/>
        </w:rPr>
      </w:pPr>
    </w:p>
    <w:sectPr>
      <w:headerReference r:id="rId14" w:type="first"/>
      <w:footerReference r:id="rId16" w:type="first"/>
      <w:headerReference r:id="rId13" w:type="default"/>
      <w:footerReference r:id="rId15" w:type="default"/>
      <w:pgSz w:w="11906" w:h="16838"/>
      <w:pgMar w:top="1440" w:right="1247" w:bottom="1440" w:left="1247" w:header="851" w:footer="992" w:gutter="0"/>
      <w:pgNumType w:fmt="decimal"/>
      <w:cols w:space="720" w:num="1"/>
      <w:titlePg/>
      <w:docGrid w:type="linesAndChars" w:linePitch="317" w:charSpace="80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 w:name="Cambria">
    <w:panose1 w:val="02040503050406030204"/>
    <w:charset w:val="00"/>
    <w:family w:val="roman"/>
    <w:pitch w:val="default"/>
    <w:sig w:usb0="E00006FF" w:usb1="420024FF" w:usb2="02000000" w:usb3="00000000" w:csb0="2000019F" w:csb1="00000000"/>
  </w:font>
  <w:font w:name="Century Gothic">
    <w:panose1 w:val="020B0502020202020204"/>
    <w:charset w:val="00"/>
    <w:family w:val="swiss"/>
    <w:pitch w:val="default"/>
    <w:sig w:usb0="00000287" w:usb1="00000000" w:usb2="00000000" w:usb3="00000000" w:csb0="2000009F" w:csb1="DFD70000"/>
  </w:font>
  <w:font w:name="长城仿宋">
    <w:altName w:val="仿宋"/>
    <w:panose1 w:val="00000000000000000000"/>
    <w:charset w:val="86"/>
    <w:family w:val="modern"/>
    <w:pitch w:val="default"/>
    <w:sig w:usb0="00000000" w:usb1="00000000" w:usb2="00000010" w:usb3="00000000" w:csb0="00040000" w:csb1="00000000"/>
  </w:font>
  <w:font w:name="Arial Unicode MS">
    <w:altName w:val="宋体"/>
    <w:panose1 w:val="020B0604020202020204"/>
    <w:charset w:val="86"/>
    <w:family w:val="swiss"/>
    <w:pitch w:val="default"/>
    <w:sig w:usb0="00000000" w:usb1="00000000" w:usb2="0000003F" w:usb3="00000000" w:csb0="003F01F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Times">
    <w:altName w:val="Times New Roman"/>
    <w:panose1 w:val="02020603050405020304"/>
    <w:charset w:val="00"/>
    <w:family w:val="roman"/>
    <w:pitch w:val="default"/>
    <w:sig w:usb0="00000000" w:usb1="00000000" w:usb2="00000009" w:usb3="00000000" w:csb0="000001FF" w:csb1="00000000"/>
  </w:font>
  <w:font w:name="Helvetica">
    <w:altName w:val="Arial"/>
    <w:panose1 w:val="020B0604020202020204"/>
    <w:charset w:val="00"/>
    <w:family w:val="swiss"/>
    <w:pitch w:val="default"/>
    <w:sig w:usb0="00000000" w:usb1="00000000" w:usb2="00000000" w:usb3="00000000" w:csb0="00000001" w:csb1="00000000"/>
  </w:font>
  <w:font w:name="微软雅黑">
    <w:panose1 w:val="020B0503020204020204"/>
    <w:charset w:val="86"/>
    <w:family w:val="swiss"/>
    <w:pitch w:val="default"/>
    <w:sig w:usb0="80000287" w:usb1="2ACF3C50" w:usb2="00000016" w:usb3="00000000" w:csb0="0004001F" w:csb1="00000000"/>
  </w:font>
  <w:font w:name="Arial (W1)">
    <w:altName w:val="Arial"/>
    <w:panose1 w:val="00000000000000000000"/>
    <w:charset w:val="00"/>
    <w:family w:val="auto"/>
    <w:pitch w:val="default"/>
    <w:sig w:usb0="00000000" w:usb1="00000000" w:usb2="00000000" w:usb3="00000000" w:csb0="00000001" w:csb1="00000000"/>
  </w:font>
  <w:font w:name="MS Gothic">
    <w:panose1 w:val="020B0609070205080204"/>
    <w:charset w:val="80"/>
    <w:family w:val="modern"/>
    <w:pitch w:val="default"/>
    <w:sig w:usb0="E00002FF" w:usb1="6AC7FDFB" w:usb2="08000012" w:usb3="00000000" w:csb0="4002009F" w:csb1="DFD70000"/>
  </w:font>
  <w:font w:name="Wingdings 2">
    <w:panose1 w:val="05020102010507070707"/>
    <w:charset w:val="02"/>
    <w:family w:val="roman"/>
    <w:pitch w:val="default"/>
    <w:sig w:usb0="00000000" w:usb1="00000000" w:usb2="00000000" w:usb3="00000000" w:csb0="80000000" w:csb1="00000000"/>
  </w:font>
  <w:font w:name="华文中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9A8D82">
    <w:pPr>
      <w:pStyle w:val="1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E811F7">
    <w:pPr>
      <w:pStyle w:val="15"/>
    </w:pP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C7A7051">
                          <w:pPr>
                            <w:pStyle w:val="15"/>
                          </w:pPr>
                          <w:r>
                            <w:fldChar w:fldCharType="begin"/>
                          </w:r>
                          <w:r>
                            <w:instrText xml:space="preserve"> PAGE  \* MERGEFORMAT </w:instrText>
                          </w:r>
                          <w:r>
                            <w:fldChar w:fldCharType="separate"/>
                          </w:r>
                          <w:r>
                            <w:t>140</w:t>
                          </w:r>
                          <w:r>
                            <w:fldChar w:fldCharType="end"/>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Aqi+sgyQEAAJkDAAAOAAAAAAAAAAEAIAAAAB4BAABkcnMvZTJvRG9j&#10;LnhtbFBLBQYAAAAABgAGAFkBAABZBQAAAAA=&#10;">
              <v:fill on="f" focussize="0,0"/>
              <v:stroke on="f"/>
              <v:imagedata o:title=""/>
              <o:lock v:ext="edit" aspectratio="f"/>
              <v:textbox inset="0mm,0mm,0mm,0mm" style="mso-fit-shape-to-text:t;">
                <w:txbxContent>
                  <w:p w14:paraId="1C7A7051">
                    <w:pPr>
                      <w:pStyle w:val="15"/>
                    </w:pPr>
                    <w:r>
                      <w:fldChar w:fldCharType="begin"/>
                    </w:r>
                    <w:r>
                      <w:instrText xml:space="preserve"> PAGE  \* MERGEFORMAT </w:instrText>
                    </w:r>
                    <w:r>
                      <w:fldChar w:fldCharType="separate"/>
                    </w:r>
                    <w:r>
                      <w:t>140</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7B9911">
    <w:pPr>
      <w:pStyle w:val="15"/>
    </w:pPr>
    <w:r>
      <w:rPr>
        <w:sz w:val="18"/>
      </w:rP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828800" cy="1828800"/>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75F42C0">
                          <w:pPr>
                            <w:pStyle w:val="15"/>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5WZn4yAgAAYw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LlZmfjICAABjBAAADgAAAAAAAAABACAAAAAfAQAAZHJzL2Uyb0RvYy54bWxQSwUG&#10;AAAAAAYABgBZAQAAwwUAAAAA&#10;">
              <v:fill on="f" focussize="0,0"/>
              <v:stroke on="f" weight="0.5pt"/>
              <v:imagedata o:title=""/>
              <o:lock v:ext="edit" aspectratio="f"/>
              <v:textbox inset="0mm,0mm,0mm,0mm" style="mso-fit-shape-to-text:t;">
                <w:txbxContent>
                  <w:p w14:paraId="375F42C0">
                    <w:pPr>
                      <w:pStyle w:val="15"/>
                    </w:pPr>
                    <w:r>
                      <w:fldChar w:fldCharType="begin"/>
                    </w:r>
                    <w:r>
                      <w:instrText xml:space="preserve"> PAGE  \* MERGEFORMAT </w:instrText>
                    </w:r>
                    <w:r>
                      <w:fldChar w:fldCharType="separate"/>
                    </w:r>
                    <w:r>
                      <w:t>- 1 -</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FC71F8">
    <w:pPr>
      <w:pStyle w:val="15"/>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A8639E0">
                          <w:pPr>
                            <w:pStyle w:val="15"/>
                          </w:pPr>
                          <w:r>
                            <w:fldChar w:fldCharType="begin"/>
                          </w:r>
                          <w:r>
                            <w:instrText xml:space="preserve"> PAGE  \* MERGEFORMAT </w:instrText>
                          </w:r>
                          <w:r>
                            <w:fldChar w:fldCharType="separate"/>
                          </w:r>
                          <w:r>
                            <w:t>22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4A8639E0">
                    <w:pPr>
                      <w:pStyle w:val="15"/>
                    </w:pPr>
                    <w:r>
                      <w:fldChar w:fldCharType="begin"/>
                    </w:r>
                    <w:r>
                      <w:instrText xml:space="preserve"> PAGE  \* MERGEFORMAT </w:instrText>
                    </w:r>
                    <w:r>
                      <w:fldChar w:fldCharType="separate"/>
                    </w:r>
                    <w:r>
                      <w:t>22</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7002EC">
    <w:pPr>
      <w:pStyle w:val="15"/>
    </w:pPr>
    <w: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E715984">
                          <w:pPr>
                            <w:pStyle w:val="15"/>
                          </w:pPr>
                          <w:r>
                            <w:fldChar w:fldCharType="begin"/>
                          </w:r>
                          <w:r>
                            <w:instrText xml:space="preserve"> PAGE  \* MERGEFORMAT </w:instrText>
                          </w:r>
                          <w:r>
                            <w:fldChar w:fldCharType="separate"/>
                          </w:r>
                          <w:r>
                            <w:t>140</w:t>
                          </w:r>
                          <w:r>
                            <w:fldChar w:fldCharType="end"/>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BQbpw9yQEAAJsDAAAOAAAAAAAAAAEAIAAAAB4BAABkcnMvZTJvRG9j&#10;LnhtbFBLBQYAAAAABgAGAFkBAABZBQAAAAA=&#10;">
              <v:fill on="f" focussize="0,0"/>
              <v:stroke on="f"/>
              <v:imagedata o:title=""/>
              <o:lock v:ext="edit" aspectratio="f"/>
              <v:textbox inset="0mm,0mm,0mm,0mm" style="mso-fit-shape-to-text:t;">
                <w:txbxContent>
                  <w:p w14:paraId="7E715984">
                    <w:pPr>
                      <w:pStyle w:val="15"/>
                    </w:pPr>
                    <w:r>
                      <w:fldChar w:fldCharType="begin"/>
                    </w:r>
                    <w:r>
                      <w:instrText xml:space="preserve"> PAGE  \* MERGEFORMAT </w:instrText>
                    </w:r>
                    <w:r>
                      <w:fldChar w:fldCharType="separate"/>
                    </w:r>
                    <w:r>
                      <w:t>140</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9E88B0">
    <w:pPr>
      <w:pStyle w:val="15"/>
    </w:pPr>
    <w: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D7CA7E6">
                          <w:pPr>
                            <w:pStyle w:val="15"/>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q/o+UsAgAAV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yr+j5SwCAABVBAAADgAAAAAAAAABACAAAAAfAQAAZHJzL2Uyb0RvYy54bWxQSwUGAAAAAAYA&#10;BgBZAQAAvQUAAAAA&#10;">
              <v:fill on="f" focussize="0,0"/>
              <v:stroke on="f" weight="0.5pt"/>
              <v:imagedata o:title=""/>
              <o:lock v:ext="edit" aspectratio="f"/>
              <v:textbox inset="0mm,0mm,0mm,0mm" style="mso-fit-shape-to-text:t;">
                <w:txbxContent>
                  <w:p w14:paraId="4D7CA7E6">
                    <w:pPr>
                      <w:pStyle w:val="15"/>
                    </w:pPr>
                    <w:r>
                      <w:fldChar w:fldCharType="begin"/>
                    </w:r>
                    <w:r>
                      <w:instrText xml:space="preserve"> PAGE  \* MERGEFORMAT </w:instrText>
                    </w:r>
                    <w:r>
                      <w:fldChar w:fldCharType="separate"/>
                    </w:r>
                    <w:r>
                      <w:t>2</w:t>
                    </w:r>
                    <w:r>
                      <w:fldChar w:fldCharType="end"/>
                    </w:r>
                  </w:p>
                </w:txbxContent>
              </v:textbox>
            </v:shape>
          </w:pict>
        </mc:Fallback>
      </mc:AlternateContent>
    </w:r>
    <w: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11"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38E6EB2A">
                          <w:pPr>
                            <w:pStyle w:val="15"/>
                          </w:pPr>
                          <w:r>
                            <w:rPr>
                              <w:rFonts w:hint="eastAsia"/>
                            </w:rPr>
                            <w:t>1</w:t>
                          </w:r>
                        </w:p>
                      </w:txbxContent>
                    </wps:txbx>
                    <wps:bodyPr wrap="none" lIns="0" tIns="0" rIns="0" bIns="0">
                      <a:spAutoFit/>
                    </wps:bodyPr>
                  </wps:wsp>
                </a:graphicData>
              </a:graphic>
            </wp:anchor>
          </w:drawing>
        </mc:Choice>
        <mc:Fallback>
          <w:pict>
            <v:shape id="文本框 2"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6pebnPAAAABQEAAA8AAAAAAAAAAQAgAAAAIgAAAGRycy9kb3ducmV2LnhtbFBL&#10;AQIUABQAAAAIAIdO4kD7/mSCxgEAAJwDAAAOAAAAAAAAAAEAIAAAAB4BAABkcnMvZTJvRG9jLnht&#10;bFBLBQYAAAAABgAGAFkBAABWBQAAAAA=&#10;">
              <v:fill on="f" focussize="0,0"/>
              <v:stroke on="f"/>
              <v:imagedata o:title=""/>
              <o:lock v:ext="edit" aspectratio="f"/>
              <v:textbox inset="0mm,0mm,0mm,0mm" style="mso-fit-shape-to-text:t;">
                <w:txbxContent>
                  <w:p w14:paraId="38E6EB2A">
                    <w:pPr>
                      <w:pStyle w:val="15"/>
                    </w:pPr>
                    <w:r>
                      <w:rPr>
                        <w:rFonts w:hint="eastAsia"/>
                      </w:rPr>
                      <w:t>1</w:t>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82A3BB">
    <w:pPr>
      <w:pStyle w:val="15"/>
      <w:jc w:val="cente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7FF11E0">
                          <w:pPr>
                            <w:pStyle w:val="15"/>
                          </w:pPr>
                          <w:r>
                            <w:fldChar w:fldCharType="begin"/>
                          </w:r>
                          <w:r>
                            <w:instrText xml:space="preserve"> PAGE  \* MERGEFORMAT </w:instrText>
                          </w:r>
                          <w:r>
                            <w:fldChar w:fldCharType="separate"/>
                          </w:r>
                          <w:r>
                            <w:t>28</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14:paraId="47FF11E0">
                    <w:pPr>
                      <w:pStyle w:val="15"/>
                    </w:pPr>
                    <w:r>
                      <w:fldChar w:fldCharType="begin"/>
                    </w:r>
                    <w:r>
                      <w:instrText xml:space="preserve"> PAGE  \* MERGEFORMAT </w:instrText>
                    </w:r>
                    <w:r>
                      <w:fldChar w:fldCharType="separate"/>
                    </w:r>
                    <w:r>
                      <w:t>28</w:t>
                    </w:r>
                    <w: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810C25">
    <w:pPr>
      <w:pStyle w:val="15"/>
      <w:tabs>
        <w:tab w:val="left" w:pos="4620"/>
        <w:tab w:val="clear" w:pos="4153"/>
      </w:tabs>
      <w:jc w:val="center"/>
      <w:rPr>
        <w:rFonts w:ascii="宋体"/>
      </w:rPr>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991DDD7">
                          <w:pPr>
                            <w:pStyle w:val="15"/>
                          </w:pPr>
                          <w:r>
                            <w:fldChar w:fldCharType="begin"/>
                          </w:r>
                          <w:r>
                            <w:instrText xml:space="preserve"> PAGE  \* MERGEFORMAT </w:instrText>
                          </w:r>
                          <w:r>
                            <w:fldChar w:fldCharType="separate"/>
                          </w:r>
                          <w:r>
                            <w:t>27</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p w14:paraId="7991DDD7">
                    <w:pPr>
                      <w:pStyle w:val="15"/>
                    </w:pPr>
                    <w:r>
                      <w:fldChar w:fldCharType="begin"/>
                    </w:r>
                    <w:r>
                      <w:instrText xml:space="preserve"> PAGE  \* MERGEFORMAT </w:instrText>
                    </w:r>
                    <w:r>
                      <w:fldChar w:fldCharType="separate"/>
                    </w:r>
                    <w:r>
                      <w:t>27</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B8166E">
    <w:pPr>
      <w:pStyle w:val="17"/>
      <w:pBdr>
        <w:top w:val="none" w:color="auto" w:sz="0" w:space="0"/>
        <w:left w:val="none" w:color="auto" w:sz="0" w:space="0"/>
        <w:bottom w:val="none" w:color="auto" w:sz="0" w:space="0"/>
        <w:right w:val="none" w:color="auto" w:sz="0" w:space="0"/>
      </w:pBdr>
      <w:rPr>
        <w:u w:val="single"/>
      </w:rPr>
    </w:pPr>
    <w:r>
      <w:rPr>
        <w:u w:val="single"/>
      </w:rPr>
      <w:drawing>
        <wp:inline distT="0" distB="0" distL="114300" distR="114300">
          <wp:extent cx="325755" cy="273050"/>
          <wp:effectExtent l="0" t="0" r="7620" b="3175"/>
          <wp:docPr id="6" name="图片 1" descr="公司标志"/>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 descr="公司标志"/>
                  <pic:cNvPicPr>
                    <a:picLocks noChangeAspect="1"/>
                  </pic:cNvPicPr>
                </pic:nvPicPr>
                <pic:blipFill>
                  <a:blip r:embed="rId1"/>
                  <a:stretch>
                    <a:fillRect/>
                  </a:stretch>
                </pic:blipFill>
                <pic:spPr>
                  <a:xfrm>
                    <a:off x="0" y="0"/>
                    <a:ext cx="325755" cy="273050"/>
                  </a:xfrm>
                  <a:prstGeom prst="rect">
                    <a:avLst/>
                  </a:prstGeom>
                  <a:noFill/>
                  <a:ln>
                    <a:noFill/>
                  </a:ln>
                </pic:spPr>
              </pic:pic>
            </a:graphicData>
          </a:graphic>
        </wp:inline>
      </w:drawing>
    </w:r>
    <w:r>
      <w:rPr>
        <w:rFonts w:hint="eastAsia"/>
        <w:b/>
        <w:sz w:val="15"/>
        <w:szCs w:val="15"/>
        <w:u w:val="single"/>
      </w:rPr>
      <w:t>杭州华旗招标代理有限公司</w:t>
    </w:r>
    <w:r>
      <w:rPr>
        <w:rFonts w:hint="eastAsia"/>
        <w:u w:val="single"/>
      </w:rPr>
      <w:t xml:space="preserve">           </w:t>
    </w:r>
    <w:r>
      <w:rPr>
        <w:rFonts w:hint="eastAsia"/>
        <w:u w:val="single"/>
        <w:lang w:val="en-US" w:eastAsia="zh-CN"/>
      </w:rPr>
      <w:t xml:space="preserve">         </w:t>
    </w:r>
    <w:r>
      <w:rPr>
        <w:rFonts w:hint="eastAsia"/>
        <w:u w:val="single"/>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52DD13">
    <w:pPr>
      <w:pStyle w:val="1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5E8535">
    <w:pPr>
      <w:pStyle w:val="17"/>
    </w:pPr>
    <w:r>
      <w:rPr>
        <w:sz w:val="16"/>
        <w:szCs w:val="16"/>
        <w:u w:val="single"/>
      </w:rPr>
      <w:drawing>
        <wp:inline distT="0" distB="0" distL="114300" distR="114300">
          <wp:extent cx="325755" cy="273050"/>
          <wp:effectExtent l="0" t="0" r="7620" b="3175"/>
          <wp:docPr id="5" name="图片 1" descr="公司标志"/>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descr="公司标志"/>
                  <pic:cNvPicPr>
                    <a:picLocks noChangeAspect="1"/>
                  </pic:cNvPicPr>
                </pic:nvPicPr>
                <pic:blipFill>
                  <a:blip r:embed="rId1"/>
                  <a:stretch>
                    <a:fillRect/>
                  </a:stretch>
                </pic:blipFill>
                <pic:spPr>
                  <a:xfrm>
                    <a:off x="0" y="0"/>
                    <a:ext cx="325755" cy="273050"/>
                  </a:xfrm>
                  <a:prstGeom prst="rect">
                    <a:avLst/>
                  </a:prstGeom>
                  <a:noFill/>
                  <a:ln>
                    <a:noFill/>
                  </a:ln>
                </pic:spPr>
              </pic:pic>
            </a:graphicData>
          </a:graphic>
        </wp:inline>
      </w:drawing>
    </w:r>
    <w:r>
      <w:rPr>
        <w:rFonts w:hint="eastAsia"/>
        <w:b/>
        <w:sz w:val="16"/>
        <w:szCs w:val="16"/>
        <w:u w:val="single"/>
      </w:rPr>
      <w:t>杭州华旗招标代理有限公司</w:t>
    </w:r>
    <w:r>
      <w:rPr>
        <w:rFonts w:hint="eastAsia"/>
        <w:u w:val="single"/>
      </w:rPr>
      <w:t xml:space="preserve">                                                                              </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840D4B">
    <w:pPr>
      <w:pStyle w:val="17"/>
      <w:rPr>
        <w:rFonts w:hint="default" w:eastAsia="宋体"/>
        <w:lang w:val="en-US" w:eastAsia="zh-CN"/>
      </w:rPr>
    </w:pPr>
    <w:r>
      <w:rPr>
        <w:u w:val="single"/>
      </w:rPr>
      <w:drawing>
        <wp:inline distT="0" distB="0" distL="114300" distR="114300">
          <wp:extent cx="325755" cy="273050"/>
          <wp:effectExtent l="0" t="0" r="7620" b="3175"/>
          <wp:docPr id="10" name="图片 1" descr="公司标志"/>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 descr="公司标志"/>
                  <pic:cNvPicPr>
                    <a:picLocks noChangeAspect="1"/>
                  </pic:cNvPicPr>
                </pic:nvPicPr>
                <pic:blipFill>
                  <a:blip r:embed="rId1"/>
                  <a:stretch>
                    <a:fillRect/>
                  </a:stretch>
                </pic:blipFill>
                <pic:spPr>
                  <a:xfrm>
                    <a:off x="0" y="0"/>
                    <a:ext cx="325755" cy="273050"/>
                  </a:xfrm>
                  <a:prstGeom prst="rect">
                    <a:avLst/>
                  </a:prstGeom>
                  <a:noFill/>
                  <a:ln>
                    <a:noFill/>
                  </a:ln>
                </pic:spPr>
              </pic:pic>
            </a:graphicData>
          </a:graphic>
        </wp:inline>
      </w:drawing>
    </w:r>
    <w:r>
      <w:rPr>
        <w:rFonts w:hint="eastAsia"/>
        <w:b/>
        <w:sz w:val="15"/>
        <w:szCs w:val="15"/>
        <w:u w:val="single"/>
      </w:rPr>
      <w:t>杭州华旗招标代理有限公司</w:t>
    </w:r>
    <w:r>
      <w:rPr>
        <w:rFonts w:hint="eastAsia"/>
        <w:u w:val="single"/>
      </w:rPr>
      <w:t xml:space="preserve"> </w:t>
    </w:r>
    <w:r>
      <w:rPr>
        <w:rFonts w:hint="eastAsia"/>
        <w:u w:val="single"/>
        <w:lang w:val="en-US" w:eastAsia="zh-CN"/>
      </w:rPr>
      <w:t xml:space="preserve">                                                                    </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7F10EE">
    <w:pPr>
      <w:pStyle w:val="17"/>
      <w:rPr>
        <w:u w:val="single"/>
      </w:rPr>
    </w:pPr>
    <w:r>
      <w:rPr>
        <w:u w:val="single"/>
      </w:rPr>
      <w:drawing>
        <wp:inline distT="0" distB="0" distL="114300" distR="114300">
          <wp:extent cx="325755" cy="273050"/>
          <wp:effectExtent l="0" t="0" r="7620" b="3175"/>
          <wp:docPr id="7" name="图片 1" descr="公司标志"/>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 descr="公司标志"/>
                  <pic:cNvPicPr>
                    <a:picLocks noChangeAspect="1"/>
                  </pic:cNvPicPr>
                </pic:nvPicPr>
                <pic:blipFill>
                  <a:blip r:embed="rId1"/>
                  <a:stretch>
                    <a:fillRect/>
                  </a:stretch>
                </pic:blipFill>
                <pic:spPr>
                  <a:xfrm>
                    <a:off x="0" y="0"/>
                    <a:ext cx="325755" cy="273050"/>
                  </a:xfrm>
                  <a:prstGeom prst="rect">
                    <a:avLst/>
                  </a:prstGeom>
                  <a:noFill/>
                  <a:ln>
                    <a:noFill/>
                  </a:ln>
                </pic:spPr>
              </pic:pic>
            </a:graphicData>
          </a:graphic>
        </wp:inline>
      </w:drawing>
    </w:r>
    <w:r>
      <w:rPr>
        <w:rFonts w:hint="eastAsia"/>
        <w:b/>
        <w:u w:val="single"/>
      </w:rPr>
      <w:t>杭州华旗招标代理有限公司</w:t>
    </w:r>
    <w:r>
      <w:rPr>
        <w:rFonts w:hint="eastAsia"/>
        <w:u w:val="single"/>
      </w:rPr>
      <w:t xml:space="preserve">                                                                           </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050FCD">
    <w:pPr>
      <w:pStyle w:val="17"/>
      <w:pBdr>
        <w:top w:val="none" w:color="auto" w:sz="0" w:space="0"/>
        <w:left w:val="none" w:color="auto" w:sz="0" w:space="0"/>
        <w:bottom w:val="none" w:color="auto" w:sz="0" w:space="0"/>
        <w:right w:val="none" w:color="auto" w:sz="0" w:space="0"/>
      </w:pBdr>
      <w:rPr>
        <w:rFonts w:ascii="宋体"/>
        <w:u w:val="single"/>
      </w:rPr>
    </w:pPr>
    <w:r>
      <w:rPr>
        <w:u w:val="single"/>
      </w:rPr>
      <w:drawing>
        <wp:inline distT="0" distB="0" distL="114300" distR="114300">
          <wp:extent cx="345440" cy="288925"/>
          <wp:effectExtent l="0" t="0" r="6985" b="6350"/>
          <wp:docPr id="8" name="图片 1" descr="公司标志"/>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 descr="公司标志"/>
                  <pic:cNvPicPr>
                    <a:picLocks noChangeAspect="1"/>
                  </pic:cNvPicPr>
                </pic:nvPicPr>
                <pic:blipFill>
                  <a:blip r:embed="rId1"/>
                  <a:stretch>
                    <a:fillRect/>
                  </a:stretch>
                </pic:blipFill>
                <pic:spPr>
                  <a:xfrm>
                    <a:off x="0" y="0"/>
                    <a:ext cx="345440" cy="288925"/>
                  </a:xfrm>
                  <a:prstGeom prst="rect">
                    <a:avLst/>
                  </a:prstGeom>
                  <a:noFill/>
                  <a:ln>
                    <a:noFill/>
                  </a:ln>
                </pic:spPr>
              </pic:pic>
            </a:graphicData>
          </a:graphic>
        </wp:inline>
      </w:drawing>
    </w:r>
    <w:r>
      <w:rPr>
        <w:rFonts w:hint="eastAsia"/>
        <w:b/>
        <w:sz w:val="15"/>
        <w:szCs w:val="15"/>
        <w:u w:val="single"/>
      </w:rPr>
      <w:t>杭州华旗招标代理有限公司</w:t>
    </w:r>
    <w:r>
      <w:rPr>
        <w:rFonts w:hint="eastAsia"/>
        <w:u w:val="single"/>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DC374CF"/>
    <w:multiLevelType w:val="singleLevel"/>
    <w:tmpl w:val="DDC374CF"/>
    <w:lvl w:ilvl="0" w:tentative="0">
      <w:start w:val="1"/>
      <w:numFmt w:val="decimal"/>
      <w:lvlText w:val="%1."/>
      <w:lvlJc w:val="left"/>
      <w:pPr>
        <w:ind w:left="425" w:hanging="425"/>
      </w:pPr>
      <w:rPr>
        <w:rFonts w:hint="default"/>
      </w:rPr>
    </w:lvl>
  </w:abstractNum>
  <w:abstractNum w:abstractNumId="1">
    <w:nsid w:val="FBB0A722"/>
    <w:multiLevelType w:val="singleLevel"/>
    <w:tmpl w:val="FBB0A722"/>
    <w:lvl w:ilvl="0" w:tentative="0">
      <w:start w:val="4"/>
      <w:numFmt w:val="chineseCounting"/>
      <w:suff w:val="nothing"/>
      <w:lvlText w:val="%1、"/>
      <w:lvlJc w:val="left"/>
      <w:rPr>
        <w:rFonts w:hint="eastAsia"/>
      </w:rPr>
    </w:lvl>
  </w:abstractNum>
  <w:abstractNum w:abstractNumId="2">
    <w:nsid w:val="00000000"/>
    <w:multiLevelType w:val="singleLevel"/>
    <w:tmpl w:val="00000000"/>
    <w:lvl w:ilvl="0" w:tentative="0">
      <w:start w:val="1"/>
      <w:numFmt w:val="decimal"/>
      <w:lvlText w:val="%1."/>
      <w:lvlJc w:val="left"/>
      <w:pPr>
        <w:ind w:left="425" w:hanging="425"/>
      </w:pPr>
      <w:rPr>
        <w:rFonts w:hint="default"/>
      </w:rPr>
    </w:lvl>
  </w:abstractNum>
  <w:abstractNum w:abstractNumId="3">
    <w:nsid w:val="00000002"/>
    <w:multiLevelType w:val="singleLevel"/>
    <w:tmpl w:val="00000002"/>
    <w:lvl w:ilvl="0" w:tentative="0">
      <w:start w:val="1"/>
      <w:numFmt w:val="decimal"/>
      <w:suff w:val="space"/>
      <w:lvlText w:val="%1."/>
      <w:lvlJc w:val="left"/>
    </w:lvl>
  </w:abstractNum>
  <w:abstractNum w:abstractNumId="4">
    <w:nsid w:val="00000016"/>
    <w:multiLevelType w:val="multilevel"/>
    <w:tmpl w:val="00000016"/>
    <w:lvl w:ilvl="0" w:tentative="0">
      <w:start w:val="1"/>
      <w:numFmt w:val="decimal"/>
      <w:lvlText w:val="%1."/>
      <w:lvlJc w:val="left"/>
      <w:pPr>
        <w:tabs>
          <w:tab w:val="left" w:pos="720"/>
        </w:tabs>
        <w:ind w:left="720" w:hanging="720"/>
      </w:pPr>
      <w:rPr>
        <w:rFonts w:hint="default" w:cs="Times New Roman"/>
      </w:rPr>
    </w:lvl>
    <w:lvl w:ilvl="1" w:tentative="0">
      <w:start w:val="1"/>
      <w:numFmt w:val="decimal"/>
      <w:lvlText w:val="%2."/>
      <w:lvlJc w:val="left"/>
      <w:pPr>
        <w:tabs>
          <w:tab w:val="left" w:pos="720"/>
        </w:tabs>
        <w:ind w:left="720" w:hanging="720"/>
      </w:pPr>
      <w:rPr>
        <w:rFonts w:hint="default" w:ascii="Arial (W1)" w:hAnsi="Arial (W1)" w:cs="Times New Roman"/>
        <w:b/>
        <w:i w:val="0"/>
        <w:sz w:val="28"/>
      </w:rPr>
    </w:lvl>
    <w:lvl w:ilvl="2" w:tentative="0">
      <w:start w:val="1"/>
      <w:numFmt w:val="decimal"/>
      <w:lvlText w:val="%1.%3."/>
      <w:lvlJc w:val="left"/>
      <w:pPr>
        <w:tabs>
          <w:tab w:val="left" w:pos="720"/>
        </w:tabs>
        <w:ind w:left="720" w:hanging="720"/>
      </w:pPr>
      <w:rPr>
        <w:rFonts w:hint="default" w:cs="Times New Roman"/>
      </w:rPr>
    </w:lvl>
    <w:lvl w:ilvl="3" w:tentative="0">
      <w:start w:val="1"/>
      <w:numFmt w:val="decimal"/>
      <w:lvlText w:val="%1.%3.%4."/>
      <w:lvlJc w:val="left"/>
      <w:pPr>
        <w:tabs>
          <w:tab w:val="left" w:pos="1728"/>
        </w:tabs>
        <w:ind w:left="1728" w:hanging="648"/>
      </w:pPr>
      <w:rPr>
        <w:rFonts w:hint="default" w:cs="Times New Roman"/>
      </w:rPr>
    </w:lvl>
    <w:lvl w:ilvl="4" w:tentative="0">
      <w:start w:val="1"/>
      <w:numFmt w:val="decimal"/>
      <w:lvlText w:val="%1.%2.%3.%4.%5."/>
      <w:lvlJc w:val="left"/>
      <w:pPr>
        <w:tabs>
          <w:tab w:val="left" w:pos="2520"/>
        </w:tabs>
        <w:ind w:left="2232" w:hanging="792"/>
      </w:pPr>
      <w:rPr>
        <w:rFonts w:hint="default" w:cs="Times New Roman"/>
      </w:rPr>
    </w:lvl>
    <w:lvl w:ilvl="5" w:tentative="0">
      <w:start w:val="1"/>
      <w:numFmt w:val="decimal"/>
      <w:lvlText w:val="%1.%2.%3.%4.%5.%6."/>
      <w:lvlJc w:val="left"/>
      <w:pPr>
        <w:tabs>
          <w:tab w:val="left" w:pos="3240"/>
        </w:tabs>
        <w:ind w:left="2736" w:hanging="936"/>
      </w:pPr>
      <w:rPr>
        <w:rFonts w:hint="default" w:cs="Times New Roman"/>
      </w:rPr>
    </w:lvl>
    <w:lvl w:ilvl="6" w:tentative="0">
      <w:start w:val="1"/>
      <w:numFmt w:val="decimal"/>
      <w:lvlText w:val="%1.%2.%3.%4.%5.%6.%7."/>
      <w:lvlJc w:val="left"/>
      <w:pPr>
        <w:tabs>
          <w:tab w:val="left" w:pos="3600"/>
        </w:tabs>
        <w:ind w:left="3240" w:hanging="1080"/>
      </w:pPr>
      <w:rPr>
        <w:rFonts w:hint="default" w:cs="Times New Roman"/>
      </w:rPr>
    </w:lvl>
    <w:lvl w:ilvl="7" w:tentative="0">
      <w:start w:val="1"/>
      <w:numFmt w:val="decimal"/>
      <w:lvlText w:val="%1.%2.%3.%4.%5.%6.%7.%8."/>
      <w:lvlJc w:val="left"/>
      <w:pPr>
        <w:tabs>
          <w:tab w:val="left" w:pos="4320"/>
        </w:tabs>
        <w:ind w:left="3744" w:hanging="1224"/>
      </w:pPr>
      <w:rPr>
        <w:rFonts w:hint="default" w:cs="Times New Roman"/>
      </w:rPr>
    </w:lvl>
    <w:lvl w:ilvl="8" w:tentative="0">
      <w:start w:val="1"/>
      <w:numFmt w:val="decimal"/>
      <w:lvlText w:val="%1.%2.%3.%4.%5.%6.%7.%8.%9."/>
      <w:lvlJc w:val="left"/>
      <w:pPr>
        <w:tabs>
          <w:tab w:val="left" w:pos="5040"/>
        </w:tabs>
        <w:ind w:left="4320" w:hanging="1440"/>
      </w:pPr>
      <w:rPr>
        <w:rFonts w:hint="default" w:cs="Times New Roman"/>
      </w:rPr>
    </w:lvl>
  </w:abstractNum>
  <w:abstractNum w:abstractNumId="5">
    <w:nsid w:val="19AD446A"/>
    <w:multiLevelType w:val="multilevel"/>
    <w:tmpl w:val="19AD446A"/>
    <w:lvl w:ilvl="0" w:tentative="0">
      <w:start w:val="1"/>
      <w:numFmt w:val="decimal"/>
      <w:lvlText w:val="%1."/>
      <w:lvlJc w:val="left"/>
      <w:pPr>
        <w:ind w:left="704" w:hanging="420"/>
      </w:pPr>
      <w:rPr>
        <w:rFonts w:hint="default"/>
      </w:rPr>
    </w:lvl>
    <w:lvl w:ilvl="1" w:tentative="0">
      <w:start w:val="1"/>
      <w:numFmt w:val="decimal"/>
      <w:isLgl/>
      <w:lvlText w:val="%1.%2"/>
      <w:lvlJc w:val="left"/>
      <w:pPr>
        <w:ind w:left="1060" w:hanging="720"/>
      </w:pPr>
      <w:rPr>
        <w:rFonts w:hint="default"/>
      </w:rPr>
    </w:lvl>
    <w:lvl w:ilvl="2" w:tentative="0">
      <w:start w:val="1"/>
      <w:numFmt w:val="decimal"/>
      <w:isLgl/>
      <w:lvlText w:val="%1.%2.%3"/>
      <w:lvlJc w:val="left"/>
      <w:pPr>
        <w:ind w:left="1542" w:hanging="720"/>
      </w:pPr>
      <w:rPr>
        <w:rFonts w:hint="default"/>
      </w:rPr>
    </w:lvl>
    <w:lvl w:ilvl="3" w:tentative="0">
      <w:start w:val="1"/>
      <w:numFmt w:val="decimal"/>
      <w:isLgl/>
      <w:lvlText w:val="%1.%2.%3.%4"/>
      <w:lvlJc w:val="left"/>
      <w:pPr>
        <w:ind w:left="2384" w:hanging="1080"/>
      </w:pPr>
      <w:rPr>
        <w:rFonts w:hint="default"/>
      </w:rPr>
    </w:lvl>
    <w:lvl w:ilvl="4" w:tentative="0">
      <w:start w:val="1"/>
      <w:numFmt w:val="decimal"/>
      <w:isLgl/>
      <w:lvlText w:val="%1.%2.%3.%4.%5"/>
      <w:lvlJc w:val="left"/>
      <w:pPr>
        <w:ind w:left="3226" w:hanging="1440"/>
      </w:pPr>
      <w:rPr>
        <w:rFonts w:hint="default"/>
      </w:rPr>
    </w:lvl>
    <w:lvl w:ilvl="5" w:tentative="0">
      <w:start w:val="1"/>
      <w:numFmt w:val="decimal"/>
      <w:isLgl/>
      <w:lvlText w:val="%1.%2.%3.%4.%5.%6"/>
      <w:lvlJc w:val="left"/>
      <w:pPr>
        <w:ind w:left="3708" w:hanging="1440"/>
      </w:pPr>
      <w:rPr>
        <w:rFonts w:hint="default"/>
      </w:rPr>
    </w:lvl>
    <w:lvl w:ilvl="6" w:tentative="0">
      <w:start w:val="1"/>
      <w:numFmt w:val="decimal"/>
      <w:isLgl/>
      <w:lvlText w:val="%1.%2.%3.%4.%5.%6.%7"/>
      <w:lvlJc w:val="left"/>
      <w:pPr>
        <w:ind w:left="4550" w:hanging="1800"/>
      </w:pPr>
      <w:rPr>
        <w:rFonts w:hint="default"/>
      </w:rPr>
    </w:lvl>
    <w:lvl w:ilvl="7" w:tentative="0">
      <w:start w:val="1"/>
      <w:numFmt w:val="decimal"/>
      <w:isLgl/>
      <w:lvlText w:val="%1.%2.%3.%4.%5.%6.%7.%8"/>
      <w:lvlJc w:val="left"/>
      <w:pPr>
        <w:ind w:left="5392" w:hanging="2160"/>
      </w:pPr>
      <w:rPr>
        <w:rFonts w:hint="default"/>
      </w:rPr>
    </w:lvl>
    <w:lvl w:ilvl="8" w:tentative="0">
      <w:start w:val="1"/>
      <w:numFmt w:val="decimal"/>
      <w:isLgl/>
      <w:lvlText w:val="%1.%2.%3.%4.%5.%6.%7.%8.%9"/>
      <w:lvlJc w:val="left"/>
      <w:pPr>
        <w:ind w:left="5874" w:hanging="2160"/>
      </w:pPr>
      <w:rPr>
        <w:rFonts w:hint="default"/>
      </w:rPr>
    </w:lvl>
  </w:abstractNum>
  <w:abstractNum w:abstractNumId="6">
    <w:nsid w:val="599289D4"/>
    <w:multiLevelType w:val="singleLevel"/>
    <w:tmpl w:val="599289D4"/>
    <w:lvl w:ilvl="0" w:tentative="0">
      <w:start w:val="1"/>
      <w:numFmt w:val="decimal"/>
      <w:lvlText w:val="%1."/>
      <w:lvlJc w:val="left"/>
      <w:pPr>
        <w:ind w:left="425" w:hanging="425"/>
      </w:pPr>
      <w:rPr>
        <w:rFonts w:hint="default"/>
      </w:rPr>
    </w:lvl>
  </w:abstractNum>
  <w:abstractNum w:abstractNumId="7">
    <w:nsid w:val="599289EC"/>
    <w:multiLevelType w:val="singleLevel"/>
    <w:tmpl w:val="599289EC"/>
    <w:lvl w:ilvl="0" w:tentative="0">
      <w:start w:val="1"/>
      <w:numFmt w:val="decimal"/>
      <w:lvlText w:val="%1."/>
      <w:lvlJc w:val="left"/>
      <w:pPr>
        <w:ind w:left="425" w:hanging="425"/>
      </w:pPr>
      <w:rPr>
        <w:rFonts w:hint="default" w:cs="Times New Roman"/>
      </w:rPr>
    </w:lvl>
  </w:abstractNum>
  <w:abstractNum w:abstractNumId="8">
    <w:nsid w:val="61BD0F6F"/>
    <w:multiLevelType w:val="singleLevel"/>
    <w:tmpl w:val="61BD0F6F"/>
    <w:lvl w:ilvl="0" w:tentative="0">
      <w:start w:val="1"/>
      <w:numFmt w:val="decimal"/>
      <w:suff w:val="nothing"/>
      <w:lvlText w:val="（%1）"/>
      <w:lvlJc w:val="left"/>
    </w:lvl>
  </w:abstractNum>
  <w:num w:numId="1">
    <w:abstractNumId w:val="4"/>
  </w:num>
  <w:num w:numId="2">
    <w:abstractNumId w:val="6"/>
  </w:num>
  <w:num w:numId="3">
    <w:abstractNumId w:val="7"/>
  </w:num>
  <w:num w:numId="4">
    <w:abstractNumId w:val="8"/>
  </w:num>
  <w:num w:numId="5">
    <w:abstractNumId w:val="0"/>
  </w:num>
  <w:num w:numId="6">
    <w:abstractNumId w:val="3"/>
  </w:num>
  <w:num w:numId="7">
    <w:abstractNumId w:val="5"/>
  </w:num>
  <w:num w:numId="8">
    <w:abstractNumId w:val="1"/>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dit="forms" w:formatting="1" w:enforcement="1" w:cryptProviderType="rsaFull" w:cryptAlgorithmClass="hash" w:cryptAlgorithmType="typeAny" w:cryptAlgorithmSid="4" w:cryptSpinCount="0" w:hash="O3TjVStXPOIPtHdqgSprcQq4r7c=" w:salt="upPt5sEPK13sQariPDzJfQ=="/>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ZlNjk0ZGYzYzk1OTZiYzA2NTYwZTg1ODY0OGMwOGEifQ=="/>
    <w:docVar w:name="KSO_WPS_MARK_KEY" w:val="168545c4-e179-4adb-bf81-7de5d557aace"/>
  </w:docVars>
  <w:rsids>
    <w:rsidRoot w:val="004F60FC"/>
    <w:rsid w:val="00023435"/>
    <w:rsid w:val="00091417"/>
    <w:rsid w:val="000C043C"/>
    <w:rsid w:val="00106D69"/>
    <w:rsid w:val="00146EF4"/>
    <w:rsid w:val="001514AB"/>
    <w:rsid w:val="00160D18"/>
    <w:rsid w:val="001D49DD"/>
    <w:rsid w:val="00297DC5"/>
    <w:rsid w:val="002A5492"/>
    <w:rsid w:val="002D48AB"/>
    <w:rsid w:val="00336283"/>
    <w:rsid w:val="003569F9"/>
    <w:rsid w:val="00370326"/>
    <w:rsid w:val="00372055"/>
    <w:rsid w:val="00391E34"/>
    <w:rsid w:val="00397E18"/>
    <w:rsid w:val="0045081A"/>
    <w:rsid w:val="004619BD"/>
    <w:rsid w:val="004674B6"/>
    <w:rsid w:val="00497A01"/>
    <w:rsid w:val="004C0569"/>
    <w:rsid w:val="004F60FC"/>
    <w:rsid w:val="00525FF1"/>
    <w:rsid w:val="00570F07"/>
    <w:rsid w:val="005D37D9"/>
    <w:rsid w:val="005E4E2E"/>
    <w:rsid w:val="00607FC1"/>
    <w:rsid w:val="006609EF"/>
    <w:rsid w:val="00661709"/>
    <w:rsid w:val="0066330D"/>
    <w:rsid w:val="00666584"/>
    <w:rsid w:val="006A39CC"/>
    <w:rsid w:val="006F7683"/>
    <w:rsid w:val="00751F34"/>
    <w:rsid w:val="007B4B7A"/>
    <w:rsid w:val="00805943"/>
    <w:rsid w:val="00880BD5"/>
    <w:rsid w:val="008817D8"/>
    <w:rsid w:val="008E57EA"/>
    <w:rsid w:val="00922C79"/>
    <w:rsid w:val="009434B7"/>
    <w:rsid w:val="009513F3"/>
    <w:rsid w:val="00A54CAA"/>
    <w:rsid w:val="00A56D88"/>
    <w:rsid w:val="00B22860"/>
    <w:rsid w:val="00B352DA"/>
    <w:rsid w:val="00B459C4"/>
    <w:rsid w:val="00B932F4"/>
    <w:rsid w:val="00BA57B7"/>
    <w:rsid w:val="00BF2E34"/>
    <w:rsid w:val="00C053D9"/>
    <w:rsid w:val="00C257AC"/>
    <w:rsid w:val="00C43C0A"/>
    <w:rsid w:val="00C5319B"/>
    <w:rsid w:val="00D408FA"/>
    <w:rsid w:val="00D7119F"/>
    <w:rsid w:val="00D8776A"/>
    <w:rsid w:val="00E2309A"/>
    <w:rsid w:val="00F1629E"/>
    <w:rsid w:val="00FA6280"/>
    <w:rsid w:val="00FD7DD1"/>
    <w:rsid w:val="01252761"/>
    <w:rsid w:val="013F26F3"/>
    <w:rsid w:val="01501794"/>
    <w:rsid w:val="015109B1"/>
    <w:rsid w:val="01603061"/>
    <w:rsid w:val="017D59D9"/>
    <w:rsid w:val="01AD62C5"/>
    <w:rsid w:val="01B17394"/>
    <w:rsid w:val="022E07BF"/>
    <w:rsid w:val="0284231A"/>
    <w:rsid w:val="0284372F"/>
    <w:rsid w:val="03147BC1"/>
    <w:rsid w:val="033E696D"/>
    <w:rsid w:val="03CD1A9F"/>
    <w:rsid w:val="03D35307"/>
    <w:rsid w:val="03EA7172"/>
    <w:rsid w:val="04041B26"/>
    <w:rsid w:val="04296BE6"/>
    <w:rsid w:val="042C5CD9"/>
    <w:rsid w:val="04737A9F"/>
    <w:rsid w:val="048670A4"/>
    <w:rsid w:val="04E46D57"/>
    <w:rsid w:val="04F53C1B"/>
    <w:rsid w:val="04FA3D18"/>
    <w:rsid w:val="051C746F"/>
    <w:rsid w:val="05627961"/>
    <w:rsid w:val="05A25C1A"/>
    <w:rsid w:val="05FD04C7"/>
    <w:rsid w:val="0612468B"/>
    <w:rsid w:val="061C0B3E"/>
    <w:rsid w:val="061C75AE"/>
    <w:rsid w:val="06350F42"/>
    <w:rsid w:val="064A7DA1"/>
    <w:rsid w:val="06874187"/>
    <w:rsid w:val="06AC1C03"/>
    <w:rsid w:val="06C0552D"/>
    <w:rsid w:val="06CE194A"/>
    <w:rsid w:val="06E24909"/>
    <w:rsid w:val="07264835"/>
    <w:rsid w:val="075F6EB2"/>
    <w:rsid w:val="076B1244"/>
    <w:rsid w:val="07A23F20"/>
    <w:rsid w:val="07A64EC2"/>
    <w:rsid w:val="07DB2D71"/>
    <w:rsid w:val="07E55732"/>
    <w:rsid w:val="081E6628"/>
    <w:rsid w:val="0854720E"/>
    <w:rsid w:val="08803584"/>
    <w:rsid w:val="09093274"/>
    <w:rsid w:val="09261C95"/>
    <w:rsid w:val="096E430B"/>
    <w:rsid w:val="097025FB"/>
    <w:rsid w:val="097C674F"/>
    <w:rsid w:val="098D5F59"/>
    <w:rsid w:val="09A17DBA"/>
    <w:rsid w:val="09BC05EC"/>
    <w:rsid w:val="09BC2D71"/>
    <w:rsid w:val="09C3783A"/>
    <w:rsid w:val="09C5110F"/>
    <w:rsid w:val="09E35CE4"/>
    <w:rsid w:val="0A0472E9"/>
    <w:rsid w:val="0A311FC2"/>
    <w:rsid w:val="0A405A8E"/>
    <w:rsid w:val="0A7B4627"/>
    <w:rsid w:val="0A935B8D"/>
    <w:rsid w:val="0AA51080"/>
    <w:rsid w:val="0AA61249"/>
    <w:rsid w:val="0AC6281A"/>
    <w:rsid w:val="0AE25D0A"/>
    <w:rsid w:val="0B8C09BB"/>
    <w:rsid w:val="0B8E5FB8"/>
    <w:rsid w:val="0B976B42"/>
    <w:rsid w:val="0BAE21B6"/>
    <w:rsid w:val="0BB7585C"/>
    <w:rsid w:val="0BC139CB"/>
    <w:rsid w:val="0BE12DDB"/>
    <w:rsid w:val="0BE66377"/>
    <w:rsid w:val="0C033BE7"/>
    <w:rsid w:val="0C1267C6"/>
    <w:rsid w:val="0C225961"/>
    <w:rsid w:val="0C235C6D"/>
    <w:rsid w:val="0C252478"/>
    <w:rsid w:val="0C48260B"/>
    <w:rsid w:val="0CC44B30"/>
    <w:rsid w:val="0CC51EAD"/>
    <w:rsid w:val="0CD71C25"/>
    <w:rsid w:val="0D500D26"/>
    <w:rsid w:val="0D786F20"/>
    <w:rsid w:val="0D87771C"/>
    <w:rsid w:val="0DA27AF9"/>
    <w:rsid w:val="0DB53DE2"/>
    <w:rsid w:val="0E234421"/>
    <w:rsid w:val="0E336A63"/>
    <w:rsid w:val="0E34728C"/>
    <w:rsid w:val="0E3A5799"/>
    <w:rsid w:val="0E981627"/>
    <w:rsid w:val="0ECF60BE"/>
    <w:rsid w:val="0EF4695B"/>
    <w:rsid w:val="0F041CA9"/>
    <w:rsid w:val="0F1A5440"/>
    <w:rsid w:val="0F657030"/>
    <w:rsid w:val="0FAA6DAA"/>
    <w:rsid w:val="0FBE7A18"/>
    <w:rsid w:val="0FC52E37"/>
    <w:rsid w:val="0FFA37D6"/>
    <w:rsid w:val="101040B3"/>
    <w:rsid w:val="10577F93"/>
    <w:rsid w:val="106A6D88"/>
    <w:rsid w:val="10B1077E"/>
    <w:rsid w:val="10E36DA6"/>
    <w:rsid w:val="111A3546"/>
    <w:rsid w:val="11515BFC"/>
    <w:rsid w:val="11567578"/>
    <w:rsid w:val="1160238B"/>
    <w:rsid w:val="120B1F5E"/>
    <w:rsid w:val="12474AB9"/>
    <w:rsid w:val="12745F08"/>
    <w:rsid w:val="1286080A"/>
    <w:rsid w:val="12A3059B"/>
    <w:rsid w:val="12A62B99"/>
    <w:rsid w:val="12DB3C9D"/>
    <w:rsid w:val="130B7EEE"/>
    <w:rsid w:val="130C2083"/>
    <w:rsid w:val="136A29F0"/>
    <w:rsid w:val="13A90D64"/>
    <w:rsid w:val="13B013CC"/>
    <w:rsid w:val="13E45553"/>
    <w:rsid w:val="13F31483"/>
    <w:rsid w:val="142360B8"/>
    <w:rsid w:val="1444190A"/>
    <w:rsid w:val="14AE19F3"/>
    <w:rsid w:val="14B9556B"/>
    <w:rsid w:val="14CE5BFB"/>
    <w:rsid w:val="15111121"/>
    <w:rsid w:val="151412DC"/>
    <w:rsid w:val="156C2EC6"/>
    <w:rsid w:val="15851759"/>
    <w:rsid w:val="15AF5961"/>
    <w:rsid w:val="15B83EB6"/>
    <w:rsid w:val="15C83095"/>
    <w:rsid w:val="15D80567"/>
    <w:rsid w:val="1604441D"/>
    <w:rsid w:val="161C6052"/>
    <w:rsid w:val="16351E52"/>
    <w:rsid w:val="163A4125"/>
    <w:rsid w:val="16426B29"/>
    <w:rsid w:val="165E3157"/>
    <w:rsid w:val="167073E3"/>
    <w:rsid w:val="167E3D1D"/>
    <w:rsid w:val="16E1530E"/>
    <w:rsid w:val="171F2164"/>
    <w:rsid w:val="176C33CC"/>
    <w:rsid w:val="177978A3"/>
    <w:rsid w:val="177C6F3F"/>
    <w:rsid w:val="17806E60"/>
    <w:rsid w:val="17B472A4"/>
    <w:rsid w:val="17C10B62"/>
    <w:rsid w:val="17DD2889"/>
    <w:rsid w:val="17F124E3"/>
    <w:rsid w:val="18496D4A"/>
    <w:rsid w:val="18630427"/>
    <w:rsid w:val="18644328"/>
    <w:rsid w:val="188E5849"/>
    <w:rsid w:val="18AC463D"/>
    <w:rsid w:val="18B1461F"/>
    <w:rsid w:val="18D25736"/>
    <w:rsid w:val="18E43DAA"/>
    <w:rsid w:val="19250257"/>
    <w:rsid w:val="193C65B7"/>
    <w:rsid w:val="194F1722"/>
    <w:rsid w:val="19532350"/>
    <w:rsid w:val="198C189C"/>
    <w:rsid w:val="1A400DC5"/>
    <w:rsid w:val="1A6B7B1F"/>
    <w:rsid w:val="1A7B2CA8"/>
    <w:rsid w:val="1AF23DA0"/>
    <w:rsid w:val="1B084740"/>
    <w:rsid w:val="1B287A01"/>
    <w:rsid w:val="1B3306B6"/>
    <w:rsid w:val="1B444EB1"/>
    <w:rsid w:val="1B532C20"/>
    <w:rsid w:val="1B8847D2"/>
    <w:rsid w:val="1BBA4792"/>
    <w:rsid w:val="1BBF7512"/>
    <w:rsid w:val="1BE54039"/>
    <w:rsid w:val="1BFC0E69"/>
    <w:rsid w:val="1C15318E"/>
    <w:rsid w:val="1C33621A"/>
    <w:rsid w:val="1C3539AC"/>
    <w:rsid w:val="1C36331D"/>
    <w:rsid w:val="1C8F393E"/>
    <w:rsid w:val="1CDB3C3A"/>
    <w:rsid w:val="1CE17267"/>
    <w:rsid w:val="1CF412F0"/>
    <w:rsid w:val="1D1D1605"/>
    <w:rsid w:val="1D657B93"/>
    <w:rsid w:val="1D707EA3"/>
    <w:rsid w:val="1D813BCE"/>
    <w:rsid w:val="1D8D4321"/>
    <w:rsid w:val="1DBB0E8E"/>
    <w:rsid w:val="1E195356"/>
    <w:rsid w:val="1E262D52"/>
    <w:rsid w:val="1E3D5D47"/>
    <w:rsid w:val="1E895ABA"/>
    <w:rsid w:val="1E975C04"/>
    <w:rsid w:val="1EBF44D0"/>
    <w:rsid w:val="1EF57228"/>
    <w:rsid w:val="1F126CF5"/>
    <w:rsid w:val="1F147105"/>
    <w:rsid w:val="1F1E3555"/>
    <w:rsid w:val="1F7D23EA"/>
    <w:rsid w:val="1F8E2FE5"/>
    <w:rsid w:val="203B617F"/>
    <w:rsid w:val="2068045B"/>
    <w:rsid w:val="206967F2"/>
    <w:rsid w:val="208C08C0"/>
    <w:rsid w:val="208D3647"/>
    <w:rsid w:val="208E713C"/>
    <w:rsid w:val="20C462AC"/>
    <w:rsid w:val="20FB29C9"/>
    <w:rsid w:val="2107515C"/>
    <w:rsid w:val="21315848"/>
    <w:rsid w:val="21336F8E"/>
    <w:rsid w:val="217A07CC"/>
    <w:rsid w:val="217C14B7"/>
    <w:rsid w:val="21B707B2"/>
    <w:rsid w:val="21D91EF7"/>
    <w:rsid w:val="21DA38AD"/>
    <w:rsid w:val="2206289A"/>
    <w:rsid w:val="22097D0C"/>
    <w:rsid w:val="224202FD"/>
    <w:rsid w:val="2253136D"/>
    <w:rsid w:val="225B7F85"/>
    <w:rsid w:val="22692BBC"/>
    <w:rsid w:val="227B5C0F"/>
    <w:rsid w:val="22800419"/>
    <w:rsid w:val="22C36646"/>
    <w:rsid w:val="22CD6F6E"/>
    <w:rsid w:val="2355409D"/>
    <w:rsid w:val="236B4BD9"/>
    <w:rsid w:val="23757D31"/>
    <w:rsid w:val="23A75A11"/>
    <w:rsid w:val="23E40A13"/>
    <w:rsid w:val="23E966D4"/>
    <w:rsid w:val="23F156E1"/>
    <w:rsid w:val="240E4ED4"/>
    <w:rsid w:val="24137605"/>
    <w:rsid w:val="244D0E6E"/>
    <w:rsid w:val="246D11AD"/>
    <w:rsid w:val="246E09D9"/>
    <w:rsid w:val="247022A7"/>
    <w:rsid w:val="247500F5"/>
    <w:rsid w:val="24855912"/>
    <w:rsid w:val="24AD63FB"/>
    <w:rsid w:val="24F66C50"/>
    <w:rsid w:val="24FE3614"/>
    <w:rsid w:val="25085783"/>
    <w:rsid w:val="251E5786"/>
    <w:rsid w:val="25277F29"/>
    <w:rsid w:val="257822C4"/>
    <w:rsid w:val="25D64EA3"/>
    <w:rsid w:val="261A5207"/>
    <w:rsid w:val="2635037A"/>
    <w:rsid w:val="26492DAF"/>
    <w:rsid w:val="26B22F8E"/>
    <w:rsid w:val="26BD7328"/>
    <w:rsid w:val="26CD1C32"/>
    <w:rsid w:val="26F858C0"/>
    <w:rsid w:val="275B780F"/>
    <w:rsid w:val="27927355"/>
    <w:rsid w:val="279B7D4A"/>
    <w:rsid w:val="27A3338F"/>
    <w:rsid w:val="27AB6C82"/>
    <w:rsid w:val="27D35027"/>
    <w:rsid w:val="28137B19"/>
    <w:rsid w:val="282E6701"/>
    <w:rsid w:val="28666CF2"/>
    <w:rsid w:val="28757E8C"/>
    <w:rsid w:val="28D162D3"/>
    <w:rsid w:val="28DB23E5"/>
    <w:rsid w:val="28DE3068"/>
    <w:rsid w:val="28DE620D"/>
    <w:rsid w:val="28EE502A"/>
    <w:rsid w:val="291F0CCF"/>
    <w:rsid w:val="29220551"/>
    <w:rsid w:val="29313C6C"/>
    <w:rsid w:val="2935593C"/>
    <w:rsid w:val="29F556C0"/>
    <w:rsid w:val="2A0C44BE"/>
    <w:rsid w:val="2A2D2A30"/>
    <w:rsid w:val="2A5F2835"/>
    <w:rsid w:val="2A871192"/>
    <w:rsid w:val="2A9B2FB4"/>
    <w:rsid w:val="2AAD7DB1"/>
    <w:rsid w:val="2AC450FA"/>
    <w:rsid w:val="2B102DA4"/>
    <w:rsid w:val="2B4C2F63"/>
    <w:rsid w:val="2BFB4597"/>
    <w:rsid w:val="2C0103B8"/>
    <w:rsid w:val="2C1135F0"/>
    <w:rsid w:val="2C763FA1"/>
    <w:rsid w:val="2C8D5567"/>
    <w:rsid w:val="2CB0408E"/>
    <w:rsid w:val="2CB63A29"/>
    <w:rsid w:val="2CB9652E"/>
    <w:rsid w:val="2CDC1FAF"/>
    <w:rsid w:val="2D03015C"/>
    <w:rsid w:val="2DC25921"/>
    <w:rsid w:val="2E2C4970"/>
    <w:rsid w:val="2E594D43"/>
    <w:rsid w:val="2E767AAC"/>
    <w:rsid w:val="2EE4719A"/>
    <w:rsid w:val="2F051B36"/>
    <w:rsid w:val="2F457D2B"/>
    <w:rsid w:val="2F766742"/>
    <w:rsid w:val="2F973648"/>
    <w:rsid w:val="2FC75471"/>
    <w:rsid w:val="30087837"/>
    <w:rsid w:val="3079410F"/>
    <w:rsid w:val="30835E66"/>
    <w:rsid w:val="30913CD1"/>
    <w:rsid w:val="30AB659C"/>
    <w:rsid w:val="30B75796"/>
    <w:rsid w:val="30DB40E5"/>
    <w:rsid w:val="31194D72"/>
    <w:rsid w:val="311E58BA"/>
    <w:rsid w:val="312276EF"/>
    <w:rsid w:val="312F63AB"/>
    <w:rsid w:val="313E73BD"/>
    <w:rsid w:val="315F792B"/>
    <w:rsid w:val="319C46DB"/>
    <w:rsid w:val="31AA06AE"/>
    <w:rsid w:val="31F369F1"/>
    <w:rsid w:val="322D42B2"/>
    <w:rsid w:val="323F0A11"/>
    <w:rsid w:val="325356C8"/>
    <w:rsid w:val="32673AB6"/>
    <w:rsid w:val="32877501"/>
    <w:rsid w:val="32BE7A74"/>
    <w:rsid w:val="32CC4AB4"/>
    <w:rsid w:val="32D83CEC"/>
    <w:rsid w:val="332F6B0C"/>
    <w:rsid w:val="333472C1"/>
    <w:rsid w:val="334B7E1E"/>
    <w:rsid w:val="335635C0"/>
    <w:rsid w:val="33CF1B00"/>
    <w:rsid w:val="340071A3"/>
    <w:rsid w:val="34032E1B"/>
    <w:rsid w:val="340F2862"/>
    <w:rsid w:val="342622AD"/>
    <w:rsid w:val="344C4197"/>
    <w:rsid w:val="344D7F0F"/>
    <w:rsid w:val="34853B4C"/>
    <w:rsid w:val="349027AE"/>
    <w:rsid w:val="349E4639"/>
    <w:rsid w:val="34CF157B"/>
    <w:rsid w:val="353E6CD0"/>
    <w:rsid w:val="35623844"/>
    <w:rsid w:val="357F23AC"/>
    <w:rsid w:val="35977526"/>
    <w:rsid w:val="35B2271F"/>
    <w:rsid w:val="35BA15D4"/>
    <w:rsid w:val="35E00751"/>
    <w:rsid w:val="35E14DB3"/>
    <w:rsid w:val="35E46651"/>
    <w:rsid w:val="35E8584B"/>
    <w:rsid w:val="364C4FDC"/>
    <w:rsid w:val="36525CC9"/>
    <w:rsid w:val="36657792"/>
    <w:rsid w:val="368436BA"/>
    <w:rsid w:val="370F669F"/>
    <w:rsid w:val="371D7C1F"/>
    <w:rsid w:val="371E4495"/>
    <w:rsid w:val="37272639"/>
    <w:rsid w:val="372904E3"/>
    <w:rsid w:val="37395589"/>
    <w:rsid w:val="375546D0"/>
    <w:rsid w:val="375559C6"/>
    <w:rsid w:val="37611EA9"/>
    <w:rsid w:val="3776366D"/>
    <w:rsid w:val="37983B97"/>
    <w:rsid w:val="379F6F0D"/>
    <w:rsid w:val="37C4673A"/>
    <w:rsid w:val="37CD5F06"/>
    <w:rsid w:val="37D14649"/>
    <w:rsid w:val="37EB595D"/>
    <w:rsid w:val="37F54B45"/>
    <w:rsid w:val="38080D1C"/>
    <w:rsid w:val="3838253A"/>
    <w:rsid w:val="38CD349A"/>
    <w:rsid w:val="39111E53"/>
    <w:rsid w:val="39382F3B"/>
    <w:rsid w:val="394915ED"/>
    <w:rsid w:val="3976376D"/>
    <w:rsid w:val="397B7E11"/>
    <w:rsid w:val="398845E4"/>
    <w:rsid w:val="399D36E6"/>
    <w:rsid w:val="39B747A8"/>
    <w:rsid w:val="39DB63D0"/>
    <w:rsid w:val="39E80A65"/>
    <w:rsid w:val="3A2C0D8D"/>
    <w:rsid w:val="3A3633B4"/>
    <w:rsid w:val="3A4B7A64"/>
    <w:rsid w:val="3A5054D8"/>
    <w:rsid w:val="3A6E132D"/>
    <w:rsid w:val="3AAD06CB"/>
    <w:rsid w:val="3AAF0B8D"/>
    <w:rsid w:val="3AE34E80"/>
    <w:rsid w:val="3AF3727C"/>
    <w:rsid w:val="3AFC3044"/>
    <w:rsid w:val="3B0262E5"/>
    <w:rsid w:val="3B0C350F"/>
    <w:rsid w:val="3B255825"/>
    <w:rsid w:val="3B4C05F7"/>
    <w:rsid w:val="3B8B3E2A"/>
    <w:rsid w:val="3B974891"/>
    <w:rsid w:val="3BC24658"/>
    <w:rsid w:val="3BE227C7"/>
    <w:rsid w:val="3C1A7270"/>
    <w:rsid w:val="3C51154D"/>
    <w:rsid w:val="3C9E75C5"/>
    <w:rsid w:val="3D2B1331"/>
    <w:rsid w:val="3D3274D5"/>
    <w:rsid w:val="3D3D4FC4"/>
    <w:rsid w:val="3D5C3DFE"/>
    <w:rsid w:val="3D813435"/>
    <w:rsid w:val="3D813F9B"/>
    <w:rsid w:val="3DD5259D"/>
    <w:rsid w:val="3E2D7CCF"/>
    <w:rsid w:val="3E9E7CE5"/>
    <w:rsid w:val="3EA3354D"/>
    <w:rsid w:val="3EF573A8"/>
    <w:rsid w:val="3F0D3C94"/>
    <w:rsid w:val="3F1D08FE"/>
    <w:rsid w:val="3F676329"/>
    <w:rsid w:val="3FA22F1E"/>
    <w:rsid w:val="3FD67B1B"/>
    <w:rsid w:val="3FF17D12"/>
    <w:rsid w:val="40336EA4"/>
    <w:rsid w:val="403C5A07"/>
    <w:rsid w:val="4057639D"/>
    <w:rsid w:val="406D6C50"/>
    <w:rsid w:val="408C1318"/>
    <w:rsid w:val="40BE3530"/>
    <w:rsid w:val="412A7199"/>
    <w:rsid w:val="412D1108"/>
    <w:rsid w:val="416E7E42"/>
    <w:rsid w:val="41765DD5"/>
    <w:rsid w:val="419542A7"/>
    <w:rsid w:val="41D85E01"/>
    <w:rsid w:val="41FE2A4F"/>
    <w:rsid w:val="42100EF9"/>
    <w:rsid w:val="42186000"/>
    <w:rsid w:val="422C0DC4"/>
    <w:rsid w:val="423673C6"/>
    <w:rsid w:val="428B3630"/>
    <w:rsid w:val="42926202"/>
    <w:rsid w:val="434B43BD"/>
    <w:rsid w:val="435D13AE"/>
    <w:rsid w:val="43761230"/>
    <w:rsid w:val="43A3069B"/>
    <w:rsid w:val="43A463DC"/>
    <w:rsid w:val="43AB6D30"/>
    <w:rsid w:val="43CD3B5E"/>
    <w:rsid w:val="43FE180D"/>
    <w:rsid w:val="443A3EFD"/>
    <w:rsid w:val="443D58AA"/>
    <w:rsid w:val="44896D41"/>
    <w:rsid w:val="44904AEE"/>
    <w:rsid w:val="449B00DA"/>
    <w:rsid w:val="44C67F95"/>
    <w:rsid w:val="44F01788"/>
    <w:rsid w:val="4509478F"/>
    <w:rsid w:val="456606D9"/>
    <w:rsid w:val="45860F7B"/>
    <w:rsid w:val="45AD3DE6"/>
    <w:rsid w:val="45CC3389"/>
    <w:rsid w:val="45F5336E"/>
    <w:rsid w:val="46014823"/>
    <w:rsid w:val="460A7490"/>
    <w:rsid w:val="460D5750"/>
    <w:rsid w:val="46152F39"/>
    <w:rsid w:val="468666D7"/>
    <w:rsid w:val="46D44F79"/>
    <w:rsid w:val="471E192F"/>
    <w:rsid w:val="472C05E5"/>
    <w:rsid w:val="47BC2F72"/>
    <w:rsid w:val="47C94FE0"/>
    <w:rsid w:val="47E27ECC"/>
    <w:rsid w:val="47F6649C"/>
    <w:rsid w:val="48260317"/>
    <w:rsid w:val="483A4CFE"/>
    <w:rsid w:val="48444225"/>
    <w:rsid w:val="4858746F"/>
    <w:rsid w:val="488A4131"/>
    <w:rsid w:val="48A30A78"/>
    <w:rsid w:val="48A8695E"/>
    <w:rsid w:val="48C37C50"/>
    <w:rsid w:val="48C4659A"/>
    <w:rsid w:val="4915390D"/>
    <w:rsid w:val="49225ED0"/>
    <w:rsid w:val="492D3843"/>
    <w:rsid w:val="493A685C"/>
    <w:rsid w:val="497B25B3"/>
    <w:rsid w:val="49803CD2"/>
    <w:rsid w:val="49816239"/>
    <w:rsid w:val="499C16AC"/>
    <w:rsid w:val="49A42872"/>
    <w:rsid w:val="49A54A42"/>
    <w:rsid w:val="49BC6825"/>
    <w:rsid w:val="49C042F2"/>
    <w:rsid w:val="49D373CD"/>
    <w:rsid w:val="49D43520"/>
    <w:rsid w:val="49E073A4"/>
    <w:rsid w:val="49F106F9"/>
    <w:rsid w:val="4A0B01F8"/>
    <w:rsid w:val="4A807BAD"/>
    <w:rsid w:val="4B0A52C1"/>
    <w:rsid w:val="4B0C3288"/>
    <w:rsid w:val="4B791462"/>
    <w:rsid w:val="4B9C55AC"/>
    <w:rsid w:val="4BDE0D7D"/>
    <w:rsid w:val="4BF67334"/>
    <w:rsid w:val="4C297F74"/>
    <w:rsid w:val="4C2A37F0"/>
    <w:rsid w:val="4C39104D"/>
    <w:rsid w:val="4C520360"/>
    <w:rsid w:val="4C60482B"/>
    <w:rsid w:val="4C967B61"/>
    <w:rsid w:val="4CAC76B6"/>
    <w:rsid w:val="4CB026EC"/>
    <w:rsid w:val="4CE500FB"/>
    <w:rsid w:val="4D065F7A"/>
    <w:rsid w:val="4D151ABA"/>
    <w:rsid w:val="4D1D44CA"/>
    <w:rsid w:val="4D605492"/>
    <w:rsid w:val="4D64638C"/>
    <w:rsid w:val="4D666E75"/>
    <w:rsid w:val="4D96270F"/>
    <w:rsid w:val="4DE437CE"/>
    <w:rsid w:val="4E2D4BE1"/>
    <w:rsid w:val="4E30647F"/>
    <w:rsid w:val="4E434DB0"/>
    <w:rsid w:val="4EA2615B"/>
    <w:rsid w:val="4EA70518"/>
    <w:rsid w:val="4EB41737"/>
    <w:rsid w:val="4EBB56AA"/>
    <w:rsid w:val="4EC20C7A"/>
    <w:rsid w:val="4ECF7C99"/>
    <w:rsid w:val="4ED03E2A"/>
    <w:rsid w:val="4EE47AAA"/>
    <w:rsid w:val="4F1B4F2C"/>
    <w:rsid w:val="4F4C553B"/>
    <w:rsid w:val="4F5675D7"/>
    <w:rsid w:val="4F801E7D"/>
    <w:rsid w:val="4FB503C8"/>
    <w:rsid w:val="4FCC21D8"/>
    <w:rsid w:val="4FEA67E9"/>
    <w:rsid w:val="50387033"/>
    <w:rsid w:val="50777615"/>
    <w:rsid w:val="508605D9"/>
    <w:rsid w:val="50F86551"/>
    <w:rsid w:val="519235A2"/>
    <w:rsid w:val="51C46CA1"/>
    <w:rsid w:val="51F30EBB"/>
    <w:rsid w:val="52350B0D"/>
    <w:rsid w:val="523F39FE"/>
    <w:rsid w:val="52447207"/>
    <w:rsid w:val="52470AB7"/>
    <w:rsid w:val="527305F3"/>
    <w:rsid w:val="529220D7"/>
    <w:rsid w:val="5293435A"/>
    <w:rsid w:val="532A6EE5"/>
    <w:rsid w:val="536D4938"/>
    <w:rsid w:val="53C95D85"/>
    <w:rsid w:val="53E867BD"/>
    <w:rsid w:val="53EC14F6"/>
    <w:rsid w:val="540B32CF"/>
    <w:rsid w:val="541E5346"/>
    <w:rsid w:val="541F146B"/>
    <w:rsid w:val="549D39F9"/>
    <w:rsid w:val="54B575D6"/>
    <w:rsid w:val="54E87AB4"/>
    <w:rsid w:val="55313209"/>
    <w:rsid w:val="554538AF"/>
    <w:rsid w:val="554B7117"/>
    <w:rsid w:val="55DE0103"/>
    <w:rsid w:val="55FE2A4F"/>
    <w:rsid w:val="56066443"/>
    <w:rsid w:val="564A438F"/>
    <w:rsid w:val="565E3CEB"/>
    <w:rsid w:val="567970CB"/>
    <w:rsid w:val="568A207F"/>
    <w:rsid w:val="56981361"/>
    <w:rsid w:val="56AC1CAB"/>
    <w:rsid w:val="56CF0295"/>
    <w:rsid w:val="56D24578"/>
    <w:rsid w:val="56D848CE"/>
    <w:rsid w:val="56F860FB"/>
    <w:rsid w:val="56FD67D8"/>
    <w:rsid w:val="57415546"/>
    <w:rsid w:val="5747701F"/>
    <w:rsid w:val="5755618C"/>
    <w:rsid w:val="575C565C"/>
    <w:rsid w:val="578A2142"/>
    <w:rsid w:val="5792050E"/>
    <w:rsid w:val="57A203EE"/>
    <w:rsid w:val="57A30576"/>
    <w:rsid w:val="58086B27"/>
    <w:rsid w:val="581642B8"/>
    <w:rsid w:val="58490869"/>
    <w:rsid w:val="58543536"/>
    <w:rsid w:val="58550FBC"/>
    <w:rsid w:val="586438F5"/>
    <w:rsid w:val="58892DB2"/>
    <w:rsid w:val="58B2640F"/>
    <w:rsid w:val="58FE7396"/>
    <w:rsid w:val="59060509"/>
    <w:rsid w:val="59121AF0"/>
    <w:rsid w:val="591D33F7"/>
    <w:rsid w:val="59394D32"/>
    <w:rsid w:val="593B4656"/>
    <w:rsid w:val="59C65D64"/>
    <w:rsid w:val="59CF47E5"/>
    <w:rsid w:val="5A186745"/>
    <w:rsid w:val="5A1E20C2"/>
    <w:rsid w:val="5A214A41"/>
    <w:rsid w:val="5A2261B3"/>
    <w:rsid w:val="5A4B3692"/>
    <w:rsid w:val="5A774440"/>
    <w:rsid w:val="5AB50F7C"/>
    <w:rsid w:val="5AE01DBC"/>
    <w:rsid w:val="5B0F5A6C"/>
    <w:rsid w:val="5B3351F8"/>
    <w:rsid w:val="5B5211E4"/>
    <w:rsid w:val="5BB96172"/>
    <w:rsid w:val="5BC254C5"/>
    <w:rsid w:val="5BFB7CFF"/>
    <w:rsid w:val="5C0A1FAF"/>
    <w:rsid w:val="5C367357"/>
    <w:rsid w:val="5C415E64"/>
    <w:rsid w:val="5C953382"/>
    <w:rsid w:val="5CC52615"/>
    <w:rsid w:val="5CD13DCB"/>
    <w:rsid w:val="5CF87471"/>
    <w:rsid w:val="5D030065"/>
    <w:rsid w:val="5D04165A"/>
    <w:rsid w:val="5D1F031D"/>
    <w:rsid w:val="5D4E664E"/>
    <w:rsid w:val="5D7677B9"/>
    <w:rsid w:val="5D832FF6"/>
    <w:rsid w:val="5DCB1D21"/>
    <w:rsid w:val="5DEA7287"/>
    <w:rsid w:val="5E2356B9"/>
    <w:rsid w:val="5E6E3076"/>
    <w:rsid w:val="5E800D5D"/>
    <w:rsid w:val="5ECB022A"/>
    <w:rsid w:val="5EDB55D1"/>
    <w:rsid w:val="5EF35A4E"/>
    <w:rsid w:val="5F1D035A"/>
    <w:rsid w:val="5F3D3E70"/>
    <w:rsid w:val="5F5801E1"/>
    <w:rsid w:val="5F8236F2"/>
    <w:rsid w:val="5F9621E9"/>
    <w:rsid w:val="5FA171DD"/>
    <w:rsid w:val="5FC37153"/>
    <w:rsid w:val="5FCB2568"/>
    <w:rsid w:val="6057789C"/>
    <w:rsid w:val="605F3DF4"/>
    <w:rsid w:val="60695F4D"/>
    <w:rsid w:val="6092669C"/>
    <w:rsid w:val="60C43183"/>
    <w:rsid w:val="60C72C73"/>
    <w:rsid w:val="60CF254A"/>
    <w:rsid w:val="60ED35FB"/>
    <w:rsid w:val="61044DE8"/>
    <w:rsid w:val="61056E3D"/>
    <w:rsid w:val="612E1D3E"/>
    <w:rsid w:val="6168780F"/>
    <w:rsid w:val="61693ABA"/>
    <w:rsid w:val="61965765"/>
    <w:rsid w:val="61AF49EB"/>
    <w:rsid w:val="61E65824"/>
    <w:rsid w:val="61E744FB"/>
    <w:rsid w:val="61FB4DCE"/>
    <w:rsid w:val="62066613"/>
    <w:rsid w:val="62093E87"/>
    <w:rsid w:val="621F4BCC"/>
    <w:rsid w:val="6245462F"/>
    <w:rsid w:val="625078CE"/>
    <w:rsid w:val="62683FE2"/>
    <w:rsid w:val="627666FF"/>
    <w:rsid w:val="629E17B2"/>
    <w:rsid w:val="62C15295"/>
    <w:rsid w:val="62C335F7"/>
    <w:rsid w:val="632E1990"/>
    <w:rsid w:val="632E24D2"/>
    <w:rsid w:val="632E6FDA"/>
    <w:rsid w:val="634B7B8C"/>
    <w:rsid w:val="63AA090A"/>
    <w:rsid w:val="63BE6338"/>
    <w:rsid w:val="63D3192F"/>
    <w:rsid w:val="642C601E"/>
    <w:rsid w:val="643402DA"/>
    <w:rsid w:val="64416899"/>
    <w:rsid w:val="64437351"/>
    <w:rsid w:val="6450297C"/>
    <w:rsid w:val="64754165"/>
    <w:rsid w:val="64986E00"/>
    <w:rsid w:val="64D67929"/>
    <w:rsid w:val="64F0086B"/>
    <w:rsid w:val="65100493"/>
    <w:rsid w:val="654B11D8"/>
    <w:rsid w:val="654E1DF4"/>
    <w:rsid w:val="65B15EE7"/>
    <w:rsid w:val="66115BC0"/>
    <w:rsid w:val="66145D69"/>
    <w:rsid w:val="663931FF"/>
    <w:rsid w:val="66407527"/>
    <w:rsid w:val="6646256E"/>
    <w:rsid w:val="6681625A"/>
    <w:rsid w:val="6692162D"/>
    <w:rsid w:val="66FA459A"/>
    <w:rsid w:val="67BF46A4"/>
    <w:rsid w:val="67C779FD"/>
    <w:rsid w:val="67CC507C"/>
    <w:rsid w:val="67E83F23"/>
    <w:rsid w:val="67F51A9C"/>
    <w:rsid w:val="67FE4FE1"/>
    <w:rsid w:val="683C0C0E"/>
    <w:rsid w:val="68677C8E"/>
    <w:rsid w:val="68AC0371"/>
    <w:rsid w:val="68B61BDB"/>
    <w:rsid w:val="68C10F6E"/>
    <w:rsid w:val="68DF2431"/>
    <w:rsid w:val="68E64F9F"/>
    <w:rsid w:val="69072F07"/>
    <w:rsid w:val="6918607C"/>
    <w:rsid w:val="69261DCB"/>
    <w:rsid w:val="69BE2739"/>
    <w:rsid w:val="69EC27BC"/>
    <w:rsid w:val="69F91590"/>
    <w:rsid w:val="6A204DBF"/>
    <w:rsid w:val="6A271F9E"/>
    <w:rsid w:val="6A274783"/>
    <w:rsid w:val="6A72211A"/>
    <w:rsid w:val="6A8103F8"/>
    <w:rsid w:val="6AFF300A"/>
    <w:rsid w:val="6B2A6B6A"/>
    <w:rsid w:val="6B613DF2"/>
    <w:rsid w:val="6B846F4B"/>
    <w:rsid w:val="6BAC3D4E"/>
    <w:rsid w:val="6BB66C96"/>
    <w:rsid w:val="6BEE2725"/>
    <w:rsid w:val="6BF94827"/>
    <w:rsid w:val="6C1D7B8D"/>
    <w:rsid w:val="6C2151E3"/>
    <w:rsid w:val="6C9358D9"/>
    <w:rsid w:val="6C9F6913"/>
    <w:rsid w:val="6CC063CB"/>
    <w:rsid w:val="6D21296A"/>
    <w:rsid w:val="6D457B24"/>
    <w:rsid w:val="6D485395"/>
    <w:rsid w:val="6D5017F5"/>
    <w:rsid w:val="6D6E4E90"/>
    <w:rsid w:val="6D82064E"/>
    <w:rsid w:val="6DAC6876"/>
    <w:rsid w:val="6DAD10F8"/>
    <w:rsid w:val="6E072901"/>
    <w:rsid w:val="6E775C2D"/>
    <w:rsid w:val="6ED4751D"/>
    <w:rsid w:val="6EDB3780"/>
    <w:rsid w:val="6EFC378C"/>
    <w:rsid w:val="6F3C2A7E"/>
    <w:rsid w:val="6F444F7F"/>
    <w:rsid w:val="6F716B70"/>
    <w:rsid w:val="6FA40449"/>
    <w:rsid w:val="6FBA447B"/>
    <w:rsid w:val="6FF9096F"/>
    <w:rsid w:val="706B3D8C"/>
    <w:rsid w:val="707B3132"/>
    <w:rsid w:val="7091588B"/>
    <w:rsid w:val="709E4C26"/>
    <w:rsid w:val="70A8536B"/>
    <w:rsid w:val="70CA75FC"/>
    <w:rsid w:val="70DA4E8F"/>
    <w:rsid w:val="70FB2DB2"/>
    <w:rsid w:val="714A1482"/>
    <w:rsid w:val="715E0A8A"/>
    <w:rsid w:val="715E7C7F"/>
    <w:rsid w:val="71762861"/>
    <w:rsid w:val="71B64C39"/>
    <w:rsid w:val="71BA368C"/>
    <w:rsid w:val="71BD0D2E"/>
    <w:rsid w:val="71D05A63"/>
    <w:rsid w:val="71E008AF"/>
    <w:rsid w:val="71F36CE7"/>
    <w:rsid w:val="727677D4"/>
    <w:rsid w:val="727677E6"/>
    <w:rsid w:val="72B411AF"/>
    <w:rsid w:val="72D37256"/>
    <w:rsid w:val="72EF49C6"/>
    <w:rsid w:val="73076EFF"/>
    <w:rsid w:val="7339597B"/>
    <w:rsid w:val="7357515C"/>
    <w:rsid w:val="738B06D8"/>
    <w:rsid w:val="73DB4760"/>
    <w:rsid w:val="73E57241"/>
    <w:rsid w:val="73F6757F"/>
    <w:rsid w:val="74085625"/>
    <w:rsid w:val="7459689C"/>
    <w:rsid w:val="74702755"/>
    <w:rsid w:val="74846CE6"/>
    <w:rsid w:val="74C90551"/>
    <w:rsid w:val="74D72C53"/>
    <w:rsid w:val="74DF6860"/>
    <w:rsid w:val="752547F0"/>
    <w:rsid w:val="75744556"/>
    <w:rsid w:val="758437FF"/>
    <w:rsid w:val="75A629FF"/>
    <w:rsid w:val="75B1647F"/>
    <w:rsid w:val="75B25E4D"/>
    <w:rsid w:val="75F901D7"/>
    <w:rsid w:val="76321DFF"/>
    <w:rsid w:val="764D41DD"/>
    <w:rsid w:val="764E434F"/>
    <w:rsid w:val="76541506"/>
    <w:rsid w:val="765A60A3"/>
    <w:rsid w:val="767A5FEE"/>
    <w:rsid w:val="76805ECB"/>
    <w:rsid w:val="76AC5B92"/>
    <w:rsid w:val="76E45CE3"/>
    <w:rsid w:val="76EA6C22"/>
    <w:rsid w:val="771C242B"/>
    <w:rsid w:val="776963DA"/>
    <w:rsid w:val="77BE726F"/>
    <w:rsid w:val="77D9388F"/>
    <w:rsid w:val="78697121"/>
    <w:rsid w:val="78B100F5"/>
    <w:rsid w:val="78D62C4F"/>
    <w:rsid w:val="78F11143"/>
    <w:rsid w:val="7939364C"/>
    <w:rsid w:val="79E37743"/>
    <w:rsid w:val="79E63D12"/>
    <w:rsid w:val="79F11174"/>
    <w:rsid w:val="79F74C03"/>
    <w:rsid w:val="7A044682"/>
    <w:rsid w:val="7A07271E"/>
    <w:rsid w:val="7A715CD2"/>
    <w:rsid w:val="7A7F056E"/>
    <w:rsid w:val="7A841CDD"/>
    <w:rsid w:val="7ACA1666"/>
    <w:rsid w:val="7AD80D2C"/>
    <w:rsid w:val="7AEA15E0"/>
    <w:rsid w:val="7B174F34"/>
    <w:rsid w:val="7B281F2B"/>
    <w:rsid w:val="7B2B0141"/>
    <w:rsid w:val="7B3439E5"/>
    <w:rsid w:val="7B4B52C9"/>
    <w:rsid w:val="7B5555AF"/>
    <w:rsid w:val="7B560A24"/>
    <w:rsid w:val="7B6320B7"/>
    <w:rsid w:val="7B8051F7"/>
    <w:rsid w:val="7BD26F5F"/>
    <w:rsid w:val="7BF1440B"/>
    <w:rsid w:val="7C326AC2"/>
    <w:rsid w:val="7C781F8D"/>
    <w:rsid w:val="7C815F74"/>
    <w:rsid w:val="7C8F243F"/>
    <w:rsid w:val="7C914409"/>
    <w:rsid w:val="7CA13F21"/>
    <w:rsid w:val="7CAD4B23"/>
    <w:rsid w:val="7CB15CE7"/>
    <w:rsid w:val="7CBF66A9"/>
    <w:rsid w:val="7CD67B7C"/>
    <w:rsid w:val="7D2F72CC"/>
    <w:rsid w:val="7D897AFB"/>
    <w:rsid w:val="7D953895"/>
    <w:rsid w:val="7DD553BF"/>
    <w:rsid w:val="7E0635C9"/>
    <w:rsid w:val="7E2A4B05"/>
    <w:rsid w:val="7E3C7C54"/>
    <w:rsid w:val="7E5526A6"/>
    <w:rsid w:val="7E8565A7"/>
    <w:rsid w:val="7E912EDE"/>
    <w:rsid w:val="7EF6537D"/>
    <w:rsid w:val="7F34107C"/>
    <w:rsid w:val="7F456D20"/>
    <w:rsid w:val="7F4B40EF"/>
    <w:rsid w:val="7F6A60A9"/>
    <w:rsid w:val="7F7818B1"/>
    <w:rsid w:val="7F904EA3"/>
    <w:rsid w:val="7FB5275B"/>
    <w:rsid w:val="7FC1726E"/>
    <w:rsid w:val="7FCA040F"/>
    <w:rsid w:val="7FCD619B"/>
    <w:rsid w:val="7FE50AE2"/>
    <w:rsid w:val="7FFD43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name="toc 1"/>
    <w:lsdException w:qFormat="1" w:unhideWhenUsed="0" w:uiPriority="0" w:semiHidden="0" w:name="toc 2"/>
    <w:lsdException w:unhideWhenUsed="0" w:uiPriority="0" w:semiHidden="0" w:name="toc 3"/>
    <w:lsdException w:qFormat="1" w:unhideWhenUsed="0" w:uiPriority="0" w:name="toc 4"/>
    <w:lsdException w:unhideWhenUsed="0" w:uiPriority="0" w:semiHidden="0" w:name="toc 5"/>
    <w:lsdException w:qFormat="1"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qFormat="1" w:uiPriority="99"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qFormat="1" w:uiPriority="99"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11"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qFormat="1" w:unhideWhenUsed="0" w:uiPriority="99"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9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qFormat/>
    <w:uiPriority w:val="9"/>
    <w:pPr>
      <w:spacing w:beforeLines="50" w:afterLines="50" w:line="360" w:lineRule="auto"/>
      <w:outlineLvl w:val="0"/>
    </w:pPr>
    <w:rPr>
      <w:rFonts w:ascii="仿宋_GB2312" w:eastAsia="仿宋_GB2312"/>
      <w:b/>
      <w:bCs/>
      <w:sz w:val="32"/>
      <w:szCs w:val="32"/>
    </w:rPr>
  </w:style>
  <w:style w:type="paragraph" w:styleId="3">
    <w:name w:val="heading 2"/>
    <w:basedOn w:val="1"/>
    <w:next w:val="1"/>
    <w:qFormat/>
    <w:uiPriority w:val="0"/>
    <w:pPr>
      <w:widowControl/>
      <w:spacing w:before="100" w:beforeAutospacing="1" w:after="100" w:afterAutospacing="1"/>
      <w:jc w:val="left"/>
      <w:outlineLvl w:val="1"/>
    </w:pPr>
    <w:rPr>
      <w:rFonts w:eastAsia="等线"/>
      <w:kern w:val="0"/>
      <w:sz w:val="36"/>
      <w:szCs w:val="36"/>
    </w:rPr>
  </w:style>
  <w:style w:type="paragraph" w:styleId="4">
    <w:name w:val="heading 3"/>
    <w:basedOn w:val="1"/>
    <w:next w:val="1"/>
    <w:semiHidden/>
    <w:unhideWhenUsed/>
    <w:qFormat/>
    <w:uiPriority w:val="9"/>
    <w:pPr>
      <w:keepNext/>
      <w:keepLines/>
      <w:spacing w:before="260" w:after="260" w:line="416" w:lineRule="auto"/>
      <w:outlineLvl w:val="2"/>
    </w:pPr>
    <w:rPr>
      <w:b/>
      <w:bCs/>
      <w:sz w:val="32"/>
      <w:szCs w:val="32"/>
    </w:rPr>
  </w:style>
  <w:style w:type="character" w:default="1" w:styleId="33">
    <w:name w:val="Default Paragraph Font"/>
    <w:semiHidden/>
    <w:unhideWhenUsed/>
    <w:qFormat/>
    <w:uiPriority w:val="1"/>
  </w:style>
  <w:style w:type="table" w:default="1" w:styleId="31">
    <w:name w:val="Normal Table"/>
    <w:semiHidden/>
    <w:unhideWhenUsed/>
    <w:qFormat/>
    <w:uiPriority w:val="99"/>
    <w:tblPr>
      <w:tblCellMar>
        <w:top w:w="0" w:type="dxa"/>
        <w:left w:w="108" w:type="dxa"/>
        <w:bottom w:w="0" w:type="dxa"/>
        <w:right w:w="108" w:type="dxa"/>
      </w:tblCellMar>
    </w:tblPr>
  </w:style>
  <w:style w:type="paragraph" w:styleId="5">
    <w:name w:val="table of authorities"/>
    <w:basedOn w:val="1"/>
    <w:next w:val="1"/>
    <w:semiHidden/>
    <w:unhideWhenUsed/>
    <w:qFormat/>
    <w:uiPriority w:val="99"/>
    <w:pPr>
      <w:ind w:left="420" w:leftChars="200"/>
    </w:pPr>
  </w:style>
  <w:style w:type="paragraph" w:styleId="6">
    <w:name w:val="Normal Indent"/>
    <w:basedOn w:val="1"/>
    <w:next w:val="7"/>
    <w:qFormat/>
    <w:uiPriority w:val="99"/>
    <w:pPr>
      <w:ind w:firstLine="420"/>
    </w:pPr>
    <w:rPr>
      <w:szCs w:val="20"/>
    </w:rPr>
  </w:style>
  <w:style w:type="paragraph" w:styleId="7">
    <w:name w:val="Body Text Indent"/>
    <w:basedOn w:val="1"/>
    <w:next w:val="1"/>
    <w:qFormat/>
    <w:uiPriority w:val="0"/>
    <w:pPr>
      <w:ind w:left="480" w:hanging="480" w:hangingChars="200"/>
    </w:pPr>
    <w:rPr>
      <w:sz w:val="24"/>
    </w:rPr>
  </w:style>
  <w:style w:type="paragraph" w:styleId="8">
    <w:name w:val="annotation text"/>
    <w:basedOn w:val="1"/>
    <w:link w:val="53"/>
    <w:qFormat/>
    <w:uiPriority w:val="0"/>
    <w:pPr>
      <w:jc w:val="left"/>
    </w:pPr>
  </w:style>
  <w:style w:type="paragraph" w:styleId="9">
    <w:name w:val="Body Text"/>
    <w:basedOn w:val="1"/>
    <w:next w:val="10"/>
    <w:qFormat/>
    <w:uiPriority w:val="99"/>
    <w:rPr>
      <w:kern w:val="0"/>
      <w:sz w:val="20"/>
      <w:szCs w:val="20"/>
    </w:rPr>
  </w:style>
  <w:style w:type="paragraph" w:styleId="10">
    <w:name w:val="Body Text First Indent"/>
    <w:basedOn w:val="9"/>
    <w:qFormat/>
    <w:uiPriority w:val="0"/>
    <w:pPr>
      <w:spacing w:line="312" w:lineRule="auto"/>
      <w:ind w:firstLine="420"/>
    </w:pPr>
    <w:rPr>
      <w:szCs w:val="24"/>
    </w:rPr>
  </w:style>
  <w:style w:type="paragraph" w:styleId="11">
    <w:name w:val="Block Text"/>
    <w:basedOn w:val="1"/>
    <w:qFormat/>
    <w:uiPriority w:val="0"/>
    <w:pPr>
      <w:adjustRightInd w:val="0"/>
      <w:spacing w:line="300" w:lineRule="auto"/>
      <w:ind w:left="958" w:right="-120" w:rightChars="-120"/>
      <w:jc w:val="left"/>
    </w:pPr>
    <w:rPr>
      <w:rFonts w:ascii="宋体" w:hAnsi="宋体"/>
      <w:sz w:val="28"/>
    </w:rPr>
  </w:style>
  <w:style w:type="paragraph" w:styleId="12">
    <w:name w:val="Plain Text"/>
    <w:basedOn w:val="1"/>
    <w:next w:val="1"/>
    <w:qFormat/>
    <w:uiPriority w:val="0"/>
    <w:rPr>
      <w:rFonts w:ascii="宋体" w:hAnsi="Courier New"/>
      <w:kern w:val="0"/>
      <w:szCs w:val="21"/>
    </w:rPr>
  </w:style>
  <w:style w:type="paragraph" w:styleId="13">
    <w:name w:val="Body Text Indent 2"/>
    <w:basedOn w:val="1"/>
    <w:qFormat/>
    <w:uiPriority w:val="99"/>
    <w:pPr>
      <w:widowControl/>
      <w:spacing w:line="480" w:lineRule="atLeast"/>
      <w:ind w:firstLine="480"/>
    </w:pPr>
    <w:rPr>
      <w:kern w:val="0"/>
      <w:sz w:val="20"/>
      <w:szCs w:val="20"/>
    </w:rPr>
  </w:style>
  <w:style w:type="paragraph" w:styleId="14">
    <w:name w:val="Balloon Text"/>
    <w:basedOn w:val="1"/>
    <w:link w:val="52"/>
    <w:qFormat/>
    <w:uiPriority w:val="0"/>
    <w:rPr>
      <w:sz w:val="18"/>
      <w:szCs w:val="18"/>
    </w:rPr>
  </w:style>
  <w:style w:type="paragraph" w:styleId="15">
    <w:name w:val="footer"/>
    <w:basedOn w:val="1"/>
    <w:qFormat/>
    <w:uiPriority w:val="99"/>
    <w:pPr>
      <w:tabs>
        <w:tab w:val="center" w:pos="4153"/>
        <w:tab w:val="right" w:pos="8306"/>
      </w:tabs>
      <w:snapToGrid w:val="0"/>
      <w:jc w:val="left"/>
    </w:pPr>
    <w:rPr>
      <w:kern w:val="0"/>
      <w:sz w:val="18"/>
      <w:szCs w:val="18"/>
    </w:rPr>
  </w:style>
  <w:style w:type="paragraph" w:styleId="16">
    <w:name w:val="envelope return"/>
    <w:basedOn w:val="1"/>
    <w:qFormat/>
    <w:uiPriority w:val="99"/>
    <w:pPr>
      <w:snapToGrid w:val="0"/>
    </w:pPr>
    <w:rPr>
      <w:rFonts w:ascii="Arial" w:hAnsi="Arial"/>
    </w:rPr>
  </w:style>
  <w:style w:type="paragraph" w:styleId="17">
    <w:name w:val="header"/>
    <w:basedOn w:val="1"/>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kern w:val="0"/>
      <w:sz w:val="18"/>
      <w:szCs w:val="18"/>
    </w:rPr>
  </w:style>
  <w:style w:type="paragraph" w:styleId="18">
    <w:name w:val="toc 1"/>
    <w:basedOn w:val="19"/>
    <w:next w:val="1"/>
    <w:semiHidden/>
    <w:unhideWhenUsed/>
    <w:qFormat/>
    <w:uiPriority w:val="39"/>
  </w:style>
  <w:style w:type="paragraph" w:styleId="19">
    <w:name w:val="index 1"/>
    <w:basedOn w:val="1"/>
    <w:next w:val="1"/>
    <w:qFormat/>
    <w:uiPriority w:val="0"/>
    <w:pPr>
      <w:spacing w:line="220" w:lineRule="exact"/>
      <w:jc w:val="center"/>
    </w:pPr>
    <w:rPr>
      <w:rFonts w:ascii="仿宋_GB2312" w:eastAsia="仿宋_GB2312"/>
      <w:szCs w:val="21"/>
    </w:rPr>
  </w:style>
  <w:style w:type="paragraph" w:styleId="20">
    <w:name w:val="toc 4"/>
    <w:basedOn w:val="1"/>
    <w:next w:val="1"/>
    <w:semiHidden/>
    <w:qFormat/>
    <w:uiPriority w:val="0"/>
    <w:pPr>
      <w:ind w:left="1260" w:leftChars="600"/>
    </w:pPr>
  </w:style>
  <w:style w:type="paragraph" w:styleId="21">
    <w:name w:val="Subtitle"/>
    <w:basedOn w:val="1"/>
    <w:next w:val="1"/>
    <w:qFormat/>
    <w:uiPriority w:val="11"/>
    <w:pPr>
      <w:widowControl/>
      <w:adjustRightInd w:val="0"/>
      <w:snapToGrid w:val="0"/>
      <w:spacing w:before="240" w:after="60" w:line="312" w:lineRule="auto"/>
      <w:jc w:val="center"/>
      <w:outlineLvl w:val="1"/>
    </w:pPr>
    <w:rPr>
      <w:rFonts w:ascii="Cambria" w:hAnsi="Cambria"/>
      <w:bCs/>
      <w:kern w:val="28"/>
      <w:sz w:val="32"/>
      <w:szCs w:val="32"/>
    </w:rPr>
  </w:style>
  <w:style w:type="paragraph" w:styleId="22">
    <w:name w:val="toc 6"/>
    <w:basedOn w:val="1"/>
    <w:next w:val="1"/>
    <w:qFormat/>
    <w:uiPriority w:val="0"/>
    <w:pPr>
      <w:ind w:left="1050"/>
      <w:jc w:val="left"/>
    </w:pPr>
    <w:rPr>
      <w:rFonts w:ascii="Century Gothic" w:hAnsi="Century Gothic"/>
      <w:sz w:val="18"/>
      <w:szCs w:val="18"/>
    </w:rPr>
  </w:style>
  <w:style w:type="paragraph" w:styleId="23">
    <w:name w:val="Body Text Indent 3"/>
    <w:basedOn w:val="1"/>
    <w:qFormat/>
    <w:uiPriority w:val="0"/>
    <w:pPr>
      <w:spacing w:after="120"/>
      <w:ind w:left="420" w:leftChars="200"/>
    </w:pPr>
    <w:rPr>
      <w:rFonts w:ascii="仿宋_GB2312" w:hAnsi="宋体" w:eastAsia="仿宋_GB2312"/>
      <w:color w:val="000000"/>
      <w:kern w:val="0"/>
      <w:sz w:val="24"/>
    </w:rPr>
  </w:style>
  <w:style w:type="paragraph" w:styleId="24">
    <w:name w:val="table of figures"/>
    <w:basedOn w:val="1"/>
    <w:next w:val="1"/>
    <w:unhideWhenUsed/>
    <w:qFormat/>
    <w:uiPriority w:val="99"/>
    <w:pPr>
      <w:ind w:left="200" w:leftChars="200" w:hanging="200" w:hangingChars="200"/>
    </w:pPr>
  </w:style>
  <w:style w:type="paragraph" w:styleId="25">
    <w:name w:val="toc 2"/>
    <w:basedOn w:val="1"/>
    <w:next w:val="1"/>
    <w:qFormat/>
    <w:uiPriority w:val="0"/>
    <w:pPr>
      <w:ind w:left="420" w:leftChars="200"/>
    </w:pPr>
    <w:rPr>
      <w:szCs w:val="24"/>
    </w:rPr>
  </w:style>
  <w:style w:type="paragraph" w:styleId="26">
    <w:name w:val="Body Text 2"/>
    <w:basedOn w:val="1"/>
    <w:qFormat/>
    <w:uiPriority w:val="0"/>
    <w:pPr>
      <w:ind w:right="-512" w:rightChars="-244"/>
    </w:pPr>
    <w:rPr>
      <w:rFonts w:ascii="宋体"/>
      <w:sz w:val="24"/>
    </w:rPr>
  </w:style>
  <w:style w:type="paragraph" w:styleId="27">
    <w:name w:val="Normal (Web)"/>
    <w:basedOn w:val="1"/>
    <w:qFormat/>
    <w:uiPriority w:val="0"/>
    <w:pPr>
      <w:widowControl/>
      <w:spacing w:afterLines="50"/>
      <w:jc w:val="left"/>
    </w:pPr>
    <w:rPr>
      <w:rFonts w:ascii="长城仿宋" w:hAnsi="长城仿宋" w:eastAsia="Arial Unicode MS"/>
      <w:sz w:val="24"/>
    </w:rPr>
  </w:style>
  <w:style w:type="paragraph" w:styleId="28">
    <w:name w:val="Title"/>
    <w:basedOn w:val="1"/>
    <w:next w:val="1"/>
    <w:qFormat/>
    <w:uiPriority w:val="0"/>
    <w:pPr>
      <w:spacing w:before="240" w:after="60"/>
      <w:jc w:val="center"/>
      <w:outlineLvl w:val="0"/>
    </w:pPr>
    <w:rPr>
      <w:rFonts w:ascii="Arial" w:hAnsi="Arial"/>
      <w:sz w:val="32"/>
      <w:szCs w:val="32"/>
    </w:rPr>
  </w:style>
  <w:style w:type="paragraph" w:styleId="29">
    <w:name w:val="annotation subject"/>
    <w:basedOn w:val="8"/>
    <w:next w:val="8"/>
    <w:link w:val="54"/>
    <w:qFormat/>
    <w:uiPriority w:val="0"/>
    <w:rPr>
      <w:b/>
      <w:bCs/>
    </w:rPr>
  </w:style>
  <w:style w:type="paragraph" w:styleId="30">
    <w:name w:val="Body Text First Indent 2"/>
    <w:basedOn w:val="7"/>
    <w:next w:val="1"/>
    <w:qFormat/>
    <w:uiPriority w:val="0"/>
    <w:pPr>
      <w:spacing w:after="120"/>
      <w:ind w:left="420" w:leftChars="200" w:firstLine="420"/>
    </w:pPr>
    <w:rPr>
      <w:rFonts w:cs="宋体"/>
      <w:sz w:val="21"/>
      <w:szCs w:val="21"/>
    </w:rPr>
  </w:style>
  <w:style w:type="table" w:styleId="32">
    <w:name w:val="Table Grid"/>
    <w:basedOn w:val="31"/>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34">
    <w:name w:val="Strong"/>
    <w:qFormat/>
    <w:uiPriority w:val="22"/>
    <w:rPr>
      <w:b/>
      <w:bCs/>
    </w:rPr>
  </w:style>
  <w:style w:type="character" w:styleId="35">
    <w:name w:val="page number"/>
    <w:basedOn w:val="33"/>
    <w:qFormat/>
    <w:uiPriority w:val="0"/>
    <w:rPr>
      <w:rFonts w:cs="Times New Roman"/>
    </w:rPr>
  </w:style>
  <w:style w:type="character" w:styleId="36">
    <w:name w:val="Hyperlink"/>
    <w:qFormat/>
    <w:uiPriority w:val="0"/>
    <w:rPr>
      <w:color w:val="0000FF"/>
      <w:u w:val="single"/>
    </w:rPr>
  </w:style>
  <w:style w:type="character" w:styleId="37">
    <w:name w:val="annotation reference"/>
    <w:basedOn w:val="33"/>
    <w:qFormat/>
    <w:uiPriority w:val="0"/>
    <w:rPr>
      <w:sz w:val="21"/>
      <w:szCs w:val="21"/>
    </w:rPr>
  </w:style>
  <w:style w:type="paragraph" w:customStyle="1" w:styleId="38">
    <w:name w:val="[Normal]"/>
    <w:qFormat/>
    <w:uiPriority w:val="0"/>
    <w:rPr>
      <w:rFonts w:ascii="宋体" w:hAnsi="宋体" w:eastAsia="宋体" w:cs="Times New Roman"/>
      <w:sz w:val="24"/>
      <w:lang w:val="en-US" w:eastAsia="en-US" w:bidi="ar-SA"/>
    </w:rPr>
  </w:style>
  <w:style w:type="paragraph" w:customStyle="1" w:styleId="39">
    <w:name w:val="表格文字"/>
    <w:basedOn w:val="40"/>
    <w:next w:val="9"/>
    <w:qFormat/>
    <w:uiPriority w:val="99"/>
    <w:pPr>
      <w:adjustRightInd w:val="0"/>
      <w:spacing w:line="420" w:lineRule="atLeast"/>
      <w:jc w:val="left"/>
      <w:textAlignment w:val="baseline"/>
    </w:pPr>
    <w:rPr>
      <w:szCs w:val="24"/>
    </w:rPr>
  </w:style>
  <w:style w:type="paragraph" w:customStyle="1" w:styleId="40">
    <w:name w:val="表格文字（两侧对齐）"/>
    <w:basedOn w:val="1"/>
    <w:qFormat/>
    <w:uiPriority w:val="0"/>
    <w:pPr>
      <w:snapToGrid w:val="0"/>
    </w:pPr>
    <w:rPr>
      <w:sz w:val="20"/>
    </w:rPr>
  </w:style>
  <w:style w:type="paragraph" w:customStyle="1" w:styleId="41">
    <w:name w:val="Normal Indent1"/>
    <w:basedOn w:val="1"/>
    <w:qFormat/>
    <w:uiPriority w:val="0"/>
    <w:pPr>
      <w:ind w:firstLine="420" w:firstLineChars="200"/>
    </w:pPr>
  </w:style>
  <w:style w:type="paragraph" w:customStyle="1" w:styleId="42">
    <w:name w:val="Plain Text1"/>
    <w:basedOn w:val="1"/>
    <w:qFormat/>
    <w:uiPriority w:val="0"/>
    <w:rPr>
      <w:rFonts w:ascii="宋体" w:hAnsi="Courier New"/>
      <w:szCs w:val="20"/>
    </w:rPr>
  </w:style>
  <w:style w:type="paragraph" w:customStyle="1" w:styleId="43">
    <w:name w:val="af17cgridlangnp1033langf"/>
    <w:qFormat/>
    <w:uiPriority w:val="0"/>
    <w:pPr>
      <w:widowControl w:val="0"/>
      <w:autoSpaceDE w:val="0"/>
      <w:autoSpaceDN w:val="0"/>
      <w:adjustRightInd w:val="0"/>
      <w:spacing w:before="156" w:line="360" w:lineRule="atLeast"/>
      <w:ind w:left="567" w:firstLine="510"/>
      <w:jc w:val="both"/>
    </w:pPr>
    <w:rPr>
      <w:rFonts w:ascii="Times New Roman" w:hAnsi="Times New Roman" w:eastAsia="宋体" w:cs="Times New Roman"/>
      <w:lang w:val="en-US" w:eastAsia="zh-CN" w:bidi="ar-SA"/>
    </w:rPr>
  </w:style>
  <w:style w:type="paragraph" w:customStyle="1" w:styleId="44">
    <w:name w:val="正文2"/>
    <w:basedOn w:val="1"/>
    <w:next w:val="18"/>
    <w:qFormat/>
    <w:uiPriority w:val="0"/>
    <w:pPr>
      <w:spacing w:before="156" w:line="360" w:lineRule="auto"/>
      <w:ind w:firstLine="510" w:firstLineChars="200"/>
    </w:pPr>
    <w:rPr>
      <w:sz w:val="24"/>
      <w:szCs w:val="20"/>
    </w:rPr>
  </w:style>
  <w:style w:type="paragraph" w:customStyle="1" w:styleId="45">
    <w:name w:val="列出段落1"/>
    <w:basedOn w:val="1"/>
    <w:qFormat/>
    <w:uiPriority w:val="34"/>
    <w:pPr>
      <w:ind w:firstLine="420" w:firstLineChars="200"/>
    </w:pPr>
  </w:style>
  <w:style w:type="paragraph" w:customStyle="1" w:styleId="46">
    <w:name w:val="l正文"/>
    <w:basedOn w:val="1"/>
    <w:qFormat/>
    <w:uiPriority w:val="0"/>
    <w:pPr>
      <w:spacing w:line="300" w:lineRule="auto"/>
      <w:ind w:firstLine="200" w:firstLineChars="200"/>
      <w:jc w:val="left"/>
    </w:pPr>
    <w:rPr>
      <w:rFonts w:ascii="楷体_GB2312" w:hAnsi="Times" w:eastAsia="楷体_GB2312" w:cs="等线"/>
      <w:sz w:val="24"/>
    </w:rPr>
  </w:style>
  <w:style w:type="paragraph" w:customStyle="1" w:styleId="47">
    <w:name w:val="纯文本1"/>
    <w:basedOn w:val="48"/>
    <w:qFormat/>
    <w:uiPriority w:val="0"/>
    <w:pPr>
      <w:widowControl/>
      <w:jc w:val="left"/>
    </w:pPr>
    <w:rPr>
      <w:rFonts w:hint="default" w:ascii="宋体" w:hAnsi="Courier New"/>
    </w:rPr>
  </w:style>
  <w:style w:type="paragraph" w:customStyle="1" w:styleId="48">
    <w:name w:val="正文1"/>
    <w:qFormat/>
    <w:uiPriority w:val="0"/>
    <w:pPr>
      <w:widowControl w:val="0"/>
      <w:jc w:val="both"/>
    </w:pPr>
    <w:rPr>
      <w:rFonts w:hint="eastAsia" w:ascii="Times New Roman" w:hAnsi="Times New Roman" w:eastAsia="宋体" w:cs="Times New Roman"/>
      <w:kern w:val="2"/>
      <w:sz w:val="21"/>
      <w:lang w:val="en-US" w:eastAsia="zh-CN" w:bidi="ar-SA"/>
    </w:rPr>
  </w:style>
  <w:style w:type="paragraph" w:customStyle="1" w:styleId="49">
    <w:name w:val="章正文"/>
    <w:basedOn w:val="1"/>
    <w:qFormat/>
    <w:locked/>
    <w:uiPriority w:val="99"/>
    <w:pPr>
      <w:spacing w:beforeLines="50" w:after="120" w:line="300" w:lineRule="auto"/>
      <w:ind w:firstLine="480"/>
    </w:pPr>
    <w:rPr>
      <w:rFonts w:ascii="Helvetica" w:hAnsi="Helvetica"/>
      <w:kern w:val="0"/>
    </w:rPr>
  </w:style>
  <w:style w:type="character" w:customStyle="1" w:styleId="50">
    <w:name w:val="font21"/>
    <w:basedOn w:val="33"/>
    <w:qFormat/>
    <w:uiPriority w:val="0"/>
    <w:rPr>
      <w:rFonts w:hint="eastAsia" w:ascii="宋体" w:hAnsi="宋体" w:eastAsia="宋体" w:cs="宋体"/>
      <w:color w:val="000000"/>
      <w:sz w:val="21"/>
      <w:szCs w:val="21"/>
      <w:u w:val="none"/>
    </w:rPr>
  </w:style>
  <w:style w:type="character" w:customStyle="1" w:styleId="51">
    <w:name w:val="font31"/>
    <w:basedOn w:val="33"/>
    <w:qFormat/>
    <w:uiPriority w:val="0"/>
    <w:rPr>
      <w:rFonts w:hint="eastAsia" w:ascii="宋体" w:hAnsi="宋体" w:eastAsia="宋体" w:cs="宋体"/>
      <w:color w:val="000000"/>
      <w:sz w:val="24"/>
      <w:szCs w:val="24"/>
      <w:u w:val="none"/>
    </w:rPr>
  </w:style>
  <w:style w:type="character" w:customStyle="1" w:styleId="52">
    <w:name w:val="批注框文本 Char"/>
    <w:basedOn w:val="33"/>
    <w:link w:val="14"/>
    <w:qFormat/>
    <w:uiPriority w:val="0"/>
    <w:rPr>
      <w:rFonts w:ascii="Times New Roman" w:hAnsi="Times New Roman" w:eastAsia="宋体" w:cs="Times New Roman"/>
      <w:kern w:val="2"/>
      <w:sz w:val="18"/>
      <w:szCs w:val="18"/>
    </w:rPr>
  </w:style>
  <w:style w:type="character" w:customStyle="1" w:styleId="53">
    <w:name w:val="批注文字 Char"/>
    <w:basedOn w:val="33"/>
    <w:link w:val="8"/>
    <w:qFormat/>
    <w:uiPriority w:val="0"/>
    <w:rPr>
      <w:rFonts w:ascii="Times New Roman" w:hAnsi="Times New Roman" w:eastAsia="宋体" w:cs="Times New Roman"/>
      <w:kern w:val="2"/>
      <w:sz w:val="21"/>
      <w:szCs w:val="22"/>
    </w:rPr>
  </w:style>
  <w:style w:type="character" w:customStyle="1" w:styleId="54">
    <w:name w:val="批注主题 Char"/>
    <w:basedOn w:val="53"/>
    <w:link w:val="29"/>
    <w:qFormat/>
    <w:uiPriority w:val="0"/>
    <w:rPr>
      <w:rFonts w:ascii="Times New Roman" w:hAnsi="Times New Roman" w:eastAsia="宋体" w:cs="Times New Roman"/>
      <w:b/>
      <w:bCs/>
      <w:kern w:val="2"/>
      <w:sz w:val="21"/>
      <w:szCs w:val="22"/>
    </w:rPr>
  </w:style>
  <w:style w:type="paragraph" w:styleId="55">
    <w:name w:val="List Paragraph"/>
    <w:basedOn w:val="1"/>
    <w:qFormat/>
    <w:uiPriority w:val="34"/>
    <w:pPr>
      <w:ind w:firstLine="420" w:firstLineChars="200"/>
    </w:pPr>
  </w:style>
  <w:style w:type="paragraph" w:customStyle="1" w:styleId="56">
    <w:name w:val="正文C"/>
    <w:basedOn w:val="1"/>
    <w:qFormat/>
    <w:uiPriority w:val="0"/>
    <w:pPr>
      <w:spacing w:line="360" w:lineRule="auto"/>
      <w:ind w:firstLine="480" w:firstLineChars="200"/>
    </w:pPr>
    <w:rPr>
      <w:sz w:val="24"/>
      <w:szCs w:val="24"/>
    </w:rPr>
  </w:style>
  <w:style w:type="paragraph" w:customStyle="1" w:styleId="57">
    <w:name w:val="段"/>
    <w:qFormat/>
    <w:uiPriority w:val="0"/>
    <w:pPr>
      <w:autoSpaceDE w:val="0"/>
      <w:autoSpaceDN w:val="0"/>
      <w:spacing w:after="200" w:line="252" w:lineRule="auto"/>
      <w:ind w:firstLine="200" w:firstLineChars="200"/>
      <w:jc w:val="both"/>
    </w:pPr>
    <w:rPr>
      <w:rFonts w:ascii="宋体" w:hAnsi="Calibri" w:eastAsia="宋体" w:cs="Times New Roman"/>
      <w:sz w:val="22"/>
      <w:szCs w:val="22"/>
      <w:lang w:val="en-US" w:eastAsia="zh-CN" w:bidi="ar-SA"/>
    </w:rPr>
  </w:style>
  <w:style w:type="paragraph" w:customStyle="1" w:styleId="58">
    <w:name w:val="Table Text"/>
    <w:basedOn w:val="1"/>
    <w:semiHidden/>
    <w:qFormat/>
    <w:uiPriority w:val="0"/>
    <w:pPr>
      <w:widowControl/>
      <w:kinsoku w:val="0"/>
      <w:autoSpaceDE w:val="0"/>
      <w:autoSpaceDN w:val="0"/>
      <w:adjustRightInd w:val="0"/>
      <w:snapToGrid w:val="0"/>
      <w:jc w:val="left"/>
      <w:textAlignment w:val="baseline"/>
    </w:pPr>
    <w:rPr>
      <w:rFonts w:ascii="微软雅黑" w:hAnsi="微软雅黑" w:eastAsia="微软雅黑" w:cs="微软雅黑"/>
      <w:snapToGrid w:val="0"/>
      <w:color w:val="000000"/>
      <w:kern w:val="0"/>
      <w:sz w:val="24"/>
      <w:szCs w:val="24"/>
      <w:lang w:eastAsia="en-US"/>
    </w:rPr>
  </w:style>
  <w:style w:type="paragraph" w:customStyle="1" w:styleId="59">
    <w:name w:val="2级"/>
    <w:basedOn w:val="1"/>
    <w:qFormat/>
    <w:uiPriority w:val="0"/>
    <w:pPr>
      <w:spacing w:line="360" w:lineRule="auto"/>
      <w:outlineLvl w:val="1"/>
    </w:pPr>
    <w:rPr>
      <w:b/>
    </w:rPr>
  </w:style>
  <w:style w:type="paragraph" w:customStyle="1" w:styleId="60">
    <w:name w:val="正文文本1"/>
    <w:basedOn w:val="1"/>
    <w:qFormat/>
    <w:uiPriority w:val="0"/>
    <w:rPr>
      <w:rFonts w:ascii="Times New Roman" w:hAnsi="Times New Roman" w:eastAsia="宋体"/>
      <w:kern w:val="0"/>
      <w:sz w:val="20"/>
      <w:szCs w:val="20"/>
      <w:lang w:bidi="ar-SA"/>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customXml" Target="../customXml/item1.xml"/><Relationship Id="rId17" Type="http://schemas.openxmlformats.org/officeDocument/2006/relationships/theme" Target="theme/theme1.xml"/><Relationship Id="rId16" Type="http://schemas.openxmlformats.org/officeDocument/2006/relationships/footer" Target="footer8.xml"/><Relationship Id="rId15" Type="http://schemas.openxmlformats.org/officeDocument/2006/relationships/footer" Target="footer7.xml"/><Relationship Id="rId14" Type="http://schemas.openxmlformats.org/officeDocument/2006/relationships/header" Target="header6.xml"/><Relationship Id="rId13" Type="http://schemas.openxmlformats.org/officeDocument/2006/relationships/header" Target="header5.xml"/><Relationship Id="rId12" Type="http://schemas.openxmlformats.org/officeDocument/2006/relationships/footer" Target="footer6.xml"/><Relationship Id="rId11" Type="http://schemas.openxmlformats.org/officeDocument/2006/relationships/footer" Target="footer5.xml"/><Relationship Id="rId10" Type="http://schemas.openxmlformats.org/officeDocument/2006/relationships/footer" Target="footer4.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header4.xml.rels><?xml version="1.0" encoding="UTF-8" standalone="yes"?>
<Relationships xmlns="http://schemas.openxmlformats.org/package/2006/relationships"><Relationship Id="rId1" Type="http://schemas.openxmlformats.org/officeDocument/2006/relationships/image" Target="media/image1.jpeg"/></Relationships>
</file>

<file path=word/_rels/header5.xml.rels><?xml version="1.0" encoding="UTF-8" standalone="yes"?>
<Relationships xmlns="http://schemas.openxmlformats.org/package/2006/relationships"><Relationship Id="rId1" Type="http://schemas.openxmlformats.org/officeDocument/2006/relationships/image" Target="media/image1.jpeg"/></Relationships>
</file>

<file path=word/_rels/header6.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65</Pages>
  <Words>228</Words>
  <Characters>533</Characters>
  <Lines>245</Lines>
  <Paragraphs>69</Paragraphs>
  <TotalTime>37</TotalTime>
  <ScaleCrop>false</ScaleCrop>
  <LinksUpToDate>false</LinksUpToDate>
  <CharactersWithSpaces>533</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2022-06-09T03:54:00Z</dcterms:created>
  <dc:creator>huawei</dc:creator>
  <cp:lastModifiedBy>wengkangyu</cp:lastModifiedBy>
  <cp:lastPrinted>2022-12-09T03:11:00Z</cp:lastPrinted>
  <dcterms:modified xsi:type="dcterms:W3CDTF">2025-02-26T03:49:45Z</dcterms:modified>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F63BA3CE84594E18AB8663373D1AD147_13</vt:lpwstr>
  </property>
  <property fmtid="{D5CDD505-2E9C-101B-9397-08002B2CF9AE}" pid="4" name="KSOTemplateDocerSaveRecord">
    <vt:lpwstr>eyJoZGlkIjoiYjJjOTQxYzhjODMyMDAzZmE0MDJkMWFkNmJlNDkwYTUifQ==</vt:lpwstr>
  </property>
</Properties>
</file>