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49844B">
      <w:pPr>
        <w:tabs>
          <w:tab w:val="left" w:pos="1069"/>
          <w:tab w:val="left" w:pos="2352"/>
        </w:tabs>
        <w:jc w:val="center"/>
        <w:rPr>
          <w:rFonts w:ascii="宋体" w:hAnsi="宋体" w:cs="宋体"/>
          <w:b/>
          <w:bCs/>
          <w:color w:val="auto"/>
          <w:spacing w:val="100"/>
          <w:sz w:val="72"/>
          <w:szCs w:val="72"/>
          <w:highlight w:val="none"/>
        </w:rPr>
      </w:pPr>
      <w:bookmarkStart w:id="272" w:name="_GoBack"/>
      <w:bookmarkEnd w:id="272"/>
    </w:p>
    <w:p w14:paraId="3078C3F9">
      <w:pPr>
        <w:tabs>
          <w:tab w:val="left" w:pos="1069"/>
          <w:tab w:val="left" w:pos="2352"/>
        </w:tabs>
        <w:jc w:val="center"/>
        <w:rPr>
          <w:rFonts w:ascii="宋体" w:hAnsi="宋体" w:cs="宋体"/>
          <w:b/>
          <w:bCs/>
          <w:color w:val="auto"/>
          <w:spacing w:val="100"/>
          <w:sz w:val="72"/>
          <w:szCs w:val="72"/>
          <w:highlight w:val="none"/>
        </w:rPr>
      </w:pPr>
      <w:r>
        <w:rPr>
          <w:rFonts w:hint="eastAsia" w:ascii="宋体" w:hAnsi="宋体" w:cs="宋体"/>
          <w:b/>
          <w:bCs/>
          <w:color w:val="auto"/>
          <w:spacing w:val="100"/>
          <w:sz w:val="72"/>
          <w:szCs w:val="72"/>
          <w:highlight w:val="none"/>
        </w:rPr>
        <w:t>泰顺县政府采购</w:t>
      </w:r>
    </w:p>
    <w:p w14:paraId="482922A2">
      <w:pPr>
        <w:tabs>
          <w:tab w:val="left" w:pos="1069"/>
          <w:tab w:val="left" w:pos="2352"/>
        </w:tabs>
        <w:jc w:val="center"/>
        <w:rPr>
          <w:rFonts w:ascii="宋体" w:hAnsi="宋体" w:cs="宋体"/>
          <w:b/>
          <w:bCs/>
          <w:color w:val="auto"/>
          <w:kern w:val="0"/>
          <w:szCs w:val="24"/>
          <w:highlight w:val="none"/>
        </w:rPr>
      </w:pPr>
    </w:p>
    <w:p w14:paraId="0A068EAF">
      <w:pPr>
        <w:pStyle w:val="39"/>
        <w:tabs>
          <w:tab w:val="left" w:pos="1069"/>
          <w:tab w:val="left" w:pos="2352"/>
        </w:tabs>
        <w:rPr>
          <w:rFonts w:hint="eastAsia" w:ascii="宋体" w:hAnsi="宋体" w:eastAsia="宋体" w:cs="宋体"/>
          <w:color w:val="auto"/>
          <w:highlight w:val="none"/>
          <w:lang w:eastAsia="zh-CN"/>
        </w:rPr>
      </w:pPr>
    </w:p>
    <w:p w14:paraId="575CD58A">
      <w:pPr>
        <w:pStyle w:val="9"/>
        <w:rPr>
          <w:rFonts w:hint="eastAsia" w:ascii="宋体" w:hAnsi="宋体" w:eastAsia="宋体" w:cs="宋体"/>
          <w:color w:val="auto"/>
          <w:highlight w:val="none"/>
          <w:lang w:eastAsia="zh-CN"/>
        </w:rPr>
      </w:pPr>
    </w:p>
    <w:p w14:paraId="5656FA77">
      <w:pPr>
        <w:pStyle w:val="10"/>
        <w:rPr>
          <w:rFonts w:hint="eastAsia"/>
          <w:color w:val="auto"/>
          <w:highlight w:val="none"/>
          <w:lang w:eastAsia="zh-CN"/>
        </w:rPr>
      </w:pPr>
    </w:p>
    <w:p w14:paraId="386116DE">
      <w:pPr>
        <w:pStyle w:val="9"/>
        <w:tabs>
          <w:tab w:val="left" w:pos="1069"/>
          <w:tab w:val="left" w:pos="2352"/>
        </w:tabs>
        <w:rPr>
          <w:rFonts w:ascii="宋体" w:hAnsi="宋体" w:cs="宋体"/>
          <w:b/>
          <w:color w:val="auto"/>
          <w:szCs w:val="24"/>
          <w:highlight w:val="none"/>
        </w:rPr>
      </w:pPr>
    </w:p>
    <w:p w14:paraId="20876F4E">
      <w:pPr>
        <w:rPr>
          <w:color w:val="auto"/>
          <w:highlight w:val="none"/>
        </w:rPr>
      </w:pPr>
    </w:p>
    <w:p w14:paraId="2D41A109">
      <w:pPr>
        <w:rPr>
          <w:color w:val="auto"/>
          <w:highlight w:val="none"/>
        </w:rPr>
      </w:pPr>
    </w:p>
    <w:p w14:paraId="70456528">
      <w:pPr>
        <w:rPr>
          <w:rFonts w:ascii="宋体" w:hAnsi="宋体" w:cs="宋体"/>
          <w:b/>
          <w:color w:val="auto"/>
          <w:szCs w:val="24"/>
          <w:highlight w:val="none"/>
        </w:rPr>
      </w:pPr>
    </w:p>
    <w:p w14:paraId="45D70045">
      <w:pPr>
        <w:pStyle w:val="9"/>
        <w:tabs>
          <w:tab w:val="left" w:pos="1069"/>
          <w:tab w:val="left" w:pos="2352"/>
        </w:tabs>
        <w:rPr>
          <w:rFonts w:ascii="宋体" w:hAnsi="宋体" w:cs="宋体"/>
          <w:b/>
          <w:color w:val="auto"/>
          <w:szCs w:val="24"/>
          <w:highlight w:val="none"/>
        </w:rPr>
      </w:pPr>
    </w:p>
    <w:p w14:paraId="76C59AE9">
      <w:pPr>
        <w:pStyle w:val="9"/>
        <w:tabs>
          <w:tab w:val="left" w:pos="1069"/>
          <w:tab w:val="left" w:pos="2352"/>
        </w:tabs>
        <w:rPr>
          <w:rFonts w:ascii="宋体" w:hAnsi="宋体" w:cs="宋体"/>
          <w:b/>
          <w:color w:val="auto"/>
          <w:szCs w:val="24"/>
          <w:highlight w:val="none"/>
        </w:rPr>
      </w:pPr>
    </w:p>
    <w:p w14:paraId="7CA3DF51">
      <w:pPr>
        <w:tabs>
          <w:tab w:val="left" w:pos="1069"/>
          <w:tab w:val="left" w:pos="2352"/>
        </w:tabs>
        <w:spacing w:line="900" w:lineRule="exact"/>
        <w:jc w:val="center"/>
        <w:rPr>
          <w:rFonts w:ascii="宋体" w:hAnsi="宋体" w:cs="宋体"/>
          <w:b/>
          <w:bCs/>
          <w:color w:val="auto"/>
          <w:spacing w:val="140"/>
          <w:sz w:val="72"/>
          <w:szCs w:val="72"/>
          <w:highlight w:val="none"/>
        </w:rPr>
      </w:pPr>
      <w:r>
        <w:rPr>
          <w:rFonts w:hint="eastAsia" w:ascii="宋体" w:hAnsi="宋体" w:cs="宋体"/>
          <w:b/>
          <w:bCs/>
          <w:color w:val="auto"/>
          <w:spacing w:val="140"/>
          <w:sz w:val="72"/>
          <w:szCs w:val="72"/>
          <w:highlight w:val="none"/>
        </w:rPr>
        <w:t>竞争性磋商文件</w:t>
      </w:r>
    </w:p>
    <w:p w14:paraId="35BD9C86">
      <w:pPr>
        <w:tabs>
          <w:tab w:val="left" w:pos="1069"/>
          <w:tab w:val="left" w:pos="2352"/>
        </w:tabs>
        <w:jc w:val="center"/>
        <w:rPr>
          <w:rFonts w:ascii="宋体" w:hAnsi="宋体" w:cs="宋体"/>
          <w:b/>
          <w:color w:val="auto"/>
          <w:sz w:val="36"/>
          <w:szCs w:val="36"/>
          <w:highlight w:val="none"/>
        </w:rPr>
      </w:pPr>
    </w:p>
    <w:p w14:paraId="03972095">
      <w:pPr>
        <w:tabs>
          <w:tab w:val="left" w:pos="1069"/>
          <w:tab w:val="left" w:pos="2352"/>
        </w:tabs>
        <w:jc w:val="center"/>
        <w:rPr>
          <w:rFonts w:ascii="宋体" w:hAnsi="宋体" w:cs="宋体"/>
          <w:b/>
          <w:color w:val="auto"/>
          <w:sz w:val="32"/>
          <w:szCs w:val="32"/>
          <w:highlight w:val="none"/>
        </w:rPr>
      </w:pPr>
      <w:r>
        <w:rPr>
          <w:rFonts w:hint="eastAsia" w:ascii="宋体" w:hAnsi="宋体" w:cs="宋体"/>
          <w:b/>
          <w:color w:val="auto"/>
          <w:sz w:val="32"/>
          <w:szCs w:val="32"/>
          <w:highlight w:val="none"/>
        </w:rPr>
        <w:t>（线上电子招投标）</w:t>
      </w:r>
    </w:p>
    <w:p w14:paraId="0898B0F1">
      <w:pPr>
        <w:pStyle w:val="24"/>
        <w:tabs>
          <w:tab w:val="left" w:pos="2352"/>
        </w:tabs>
        <w:ind w:left="856" w:hanging="428"/>
        <w:rPr>
          <w:color w:val="auto"/>
          <w:highlight w:val="none"/>
        </w:rPr>
      </w:pPr>
    </w:p>
    <w:tbl>
      <w:tblPr>
        <w:tblStyle w:val="31"/>
        <w:tblpPr w:leftFromText="180" w:rightFromText="180" w:vertAnchor="text" w:tblpXSpec="right" w:tblpY="1"/>
        <w:tblOverlap w:val="never"/>
        <w:tblW w:w="0" w:type="auto"/>
        <w:tblInd w:w="0" w:type="dxa"/>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
      <w:tblGrid>
        <w:gridCol w:w="2414"/>
        <w:gridCol w:w="6750"/>
      </w:tblGrid>
      <w:tr w14:paraId="40F7F002">
        <w:trPr>
          <w:trHeight w:val="680" w:hRule="atLeast"/>
        </w:trPr>
        <w:tc>
          <w:tcPr>
            <w:tcW w:w="2414" w:type="dxa"/>
            <w:vAlign w:val="center"/>
          </w:tcPr>
          <w:p w14:paraId="22293DDC">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采购编号</w:t>
            </w:r>
          </w:p>
        </w:tc>
        <w:tc>
          <w:tcPr>
            <w:tcW w:w="6750" w:type="dxa"/>
            <w:vAlign w:val="center"/>
          </w:tcPr>
          <w:p w14:paraId="423F71DE">
            <w:pPr>
              <w:tabs>
                <w:tab w:val="left" w:pos="1069"/>
                <w:tab w:val="left" w:pos="2352"/>
              </w:tabs>
              <w:rPr>
                <w:rFonts w:hint="eastAsia" w:ascii="宋体" w:hAnsi="宋体" w:eastAsia="宋体" w:cs="宋体"/>
                <w:b/>
                <w:color w:val="auto"/>
                <w:sz w:val="30"/>
                <w:szCs w:val="30"/>
                <w:highlight w:val="none"/>
                <w:lang w:eastAsia="zh-CN"/>
              </w:rPr>
            </w:pPr>
            <w:r>
              <w:rPr>
                <w:rFonts w:hint="eastAsia" w:ascii="宋体" w:hAnsi="宋体" w:cs="宋体"/>
                <w:b/>
                <w:color w:val="auto"/>
                <w:sz w:val="30"/>
                <w:szCs w:val="30"/>
                <w:highlight w:val="none"/>
                <w:lang w:eastAsia="zh-CN"/>
              </w:rPr>
              <w:t>TSCG202501003</w:t>
            </w:r>
          </w:p>
        </w:tc>
      </w:tr>
      <w:tr w14:paraId="47E16FE9">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880" w:hRule="atLeast"/>
        </w:trPr>
        <w:tc>
          <w:tcPr>
            <w:tcW w:w="2414" w:type="dxa"/>
            <w:vAlign w:val="center"/>
          </w:tcPr>
          <w:p w14:paraId="764C9921">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项目名称</w:t>
            </w:r>
          </w:p>
        </w:tc>
        <w:tc>
          <w:tcPr>
            <w:tcW w:w="6750" w:type="dxa"/>
            <w:vAlign w:val="center"/>
          </w:tcPr>
          <w:p w14:paraId="08B42BF4">
            <w:pPr>
              <w:keepNext w:val="0"/>
              <w:keepLines w:val="0"/>
              <w:pageBreakBefore w:val="0"/>
              <w:widowControl w:val="0"/>
              <w:tabs>
                <w:tab w:val="left" w:pos="1069"/>
                <w:tab w:val="left" w:pos="1080"/>
                <w:tab w:val="left" w:pos="2352"/>
              </w:tabs>
              <w:kinsoku/>
              <w:wordWrap/>
              <w:overflowPunct/>
              <w:topLinePunct w:val="0"/>
              <w:autoSpaceDE w:val="0"/>
              <w:autoSpaceDN w:val="0"/>
              <w:bidi w:val="0"/>
              <w:adjustRightInd w:val="0"/>
              <w:snapToGrid/>
              <w:spacing w:line="360" w:lineRule="exact"/>
              <w:textAlignment w:val="baseline"/>
              <w:rPr>
                <w:rFonts w:hint="eastAsia" w:ascii="宋体" w:hAnsi="宋体" w:cs="宋体"/>
                <w:b/>
                <w:bCs/>
                <w:color w:val="auto"/>
                <w:sz w:val="30"/>
                <w:szCs w:val="30"/>
                <w:highlight w:val="none"/>
                <w:u w:val="none"/>
                <w:lang w:eastAsia="zh-CN"/>
              </w:rPr>
            </w:pPr>
            <w:r>
              <w:rPr>
                <w:rFonts w:hint="eastAsia" w:ascii="宋体" w:hAnsi="宋体" w:cs="宋体"/>
                <w:b/>
                <w:bCs/>
                <w:color w:val="auto"/>
                <w:sz w:val="30"/>
                <w:szCs w:val="30"/>
                <w:highlight w:val="none"/>
                <w:u w:val="none"/>
                <w:lang w:eastAsia="zh-CN"/>
              </w:rPr>
              <w:t>2024年泰顺县彭溪镇峰文村牛塘垵简洋农田宜机化改造项目</w:t>
            </w:r>
          </w:p>
        </w:tc>
      </w:tr>
      <w:tr w14:paraId="46B45ED9">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90" w:hRule="atLeast"/>
        </w:trPr>
        <w:tc>
          <w:tcPr>
            <w:tcW w:w="2414" w:type="dxa"/>
            <w:vAlign w:val="center"/>
          </w:tcPr>
          <w:p w14:paraId="1053D024">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采购方式</w:t>
            </w:r>
          </w:p>
        </w:tc>
        <w:tc>
          <w:tcPr>
            <w:tcW w:w="6750" w:type="dxa"/>
            <w:vAlign w:val="center"/>
          </w:tcPr>
          <w:p w14:paraId="1C8BB19A">
            <w:pPr>
              <w:keepNext w:val="0"/>
              <w:keepLines w:val="0"/>
              <w:pageBreakBefore w:val="0"/>
              <w:widowControl w:val="0"/>
              <w:tabs>
                <w:tab w:val="left" w:pos="1069"/>
                <w:tab w:val="left" w:pos="1080"/>
                <w:tab w:val="left" w:pos="2352"/>
              </w:tabs>
              <w:kinsoku/>
              <w:wordWrap/>
              <w:overflowPunct/>
              <w:topLinePunct w:val="0"/>
              <w:autoSpaceDE w:val="0"/>
              <w:autoSpaceDN w:val="0"/>
              <w:bidi w:val="0"/>
              <w:adjustRightInd w:val="0"/>
              <w:snapToGrid/>
              <w:spacing w:line="360" w:lineRule="exact"/>
              <w:textAlignment w:val="baseline"/>
              <w:rPr>
                <w:rFonts w:hint="eastAsia" w:ascii="宋体" w:hAnsi="宋体" w:cs="宋体"/>
                <w:b/>
                <w:bCs/>
                <w:color w:val="auto"/>
                <w:sz w:val="30"/>
                <w:szCs w:val="30"/>
                <w:highlight w:val="none"/>
                <w:u w:val="none"/>
              </w:rPr>
            </w:pPr>
            <w:r>
              <w:rPr>
                <w:rFonts w:hint="eastAsia" w:ascii="宋体" w:hAnsi="宋体" w:cs="宋体"/>
                <w:b/>
                <w:bCs/>
                <w:color w:val="auto"/>
                <w:sz w:val="30"/>
                <w:szCs w:val="30"/>
                <w:highlight w:val="none"/>
                <w:u w:val="none"/>
              </w:rPr>
              <w:t>竞争性磋商</w:t>
            </w:r>
          </w:p>
        </w:tc>
      </w:tr>
      <w:tr w14:paraId="2B1C9511">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414" w:type="dxa"/>
            <w:vAlign w:val="center"/>
          </w:tcPr>
          <w:p w14:paraId="38DED602">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采购单位</w:t>
            </w:r>
          </w:p>
        </w:tc>
        <w:tc>
          <w:tcPr>
            <w:tcW w:w="6750" w:type="dxa"/>
            <w:vAlign w:val="center"/>
          </w:tcPr>
          <w:p w14:paraId="78478658">
            <w:pPr>
              <w:tabs>
                <w:tab w:val="left" w:pos="1069"/>
                <w:tab w:val="left" w:pos="2352"/>
              </w:tabs>
              <w:snapToGrid w:val="0"/>
              <w:spacing w:line="500" w:lineRule="atLeast"/>
              <w:rPr>
                <w:rFonts w:hint="eastAsia" w:ascii="宋体" w:hAnsi="宋体" w:eastAsia="宋体" w:cs="宋体"/>
                <w:b/>
                <w:color w:val="auto"/>
                <w:sz w:val="30"/>
                <w:szCs w:val="30"/>
                <w:highlight w:val="none"/>
                <w:lang w:eastAsia="zh-CN"/>
              </w:rPr>
            </w:pPr>
            <w:r>
              <w:rPr>
                <w:rFonts w:hint="eastAsia" w:ascii="宋体" w:hAnsi="宋体" w:cs="宋体"/>
                <w:b/>
                <w:color w:val="auto"/>
                <w:sz w:val="30"/>
                <w:szCs w:val="30"/>
                <w:highlight w:val="none"/>
                <w:lang w:eastAsia="zh-CN"/>
              </w:rPr>
              <w:t>泰顺县彭溪镇人民政府</w:t>
            </w:r>
          </w:p>
        </w:tc>
      </w:tr>
      <w:tr w14:paraId="3CDE73C8">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414" w:type="dxa"/>
            <w:vAlign w:val="center"/>
          </w:tcPr>
          <w:p w14:paraId="00D969E8">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招标代理机构</w:t>
            </w:r>
          </w:p>
        </w:tc>
        <w:tc>
          <w:tcPr>
            <w:tcW w:w="6750" w:type="dxa"/>
            <w:vAlign w:val="center"/>
          </w:tcPr>
          <w:p w14:paraId="2612A075">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杭州华旗招标代理有限公司</w:t>
            </w:r>
          </w:p>
        </w:tc>
      </w:tr>
      <w:tr w14:paraId="65711F8B">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414" w:type="dxa"/>
            <w:vAlign w:val="center"/>
          </w:tcPr>
          <w:p w14:paraId="2625FF86">
            <w:pPr>
              <w:tabs>
                <w:tab w:val="left" w:pos="1069"/>
                <w:tab w:val="left" w:pos="2352"/>
              </w:tabs>
              <w:rPr>
                <w:rFonts w:ascii="宋体" w:hAnsi="宋体" w:cs="宋体"/>
                <w:b/>
                <w:bCs/>
                <w:color w:val="auto"/>
                <w:sz w:val="28"/>
                <w:szCs w:val="28"/>
                <w:highlight w:val="none"/>
              </w:rPr>
            </w:pPr>
            <w:r>
              <w:rPr>
                <w:rFonts w:hint="eastAsia" w:ascii="宋体" w:hAnsi="宋体" w:cs="宋体"/>
                <w:b/>
                <w:color w:val="auto"/>
                <w:sz w:val="30"/>
                <w:szCs w:val="30"/>
                <w:highlight w:val="none"/>
              </w:rPr>
              <w:t>监督及备案机构</w:t>
            </w:r>
          </w:p>
        </w:tc>
        <w:tc>
          <w:tcPr>
            <w:tcW w:w="6750" w:type="dxa"/>
            <w:vAlign w:val="center"/>
          </w:tcPr>
          <w:p w14:paraId="4D7EBC5D">
            <w:pPr>
              <w:tabs>
                <w:tab w:val="left" w:pos="1069"/>
                <w:tab w:val="left" w:pos="2352"/>
              </w:tabs>
              <w:rPr>
                <w:rFonts w:ascii="宋体" w:hAnsi="宋体" w:cs="宋体"/>
                <w:b/>
                <w:bCs/>
                <w:color w:val="auto"/>
                <w:sz w:val="28"/>
                <w:szCs w:val="28"/>
                <w:highlight w:val="none"/>
              </w:rPr>
            </w:pPr>
            <w:bookmarkStart w:id="0" w:name="B20_同级政府采购监督管理部门"/>
            <w:r>
              <w:rPr>
                <w:rFonts w:hint="eastAsia" w:ascii="宋体" w:hAnsi="宋体" w:cs="宋体"/>
                <w:b/>
                <w:color w:val="auto"/>
                <w:sz w:val="30"/>
                <w:szCs w:val="30"/>
                <w:highlight w:val="none"/>
              </w:rPr>
              <w:t>泰顺县</w:t>
            </w:r>
            <w:bookmarkEnd w:id="0"/>
            <w:r>
              <w:rPr>
                <w:rFonts w:hint="eastAsia" w:ascii="宋体" w:hAnsi="宋体" w:cs="宋体"/>
                <w:b/>
                <w:color w:val="auto"/>
                <w:sz w:val="30"/>
                <w:szCs w:val="30"/>
                <w:highlight w:val="none"/>
              </w:rPr>
              <w:t>财政局</w:t>
            </w:r>
          </w:p>
        </w:tc>
      </w:tr>
    </w:tbl>
    <w:p w14:paraId="1D9E8D07">
      <w:pPr>
        <w:tabs>
          <w:tab w:val="left" w:pos="1069"/>
          <w:tab w:val="left" w:pos="2352"/>
        </w:tabs>
        <w:autoSpaceDE w:val="0"/>
        <w:autoSpaceDN w:val="0"/>
        <w:adjustRightInd w:val="0"/>
        <w:spacing w:line="440" w:lineRule="atLeast"/>
        <w:jc w:val="center"/>
        <w:rPr>
          <w:rFonts w:ascii="宋体" w:hAnsi="宋体" w:cs="宋体"/>
          <w:b/>
          <w:color w:val="auto"/>
          <w:sz w:val="30"/>
          <w:szCs w:val="30"/>
          <w:highlight w:val="none"/>
        </w:rPr>
      </w:pPr>
    </w:p>
    <w:p w14:paraId="4C30E6B7">
      <w:pPr>
        <w:tabs>
          <w:tab w:val="left" w:pos="1069"/>
          <w:tab w:val="left" w:pos="2352"/>
        </w:tabs>
        <w:autoSpaceDE w:val="0"/>
        <w:autoSpaceDN w:val="0"/>
        <w:adjustRightInd w:val="0"/>
        <w:spacing w:line="440" w:lineRule="atLeast"/>
        <w:jc w:val="center"/>
        <w:rPr>
          <w:rFonts w:ascii="宋体" w:hAnsi="宋体" w:cs="宋体"/>
          <w:color w:val="auto"/>
          <w:highlight w:val="none"/>
        </w:rPr>
        <w:sectPr>
          <w:headerReference r:id="rId5" w:type="first"/>
          <w:headerReference r:id="rId3" w:type="default"/>
          <w:headerReference r:id="rId4" w:type="even"/>
          <w:footerReference r:id="rId6" w:type="even"/>
          <w:pgSz w:w="11906" w:h="16838"/>
          <w:pgMar w:top="1440" w:right="1247" w:bottom="1440" w:left="1247" w:header="851" w:footer="992" w:gutter="0"/>
          <w:pgNumType w:fmt="numberInDash"/>
          <w:cols w:space="720" w:num="1"/>
          <w:titlePg/>
          <w:docGrid w:type="linesAndChars" w:linePitch="317" w:charSpace="800"/>
        </w:sectPr>
      </w:pPr>
      <w:r>
        <w:rPr>
          <w:rFonts w:hint="eastAsia" w:ascii="宋体" w:hAnsi="宋体" w:cs="宋体"/>
          <w:b/>
          <w:color w:val="auto"/>
          <w:sz w:val="30"/>
          <w:szCs w:val="30"/>
          <w:highlight w:val="none"/>
        </w:rPr>
        <w:t>二○二四年</w:t>
      </w:r>
      <w:r>
        <w:rPr>
          <w:rFonts w:hint="eastAsia" w:ascii="宋体" w:hAnsi="宋体" w:cs="宋体"/>
          <w:b/>
          <w:color w:val="auto"/>
          <w:sz w:val="30"/>
          <w:szCs w:val="30"/>
          <w:highlight w:val="none"/>
          <w:lang w:val="en-US" w:eastAsia="zh-CN"/>
        </w:rPr>
        <w:t>十二</w:t>
      </w:r>
      <w:r>
        <w:rPr>
          <w:rFonts w:hint="eastAsia" w:ascii="宋体" w:hAnsi="宋体" w:cs="宋体"/>
          <w:b/>
          <w:color w:val="auto"/>
          <w:sz w:val="30"/>
          <w:szCs w:val="30"/>
          <w:highlight w:val="none"/>
        </w:rPr>
        <w:t>月</w:t>
      </w:r>
    </w:p>
    <w:p w14:paraId="48D3BEFB">
      <w:pPr>
        <w:tabs>
          <w:tab w:val="left" w:pos="1069"/>
          <w:tab w:val="left" w:pos="1080"/>
          <w:tab w:val="left" w:pos="2352"/>
        </w:tabs>
        <w:autoSpaceDE w:val="0"/>
        <w:autoSpaceDN w:val="0"/>
        <w:adjustRightInd w:val="0"/>
        <w:spacing w:line="500" w:lineRule="atLeast"/>
        <w:textAlignment w:val="baseline"/>
        <w:rPr>
          <w:rFonts w:ascii="宋体" w:hAnsi="宋体" w:cs="宋体"/>
          <w:b/>
          <w:bCs/>
          <w:color w:val="auto"/>
          <w:sz w:val="32"/>
          <w:szCs w:val="32"/>
          <w:highlight w:val="none"/>
          <w:lang w:val="zh-CN"/>
        </w:rPr>
      </w:pPr>
      <w:bookmarkStart w:id="1" w:name="_Toc6035_WPSOffice_Level1"/>
    </w:p>
    <w:p w14:paraId="251E3DC0">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rPr>
      </w:pPr>
    </w:p>
    <w:p w14:paraId="1003DF04">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rPr>
      </w:pPr>
    </w:p>
    <w:p w14:paraId="0F8308C1">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rPr>
      </w:pPr>
    </w:p>
    <w:p w14:paraId="7A21BC1A">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rPr>
      </w:pPr>
      <w:r>
        <w:rPr>
          <w:rFonts w:hint="eastAsia" w:ascii="宋体" w:hAnsi="宋体" w:cs="宋体"/>
          <w:b/>
          <w:bCs/>
          <w:color w:val="auto"/>
          <w:sz w:val="32"/>
          <w:szCs w:val="32"/>
          <w:highlight w:val="none"/>
        </w:rPr>
        <w:t>竞争性磋商文件目录</w:t>
      </w:r>
    </w:p>
    <w:p w14:paraId="15AFD330">
      <w:pPr>
        <w:tabs>
          <w:tab w:val="left" w:pos="1069"/>
          <w:tab w:val="left" w:pos="1080"/>
          <w:tab w:val="left" w:pos="2352"/>
        </w:tabs>
        <w:autoSpaceDE w:val="0"/>
        <w:autoSpaceDN w:val="0"/>
        <w:adjustRightInd w:val="0"/>
        <w:spacing w:line="500" w:lineRule="atLeast"/>
        <w:textAlignment w:val="baseline"/>
        <w:rPr>
          <w:rFonts w:ascii="宋体" w:hAnsi="宋体" w:cs="宋体"/>
          <w:color w:val="auto"/>
          <w:sz w:val="28"/>
          <w:szCs w:val="28"/>
          <w:highlight w:val="none"/>
        </w:rPr>
      </w:pPr>
    </w:p>
    <w:p w14:paraId="5BAE2F69">
      <w:pPr>
        <w:tabs>
          <w:tab w:val="left" w:pos="1069"/>
          <w:tab w:val="left" w:pos="1080"/>
          <w:tab w:val="left" w:pos="2352"/>
        </w:tabs>
        <w:autoSpaceDE w:val="0"/>
        <w:autoSpaceDN w:val="0"/>
        <w:adjustRightInd w:val="0"/>
        <w:spacing w:line="500" w:lineRule="atLeast"/>
        <w:ind w:firstLine="280" w:firstLineChars="100"/>
        <w:textAlignment w:val="baseline"/>
        <w:rPr>
          <w:rFonts w:ascii="宋体" w:hAnsi="宋体" w:cs="宋体"/>
          <w:color w:val="auto"/>
          <w:sz w:val="28"/>
          <w:szCs w:val="28"/>
          <w:highlight w:val="none"/>
        </w:rPr>
      </w:pPr>
      <w:r>
        <w:rPr>
          <w:rFonts w:hint="eastAsia" w:ascii="宋体" w:hAnsi="宋体" w:cs="宋体"/>
          <w:color w:val="auto"/>
          <w:sz w:val="28"/>
          <w:szCs w:val="28"/>
          <w:highlight w:val="none"/>
        </w:rPr>
        <w:t>采购公告....................................................2</w:t>
      </w:r>
    </w:p>
    <w:p w14:paraId="1ADE47F5">
      <w:pPr>
        <w:tabs>
          <w:tab w:val="left" w:pos="1069"/>
          <w:tab w:val="left" w:pos="1080"/>
          <w:tab w:val="left" w:pos="2352"/>
        </w:tabs>
        <w:autoSpaceDE w:val="0"/>
        <w:autoSpaceDN w:val="0"/>
        <w:adjustRightInd w:val="0"/>
        <w:spacing w:line="800" w:lineRule="exact"/>
        <w:ind w:firstLine="280" w:firstLineChars="100"/>
        <w:textAlignment w:val="baseline"/>
        <w:rPr>
          <w:rFonts w:ascii="宋体" w:hAnsi="宋体" w:cs="宋体"/>
          <w:b/>
          <w:bCs/>
          <w:color w:val="auto"/>
          <w:sz w:val="32"/>
          <w:szCs w:val="32"/>
          <w:highlight w:val="none"/>
        </w:rPr>
      </w:pPr>
      <w:r>
        <w:rPr>
          <w:rFonts w:hint="eastAsia" w:ascii="宋体" w:hAnsi="宋体" w:cs="宋体"/>
          <w:color w:val="auto"/>
          <w:sz w:val="28"/>
          <w:szCs w:val="28"/>
          <w:highlight w:val="none"/>
        </w:rPr>
        <w:t>第一部分、投标邀请函（投标须知前附表）......................5</w:t>
      </w:r>
    </w:p>
    <w:p w14:paraId="72AF48D4">
      <w:pPr>
        <w:tabs>
          <w:tab w:val="left" w:pos="1069"/>
          <w:tab w:val="left" w:pos="1080"/>
          <w:tab w:val="left" w:pos="2352"/>
        </w:tabs>
        <w:autoSpaceDE w:val="0"/>
        <w:autoSpaceDN w:val="0"/>
        <w:adjustRightInd w:val="0"/>
        <w:spacing w:line="800" w:lineRule="exact"/>
        <w:ind w:firstLine="280" w:firstLineChars="100"/>
        <w:textAlignment w:val="baseline"/>
        <w:rPr>
          <w:rFonts w:ascii="宋体" w:hAnsi="宋体" w:cs="宋体"/>
          <w:color w:val="auto"/>
          <w:sz w:val="28"/>
          <w:szCs w:val="28"/>
          <w:highlight w:val="none"/>
        </w:rPr>
      </w:pPr>
      <w:r>
        <w:rPr>
          <w:rFonts w:hint="eastAsia" w:ascii="宋体" w:hAnsi="宋体" w:cs="宋体"/>
          <w:color w:val="auto"/>
          <w:sz w:val="28"/>
          <w:szCs w:val="28"/>
          <w:highlight w:val="none"/>
        </w:rPr>
        <w:t>第二部分、采购内容及要求....................................8</w:t>
      </w:r>
    </w:p>
    <w:p w14:paraId="18004F35">
      <w:pPr>
        <w:tabs>
          <w:tab w:val="left" w:pos="1069"/>
          <w:tab w:val="left" w:pos="1080"/>
          <w:tab w:val="left" w:pos="2352"/>
        </w:tabs>
        <w:autoSpaceDE w:val="0"/>
        <w:autoSpaceDN w:val="0"/>
        <w:adjustRightInd w:val="0"/>
        <w:spacing w:line="800" w:lineRule="exact"/>
        <w:ind w:firstLine="280" w:firstLineChars="100"/>
        <w:textAlignment w:val="baseline"/>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第三部分、供应商须知.......................................1</w:t>
      </w:r>
      <w:r>
        <w:rPr>
          <w:rFonts w:hint="eastAsia" w:ascii="宋体" w:hAnsi="宋体" w:cs="宋体"/>
          <w:color w:val="auto"/>
          <w:sz w:val="28"/>
          <w:szCs w:val="28"/>
          <w:highlight w:val="none"/>
          <w:lang w:val="en-US" w:eastAsia="zh-CN"/>
        </w:rPr>
        <w:t>2</w:t>
      </w:r>
    </w:p>
    <w:p w14:paraId="53B29C28">
      <w:pPr>
        <w:tabs>
          <w:tab w:val="left" w:pos="1069"/>
          <w:tab w:val="left" w:pos="1080"/>
          <w:tab w:val="left" w:pos="2352"/>
        </w:tabs>
        <w:autoSpaceDE w:val="0"/>
        <w:autoSpaceDN w:val="0"/>
        <w:adjustRightInd w:val="0"/>
        <w:spacing w:line="800" w:lineRule="exact"/>
        <w:ind w:firstLine="280" w:firstLineChars="100"/>
        <w:textAlignment w:val="baseline"/>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第四部分、政府采购政策功能相关说明.........................2</w:t>
      </w:r>
      <w:r>
        <w:rPr>
          <w:rFonts w:hint="eastAsia" w:ascii="宋体" w:hAnsi="宋体" w:cs="宋体"/>
          <w:color w:val="auto"/>
          <w:sz w:val="28"/>
          <w:szCs w:val="28"/>
          <w:highlight w:val="none"/>
          <w:lang w:val="en-US" w:eastAsia="zh-CN"/>
        </w:rPr>
        <w:t>2</w:t>
      </w:r>
    </w:p>
    <w:p w14:paraId="115ECEA0">
      <w:pPr>
        <w:tabs>
          <w:tab w:val="left" w:pos="1069"/>
          <w:tab w:val="left" w:pos="1080"/>
          <w:tab w:val="left" w:pos="2352"/>
        </w:tabs>
        <w:autoSpaceDE w:val="0"/>
        <w:autoSpaceDN w:val="0"/>
        <w:adjustRightInd w:val="0"/>
        <w:spacing w:line="800" w:lineRule="exact"/>
        <w:ind w:firstLine="280" w:firstLineChars="100"/>
        <w:textAlignment w:val="baseline"/>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第五部分、合同格式.........................................2</w:t>
      </w:r>
      <w:r>
        <w:rPr>
          <w:rFonts w:hint="eastAsia" w:ascii="宋体" w:hAnsi="宋体" w:cs="宋体"/>
          <w:color w:val="auto"/>
          <w:sz w:val="28"/>
          <w:szCs w:val="28"/>
          <w:highlight w:val="none"/>
          <w:lang w:val="en-US" w:eastAsia="zh-CN"/>
        </w:rPr>
        <w:t>7</w:t>
      </w:r>
    </w:p>
    <w:p w14:paraId="2666E5D7">
      <w:pPr>
        <w:tabs>
          <w:tab w:val="left" w:pos="1069"/>
          <w:tab w:val="left" w:pos="1080"/>
          <w:tab w:val="left" w:pos="2352"/>
        </w:tabs>
        <w:autoSpaceDE w:val="0"/>
        <w:autoSpaceDN w:val="0"/>
        <w:adjustRightInd w:val="0"/>
        <w:spacing w:line="800" w:lineRule="exact"/>
        <w:ind w:firstLine="280" w:firstLineChars="100"/>
        <w:textAlignment w:val="baseline"/>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rPr>
        <w:t>第六部分、投标（响应）文件格式.............................</w:t>
      </w:r>
      <w:r>
        <w:rPr>
          <w:rFonts w:hint="eastAsia" w:ascii="宋体" w:hAnsi="宋体" w:cs="宋体"/>
          <w:color w:val="auto"/>
          <w:sz w:val="28"/>
          <w:szCs w:val="28"/>
          <w:highlight w:val="none"/>
          <w:lang w:val="en-US" w:eastAsia="zh-CN"/>
        </w:rPr>
        <w:t>47</w:t>
      </w:r>
    </w:p>
    <w:p w14:paraId="68FA9460">
      <w:pPr>
        <w:tabs>
          <w:tab w:val="left" w:pos="1069"/>
          <w:tab w:val="left" w:pos="1080"/>
          <w:tab w:val="left" w:pos="2352"/>
        </w:tabs>
        <w:autoSpaceDE w:val="0"/>
        <w:autoSpaceDN w:val="0"/>
        <w:adjustRightInd w:val="0"/>
        <w:spacing w:line="800" w:lineRule="exact"/>
        <w:ind w:firstLine="280" w:firstLineChars="100"/>
        <w:textAlignment w:val="baseline"/>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rPr>
        <w:t>第七部分、评标办法.........................................</w:t>
      </w:r>
      <w:r>
        <w:rPr>
          <w:rFonts w:hint="eastAsia" w:ascii="宋体" w:hAnsi="宋体" w:cs="宋体"/>
          <w:color w:val="auto"/>
          <w:sz w:val="28"/>
          <w:szCs w:val="28"/>
          <w:highlight w:val="none"/>
          <w:lang w:val="en-US" w:eastAsia="zh-CN"/>
        </w:rPr>
        <w:t>61</w:t>
      </w:r>
    </w:p>
    <w:p w14:paraId="50F3F25D">
      <w:pPr>
        <w:pStyle w:val="21"/>
        <w:tabs>
          <w:tab w:val="left" w:pos="2352"/>
        </w:tabs>
        <w:rPr>
          <w:color w:val="auto"/>
          <w:highlight w:val="none"/>
        </w:rPr>
      </w:pPr>
    </w:p>
    <w:p w14:paraId="2E147E0E">
      <w:pPr>
        <w:tabs>
          <w:tab w:val="left" w:pos="1069"/>
          <w:tab w:val="left" w:pos="1080"/>
          <w:tab w:val="left" w:pos="2352"/>
        </w:tabs>
        <w:autoSpaceDE w:val="0"/>
        <w:autoSpaceDN w:val="0"/>
        <w:adjustRightInd w:val="0"/>
        <w:spacing w:line="360" w:lineRule="auto"/>
        <w:textAlignment w:val="baseline"/>
        <w:rPr>
          <w:rFonts w:ascii="宋体" w:hAnsi="宋体" w:cs="宋体"/>
          <w:color w:val="auto"/>
          <w:sz w:val="28"/>
          <w:szCs w:val="28"/>
          <w:highlight w:val="none"/>
        </w:rPr>
      </w:pPr>
    </w:p>
    <w:p w14:paraId="01E01CDE">
      <w:pPr>
        <w:keepNext w:val="0"/>
        <w:keepLines w:val="0"/>
        <w:pageBreakBefore w:val="0"/>
        <w:widowControl w:val="0"/>
        <w:tabs>
          <w:tab w:val="left" w:pos="1069"/>
          <w:tab w:val="left" w:pos="1080"/>
          <w:tab w:val="left" w:pos="2352"/>
        </w:tabs>
        <w:kinsoku/>
        <w:wordWrap/>
        <w:overflowPunct/>
        <w:topLinePunct w:val="0"/>
        <w:autoSpaceDE w:val="0"/>
        <w:autoSpaceDN w:val="0"/>
        <w:bidi w:val="0"/>
        <w:adjustRightInd w:val="0"/>
        <w:snapToGrid/>
        <w:spacing w:line="360" w:lineRule="exact"/>
        <w:textAlignment w:val="baseline"/>
        <w:rPr>
          <w:rFonts w:ascii="宋体" w:hAnsi="宋体" w:cs="宋体"/>
          <w:b/>
          <w:bCs/>
          <w:color w:val="auto"/>
          <w:sz w:val="24"/>
          <w:szCs w:val="24"/>
          <w:highlight w:val="none"/>
          <w:u w:val="single"/>
        </w:rPr>
      </w:pPr>
      <w:r>
        <w:rPr>
          <w:rFonts w:hint="eastAsia" w:ascii="宋体" w:hAnsi="宋体" w:cs="宋体"/>
          <w:color w:val="auto"/>
          <w:sz w:val="28"/>
          <w:szCs w:val="28"/>
          <w:highlight w:val="none"/>
        </w:rPr>
        <w:t xml:space="preserve">    </w:t>
      </w:r>
      <w:r>
        <w:rPr>
          <w:rFonts w:hint="eastAsia" w:ascii="宋体" w:hAnsi="宋体" w:cs="宋体"/>
          <w:b/>
          <w:bCs/>
          <w:color w:val="auto"/>
          <w:sz w:val="24"/>
          <w:szCs w:val="24"/>
          <w:highlight w:val="none"/>
          <w:u w:val="single"/>
        </w:rPr>
        <w:t>注：竞争性磋商文件中标“▲”号的为招标的实质性要求和条件，着重提醒各供应商必须响应。各供应商必须认真阅读和理解竞争性磋商文件中的每一个条款及要求，因误读竞争性磋商文件而造成的后果，采购人概不负责。</w:t>
      </w:r>
    </w:p>
    <w:p w14:paraId="6EC5AD57">
      <w:pPr>
        <w:tabs>
          <w:tab w:val="left" w:pos="1069"/>
          <w:tab w:val="left" w:pos="1080"/>
          <w:tab w:val="left" w:pos="2352"/>
        </w:tabs>
        <w:autoSpaceDE w:val="0"/>
        <w:autoSpaceDN w:val="0"/>
        <w:adjustRightInd w:val="0"/>
        <w:spacing w:line="360" w:lineRule="auto"/>
        <w:textAlignment w:val="baseline"/>
        <w:rPr>
          <w:rFonts w:ascii="宋体" w:hAnsi="宋体" w:cs="宋体"/>
          <w:color w:val="auto"/>
          <w:sz w:val="28"/>
          <w:szCs w:val="28"/>
          <w:highlight w:val="none"/>
        </w:rPr>
      </w:pPr>
    </w:p>
    <w:p w14:paraId="21CD82A0">
      <w:pPr>
        <w:pStyle w:val="21"/>
        <w:tabs>
          <w:tab w:val="left" w:pos="2352"/>
        </w:tabs>
        <w:rPr>
          <w:color w:val="auto"/>
          <w:highlight w:val="none"/>
        </w:rPr>
      </w:pPr>
    </w:p>
    <w:p w14:paraId="0A50FEFB">
      <w:pPr>
        <w:rPr>
          <w:color w:val="auto"/>
          <w:highlight w:val="none"/>
        </w:rPr>
      </w:pPr>
    </w:p>
    <w:p w14:paraId="41FAFF80">
      <w:pPr>
        <w:pStyle w:val="2"/>
        <w:widowControl/>
        <w:spacing w:before="156" w:after="156" w:line="440" w:lineRule="exact"/>
        <w:jc w:val="center"/>
        <w:rPr>
          <w:rFonts w:hint="eastAsia" w:ascii="宋体" w:hAnsi="宋体" w:eastAsia="宋体" w:cs="宋体"/>
          <w:color w:val="auto"/>
          <w:highlight w:val="none"/>
        </w:rPr>
      </w:pPr>
    </w:p>
    <w:p w14:paraId="274A202F">
      <w:pPr>
        <w:pStyle w:val="2"/>
        <w:widowControl/>
        <w:spacing w:before="156" w:after="156" w:line="440" w:lineRule="exact"/>
        <w:jc w:val="center"/>
        <w:rPr>
          <w:rFonts w:hint="eastAsia" w:ascii="宋体" w:hAnsi="宋体" w:eastAsia="宋体" w:cs="宋体"/>
          <w:color w:val="auto"/>
          <w:highlight w:val="none"/>
        </w:rPr>
      </w:pPr>
    </w:p>
    <w:p w14:paraId="0BEC8CFB">
      <w:pPr>
        <w:pStyle w:val="2"/>
        <w:widowControl/>
        <w:spacing w:before="156" w:after="156" w:line="440" w:lineRule="exact"/>
        <w:jc w:val="center"/>
        <w:rPr>
          <w:rFonts w:ascii="宋体" w:hAnsi="宋体" w:eastAsia="宋体" w:cs="宋体"/>
          <w:color w:val="auto"/>
          <w:highlight w:val="none"/>
        </w:rPr>
      </w:pPr>
      <w:r>
        <w:rPr>
          <w:rFonts w:hint="eastAsia" w:ascii="宋体" w:hAnsi="宋体" w:eastAsia="宋体" w:cs="宋体"/>
          <w:color w:val="auto"/>
          <w:highlight w:val="none"/>
        </w:rPr>
        <w:t>关于</w:t>
      </w:r>
      <w:r>
        <w:rPr>
          <w:rFonts w:hint="eastAsia" w:ascii="宋体" w:hAnsi="宋体" w:eastAsia="宋体" w:cs="宋体"/>
          <w:color w:val="auto"/>
          <w:highlight w:val="none"/>
          <w:lang w:eastAsia="zh-CN"/>
        </w:rPr>
        <w:t>2024年泰顺县彭溪镇峰文村牛塘垵简洋农田宜机化改造项目</w:t>
      </w:r>
      <w:r>
        <w:rPr>
          <w:rFonts w:hint="eastAsia" w:ascii="宋体" w:hAnsi="宋体" w:eastAsia="宋体" w:cs="宋体"/>
          <w:color w:val="auto"/>
          <w:highlight w:val="none"/>
        </w:rPr>
        <w:t>的竞争性磋商公告</w:t>
      </w:r>
    </w:p>
    <w:tbl>
      <w:tblPr>
        <w:tblStyle w:val="32"/>
        <w:tblpPr w:leftFromText="180" w:rightFromText="180" w:vertAnchor="text" w:tblpX="-132" w:tblpY="158"/>
        <w:tblOverlap w:val="never"/>
        <w:tblW w:w="51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9"/>
      </w:tblGrid>
      <w:tr w14:paraId="54ED8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5000" w:type="pct"/>
          </w:tcPr>
          <w:p w14:paraId="0338C9D2">
            <w:pPr>
              <w:pStyle w:val="27"/>
              <w:spacing w:after="156"/>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项目概况</w:t>
            </w:r>
          </w:p>
          <w:p w14:paraId="2CFB5F77">
            <w:pPr>
              <w:pStyle w:val="27"/>
              <w:spacing w:after="156"/>
              <w:ind w:firstLine="440" w:firstLineChars="200"/>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lang w:eastAsia="zh-CN"/>
              </w:rPr>
              <w:t>2024年泰顺县彭溪镇峰文村牛塘垵简洋农田宜机化改造项目</w:t>
            </w:r>
            <w:r>
              <w:rPr>
                <w:rFonts w:hint="eastAsia" w:ascii="仿宋" w:hAnsi="仿宋" w:eastAsia="仿宋" w:cs="仿宋"/>
                <w:color w:val="auto"/>
                <w:sz w:val="22"/>
                <w:highlight w:val="none"/>
                <w:shd w:val="clear" w:color="auto" w:fill="FFFFFF"/>
              </w:rPr>
              <w:t>采购项目的潜在供应商应在政采云平台</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http://zfcg.czt.zj.gov.cn/</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获取（下载）采购文件，并于</w:t>
            </w:r>
            <w:r>
              <w:rPr>
                <w:rFonts w:hint="eastAsia" w:ascii="仿宋" w:hAnsi="仿宋" w:eastAsia="仿宋" w:cs="仿宋"/>
                <w:color w:val="auto"/>
                <w:sz w:val="22"/>
                <w:highlight w:val="none"/>
                <w:shd w:val="clear" w:color="auto" w:fill="FFFFFF"/>
                <w:lang w:eastAsia="zh-CN"/>
              </w:rPr>
              <w:t>2025年01月24日</w:t>
            </w:r>
            <w:r>
              <w:rPr>
                <w:rFonts w:hint="eastAsia" w:ascii="仿宋" w:hAnsi="仿宋" w:eastAsia="仿宋" w:cs="仿宋"/>
                <w:color w:val="auto"/>
                <w:sz w:val="22"/>
                <w:highlight w:val="none"/>
                <w:shd w:val="clear" w:color="auto" w:fill="FFFFFF"/>
              </w:rPr>
              <w:t xml:space="preserve"> </w:t>
            </w:r>
            <w:r>
              <w:rPr>
                <w:rFonts w:hint="eastAsia" w:ascii="仿宋" w:hAnsi="仿宋" w:eastAsia="仿宋" w:cs="仿宋"/>
                <w:color w:val="auto"/>
                <w:sz w:val="22"/>
                <w:highlight w:val="none"/>
                <w:shd w:val="clear" w:color="auto" w:fill="FFFFFF"/>
                <w:lang w:eastAsia="zh-CN"/>
              </w:rPr>
              <w:t>15:00</w:t>
            </w:r>
            <w:r>
              <w:rPr>
                <w:rFonts w:hint="eastAsia" w:ascii="仿宋" w:hAnsi="仿宋" w:eastAsia="仿宋" w:cs="仿宋"/>
                <w:color w:val="auto"/>
                <w:sz w:val="22"/>
                <w:highlight w:val="none"/>
                <w:shd w:val="clear" w:color="auto" w:fill="FFFFFF"/>
              </w:rPr>
              <w:t>（北京时间）前提交（上传）响应文件。</w:t>
            </w:r>
          </w:p>
        </w:tc>
      </w:tr>
    </w:tbl>
    <w:p w14:paraId="341EDC0D">
      <w:pPr>
        <w:pStyle w:val="27"/>
        <w:spacing w:after="156"/>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w:t>
      </w:r>
    </w:p>
    <w:p w14:paraId="2D9BE3CC">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一、项目基本情况</w:t>
      </w:r>
    </w:p>
    <w:p w14:paraId="52750E3B">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项目编号：</w:t>
      </w:r>
      <w:r>
        <w:rPr>
          <w:rFonts w:hint="eastAsia" w:ascii="仿宋" w:hAnsi="仿宋" w:eastAsia="仿宋" w:cs="仿宋"/>
          <w:color w:val="auto"/>
          <w:sz w:val="22"/>
          <w:highlight w:val="none"/>
          <w:shd w:val="clear" w:color="auto" w:fill="FFFFFF"/>
          <w:lang w:eastAsia="zh-CN"/>
        </w:rPr>
        <w:t>TSCG202501003</w:t>
      </w:r>
      <w:r>
        <w:rPr>
          <w:rFonts w:hint="eastAsia" w:ascii="仿宋" w:hAnsi="仿宋" w:eastAsia="仿宋" w:cs="仿宋"/>
          <w:color w:val="auto"/>
          <w:sz w:val="22"/>
          <w:highlight w:val="none"/>
          <w:shd w:val="clear" w:color="auto" w:fill="FFFFFF"/>
        </w:rPr>
        <w:t> </w:t>
      </w:r>
    </w:p>
    <w:p w14:paraId="176D3604">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项目名称：</w:t>
      </w:r>
      <w:r>
        <w:rPr>
          <w:rFonts w:hint="eastAsia" w:ascii="仿宋" w:hAnsi="仿宋" w:eastAsia="仿宋" w:cs="仿宋"/>
          <w:color w:val="auto"/>
          <w:sz w:val="22"/>
          <w:highlight w:val="none"/>
          <w:shd w:val="clear" w:color="auto" w:fill="FFFFFF"/>
          <w:lang w:eastAsia="zh-CN"/>
        </w:rPr>
        <w:t>2024年泰顺县彭溪镇峰文村牛塘垵简洋农田宜机化改造项目</w:t>
      </w:r>
      <w:r>
        <w:rPr>
          <w:rFonts w:hint="eastAsia" w:ascii="仿宋" w:hAnsi="仿宋" w:eastAsia="仿宋" w:cs="仿宋"/>
          <w:color w:val="auto"/>
          <w:sz w:val="22"/>
          <w:highlight w:val="none"/>
          <w:shd w:val="clear" w:color="auto" w:fill="FFFFFF"/>
        </w:rPr>
        <w:t> </w:t>
      </w:r>
    </w:p>
    <w:p w14:paraId="327EC9AC">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采购方式：竞争性磋商 </w:t>
      </w:r>
    </w:p>
    <w:p w14:paraId="72C3A03F">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预算金额（元）：</w:t>
      </w:r>
      <w:r>
        <w:rPr>
          <w:rFonts w:hint="eastAsia" w:ascii="仿宋" w:hAnsi="仿宋" w:eastAsia="仿宋" w:cs="仿宋"/>
          <w:color w:val="auto"/>
          <w:sz w:val="22"/>
          <w:highlight w:val="none"/>
          <w:shd w:val="clear" w:color="auto" w:fill="FFFFFF"/>
          <w:lang w:eastAsia="zh-CN"/>
        </w:rPr>
        <w:t>2357565</w:t>
      </w:r>
      <w:r>
        <w:rPr>
          <w:rFonts w:hint="eastAsia" w:ascii="仿宋" w:hAnsi="仿宋" w:eastAsia="仿宋" w:cs="仿宋"/>
          <w:color w:val="auto"/>
          <w:sz w:val="22"/>
          <w:highlight w:val="none"/>
          <w:shd w:val="clear" w:color="auto" w:fill="FFFFFF"/>
        </w:rPr>
        <w:t>  </w:t>
      </w:r>
    </w:p>
    <w:p w14:paraId="096EC952">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最高限价（元）：</w:t>
      </w:r>
      <w:r>
        <w:rPr>
          <w:rFonts w:hint="eastAsia" w:ascii="仿宋" w:hAnsi="仿宋" w:eastAsia="仿宋" w:cs="仿宋"/>
          <w:color w:val="auto"/>
          <w:sz w:val="22"/>
          <w:highlight w:val="none"/>
          <w:shd w:val="clear" w:color="auto" w:fill="FFFFFF"/>
          <w:lang w:eastAsia="zh-CN"/>
        </w:rPr>
        <w:t>2357565</w:t>
      </w:r>
      <w:r>
        <w:rPr>
          <w:rFonts w:hint="eastAsia" w:ascii="仿宋" w:hAnsi="仿宋" w:eastAsia="仿宋" w:cs="仿宋"/>
          <w:color w:val="auto"/>
          <w:sz w:val="22"/>
          <w:highlight w:val="none"/>
          <w:shd w:val="clear" w:color="auto" w:fill="FFFFFF"/>
        </w:rPr>
        <w:t>  </w:t>
      </w:r>
    </w:p>
    <w:p w14:paraId="14381B1F">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采购需求：</w:t>
      </w:r>
    </w:p>
    <w:p w14:paraId="7F299FFA">
      <w:pPr>
        <w:widowControl/>
        <w:shd w:val="clear" w:color="auto" w:fill="FFFFFF"/>
        <w:spacing w:line="150" w:lineRule="atLeast"/>
        <w:jc w:val="left"/>
        <w:rPr>
          <w:rFonts w:ascii="仿宋" w:hAnsi="仿宋" w:eastAsia="仿宋" w:cs="仿宋"/>
          <w:color w:val="auto"/>
          <w:kern w:val="0"/>
          <w:sz w:val="22"/>
          <w:highlight w:val="none"/>
          <w:shd w:val="clear" w:color="auto" w:fill="FFFFFF"/>
        </w:rPr>
      </w:pPr>
      <w:r>
        <w:rPr>
          <w:rFonts w:hint="eastAsia" w:ascii="仿宋" w:hAnsi="仿宋" w:eastAsia="仿宋" w:cs="仿宋"/>
          <w:color w:val="auto"/>
          <w:kern w:val="0"/>
          <w:sz w:val="22"/>
          <w:highlight w:val="none"/>
          <w:shd w:val="clear" w:color="auto" w:fill="FFFFFF"/>
        </w:rPr>
        <w:t>         </w:t>
      </w:r>
    </w:p>
    <w:p w14:paraId="1D3CB83B">
      <w:pPr>
        <w:widowControl/>
        <w:shd w:val="clear" w:color="auto" w:fill="FFFFFF"/>
        <w:spacing w:line="150" w:lineRule="atLeast"/>
        <w:jc w:val="left"/>
        <w:rPr>
          <w:rFonts w:ascii="仿宋" w:hAnsi="仿宋" w:eastAsia="仿宋" w:cs="仿宋"/>
          <w:color w:val="auto"/>
          <w:sz w:val="22"/>
          <w:highlight w:val="none"/>
        </w:rPr>
      </w:pPr>
      <w:r>
        <w:rPr>
          <w:rFonts w:hint="eastAsia" w:ascii="仿宋" w:hAnsi="仿宋" w:eastAsia="仿宋" w:cs="仿宋"/>
          <w:color w:val="auto"/>
          <w:kern w:val="0"/>
          <w:sz w:val="22"/>
          <w:highlight w:val="none"/>
          <w:shd w:val="clear" w:color="auto" w:fill="FFFFFF"/>
        </w:rPr>
        <w:t>   数量：不限       </w:t>
      </w:r>
    </w:p>
    <w:p w14:paraId="6E10DF5B">
      <w:pPr>
        <w:pStyle w:val="27"/>
        <w:spacing w:after="156" w:line="150" w:lineRule="atLeast"/>
        <w:rPr>
          <w:rFonts w:hint="eastAsia" w:ascii="仿宋" w:hAnsi="仿宋" w:eastAsia="仿宋" w:cs="仿宋"/>
          <w:color w:val="auto"/>
          <w:sz w:val="22"/>
          <w:highlight w:val="none"/>
          <w:lang w:eastAsia="zh-CN"/>
        </w:rPr>
      </w:pPr>
      <w:r>
        <w:rPr>
          <w:rFonts w:hint="eastAsia" w:ascii="仿宋" w:hAnsi="仿宋" w:eastAsia="仿宋" w:cs="仿宋"/>
          <w:color w:val="auto"/>
          <w:sz w:val="22"/>
          <w:highlight w:val="none"/>
          <w:shd w:val="clear" w:color="auto" w:fill="FFFFFF"/>
        </w:rPr>
        <w:t>   预算金额（元）：</w:t>
      </w:r>
      <w:r>
        <w:rPr>
          <w:rFonts w:hint="eastAsia" w:ascii="仿宋" w:hAnsi="仿宋" w:eastAsia="仿宋" w:cs="仿宋"/>
          <w:color w:val="auto"/>
          <w:sz w:val="22"/>
          <w:highlight w:val="none"/>
          <w:shd w:val="clear" w:color="auto" w:fill="FFFFFF"/>
          <w:lang w:eastAsia="zh-CN"/>
        </w:rPr>
        <w:t>2357565</w:t>
      </w:r>
    </w:p>
    <w:p w14:paraId="47AC2131">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单位：项 </w:t>
      </w:r>
    </w:p>
    <w:p w14:paraId="6B324725">
      <w:pPr>
        <w:pStyle w:val="27"/>
        <w:spacing w:after="156" w:line="150" w:lineRule="atLeast"/>
        <w:rPr>
          <w:rFonts w:hint="eastAsia" w:ascii="仿宋" w:hAnsi="仿宋" w:eastAsia="仿宋" w:cs="仿宋"/>
          <w:color w:val="auto"/>
          <w:sz w:val="22"/>
          <w:highlight w:val="none"/>
          <w:lang w:eastAsia="zh-CN"/>
        </w:rPr>
      </w:pPr>
      <w:r>
        <w:rPr>
          <w:rFonts w:hint="eastAsia" w:ascii="仿宋" w:hAnsi="仿宋" w:eastAsia="仿宋" w:cs="仿宋"/>
          <w:color w:val="auto"/>
          <w:sz w:val="22"/>
          <w:highlight w:val="none"/>
          <w:shd w:val="clear" w:color="auto" w:fill="FFFFFF"/>
        </w:rPr>
        <w:t>   简要规格描述：</w:t>
      </w:r>
      <w:r>
        <w:rPr>
          <w:rFonts w:hint="eastAsia" w:ascii="仿宋" w:hAnsi="仿宋" w:eastAsia="仿宋" w:cs="仿宋"/>
          <w:color w:val="auto"/>
          <w:sz w:val="22"/>
          <w:highlight w:val="none"/>
          <w:shd w:val="clear" w:color="auto" w:fill="FFFFFF"/>
          <w:lang w:eastAsia="zh-CN"/>
        </w:rPr>
        <w:t>2024年泰顺县彭溪镇峰文村牛塘垵简洋农田宜机化改造项目，以农村土地宜机化改造及项目运营方式实施。</w:t>
      </w:r>
    </w:p>
    <w:p w14:paraId="4AF74378">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备注： </w:t>
      </w:r>
    </w:p>
    <w:p w14:paraId="088847A7">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合同履约期限：标项 1，按采购文件规定。  </w:t>
      </w:r>
    </w:p>
    <w:p w14:paraId="28F8C4E4">
      <w:pPr>
        <w:pStyle w:val="27"/>
        <w:widowControl/>
        <w:spacing w:before="38" w:beforeAutospacing="0" w:after="38" w:afterAutospacing="0" w:line="150" w:lineRule="atLeast"/>
        <w:rPr>
          <w:rFonts w:hint="eastAsia" w:ascii="仿宋" w:hAnsi="仿宋" w:eastAsia="仿宋" w:cs="仿宋"/>
          <w:color w:val="auto"/>
          <w:sz w:val="22"/>
          <w:highlight w:val="none"/>
          <w:lang w:eastAsia="zh-CN"/>
        </w:rPr>
      </w:pPr>
      <w:r>
        <w:rPr>
          <w:rFonts w:hint="eastAsia" w:ascii="仿宋" w:hAnsi="仿宋" w:eastAsia="仿宋" w:cs="仿宋"/>
          <w:color w:val="auto"/>
          <w:sz w:val="22"/>
          <w:highlight w:val="none"/>
          <w:shd w:val="clear" w:color="auto" w:fill="FFFFFF"/>
        </w:rPr>
        <w:t>    本项目接受联合体投标</w:t>
      </w:r>
      <w:r>
        <w:rPr>
          <w:rFonts w:hint="eastAsia" w:ascii="仿宋" w:hAnsi="仿宋" w:eastAsia="仿宋" w:cs="仿宋"/>
          <w:color w:val="auto"/>
          <w:sz w:val="22"/>
          <w:highlight w:val="none"/>
          <w:shd w:val="clear" w:color="auto" w:fill="FFFFFF"/>
          <w:lang w:eastAsia="zh-CN"/>
        </w:rPr>
        <w:t>。</w:t>
      </w:r>
    </w:p>
    <w:p w14:paraId="3712E126">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二、申请人的资格要求：</w:t>
      </w:r>
    </w:p>
    <w:p w14:paraId="770716D8">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1.满足《中华人民共和国政府采购法》第二十二条规定；未被“信用中国”（www.creditchina.gov.cn)、中国政府采购网（www.ccgp.gov.cn）列入失信被执行人、重大税收违法案件当事人名单、政府采购严重违法失信行为记录名单。</w:t>
      </w:r>
    </w:p>
    <w:p w14:paraId="0DA1BBAE">
      <w:pPr>
        <w:pStyle w:val="27"/>
        <w:spacing w:after="156" w:line="150" w:lineRule="atLeast"/>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    2.落实政府采购政策需满足的资格要求：标项1：无。 </w:t>
      </w:r>
    </w:p>
    <w:p w14:paraId="70459994">
      <w:pPr>
        <w:pStyle w:val="27"/>
        <w:widowControl/>
        <w:spacing w:before="38" w:beforeAutospacing="0" w:after="38" w:afterAutospacing="0" w:line="150" w:lineRule="atLeast"/>
        <w:ind w:firstLine="342"/>
        <w:rPr>
          <w:rFonts w:hint="eastAsia" w:ascii="仿宋" w:hAnsi="仿宋" w:eastAsia="仿宋" w:cs="仿宋"/>
          <w:color w:val="auto"/>
          <w:sz w:val="22"/>
          <w:highlight w:val="none"/>
          <w:shd w:val="clear" w:color="auto" w:fill="FFFFFF"/>
          <w:lang w:val="en-US" w:eastAsia="zh-CN"/>
        </w:rPr>
      </w:pPr>
      <w:r>
        <w:rPr>
          <w:rFonts w:hint="eastAsia" w:ascii="仿宋" w:hAnsi="仿宋" w:eastAsia="仿宋" w:cs="仿宋"/>
          <w:color w:val="auto"/>
          <w:sz w:val="22"/>
          <w:highlight w:val="none"/>
          <w:shd w:val="clear" w:color="auto" w:fill="FFFFFF"/>
        </w:rPr>
        <w:t>3.本项目的特定资格要求：</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lang w:val="en-US" w:eastAsia="zh-CN"/>
        </w:rPr>
        <w:t>1</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lang w:val="en-US" w:eastAsia="zh-CN"/>
        </w:rPr>
        <w:t>投标供应商须</w:t>
      </w:r>
      <w:r>
        <w:rPr>
          <w:rFonts w:hint="eastAsia" w:ascii="仿宋" w:hAnsi="仿宋" w:eastAsia="仿宋" w:cs="仿宋"/>
          <w:color w:val="auto"/>
          <w:sz w:val="22"/>
          <w:highlight w:val="none"/>
          <w:shd w:val="clear" w:color="auto" w:fill="FFFFFF"/>
        </w:rPr>
        <w:t>具有项目运营或投资能力</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lang w:val="en-US" w:eastAsia="zh-CN"/>
        </w:rPr>
        <w:t>（2）投标供应商须具有水利水电工程施工总承包三级及以上资质或市政公用工程施工总承包三级及以上资质，具有有效的企业《安全生产许可证》。</w:t>
      </w:r>
    </w:p>
    <w:p w14:paraId="28795B09">
      <w:pPr>
        <w:pStyle w:val="27"/>
        <w:widowControl/>
        <w:spacing w:before="38" w:beforeAutospacing="0" w:after="38" w:afterAutospacing="0" w:line="150" w:lineRule="atLeast"/>
        <w:ind w:firstLine="342"/>
        <w:rPr>
          <w:rFonts w:hint="eastAsia" w:ascii="仿宋" w:hAnsi="仿宋" w:eastAsia="仿宋" w:cs="仿宋"/>
          <w:color w:val="auto"/>
          <w:sz w:val="22"/>
          <w:highlight w:val="none"/>
          <w:shd w:val="clear" w:color="auto" w:fill="FFFFFF"/>
          <w:lang w:val="en-US" w:eastAsia="zh-CN"/>
        </w:rPr>
      </w:pPr>
      <w:r>
        <w:rPr>
          <w:rFonts w:hint="eastAsia" w:ascii="仿宋" w:hAnsi="仿宋" w:eastAsia="仿宋" w:cs="仿宋"/>
          <w:color w:val="auto"/>
          <w:sz w:val="22"/>
          <w:highlight w:val="none"/>
          <w:shd w:val="clear" w:color="auto" w:fill="FFFFFF"/>
        </w:rPr>
        <w:t>本项目接受联合体投标</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lang w:val="en-US" w:eastAsia="zh-CN"/>
        </w:rPr>
        <w:t>（1）组成联合体的成员不得超过2家；（2）出具联合投标协议书（其中运营服务单位须作为牵头人）；（3）联合体各方不得再单独参加或者与其他供应商另外组成联合体参加同一合同项下的采购活动</w:t>
      </w:r>
      <w:r>
        <w:rPr>
          <w:rFonts w:hint="eastAsia" w:ascii="仿宋" w:hAnsi="仿宋" w:eastAsia="仿宋" w:cs="仿宋"/>
          <w:color w:val="auto"/>
          <w:sz w:val="22"/>
          <w:highlight w:val="none"/>
        </w:rPr>
        <w:t>。</w:t>
      </w:r>
      <w:r>
        <w:rPr>
          <w:rFonts w:hint="eastAsia" w:ascii="仿宋" w:hAnsi="仿宋" w:eastAsia="仿宋" w:cs="仿宋"/>
          <w:color w:val="auto"/>
          <w:sz w:val="22"/>
          <w:highlight w:val="none"/>
          <w:shd w:val="clear" w:color="auto" w:fill="FFFFFF"/>
        </w:rPr>
        <w:t> </w:t>
      </w:r>
    </w:p>
    <w:p w14:paraId="10A8CD32">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三、获取（下载）采购文件</w:t>
      </w:r>
    </w:p>
    <w:p w14:paraId="0D85FBF2">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时间：/至</w:t>
      </w:r>
      <w:r>
        <w:rPr>
          <w:rFonts w:hint="eastAsia" w:ascii="仿宋" w:hAnsi="仿宋" w:eastAsia="仿宋" w:cs="仿宋"/>
          <w:color w:val="auto"/>
          <w:sz w:val="22"/>
          <w:highlight w:val="none"/>
          <w:shd w:val="clear" w:color="auto" w:fill="FFFFFF"/>
          <w:lang w:eastAsia="zh-CN"/>
        </w:rPr>
        <w:t>2025年01月24日</w:t>
      </w:r>
      <w:r>
        <w:rPr>
          <w:rFonts w:hint="eastAsia" w:ascii="仿宋" w:hAnsi="仿宋" w:eastAsia="仿宋" w:cs="仿宋"/>
          <w:color w:val="auto"/>
          <w:sz w:val="22"/>
          <w:highlight w:val="none"/>
          <w:shd w:val="clear" w:color="auto" w:fill="FFFFFF"/>
        </w:rPr>
        <w:t>，每天上午00:00至12:00，下午12:00至23:59（北京时间，线上获取法定节假日均可，线下获取文件法定节假日除外）</w:t>
      </w:r>
    </w:p>
    <w:p w14:paraId="15096CDC">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地点（网址）：政采云平台</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http://zfcg.czt.zj.gov.cn/</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 </w:t>
      </w:r>
    </w:p>
    <w:p w14:paraId="61D08A41">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方式：供应商登录政采云平台</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http://zfcg.czt.zj.gov.cn/</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在线申请获取采购文件（进入“项目采购”应用，在获取采购文件菜单中选择项目，申请获取采购文件） </w:t>
      </w:r>
    </w:p>
    <w:p w14:paraId="10C2BF0C">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售价（元）：0 </w:t>
      </w:r>
    </w:p>
    <w:p w14:paraId="6A5EBAE4">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四、响应文件提交（上传）</w:t>
      </w:r>
      <w:r>
        <w:rPr>
          <w:rFonts w:hint="eastAsia" w:ascii="仿宋" w:hAnsi="仿宋" w:eastAsia="仿宋" w:cs="仿宋"/>
          <w:color w:val="auto"/>
          <w:sz w:val="22"/>
          <w:highlight w:val="none"/>
          <w:shd w:val="clear" w:color="auto" w:fill="FFFFFF"/>
        </w:rPr>
        <w:t> </w:t>
      </w:r>
    </w:p>
    <w:p w14:paraId="33AA766F">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截止时间：</w:t>
      </w:r>
      <w:r>
        <w:rPr>
          <w:rFonts w:hint="eastAsia" w:ascii="仿宋" w:hAnsi="仿宋" w:eastAsia="仿宋" w:cs="仿宋"/>
          <w:color w:val="auto"/>
          <w:sz w:val="22"/>
          <w:highlight w:val="none"/>
          <w:shd w:val="clear" w:color="auto" w:fill="FFFFFF"/>
          <w:lang w:eastAsia="zh-CN"/>
        </w:rPr>
        <w:t>2025年01月24日</w:t>
      </w:r>
      <w:r>
        <w:rPr>
          <w:rFonts w:hint="eastAsia" w:ascii="仿宋" w:hAnsi="仿宋" w:eastAsia="仿宋" w:cs="仿宋"/>
          <w:color w:val="auto"/>
          <w:sz w:val="22"/>
          <w:highlight w:val="none"/>
          <w:shd w:val="clear" w:color="auto" w:fill="FFFFFF"/>
        </w:rPr>
        <w:t xml:space="preserve"> </w:t>
      </w:r>
      <w:r>
        <w:rPr>
          <w:rFonts w:hint="eastAsia" w:ascii="仿宋" w:hAnsi="仿宋" w:eastAsia="仿宋" w:cs="仿宋"/>
          <w:color w:val="auto"/>
          <w:sz w:val="22"/>
          <w:highlight w:val="none"/>
          <w:shd w:val="clear" w:color="auto" w:fill="FFFFFF"/>
          <w:lang w:eastAsia="zh-CN"/>
        </w:rPr>
        <w:t>15:00</w:t>
      </w:r>
      <w:r>
        <w:rPr>
          <w:rFonts w:hint="eastAsia" w:ascii="仿宋" w:hAnsi="仿宋" w:eastAsia="仿宋" w:cs="仿宋"/>
          <w:color w:val="auto"/>
          <w:sz w:val="22"/>
          <w:highlight w:val="none"/>
          <w:shd w:val="clear" w:color="auto" w:fill="FFFFFF"/>
        </w:rPr>
        <w:t>（北京时间）</w:t>
      </w:r>
    </w:p>
    <w:p w14:paraId="7E82A7C2">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地点（网址）：“政府采购云平台（http://zfcg.czt.zj.gov.cn/）”在线递交 </w:t>
      </w:r>
    </w:p>
    <w:p w14:paraId="6CD44919">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五、响应文件开启</w:t>
      </w:r>
      <w:r>
        <w:rPr>
          <w:rFonts w:hint="eastAsia" w:ascii="仿宋" w:hAnsi="仿宋" w:eastAsia="仿宋" w:cs="仿宋"/>
          <w:color w:val="auto"/>
          <w:sz w:val="22"/>
          <w:highlight w:val="none"/>
          <w:shd w:val="clear" w:color="auto" w:fill="FFFFFF"/>
        </w:rPr>
        <w:t> </w:t>
      </w:r>
    </w:p>
    <w:p w14:paraId="72F185B7">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开启时间：</w:t>
      </w:r>
      <w:r>
        <w:rPr>
          <w:rFonts w:hint="eastAsia" w:ascii="仿宋" w:hAnsi="仿宋" w:eastAsia="仿宋" w:cs="仿宋"/>
          <w:color w:val="auto"/>
          <w:sz w:val="22"/>
          <w:highlight w:val="none"/>
          <w:shd w:val="clear" w:color="auto" w:fill="FFFFFF"/>
          <w:lang w:eastAsia="zh-CN"/>
        </w:rPr>
        <w:t>2025年01月24日</w:t>
      </w:r>
      <w:r>
        <w:rPr>
          <w:rFonts w:hint="eastAsia" w:ascii="仿宋" w:hAnsi="仿宋" w:eastAsia="仿宋" w:cs="仿宋"/>
          <w:color w:val="auto"/>
          <w:sz w:val="22"/>
          <w:highlight w:val="none"/>
          <w:shd w:val="clear" w:color="auto" w:fill="FFFFFF"/>
        </w:rPr>
        <w:t xml:space="preserve"> </w:t>
      </w:r>
      <w:r>
        <w:rPr>
          <w:rFonts w:hint="eastAsia" w:ascii="仿宋" w:hAnsi="仿宋" w:eastAsia="仿宋" w:cs="仿宋"/>
          <w:color w:val="auto"/>
          <w:sz w:val="22"/>
          <w:highlight w:val="none"/>
          <w:shd w:val="clear" w:color="auto" w:fill="FFFFFF"/>
          <w:lang w:eastAsia="zh-CN"/>
        </w:rPr>
        <w:t>15:00</w:t>
      </w:r>
      <w:r>
        <w:rPr>
          <w:rFonts w:hint="eastAsia" w:ascii="仿宋" w:hAnsi="仿宋" w:eastAsia="仿宋" w:cs="仿宋"/>
          <w:color w:val="auto"/>
          <w:sz w:val="22"/>
          <w:highlight w:val="none"/>
          <w:shd w:val="clear" w:color="auto" w:fill="FFFFFF"/>
        </w:rPr>
        <w:t> （北京时间）</w:t>
      </w:r>
    </w:p>
    <w:p w14:paraId="483564BB">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地点（网址）：“政府采购云平台（http://zfcg.czt.zj.gov.cn/）”在线开标 </w:t>
      </w:r>
    </w:p>
    <w:p w14:paraId="04B5D04C">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六、公告期限</w:t>
      </w:r>
    </w:p>
    <w:p w14:paraId="07E896F5">
      <w:pPr>
        <w:pStyle w:val="27"/>
        <w:shd w:val="clear" w:color="auto" w:fill="FFFFFF"/>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自本公告发布之日起3个工作日。</w:t>
      </w:r>
    </w:p>
    <w:p w14:paraId="501E3243">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七、其他补充事宜</w:t>
      </w:r>
      <w:r>
        <w:rPr>
          <w:rFonts w:hint="eastAsia" w:ascii="仿宋" w:hAnsi="仿宋" w:eastAsia="仿宋" w:cs="仿宋"/>
          <w:color w:val="auto"/>
          <w:sz w:val="22"/>
          <w:highlight w:val="none"/>
          <w:shd w:val="clear" w:color="auto" w:fill="FFFFFF"/>
        </w:rPr>
        <w:t> </w:t>
      </w:r>
    </w:p>
    <w:p w14:paraId="67C139CD">
      <w:pPr>
        <w:pStyle w:val="27"/>
        <w:shd w:val="clear" w:color="auto" w:fill="FFFFFF"/>
        <w:spacing w:before="128" w:after="156" w:line="150" w:lineRule="atLeast"/>
        <w:ind w:firstLine="420"/>
        <w:jc w:val="both"/>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14:paraId="354B8E2C">
      <w:pPr>
        <w:pStyle w:val="27"/>
        <w:shd w:val="clear" w:color="auto" w:fill="FFFFFF"/>
        <w:spacing w:before="128" w:after="156" w:line="150" w:lineRule="atLeast"/>
        <w:ind w:firstLine="420"/>
        <w:jc w:val="both"/>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注意：需在线质疑后才可在线投诉，并电话告知相关采购人、代理机构、财政部门。</w:t>
      </w:r>
    </w:p>
    <w:p w14:paraId="1C27CD4D">
      <w:pPr>
        <w:pStyle w:val="27"/>
        <w:shd w:val="clear" w:color="auto" w:fill="FFFFFF"/>
        <w:spacing w:after="156" w:line="315" w:lineRule="atLeast"/>
        <w:ind w:firstLine="420"/>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3.其他事项：/</w:t>
      </w:r>
    </w:p>
    <w:p w14:paraId="17A3BF5D">
      <w:pPr>
        <w:pStyle w:val="27"/>
        <w:shd w:val="clear" w:color="auto" w:fill="FFFFFF"/>
        <w:spacing w:before="128" w:after="156" w:line="240"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八、凡对本次招标提出询问、质疑、投诉，请按以下方式联系</w:t>
      </w:r>
    </w:p>
    <w:p w14:paraId="154A5CC7">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1.采购人信息</w:t>
      </w:r>
    </w:p>
    <w:p w14:paraId="0FE34B69">
      <w:pPr>
        <w:pStyle w:val="27"/>
        <w:spacing w:after="156"/>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    名    称：</w:t>
      </w:r>
      <w:r>
        <w:rPr>
          <w:rFonts w:hint="eastAsia" w:ascii="仿宋" w:hAnsi="仿宋" w:eastAsia="仿宋" w:cs="仿宋"/>
          <w:color w:val="auto"/>
          <w:sz w:val="22"/>
          <w:highlight w:val="none"/>
          <w:shd w:val="clear" w:color="auto" w:fill="FFFFFF"/>
          <w:lang w:eastAsia="zh-CN"/>
        </w:rPr>
        <w:t>泰顺县彭溪镇人民政府</w:t>
      </w:r>
      <w:r>
        <w:rPr>
          <w:rFonts w:hint="eastAsia" w:ascii="仿宋" w:hAnsi="仿宋" w:eastAsia="仿宋" w:cs="仿宋"/>
          <w:color w:val="auto"/>
          <w:sz w:val="22"/>
          <w:highlight w:val="none"/>
          <w:shd w:val="clear" w:color="auto" w:fill="FFFFFF"/>
        </w:rPr>
        <w:t> </w:t>
      </w:r>
    </w:p>
    <w:p w14:paraId="48F2FADA">
      <w:pPr>
        <w:pStyle w:val="27"/>
        <w:spacing w:after="156"/>
        <w:ind w:firstLine="342"/>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地    址：温州</w:t>
      </w:r>
      <w:r>
        <w:rPr>
          <w:rFonts w:hint="eastAsia" w:ascii="仿宋" w:hAnsi="仿宋" w:eastAsia="仿宋" w:cs="仿宋"/>
          <w:color w:val="auto"/>
          <w:sz w:val="22"/>
          <w:highlight w:val="none"/>
          <w:shd w:val="clear" w:color="auto" w:fill="FFFFFF"/>
          <w:lang w:val="en-US" w:eastAsia="zh-CN"/>
        </w:rPr>
        <w:t>市</w:t>
      </w:r>
      <w:r>
        <w:rPr>
          <w:rFonts w:hint="eastAsia" w:ascii="仿宋" w:hAnsi="仿宋" w:eastAsia="仿宋" w:cs="仿宋"/>
          <w:color w:val="auto"/>
          <w:sz w:val="22"/>
          <w:highlight w:val="none"/>
          <w:shd w:val="clear" w:color="auto" w:fill="FFFFFF"/>
        </w:rPr>
        <w:t>泰顺县</w:t>
      </w:r>
      <w:r>
        <w:rPr>
          <w:rFonts w:hint="eastAsia" w:ascii="仿宋" w:hAnsi="仿宋" w:eastAsia="仿宋" w:cs="仿宋"/>
          <w:color w:val="auto"/>
          <w:sz w:val="22"/>
          <w:highlight w:val="none"/>
          <w:shd w:val="clear" w:color="auto" w:fill="FFFFFF"/>
          <w:lang w:eastAsia="zh-CN"/>
        </w:rPr>
        <w:t>彭溪镇彭中路38号</w:t>
      </w:r>
    </w:p>
    <w:p w14:paraId="0485EF57">
      <w:pPr>
        <w:pStyle w:val="27"/>
        <w:spacing w:after="156"/>
        <w:ind w:firstLine="342"/>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传 真：</w:t>
      </w:r>
    </w:p>
    <w:p w14:paraId="535E016A">
      <w:pPr>
        <w:pStyle w:val="27"/>
        <w:spacing w:after="156"/>
        <w:ind w:firstLine="342"/>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项目联系人（询问）：</w:t>
      </w:r>
      <w:r>
        <w:rPr>
          <w:rFonts w:hint="eastAsia" w:ascii="仿宋" w:hAnsi="仿宋" w:eastAsia="仿宋" w:cs="仿宋"/>
          <w:color w:val="auto"/>
          <w:sz w:val="22"/>
          <w:highlight w:val="none"/>
          <w:shd w:val="clear" w:color="auto" w:fill="FFFFFF"/>
          <w:lang w:val="en-US" w:eastAsia="zh-CN"/>
        </w:rPr>
        <w:t>蓝</w:t>
      </w:r>
      <w:r>
        <w:rPr>
          <w:rFonts w:hint="eastAsia" w:ascii="仿宋" w:hAnsi="仿宋" w:eastAsia="仿宋" w:cs="仿宋"/>
          <w:color w:val="auto"/>
          <w:sz w:val="22"/>
          <w:highlight w:val="none"/>
          <w:shd w:val="clear" w:color="auto" w:fill="FFFFFF"/>
        </w:rPr>
        <w:t>先生</w:t>
      </w:r>
    </w:p>
    <w:p w14:paraId="5768C0CF">
      <w:pPr>
        <w:pStyle w:val="27"/>
        <w:spacing w:after="156"/>
        <w:ind w:firstLine="342"/>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项目联系方式（询问）：13506771137</w:t>
      </w:r>
    </w:p>
    <w:p w14:paraId="4939C317">
      <w:pPr>
        <w:pStyle w:val="27"/>
        <w:spacing w:after="156"/>
        <w:ind w:firstLine="342"/>
        <w:rPr>
          <w:rFonts w:hint="eastAsia" w:ascii="仿宋" w:hAnsi="仿宋" w:eastAsia="仿宋" w:cs="仿宋"/>
          <w:color w:val="auto"/>
          <w:sz w:val="22"/>
          <w:highlight w:val="none"/>
          <w:shd w:val="clear" w:color="auto" w:fill="FFFFFF"/>
          <w:lang w:val="en-US" w:eastAsia="zh-CN"/>
        </w:rPr>
      </w:pPr>
      <w:r>
        <w:rPr>
          <w:rFonts w:hint="eastAsia" w:ascii="仿宋" w:hAnsi="仿宋" w:eastAsia="仿宋" w:cs="仿宋"/>
          <w:color w:val="auto"/>
          <w:sz w:val="22"/>
          <w:highlight w:val="none"/>
          <w:shd w:val="clear" w:color="auto" w:fill="FFFFFF"/>
        </w:rPr>
        <w:t>质疑联系人：</w:t>
      </w:r>
      <w:r>
        <w:rPr>
          <w:rFonts w:hint="eastAsia" w:ascii="仿宋" w:hAnsi="仿宋" w:eastAsia="仿宋" w:cs="仿宋"/>
          <w:color w:val="auto"/>
          <w:sz w:val="22"/>
          <w:highlight w:val="none"/>
          <w:shd w:val="clear" w:color="auto" w:fill="FFFFFF"/>
          <w:lang w:val="en-US" w:eastAsia="zh-CN"/>
        </w:rPr>
        <w:t>蓝先生</w:t>
      </w:r>
    </w:p>
    <w:p w14:paraId="12BC23D5">
      <w:pPr>
        <w:pStyle w:val="27"/>
        <w:spacing w:after="156"/>
        <w:ind w:firstLine="342"/>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质疑联系方式：13506771137</w:t>
      </w:r>
    </w:p>
    <w:p w14:paraId="7D0060DD">
      <w:pPr>
        <w:pStyle w:val="27"/>
        <w:spacing w:after="156"/>
        <w:ind w:firstLine="342"/>
        <w:rPr>
          <w:rFonts w:ascii="仿宋" w:hAnsi="仿宋" w:eastAsia="仿宋" w:cs="仿宋"/>
          <w:color w:val="auto"/>
          <w:sz w:val="22"/>
          <w:highlight w:val="none"/>
          <w:shd w:val="clear" w:color="auto" w:fill="FFFFFF"/>
        </w:rPr>
      </w:pPr>
    </w:p>
    <w:p w14:paraId="47E6D5D2">
      <w:pPr>
        <w:pStyle w:val="27"/>
        <w:spacing w:after="156"/>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 </w:t>
      </w:r>
    </w:p>
    <w:p w14:paraId="3D7F3734">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2.采购代理机构信息</w:t>
      </w:r>
    </w:p>
    <w:p w14:paraId="2C8F9F91">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名    称：杭州华旗招标代理有限公司 </w:t>
      </w:r>
    </w:p>
    <w:p w14:paraId="3EC3BDD4">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    址：温州市泰顺县罗阳镇湖滨花苑B8幢401 </w:t>
      </w:r>
    </w:p>
    <w:p w14:paraId="0BF597AE">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传    真：  </w:t>
      </w:r>
    </w:p>
    <w:p w14:paraId="4577DE41">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项目联系人（询问）：翁爱霜 </w:t>
      </w:r>
    </w:p>
    <w:p w14:paraId="396700E4">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项目联系方式（询问）：17858065131 </w:t>
      </w:r>
    </w:p>
    <w:p w14:paraId="4D71C422">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质疑联系人：苏红 </w:t>
      </w:r>
    </w:p>
    <w:p w14:paraId="336650D0">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质疑联系方式：15888799321 </w:t>
      </w:r>
    </w:p>
    <w:p w14:paraId="248F756E">
      <w:pPr>
        <w:pStyle w:val="27"/>
        <w:spacing w:after="156"/>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   </w:t>
      </w:r>
    </w:p>
    <w:p w14:paraId="6415F8EB">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3.同级政府采购监督管理部门</w:t>
      </w:r>
    </w:p>
    <w:p w14:paraId="7BA5B3B6">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名    称：泰顺县财政局 </w:t>
      </w:r>
    </w:p>
    <w:p w14:paraId="67C75353">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    址：温州市泰顺县罗阳镇公园路48号 </w:t>
      </w:r>
    </w:p>
    <w:p w14:paraId="1C1DDB2D">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传    真：/ </w:t>
      </w:r>
    </w:p>
    <w:p w14:paraId="6DE72213">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联  系  人 ：董女士 </w:t>
      </w:r>
    </w:p>
    <w:p w14:paraId="29191E81">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监督投诉电话：0577-67588502</w:t>
      </w:r>
    </w:p>
    <w:p w14:paraId="1D2F18E2">
      <w:pPr>
        <w:tabs>
          <w:tab w:val="left" w:pos="1069"/>
          <w:tab w:val="left" w:pos="1080"/>
          <w:tab w:val="left" w:pos="2352"/>
        </w:tabs>
        <w:autoSpaceDE w:val="0"/>
        <w:autoSpaceDN w:val="0"/>
        <w:adjustRightInd w:val="0"/>
        <w:spacing w:line="500" w:lineRule="atLeast"/>
        <w:jc w:val="center"/>
        <w:textAlignment w:val="baseline"/>
        <w:rPr>
          <w:rFonts w:ascii="仿宋" w:hAnsi="仿宋" w:eastAsia="仿宋" w:cs="仿宋"/>
          <w:b/>
          <w:bCs/>
          <w:color w:val="auto"/>
          <w:sz w:val="32"/>
          <w:szCs w:val="32"/>
          <w:highlight w:val="none"/>
          <w:lang w:val="zh-CN"/>
        </w:rPr>
      </w:pPr>
    </w:p>
    <w:p w14:paraId="51F514BF">
      <w:pPr>
        <w:tabs>
          <w:tab w:val="left" w:pos="1069"/>
          <w:tab w:val="left" w:pos="1080"/>
          <w:tab w:val="left" w:pos="2352"/>
        </w:tabs>
        <w:autoSpaceDE w:val="0"/>
        <w:autoSpaceDN w:val="0"/>
        <w:adjustRightInd w:val="0"/>
        <w:spacing w:line="500" w:lineRule="atLeast"/>
        <w:jc w:val="center"/>
        <w:textAlignment w:val="baseline"/>
        <w:rPr>
          <w:rFonts w:ascii="仿宋" w:hAnsi="仿宋" w:eastAsia="仿宋" w:cs="仿宋"/>
          <w:b/>
          <w:bCs/>
          <w:color w:val="auto"/>
          <w:sz w:val="32"/>
          <w:szCs w:val="32"/>
          <w:highlight w:val="none"/>
          <w:lang w:val="zh-CN"/>
        </w:rPr>
      </w:pPr>
    </w:p>
    <w:p w14:paraId="3D285C31">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46BA4EAD">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43251B8F">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3324581D">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2922F980">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48F0280F">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52EE6AF3">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297EFEB4">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32A07C5C">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1694C52B">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527C8B94">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17BFAB3B">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499ED74D">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0E30A8DC">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56C3B985">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第一部分、投标邀请函（投标须知前附表）</w:t>
      </w:r>
      <w:bookmarkEnd w:id="1"/>
    </w:p>
    <w:tbl>
      <w:tblPr>
        <w:tblStyle w:val="31"/>
        <w:tblW w:w="101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108" w:type="dxa"/>
          <w:bottom w:w="57" w:type="dxa"/>
          <w:right w:w="108" w:type="dxa"/>
        </w:tblCellMar>
      </w:tblPr>
      <w:tblGrid>
        <w:gridCol w:w="952"/>
        <w:gridCol w:w="1600"/>
        <w:gridCol w:w="7619"/>
      </w:tblGrid>
      <w:tr w14:paraId="1C0F5F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90" w:hRule="atLeast"/>
          <w:jc w:val="center"/>
        </w:trPr>
        <w:tc>
          <w:tcPr>
            <w:tcW w:w="952" w:type="dxa"/>
            <w:tcBorders>
              <w:top w:val="single" w:color="auto" w:sz="12" w:space="0"/>
            </w:tcBorders>
            <w:vAlign w:val="center"/>
          </w:tcPr>
          <w:p w14:paraId="438C56BF">
            <w:pPr>
              <w:tabs>
                <w:tab w:val="left" w:pos="1069"/>
                <w:tab w:val="left" w:pos="2352"/>
              </w:tabs>
              <w:spacing w:line="400" w:lineRule="atLeast"/>
              <w:jc w:val="right"/>
              <w:rPr>
                <w:rFonts w:ascii="宋体" w:hAnsi="宋体" w:cs="宋体"/>
                <w:color w:val="auto"/>
                <w:sz w:val="22"/>
                <w:highlight w:val="none"/>
              </w:rPr>
            </w:pPr>
            <w:r>
              <w:rPr>
                <w:rFonts w:hint="eastAsia" w:ascii="宋体" w:hAnsi="宋体" w:cs="宋体"/>
                <w:color w:val="auto"/>
                <w:sz w:val="22"/>
                <w:highlight w:val="none"/>
              </w:rPr>
              <w:t>项号</w:t>
            </w:r>
          </w:p>
        </w:tc>
        <w:tc>
          <w:tcPr>
            <w:tcW w:w="1600" w:type="dxa"/>
            <w:tcBorders>
              <w:top w:val="single" w:color="auto" w:sz="12" w:space="0"/>
            </w:tcBorders>
            <w:vAlign w:val="center"/>
          </w:tcPr>
          <w:p w14:paraId="2C70ED24">
            <w:pPr>
              <w:tabs>
                <w:tab w:val="left" w:pos="1069"/>
                <w:tab w:val="left" w:pos="2352"/>
              </w:tabs>
              <w:spacing w:line="400" w:lineRule="atLeast"/>
              <w:jc w:val="center"/>
              <w:rPr>
                <w:rFonts w:ascii="宋体" w:hAnsi="宋体" w:cs="宋体"/>
                <w:color w:val="auto"/>
                <w:sz w:val="22"/>
                <w:highlight w:val="none"/>
              </w:rPr>
            </w:pPr>
            <w:r>
              <w:rPr>
                <w:rFonts w:hint="eastAsia" w:ascii="宋体" w:hAnsi="宋体" w:cs="宋体"/>
                <w:color w:val="auto"/>
                <w:sz w:val="22"/>
                <w:highlight w:val="none"/>
              </w:rPr>
              <w:t>内容</w:t>
            </w:r>
          </w:p>
        </w:tc>
        <w:tc>
          <w:tcPr>
            <w:tcW w:w="7619" w:type="dxa"/>
            <w:tcBorders>
              <w:top w:val="single" w:color="auto" w:sz="12" w:space="0"/>
            </w:tcBorders>
            <w:vAlign w:val="center"/>
          </w:tcPr>
          <w:p w14:paraId="204D6FC7">
            <w:pPr>
              <w:tabs>
                <w:tab w:val="left" w:pos="1069"/>
                <w:tab w:val="left" w:pos="2352"/>
              </w:tabs>
              <w:spacing w:line="400" w:lineRule="atLeast"/>
              <w:jc w:val="center"/>
              <w:rPr>
                <w:rFonts w:ascii="宋体" w:hAnsi="宋体" w:cs="宋体"/>
                <w:color w:val="auto"/>
                <w:sz w:val="22"/>
                <w:highlight w:val="none"/>
              </w:rPr>
            </w:pPr>
            <w:r>
              <w:rPr>
                <w:rFonts w:hint="eastAsia" w:ascii="宋体" w:hAnsi="宋体" w:cs="宋体"/>
                <w:color w:val="auto"/>
                <w:sz w:val="22"/>
                <w:highlight w:val="none"/>
              </w:rPr>
              <w:t>说明与要求</w:t>
            </w:r>
          </w:p>
        </w:tc>
      </w:tr>
      <w:tr w14:paraId="339DEF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30" w:hRule="atLeast"/>
          <w:jc w:val="center"/>
        </w:trPr>
        <w:tc>
          <w:tcPr>
            <w:tcW w:w="952" w:type="dxa"/>
            <w:vAlign w:val="center"/>
          </w:tcPr>
          <w:p w14:paraId="3ACD26E9">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32B2222">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项目名称</w:t>
            </w:r>
          </w:p>
        </w:tc>
        <w:tc>
          <w:tcPr>
            <w:tcW w:w="7619" w:type="dxa"/>
            <w:vAlign w:val="center"/>
          </w:tcPr>
          <w:p w14:paraId="366A60C3">
            <w:pPr>
              <w:tabs>
                <w:tab w:val="left" w:pos="1069"/>
                <w:tab w:val="left" w:pos="2352"/>
              </w:tabs>
              <w:rPr>
                <w:rFonts w:hint="eastAsia" w:ascii="宋体" w:hAnsi="宋体" w:eastAsia="宋体" w:cs="宋体"/>
                <w:color w:val="auto"/>
                <w:sz w:val="22"/>
                <w:highlight w:val="none"/>
                <w:lang w:eastAsia="zh-CN"/>
              </w:rPr>
            </w:pPr>
            <w:r>
              <w:rPr>
                <w:rFonts w:hint="eastAsia" w:ascii="宋体" w:hAnsi="宋体" w:cs="宋体"/>
                <w:bCs/>
                <w:color w:val="auto"/>
                <w:sz w:val="22"/>
                <w:highlight w:val="none"/>
                <w:lang w:eastAsia="zh-CN"/>
              </w:rPr>
              <w:t>2024年泰顺县彭溪镇峰文村牛塘垵简洋农田宜机化改造项目</w:t>
            </w:r>
          </w:p>
        </w:tc>
      </w:tr>
      <w:tr w14:paraId="49EC28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62360316">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4B0F2011">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项目编号</w:t>
            </w:r>
          </w:p>
        </w:tc>
        <w:tc>
          <w:tcPr>
            <w:tcW w:w="7619" w:type="dxa"/>
            <w:vAlign w:val="center"/>
          </w:tcPr>
          <w:p w14:paraId="608326F1">
            <w:pPr>
              <w:tabs>
                <w:tab w:val="left" w:pos="1069"/>
                <w:tab w:val="left" w:pos="2352"/>
              </w:tabs>
              <w:rPr>
                <w:rFonts w:hint="eastAsia" w:ascii="宋体" w:hAnsi="宋体" w:eastAsia="宋体" w:cs="宋体"/>
                <w:color w:val="auto"/>
                <w:sz w:val="22"/>
                <w:highlight w:val="none"/>
                <w:lang w:eastAsia="zh-CN"/>
              </w:rPr>
            </w:pPr>
            <w:r>
              <w:rPr>
                <w:rFonts w:hint="eastAsia" w:ascii="宋体" w:hAnsi="宋体" w:cs="宋体"/>
                <w:color w:val="auto"/>
                <w:sz w:val="22"/>
                <w:highlight w:val="none"/>
                <w:lang w:eastAsia="zh-CN"/>
              </w:rPr>
              <w:t>TSCG202501003</w:t>
            </w:r>
          </w:p>
        </w:tc>
      </w:tr>
      <w:tr w14:paraId="31BD5B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51329087">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23A0A93B">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资金来源</w:t>
            </w:r>
          </w:p>
        </w:tc>
        <w:tc>
          <w:tcPr>
            <w:tcW w:w="7619" w:type="dxa"/>
            <w:vAlign w:val="center"/>
          </w:tcPr>
          <w:p w14:paraId="33494EA9">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lang w:val="en-US" w:eastAsia="zh-CN"/>
              </w:rPr>
              <w:t>专项债</w:t>
            </w:r>
            <w:r>
              <w:rPr>
                <w:rFonts w:hint="eastAsia" w:ascii="宋体" w:hAnsi="宋体" w:cs="宋体"/>
                <w:color w:val="auto"/>
                <w:sz w:val="22"/>
                <w:highlight w:val="none"/>
              </w:rPr>
              <w:t>资金</w:t>
            </w:r>
          </w:p>
        </w:tc>
      </w:tr>
      <w:tr w14:paraId="53F329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2387175F">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402FADAE">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采购方式</w:t>
            </w:r>
          </w:p>
        </w:tc>
        <w:tc>
          <w:tcPr>
            <w:tcW w:w="7619" w:type="dxa"/>
            <w:vAlign w:val="center"/>
          </w:tcPr>
          <w:p w14:paraId="34C33DE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竞争性磋商</w:t>
            </w:r>
          </w:p>
        </w:tc>
      </w:tr>
      <w:tr w14:paraId="0D02A7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369CC248">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07168267">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采购预算</w:t>
            </w:r>
          </w:p>
          <w:p w14:paraId="33BFCBF6">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（最高限价）</w:t>
            </w:r>
          </w:p>
        </w:tc>
        <w:tc>
          <w:tcPr>
            <w:tcW w:w="7619" w:type="dxa"/>
            <w:vAlign w:val="center"/>
          </w:tcPr>
          <w:p w14:paraId="7EC0903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shd w:val="clear" w:color="auto" w:fill="FFFFFF"/>
                <w:lang w:eastAsia="zh-CN"/>
              </w:rPr>
              <w:t>2357565</w:t>
            </w:r>
            <w:r>
              <w:rPr>
                <w:rFonts w:hint="eastAsia" w:ascii="宋体" w:hAnsi="宋体" w:cs="宋体"/>
                <w:color w:val="auto"/>
                <w:sz w:val="22"/>
                <w:highlight w:val="none"/>
                <w:shd w:val="clear" w:color="auto" w:fill="FFFFFF"/>
              </w:rPr>
              <w:t>元</w:t>
            </w:r>
          </w:p>
        </w:tc>
      </w:tr>
      <w:tr w14:paraId="045613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35624AA3">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43D85F4">
            <w:pPr>
              <w:tabs>
                <w:tab w:val="left" w:pos="1069"/>
              </w:tabs>
              <w:adjustRightInd w:val="0"/>
              <w:jc w:val="center"/>
              <w:rPr>
                <w:rFonts w:ascii="宋体" w:hAnsi="宋体" w:cs="宋体"/>
                <w:color w:val="auto"/>
                <w:sz w:val="22"/>
                <w:highlight w:val="none"/>
              </w:rPr>
            </w:pPr>
            <w:r>
              <w:rPr>
                <w:rFonts w:hint="eastAsia" w:ascii="宋体" w:hAnsi="宋体" w:cs="宋体"/>
                <w:color w:val="auto"/>
                <w:sz w:val="22"/>
                <w:highlight w:val="none"/>
              </w:rPr>
              <w:t>采购人</w:t>
            </w:r>
          </w:p>
        </w:tc>
        <w:tc>
          <w:tcPr>
            <w:tcW w:w="7619" w:type="dxa"/>
            <w:vAlign w:val="center"/>
          </w:tcPr>
          <w:p w14:paraId="1D18589F">
            <w:pPr>
              <w:tabs>
                <w:tab w:val="left" w:pos="1069"/>
              </w:tabs>
              <w:adjustRightInd w:val="0"/>
              <w:jc w:val="left"/>
              <w:rPr>
                <w:rFonts w:hint="eastAsia" w:ascii="宋体" w:hAnsi="宋体" w:eastAsia="宋体" w:cs="宋体"/>
                <w:color w:val="auto"/>
                <w:sz w:val="22"/>
                <w:highlight w:val="none"/>
                <w:lang w:eastAsia="zh-CN"/>
              </w:rPr>
            </w:pPr>
            <w:r>
              <w:rPr>
                <w:rFonts w:hint="eastAsia" w:ascii="宋体" w:hAnsi="宋体" w:cs="宋体"/>
                <w:color w:val="auto"/>
                <w:sz w:val="22"/>
                <w:highlight w:val="none"/>
                <w:lang w:eastAsia="zh-CN"/>
              </w:rPr>
              <w:t>泰顺县彭溪镇人民政府</w:t>
            </w:r>
          </w:p>
        </w:tc>
      </w:tr>
      <w:tr w14:paraId="55F459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2E75E507">
            <w:pPr>
              <w:widowControl/>
              <w:numPr>
                <w:ilvl w:val="0"/>
                <w:numId w:val="1"/>
              </w:numPr>
              <w:tabs>
                <w:tab w:val="left" w:pos="420"/>
                <w:tab w:val="left" w:pos="1069"/>
                <w:tab w:val="left" w:pos="2352"/>
                <w:tab w:val="clear" w:pos="720"/>
              </w:tabs>
              <w:ind w:left="420" w:right="105" w:hanging="420"/>
              <w:jc w:val="right"/>
              <w:rPr>
                <w:rFonts w:ascii="宋体" w:hAnsi="宋体" w:cs="宋体"/>
                <w:color w:val="auto"/>
                <w:sz w:val="22"/>
                <w:highlight w:val="none"/>
              </w:rPr>
            </w:pPr>
          </w:p>
        </w:tc>
        <w:tc>
          <w:tcPr>
            <w:tcW w:w="1600" w:type="dxa"/>
            <w:vAlign w:val="center"/>
          </w:tcPr>
          <w:p w14:paraId="06D61DC3">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招标代理机构</w:t>
            </w:r>
          </w:p>
        </w:tc>
        <w:tc>
          <w:tcPr>
            <w:tcW w:w="7619" w:type="dxa"/>
            <w:vAlign w:val="center"/>
          </w:tcPr>
          <w:p w14:paraId="2A6FA79B">
            <w:pPr>
              <w:tabs>
                <w:tab w:val="left" w:pos="1069"/>
                <w:tab w:val="left" w:pos="2352"/>
              </w:tabs>
              <w:adjustRightInd w:val="0"/>
              <w:jc w:val="left"/>
              <w:rPr>
                <w:rFonts w:ascii="宋体" w:hAnsi="宋体" w:cs="宋体"/>
                <w:color w:val="auto"/>
                <w:sz w:val="22"/>
                <w:highlight w:val="none"/>
              </w:rPr>
            </w:pPr>
            <w:r>
              <w:rPr>
                <w:rFonts w:hint="eastAsia" w:ascii="宋体" w:hAnsi="宋体" w:cs="宋体"/>
                <w:color w:val="auto"/>
                <w:sz w:val="22"/>
                <w:highlight w:val="none"/>
              </w:rPr>
              <w:t>杭州华旗招标代理有限公司</w:t>
            </w:r>
          </w:p>
        </w:tc>
      </w:tr>
      <w:tr w14:paraId="74D1B2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6D6CD766">
            <w:pPr>
              <w:widowControl/>
              <w:numPr>
                <w:ilvl w:val="0"/>
                <w:numId w:val="1"/>
              </w:numPr>
              <w:tabs>
                <w:tab w:val="left" w:pos="420"/>
                <w:tab w:val="left" w:pos="1069"/>
                <w:tab w:val="left" w:pos="2352"/>
                <w:tab w:val="clear" w:pos="720"/>
              </w:tabs>
              <w:ind w:left="420" w:right="105" w:hanging="420"/>
              <w:jc w:val="right"/>
              <w:rPr>
                <w:rFonts w:ascii="宋体" w:hAnsi="宋体" w:cs="宋体"/>
                <w:color w:val="auto"/>
                <w:sz w:val="22"/>
                <w:highlight w:val="none"/>
              </w:rPr>
            </w:pPr>
          </w:p>
        </w:tc>
        <w:tc>
          <w:tcPr>
            <w:tcW w:w="1600" w:type="dxa"/>
            <w:vAlign w:val="center"/>
          </w:tcPr>
          <w:p w14:paraId="5471D223">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评标办法</w:t>
            </w:r>
          </w:p>
        </w:tc>
        <w:tc>
          <w:tcPr>
            <w:tcW w:w="7619" w:type="dxa"/>
            <w:vAlign w:val="center"/>
          </w:tcPr>
          <w:p w14:paraId="7E62BC13">
            <w:pPr>
              <w:tabs>
                <w:tab w:val="left" w:pos="1069"/>
                <w:tab w:val="left" w:pos="2352"/>
              </w:tabs>
              <w:adjustRightInd w:val="0"/>
              <w:rPr>
                <w:rFonts w:ascii="宋体" w:hAnsi="宋体" w:cs="宋体"/>
                <w:color w:val="auto"/>
                <w:sz w:val="22"/>
                <w:highlight w:val="none"/>
              </w:rPr>
            </w:pPr>
            <w:r>
              <w:rPr>
                <w:rFonts w:hint="eastAsia" w:ascii="宋体" w:hAnsi="宋体" w:cs="宋体"/>
                <w:color w:val="auto"/>
                <w:sz w:val="22"/>
                <w:highlight w:val="none"/>
              </w:rPr>
              <w:t>综合评分法</w:t>
            </w:r>
          </w:p>
        </w:tc>
      </w:tr>
      <w:tr w14:paraId="2D1EEE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78B161C8">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6E5263B1">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招标内容</w:t>
            </w:r>
          </w:p>
        </w:tc>
        <w:tc>
          <w:tcPr>
            <w:tcW w:w="7619" w:type="dxa"/>
            <w:vAlign w:val="center"/>
          </w:tcPr>
          <w:p w14:paraId="24857580">
            <w:pPr>
              <w:tabs>
                <w:tab w:val="left" w:pos="1069"/>
                <w:tab w:val="left" w:pos="2352"/>
              </w:tabs>
              <w:adjustRightInd w:val="0"/>
              <w:rPr>
                <w:rFonts w:ascii="宋体" w:hAnsi="宋体" w:cs="宋体"/>
                <w:color w:val="auto"/>
                <w:sz w:val="22"/>
                <w:highlight w:val="none"/>
              </w:rPr>
            </w:pPr>
            <w:r>
              <w:rPr>
                <w:rFonts w:hint="eastAsia" w:ascii="宋体" w:hAnsi="宋体" w:cs="宋体"/>
                <w:color w:val="auto"/>
                <w:sz w:val="22"/>
                <w:highlight w:val="none"/>
              </w:rPr>
              <w:t>具体内容见竞争性磋商文件。</w:t>
            </w:r>
          </w:p>
        </w:tc>
      </w:tr>
      <w:tr w14:paraId="0D583A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952" w:type="dxa"/>
            <w:vAlign w:val="center"/>
          </w:tcPr>
          <w:p w14:paraId="25472993">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0F6348D6">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投标供应商</w:t>
            </w:r>
          </w:p>
          <w:p w14:paraId="3AC18934">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资格要求</w:t>
            </w:r>
          </w:p>
        </w:tc>
        <w:tc>
          <w:tcPr>
            <w:tcW w:w="7619" w:type="dxa"/>
            <w:vAlign w:val="center"/>
          </w:tcPr>
          <w:p w14:paraId="18AA18E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详见采购公告</w:t>
            </w:r>
          </w:p>
        </w:tc>
      </w:tr>
      <w:tr w14:paraId="49FD23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952" w:type="dxa"/>
            <w:vAlign w:val="center"/>
          </w:tcPr>
          <w:p w14:paraId="121E0A1A">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F4A39E6">
            <w:pPr>
              <w:adjustRightInd w:val="0"/>
              <w:jc w:val="center"/>
              <w:rPr>
                <w:rFonts w:ascii="宋体" w:hAnsi="宋体" w:cs="宋体"/>
                <w:color w:val="auto"/>
                <w:sz w:val="22"/>
                <w:highlight w:val="none"/>
              </w:rPr>
            </w:pPr>
            <w:r>
              <w:rPr>
                <w:rFonts w:hint="eastAsia" w:ascii="宋体"/>
                <w:color w:val="auto"/>
                <w:sz w:val="22"/>
                <w:highlight w:val="none"/>
              </w:rPr>
              <w:t>是否接受联合体投标</w:t>
            </w:r>
          </w:p>
        </w:tc>
        <w:tc>
          <w:tcPr>
            <w:tcW w:w="7619" w:type="dxa"/>
            <w:vAlign w:val="center"/>
          </w:tcPr>
          <w:p w14:paraId="6F4FF4D5">
            <w:pPr>
              <w:adjustRightInd w:val="0"/>
              <w:rPr>
                <w:rFonts w:ascii="宋体"/>
                <w:color w:val="auto"/>
                <w:sz w:val="22"/>
                <w:highlight w:val="none"/>
              </w:rPr>
            </w:pPr>
            <w:r>
              <w:rPr>
                <w:rFonts w:ascii="宋体"/>
                <w:b/>
                <w:bCs/>
                <w:color w:val="auto"/>
                <w:sz w:val="22"/>
                <w:highlight w:val="none"/>
              </w:rPr>
              <w:fldChar w:fldCharType="begin"/>
            </w:r>
            <w:r>
              <w:rPr>
                <w:rFonts w:ascii="宋体"/>
                <w:b/>
                <w:bCs/>
                <w:color w:val="auto"/>
                <w:sz w:val="22"/>
                <w:highlight w:val="none"/>
              </w:rPr>
              <w:instrText xml:space="preserve"> eq \o\ac(</w:instrText>
            </w:r>
            <w:r>
              <w:rPr>
                <w:rFonts w:hint="eastAsia" w:ascii="宋体"/>
                <w:b/>
                <w:bCs/>
                <w:color w:val="auto"/>
                <w:sz w:val="22"/>
                <w:highlight w:val="none"/>
              </w:rPr>
              <w:instrText xml:space="preserve">□</w:instrText>
            </w:r>
            <w:r>
              <w:rPr>
                <w:rFonts w:hint="eastAsia" w:ascii="宋体"/>
                <w:b/>
                <w:bCs/>
                <w:color w:val="auto"/>
                <w:sz w:val="22"/>
                <w:highlight w:val="none"/>
                <w:lang w:eastAsia="zh-CN"/>
              </w:rPr>
              <w:instrText xml:space="preserve">,</w:instrText>
            </w:r>
            <w:r>
              <w:rPr>
                <w:rFonts w:hint="eastAsia" w:ascii="宋体"/>
                <w:b/>
                <w:bCs/>
                <w:color w:val="auto"/>
                <w:position w:val="2"/>
                <w:sz w:val="15"/>
                <w:highlight w:val="none"/>
                <w:lang w:eastAsia="zh-CN"/>
              </w:rPr>
              <w:instrText xml:space="preserve">√</w:instrText>
            </w:r>
            <w:r>
              <w:rPr>
                <w:rFonts w:ascii="宋体"/>
                <w:b/>
                <w:bCs/>
                <w:color w:val="auto"/>
                <w:sz w:val="22"/>
                <w:highlight w:val="none"/>
              </w:rPr>
              <w:instrText xml:space="preserve">)</w:instrText>
            </w:r>
            <w:r>
              <w:rPr>
                <w:rFonts w:ascii="宋体"/>
                <w:b/>
                <w:bCs/>
                <w:color w:val="auto"/>
                <w:sz w:val="22"/>
                <w:highlight w:val="none"/>
              </w:rPr>
              <w:fldChar w:fldCharType="end"/>
            </w:r>
            <w:r>
              <w:rPr>
                <w:rFonts w:hint="eastAsia" w:ascii="宋体"/>
                <w:color w:val="auto"/>
                <w:sz w:val="22"/>
                <w:highlight w:val="none"/>
              </w:rPr>
              <w:t>是</w:t>
            </w:r>
          </w:p>
          <w:p w14:paraId="06C8AADB">
            <w:pPr>
              <w:adjustRightInd w:val="0"/>
              <w:rPr>
                <w:rFonts w:ascii="宋体" w:hAnsi="宋体" w:cs="宋体"/>
                <w:color w:val="auto"/>
                <w:sz w:val="22"/>
                <w:highlight w:val="none"/>
              </w:rPr>
            </w:pPr>
            <w:r>
              <w:rPr>
                <w:rFonts w:hint="eastAsia" w:ascii="MS Gothic" w:hAnsi="MS Gothic" w:cs="MS Gothic"/>
                <w:color w:val="auto"/>
                <w:sz w:val="22"/>
                <w:highlight w:val="none"/>
              </w:rPr>
              <w:sym w:font="Wingdings 2" w:char="00A3"/>
            </w:r>
            <w:r>
              <w:rPr>
                <w:rFonts w:hint="eastAsia" w:ascii="MS Gothic" w:hAnsi="MS Gothic" w:cs="MS Gothic"/>
                <w:color w:val="auto"/>
                <w:sz w:val="22"/>
                <w:highlight w:val="none"/>
              </w:rPr>
              <w:t>否</w:t>
            </w:r>
          </w:p>
        </w:tc>
      </w:tr>
      <w:tr w14:paraId="7B2B45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1C1E653A">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64A45483">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踏勘现场</w:t>
            </w:r>
          </w:p>
        </w:tc>
        <w:tc>
          <w:tcPr>
            <w:tcW w:w="7619" w:type="dxa"/>
            <w:vAlign w:val="center"/>
          </w:tcPr>
          <w:p w14:paraId="4966F48F">
            <w:pPr>
              <w:tabs>
                <w:tab w:val="left" w:pos="1069"/>
                <w:tab w:val="left" w:pos="2352"/>
              </w:tabs>
              <w:rPr>
                <w:rFonts w:ascii="宋体" w:hAnsi="宋体" w:cs="宋体"/>
                <w:color w:val="auto"/>
                <w:sz w:val="22"/>
                <w:highlight w:val="none"/>
              </w:rPr>
            </w:pPr>
            <w:r>
              <w:rPr>
                <w:rFonts w:ascii="宋体"/>
                <w:b/>
                <w:bCs/>
                <w:color w:val="auto"/>
                <w:sz w:val="22"/>
                <w:highlight w:val="none"/>
              </w:rPr>
              <w:fldChar w:fldCharType="begin"/>
            </w:r>
            <w:r>
              <w:rPr>
                <w:rFonts w:ascii="宋体"/>
                <w:b/>
                <w:bCs/>
                <w:color w:val="auto"/>
                <w:sz w:val="22"/>
                <w:highlight w:val="none"/>
              </w:rPr>
              <w:instrText xml:space="preserve"> eq \o\ac(</w:instrText>
            </w:r>
            <w:r>
              <w:rPr>
                <w:rFonts w:hint="eastAsia" w:ascii="宋体"/>
                <w:b/>
                <w:bCs/>
                <w:color w:val="auto"/>
                <w:sz w:val="22"/>
                <w:highlight w:val="none"/>
              </w:rPr>
              <w:instrText xml:space="preserve">□</w:instrText>
            </w:r>
            <w:r>
              <w:rPr>
                <w:rFonts w:hint="eastAsia" w:ascii="宋体"/>
                <w:b/>
                <w:bCs/>
                <w:color w:val="auto"/>
                <w:sz w:val="22"/>
                <w:highlight w:val="none"/>
                <w:lang w:eastAsia="zh-CN"/>
              </w:rPr>
              <w:instrText xml:space="preserve">,</w:instrText>
            </w:r>
            <w:r>
              <w:rPr>
                <w:rFonts w:hint="eastAsia" w:ascii="宋体"/>
                <w:b/>
                <w:bCs/>
                <w:color w:val="auto"/>
                <w:position w:val="2"/>
                <w:sz w:val="15"/>
                <w:highlight w:val="none"/>
                <w:lang w:eastAsia="zh-CN"/>
              </w:rPr>
              <w:instrText xml:space="preserve">√</w:instrText>
            </w:r>
            <w:r>
              <w:rPr>
                <w:rFonts w:ascii="宋体"/>
                <w:b/>
                <w:bCs/>
                <w:color w:val="auto"/>
                <w:sz w:val="22"/>
                <w:highlight w:val="none"/>
              </w:rPr>
              <w:instrText xml:space="preserve">)</w:instrText>
            </w:r>
            <w:r>
              <w:rPr>
                <w:rFonts w:ascii="宋体"/>
                <w:b/>
                <w:bCs/>
                <w:color w:val="auto"/>
                <w:sz w:val="22"/>
                <w:highlight w:val="none"/>
              </w:rPr>
              <w:fldChar w:fldCharType="end"/>
            </w:r>
            <w:r>
              <w:rPr>
                <w:rFonts w:hint="eastAsia" w:ascii="宋体" w:hAnsi="宋体" w:cs="宋体"/>
                <w:color w:val="auto"/>
                <w:sz w:val="22"/>
                <w:highlight w:val="none"/>
              </w:rPr>
              <w:t>不组织</w:t>
            </w:r>
          </w:p>
          <w:p w14:paraId="6063FC25">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fldChar w:fldCharType="begin"/>
            </w:r>
            <w:r>
              <w:rPr>
                <w:rFonts w:hint="eastAsia" w:ascii="宋体" w:hAnsi="宋体" w:cs="宋体"/>
                <w:color w:val="auto"/>
                <w:sz w:val="22"/>
                <w:highlight w:val="none"/>
              </w:rPr>
              <w:instrText xml:space="preserve"> eq \o\ac(□)</w:instrText>
            </w:r>
            <w:r>
              <w:rPr>
                <w:rFonts w:hint="eastAsia" w:ascii="宋体" w:hAnsi="宋体" w:cs="宋体"/>
                <w:color w:val="auto"/>
                <w:sz w:val="22"/>
                <w:highlight w:val="none"/>
              </w:rPr>
              <w:fldChar w:fldCharType="end"/>
            </w:r>
            <w:r>
              <w:rPr>
                <w:rFonts w:hint="eastAsia" w:ascii="宋体" w:hAnsi="宋体" w:cs="宋体"/>
                <w:color w:val="auto"/>
                <w:sz w:val="22"/>
                <w:highlight w:val="none"/>
              </w:rPr>
              <w:t>组织</w:t>
            </w:r>
          </w:p>
        </w:tc>
      </w:tr>
      <w:tr w14:paraId="75F573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952" w:type="dxa"/>
            <w:vAlign w:val="center"/>
          </w:tcPr>
          <w:p w14:paraId="5C16B9BA">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5FD5CEA">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是否允许递交备选投标方案</w:t>
            </w:r>
          </w:p>
        </w:tc>
        <w:tc>
          <w:tcPr>
            <w:tcW w:w="7619" w:type="dxa"/>
            <w:vAlign w:val="center"/>
          </w:tcPr>
          <w:p w14:paraId="1A6A2ECC">
            <w:pPr>
              <w:tabs>
                <w:tab w:val="left" w:pos="1069"/>
                <w:tab w:val="left" w:pos="2352"/>
              </w:tabs>
              <w:rPr>
                <w:rFonts w:ascii="宋体" w:hAnsi="宋体" w:cs="宋体"/>
                <w:color w:val="auto"/>
                <w:sz w:val="22"/>
                <w:highlight w:val="none"/>
              </w:rPr>
            </w:pPr>
            <w:r>
              <w:rPr>
                <w:rFonts w:ascii="宋体"/>
                <w:b/>
                <w:bCs/>
                <w:color w:val="auto"/>
                <w:sz w:val="22"/>
                <w:highlight w:val="none"/>
              </w:rPr>
              <w:fldChar w:fldCharType="begin"/>
            </w:r>
            <w:r>
              <w:rPr>
                <w:rFonts w:ascii="宋体"/>
                <w:b/>
                <w:bCs/>
                <w:color w:val="auto"/>
                <w:sz w:val="22"/>
                <w:highlight w:val="none"/>
              </w:rPr>
              <w:instrText xml:space="preserve"> eq \o\ac(</w:instrText>
            </w:r>
            <w:r>
              <w:rPr>
                <w:rFonts w:hint="eastAsia" w:ascii="宋体"/>
                <w:b/>
                <w:bCs/>
                <w:color w:val="auto"/>
                <w:sz w:val="22"/>
                <w:highlight w:val="none"/>
              </w:rPr>
              <w:instrText xml:space="preserve">□</w:instrText>
            </w:r>
            <w:r>
              <w:rPr>
                <w:rFonts w:hint="eastAsia" w:ascii="宋体"/>
                <w:b/>
                <w:bCs/>
                <w:color w:val="auto"/>
                <w:sz w:val="22"/>
                <w:highlight w:val="none"/>
                <w:lang w:eastAsia="zh-CN"/>
              </w:rPr>
              <w:instrText xml:space="preserve">,</w:instrText>
            </w:r>
            <w:r>
              <w:rPr>
                <w:rFonts w:hint="eastAsia" w:ascii="宋体"/>
                <w:b/>
                <w:bCs/>
                <w:color w:val="auto"/>
                <w:position w:val="2"/>
                <w:sz w:val="15"/>
                <w:highlight w:val="none"/>
                <w:lang w:eastAsia="zh-CN"/>
              </w:rPr>
              <w:instrText xml:space="preserve">√</w:instrText>
            </w:r>
            <w:r>
              <w:rPr>
                <w:rFonts w:ascii="宋体"/>
                <w:b/>
                <w:bCs/>
                <w:color w:val="auto"/>
                <w:sz w:val="22"/>
                <w:highlight w:val="none"/>
              </w:rPr>
              <w:instrText xml:space="preserve">)</w:instrText>
            </w:r>
            <w:r>
              <w:rPr>
                <w:rFonts w:ascii="宋体"/>
                <w:b/>
                <w:bCs/>
                <w:color w:val="auto"/>
                <w:sz w:val="22"/>
                <w:highlight w:val="none"/>
              </w:rPr>
              <w:fldChar w:fldCharType="end"/>
            </w:r>
            <w:r>
              <w:rPr>
                <w:rFonts w:hint="eastAsia" w:ascii="宋体" w:hAnsi="宋体" w:cs="宋体"/>
                <w:color w:val="auto"/>
                <w:sz w:val="22"/>
                <w:highlight w:val="none"/>
              </w:rPr>
              <w:t>不允许</w:t>
            </w:r>
          </w:p>
          <w:p w14:paraId="75592C5C">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□允许</w:t>
            </w:r>
          </w:p>
        </w:tc>
      </w:tr>
      <w:tr w14:paraId="58523B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91" w:hRule="atLeast"/>
          <w:jc w:val="center"/>
        </w:trPr>
        <w:tc>
          <w:tcPr>
            <w:tcW w:w="952" w:type="dxa"/>
            <w:vAlign w:val="center"/>
          </w:tcPr>
          <w:p w14:paraId="1750FFF7">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6313D82D">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投标货币</w:t>
            </w:r>
          </w:p>
        </w:tc>
        <w:tc>
          <w:tcPr>
            <w:tcW w:w="7619" w:type="dxa"/>
            <w:vAlign w:val="center"/>
          </w:tcPr>
          <w:p w14:paraId="5C8A7F5B">
            <w:pPr>
              <w:tabs>
                <w:tab w:val="left" w:pos="1069"/>
                <w:tab w:val="left" w:pos="2352"/>
              </w:tabs>
              <w:adjustRightInd w:val="0"/>
              <w:rPr>
                <w:rFonts w:ascii="宋体" w:hAnsi="宋体" w:cs="宋体"/>
                <w:color w:val="auto"/>
                <w:sz w:val="22"/>
                <w:highlight w:val="none"/>
              </w:rPr>
            </w:pPr>
            <w:r>
              <w:rPr>
                <w:rFonts w:hint="eastAsia" w:ascii="宋体" w:hAnsi="宋体" w:cs="宋体"/>
                <w:color w:val="auto"/>
                <w:sz w:val="22"/>
                <w:highlight w:val="none"/>
              </w:rPr>
              <w:t>人民币</w:t>
            </w:r>
          </w:p>
        </w:tc>
      </w:tr>
      <w:tr w14:paraId="12ABDB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42" w:hRule="atLeast"/>
          <w:jc w:val="center"/>
        </w:trPr>
        <w:tc>
          <w:tcPr>
            <w:tcW w:w="952" w:type="dxa"/>
            <w:vAlign w:val="center"/>
          </w:tcPr>
          <w:p w14:paraId="323C38D0">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C691390">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投标语言</w:t>
            </w:r>
          </w:p>
        </w:tc>
        <w:tc>
          <w:tcPr>
            <w:tcW w:w="7619" w:type="dxa"/>
            <w:vAlign w:val="center"/>
          </w:tcPr>
          <w:p w14:paraId="0B928C81">
            <w:pPr>
              <w:tabs>
                <w:tab w:val="left" w:pos="1069"/>
                <w:tab w:val="left" w:pos="2352"/>
              </w:tabs>
              <w:adjustRightInd w:val="0"/>
              <w:rPr>
                <w:rFonts w:ascii="宋体" w:hAnsi="宋体" w:cs="宋体"/>
                <w:color w:val="auto"/>
                <w:sz w:val="22"/>
                <w:highlight w:val="none"/>
              </w:rPr>
            </w:pPr>
            <w:r>
              <w:rPr>
                <w:rFonts w:hint="eastAsia" w:ascii="宋体" w:hAnsi="宋体" w:cs="宋体"/>
                <w:color w:val="auto"/>
                <w:sz w:val="22"/>
                <w:highlight w:val="none"/>
              </w:rPr>
              <w:t>中文</w:t>
            </w:r>
          </w:p>
        </w:tc>
      </w:tr>
      <w:tr w14:paraId="1EDDA3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632" w:hRule="atLeast"/>
          <w:jc w:val="center"/>
        </w:trPr>
        <w:tc>
          <w:tcPr>
            <w:tcW w:w="952" w:type="dxa"/>
            <w:vAlign w:val="center"/>
          </w:tcPr>
          <w:p w14:paraId="520DC301">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08991D93">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lang w:val="zh-CN"/>
              </w:rPr>
              <w:t>投标文件</w:t>
            </w:r>
            <w:r>
              <w:rPr>
                <w:rFonts w:hint="eastAsia" w:ascii="宋体" w:hAnsi="宋体" w:cs="宋体"/>
                <w:color w:val="auto"/>
                <w:sz w:val="22"/>
                <w:highlight w:val="none"/>
              </w:rPr>
              <w:t>说明</w:t>
            </w:r>
          </w:p>
        </w:tc>
        <w:tc>
          <w:tcPr>
            <w:tcW w:w="7619" w:type="dxa"/>
            <w:vAlign w:val="center"/>
          </w:tcPr>
          <w:p w14:paraId="59C42818">
            <w:pPr>
              <w:tabs>
                <w:tab w:val="left" w:pos="1069"/>
                <w:tab w:val="left" w:pos="2352"/>
              </w:tabs>
              <w:autoSpaceDE w:val="0"/>
              <w:autoSpaceDN w:val="0"/>
              <w:adjustRightInd w:val="0"/>
              <w:jc w:val="left"/>
              <w:rPr>
                <w:rFonts w:ascii="宋体" w:hAnsi="宋体" w:cs="宋体"/>
                <w:color w:val="auto"/>
                <w:sz w:val="22"/>
                <w:highlight w:val="none"/>
                <w:lang w:val="zh-CN"/>
              </w:rPr>
            </w:pPr>
            <w:r>
              <w:rPr>
                <w:rFonts w:hint="eastAsia" w:ascii="宋体" w:hAnsi="宋体" w:cs="宋体"/>
                <w:color w:val="auto"/>
                <w:sz w:val="22"/>
                <w:highlight w:val="none"/>
                <w:lang w:val="zh-CN"/>
              </w:rPr>
              <w:t>1.</w:t>
            </w:r>
            <w:r>
              <w:rPr>
                <w:rFonts w:hint="eastAsia" w:ascii="宋体" w:hAnsi="宋体" w:cs="宋体"/>
                <w:b/>
                <w:bCs/>
                <w:color w:val="auto"/>
                <w:sz w:val="22"/>
                <w:highlight w:val="none"/>
                <w:lang w:val="zh-CN"/>
              </w:rPr>
              <w:t>投标文件组成：</w:t>
            </w:r>
            <w:r>
              <w:rPr>
                <w:rFonts w:hint="eastAsia" w:ascii="宋体" w:hAnsi="宋体" w:cs="宋体"/>
                <w:color w:val="auto"/>
                <w:sz w:val="22"/>
                <w:highlight w:val="none"/>
                <w:lang w:val="zh-CN"/>
              </w:rPr>
              <w:t>《资格文件》及《商务技术文件》和《报价文件》。</w:t>
            </w:r>
          </w:p>
          <w:p w14:paraId="757C41B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b/>
                <w:bCs/>
                <w:color w:val="auto"/>
                <w:sz w:val="22"/>
                <w:highlight w:val="none"/>
              </w:rPr>
              <w:t>投标文件编制：</w:t>
            </w:r>
            <w:r>
              <w:rPr>
                <w:rFonts w:hint="eastAsia" w:ascii="宋体" w:hAnsi="宋体" w:cs="宋体"/>
                <w:color w:val="auto"/>
                <w:sz w:val="22"/>
                <w:highlight w:val="none"/>
              </w:rPr>
              <w:t>供应商应先安装“政采云电子交易客户端”，并按照本采购文件和“政府采购云平台”的要求，通过“政采云电子交易客户端”编制并加密投标文件。</w:t>
            </w:r>
          </w:p>
          <w:p w14:paraId="04F07319">
            <w:pPr>
              <w:tabs>
                <w:tab w:val="left" w:pos="1069"/>
                <w:tab w:val="left" w:pos="2352"/>
              </w:tabs>
              <w:rPr>
                <w:rFonts w:ascii="宋体" w:hAnsi="宋体" w:cs="宋体"/>
                <w:b/>
                <w:bCs/>
                <w:color w:val="auto"/>
                <w:sz w:val="22"/>
                <w:highlight w:val="none"/>
              </w:rPr>
            </w:pPr>
            <w:r>
              <w:rPr>
                <w:rFonts w:hint="eastAsia" w:ascii="宋体" w:hAnsi="宋体" w:cs="宋体"/>
                <w:color w:val="auto"/>
                <w:sz w:val="22"/>
                <w:highlight w:val="none"/>
              </w:rPr>
              <w:t>3</w:t>
            </w:r>
            <w:r>
              <w:rPr>
                <w:rFonts w:hint="eastAsia" w:ascii="宋体" w:hAnsi="宋体" w:cs="宋体"/>
                <w:color w:val="auto"/>
                <w:sz w:val="22"/>
                <w:highlight w:val="none"/>
                <w:lang w:eastAsia="zh-CN"/>
              </w:rPr>
              <w:t>.</w:t>
            </w:r>
            <w:r>
              <w:rPr>
                <w:rFonts w:hint="eastAsia" w:ascii="宋体" w:hAnsi="宋体" w:cs="宋体"/>
                <w:b/>
                <w:bCs/>
                <w:color w:val="auto"/>
                <w:sz w:val="22"/>
                <w:highlight w:val="none"/>
              </w:rPr>
              <w:t>投标文件的签章：</w:t>
            </w:r>
            <w:r>
              <w:rPr>
                <w:rFonts w:hint="eastAsia" w:ascii="宋体" w:hAnsi="宋体" w:cs="宋体"/>
                <w:color w:val="auto"/>
                <w:sz w:val="22"/>
                <w:highlight w:val="none"/>
              </w:rPr>
              <w:t>电子签章</w:t>
            </w:r>
            <w:r>
              <w:rPr>
                <w:rFonts w:hint="eastAsia" w:ascii="宋体" w:hAnsi="宋体" w:cs="宋体"/>
                <w:b/>
                <w:bCs/>
                <w:color w:val="auto"/>
                <w:sz w:val="22"/>
                <w:highlight w:val="none"/>
                <w:lang w:eastAsia="zh-CN"/>
              </w:rPr>
              <w:t>（</w:t>
            </w:r>
            <w:r>
              <w:rPr>
                <w:rFonts w:hint="eastAsia" w:ascii="宋体" w:hAnsi="宋体" w:cs="宋体"/>
                <w:b/>
                <w:bCs/>
                <w:color w:val="auto"/>
                <w:sz w:val="22"/>
                <w:highlight w:val="none"/>
                <w:lang w:val="en-US" w:eastAsia="zh-CN"/>
              </w:rPr>
              <w:t>若是联合体投标的，以联合体投标牵头人为准</w:t>
            </w:r>
            <w:r>
              <w:rPr>
                <w:rFonts w:hint="eastAsia" w:ascii="宋体" w:hAnsi="宋体" w:cs="宋体"/>
                <w:b/>
                <w:bCs/>
                <w:color w:val="auto"/>
                <w:sz w:val="22"/>
                <w:highlight w:val="none"/>
                <w:lang w:eastAsia="zh-CN"/>
              </w:rPr>
              <w:t>）</w:t>
            </w:r>
            <w:r>
              <w:rPr>
                <w:rFonts w:hint="eastAsia" w:ascii="宋体" w:hAnsi="宋体" w:cs="宋体"/>
                <w:b/>
                <w:bCs/>
                <w:color w:val="auto"/>
                <w:sz w:val="22"/>
                <w:highlight w:val="none"/>
              </w:rPr>
              <w:t>。</w:t>
            </w:r>
          </w:p>
          <w:p w14:paraId="78846FD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4</w:t>
            </w:r>
            <w:r>
              <w:rPr>
                <w:rFonts w:hint="eastAsia" w:ascii="宋体" w:hAnsi="宋体" w:cs="宋体"/>
                <w:color w:val="auto"/>
                <w:sz w:val="22"/>
                <w:highlight w:val="none"/>
                <w:lang w:eastAsia="zh-CN"/>
              </w:rPr>
              <w:t>.</w:t>
            </w:r>
            <w:r>
              <w:rPr>
                <w:rFonts w:hint="eastAsia" w:ascii="宋体" w:hAnsi="宋体" w:cs="宋体"/>
                <w:b/>
                <w:bCs/>
                <w:color w:val="auto"/>
                <w:sz w:val="22"/>
                <w:highlight w:val="none"/>
              </w:rPr>
              <w:t>投标文件的形式：</w:t>
            </w:r>
            <w:r>
              <w:rPr>
                <w:rFonts w:hint="eastAsia" w:ascii="宋体" w:hAnsi="宋体" w:cs="宋体"/>
                <w:color w:val="auto"/>
                <w:sz w:val="22"/>
                <w:highlight w:val="none"/>
              </w:rPr>
              <w:t>☑电子投标文件（“电子加密投标文件”，在投标文件编制完成后生成）；</w:t>
            </w:r>
          </w:p>
          <w:p w14:paraId="021F94E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“电子加密投标文件”是指通过“政采云电子交易客户端”完成投标文件编制后生成并加密的数据电文形式的投标文件。</w:t>
            </w:r>
          </w:p>
          <w:p w14:paraId="5FBA260C">
            <w:pPr>
              <w:tabs>
                <w:tab w:val="left" w:pos="1069"/>
                <w:tab w:val="left" w:pos="2352"/>
              </w:tabs>
              <w:autoSpaceDE w:val="0"/>
              <w:autoSpaceDN w:val="0"/>
              <w:adjustRightInd w:val="0"/>
              <w:jc w:val="left"/>
              <w:rPr>
                <w:rFonts w:ascii="宋体" w:hAnsi="宋体" w:cs="宋体"/>
                <w:color w:val="auto"/>
                <w:sz w:val="22"/>
                <w:highlight w:val="none"/>
              </w:rPr>
            </w:pPr>
            <w:r>
              <w:rPr>
                <w:rFonts w:hint="eastAsia" w:ascii="宋体" w:hAnsi="宋体" w:cs="宋体"/>
                <w:b/>
                <w:bCs/>
                <w:color w:val="auto"/>
                <w:sz w:val="22"/>
                <w:highlight w:val="none"/>
              </w:rPr>
              <w:t>5</w:t>
            </w:r>
            <w:r>
              <w:rPr>
                <w:rFonts w:hint="eastAsia" w:ascii="宋体" w:hAnsi="宋体" w:cs="宋体"/>
                <w:b/>
                <w:bCs/>
                <w:color w:val="auto"/>
                <w:sz w:val="22"/>
                <w:highlight w:val="none"/>
                <w:lang w:eastAsia="zh-CN"/>
              </w:rPr>
              <w:t>.</w:t>
            </w:r>
            <w:r>
              <w:rPr>
                <w:rFonts w:hint="eastAsia" w:ascii="宋体" w:hAnsi="宋体" w:cs="宋体"/>
                <w:b/>
                <w:bCs/>
                <w:color w:val="auto"/>
                <w:sz w:val="22"/>
                <w:highlight w:val="none"/>
              </w:rPr>
              <w:t>投标文件份数：</w:t>
            </w:r>
            <w:r>
              <w:rPr>
                <w:rFonts w:hint="eastAsia" w:ascii="宋体" w:hAnsi="宋体" w:cs="宋体"/>
                <w:color w:val="auto"/>
                <w:sz w:val="22"/>
                <w:highlight w:val="none"/>
              </w:rPr>
              <w:t>“电子加密投标文件”：在线上传递交。</w:t>
            </w:r>
          </w:p>
          <w:p w14:paraId="5D65380E">
            <w:pPr>
              <w:tabs>
                <w:tab w:val="left" w:pos="1069"/>
                <w:tab w:val="left" w:pos="2352"/>
              </w:tabs>
              <w:rPr>
                <w:rFonts w:ascii="宋体" w:hAnsi="宋体" w:cs="宋体"/>
                <w:b/>
                <w:bCs/>
                <w:color w:val="auto"/>
                <w:sz w:val="22"/>
                <w:highlight w:val="none"/>
              </w:rPr>
            </w:pPr>
            <w:r>
              <w:rPr>
                <w:rFonts w:hint="eastAsia" w:ascii="宋体" w:hAnsi="宋体" w:cs="宋体"/>
                <w:color w:val="auto"/>
                <w:sz w:val="22"/>
                <w:highlight w:val="none"/>
              </w:rPr>
              <w:t>6</w:t>
            </w:r>
            <w:r>
              <w:rPr>
                <w:rFonts w:hint="eastAsia" w:ascii="宋体" w:hAnsi="宋体" w:cs="宋体"/>
                <w:color w:val="auto"/>
                <w:sz w:val="22"/>
                <w:highlight w:val="none"/>
                <w:lang w:eastAsia="zh-CN"/>
              </w:rPr>
              <w:t>.</w:t>
            </w:r>
            <w:r>
              <w:rPr>
                <w:rFonts w:hint="eastAsia" w:ascii="宋体" w:hAnsi="宋体" w:cs="宋体"/>
                <w:b/>
                <w:bCs/>
                <w:color w:val="auto"/>
                <w:sz w:val="22"/>
                <w:highlight w:val="none"/>
              </w:rPr>
              <w:t>投标文件的上传和递交：</w:t>
            </w:r>
          </w:p>
          <w:p w14:paraId="358EACEC">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“电子加密投标文件”的上传、递交：</w:t>
            </w:r>
          </w:p>
          <w:p w14:paraId="427C56A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a.供应商应在投标截止时间前将“电子加密投标文件”成功上传递交至“政府采购云平台”，否则投标无效。</w:t>
            </w:r>
          </w:p>
          <w:p w14:paraId="47D523A2">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b.“电子加密投标文件”成功上传递交后，供应商可自行打印投标文件接收回执。</w:t>
            </w:r>
          </w:p>
          <w:p w14:paraId="0E709366">
            <w:pPr>
              <w:tabs>
                <w:tab w:val="left" w:pos="1069"/>
                <w:tab w:val="left" w:pos="2352"/>
              </w:tabs>
              <w:rPr>
                <w:rFonts w:ascii="宋体" w:hAnsi="宋体" w:cs="宋体"/>
                <w:b/>
                <w:bCs/>
                <w:color w:val="auto"/>
                <w:sz w:val="22"/>
                <w:highlight w:val="none"/>
              </w:rPr>
            </w:pPr>
            <w:r>
              <w:rPr>
                <w:rFonts w:hint="eastAsia" w:ascii="宋体" w:hAnsi="宋体" w:cs="宋体"/>
                <w:b/>
                <w:bCs/>
                <w:color w:val="auto"/>
                <w:sz w:val="22"/>
                <w:highlight w:val="none"/>
              </w:rPr>
              <w:t>7、电子加密投标文件的解密和异常情况处理：</w:t>
            </w:r>
          </w:p>
          <w:p w14:paraId="10FDB228">
            <w:pPr>
              <w:tabs>
                <w:tab w:val="left" w:pos="1069"/>
                <w:tab w:val="left" w:pos="2352"/>
              </w:tabs>
              <w:autoSpaceDE w:val="0"/>
              <w:autoSpaceDN w:val="0"/>
              <w:adjustRightInd w:val="0"/>
              <w:jc w:val="left"/>
              <w:rPr>
                <w:rFonts w:ascii="宋体" w:hAnsi="宋体" w:cs="宋体"/>
                <w:color w:val="auto"/>
                <w:sz w:val="22"/>
                <w:highlight w:val="none"/>
              </w:rPr>
            </w:pPr>
            <w:r>
              <w:rPr>
                <w:rFonts w:hint="eastAsia" w:ascii="宋体" w:hAnsi="宋体" w:cs="宋体"/>
                <w:color w:val="auto"/>
                <w:sz w:val="22"/>
                <w:highlight w:val="none"/>
              </w:rPr>
              <w:t>（1）开标后，采购组织机构将向各供应商发出“电子加密投标文件”的解密通知，各供应商代表应当在接到解密通知后30分钟内自行完成“电子加密投标文件”的在线解密。</w:t>
            </w:r>
          </w:p>
          <w:p w14:paraId="30432283">
            <w:pPr>
              <w:tabs>
                <w:tab w:val="left" w:pos="1069"/>
                <w:tab w:val="left" w:pos="2352"/>
              </w:tabs>
              <w:autoSpaceDE w:val="0"/>
              <w:autoSpaceDN w:val="0"/>
              <w:adjustRightInd w:val="0"/>
              <w:jc w:val="left"/>
              <w:rPr>
                <w:rFonts w:ascii="宋体" w:hAnsi="宋体" w:cs="宋体"/>
                <w:color w:val="auto"/>
                <w:sz w:val="22"/>
                <w:highlight w:val="none"/>
              </w:rPr>
            </w:pPr>
            <w:r>
              <w:rPr>
                <w:rFonts w:hint="eastAsia" w:ascii="宋体" w:hAnsi="宋体" w:cs="宋体"/>
                <w:color w:val="auto"/>
                <w:sz w:val="22"/>
                <w:highlight w:val="none"/>
              </w:rPr>
              <w:t>（2）</w:t>
            </w:r>
            <w:r>
              <w:rPr>
                <w:rStyle w:val="34"/>
                <w:rFonts w:hint="eastAsia" w:ascii="宋体" w:hAnsi="宋体" w:cs="宋体"/>
                <w:b w:val="0"/>
                <w:color w:val="auto"/>
                <w:sz w:val="22"/>
                <w:highlight w:val="none"/>
              </w:rPr>
              <w:t>通过“政府采购云平台”上传递交的“电子加密投标文件”无法按时解密的，其投标无效。</w:t>
            </w:r>
          </w:p>
          <w:p w14:paraId="71FEF7A3">
            <w:pPr>
              <w:tabs>
                <w:tab w:val="left" w:pos="1069"/>
                <w:tab w:val="left" w:pos="2352"/>
              </w:tabs>
              <w:snapToGrid w:val="0"/>
              <w:rPr>
                <w:rFonts w:ascii="宋体" w:hAnsi="宋体" w:cs="宋体"/>
                <w:color w:val="auto"/>
                <w:sz w:val="21"/>
                <w:szCs w:val="21"/>
                <w:highlight w:val="none"/>
              </w:rPr>
            </w:pPr>
            <w:r>
              <w:rPr>
                <w:rFonts w:hint="eastAsia" w:ascii="宋体" w:hAnsi="宋体" w:cs="宋体"/>
                <w:b/>
                <w:bCs/>
                <w:color w:val="auto"/>
                <w:sz w:val="21"/>
                <w:szCs w:val="21"/>
                <w:highlight w:val="none"/>
                <w:lang w:val="en-US" w:eastAsia="zh-CN"/>
              </w:rPr>
              <w:t>8.</w:t>
            </w:r>
            <w:r>
              <w:rPr>
                <w:rFonts w:hint="eastAsia" w:ascii="宋体" w:hAnsi="宋体" w:cs="宋体"/>
                <w:color w:val="auto"/>
                <w:sz w:val="21"/>
                <w:szCs w:val="21"/>
                <w:highlight w:val="none"/>
              </w:rPr>
              <w:t>投标截止后，在投标有效期内，供应商不能撤销投标文件。</w:t>
            </w:r>
          </w:p>
          <w:p w14:paraId="1A9388E8">
            <w:pPr>
              <w:tabs>
                <w:tab w:val="left" w:pos="1069"/>
                <w:tab w:val="left" w:pos="2352"/>
              </w:tabs>
              <w:snapToGrid w:val="0"/>
              <w:rPr>
                <w:rFonts w:ascii="宋体" w:hAnsi="宋体" w:cs="宋体"/>
                <w:color w:val="auto"/>
                <w:sz w:val="22"/>
                <w:highlight w:val="none"/>
              </w:rPr>
            </w:pPr>
            <w:r>
              <w:rPr>
                <w:rFonts w:hint="eastAsia" w:ascii="宋体" w:hAnsi="宋体" w:cs="宋体"/>
                <w:color w:val="auto"/>
                <w:sz w:val="21"/>
                <w:szCs w:val="21"/>
                <w:highlight w:val="none"/>
              </w:rPr>
              <w:t>9</w:t>
            </w:r>
            <w:r>
              <w:rPr>
                <w:rFonts w:hint="eastAsia" w:ascii="宋体" w:hAnsi="宋体" w:cs="宋体"/>
                <w:color w:val="auto"/>
                <w:sz w:val="21"/>
                <w:szCs w:val="21"/>
                <w:highlight w:val="none"/>
                <w:lang w:eastAsia="zh-CN"/>
              </w:rPr>
              <w:t>.</w:t>
            </w:r>
            <w:r>
              <w:rPr>
                <w:rFonts w:hint="eastAsia" w:ascii="宋体" w:hAnsi="宋体" w:cs="宋体"/>
                <w:color w:val="auto"/>
                <w:sz w:val="22"/>
                <w:highlight w:val="none"/>
              </w:rPr>
              <w:t>存在下列行为的，招标代理机构将其失信行为上报政府采购主管部门，由主管部门按有关规定对其违法失信行为记录进行公开：</w:t>
            </w:r>
          </w:p>
          <w:p w14:paraId="6D0D5D05">
            <w:pPr>
              <w:tabs>
                <w:tab w:val="left" w:pos="1069"/>
                <w:tab w:val="left" w:pos="2352"/>
              </w:tabs>
              <w:snapToGrid w:val="0"/>
              <w:rPr>
                <w:rFonts w:ascii="宋体" w:hAnsi="宋体" w:cs="宋体"/>
                <w:color w:val="auto"/>
                <w:sz w:val="22"/>
                <w:highlight w:val="none"/>
              </w:rPr>
            </w:pPr>
            <w:r>
              <w:rPr>
                <w:rFonts w:hint="eastAsia" w:ascii="宋体" w:hAnsi="宋体" w:cs="宋体"/>
                <w:color w:val="auto"/>
                <w:sz w:val="22"/>
                <w:highlight w:val="none"/>
              </w:rPr>
              <w:t>（1）中标或者成交后，拒绝签订政府采购合同的；</w:t>
            </w:r>
          </w:p>
          <w:p w14:paraId="17AABD82">
            <w:pPr>
              <w:tabs>
                <w:tab w:val="left" w:pos="1069"/>
                <w:tab w:val="left" w:pos="2352"/>
              </w:tabs>
              <w:rPr>
                <w:rFonts w:hint="eastAsia" w:ascii="宋体" w:hAnsi="宋体" w:eastAsia="宋体" w:cs="宋体"/>
                <w:color w:val="auto"/>
                <w:sz w:val="22"/>
                <w:highlight w:val="none"/>
                <w:lang w:eastAsia="zh-CN"/>
              </w:rPr>
            </w:pPr>
            <w:r>
              <w:rPr>
                <w:rFonts w:hint="eastAsia" w:ascii="宋体" w:hAnsi="宋体" w:cs="宋体"/>
                <w:color w:val="auto"/>
                <w:sz w:val="22"/>
                <w:highlight w:val="none"/>
              </w:rPr>
              <w:t>（2）投标有效期内撤销投标文件的</w:t>
            </w:r>
            <w:r>
              <w:rPr>
                <w:rFonts w:hint="eastAsia" w:ascii="宋体" w:hAnsi="宋体" w:cs="宋体"/>
                <w:color w:val="auto"/>
                <w:sz w:val="22"/>
                <w:highlight w:val="none"/>
                <w:lang w:eastAsia="zh-CN"/>
              </w:rPr>
              <w:t>。</w:t>
            </w:r>
          </w:p>
          <w:p w14:paraId="78C232B9">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10</w:t>
            </w:r>
            <w:r>
              <w:rPr>
                <w:rFonts w:hint="eastAsia" w:ascii="宋体" w:hAnsi="宋体" w:cs="宋体"/>
                <w:color w:val="auto"/>
                <w:sz w:val="22"/>
                <w:highlight w:val="none"/>
                <w:lang w:eastAsia="zh-CN"/>
              </w:rPr>
              <w:t>.</w:t>
            </w:r>
            <w:r>
              <w:rPr>
                <w:rFonts w:hint="eastAsia" w:ascii="宋体" w:hAnsi="宋体" w:cs="宋体"/>
                <w:b/>
                <w:bCs/>
                <w:color w:val="auto"/>
                <w:sz w:val="22"/>
                <w:highlight w:val="none"/>
                <w:u w:val="single"/>
              </w:rPr>
              <w:t>中标后，中标（成交）供应商须提供4份纸质投标文件至招标代理机构处作为纸质存档（地址：温州市泰顺县罗阳镇湖滨花苑B8幢401，翁女士，17858065131）。</w:t>
            </w:r>
          </w:p>
        </w:tc>
      </w:tr>
      <w:tr w14:paraId="726896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8" w:hRule="atLeast"/>
          <w:jc w:val="center"/>
        </w:trPr>
        <w:tc>
          <w:tcPr>
            <w:tcW w:w="952" w:type="dxa"/>
            <w:vAlign w:val="center"/>
          </w:tcPr>
          <w:p w14:paraId="46D0D4D9">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4D958E70">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投标样品</w:t>
            </w:r>
          </w:p>
        </w:tc>
        <w:tc>
          <w:tcPr>
            <w:tcW w:w="7619" w:type="dxa"/>
            <w:vAlign w:val="center"/>
          </w:tcPr>
          <w:p w14:paraId="1805A2BE">
            <w:pPr>
              <w:tabs>
                <w:tab w:val="left" w:pos="1069"/>
                <w:tab w:val="left" w:pos="2352"/>
              </w:tabs>
              <w:adjustRightInd w:val="0"/>
              <w:snapToGrid w:val="0"/>
              <w:rPr>
                <w:rFonts w:hint="eastAsia" w:ascii="宋体" w:hAnsi="宋体" w:cs="宋体"/>
                <w:color w:val="auto"/>
                <w:kern w:val="0"/>
                <w:sz w:val="22"/>
                <w:highlight w:val="none"/>
              </w:rPr>
            </w:pPr>
            <w:r>
              <w:rPr>
                <w:rFonts w:hint="eastAsia" w:ascii="宋体" w:hAnsi="宋体" w:cs="宋体"/>
                <w:b/>
                <w:bCs/>
                <w:color w:val="auto"/>
                <w:kern w:val="0"/>
                <w:sz w:val="22"/>
                <w:highlight w:val="none"/>
              </w:rPr>
              <w:fldChar w:fldCharType="begin"/>
            </w:r>
            <w:r>
              <w:rPr>
                <w:rFonts w:hint="eastAsia" w:ascii="宋体" w:hAnsi="宋体" w:cs="宋体"/>
                <w:b/>
                <w:bCs/>
                <w:color w:val="auto"/>
                <w:kern w:val="0"/>
                <w:sz w:val="22"/>
                <w:highlight w:val="none"/>
              </w:rPr>
              <w:instrText xml:space="preserve"> eq \o\ac(□,</w:instrText>
            </w:r>
            <w:r>
              <w:rPr>
                <w:rFonts w:hint="eastAsia" w:ascii="宋体" w:hAnsi="宋体" w:cs="宋体"/>
                <w:b/>
                <w:bCs/>
                <w:color w:val="auto"/>
                <w:kern w:val="0"/>
                <w:position w:val="2"/>
                <w:sz w:val="15"/>
                <w:highlight w:val="none"/>
              </w:rPr>
              <w:instrText xml:space="preserve">√</w:instrText>
            </w:r>
            <w:r>
              <w:rPr>
                <w:rFonts w:hint="eastAsia" w:ascii="宋体" w:hAnsi="宋体" w:cs="宋体"/>
                <w:b/>
                <w:bCs/>
                <w:color w:val="auto"/>
                <w:kern w:val="0"/>
                <w:sz w:val="22"/>
                <w:highlight w:val="none"/>
              </w:rPr>
              <w:instrText xml:space="preserve">)</w:instrText>
            </w:r>
            <w:r>
              <w:rPr>
                <w:rFonts w:hint="eastAsia" w:ascii="宋体" w:hAnsi="宋体" w:cs="宋体"/>
                <w:b/>
                <w:bCs/>
                <w:color w:val="auto"/>
                <w:kern w:val="0"/>
                <w:sz w:val="22"/>
                <w:highlight w:val="none"/>
              </w:rPr>
              <w:fldChar w:fldCharType="end"/>
            </w:r>
            <w:r>
              <w:rPr>
                <w:rFonts w:hint="eastAsia" w:ascii="宋体" w:hAnsi="宋体" w:cs="宋体"/>
                <w:color w:val="auto"/>
                <w:kern w:val="0"/>
                <w:sz w:val="22"/>
                <w:highlight w:val="none"/>
              </w:rPr>
              <w:t xml:space="preserve">不需要  </w:t>
            </w:r>
          </w:p>
          <w:p w14:paraId="1F2E4CF3">
            <w:pPr>
              <w:tabs>
                <w:tab w:val="left" w:pos="1069"/>
                <w:tab w:val="left" w:pos="2352"/>
              </w:tabs>
              <w:adjustRightInd w:val="0"/>
              <w:snapToGrid w:val="0"/>
              <w:rPr>
                <w:rFonts w:ascii="宋体" w:hAnsi="宋体" w:cs="宋体"/>
                <w:color w:val="auto"/>
                <w:sz w:val="22"/>
                <w:highlight w:val="none"/>
              </w:rPr>
            </w:pPr>
            <w:r>
              <w:rPr>
                <w:rFonts w:hint="eastAsia" w:ascii="宋体" w:hAnsi="宋体" w:cs="宋体"/>
                <w:color w:val="auto"/>
                <w:kern w:val="0"/>
                <w:sz w:val="22"/>
                <w:highlight w:val="none"/>
              </w:rPr>
              <w:sym w:font="Wingdings 2" w:char="00A3"/>
            </w:r>
            <w:r>
              <w:rPr>
                <w:rFonts w:hint="eastAsia" w:ascii="宋体" w:hAnsi="宋体" w:cs="宋体"/>
                <w:color w:val="auto"/>
                <w:kern w:val="0"/>
                <w:sz w:val="22"/>
                <w:highlight w:val="none"/>
              </w:rPr>
              <w:t>需要</w:t>
            </w:r>
          </w:p>
        </w:tc>
      </w:tr>
      <w:tr w14:paraId="25B7A0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77" w:hRule="atLeast"/>
          <w:jc w:val="center"/>
        </w:trPr>
        <w:tc>
          <w:tcPr>
            <w:tcW w:w="952" w:type="dxa"/>
            <w:vAlign w:val="center"/>
          </w:tcPr>
          <w:p w14:paraId="725E2F90">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19694DCA">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投标保证金</w:t>
            </w:r>
          </w:p>
        </w:tc>
        <w:tc>
          <w:tcPr>
            <w:tcW w:w="7619" w:type="dxa"/>
            <w:vAlign w:val="center"/>
          </w:tcPr>
          <w:p w14:paraId="6E2CD102">
            <w:pPr>
              <w:tabs>
                <w:tab w:val="left" w:pos="1069"/>
                <w:tab w:val="left" w:pos="2352"/>
              </w:tabs>
              <w:adjustRightInd w:val="0"/>
              <w:snapToGrid w:val="0"/>
              <w:rPr>
                <w:rFonts w:hint="eastAsia" w:ascii="宋体" w:hAnsi="宋体" w:cs="宋体"/>
                <w:color w:val="auto"/>
                <w:kern w:val="0"/>
                <w:sz w:val="22"/>
                <w:highlight w:val="none"/>
              </w:rPr>
            </w:pPr>
            <w:r>
              <w:rPr>
                <w:rFonts w:hint="eastAsia" w:ascii="宋体" w:hAnsi="宋体" w:cs="宋体"/>
                <w:b/>
                <w:bCs/>
                <w:color w:val="auto"/>
                <w:kern w:val="0"/>
                <w:sz w:val="22"/>
                <w:highlight w:val="none"/>
              </w:rPr>
              <w:fldChar w:fldCharType="begin"/>
            </w:r>
            <w:r>
              <w:rPr>
                <w:rFonts w:hint="eastAsia" w:ascii="宋体" w:hAnsi="宋体" w:cs="宋体"/>
                <w:b/>
                <w:bCs/>
                <w:color w:val="auto"/>
                <w:kern w:val="0"/>
                <w:sz w:val="22"/>
                <w:highlight w:val="none"/>
              </w:rPr>
              <w:instrText xml:space="preserve"> eq \o\ac(□,√)</w:instrText>
            </w:r>
            <w:r>
              <w:rPr>
                <w:rFonts w:hint="eastAsia" w:ascii="宋体" w:hAnsi="宋体" w:cs="宋体"/>
                <w:b/>
                <w:bCs/>
                <w:color w:val="auto"/>
                <w:kern w:val="0"/>
                <w:sz w:val="22"/>
                <w:highlight w:val="none"/>
              </w:rPr>
              <w:fldChar w:fldCharType="end"/>
            </w:r>
            <w:r>
              <w:rPr>
                <w:rFonts w:hint="eastAsia" w:ascii="宋体" w:hAnsi="宋体" w:cs="宋体"/>
                <w:color w:val="auto"/>
                <w:kern w:val="0"/>
                <w:sz w:val="22"/>
                <w:highlight w:val="none"/>
              </w:rPr>
              <w:t xml:space="preserve">不需要  </w:t>
            </w:r>
          </w:p>
          <w:p w14:paraId="2FE2CAC9">
            <w:pPr>
              <w:tabs>
                <w:tab w:val="left" w:pos="1069"/>
                <w:tab w:val="left" w:pos="2352"/>
              </w:tabs>
              <w:adjustRightInd w:val="0"/>
              <w:snapToGrid w:val="0"/>
              <w:rPr>
                <w:rFonts w:ascii="宋体" w:hAnsi="宋体" w:cs="宋体"/>
                <w:color w:val="auto"/>
                <w:sz w:val="22"/>
                <w:highlight w:val="none"/>
              </w:rPr>
            </w:pPr>
            <w:r>
              <w:rPr>
                <w:rFonts w:hint="eastAsia" w:ascii="宋体" w:hAnsi="宋体" w:cs="宋体"/>
                <w:color w:val="auto"/>
                <w:kern w:val="0"/>
                <w:sz w:val="22"/>
                <w:highlight w:val="none"/>
              </w:rPr>
              <w:t>□需要</w:t>
            </w:r>
          </w:p>
        </w:tc>
      </w:tr>
      <w:tr w14:paraId="776D04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219" w:hRule="atLeast"/>
          <w:jc w:val="center"/>
        </w:trPr>
        <w:tc>
          <w:tcPr>
            <w:tcW w:w="952" w:type="dxa"/>
            <w:vAlign w:val="center"/>
          </w:tcPr>
          <w:p w14:paraId="585E824A">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2E3909D3">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履约保证金</w:t>
            </w:r>
          </w:p>
        </w:tc>
        <w:tc>
          <w:tcPr>
            <w:tcW w:w="7619" w:type="dxa"/>
            <w:vAlign w:val="center"/>
          </w:tcPr>
          <w:p w14:paraId="1A4958EE">
            <w:pPr>
              <w:tabs>
                <w:tab w:val="left" w:pos="1069"/>
                <w:tab w:val="left" w:pos="2352"/>
              </w:tabs>
              <w:rPr>
                <w:rFonts w:hint="eastAsia" w:ascii="宋体" w:hAnsi="宋体" w:cs="宋体"/>
                <w:color w:val="auto"/>
                <w:sz w:val="22"/>
                <w:highlight w:val="none"/>
                <w:lang w:val="en-US" w:eastAsia="zh-CN"/>
              </w:rPr>
            </w:pPr>
            <w:r>
              <w:rPr>
                <w:rFonts w:hint="eastAsia" w:ascii="宋体" w:hAnsi="宋体" w:cs="宋体"/>
                <w:b/>
                <w:bCs/>
                <w:color w:val="auto"/>
                <w:kern w:val="0"/>
                <w:sz w:val="22"/>
                <w:highlight w:val="none"/>
              </w:rPr>
              <w:fldChar w:fldCharType="begin"/>
            </w:r>
            <w:r>
              <w:rPr>
                <w:rFonts w:hint="eastAsia" w:ascii="宋体" w:hAnsi="宋体" w:cs="宋体"/>
                <w:b/>
                <w:bCs/>
                <w:color w:val="auto"/>
                <w:kern w:val="0"/>
                <w:sz w:val="22"/>
                <w:highlight w:val="none"/>
              </w:rPr>
              <w:instrText xml:space="preserve"> eq \o\ac(□)</w:instrText>
            </w:r>
            <w:r>
              <w:rPr>
                <w:rFonts w:hint="eastAsia" w:ascii="宋体" w:hAnsi="宋体" w:cs="宋体"/>
                <w:b/>
                <w:bCs/>
                <w:color w:val="auto"/>
                <w:kern w:val="0"/>
                <w:sz w:val="22"/>
                <w:highlight w:val="none"/>
              </w:rPr>
              <w:fldChar w:fldCharType="end"/>
            </w:r>
            <w:r>
              <w:rPr>
                <w:rFonts w:hint="eastAsia" w:ascii="宋体" w:hAnsi="宋体" w:cs="宋体"/>
                <w:color w:val="auto"/>
                <w:sz w:val="22"/>
                <w:highlight w:val="none"/>
              </w:rPr>
              <w:t>不需要</w:t>
            </w:r>
            <w:r>
              <w:rPr>
                <w:rFonts w:hint="eastAsia" w:ascii="宋体" w:hAnsi="宋体" w:cs="宋体"/>
                <w:color w:val="auto"/>
                <w:sz w:val="22"/>
                <w:highlight w:val="none"/>
                <w:lang w:val="en-US" w:eastAsia="zh-CN"/>
              </w:rPr>
              <w:t xml:space="preserve">  </w:t>
            </w:r>
          </w:p>
          <w:p w14:paraId="056BB5F9">
            <w:pPr>
              <w:tabs>
                <w:tab w:val="left" w:pos="1069"/>
                <w:tab w:val="left" w:pos="2352"/>
              </w:tabs>
              <w:rPr>
                <w:rFonts w:hint="eastAsia" w:ascii="宋体" w:hAnsi="宋体" w:eastAsia="宋体" w:cs="宋体"/>
                <w:color w:val="auto"/>
                <w:sz w:val="22"/>
                <w:highlight w:val="none"/>
                <w:lang w:eastAsia="zh-CN"/>
              </w:rPr>
            </w:pPr>
            <w:r>
              <w:rPr>
                <w:rFonts w:hint="eastAsia" w:ascii="宋体" w:hAnsi="宋体" w:cs="宋体"/>
                <w:b/>
                <w:bCs/>
                <w:color w:val="auto"/>
                <w:kern w:val="0"/>
                <w:sz w:val="22"/>
                <w:highlight w:val="none"/>
              </w:rPr>
              <w:fldChar w:fldCharType="begin"/>
            </w:r>
            <w:r>
              <w:rPr>
                <w:rFonts w:hint="eastAsia" w:ascii="宋体" w:hAnsi="宋体" w:cs="宋体"/>
                <w:b/>
                <w:bCs/>
                <w:color w:val="auto"/>
                <w:kern w:val="0"/>
                <w:sz w:val="22"/>
                <w:highlight w:val="none"/>
              </w:rPr>
              <w:instrText xml:space="preserve"> eq \o\ac(□</w:instrText>
            </w:r>
            <w:r>
              <w:rPr>
                <w:rFonts w:hint="eastAsia" w:ascii="宋体" w:hAnsi="宋体" w:cs="宋体"/>
                <w:b/>
                <w:bCs/>
                <w:color w:val="auto"/>
                <w:kern w:val="0"/>
                <w:sz w:val="22"/>
                <w:highlight w:val="none"/>
                <w:lang w:eastAsia="zh-CN"/>
              </w:rPr>
              <w:instrText xml:space="preserve">,</w:instrText>
            </w:r>
            <w:r>
              <w:rPr>
                <w:rFonts w:hint="eastAsia" w:ascii="宋体" w:hAnsi="宋体" w:cs="宋体"/>
                <w:b/>
                <w:bCs/>
                <w:color w:val="auto"/>
                <w:kern w:val="0"/>
                <w:position w:val="2"/>
                <w:sz w:val="15"/>
                <w:highlight w:val="none"/>
                <w:lang w:eastAsia="zh-CN"/>
              </w:rPr>
              <w:instrText xml:space="preserve">√</w:instrText>
            </w:r>
            <w:r>
              <w:rPr>
                <w:rFonts w:hint="eastAsia" w:ascii="宋体" w:hAnsi="宋体" w:cs="宋体"/>
                <w:b/>
                <w:bCs/>
                <w:color w:val="auto"/>
                <w:kern w:val="0"/>
                <w:sz w:val="22"/>
                <w:highlight w:val="none"/>
              </w:rPr>
              <w:instrText xml:space="preserve">)</w:instrText>
            </w:r>
            <w:r>
              <w:rPr>
                <w:rFonts w:hint="eastAsia" w:ascii="宋体" w:hAnsi="宋体" w:cs="宋体"/>
                <w:b/>
                <w:bCs/>
                <w:color w:val="auto"/>
                <w:kern w:val="0"/>
                <w:sz w:val="22"/>
                <w:highlight w:val="none"/>
              </w:rPr>
              <w:fldChar w:fldCharType="end"/>
            </w:r>
            <w:r>
              <w:rPr>
                <w:rFonts w:hint="eastAsia" w:ascii="宋体" w:hAnsi="宋体" w:cs="宋体"/>
                <w:color w:val="auto"/>
                <w:kern w:val="0"/>
                <w:sz w:val="22"/>
                <w:highlight w:val="none"/>
              </w:rPr>
              <w:t>需要</w:t>
            </w:r>
            <w:r>
              <w:rPr>
                <w:rFonts w:hint="eastAsia" w:ascii="宋体" w:hAnsi="宋体" w:cs="宋体"/>
                <w:color w:val="auto"/>
                <w:kern w:val="0"/>
                <w:sz w:val="22"/>
                <w:highlight w:val="none"/>
                <w:lang w:eastAsia="zh-CN"/>
              </w:rPr>
              <w:t>：中标（成交）供应商须在签订合同后5个工作日内向采购人提交合同金额1%的履约保证金（履约保证金可以是银行保函、转账支票、银行汇票等方式缴纳）。</w:t>
            </w:r>
          </w:p>
        </w:tc>
      </w:tr>
      <w:tr w14:paraId="6D76D8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09" w:hRule="atLeast"/>
          <w:jc w:val="center"/>
        </w:trPr>
        <w:tc>
          <w:tcPr>
            <w:tcW w:w="952" w:type="dxa"/>
            <w:vAlign w:val="center"/>
          </w:tcPr>
          <w:p w14:paraId="5009EC5F">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E969D57">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竞争性磋商文件发售时间及获取方式</w:t>
            </w:r>
          </w:p>
        </w:tc>
        <w:tc>
          <w:tcPr>
            <w:tcW w:w="7619" w:type="dxa"/>
            <w:vAlign w:val="center"/>
          </w:tcPr>
          <w:p w14:paraId="60B89C57">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登录浙江省政府采购网（网址：</w:t>
            </w:r>
            <w:r>
              <w:rPr>
                <w:rFonts w:hint="eastAsia" w:ascii="宋体" w:hAnsi="宋体" w:cs="宋体"/>
                <w:color w:val="auto"/>
                <w:sz w:val="22"/>
                <w:highlight w:val="none"/>
              </w:rPr>
              <w:fldChar w:fldCharType="begin"/>
            </w:r>
            <w:r>
              <w:rPr>
                <w:rFonts w:hint="eastAsia" w:ascii="宋体" w:hAnsi="宋体" w:cs="宋体"/>
                <w:color w:val="auto"/>
                <w:sz w:val="22"/>
                <w:highlight w:val="none"/>
              </w:rPr>
              <w:instrText xml:space="preserve"> HYPERLINK "http://www.zjzfcg.gov.cn）查找本项目并获取采购文件，获取采购文件时应填写正确的电子邮箱。" </w:instrText>
            </w:r>
            <w:r>
              <w:rPr>
                <w:rFonts w:hint="eastAsia" w:ascii="宋体" w:hAnsi="宋体" w:cs="宋体"/>
                <w:color w:val="auto"/>
                <w:sz w:val="22"/>
                <w:highlight w:val="none"/>
              </w:rPr>
              <w:fldChar w:fldCharType="separate"/>
            </w:r>
            <w:r>
              <w:rPr>
                <w:rFonts w:hint="eastAsia" w:ascii="宋体" w:hAnsi="宋体" w:cs="宋体"/>
                <w:color w:val="auto"/>
                <w:sz w:val="22"/>
                <w:highlight w:val="none"/>
              </w:rPr>
              <w:t>http://zfcg.czt.zj.gov.cn/）查找本项目并获取采购文件，获取采购文件时应填写正确的电子邮箱（开标时若有文件传输均发至此邮箱）。</w:t>
            </w:r>
          </w:p>
          <w:p w14:paraId="209B865E">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fldChar w:fldCharType="end"/>
            </w:r>
            <w:r>
              <w:rPr>
                <w:rFonts w:hint="eastAsia" w:ascii="宋体" w:hAnsi="宋体" w:cs="宋体"/>
                <w:color w:val="auto"/>
                <w:sz w:val="22"/>
                <w:highlight w:val="none"/>
              </w:rPr>
              <w:t>采购文件获取截止时间：本项目开标时间。</w:t>
            </w:r>
          </w:p>
        </w:tc>
      </w:tr>
      <w:tr w14:paraId="146054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6D2D600E">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53573EC">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投标文件递交截止时间及地点</w:t>
            </w:r>
          </w:p>
        </w:tc>
        <w:tc>
          <w:tcPr>
            <w:tcW w:w="7619" w:type="dxa"/>
            <w:vAlign w:val="center"/>
          </w:tcPr>
          <w:p w14:paraId="2D55BEBC">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lang w:eastAsia="zh-CN"/>
              </w:rPr>
              <w:t>2025年01月24日</w:t>
            </w:r>
            <w:r>
              <w:rPr>
                <w:rFonts w:hint="eastAsia" w:ascii="宋体" w:hAnsi="宋体" w:cs="宋体"/>
                <w:color w:val="auto"/>
                <w:sz w:val="22"/>
                <w:highlight w:val="none"/>
              </w:rPr>
              <w:t xml:space="preserve"> </w:t>
            </w:r>
            <w:r>
              <w:rPr>
                <w:rFonts w:hint="eastAsia" w:ascii="宋体" w:hAnsi="宋体" w:cs="宋体"/>
                <w:color w:val="auto"/>
                <w:sz w:val="22"/>
                <w:highlight w:val="none"/>
                <w:lang w:eastAsia="zh-CN"/>
              </w:rPr>
              <w:t>15:00</w:t>
            </w:r>
            <w:r>
              <w:rPr>
                <w:rFonts w:hint="eastAsia" w:ascii="宋体" w:hAnsi="宋体" w:cs="宋体"/>
                <w:color w:val="auto"/>
                <w:sz w:val="22"/>
                <w:highlight w:val="none"/>
              </w:rPr>
              <w:t>(北京时间)</w:t>
            </w:r>
          </w:p>
          <w:p w14:paraId="4C36BB4C">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投标文件递交地点：“政府采购云平台（http://zfcg.czt.zj.gov.cn/）”在线递交</w:t>
            </w:r>
          </w:p>
        </w:tc>
      </w:tr>
      <w:tr w14:paraId="3E154C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5" w:hRule="atLeast"/>
          <w:jc w:val="center"/>
        </w:trPr>
        <w:tc>
          <w:tcPr>
            <w:tcW w:w="952" w:type="dxa"/>
            <w:vAlign w:val="center"/>
          </w:tcPr>
          <w:p w14:paraId="7E06D491">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92B6E10">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开标时间</w:t>
            </w:r>
          </w:p>
          <w:p w14:paraId="38275954">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开标地点</w:t>
            </w:r>
          </w:p>
        </w:tc>
        <w:tc>
          <w:tcPr>
            <w:tcW w:w="7619" w:type="dxa"/>
            <w:vAlign w:val="center"/>
          </w:tcPr>
          <w:p w14:paraId="1C81A066">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开标时间：</w:t>
            </w:r>
            <w:r>
              <w:rPr>
                <w:rFonts w:hint="eastAsia" w:ascii="宋体" w:hAnsi="宋体" w:cs="宋体"/>
                <w:color w:val="auto"/>
                <w:sz w:val="22"/>
                <w:highlight w:val="none"/>
                <w:lang w:eastAsia="zh-CN"/>
              </w:rPr>
              <w:t>2025年01月24日</w:t>
            </w:r>
            <w:r>
              <w:rPr>
                <w:rFonts w:hint="eastAsia" w:ascii="宋体" w:hAnsi="宋体" w:cs="宋体"/>
                <w:color w:val="auto"/>
                <w:sz w:val="22"/>
                <w:highlight w:val="none"/>
              </w:rPr>
              <w:t xml:space="preserve"> </w:t>
            </w:r>
            <w:r>
              <w:rPr>
                <w:rFonts w:hint="eastAsia" w:ascii="宋体" w:hAnsi="宋体" w:cs="宋体"/>
                <w:color w:val="auto"/>
                <w:sz w:val="22"/>
                <w:highlight w:val="none"/>
                <w:lang w:eastAsia="zh-CN"/>
              </w:rPr>
              <w:t>15:00</w:t>
            </w:r>
            <w:r>
              <w:rPr>
                <w:rFonts w:hint="eastAsia" w:ascii="宋体" w:hAnsi="宋体" w:cs="宋体"/>
                <w:color w:val="auto"/>
                <w:sz w:val="22"/>
                <w:highlight w:val="none"/>
              </w:rPr>
              <w:t xml:space="preserve"> (北京时间)</w:t>
            </w:r>
          </w:p>
          <w:p w14:paraId="065A9E90">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开标地点：“政府采购云平台（http://zfcg.czt.zj.gov.cn/）”在线开标</w:t>
            </w:r>
          </w:p>
        </w:tc>
      </w:tr>
      <w:tr w14:paraId="3983E7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5" w:hRule="atLeast"/>
          <w:jc w:val="center"/>
        </w:trPr>
        <w:tc>
          <w:tcPr>
            <w:tcW w:w="952" w:type="dxa"/>
            <w:vAlign w:val="center"/>
          </w:tcPr>
          <w:p w14:paraId="569860AB">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C626794">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评审地点</w:t>
            </w:r>
          </w:p>
        </w:tc>
        <w:tc>
          <w:tcPr>
            <w:tcW w:w="7619" w:type="dxa"/>
            <w:vAlign w:val="center"/>
          </w:tcPr>
          <w:p w14:paraId="14F0D97D">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泰顺县公共资源交易中心五楼评标室1（温州市泰顺县罗阳镇新城大道123号）</w:t>
            </w:r>
          </w:p>
        </w:tc>
      </w:tr>
      <w:tr w14:paraId="7080E5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2084" w:hRule="atLeast"/>
          <w:jc w:val="center"/>
        </w:trPr>
        <w:tc>
          <w:tcPr>
            <w:tcW w:w="952" w:type="dxa"/>
            <w:vAlign w:val="center"/>
          </w:tcPr>
          <w:p w14:paraId="39317FD5">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A1066D8">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开标程序</w:t>
            </w:r>
          </w:p>
        </w:tc>
        <w:tc>
          <w:tcPr>
            <w:tcW w:w="7619" w:type="dxa"/>
            <w:vAlign w:val="center"/>
          </w:tcPr>
          <w:p w14:paraId="10C59A7E">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（一）开标准备</w:t>
            </w:r>
          </w:p>
          <w:p w14:paraId="5E9487FB">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1.采购组织机构原则上采用电子评标，按照响应文件规定的时间通过“政府采购云平台”组织开标、开启响应文件，所有供应商均应当准时在线参加。供应商如不参加磋商大会的，视同认可磋商结果，事后不得对采购相关人员、磋商过程和磋商结果提出异议，同时供应商因未在线参加磋商而导致响应文件无法按时解密等一切后果由供应商自己承担。</w:t>
            </w:r>
          </w:p>
          <w:p w14:paraId="33DDD4D6">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2.若磋商供应商在规定时间内无法解密或解密失败的，其投标无效。</w:t>
            </w:r>
          </w:p>
          <w:p w14:paraId="522596D3">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3.所有二次报价询标流程，均在线上完成，请各供应商务必不要离开电脑太久，并留意手机短信。（请提前检查“政采云”内，关于‘项目采购’的岗位权限是否已勾选上。如有问题，请致电</w:t>
            </w:r>
            <w:r>
              <w:rPr>
                <w:rFonts w:hint="eastAsia" w:ascii="宋体" w:hAnsi="宋体" w:cs="宋体"/>
                <w:color w:val="auto"/>
                <w:sz w:val="22"/>
                <w:highlight w:val="none"/>
                <w:lang w:eastAsia="zh-CN"/>
              </w:rPr>
              <w:t>95763</w:t>
            </w:r>
            <w:r>
              <w:rPr>
                <w:rFonts w:hint="eastAsia" w:ascii="宋体" w:hAnsi="宋体" w:cs="宋体"/>
                <w:color w:val="auto"/>
                <w:sz w:val="22"/>
                <w:highlight w:val="none"/>
              </w:rPr>
              <w:t>）。</w:t>
            </w:r>
          </w:p>
          <w:p w14:paraId="46B0647C">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（二）电子招投标开标及评审程序</w:t>
            </w:r>
          </w:p>
          <w:p w14:paraId="19971D48">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1）开标会由采购代理机构主持，磋商响应截止时间后，供应商登录政采云平台，用“项目采购-开标评标”功能对电子投标文件进行在线解密，各供应商代表在收到解密通知后30分钟内自行完成“电子加密投标文件”的在线解密。</w:t>
            </w:r>
          </w:p>
          <w:p w14:paraId="7BF4140A">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2）投标文件解密结束，开启投标文件，对资格文件进行审查，并公布资格审查情况；</w:t>
            </w:r>
          </w:p>
          <w:p w14:paraId="3F9FA6FA">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3）评审小组就价格、服务等认为需要磋商的内容进行磋商，供应商逐家回答磋商小组的提问，响应人作出最终承诺和最终报价。</w:t>
            </w:r>
          </w:p>
          <w:p w14:paraId="5A327E0D">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4）对商务技术文件进行评审；</w:t>
            </w:r>
          </w:p>
          <w:p w14:paraId="4BEF0290">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5）对报价文件进行评审；</w:t>
            </w:r>
          </w:p>
          <w:p w14:paraId="793D9147">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6）公布评审结果。</w:t>
            </w:r>
          </w:p>
          <w:p w14:paraId="24475F7D">
            <w:pPr>
              <w:tabs>
                <w:tab w:val="left" w:pos="1069"/>
                <w:tab w:val="left" w:pos="2352"/>
              </w:tabs>
              <w:jc w:val="left"/>
              <w:rPr>
                <w:rFonts w:ascii="宋体" w:hAnsi="宋体" w:cs="宋体"/>
                <w:color w:val="auto"/>
                <w:sz w:val="22"/>
                <w:highlight w:val="none"/>
              </w:rPr>
            </w:pPr>
            <w:r>
              <w:rPr>
                <w:rFonts w:hint="eastAsia" w:ascii="宋体" w:hAnsi="宋体" w:cs="宋体"/>
                <w:b/>
                <w:bCs/>
                <w:color w:val="auto"/>
                <w:sz w:val="22"/>
                <w:highlight w:val="none"/>
              </w:rPr>
              <w:t>特别说明：政采云公司如对电子化开标及评审程序有调整的，按调整后的程序操作。</w:t>
            </w:r>
          </w:p>
        </w:tc>
      </w:tr>
      <w:tr w14:paraId="4E5FAB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952" w:type="dxa"/>
            <w:vAlign w:val="center"/>
          </w:tcPr>
          <w:p w14:paraId="6857A6E3">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9213FAF">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评审小组的</w:t>
            </w:r>
          </w:p>
          <w:p w14:paraId="0BC689C2">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组建</w:t>
            </w:r>
          </w:p>
        </w:tc>
        <w:tc>
          <w:tcPr>
            <w:tcW w:w="7619" w:type="dxa"/>
            <w:vAlign w:val="center"/>
          </w:tcPr>
          <w:p w14:paraId="5E8BA3D5">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评审小组构成：由采购人代表以及有关技术、经济等方面的专家组成，成员为3人及以上单数，其中技术、经济类专家不得少于总人数的2/3；评标专家确定方式：按相关规定从专家库中抽取。</w:t>
            </w:r>
          </w:p>
        </w:tc>
      </w:tr>
      <w:tr w14:paraId="0EE2FC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952" w:type="dxa"/>
            <w:vAlign w:val="center"/>
          </w:tcPr>
          <w:p w14:paraId="6F4C1673">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6865E94D">
            <w:pPr>
              <w:adjustRightInd w:val="0"/>
              <w:jc w:val="center"/>
              <w:rPr>
                <w:rFonts w:ascii="宋体"/>
                <w:color w:val="auto"/>
                <w:sz w:val="22"/>
                <w:highlight w:val="none"/>
              </w:rPr>
            </w:pPr>
            <w:r>
              <w:rPr>
                <w:rFonts w:hint="eastAsia" w:ascii="宋体"/>
                <w:color w:val="auto"/>
                <w:sz w:val="22"/>
                <w:highlight w:val="none"/>
              </w:rPr>
              <w:t>政府采购</w:t>
            </w:r>
          </w:p>
          <w:p w14:paraId="768EF29F">
            <w:pPr>
              <w:adjustRightInd w:val="0"/>
              <w:jc w:val="center"/>
              <w:rPr>
                <w:rFonts w:ascii="宋体" w:hAnsi="宋体" w:cs="宋体"/>
                <w:color w:val="auto"/>
                <w:sz w:val="22"/>
                <w:highlight w:val="none"/>
              </w:rPr>
            </w:pPr>
            <w:r>
              <w:rPr>
                <w:rFonts w:hint="eastAsia" w:ascii="宋体"/>
                <w:color w:val="auto"/>
                <w:sz w:val="22"/>
                <w:highlight w:val="none"/>
              </w:rPr>
              <w:t>扶持政策</w:t>
            </w:r>
          </w:p>
        </w:tc>
        <w:tc>
          <w:tcPr>
            <w:tcW w:w="7619" w:type="dxa"/>
            <w:vAlign w:val="center"/>
          </w:tcPr>
          <w:p w14:paraId="1E0633F1">
            <w:pPr>
              <w:tabs>
                <w:tab w:val="left" w:pos="1069"/>
                <w:tab w:val="left" w:pos="2352"/>
              </w:tabs>
              <w:rPr>
                <w:rFonts w:ascii="宋体" w:cs="Arial"/>
                <w:color w:val="auto"/>
                <w:sz w:val="22"/>
                <w:highlight w:val="none"/>
              </w:rPr>
            </w:pPr>
            <w:r>
              <w:rPr>
                <w:rFonts w:ascii="宋体"/>
                <w:color w:val="auto"/>
                <w:sz w:val="22"/>
                <w:highlight w:val="none"/>
              </w:rPr>
              <w:t>1</w:t>
            </w:r>
            <w:r>
              <w:rPr>
                <w:rFonts w:hint="eastAsia" w:ascii="宋体"/>
                <w:color w:val="auto"/>
                <w:sz w:val="22"/>
                <w:highlight w:val="none"/>
                <w:lang w:eastAsia="zh-CN"/>
              </w:rPr>
              <w:t>.</w:t>
            </w:r>
            <w:r>
              <w:rPr>
                <w:rFonts w:hint="eastAsia" w:ascii="宋体" w:hAnsi="宋体" w:cs="宋体"/>
                <w:color w:val="auto"/>
                <w:sz w:val="22"/>
                <w:highlight w:val="none"/>
              </w:rPr>
              <w:t>对符合财政扶持政策的小微企业（或监狱企业、或残疾人福利性单位）给予评标价格折扣。供应商企业属于以上多种性质的，不重复享受扶持政策</w:t>
            </w:r>
            <w:r>
              <w:rPr>
                <w:rFonts w:hint="eastAsia" w:ascii="宋体" w:cs="Arial"/>
                <w:color w:val="auto"/>
                <w:sz w:val="22"/>
                <w:highlight w:val="none"/>
              </w:rPr>
              <w:t>。</w:t>
            </w:r>
          </w:p>
          <w:p w14:paraId="11BC3AC9">
            <w:pPr>
              <w:rPr>
                <w:rFonts w:ascii="宋体" w:hAnsi="宋体" w:cs="宋体"/>
                <w:color w:val="auto"/>
                <w:sz w:val="22"/>
                <w:highlight w:val="none"/>
              </w:rPr>
            </w:pPr>
            <w:r>
              <w:rPr>
                <w:rFonts w:ascii="宋体" w:cs="Arial"/>
                <w:color w:val="auto"/>
                <w:sz w:val="22"/>
                <w:highlight w:val="none"/>
              </w:rPr>
              <w:t>2</w:t>
            </w:r>
            <w:r>
              <w:rPr>
                <w:rFonts w:hint="eastAsia" w:ascii="宋体" w:cs="Arial"/>
                <w:color w:val="auto"/>
                <w:sz w:val="22"/>
                <w:highlight w:val="none"/>
                <w:lang w:eastAsia="zh-CN"/>
              </w:rPr>
              <w:t>.</w:t>
            </w:r>
            <w:r>
              <w:rPr>
                <w:rFonts w:hint="eastAsia" w:ascii="宋体" w:cs="Arial"/>
                <w:color w:val="auto"/>
                <w:sz w:val="22"/>
                <w:highlight w:val="none"/>
              </w:rPr>
              <w:t>对节能、环保产品优先采购。</w:t>
            </w:r>
          </w:p>
        </w:tc>
      </w:tr>
      <w:tr w14:paraId="778D7C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041" w:hRule="atLeast"/>
          <w:jc w:val="center"/>
        </w:trPr>
        <w:tc>
          <w:tcPr>
            <w:tcW w:w="952" w:type="dxa"/>
            <w:vAlign w:val="center"/>
          </w:tcPr>
          <w:p w14:paraId="2E575B38">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7B91904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供应商信用查询</w:t>
            </w:r>
          </w:p>
        </w:tc>
        <w:tc>
          <w:tcPr>
            <w:tcW w:w="7619" w:type="dxa"/>
            <w:vAlign w:val="center"/>
          </w:tcPr>
          <w:p w14:paraId="0E619DFB">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1</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投标供应商信用信息查询的查询渠道：“信用中国”(</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宋体" w:hAnsi="宋体" w:cs="宋体"/>
                <w:color w:val="auto"/>
                <w:sz w:val="22"/>
                <w:highlight w:val="none"/>
              </w:rPr>
              <w:t>www.creditchina.gov.cn</w:t>
            </w:r>
            <w:r>
              <w:rPr>
                <w:rFonts w:hint="eastAsia" w:ascii="宋体" w:hAnsi="宋体" w:cs="宋体"/>
                <w:color w:val="auto"/>
                <w:sz w:val="22"/>
                <w:highlight w:val="none"/>
              </w:rPr>
              <w:fldChar w:fldCharType="end"/>
            </w:r>
            <w:r>
              <w:rPr>
                <w:rFonts w:hint="eastAsia" w:ascii="宋体" w:hAnsi="宋体" w:cs="宋体"/>
                <w:color w:val="auto"/>
                <w:sz w:val="22"/>
                <w:highlight w:val="none"/>
              </w:rPr>
              <w:t>)；“中国政府采购网”（http://www.ccgp.gov.cn/）；</w:t>
            </w:r>
          </w:p>
          <w:p w14:paraId="08B8CF5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投标供应商信用信息查询截止时点：本项目投标截止时间前。</w:t>
            </w:r>
          </w:p>
          <w:p w14:paraId="4E287F37">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3</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投标供应商信用信息查询记录和证据留存的具体方式：网页截图打印；</w:t>
            </w:r>
          </w:p>
          <w:p w14:paraId="3965D7C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4</w:t>
            </w:r>
            <w:r>
              <w:rPr>
                <w:rFonts w:hint="eastAsia" w:ascii="宋体" w:hAnsi="宋体" w:cs="宋体"/>
                <w:color w:val="auto"/>
                <w:sz w:val="22"/>
                <w:highlight w:val="none"/>
                <w:lang w:eastAsia="zh-CN"/>
              </w:rPr>
              <w:t>.</w:t>
            </w:r>
            <w:r>
              <w:rPr>
                <w:rFonts w:hint="eastAsia" w:ascii="宋体" w:hAnsi="宋体" w:cs="宋体"/>
                <w:color w:val="auto"/>
                <w:sz w:val="22"/>
                <w:highlight w:val="none"/>
              </w:rPr>
              <w:t>信用信息的使用规则：信用中国”被列入失信被执行人名单、重大税收违法案件当事人名单的供应商，或“中国政府采购网”具有严重违法失信行为信息记录的供应商，其投标做无效投标处理；</w:t>
            </w:r>
          </w:p>
        </w:tc>
      </w:tr>
      <w:tr w14:paraId="17CE4A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952" w:type="dxa"/>
            <w:vAlign w:val="center"/>
          </w:tcPr>
          <w:p w14:paraId="4D3AE986">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7CB0B29F">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合同备案</w:t>
            </w:r>
          </w:p>
        </w:tc>
        <w:tc>
          <w:tcPr>
            <w:tcW w:w="7619" w:type="dxa"/>
            <w:vAlign w:val="center"/>
          </w:tcPr>
          <w:p w14:paraId="775C057D">
            <w:pPr>
              <w:numPr>
                <w:ilvl w:val="0"/>
                <w:numId w:val="0"/>
              </w:numPr>
              <w:tabs>
                <w:tab w:val="left" w:pos="1069"/>
                <w:tab w:val="left" w:pos="2352"/>
              </w:tabs>
              <w:jc w:val="both"/>
              <w:rPr>
                <w:rFonts w:ascii="宋体" w:hAnsi="宋体" w:cs="宋体"/>
                <w:color w:val="auto"/>
                <w:sz w:val="22"/>
                <w:highlight w:val="none"/>
              </w:rPr>
            </w:pPr>
            <w:r>
              <w:rPr>
                <w:rFonts w:hint="eastAsia" w:ascii="宋体" w:hAnsi="宋体" w:cs="宋体"/>
                <w:color w:val="auto"/>
                <w:sz w:val="22"/>
                <w:highlight w:val="none"/>
                <w:lang w:val="en-US" w:eastAsia="zh-CN"/>
              </w:rPr>
              <w:t>1.</w:t>
            </w:r>
            <w:r>
              <w:rPr>
                <w:rFonts w:hint="eastAsia" w:ascii="宋体" w:hAnsi="宋体" w:cs="宋体"/>
                <w:color w:val="auto"/>
                <w:sz w:val="22"/>
                <w:highlight w:val="none"/>
              </w:rPr>
              <w:t>中标（成交）供应商须在发出中标（成交）通知书之日起30日历天内与</w:t>
            </w:r>
          </w:p>
          <w:p w14:paraId="619B858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采购人签订合同。</w:t>
            </w:r>
          </w:p>
          <w:p w14:paraId="78B5506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color w:val="auto"/>
                <w:sz w:val="22"/>
                <w:highlight w:val="none"/>
              </w:rPr>
              <w:t>中标（成交）供应商与采购人签订合同后，2日历天内将合同原件交招标代理机构备案。</w:t>
            </w:r>
          </w:p>
          <w:p w14:paraId="7D8E6FA8">
            <w:pPr>
              <w:numPr>
                <w:ilvl w:val="0"/>
                <w:numId w:val="0"/>
              </w:num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lang w:val="en-US" w:eastAsia="zh-CN"/>
              </w:rPr>
              <w:t>3.</w:t>
            </w:r>
            <w:r>
              <w:rPr>
                <w:rFonts w:hint="eastAsia" w:ascii="宋体" w:hAnsi="宋体" w:cs="宋体"/>
                <w:color w:val="auto"/>
                <w:sz w:val="22"/>
                <w:highlight w:val="none"/>
              </w:rPr>
              <w:t>本项目政府采购合同按规定在浙江政府采购网（http://zfcg.czt.zj.gov.cn/）予以公告。</w:t>
            </w:r>
          </w:p>
        </w:tc>
      </w:tr>
      <w:tr w14:paraId="2DF608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7158FBB8">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28CC6D8E">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合同履约管理</w:t>
            </w:r>
          </w:p>
        </w:tc>
        <w:tc>
          <w:tcPr>
            <w:tcW w:w="7619" w:type="dxa"/>
            <w:vAlign w:val="center"/>
          </w:tcPr>
          <w:p w14:paraId="39CE0AB8">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合同签订后，采购人依法加强对合同履约进行管理，并在中标（成交）单位供货（或服务）、项目验收等重要关节，如实填写《合同验收报告》（表附合同条款中），并及时向同级财政部门报告验收过程中遇到的问题。</w:t>
            </w:r>
          </w:p>
        </w:tc>
      </w:tr>
      <w:tr w14:paraId="0898D1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654BAEB1">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79F2F90A">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免责声明</w:t>
            </w:r>
          </w:p>
        </w:tc>
        <w:tc>
          <w:tcPr>
            <w:tcW w:w="7619" w:type="dxa"/>
            <w:vAlign w:val="center"/>
          </w:tcPr>
          <w:p w14:paraId="69CDB72A">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1</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投标供应商自行承担投标过程中产生的费用。无论何种因素导致采购项目延期开标、废标（流标）、投标供应商未成交、项目终止采购的，采购人与代理机构均不承担供应商投标费用。</w:t>
            </w:r>
          </w:p>
          <w:p w14:paraId="52CAB645">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投标供应商在投标、合同履行过程中必须做好安全保障工作，不因项目实施而危及自身及第三方人员、财产安全。若发生任何安全事故，由中标（成交）供应商自行承担一切责任并赔偿损失。</w:t>
            </w:r>
          </w:p>
        </w:tc>
      </w:tr>
      <w:tr w14:paraId="1BCE19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1A85165B">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bookmarkStart w:id="2" w:name="_Toc758_WPSOffice_Level1"/>
          </w:p>
        </w:tc>
        <w:tc>
          <w:tcPr>
            <w:tcW w:w="1600" w:type="dxa"/>
            <w:shd w:val="clear" w:color="auto" w:fill="auto"/>
            <w:vAlign w:val="center"/>
          </w:tcPr>
          <w:p w14:paraId="5E09BA55">
            <w:pPr>
              <w:jc w:val="center"/>
              <w:rPr>
                <w:rFonts w:hint="eastAsia" w:ascii="宋体" w:hAnsi="Times New Roman" w:eastAsia="宋体" w:cs="Arial"/>
                <w:color w:val="auto"/>
                <w:kern w:val="2"/>
                <w:sz w:val="22"/>
                <w:szCs w:val="22"/>
                <w:highlight w:val="none"/>
                <w:lang w:val="en-US" w:eastAsia="zh-CN" w:bidi="ar-SA"/>
              </w:rPr>
            </w:pPr>
            <w:r>
              <w:rPr>
                <w:rFonts w:hint="eastAsia" w:ascii="宋体" w:cs="Arial"/>
                <w:color w:val="auto"/>
                <w:sz w:val="22"/>
                <w:szCs w:val="22"/>
                <w:highlight w:val="none"/>
              </w:rPr>
              <w:t>注意事项</w:t>
            </w:r>
          </w:p>
        </w:tc>
        <w:tc>
          <w:tcPr>
            <w:tcW w:w="7619" w:type="dxa"/>
            <w:shd w:val="clear" w:color="auto" w:fill="auto"/>
            <w:vAlign w:val="center"/>
          </w:tcPr>
          <w:p w14:paraId="417800B5">
            <w:pPr>
              <w:rPr>
                <w:rFonts w:hint="default" w:ascii="宋体" w:eastAsia="宋体" w:cs="Arial"/>
                <w:color w:val="auto"/>
                <w:sz w:val="22"/>
                <w:szCs w:val="22"/>
                <w:highlight w:val="none"/>
                <w:lang w:val="en-US" w:eastAsia="zh-CN"/>
              </w:rPr>
            </w:pPr>
            <w:r>
              <w:rPr>
                <w:rFonts w:hint="eastAsia" w:ascii="宋体" w:cs="Arial"/>
                <w:color w:val="auto"/>
                <w:sz w:val="22"/>
                <w:szCs w:val="22"/>
                <w:highlight w:val="none"/>
              </w:rPr>
              <w:t>1.</w:t>
            </w:r>
            <w:r>
              <w:rPr>
                <w:rFonts w:hint="eastAsia" w:ascii="宋体" w:cs="Arial"/>
                <w:color w:val="auto"/>
                <w:sz w:val="22"/>
                <w:szCs w:val="22"/>
                <w:highlight w:val="none"/>
                <w:lang w:val="en-US" w:eastAsia="zh-CN"/>
              </w:rPr>
              <w:t>投标供应商未注册政采云账户的，应及时登录浙江省政府采购网（https://zfcg.czt.zj.gov.cn/site/home）注册，注册后及时申领（购买）CA</w:t>
            </w:r>
            <w:r>
              <w:rPr>
                <w:rFonts w:hint="eastAsia" w:ascii="宋体" w:cs="Arial"/>
                <w:color w:val="auto"/>
                <w:sz w:val="22"/>
                <w:szCs w:val="22"/>
                <w:highlight w:val="none"/>
              </w:rPr>
              <w:t>锁</w:t>
            </w:r>
            <w:r>
              <w:rPr>
                <w:rFonts w:hint="eastAsia" w:ascii="宋体" w:cs="Arial"/>
                <w:color w:val="auto"/>
                <w:sz w:val="22"/>
                <w:szCs w:val="22"/>
                <w:highlight w:val="none"/>
                <w:lang w:val="en-US" w:eastAsia="zh-CN"/>
              </w:rPr>
              <w:t>。</w:t>
            </w:r>
          </w:p>
          <w:p w14:paraId="28986238">
            <w:pPr>
              <w:rPr>
                <w:rFonts w:ascii="宋体" w:cs="Arial"/>
                <w:color w:val="auto"/>
                <w:sz w:val="22"/>
                <w:szCs w:val="22"/>
                <w:highlight w:val="none"/>
              </w:rPr>
            </w:pPr>
            <w:r>
              <w:rPr>
                <w:rFonts w:hint="eastAsia" w:ascii="宋体" w:cs="Arial"/>
                <w:color w:val="auto"/>
                <w:sz w:val="22"/>
                <w:szCs w:val="22"/>
                <w:highlight w:val="none"/>
                <w:lang w:val="en-US" w:eastAsia="zh-CN"/>
              </w:rPr>
              <w:t>2.</w:t>
            </w:r>
            <w:r>
              <w:rPr>
                <w:rFonts w:hint="eastAsia" w:ascii="宋体" w:cs="Arial"/>
                <w:color w:val="auto"/>
                <w:sz w:val="22"/>
                <w:szCs w:val="22"/>
                <w:highlight w:val="none"/>
              </w:rPr>
              <w:t>请务必确保投标文件制作客户端为最新版本，旧版本可能导致投标文件解密失败。</w:t>
            </w:r>
          </w:p>
          <w:p w14:paraId="639DEE3D">
            <w:pPr>
              <w:rPr>
                <w:rFonts w:hint="eastAsia" w:ascii="宋体" w:hAnsi="Times New Roman" w:eastAsia="宋体" w:cs="Arial"/>
                <w:color w:val="auto"/>
                <w:kern w:val="2"/>
                <w:sz w:val="22"/>
                <w:szCs w:val="22"/>
                <w:highlight w:val="none"/>
                <w:lang w:val="en-US" w:eastAsia="zh-CN" w:bidi="ar-SA"/>
              </w:rPr>
            </w:pPr>
            <w:r>
              <w:rPr>
                <w:rFonts w:hint="eastAsia" w:ascii="宋体" w:cs="Arial"/>
                <w:color w:val="auto"/>
                <w:sz w:val="22"/>
                <w:szCs w:val="22"/>
                <w:highlight w:val="none"/>
                <w:lang w:val="en-US" w:eastAsia="zh-CN"/>
              </w:rPr>
              <w:t>3</w:t>
            </w:r>
            <w:r>
              <w:rPr>
                <w:rFonts w:hint="eastAsia" w:ascii="宋体" w:cs="Arial"/>
                <w:color w:val="auto"/>
                <w:sz w:val="22"/>
                <w:szCs w:val="22"/>
                <w:highlight w:val="none"/>
              </w:rPr>
              <w:t>.请务必确保投标文件制作时所用的 CA 锁与投标文件解密时的 CA 锁为同一把，否则可能导致投标文件解密失败。</w:t>
            </w:r>
          </w:p>
        </w:tc>
      </w:tr>
    </w:tbl>
    <w:p w14:paraId="4B89A787">
      <w:pPr>
        <w:tabs>
          <w:tab w:val="left" w:pos="1069"/>
          <w:tab w:val="left" w:pos="2352"/>
        </w:tabs>
        <w:autoSpaceDE w:val="0"/>
        <w:autoSpaceDN w:val="0"/>
        <w:adjustRightInd w:val="0"/>
        <w:snapToGrid w:val="0"/>
        <w:spacing w:line="400" w:lineRule="exact"/>
        <w:jc w:val="center"/>
        <w:rPr>
          <w:rFonts w:ascii="宋体" w:hAnsi="宋体" w:cs="宋体"/>
          <w:b/>
          <w:color w:val="auto"/>
          <w:sz w:val="32"/>
          <w:szCs w:val="32"/>
          <w:highlight w:val="none"/>
          <w:lang w:val="zh-CN"/>
        </w:rPr>
      </w:pPr>
    </w:p>
    <w:p w14:paraId="506B0922">
      <w:pPr>
        <w:tabs>
          <w:tab w:val="left" w:pos="1069"/>
          <w:tab w:val="left" w:pos="2352"/>
        </w:tabs>
        <w:autoSpaceDE w:val="0"/>
        <w:autoSpaceDN w:val="0"/>
        <w:adjustRightInd w:val="0"/>
        <w:snapToGrid w:val="0"/>
        <w:spacing w:line="400" w:lineRule="exact"/>
        <w:jc w:val="center"/>
        <w:rPr>
          <w:rFonts w:hint="eastAsia" w:ascii="宋体" w:hAnsi="宋体" w:cs="宋体"/>
          <w:b/>
          <w:color w:val="auto"/>
          <w:sz w:val="32"/>
          <w:szCs w:val="32"/>
          <w:highlight w:val="none"/>
          <w:lang w:val="zh-CN"/>
        </w:rPr>
      </w:pPr>
    </w:p>
    <w:p w14:paraId="28998777">
      <w:pPr>
        <w:tabs>
          <w:tab w:val="left" w:pos="1069"/>
          <w:tab w:val="left" w:pos="2352"/>
        </w:tabs>
        <w:autoSpaceDE w:val="0"/>
        <w:autoSpaceDN w:val="0"/>
        <w:adjustRightInd w:val="0"/>
        <w:snapToGrid w:val="0"/>
        <w:spacing w:line="400" w:lineRule="exact"/>
        <w:jc w:val="center"/>
        <w:rPr>
          <w:rFonts w:ascii="宋体" w:hAnsi="宋体" w:cs="宋体"/>
          <w:b/>
          <w:color w:val="auto"/>
          <w:sz w:val="32"/>
          <w:szCs w:val="32"/>
          <w:highlight w:val="none"/>
          <w:lang w:val="zh-CN"/>
        </w:rPr>
      </w:pPr>
      <w:r>
        <w:rPr>
          <w:rFonts w:hint="eastAsia" w:ascii="宋体" w:hAnsi="宋体" w:cs="宋体"/>
          <w:b/>
          <w:color w:val="auto"/>
          <w:sz w:val="32"/>
          <w:szCs w:val="32"/>
          <w:highlight w:val="none"/>
          <w:lang w:val="zh-CN"/>
        </w:rPr>
        <w:t>第二部分、</w:t>
      </w:r>
      <w:bookmarkEnd w:id="2"/>
      <w:r>
        <w:rPr>
          <w:rFonts w:hint="eastAsia" w:ascii="宋体" w:hAnsi="宋体" w:cs="宋体"/>
          <w:b/>
          <w:color w:val="auto"/>
          <w:sz w:val="32"/>
          <w:szCs w:val="32"/>
          <w:highlight w:val="none"/>
          <w:lang w:val="zh-CN"/>
        </w:rPr>
        <w:t>采购内容及要求</w:t>
      </w:r>
    </w:p>
    <w:p w14:paraId="0B837538">
      <w:pPr>
        <w:keepNext w:val="0"/>
        <w:keepLines w:val="0"/>
        <w:pageBreakBefore w:val="0"/>
        <w:numPr>
          <w:ilvl w:val="0"/>
          <w:numId w:val="0"/>
        </w:numPr>
        <w:kinsoku/>
        <w:wordWrap/>
        <w:overflowPunct/>
        <w:topLinePunct w:val="0"/>
        <w:autoSpaceDE/>
        <w:autoSpaceDN/>
        <w:bidi w:val="0"/>
        <w:spacing w:line="400" w:lineRule="exact"/>
        <w:ind w:firstLine="442" w:firstLineChars="200"/>
        <w:textAlignment w:val="auto"/>
        <w:outlineLvl w:val="0"/>
        <w:rPr>
          <w:rFonts w:hint="eastAsia" w:ascii="宋体" w:hAnsi="宋体" w:eastAsia="宋体" w:cs="宋体"/>
          <w:b/>
          <w:bCs/>
          <w:color w:val="auto"/>
          <w:sz w:val="22"/>
          <w:szCs w:val="22"/>
          <w:highlight w:val="none"/>
          <w:lang w:eastAsia="zh-CN"/>
        </w:rPr>
      </w:pPr>
      <w:bookmarkStart w:id="3" w:name="_Toc28442"/>
      <w:bookmarkStart w:id="4" w:name="_Toc32655"/>
      <w:bookmarkStart w:id="5" w:name="_Toc29541"/>
      <w:bookmarkStart w:id="6" w:name="_Toc9096"/>
      <w:bookmarkStart w:id="7" w:name="_Toc27414"/>
      <w:bookmarkStart w:id="8" w:name="_Toc10658"/>
      <w:bookmarkStart w:id="9" w:name="_Toc22764"/>
      <w:bookmarkStart w:id="10" w:name="_Toc27595469"/>
      <w:bookmarkStart w:id="11" w:name="_Toc14882"/>
      <w:bookmarkStart w:id="12" w:name="_Toc15568468"/>
      <w:bookmarkStart w:id="13" w:name="_Toc24138"/>
      <w:bookmarkStart w:id="14" w:name="_Toc9333"/>
      <w:bookmarkStart w:id="15" w:name="_Toc16041"/>
      <w:bookmarkStart w:id="16" w:name="_Toc5398"/>
      <w:bookmarkStart w:id="17" w:name="_Toc5493_WPSOffice_Level1"/>
      <w:r>
        <w:rPr>
          <w:rFonts w:hint="eastAsia" w:ascii="宋体" w:hAnsi="宋体" w:cs="宋体"/>
          <w:b/>
          <w:bCs/>
          <w:color w:val="auto"/>
          <w:sz w:val="22"/>
          <w:szCs w:val="22"/>
          <w:highlight w:val="none"/>
          <w:lang w:val="en-US" w:eastAsia="zh-CN"/>
        </w:rPr>
        <w:t>一、</w:t>
      </w:r>
      <w:r>
        <w:rPr>
          <w:rFonts w:hint="eastAsia" w:ascii="宋体" w:hAnsi="宋体" w:eastAsia="宋体" w:cs="宋体"/>
          <w:b/>
          <w:bCs/>
          <w:color w:val="auto"/>
          <w:sz w:val="22"/>
          <w:szCs w:val="22"/>
          <w:highlight w:val="none"/>
        </w:rPr>
        <w:t>项目</w:t>
      </w:r>
      <w:bookmarkEnd w:id="3"/>
      <w:bookmarkEnd w:id="4"/>
      <w:bookmarkEnd w:id="5"/>
      <w:bookmarkEnd w:id="6"/>
      <w:bookmarkEnd w:id="7"/>
      <w:bookmarkEnd w:id="8"/>
      <w:bookmarkEnd w:id="9"/>
      <w:bookmarkEnd w:id="10"/>
      <w:bookmarkEnd w:id="11"/>
      <w:bookmarkEnd w:id="12"/>
      <w:bookmarkEnd w:id="13"/>
      <w:bookmarkEnd w:id="14"/>
      <w:bookmarkEnd w:id="15"/>
      <w:bookmarkEnd w:id="16"/>
      <w:r>
        <w:rPr>
          <w:rFonts w:hint="eastAsia" w:ascii="宋体" w:hAnsi="宋体" w:eastAsia="宋体" w:cs="宋体"/>
          <w:b/>
          <w:bCs/>
          <w:color w:val="auto"/>
          <w:sz w:val="22"/>
          <w:szCs w:val="22"/>
          <w:highlight w:val="none"/>
          <w:lang w:val="en-US" w:eastAsia="zh-CN"/>
        </w:rPr>
        <w:t>内容</w:t>
      </w:r>
    </w:p>
    <w:p w14:paraId="661A9916">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1.项目服务范围：</w:t>
      </w:r>
      <w:r>
        <w:rPr>
          <w:rFonts w:hint="eastAsia" w:hAnsi="宋体" w:cs="宋体"/>
          <w:bCs/>
          <w:color w:val="auto"/>
          <w:kern w:val="0"/>
          <w:sz w:val="22"/>
          <w:szCs w:val="22"/>
          <w:highlight w:val="none"/>
          <w:u w:val="none"/>
          <w:lang w:val="en-US" w:eastAsia="zh-CN"/>
        </w:rPr>
        <w:t>泰顺县彭溪镇峰文村牛塘垵简洋，设计面积约92.3亩</w:t>
      </w:r>
      <w:r>
        <w:rPr>
          <w:rFonts w:hint="eastAsia" w:ascii="宋体" w:hAnsi="宋体" w:eastAsia="宋体" w:cs="宋体"/>
          <w:bCs/>
          <w:color w:val="auto"/>
          <w:kern w:val="0"/>
          <w:sz w:val="22"/>
          <w:szCs w:val="22"/>
          <w:highlight w:val="none"/>
          <w:u w:val="none"/>
          <w:lang w:val="en-US" w:eastAsia="zh-CN"/>
        </w:rPr>
        <w:t>。</w:t>
      </w:r>
    </w:p>
    <w:p w14:paraId="77751378">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2.项目实施方式：农村土地</w:t>
      </w:r>
      <w:r>
        <w:rPr>
          <w:rFonts w:hint="eastAsia" w:hAnsi="宋体" w:cs="宋体"/>
          <w:bCs/>
          <w:color w:val="auto"/>
          <w:kern w:val="0"/>
          <w:sz w:val="22"/>
          <w:szCs w:val="22"/>
          <w:highlight w:val="none"/>
          <w:u w:val="none"/>
          <w:lang w:val="en-US" w:eastAsia="zh-CN"/>
        </w:rPr>
        <w:t>宜机化改造</w:t>
      </w:r>
      <w:r>
        <w:rPr>
          <w:rFonts w:hint="eastAsia" w:ascii="宋体" w:hAnsi="宋体" w:eastAsia="宋体" w:cs="宋体"/>
          <w:bCs/>
          <w:color w:val="auto"/>
          <w:kern w:val="0"/>
          <w:sz w:val="22"/>
          <w:szCs w:val="22"/>
          <w:highlight w:val="none"/>
          <w:u w:val="none"/>
          <w:lang w:val="en-US" w:eastAsia="zh-CN"/>
        </w:rPr>
        <w:t>及项目运营。具体内容为：</w:t>
      </w:r>
    </w:p>
    <w:p w14:paraId="497C2BAD">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部分：包含农田土地平整、灌溉与排水、田间道路、农田防护与生态环境保持等全部费用，详见工程量清单，采购人按实际数量结算费用。供应商应注意考虑报价风险。实施期要求：须在10个月内完成改造，</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质量要求为合格，</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质保期为自验收合格之日起至少1年。</w:t>
      </w:r>
    </w:p>
    <w:p w14:paraId="6BEFE586">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2）项目运营部分：</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实施完成后，进行耕种和管理养护。改造后耕种，主要负责水稻等粮油农作物、其他类作物的种植、培肥等；管理养护，主要负责项目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工程建设的基础设施完整和修缮。按照采购人、主管部门要求进行种植，每年至少种植一季粮油作物，不得抛荒，种植耕种补助范围及规定按上级补助要求。垦后耕种要求达到县农业农村局的验收标准。由运营单位享有种植成果，运营单位应精耕细作，努力提高耕种的质量和产量。管理养护要求满足项目实施的质量控制标准，并由县主管部门进行验收。改造</w:t>
      </w:r>
      <w:r>
        <w:rPr>
          <w:rFonts w:hint="eastAsia" w:hAnsi="宋体" w:cs="宋体"/>
          <w:bCs/>
          <w:color w:val="auto"/>
          <w:kern w:val="0"/>
          <w:sz w:val="22"/>
          <w:szCs w:val="22"/>
          <w:highlight w:val="none"/>
          <w:u w:val="none"/>
          <w:lang w:val="en-US" w:eastAsia="zh-CN"/>
        </w:rPr>
        <w:t>验收</w:t>
      </w:r>
      <w:r>
        <w:rPr>
          <w:rFonts w:hint="eastAsia" w:ascii="宋体" w:hAnsi="宋体" w:eastAsia="宋体" w:cs="宋体"/>
          <w:bCs/>
          <w:color w:val="auto"/>
          <w:kern w:val="0"/>
          <w:sz w:val="22"/>
          <w:szCs w:val="22"/>
          <w:highlight w:val="none"/>
          <w:u w:val="none"/>
          <w:lang w:val="en-US" w:eastAsia="zh-CN"/>
        </w:rPr>
        <w:t>后</w:t>
      </w:r>
      <w:r>
        <w:rPr>
          <w:rFonts w:hint="eastAsia" w:hAnsi="宋体" w:cs="宋体"/>
          <w:bCs/>
          <w:color w:val="auto"/>
          <w:kern w:val="0"/>
          <w:sz w:val="22"/>
          <w:szCs w:val="22"/>
          <w:highlight w:val="none"/>
          <w:u w:val="none"/>
          <w:lang w:val="en-US" w:eastAsia="zh-CN"/>
        </w:rPr>
        <w:t>的</w:t>
      </w:r>
      <w:r>
        <w:rPr>
          <w:rFonts w:hint="eastAsia" w:ascii="宋体" w:hAnsi="宋体" w:eastAsia="宋体" w:cs="宋体"/>
          <w:bCs/>
          <w:color w:val="auto"/>
          <w:kern w:val="0"/>
          <w:sz w:val="22"/>
          <w:szCs w:val="22"/>
          <w:highlight w:val="none"/>
          <w:u w:val="none"/>
          <w:lang w:val="en-US" w:eastAsia="zh-CN"/>
        </w:rPr>
        <w:t>一年</w:t>
      </w:r>
      <w:r>
        <w:rPr>
          <w:rFonts w:hint="eastAsia" w:hAnsi="宋体" w:cs="宋体"/>
          <w:bCs/>
          <w:color w:val="auto"/>
          <w:kern w:val="0"/>
          <w:sz w:val="22"/>
          <w:szCs w:val="22"/>
          <w:highlight w:val="none"/>
          <w:u w:val="none"/>
          <w:lang w:val="en-US" w:eastAsia="zh-CN"/>
        </w:rPr>
        <w:t>为项目运营过渡期</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收益缴纳按上级政策和主管部门规定为准。</w:t>
      </w:r>
      <w:r>
        <w:rPr>
          <w:rFonts w:hint="eastAsia" w:ascii="宋体" w:hAnsi="宋体" w:eastAsia="宋体" w:cs="宋体"/>
          <w:bCs/>
          <w:color w:val="auto"/>
          <w:kern w:val="0"/>
          <w:sz w:val="22"/>
          <w:szCs w:val="22"/>
          <w:highlight w:val="none"/>
          <w:u w:val="none"/>
          <w:lang w:val="en-US" w:eastAsia="zh-CN"/>
        </w:rPr>
        <w:t>正式运营服务期：三年（</w:t>
      </w:r>
      <w:r>
        <w:rPr>
          <w:rFonts w:hint="eastAsia" w:hAnsi="宋体" w:cs="宋体"/>
          <w:bCs/>
          <w:color w:val="auto"/>
          <w:kern w:val="0"/>
          <w:sz w:val="22"/>
          <w:szCs w:val="22"/>
          <w:highlight w:val="none"/>
          <w:u w:val="none"/>
          <w:lang w:val="en-US" w:eastAsia="zh-CN"/>
        </w:rPr>
        <w:t>自过渡期满后开始计算，若上级政策及主管部门另有要求的，以其规定为准，中标方须无条件接受</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，运营期满后以</w:t>
      </w:r>
      <w:r>
        <w:rPr>
          <w:rFonts w:hint="eastAsia" w:ascii="宋体" w:hAnsi="宋体" w:eastAsia="宋体" w:cs="宋体"/>
          <w:bCs/>
          <w:color w:val="auto"/>
          <w:kern w:val="0"/>
          <w:sz w:val="22"/>
          <w:szCs w:val="22"/>
          <w:highlight w:val="none"/>
          <w:u w:val="none"/>
          <w:lang w:val="en-US" w:eastAsia="zh-CN"/>
        </w:rPr>
        <w:t>上级政策及主管部门</w:t>
      </w:r>
      <w:r>
        <w:rPr>
          <w:rFonts w:hint="eastAsia" w:hAnsi="宋体" w:cs="宋体"/>
          <w:bCs/>
          <w:color w:val="auto"/>
          <w:kern w:val="0"/>
          <w:sz w:val="22"/>
          <w:szCs w:val="22"/>
          <w:highlight w:val="none"/>
          <w:u w:val="none"/>
          <w:lang w:val="en-US" w:eastAsia="zh-CN"/>
        </w:rPr>
        <w:t>为准</w:t>
      </w:r>
      <w:r>
        <w:rPr>
          <w:rFonts w:hint="eastAsia" w:ascii="宋体" w:hAnsi="宋体" w:eastAsia="宋体" w:cs="宋体"/>
          <w:bCs/>
          <w:color w:val="auto"/>
          <w:kern w:val="0"/>
          <w:sz w:val="22"/>
          <w:szCs w:val="22"/>
          <w:highlight w:val="none"/>
          <w:u w:val="none"/>
          <w:lang w:val="en-US" w:eastAsia="zh-CN"/>
        </w:rPr>
        <w:t>。</w:t>
      </w:r>
    </w:p>
    <w:p w14:paraId="254B64F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rPr>
      </w:pPr>
      <w:r>
        <w:rPr>
          <w:rFonts w:hint="eastAsia" w:ascii="宋体" w:hAnsi="宋体" w:eastAsia="宋体" w:cs="宋体"/>
          <w:bCs/>
          <w:color w:val="auto"/>
          <w:kern w:val="0"/>
          <w:sz w:val="22"/>
          <w:szCs w:val="22"/>
          <w:highlight w:val="none"/>
          <w:u w:val="none"/>
          <w:lang w:val="en-US" w:eastAsia="zh-CN"/>
        </w:rPr>
        <w:t>3）项目按立项文件要求，并通过县级验收，实现最终入库，完成</w:t>
      </w:r>
      <w:r>
        <w:rPr>
          <w:rFonts w:hint="eastAsia" w:hAnsi="宋体" w:cs="宋体"/>
          <w:bCs/>
          <w:color w:val="auto"/>
          <w:kern w:val="0"/>
          <w:sz w:val="22"/>
          <w:szCs w:val="22"/>
          <w:highlight w:val="none"/>
          <w:u w:val="none"/>
          <w:lang w:val="en-US" w:eastAsia="zh-CN"/>
        </w:rPr>
        <w:t>报备入库</w:t>
      </w:r>
      <w:r>
        <w:rPr>
          <w:rFonts w:hint="eastAsia" w:ascii="宋体" w:hAnsi="宋体" w:eastAsia="宋体" w:cs="宋体"/>
          <w:bCs/>
          <w:color w:val="auto"/>
          <w:kern w:val="0"/>
          <w:sz w:val="22"/>
          <w:szCs w:val="22"/>
          <w:highlight w:val="none"/>
        </w:rPr>
        <w:t>、</w:t>
      </w:r>
      <w:r>
        <w:rPr>
          <w:rFonts w:hint="eastAsia" w:ascii="宋体" w:hAnsi="宋体" w:eastAsia="宋体" w:cs="宋体"/>
          <w:bCs/>
          <w:color w:val="auto"/>
          <w:kern w:val="0"/>
          <w:sz w:val="22"/>
          <w:szCs w:val="22"/>
          <w:highlight w:val="none"/>
          <w:lang w:val="en-US" w:eastAsia="zh-CN"/>
        </w:rPr>
        <w:t>协助采购人备案、项目实施</w:t>
      </w:r>
      <w:r>
        <w:rPr>
          <w:rFonts w:hint="eastAsia" w:ascii="宋体" w:hAnsi="宋体" w:eastAsia="宋体" w:cs="宋体"/>
          <w:bCs/>
          <w:color w:val="auto"/>
          <w:kern w:val="0"/>
          <w:sz w:val="22"/>
          <w:szCs w:val="22"/>
          <w:highlight w:val="none"/>
        </w:rPr>
        <w:t>保险</w:t>
      </w:r>
      <w:r>
        <w:rPr>
          <w:rFonts w:hint="eastAsia" w:ascii="宋体" w:hAnsi="宋体" w:eastAsia="宋体" w:cs="宋体"/>
          <w:bCs/>
          <w:color w:val="auto"/>
          <w:kern w:val="0"/>
          <w:sz w:val="22"/>
          <w:szCs w:val="22"/>
          <w:highlight w:val="none"/>
          <w:lang w:eastAsia="zh-CN"/>
        </w:rPr>
        <w:t>、立项验收资料归档</w:t>
      </w:r>
      <w:r>
        <w:rPr>
          <w:rFonts w:hint="eastAsia" w:ascii="宋体" w:hAnsi="宋体" w:eastAsia="宋体" w:cs="宋体"/>
          <w:bCs/>
          <w:color w:val="auto"/>
          <w:kern w:val="0"/>
          <w:sz w:val="22"/>
          <w:szCs w:val="22"/>
          <w:highlight w:val="none"/>
          <w:lang w:val="en-US" w:eastAsia="zh-CN"/>
        </w:rPr>
        <w:t>等</w:t>
      </w:r>
      <w:r>
        <w:rPr>
          <w:rFonts w:hint="eastAsia" w:ascii="宋体" w:hAnsi="宋体" w:eastAsia="宋体" w:cs="宋体"/>
          <w:bCs/>
          <w:color w:val="auto"/>
          <w:kern w:val="0"/>
          <w:sz w:val="22"/>
          <w:szCs w:val="22"/>
          <w:highlight w:val="none"/>
        </w:rPr>
        <w:t>。</w:t>
      </w:r>
    </w:p>
    <w:p w14:paraId="7B65F7E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3.本项目通过</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后，对项目进行整体运营，采取运营收益上缴方式，在300元/亩/年基础上进行报价，按实际亩数计算上缴费用，运营收益，一年一交，在每年</w:t>
      </w:r>
      <w:r>
        <w:rPr>
          <w:rFonts w:hint="eastAsia" w:hAnsi="宋体" w:cs="宋体"/>
          <w:bCs/>
          <w:color w:val="auto"/>
          <w:kern w:val="0"/>
          <w:sz w:val="22"/>
          <w:szCs w:val="22"/>
          <w:highlight w:val="none"/>
          <w:u w:val="none"/>
          <w:lang w:val="en-US" w:eastAsia="zh-CN"/>
        </w:rPr>
        <w:t>度开始时</w:t>
      </w:r>
      <w:r>
        <w:rPr>
          <w:rFonts w:hint="eastAsia" w:ascii="宋体" w:hAnsi="宋体" w:eastAsia="宋体" w:cs="宋体"/>
          <w:bCs/>
          <w:color w:val="auto"/>
          <w:kern w:val="0"/>
          <w:sz w:val="22"/>
          <w:szCs w:val="22"/>
          <w:highlight w:val="none"/>
          <w:u w:val="none"/>
          <w:lang w:val="en-US" w:eastAsia="zh-CN"/>
        </w:rPr>
        <w:t>统一交入县财政专户。同时中标单位须根据实际</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亩数支付土地租金费用给村集体，本项目预计租金费用为</w:t>
      </w:r>
      <w:r>
        <w:rPr>
          <w:rFonts w:hint="eastAsia" w:hAnsi="宋体" w:cs="宋体"/>
          <w:bCs/>
          <w:color w:val="auto"/>
          <w:kern w:val="0"/>
          <w:sz w:val="22"/>
          <w:szCs w:val="22"/>
          <w:highlight w:val="none"/>
          <w:u w:val="single"/>
          <w:lang w:val="en-US" w:eastAsia="zh-CN"/>
        </w:rPr>
        <w:t>400</w:t>
      </w:r>
      <w:r>
        <w:rPr>
          <w:rFonts w:hint="eastAsia" w:ascii="宋体" w:hAnsi="宋体" w:eastAsia="宋体" w:cs="宋体"/>
          <w:bCs/>
          <w:color w:val="auto"/>
          <w:kern w:val="0"/>
          <w:sz w:val="22"/>
          <w:szCs w:val="22"/>
          <w:highlight w:val="none"/>
          <w:u w:val="none"/>
          <w:lang w:val="en-US" w:eastAsia="zh-CN"/>
        </w:rPr>
        <w:t>元/亩/年，</w:t>
      </w:r>
      <w:r>
        <w:rPr>
          <w:rFonts w:hint="eastAsia" w:hAnsi="宋体" w:cs="宋体"/>
          <w:bCs/>
          <w:color w:val="auto"/>
          <w:kern w:val="0"/>
          <w:sz w:val="22"/>
          <w:szCs w:val="22"/>
          <w:highlight w:val="none"/>
          <w:u w:val="none"/>
          <w:lang w:val="en-US" w:eastAsia="zh-CN"/>
        </w:rPr>
        <w:t>租金自实施改造进场施工之日起开始计算并一次性缴纳，具体</w:t>
      </w:r>
      <w:r>
        <w:rPr>
          <w:rFonts w:hint="eastAsia" w:ascii="宋体" w:hAnsi="宋体" w:eastAsia="宋体" w:cs="宋体"/>
          <w:bCs/>
          <w:color w:val="auto"/>
          <w:kern w:val="0"/>
          <w:sz w:val="22"/>
          <w:szCs w:val="22"/>
          <w:highlight w:val="none"/>
          <w:u w:val="none"/>
          <w:lang w:val="en-US" w:eastAsia="zh-CN"/>
        </w:rPr>
        <w:t>以中标后与村集体协商确定为准。</w:t>
      </w:r>
    </w:p>
    <w:p w14:paraId="75C4288A">
      <w:pPr>
        <w:keepNext w:val="0"/>
        <w:keepLines w:val="0"/>
        <w:pageBreakBefore w:val="0"/>
        <w:kinsoku/>
        <w:wordWrap/>
        <w:overflowPunct/>
        <w:topLinePunct w:val="0"/>
        <w:autoSpaceDE/>
        <w:autoSpaceDN/>
        <w:bidi w:val="0"/>
        <w:spacing w:line="400" w:lineRule="exact"/>
        <w:ind w:firstLine="440" w:firstLineChars="200"/>
        <w:textAlignment w:val="auto"/>
        <w:outlineLvl w:val="9"/>
        <w:rPr>
          <w:rFonts w:hint="eastAsia" w:ascii="宋体" w:hAnsi="宋体" w:eastAsia="宋体" w:cs="宋体"/>
          <w:bCs/>
          <w:color w:val="auto"/>
          <w:kern w:val="0"/>
          <w:sz w:val="22"/>
          <w:szCs w:val="22"/>
          <w:highlight w:val="none"/>
          <w:u w:val="none"/>
          <w:lang w:val="en-US" w:eastAsia="zh-CN"/>
        </w:rPr>
      </w:pPr>
      <w:bookmarkStart w:id="18" w:name="_Toc27595471"/>
      <w:bookmarkStart w:id="19" w:name="_Toc647"/>
      <w:bookmarkStart w:id="20" w:name="_Toc15568471"/>
      <w:r>
        <w:rPr>
          <w:rFonts w:hint="eastAsia" w:ascii="宋体" w:hAnsi="宋体" w:eastAsia="宋体" w:cs="宋体"/>
          <w:bCs/>
          <w:color w:val="auto"/>
          <w:kern w:val="0"/>
          <w:sz w:val="22"/>
          <w:szCs w:val="22"/>
          <w:highlight w:val="none"/>
          <w:u w:val="none"/>
          <w:lang w:val="en-US" w:eastAsia="zh-CN"/>
        </w:rPr>
        <w:t>4.未经采购人书面同意，不得进行转包、分包。</w:t>
      </w:r>
    </w:p>
    <w:p w14:paraId="6335540E">
      <w:pPr>
        <w:keepNext w:val="0"/>
        <w:keepLines w:val="0"/>
        <w:pageBreakBefore w:val="0"/>
        <w:kinsoku/>
        <w:wordWrap/>
        <w:overflowPunct/>
        <w:topLinePunct w:val="0"/>
        <w:autoSpaceDE/>
        <w:autoSpaceDN/>
        <w:bidi w:val="0"/>
        <w:spacing w:line="400" w:lineRule="exact"/>
        <w:ind w:firstLine="440" w:firstLineChars="200"/>
        <w:textAlignment w:val="auto"/>
        <w:outlineLvl w:val="9"/>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5.如未联合体投标的，投标供应商明确项目内分工、双方权利义务等。</w:t>
      </w:r>
    </w:p>
    <w:p w14:paraId="76EAE335">
      <w:pPr>
        <w:keepNext w:val="0"/>
        <w:keepLines w:val="0"/>
        <w:pageBreakBefore w:val="0"/>
        <w:kinsoku/>
        <w:wordWrap/>
        <w:overflowPunct/>
        <w:topLinePunct w:val="0"/>
        <w:autoSpaceDE/>
        <w:autoSpaceDN/>
        <w:bidi w:val="0"/>
        <w:spacing w:line="400" w:lineRule="exact"/>
        <w:ind w:firstLine="442" w:firstLineChars="200"/>
        <w:textAlignment w:val="auto"/>
        <w:outlineLvl w:val="9"/>
        <w:rPr>
          <w:rFonts w:hint="default"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二、</w:t>
      </w:r>
      <w:bookmarkEnd w:id="18"/>
      <w:bookmarkEnd w:id="19"/>
      <w:bookmarkEnd w:id="20"/>
      <w:bookmarkStart w:id="21" w:name="_Toc10535"/>
      <w:bookmarkStart w:id="22" w:name="_Toc32086"/>
      <w:bookmarkStart w:id="23" w:name="_Toc27759"/>
      <w:bookmarkStart w:id="24" w:name="_Toc30036"/>
      <w:bookmarkStart w:id="25" w:name="_Toc9612"/>
      <w:bookmarkStart w:id="26" w:name="_Toc27595487"/>
      <w:bookmarkStart w:id="27" w:name="_Toc31203"/>
      <w:bookmarkStart w:id="28" w:name="_Toc15568491"/>
      <w:bookmarkStart w:id="29" w:name="_Toc20558"/>
      <w:r>
        <w:rPr>
          <w:rFonts w:hint="eastAsia" w:ascii="宋体" w:hAnsi="宋体" w:cs="宋体"/>
          <w:b/>
          <w:bCs/>
          <w:color w:val="auto"/>
          <w:sz w:val="22"/>
          <w:szCs w:val="22"/>
          <w:highlight w:val="none"/>
          <w:lang w:val="en-US" w:eastAsia="zh-CN"/>
        </w:rPr>
        <w:t>服务要求</w:t>
      </w:r>
    </w:p>
    <w:p w14:paraId="2AF6F75D">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的权利</w:t>
      </w:r>
    </w:p>
    <w:p w14:paraId="5169DDA1">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1</w:t>
      </w:r>
      <w:r>
        <w:rPr>
          <w:rFonts w:hint="eastAsia" w:ascii="宋体" w:hAnsi="宋体" w:eastAsia="宋体" w:cs="宋体"/>
          <w:bCs/>
          <w:color w:val="auto"/>
          <w:kern w:val="0"/>
          <w:sz w:val="22"/>
          <w:szCs w:val="22"/>
          <w:highlight w:val="none"/>
          <w:u w:val="none"/>
          <w:lang w:val="en-US" w:eastAsia="zh-CN"/>
        </w:rPr>
        <w:t>)在项目建设运营期间，</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享有项目范围内全部资产的使用权、经营权。</w:t>
      </w:r>
    </w:p>
    <w:p w14:paraId="6C7D39B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2</w:t>
      </w:r>
      <w:r>
        <w:rPr>
          <w:rFonts w:hint="eastAsia" w:ascii="宋体" w:hAnsi="宋体" w:eastAsia="宋体" w:cs="宋体"/>
          <w:bCs/>
          <w:color w:val="auto"/>
          <w:kern w:val="0"/>
          <w:sz w:val="22"/>
          <w:szCs w:val="22"/>
          <w:highlight w:val="none"/>
          <w:u w:val="none"/>
          <w:lang w:val="en-US" w:eastAsia="zh-CN"/>
        </w:rPr>
        <w:t>)在项目运营期内，</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享受泰顺本地及上级的扶持优惠政策，扶持的政策按规定执行。</w:t>
      </w:r>
    </w:p>
    <w:p w14:paraId="69C9203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3</w:t>
      </w:r>
      <w:r>
        <w:rPr>
          <w:rFonts w:hint="eastAsia" w:ascii="宋体" w:hAnsi="宋体" w:eastAsia="宋体" w:cs="宋体"/>
          <w:bCs/>
          <w:color w:val="auto"/>
          <w:kern w:val="0"/>
          <w:sz w:val="22"/>
          <w:szCs w:val="22"/>
          <w:highlight w:val="none"/>
          <w:u w:val="none"/>
          <w:lang w:val="en-US" w:eastAsia="zh-CN"/>
        </w:rPr>
        <w:t>)运营期内如因泰顺县或上级政府规划调整，导致该项目全部或部分土地被征用的，经与</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协商后，</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应清理征用区域的农作物及地上附着物，享有被征用部分的青苗补偿款及地上附着物的补偿款，但项目区内的基础设施政府投入和补贴部分不列入补偿范围。</w:t>
      </w:r>
    </w:p>
    <w:p w14:paraId="56EB2FF3">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的义务</w:t>
      </w:r>
    </w:p>
    <w:p w14:paraId="0A0BB340">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1</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按约定如数如期向财政上交土地收益费用</w:t>
      </w:r>
      <w:r>
        <w:rPr>
          <w:rFonts w:hint="eastAsia" w:hAnsi="宋体" w:cs="宋体"/>
          <w:bCs/>
          <w:color w:val="auto"/>
          <w:kern w:val="0"/>
          <w:sz w:val="22"/>
          <w:szCs w:val="22"/>
          <w:highlight w:val="none"/>
          <w:u w:val="none"/>
          <w:lang w:val="en-US" w:eastAsia="zh-CN"/>
        </w:rPr>
        <w:t>，否则采购人有权终止合同。</w:t>
      </w:r>
    </w:p>
    <w:p w14:paraId="0C62BB3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2</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在运营期内，自主经营、自负盈亏、并依法办理相关审批手续。</w:t>
      </w:r>
    </w:p>
    <w:p w14:paraId="51FA33D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3中标（成交）供应商</w:t>
      </w:r>
      <w:r>
        <w:rPr>
          <w:rFonts w:hint="eastAsia" w:ascii="宋体" w:hAnsi="宋体" w:eastAsia="宋体" w:cs="宋体"/>
          <w:bCs/>
          <w:color w:val="auto"/>
          <w:kern w:val="0"/>
          <w:sz w:val="22"/>
          <w:szCs w:val="22"/>
          <w:highlight w:val="none"/>
          <w:u w:val="none"/>
          <w:lang w:val="en-US" w:eastAsia="zh-CN"/>
        </w:rPr>
        <w:t>在运营期内不得将承租土地抛荒、转借，在租赁土地范围内修建农用设施及办公、生活必需的其他固定建筑物和构筑物，必须征得</w:t>
      </w:r>
      <w:r>
        <w:rPr>
          <w:rFonts w:hint="eastAsia" w:hAnsi="宋体" w:cs="宋体"/>
          <w:bCs/>
          <w:color w:val="auto"/>
          <w:kern w:val="0"/>
          <w:sz w:val="22"/>
          <w:szCs w:val="22"/>
          <w:highlight w:val="none"/>
          <w:u w:val="none"/>
          <w:lang w:val="en-US" w:eastAsia="zh-CN"/>
        </w:rPr>
        <w:t>采购人及</w:t>
      </w:r>
      <w:r>
        <w:rPr>
          <w:rFonts w:hint="eastAsia" w:ascii="宋体" w:hAnsi="宋体" w:eastAsia="宋体" w:cs="宋体"/>
          <w:bCs/>
          <w:color w:val="auto"/>
          <w:kern w:val="0"/>
          <w:sz w:val="22"/>
          <w:szCs w:val="22"/>
          <w:highlight w:val="none"/>
          <w:u w:val="none"/>
          <w:lang w:val="en-US" w:eastAsia="zh-CN"/>
        </w:rPr>
        <w:t>相关</w:t>
      </w:r>
      <w:r>
        <w:rPr>
          <w:rFonts w:hint="eastAsia" w:hAnsi="宋体" w:cs="宋体"/>
          <w:bCs/>
          <w:color w:val="auto"/>
          <w:kern w:val="0"/>
          <w:sz w:val="22"/>
          <w:szCs w:val="22"/>
          <w:highlight w:val="none"/>
          <w:u w:val="none"/>
          <w:lang w:val="en-US" w:eastAsia="zh-CN"/>
        </w:rPr>
        <w:t>主管部门的</w:t>
      </w:r>
      <w:r>
        <w:rPr>
          <w:rFonts w:hint="eastAsia" w:ascii="宋体" w:hAnsi="宋体" w:eastAsia="宋体" w:cs="宋体"/>
          <w:bCs/>
          <w:color w:val="auto"/>
          <w:kern w:val="0"/>
          <w:sz w:val="22"/>
          <w:szCs w:val="22"/>
          <w:highlight w:val="none"/>
          <w:u w:val="none"/>
          <w:lang w:val="en-US" w:eastAsia="zh-CN"/>
        </w:rPr>
        <w:t>同意并报相关职能部门审批。</w:t>
      </w:r>
    </w:p>
    <w:p w14:paraId="36354870">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4</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不得擅自改变农业生产用途，不得挖塘，不得改变原有主要沟渠等水系。</w:t>
      </w:r>
    </w:p>
    <w:p w14:paraId="5E180DA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5</w:t>
      </w:r>
      <w:r>
        <w:rPr>
          <w:rFonts w:hint="eastAsia" w:ascii="宋体" w:hAnsi="宋体" w:eastAsia="宋体" w:cs="宋体"/>
          <w:bCs/>
          <w:color w:val="auto"/>
          <w:kern w:val="0"/>
          <w:sz w:val="22"/>
          <w:szCs w:val="22"/>
          <w:highlight w:val="none"/>
          <w:u w:val="none"/>
          <w:lang w:val="en-US" w:eastAsia="zh-CN"/>
        </w:rPr>
        <w:t>)河道取水按规定办理。承租范围内沟、渠、机耕路在运营期由</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负责维修、更换，以保持正常使用。中标（成交）供应商必须无条件服从采购人因防汛抗旱、抢险救灾等民生公共事由对承租范围内基础设施的调度使用。</w:t>
      </w:r>
    </w:p>
    <w:p w14:paraId="17CB76A1">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(6)运营期因生产经营所发生的所有事故及造成他人损害的，由中标（成交）供应商承担责任。</w:t>
      </w:r>
    </w:p>
    <w:p w14:paraId="6818C3C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(7)中标（成交）供应商积极配合采购人以及相关主管部门，对本项目的建设运营监督管理工作。</w:t>
      </w:r>
    </w:p>
    <w:p w14:paraId="788F9F00">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三、项目验收</w:t>
      </w:r>
      <w:bookmarkEnd w:id="21"/>
      <w:bookmarkEnd w:id="22"/>
      <w:bookmarkEnd w:id="23"/>
      <w:bookmarkEnd w:id="24"/>
      <w:bookmarkEnd w:id="25"/>
      <w:bookmarkEnd w:id="26"/>
      <w:bookmarkEnd w:id="27"/>
      <w:bookmarkEnd w:id="28"/>
      <w:bookmarkEnd w:id="29"/>
    </w:p>
    <w:p w14:paraId="4DF49EB0">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项目验收：中标（成交）供应商完成项目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项目乡镇政府组织项目设计、监理等单位对项目进行自验，自验合格的，项目乡镇政府向县农业农村部门申请项目验收。县农业农村部门会同财政部门，组织相关部门专家组成员进行项目验收。项目通过验收后，中标（成交）供应商开展竣工验收相关材料编制整理等工作，做好项目报备入库工作。</w:t>
      </w:r>
    </w:p>
    <w:p w14:paraId="5A0DD4A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垦后耕种验收：改造后耕种验收：</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实施完成后，种植养护项目一年验收一次。中标（成交）供应商根据县农业农村部门的统一要求，提交验收材料，县农业农村部门会同财政部门，组织相关部门专家组成员对项目的耕种情况，进行实地勘察验收。</w:t>
      </w:r>
    </w:p>
    <w:p w14:paraId="102EA13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管理养护要求：满足项目实施的质量控制标准收。</w:t>
      </w:r>
    </w:p>
    <w:p w14:paraId="203FEDD8">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default"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四、其他说明</w:t>
      </w:r>
    </w:p>
    <w:p w14:paraId="752A119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其它费用，由属地乡镇负责落实。包括项目设计、项目测绘、项目监理费、项目预算决算编制费、项目审计费（含项目审计及财务审计）、土壤采样、检测及耕地等级评定、竣工测量、分户测量和确权费、政策处理费，上述内容由采购人另行委托及建设单位支付相关费用，政策处理费包括青苗调查和赔偿以及其他政策处理费。</w:t>
      </w:r>
    </w:p>
    <w:p w14:paraId="38F0377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2.项目变压器及其安装费用，不在项目范围内，由项采购人或建设单位单独按实结算。</w:t>
      </w:r>
    </w:p>
    <w:p w14:paraId="254F6C89">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五、投标报价须知</w:t>
      </w:r>
    </w:p>
    <w:p w14:paraId="4D83802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投标报价（报价文件）。分为</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实施部分的下浮率报价、项目运营收益部分的亩均单价报价两部分。</w:t>
      </w:r>
    </w:p>
    <w:p w14:paraId="4EBBC7F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实施部分的报价。即完成该项目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实施所需的一切费用，根据工程量清单进行下浮率报价。</w:t>
      </w:r>
    </w:p>
    <w:p w14:paraId="66BB04B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按照县农业农村部门、县财政部门审定的项目规划设计文件，由中标（成交）供应商以中标单价结算，包含实施工程量增加、变更等不可预见风险，不包含国家或部门法律、法规等政策变化造成的损失，但由中标（成交）供应商责任引起实施期延误的除外。</w:t>
      </w:r>
    </w:p>
    <w:p w14:paraId="190E21C9">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宜机化改造部分验收后，按实结算。结算价=[（1-中标下浮率）×实际工程量×单价。暂列金、预留金、暂估价等不下浮。</w:t>
      </w:r>
    </w:p>
    <w:p w14:paraId="6B161EB4">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2.项目运营收益部分的报价。在亩租金收益的基础上，实行亩均单价报价。</w:t>
      </w:r>
      <w:r>
        <w:rPr>
          <w:rFonts w:hint="eastAsia" w:ascii="宋体" w:hAnsi="宋体" w:cs="宋体"/>
          <w:b/>
          <w:bCs/>
          <w:color w:val="auto"/>
          <w:sz w:val="24"/>
          <w:szCs w:val="24"/>
          <w:highlight w:val="none"/>
          <w:u w:val="none"/>
        </w:rPr>
        <w:t>▲</w:t>
      </w:r>
      <w:r>
        <w:rPr>
          <w:rFonts w:hint="eastAsia" w:ascii="宋体" w:hAnsi="宋体" w:eastAsia="宋体" w:cs="宋体"/>
          <w:bCs/>
          <w:color w:val="auto"/>
          <w:kern w:val="0"/>
          <w:sz w:val="22"/>
          <w:szCs w:val="22"/>
          <w:highlight w:val="none"/>
          <w:u w:val="none"/>
          <w:lang w:val="en-US" w:eastAsia="zh-CN"/>
        </w:rPr>
        <w:t>根据泰顺县农田种植农作物实际情况统计分析，农田改造运营收益以年收益300元/亩/年为底价，在此基础上，每次报价上浮按20元增加，由投标供应商自主报价，如底价300元，投标供应商投标报价须为300元,320元,340元,360元等，以此类推。</w:t>
      </w:r>
    </w:p>
    <w:p w14:paraId="5E63F963">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bookmarkStart w:id="30" w:name="_Toc12065"/>
      <w:bookmarkStart w:id="31" w:name="_Toc15568498"/>
      <w:bookmarkStart w:id="32" w:name="_Toc12500"/>
      <w:bookmarkStart w:id="33" w:name="_Toc27595494"/>
      <w:r>
        <w:rPr>
          <w:rFonts w:hint="eastAsia" w:ascii="宋体" w:hAnsi="宋体" w:eastAsia="宋体" w:cs="宋体"/>
          <w:b/>
          <w:bCs w:val="0"/>
          <w:color w:val="auto"/>
          <w:kern w:val="0"/>
          <w:sz w:val="22"/>
          <w:szCs w:val="22"/>
          <w:highlight w:val="none"/>
          <w:u w:val="none"/>
          <w:lang w:val="en-US" w:eastAsia="zh-CN"/>
        </w:rPr>
        <w:t>六、安全生产责任认定</w:t>
      </w:r>
      <w:bookmarkEnd w:id="30"/>
      <w:bookmarkEnd w:id="31"/>
      <w:bookmarkEnd w:id="32"/>
      <w:bookmarkEnd w:id="33"/>
    </w:p>
    <w:p w14:paraId="7FE811C8">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中标（成交）供应商应对全部现场作业、所有实施方法以及全部项目的完备性、稳定性和安全性承担全部责任。中标（成交）供应商负责解决在实施过程中发生的一切争议（包括但不限于结算纠纷、拖欠民工工资纠纷、劳动争议纠纷、人身损害纠纷），承担解决争议的费用或责任。中标（成交）供应商保证不会因为该等争议影响到项目进度、项目质量以及项目交付。</w:t>
      </w:r>
    </w:p>
    <w:p w14:paraId="6F11206C">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七、履约保证金</w:t>
      </w:r>
    </w:p>
    <w:p w14:paraId="1241132E">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cs="宋体"/>
          <w:color w:val="auto"/>
          <w:kern w:val="0"/>
          <w:sz w:val="22"/>
          <w:highlight w:val="none"/>
          <w:lang w:eastAsia="zh-CN"/>
        </w:rPr>
        <w:t>中标（成交）供应商须在签订合同后5个工作日内向采购人提交合同金额1%的履约保证金（履约保证金可以是银行保函、转账支票、银行汇票等方式缴纳）</w:t>
      </w:r>
      <w:r>
        <w:rPr>
          <w:rFonts w:hint="eastAsia" w:ascii="宋体" w:hAnsi="宋体" w:eastAsia="宋体" w:cs="宋体"/>
          <w:bCs/>
          <w:color w:val="auto"/>
          <w:kern w:val="0"/>
          <w:sz w:val="22"/>
          <w:szCs w:val="22"/>
          <w:highlight w:val="none"/>
          <w:u w:val="none"/>
          <w:lang w:val="en-US" w:eastAsia="zh-CN"/>
        </w:rPr>
        <w:t>。</w:t>
      </w:r>
    </w:p>
    <w:p w14:paraId="76D5AB5E">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保函应满足以下几个条件：①保函期限：担保有效期自采购人与中标（成交）供应商签订的合同生效之日起至整体项目全面验收（运营期满）并无履约问题之日起15日后失效或无息退还；③如果由于实施期延误或保函出具机构要求分期出具保函的，则在前一份保函有效期满之日2个月前必须重新出具相同内容的保函；若不出具，项目业主有权对保函进行收兑。</w:t>
      </w:r>
    </w:p>
    <w:p w14:paraId="2B031CFF">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八、合同价款支付</w:t>
      </w:r>
    </w:p>
    <w:p w14:paraId="7ED56210">
      <w:pPr>
        <w:pStyle w:val="12"/>
        <w:keepNext w:val="0"/>
        <w:keepLines w:val="0"/>
        <w:pageBreakBefore w:val="0"/>
        <w:widowControl/>
        <w:kinsoku/>
        <w:wordWrap/>
        <w:overflowPunct/>
        <w:topLinePunct w:val="0"/>
        <w:autoSpaceDE/>
        <w:autoSpaceDN/>
        <w:bidi w:val="0"/>
        <w:adjustRightInd w:val="0"/>
        <w:snapToGrid w:val="0"/>
        <w:spacing w:line="400" w:lineRule="exact"/>
        <w:ind w:left="437" w:leftChars="208" w:firstLine="0" w:firstLineChars="0"/>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合同采用三方合同形式，本项目的建设单位为泰顺县农业农村局。</w:t>
      </w:r>
    </w:p>
    <w:p w14:paraId="32883BE9">
      <w:pPr>
        <w:pStyle w:val="12"/>
        <w:keepNext w:val="0"/>
        <w:keepLines w:val="0"/>
        <w:pageBreakBefore w:val="0"/>
        <w:widowControl/>
        <w:kinsoku/>
        <w:wordWrap/>
        <w:overflowPunct/>
        <w:topLinePunct w:val="0"/>
        <w:autoSpaceDE/>
        <w:autoSpaceDN/>
        <w:bidi w:val="0"/>
        <w:adjustRightInd w:val="0"/>
        <w:snapToGrid w:val="0"/>
        <w:spacing w:line="400" w:lineRule="exact"/>
        <w:ind w:left="437" w:leftChars="208" w:firstLine="0" w:firstLineChars="0"/>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实施部分</w:t>
      </w:r>
    </w:p>
    <w:p w14:paraId="5BC39D4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本部分费用由本项目的建设单位（泰顺县农业农村局）统一支付给中标（成交）供应商。</w:t>
      </w:r>
    </w:p>
    <w:p w14:paraId="1A9EEBB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1.1预付款</w:t>
      </w:r>
    </w:p>
    <w:p w14:paraId="23473ED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1.1.2 预付款的支付</w:t>
      </w:r>
    </w:p>
    <w:p w14:paraId="098EA26D">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预付款支付比例或金额：合同价款总额的30%(由招标人根据项目实际情况及资金情况分批支付)。</w:t>
      </w:r>
    </w:p>
    <w:p w14:paraId="10287A52">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预付款支付期限：合同生效后，主要人员、机械设备进场并经本项目建设单位（泰顺县农业农村局）、采购人、监理单位确认后，建设单位向中标（成交）供应商预付合同价款总额的30%。</w:t>
      </w:r>
    </w:p>
    <w:p w14:paraId="0C2EECAE">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预付款扣回的方式：从第二个月起按工程进度比例逐月扣回，扣完为止。</w:t>
      </w:r>
    </w:p>
    <w:p w14:paraId="4DA8F2A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发包人支付进度款的期限：期限按通用条款执行；支付金额经监理单位签发和建设单位、采购人审核后，建设单位向中标（成交）供应商支付经核实的工程款，支付比例为审核签发后工程量造价的85%，当本工程进度款支付至合同价的85%时，将停止支付工程进度款。待宜机化改造部分项目竣工验收合格后并办理竣工结算，经相关单位审定并经城建档案馆备案，付至最终审定价款的98.5%后，扣留结算造价1.5%保修金。缺陷责任期满，经验收无缺陷后，全部质量保修金一次性退还（质量保修金不计息）。</w:t>
      </w:r>
    </w:p>
    <w:p w14:paraId="42861A5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2.说明:（1）对于满足合同支付约定条件的，采购人于收到中标方开具的正式税务发票后15日内予以支付相应合同价款。（2）若为联合体中标的，本项目所有费用拨付至中标方牵头人基本账户。</w:t>
      </w:r>
    </w:p>
    <w:p w14:paraId="7146EF6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p>
    <w:p w14:paraId="16F09216">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p>
    <w:p w14:paraId="3D902A0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p>
    <w:p w14:paraId="32B335D1">
      <w:pPr>
        <w:keepNext w:val="0"/>
        <w:keepLines w:val="0"/>
        <w:pageBreakBefore w:val="0"/>
        <w:widowControl/>
        <w:kinsoku/>
        <w:wordWrap/>
        <w:overflowPunct/>
        <w:topLinePunct w:val="0"/>
        <w:autoSpaceDE/>
        <w:autoSpaceDN/>
        <w:bidi w:val="0"/>
        <w:adjustRightInd/>
        <w:snapToGrid w:val="0"/>
        <w:spacing w:line="500" w:lineRule="exact"/>
        <w:ind w:firstLine="562" w:firstLineChars="200"/>
        <w:jc w:val="center"/>
        <w:textAlignment w:val="auto"/>
        <w:rPr>
          <w:rFonts w:hint="eastAsia" w:ascii="仿宋" w:hAnsi="仿宋" w:eastAsia="仿宋" w:cs="仿宋"/>
          <w:b/>
          <w:bCs w:val="0"/>
          <w:color w:val="auto"/>
          <w:kern w:val="0"/>
          <w:sz w:val="28"/>
          <w:szCs w:val="28"/>
          <w:highlight w:val="none"/>
          <w:lang w:val="en-US" w:eastAsia="zh-CN"/>
        </w:rPr>
      </w:pPr>
    </w:p>
    <w:p w14:paraId="6F3E44B1">
      <w:pPr>
        <w:pStyle w:val="12"/>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0" w:firstLine="444" w:firstLineChars="202"/>
        <w:jc w:val="left"/>
        <w:textAlignment w:val="auto"/>
        <w:outlineLvl w:val="0"/>
        <w:rPr>
          <w:rFonts w:hint="eastAsia" w:ascii="宋体" w:hAnsi="宋体" w:eastAsia="宋体" w:cs="宋体"/>
          <w:bCs/>
          <w:color w:val="auto"/>
          <w:kern w:val="0"/>
          <w:sz w:val="22"/>
          <w:szCs w:val="22"/>
          <w:highlight w:val="none"/>
          <w:lang w:val="en-US" w:eastAsia="zh-CN"/>
        </w:rPr>
      </w:pPr>
      <w:r>
        <w:rPr>
          <w:rFonts w:hint="eastAsia" w:ascii="宋体" w:hAnsi="宋体" w:eastAsia="宋体" w:cs="宋体"/>
          <w:bCs/>
          <w:color w:val="auto"/>
          <w:kern w:val="0"/>
          <w:sz w:val="22"/>
          <w:szCs w:val="22"/>
          <w:highlight w:val="none"/>
          <w:u w:val="none"/>
          <w:lang w:val="en-US" w:eastAsia="zh-CN"/>
        </w:rPr>
        <w:t>。</w:t>
      </w:r>
    </w:p>
    <w:p w14:paraId="567632E6">
      <w:pPr>
        <w:pStyle w:val="30"/>
        <w:keepNext w:val="0"/>
        <w:keepLines w:val="0"/>
        <w:pageBreakBefore w:val="0"/>
        <w:kinsoku/>
        <w:wordWrap/>
        <w:overflowPunct/>
        <w:topLinePunct w:val="0"/>
        <w:autoSpaceDE/>
        <w:autoSpaceDN/>
        <w:bidi w:val="0"/>
        <w:spacing w:line="400" w:lineRule="exact"/>
        <w:textAlignment w:val="auto"/>
        <w:rPr>
          <w:rFonts w:hint="default"/>
          <w:color w:val="auto"/>
          <w:sz w:val="22"/>
          <w:szCs w:val="22"/>
          <w:highlight w:val="none"/>
          <w:lang w:val="en-US" w:eastAsia="zh-CN"/>
        </w:rPr>
        <w:sectPr>
          <w:footerReference r:id="rId8" w:type="first"/>
          <w:footerReference r:id="rId7" w:type="default"/>
          <w:pgSz w:w="11906" w:h="16838"/>
          <w:pgMar w:top="1440" w:right="1361" w:bottom="1276" w:left="1361" w:header="851" w:footer="992" w:gutter="0"/>
          <w:pgNumType w:fmt="decimal" w:start="1"/>
          <w:cols w:space="720" w:num="1"/>
          <w:titlePg/>
          <w:docGrid w:linePitch="312" w:charSpace="0"/>
        </w:sectPr>
      </w:pPr>
    </w:p>
    <w:p w14:paraId="3AB74379">
      <w:pPr>
        <w:tabs>
          <w:tab w:val="left" w:pos="1069"/>
          <w:tab w:val="left" w:pos="2352"/>
        </w:tabs>
        <w:autoSpaceDE w:val="0"/>
        <w:autoSpaceDN w:val="0"/>
        <w:adjustRightInd w:val="0"/>
        <w:snapToGrid w:val="0"/>
        <w:spacing w:line="400" w:lineRule="exact"/>
        <w:jc w:val="center"/>
        <w:rPr>
          <w:rFonts w:ascii="宋体" w:hAnsi="宋体" w:cs="宋体"/>
          <w:b/>
          <w:color w:val="auto"/>
          <w:sz w:val="32"/>
          <w:szCs w:val="32"/>
          <w:highlight w:val="none"/>
          <w:lang w:val="zh-CN"/>
        </w:rPr>
      </w:pPr>
      <w:r>
        <w:rPr>
          <w:rFonts w:hint="eastAsia" w:ascii="宋体" w:hAnsi="宋体" w:cs="宋体"/>
          <w:b/>
          <w:color w:val="auto"/>
          <w:sz w:val="32"/>
          <w:szCs w:val="32"/>
          <w:highlight w:val="none"/>
        </w:rPr>
        <w:t>第</w:t>
      </w:r>
      <w:r>
        <w:rPr>
          <w:rFonts w:hint="eastAsia" w:ascii="宋体" w:hAnsi="宋体" w:cs="宋体"/>
          <w:b/>
          <w:color w:val="auto"/>
          <w:sz w:val="32"/>
          <w:szCs w:val="32"/>
          <w:highlight w:val="none"/>
          <w:lang w:val="zh-CN"/>
        </w:rPr>
        <w:t>三部分</w:t>
      </w:r>
      <w:r>
        <w:rPr>
          <w:rFonts w:hint="eastAsia" w:ascii="宋体" w:hAnsi="宋体" w:cs="宋体"/>
          <w:b/>
          <w:color w:val="auto"/>
          <w:sz w:val="32"/>
          <w:szCs w:val="32"/>
          <w:highlight w:val="none"/>
        </w:rPr>
        <w:t>、</w:t>
      </w:r>
      <w:r>
        <w:rPr>
          <w:rFonts w:hint="eastAsia" w:ascii="宋体" w:hAnsi="宋体" w:cs="宋体"/>
          <w:b/>
          <w:color w:val="auto"/>
          <w:sz w:val="32"/>
          <w:szCs w:val="32"/>
          <w:highlight w:val="none"/>
          <w:lang w:val="zh-CN"/>
        </w:rPr>
        <w:t>供应商须知</w:t>
      </w:r>
      <w:bookmarkEnd w:id="17"/>
    </w:p>
    <w:p w14:paraId="7256F84E">
      <w:pPr>
        <w:tabs>
          <w:tab w:val="left" w:pos="1069"/>
          <w:tab w:val="left" w:pos="2352"/>
        </w:tabs>
        <w:autoSpaceDE w:val="0"/>
        <w:autoSpaceDN w:val="0"/>
        <w:adjustRightInd w:val="0"/>
        <w:spacing w:line="450" w:lineRule="atLeast"/>
        <w:ind w:firstLine="442" w:firstLineChars="200"/>
        <w:rPr>
          <w:rFonts w:ascii="宋体" w:hAnsi="宋体" w:cs="宋体"/>
          <w:b/>
          <w:color w:val="auto"/>
          <w:sz w:val="22"/>
          <w:highlight w:val="none"/>
          <w:lang w:val="zh-CN"/>
        </w:rPr>
      </w:pPr>
      <w:bookmarkStart w:id="34" w:name="_Toc9317_WPSOffice_Level2"/>
      <w:r>
        <w:rPr>
          <w:rFonts w:hint="eastAsia" w:ascii="宋体" w:hAnsi="宋体" w:cs="宋体"/>
          <w:b/>
          <w:color w:val="auto"/>
          <w:sz w:val="22"/>
          <w:highlight w:val="none"/>
          <w:lang w:val="zh-CN"/>
        </w:rPr>
        <w:t>一、说明</w:t>
      </w:r>
      <w:bookmarkEnd w:id="34"/>
    </w:p>
    <w:p w14:paraId="1A7C9263">
      <w:pPr>
        <w:tabs>
          <w:tab w:val="left" w:pos="1069"/>
          <w:tab w:val="left" w:pos="2352"/>
        </w:tabs>
        <w:adjustRightInd w:val="0"/>
        <w:spacing w:line="400" w:lineRule="atLeast"/>
        <w:ind w:firstLine="431" w:firstLineChars="196"/>
        <w:rPr>
          <w:rFonts w:ascii="宋体" w:hAnsi="宋体" w:cs="宋体"/>
          <w:color w:val="auto"/>
          <w:sz w:val="22"/>
          <w:highlight w:val="none"/>
          <w:lang w:val="zh-CN"/>
        </w:rPr>
      </w:pPr>
      <w:r>
        <w:rPr>
          <w:rFonts w:hint="eastAsia" w:ascii="宋体" w:hAnsi="宋体" w:cs="宋体"/>
          <w:color w:val="auto"/>
          <w:sz w:val="22"/>
          <w:highlight w:val="none"/>
        </w:rPr>
        <w:t>1.</w:t>
      </w:r>
      <w:r>
        <w:rPr>
          <w:rFonts w:hint="eastAsia" w:ascii="宋体" w:hAnsi="宋体" w:cs="宋体"/>
          <w:color w:val="auto"/>
          <w:sz w:val="22"/>
          <w:highlight w:val="none"/>
          <w:lang w:val="zh-CN"/>
        </w:rPr>
        <w:t>本次采购工作是按照《中华人民共和国政府采购法》、《政府采购货物和服务招标投标管理办法》、《政府采购竞争性磋商采购方式管理暂行办法》、财政部关于政府采购竞争性磋商采购方式管理暂行办法有关问题的补充通知（财库〔2015〕124号）及相关法律规章组织和实施。</w:t>
      </w:r>
    </w:p>
    <w:p w14:paraId="2549121E">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bCs/>
          <w:color w:val="auto"/>
          <w:sz w:val="22"/>
          <w:highlight w:val="none"/>
        </w:rPr>
        <w:t>供应商必须对所投标项全部内容进行报价</w:t>
      </w:r>
      <w:r>
        <w:rPr>
          <w:rFonts w:hint="eastAsia" w:ascii="宋体" w:hAnsi="宋体" w:cs="宋体"/>
          <w:color w:val="auto"/>
          <w:sz w:val="22"/>
          <w:highlight w:val="none"/>
        </w:rPr>
        <w:t>，只对部分内容进行报价的供应商将按无效投标处理。</w:t>
      </w:r>
    </w:p>
    <w:p w14:paraId="24AE8954">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3.无论投标过程中的作法和结果如何，供应商自行承担投标活动中所发生的全部费用；采购人有权选择供应商的供货和服务范围。</w:t>
      </w:r>
    </w:p>
    <w:p w14:paraId="1703E8AC">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4.安全管理</w:t>
      </w:r>
    </w:p>
    <w:p w14:paraId="62A03AE9">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在招标及合同执行过程中，供应商应承担由于其行为所造成的人身伤害、财产损失或损坏的责任，无论何种原因所造成，采购人均不负责。</w:t>
      </w:r>
    </w:p>
    <w:p w14:paraId="7D822B06">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5.知识产权</w:t>
      </w:r>
    </w:p>
    <w:p w14:paraId="6FB7B078">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5.1供应商应保证，采购人在中华人民共和国使用货物或服务的任何一部分时，免受第三方提出侵犯其专利权、商标权或其它知识产权的起诉。</w:t>
      </w:r>
    </w:p>
    <w:p w14:paraId="1512C810">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5.2投标人应对采购人在使用该服务时所涉及到的专利权负责，不损害采购人的利益。</w:t>
      </w:r>
    </w:p>
    <w:p w14:paraId="4BB99D54">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5.3报价应包括所有应支付的对专利权和版权、设计或其他知识产权而需要向其他方支付的版税。</w:t>
      </w:r>
    </w:p>
    <w:p w14:paraId="0E8236A2">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5.4投标人提供的服务中如使用其他公司的相关专利，应在标书中出示相关授权，如未出示但使用了其他公司的专利，导致供应商中标(成交)而引起相关诉讼，由投标人承担。</w:t>
      </w:r>
    </w:p>
    <w:p w14:paraId="5077902F">
      <w:pPr>
        <w:tabs>
          <w:tab w:val="left" w:pos="1069"/>
          <w:tab w:val="left" w:pos="2352"/>
        </w:tabs>
        <w:adjustRightInd w:val="0"/>
        <w:spacing w:line="400" w:lineRule="atLeast"/>
        <w:ind w:firstLine="431" w:firstLineChars="196"/>
        <w:rPr>
          <w:rFonts w:ascii="宋体" w:hAnsi="宋体" w:cs="宋体"/>
          <w:color w:val="auto"/>
          <w:sz w:val="22"/>
          <w:highlight w:val="none"/>
          <w:lang w:val="zh-CN"/>
        </w:rPr>
      </w:pPr>
      <w:r>
        <w:rPr>
          <w:rFonts w:hint="eastAsia" w:ascii="宋体" w:hAnsi="宋体" w:cs="宋体"/>
          <w:color w:val="auto"/>
          <w:sz w:val="22"/>
          <w:highlight w:val="none"/>
        </w:rPr>
        <w:t>6.</w:t>
      </w:r>
      <w:r>
        <w:rPr>
          <w:rFonts w:hint="eastAsia" w:ascii="宋体" w:hAnsi="宋体" w:cs="宋体"/>
          <w:color w:val="auto"/>
          <w:sz w:val="22"/>
          <w:highlight w:val="none"/>
          <w:lang w:val="zh-CN"/>
        </w:rPr>
        <w:t>单位负责人为同一人或者存在直接控股、管理关系的不同供应商，不得参加同一合同项下的政府采购活动。如在评标过程中发现供应商间存在上述关系，评审小组可以对存在上述关系的供应商做无效投标处理。</w:t>
      </w:r>
    </w:p>
    <w:p w14:paraId="4D3574AA">
      <w:pPr>
        <w:tabs>
          <w:tab w:val="left" w:pos="1069"/>
          <w:tab w:val="left" w:pos="2352"/>
        </w:tabs>
        <w:adjustRightInd w:val="0"/>
        <w:spacing w:line="400" w:lineRule="atLeast"/>
        <w:ind w:firstLine="431" w:firstLineChars="196"/>
        <w:rPr>
          <w:rFonts w:ascii="宋体" w:hAnsi="宋体" w:cs="宋体"/>
          <w:color w:val="auto"/>
          <w:sz w:val="22"/>
          <w:highlight w:val="none"/>
          <w:lang w:val="zh-CN"/>
        </w:rPr>
      </w:pPr>
      <w:r>
        <w:rPr>
          <w:rFonts w:hint="eastAsia" w:ascii="宋体" w:hAnsi="宋体" w:cs="宋体"/>
          <w:color w:val="auto"/>
          <w:sz w:val="22"/>
          <w:highlight w:val="none"/>
        </w:rPr>
        <w:t>7.</w:t>
      </w:r>
      <w:r>
        <w:rPr>
          <w:rFonts w:hint="eastAsia" w:ascii="宋体" w:hAnsi="宋体" w:cs="宋体"/>
          <w:color w:val="auto"/>
          <w:sz w:val="22"/>
          <w:highlight w:val="none"/>
          <w:lang w:val="zh-CN"/>
        </w:rPr>
        <w:t>为采购项目提供整体设计、规范编制或者项目管理、监理、检测等服务的供应商，不得再参加该采购项目的其他采购活动。</w:t>
      </w:r>
    </w:p>
    <w:p w14:paraId="1526EEEB">
      <w:pPr>
        <w:tabs>
          <w:tab w:val="left" w:pos="1069"/>
          <w:tab w:val="left" w:pos="2352"/>
        </w:tabs>
        <w:autoSpaceDE w:val="0"/>
        <w:autoSpaceDN w:val="0"/>
        <w:adjustRightInd w:val="0"/>
        <w:spacing w:line="400" w:lineRule="atLeast"/>
        <w:ind w:firstLine="440" w:firstLineChars="200"/>
        <w:textAlignment w:val="bottom"/>
        <w:rPr>
          <w:rFonts w:ascii="宋体" w:hAnsi="宋体" w:cs="宋体"/>
          <w:b/>
          <w:color w:val="auto"/>
          <w:sz w:val="22"/>
          <w:highlight w:val="none"/>
        </w:rPr>
      </w:pPr>
      <w:r>
        <w:rPr>
          <w:rFonts w:hint="eastAsia" w:ascii="宋体" w:hAnsi="宋体" w:cs="宋体"/>
          <w:color w:val="auto"/>
          <w:sz w:val="22"/>
          <w:highlight w:val="none"/>
        </w:rPr>
        <w:t>8</w:t>
      </w:r>
      <w:r>
        <w:rPr>
          <w:rFonts w:hint="eastAsia" w:ascii="宋体" w:hAnsi="宋体" w:cs="宋体"/>
          <w:color w:val="auto"/>
          <w:sz w:val="22"/>
          <w:highlight w:val="none"/>
          <w:lang w:val="zh-CN"/>
        </w:rPr>
        <w:t>.</w:t>
      </w:r>
      <w:r>
        <w:rPr>
          <w:rFonts w:hint="eastAsia" w:ascii="宋体" w:hAnsi="宋体" w:cs="宋体"/>
          <w:b/>
          <w:color w:val="auto"/>
          <w:sz w:val="22"/>
          <w:highlight w:val="none"/>
        </w:rPr>
        <w:t>▲供应商须具有良好的商业信誉：</w:t>
      </w:r>
    </w:p>
    <w:p w14:paraId="02223ED2">
      <w:pPr>
        <w:tabs>
          <w:tab w:val="left" w:pos="2352"/>
        </w:tabs>
        <w:autoSpaceDE w:val="0"/>
        <w:autoSpaceDN w:val="0"/>
        <w:adjustRightInd w:val="0"/>
        <w:spacing w:line="400" w:lineRule="atLeast"/>
        <w:ind w:firstLine="442" w:firstLineChars="200"/>
        <w:textAlignment w:val="bottom"/>
        <w:rPr>
          <w:rFonts w:ascii="宋体"/>
          <w:b/>
          <w:color w:val="auto"/>
          <w:sz w:val="22"/>
          <w:highlight w:val="none"/>
          <w:u w:val="single"/>
        </w:rPr>
      </w:pPr>
      <w:r>
        <w:rPr>
          <w:rFonts w:ascii="宋体" w:hAnsi="宋体"/>
          <w:b/>
          <w:color w:val="auto"/>
          <w:sz w:val="22"/>
          <w:highlight w:val="none"/>
          <w:u w:val="single"/>
        </w:rPr>
        <w:t>1</w:t>
      </w:r>
      <w:r>
        <w:rPr>
          <w:rFonts w:hint="eastAsia" w:ascii="宋体" w:hAnsi="宋体"/>
          <w:b/>
          <w:color w:val="auto"/>
          <w:sz w:val="22"/>
          <w:highlight w:val="none"/>
          <w:u w:val="single"/>
        </w:rPr>
        <w:t>）供应商在国家企业信用信息公示系统网：（http://www.gsxt.gov.cn/index.html）无严重违法企业记录。</w:t>
      </w:r>
    </w:p>
    <w:p w14:paraId="41582009">
      <w:pPr>
        <w:tabs>
          <w:tab w:val="left" w:pos="2352"/>
        </w:tabs>
        <w:autoSpaceDE w:val="0"/>
        <w:autoSpaceDN w:val="0"/>
        <w:adjustRightInd w:val="0"/>
        <w:spacing w:line="400" w:lineRule="atLeast"/>
        <w:ind w:firstLine="442" w:firstLineChars="200"/>
        <w:textAlignment w:val="bottom"/>
        <w:rPr>
          <w:rFonts w:ascii="宋体"/>
          <w:b/>
          <w:color w:val="auto"/>
          <w:sz w:val="22"/>
          <w:highlight w:val="none"/>
          <w:u w:val="single"/>
        </w:rPr>
      </w:pPr>
      <w:r>
        <w:rPr>
          <w:rFonts w:ascii="宋体" w:hAnsi="宋体"/>
          <w:b/>
          <w:color w:val="auto"/>
          <w:sz w:val="22"/>
          <w:highlight w:val="none"/>
          <w:u w:val="single"/>
        </w:rPr>
        <w:t>2</w:t>
      </w:r>
      <w:r>
        <w:rPr>
          <w:rFonts w:hint="eastAsia" w:ascii="宋体" w:hAnsi="宋体"/>
          <w:b/>
          <w:color w:val="auto"/>
          <w:sz w:val="22"/>
          <w:highlight w:val="none"/>
          <w:u w:val="single"/>
        </w:rPr>
        <w:t>）供应商在中国执行信息公开网（http://zxgk.court.gov.cn/）无失信信息记录。</w:t>
      </w:r>
    </w:p>
    <w:p w14:paraId="63730096">
      <w:pPr>
        <w:tabs>
          <w:tab w:val="left" w:pos="1069"/>
          <w:tab w:val="left" w:pos="2352"/>
        </w:tabs>
        <w:autoSpaceDE w:val="0"/>
        <w:autoSpaceDN w:val="0"/>
        <w:adjustRightInd w:val="0"/>
        <w:spacing w:line="400" w:lineRule="atLeast"/>
        <w:ind w:firstLine="442" w:firstLineChars="200"/>
        <w:textAlignment w:val="bottom"/>
        <w:rPr>
          <w:rFonts w:ascii="宋体" w:hAnsi="宋体" w:cs="宋体"/>
          <w:b/>
          <w:color w:val="auto"/>
          <w:sz w:val="22"/>
          <w:highlight w:val="none"/>
          <w:u w:val="single"/>
        </w:rPr>
      </w:pPr>
      <w:r>
        <w:rPr>
          <w:rFonts w:ascii="宋体" w:hAnsi="宋体"/>
          <w:b/>
          <w:color w:val="auto"/>
          <w:sz w:val="22"/>
          <w:highlight w:val="none"/>
          <w:u w:val="single"/>
        </w:rPr>
        <w:t>3</w:t>
      </w:r>
      <w:r>
        <w:rPr>
          <w:rFonts w:hint="eastAsia" w:ascii="宋体" w:hAnsi="宋体"/>
          <w:b/>
          <w:color w:val="auto"/>
          <w:sz w:val="22"/>
          <w:highlight w:val="none"/>
          <w:u w:val="single"/>
        </w:rPr>
        <w:t>）供应商在中国政府采购网（</w:t>
      </w:r>
      <w:r>
        <w:rPr>
          <w:rFonts w:ascii="宋体" w:hAnsi="宋体"/>
          <w:b/>
          <w:color w:val="auto"/>
          <w:sz w:val="22"/>
          <w:highlight w:val="none"/>
          <w:u w:val="single"/>
        </w:rPr>
        <w:t>http://www.ccgp.gov.cn/cr/list</w:t>
      </w:r>
      <w:r>
        <w:rPr>
          <w:rFonts w:hint="eastAsia" w:ascii="宋体" w:hAnsi="宋体"/>
          <w:b/>
          <w:color w:val="auto"/>
          <w:sz w:val="22"/>
          <w:highlight w:val="none"/>
          <w:u w:val="single"/>
        </w:rPr>
        <w:t>）无严重违法行为记录</w:t>
      </w:r>
      <w:r>
        <w:rPr>
          <w:rFonts w:hint="eastAsia" w:ascii="宋体" w:hAnsi="宋体" w:cs="宋体"/>
          <w:b/>
          <w:color w:val="auto"/>
          <w:sz w:val="22"/>
          <w:highlight w:val="none"/>
          <w:u w:val="single"/>
        </w:rPr>
        <w:t>。</w:t>
      </w:r>
    </w:p>
    <w:p w14:paraId="51D8C6FB">
      <w:pPr>
        <w:widowControl/>
        <w:tabs>
          <w:tab w:val="left" w:pos="1069"/>
          <w:tab w:val="left" w:pos="2352"/>
        </w:tabs>
        <w:snapToGrid w:val="0"/>
        <w:spacing w:line="400" w:lineRule="atLeast"/>
        <w:ind w:firstLine="442" w:firstLineChars="200"/>
        <w:jc w:val="left"/>
        <w:rPr>
          <w:rFonts w:ascii="宋体" w:hAnsi="宋体" w:cs="宋体"/>
          <w:b/>
          <w:color w:val="auto"/>
          <w:sz w:val="22"/>
          <w:highlight w:val="none"/>
          <w:u w:val="single"/>
        </w:rPr>
      </w:pPr>
      <w:r>
        <w:rPr>
          <w:rFonts w:hint="eastAsia" w:ascii="宋体" w:hAnsi="宋体" w:cs="宋体"/>
          <w:b/>
          <w:color w:val="auto"/>
          <w:sz w:val="22"/>
          <w:highlight w:val="none"/>
          <w:u w:val="single"/>
        </w:rPr>
        <w:t>4）未被各级财政部门列入政府采购黑名单或被各级财政部门禁止参加政府采购项目投标。</w:t>
      </w:r>
      <w:r>
        <w:rPr>
          <w:rFonts w:hint="eastAsia" w:ascii="宋体" w:hAnsi="宋体" w:cs="宋体"/>
          <w:color w:val="auto"/>
          <w:sz w:val="22"/>
          <w:highlight w:val="none"/>
        </w:rPr>
        <w:t>▲</w:t>
      </w:r>
      <w:r>
        <w:rPr>
          <w:rFonts w:hint="eastAsia" w:ascii="宋体" w:hAnsi="宋体" w:cs="宋体"/>
          <w:b/>
          <w:color w:val="auto"/>
          <w:sz w:val="22"/>
          <w:highlight w:val="none"/>
          <w:u w:val="single"/>
        </w:rPr>
        <w:t>如供应商有上述情形并参与本项目投标的，一经查实，其投标做无效投标处理。</w:t>
      </w:r>
    </w:p>
    <w:p w14:paraId="09DD686B">
      <w:pPr>
        <w:widowControl/>
        <w:tabs>
          <w:tab w:val="left" w:pos="1069"/>
          <w:tab w:val="left" w:pos="2352"/>
        </w:tabs>
        <w:snapToGrid w:val="0"/>
        <w:spacing w:line="380" w:lineRule="exact"/>
        <w:ind w:firstLine="442" w:firstLineChars="200"/>
        <w:rPr>
          <w:rFonts w:ascii="宋体" w:hAnsi="宋体" w:cs="宋体"/>
          <w:color w:val="auto"/>
          <w:sz w:val="22"/>
          <w:highlight w:val="none"/>
          <w:u w:val="single"/>
        </w:rPr>
      </w:pPr>
      <w:r>
        <w:rPr>
          <w:rFonts w:hint="eastAsia" w:ascii="宋体" w:hAnsi="宋体" w:cs="宋体"/>
          <w:b/>
          <w:color w:val="auto"/>
          <w:sz w:val="22"/>
          <w:highlight w:val="none"/>
        </w:rPr>
        <w:t>9.</w:t>
      </w:r>
      <w:r>
        <w:rPr>
          <w:rFonts w:hint="eastAsia" w:ascii="宋体" w:hAnsi="宋体" w:cs="宋体"/>
          <w:color w:val="auto"/>
          <w:sz w:val="22"/>
          <w:highlight w:val="none"/>
          <w:u w:val="single"/>
        </w:rPr>
        <w:t>本项目采用资格后审，符合资格要求的供应商均可在本公告附件下载竞争性磋商文件，并按竞争性磋商文件规定的时间、地点递交投标（响应）文件（竞争性磋商文件下载网址：浙江政府采购网（http://zfcg.czt.zj.gov.cn/）,竞争性磋商文件如有补充更正均见浙江政府采购网http://zfcg.czt.zj.gov.cn//。供应商须在投标截止前自行查看是否有补充、更正文件，并按补充、更正文件要求投标，否则责任自负。</w:t>
      </w:r>
    </w:p>
    <w:p w14:paraId="5ECE4E00">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rPr>
        <w:t>10</w:t>
      </w:r>
      <w:r>
        <w:rPr>
          <w:rFonts w:hint="eastAsia" w:ascii="宋体" w:hAnsi="宋体" w:cs="宋体"/>
          <w:color w:val="auto"/>
          <w:sz w:val="22"/>
          <w:highlight w:val="none"/>
          <w:lang w:val="zh-CN"/>
        </w:rPr>
        <w:t>.▲本项目采用竞争性磋商采购方式进行采购，在磋商过程中，评审小组可以根据竞争性磋商文件和磋商情况实质性变动采购需求中的技术、服务要求以及合同草案条款，但不得变动竞争性磋商文件中的其他内容。已提交投标（响应）文件的供应商，在提交最终报价之前，可以根据磋商情况退出磋商。</w:t>
      </w:r>
    </w:p>
    <w:p w14:paraId="7F9905F6">
      <w:pPr>
        <w:tabs>
          <w:tab w:val="left" w:pos="1069"/>
          <w:tab w:val="left" w:pos="2352"/>
        </w:tabs>
        <w:autoSpaceDE w:val="0"/>
        <w:autoSpaceDN w:val="0"/>
        <w:adjustRightInd w:val="0"/>
        <w:spacing w:line="400" w:lineRule="atLeast"/>
        <w:ind w:firstLine="442" w:firstLineChars="200"/>
        <w:rPr>
          <w:rFonts w:ascii="宋体" w:hAnsi="宋体" w:cs="宋体"/>
          <w:b/>
          <w:color w:val="auto"/>
          <w:sz w:val="22"/>
          <w:highlight w:val="none"/>
          <w:lang w:val="zh-CN"/>
        </w:rPr>
      </w:pPr>
      <w:bookmarkStart w:id="35" w:name="_Toc6226_WPSOffice_Level2"/>
      <w:r>
        <w:rPr>
          <w:rFonts w:hint="eastAsia" w:ascii="宋体" w:hAnsi="宋体" w:cs="宋体"/>
          <w:b/>
          <w:color w:val="auto"/>
          <w:sz w:val="22"/>
          <w:highlight w:val="none"/>
        </w:rPr>
        <w:t>二</w:t>
      </w:r>
      <w:r>
        <w:rPr>
          <w:rFonts w:hint="eastAsia" w:ascii="宋体" w:hAnsi="宋体" w:cs="宋体"/>
          <w:b/>
          <w:color w:val="auto"/>
          <w:sz w:val="22"/>
          <w:highlight w:val="none"/>
          <w:lang w:val="zh-CN"/>
        </w:rPr>
        <w:t>、竞争性磋商文件</w:t>
      </w:r>
      <w:bookmarkEnd w:id="35"/>
    </w:p>
    <w:p w14:paraId="557139DE">
      <w:pPr>
        <w:tabs>
          <w:tab w:val="left" w:pos="1069"/>
          <w:tab w:val="left" w:pos="2352"/>
        </w:tabs>
        <w:spacing w:line="400" w:lineRule="atLeast"/>
        <w:ind w:firstLine="440" w:firstLineChars="200"/>
        <w:rPr>
          <w:rFonts w:ascii="宋体" w:hAnsi="宋体" w:cs="宋体"/>
          <w:color w:val="auto"/>
          <w:sz w:val="22"/>
          <w:highlight w:val="none"/>
        </w:rPr>
      </w:pPr>
      <w:bookmarkStart w:id="36" w:name="_Toc24610_WPSOffice_Level3"/>
      <w:r>
        <w:rPr>
          <w:rFonts w:hint="eastAsia" w:ascii="宋体" w:hAnsi="宋体" w:cs="宋体"/>
          <w:color w:val="auto"/>
          <w:sz w:val="22"/>
          <w:highlight w:val="none"/>
          <w:lang w:val="zh-CN"/>
        </w:rPr>
        <w:t>1.竞争性磋商文件</w:t>
      </w:r>
      <w:bookmarkEnd w:id="36"/>
    </w:p>
    <w:p w14:paraId="04566F67">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1.1</w:t>
      </w:r>
      <w:r>
        <w:rPr>
          <w:rFonts w:hint="eastAsia" w:ascii="宋体" w:hAnsi="宋体" w:cs="宋体"/>
          <w:color w:val="auto"/>
          <w:sz w:val="22"/>
          <w:highlight w:val="none"/>
        </w:rPr>
        <w:t xml:space="preserve"> </w:t>
      </w:r>
      <w:r>
        <w:rPr>
          <w:rFonts w:hint="eastAsia" w:ascii="宋体" w:hAnsi="宋体" w:cs="宋体"/>
          <w:color w:val="auto"/>
          <w:sz w:val="22"/>
          <w:highlight w:val="none"/>
          <w:lang w:val="zh-CN"/>
        </w:rPr>
        <w:t>竞争性磋商文件的发放</w:t>
      </w:r>
    </w:p>
    <w:p w14:paraId="0A2E4136">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本项目投标供应商直接</w:t>
      </w:r>
      <w:r>
        <w:rPr>
          <w:rFonts w:hint="eastAsia" w:ascii="宋体" w:hAnsi="宋体" w:cs="宋体"/>
          <w:color w:val="auto"/>
          <w:sz w:val="22"/>
          <w:highlight w:val="none"/>
        </w:rPr>
        <w:t>在</w:t>
      </w:r>
      <w:r>
        <w:rPr>
          <w:rFonts w:hint="eastAsia" w:ascii="宋体" w:hAnsi="宋体" w:cs="宋体"/>
          <w:color w:val="auto"/>
          <w:sz w:val="22"/>
          <w:highlight w:val="none"/>
          <w:lang w:val="zh-CN"/>
        </w:rPr>
        <w:t>网上</w:t>
      </w:r>
      <w:r>
        <w:rPr>
          <w:rFonts w:hint="eastAsia" w:ascii="宋体" w:hAnsi="宋体" w:cs="宋体"/>
          <w:color w:val="auto"/>
          <w:sz w:val="22"/>
          <w:highlight w:val="none"/>
        </w:rPr>
        <w:t>下载</w:t>
      </w:r>
      <w:r>
        <w:rPr>
          <w:rFonts w:hint="eastAsia" w:ascii="宋体" w:hAnsi="宋体" w:cs="宋体"/>
          <w:color w:val="auto"/>
          <w:sz w:val="22"/>
          <w:highlight w:val="none"/>
          <w:lang w:val="zh-CN"/>
        </w:rPr>
        <w:t>竞争性磋商文件。</w:t>
      </w:r>
    </w:p>
    <w:p w14:paraId="79967E33">
      <w:pPr>
        <w:tabs>
          <w:tab w:val="left" w:pos="1069"/>
          <w:tab w:val="left" w:pos="2352"/>
        </w:tabs>
        <w:autoSpaceDE w:val="0"/>
        <w:autoSpaceDN w:val="0"/>
        <w:adjustRightInd w:val="0"/>
        <w:spacing w:line="400" w:lineRule="atLeast"/>
        <w:ind w:firstLine="440" w:firstLineChars="200"/>
        <w:textAlignment w:val="bottom"/>
        <w:outlineLvl w:val="1"/>
        <w:rPr>
          <w:rFonts w:ascii="宋体" w:hAnsi="宋体" w:cs="宋体"/>
          <w:color w:val="auto"/>
          <w:sz w:val="22"/>
          <w:highlight w:val="none"/>
        </w:rPr>
      </w:pPr>
      <w:r>
        <w:rPr>
          <w:rFonts w:hint="eastAsia" w:ascii="宋体" w:hAnsi="宋体" w:cs="宋体"/>
          <w:color w:val="auto"/>
          <w:sz w:val="22"/>
          <w:highlight w:val="none"/>
          <w:lang w:val="zh-CN"/>
        </w:rPr>
        <w:t>1.2</w:t>
      </w:r>
      <w:r>
        <w:rPr>
          <w:rFonts w:hint="eastAsia" w:ascii="宋体" w:hAnsi="宋体" w:cs="宋体"/>
          <w:color w:val="auto"/>
          <w:sz w:val="22"/>
          <w:highlight w:val="none"/>
        </w:rPr>
        <w:t xml:space="preserve"> 竞争性磋商文件约束力</w:t>
      </w:r>
    </w:p>
    <w:p w14:paraId="4F8172DF">
      <w:pPr>
        <w:tabs>
          <w:tab w:val="left" w:pos="1069"/>
          <w:tab w:val="left" w:pos="2352"/>
        </w:tabs>
        <w:autoSpaceDE w:val="0"/>
        <w:autoSpaceDN w:val="0"/>
        <w:adjustRightInd w:val="0"/>
        <w:spacing w:line="400" w:lineRule="atLeast"/>
        <w:ind w:firstLine="442" w:firstLineChars="200"/>
        <w:rPr>
          <w:rFonts w:ascii="宋体" w:hAnsi="宋体" w:cs="宋体"/>
          <w:b/>
          <w:color w:val="auto"/>
          <w:sz w:val="22"/>
          <w:highlight w:val="none"/>
          <w:u w:val="single"/>
          <w:lang w:val="zh-CN"/>
        </w:rPr>
      </w:pPr>
      <w:r>
        <w:rPr>
          <w:rFonts w:hint="eastAsia" w:ascii="宋体" w:hAnsi="宋体" w:cs="宋体"/>
          <w:b/>
          <w:color w:val="auto"/>
          <w:sz w:val="22"/>
          <w:highlight w:val="none"/>
          <w:u w:val="single"/>
          <w:lang w:val="zh-CN"/>
        </w:rPr>
        <w:t>供应商</w:t>
      </w:r>
      <w:r>
        <w:rPr>
          <w:rFonts w:hint="eastAsia" w:ascii="宋体" w:hAnsi="宋体" w:cs="宋体"/>
          <w:b/>
          <w:color w:val="auto"/>
          <w:sz w:val="22"/>
          <w:highlight w:val="none"/>
          <w:u w:val="single"/>
        </w:rPr>
        <w:t>一旦获取了本项目竞争性磋商文件，在质疑期内未提出质疑，并参加投标，即被认为接受了本竞争性磋商文件中所有条款和规定。</w:t>
      </w:r>
    </w:p>
    <w:p w14:paraId="43993DC6">
      <w:pPr>
        <w:tabs>
          <w:tab w:val="left" w:pos="1069"/>
          <w:tab w:val="left" w:pos="2352"/>
        </w:tabs>
        <w:autoSpaceDE w:val="0"/>
        <w:autoSpaceDN w:val="0"/>
        <w:adjustRightInd w:val="0"/>
        <w:spacing w:line="400" w:lineRule="atLeast"/>
        <w:ind w:firstLine="660" w:firstLineChars="300"/>
        <w:rPr>
          <w:rFonts w:ascii="宋体" w:hAnsi="宋体" w:cs="宋体"/>
          <w:color w:val="auto"/>
          <w:sz w:val="22"/>
          <w:highlight w:val="none"/>
          <w:lang w:val="zh-CN"/>
        </w:rPr>
      </w:pPr>
      <w:bookmarkStart w:id="37" w:name="_Toc9317_WPSOffice_Level3"/>
      <w:r>
        <w:rPr>
          <w:rFonts w:hint="eastAsia" w:ascii="宋体" w:hAnsi="宋体" w:cs="宋体"/>
          <w:color w:val="auto"/>
          <w:sz w:val="22"/>
          <w:highlight w:val="none"/>
          <w:lang w:val="zh-CN"/>
        </w:rPr>
        <w:t>2.竞争性磋商文件的澄清</w:t>
      </w:r>
      <w:bookmarkEnd w:id="37"/>
    </w:p>
    <w:p w14:paraId="7EB4AFEB">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供应商对竞争性磋商文件如有疑点要求澄清，或认为有必要与采购人进行技术交流，可用书面形式（包括信函、传真，下同）通知采购机构，但通知应在竞争性磋商文件规定的质疑期前使采购人或其代理机构收到，采购人或其代理机构将用书面形式予以答复。如有必要，可将不说明来源的答复发给各有关供应商或并将此答复通知放至相关网站公示。逾期的质疑不予接受。</w:t>
      </w:r>
    </w:p>
    <w:p w14:paraId="330BB107">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bookmarkStart w:id="38" w:name="_Toc6226_WPSOffice_Level3"/>
      <w:r>
        <w:rPr>
          <w:rFonts w:hint="eastAsia" w:ascii="宋体" w:hAnsi="宋体" w:cs="宋体"/>
          <w:color w:val="auto"/>
          <w:sz w:val="22"/>
          <w:highlight w:val="none"/>
          <w:lang w:val="zh-CN"/>
        </w:rPr>
        <w:t>3.竞争性磋商文件的修改</w:t>
      </w:r>
      <w:bookmarkEnd w:id="38"/>
    </w:p>
    <w:p w14:paraId="1516EA79">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3.1</w:t>
      </w:r>
      <w:r>
        <w:rPr>
          <w:rFonts w:hint="eastAsia" w:ascii="宋体" w:hAnsi="宋体" w:cs="宋体"/>
          <w:color w:val="auto"/>
          <w:sz w:val="22"/>
          <w:highlight w:val="none"/>
        </w:rPr>
        <w:t xml:space="preserve"> </w:t>
      </w:r>
      <w:r>
        <w:rPr>
          <w:rFonts w:hint="eastAsia" w:ascii="宋体" w:hAnsi="宋体" w:cs="宋体"/>
          <w:color w:val="auto"/>
          <w:sz w:val="22"/>
          <w:highlight w:val="none"/>
          <w:lang w:val="zh-CN"/>
        </w:rPr>
        <w:t>在投标截止时间前，采购人或采购机构有权修改竞争性磋商文件，并通知供应商。补充文件作为竞争性磋商文件的补充和组成部分，对所有供应商均有约束力。</w:t>
      </w:r>
    </w:p>
    <w:p w14:paraId="2727AFA1">
      <w:pPr>
        <w:tabs>
          <w:tab w:val="left" w:pos="1069"/>
          <w:tab w:val="left" w:pos="2352"/>
        </w:tabs>
        <w:autoSpaceDE w:val="0"/>
        <w:autoSpaceDN w:val="0"/>
        <w:adjustRightInd w:val="0"/>
        <w:spacing w:line="400" w:lineRule="atLeast"/>
        <w:ind w:firstLine="440" w:firstLineChars="200"/>
        <w:rPr>
          <w:rFonts w:ascii="宋体" w:hAnsi="宋体" w:cs="宋体"/>
          <w:b/>
          <w:color w:val="auto"/>
          <w:sz w:val="22"/>
          <w:highlight w:val="none"/>
          <w:lang w:val="zh-CN"/>
        </w:rPr>
      </w:pPr>
      <w:r>
        <w:rPr>
          <w:rFonts w:hint="eastAsia" w:ascii="宋体" w:hAnsi="宋体" w:cs="宋体"/>
          <w:color w:val="auto"/>
          <w:sz w:val="22"/>
          <w:highlight w:val="none"/>
          <w:lang w:val="zh-CN"/>
        </w:rPr>
        <w:t>3.2</w:t>
      </w:r>
      <w:r>
        <w:rPr>
          <w:rFonts w:hint="eastAsia" w:ascii="宋体" w:hAnsi="宋体" w:cs="宋体"/>
          <w:color w:val="auto"/>
          <w:sz w:val="22"/>
          <w:highlight w:val="none"/>
        </w:rPr>
        <w:t xml:space="preserve"> </w:t>
      </w:r>
      <w:r>
        <w:rPr>
          <w:rFonts w:hint="eastAsia" w:ascii="宋体" w:hAnsi="宋体" w:cs="宋体"/>
          <w:color w:val="auto"/>
          <w:sz w:val="22"/>
          <w:highlight w:val="none"/>
          <w:lang w:val="zh-CN"/>
        </w:rPr>
        <w:t>为使供应商有足够的时间按竞争性磋商文件要求修正投标（响应）文件，采购人按相关规定推迟投标截止时间和开标时间，并将此变更通知放至相关网站公示。</w:t>
      </w:r>
    </w:p>
    <w:p w14:paraId="6181BC26">
      <w:pPr>
        <w:tabs>
          <w:tab w:val="left" w:pos="1069"/>
          <w:tab w:val="left" w:pos="2352"/>
        </w:tabs>
        <w:autoSpaceDE w:val="0"/>
        <w:autoSpaceDN w:val="0"/>
        <w:adjustRightInd w:val="0"/>
        <w:spacing w:line="400" w:lineRule="atLeast"/>
        <w:ind w:firstLine="442" w:firstLineChars="200"/>
        <w:rPr>
          <w:rFonts w:ascii="宋体" w:hAnsi="宋体" w:cs="宋体"/>
          <w:b/>
          <w:color w:val="auto"/>
          <w:sz w:val="22"/>
          <w:highlight w:val="none"/>
          <w:lang w:val="zh-CN"/>
        </w:rPr>
      </w:pPr>
      <w:bookmarkStart w:id="39" w:name="_Toc4378_WPSOffice_Level2"/>
      <w:r>
        <w:rPr>
          <w:rFonts w:hint="eastAsia" w:ascii="宋体" w:hAnsi="宋体" w:cs="宋体"/>
          <w:b/>
          <w:color w:val="auto"/>
          <w:sz w:val="22"/>
          <w:highlight w:val="none"/>
        </w:rPr>
        <w:t>三</w:t>
      </w:r>
      <w:r>
        <w:rPr>
          <w:rFonts w:hint="eastAsia" w:ascii="宋体" w:hAnsi="宋体" w:cs="宋体"/>
          <w:b/>
          <w:color w:val="auto"/>
          <w:sz w:val="22"/>
          <w:highlight w:val="none"/>
          <w:lang w:val="zh-CN"/>
        </w:rPr>
        <w:t>、</w:t>
      </w:r>
      <w:bookmarkEnd w:id="39"/>
      <w:r>
        <w:rPr>
          <w:rFonts w:hint="eastAsia" w:ascii="宋体" w:hAnsi="宋体" w:cs="宋体"/>
          <w:b/>
          <w:color w:val="auto"/>
          <w:sz w:val="22"/>
          <w:highlight w:val="none"/>
          <w:lang w:val="zh-CN"/>
        </w:rPr>
        <w:t>投标（响应）文件</w:t>
      </w:r>
    </w:p>
    <w:p w14:paraId="07C7E4A3">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1.投标（响应）文件</w:t>
      </w:r>
    </w:p>
    <w:p w14:paraId="49775AC3">
      <w:pPr>
        <w:tabs>
          <w:tab w:val="left" w:pos="1069"/>
          <w:tab w:val="left" w:pos="2352"/>
        </w:tabs>
        <w:autoSpaceDE w:val="0"/>
        <w:autoSpaceDN w:val="0"/>
        <w:adjustRightInd w:val="0"/>
        <w:spacing w:line="400" w:lineRule="atLeas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lang w:val="zh-CN"/>
        </w:rPr>
        <w:t>1.1</w:t>
      </w:r>
      <w:r>
        <w:rPr>
          <w:rFonts w:hint="eastAsia" w:ascii="宋体" w:hAnsi="宋体" w:cs="宋体"/>
          <w:color w:val="auto"/>
          <w:sz w:val="22"/>
          <w:highlight w:val="none"/>
        </w:rPr>
        <w:t xml:space="preserve"> 供应商应仔细阅读竞争性磋商文件中的所有内容，按照竞争性磋商文件要求，详细编制投标（响应）文件。并对竞争性磋商文件的要求做出实质上响应。实质上响应的报价应该是与竞争性磋商文件要求没有重大偏离的投标（响应）文件。未实质上响应的投标（响应）文件将被拒绝，但允许供应商在基本满足采购要求的前提下出现的微小差异。</w:t>
      </w:r>
    </w:p>
    <w:p w14:paraId="7C9F1B2A">
      <w:pPr>
        <w:tabs>
          <w:tab w:val="left" w:pos="1069"/>
          <w:tab w:val="left" w:pos="2352"/>
        </w:tabs>
        <w:autoSpaceDE w:val="0"/>
        <w:autoSpaceDN w:val="0"/>
        <w:adjustRightInd w:val="0"/>
        <w:spacing w:line="400" w:lineRule="atLeas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lang w:val="zh-CN"/>
        </w:rPr>
        <w:t>1.2</w:t>
      </w:r>
      <w:r>
        <w:rPr>
          <w:rFonts w:hint="eastAsia" w:ascii="宋体" w:hAnsi="宋体" w:cs="宋体"/>
          <w:color w:val="auto"/>
          <w:sz w:val="22"/>
          <w:highlight w:val="none"/>
        </w:rPr>
        <w:t xml:space="preserve"> 供应商必须按竞争性磋商文件的要求提供相关技术参数、资料，包括采用的计量单位，并保证投标（响应）文件的正确性和真实性。投标（响应）文件全部内容应保持一致，否则可能导致不利于其投标的评定甚至被拒绝。技术和商务如有偏离均应填写偏离表。</w:t>
      </w:r>
    </w:p>
    <w:p w14:paraId="4B23D444">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1.3</w:t>
      </w:r>
      <w:r>
        <w:rPr>
          <w:rFonts w:hint="eastAsia" w:ascii="宋体" w:hAnsi="宋体" w:cs="宋体"/>
          <w:color w:val="auto"/>
          <w:sz w:val="22"/>
          <w:highlight w:val="none"/>
        </w:rPr>
        <w:t xml:space="preserve"> </w:t>
      </w:r>
      <w:r>
        <w:rPr>
          <w:rFonts w:hint="eastAsia" w:ascii="宋体" w:hAnsi="宋体" w:cs="宋体"/>
          <w:color w:val="auto"/>
          <w:sz w:val="22"/>
          <w:highlight w:val="none"/>
          <w:lang w:val="zh-CN"/>
        </w:rPr>
        <w:t>供应商应仔细阅读竞争性磋商文件中的所有内容，按照竞争性磋商文件要求，详细编制投标（响应）文件，所有文件资料必须是针对本次投标。不按竞争性磋商文件的要求提供的投标（响应）文件可能导致被拒绝。</w:t>
      </w:r>
    </w:p>
    <w:p w14:paraId="319E7EA5">
      <w:pPr>
        <w:tabs>
          <w:tab w:val="left" w:pos="1069"/>
          <w:tab w:val="left" w:pos="2352"/>
        </w:tabs>
        <w:autoSpaceDE w:val="0"/>
        <w:autoSpaceDN w:val="0"/>
        <w:adjustRightInd w:val="0"/>
        <w:snapToGri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2.投标（响应）文件的组成</w:t>
      </w:r>
    </w:p>
    <w:p w14:paraId="2AF77A12">
      <w:pPr>
        <w:tabs>
          <w:tab w:val="left" w:pos="1069"/>
          <w:tab w:val="left" w:pos="2352"/>
        </w:tabs>
        <w:autoSpaceDE w:val="0"/>
        <w:autoSpaceDN w:val="0"/>
        <w:adjustRightInd w:val="0"/>
        <w:snapToGrid w:val="0"/>
        <w:spacing w:line="400" w:lineRule="atLeast"/>
        <w:ind w:firstLine="442" w:firstLineChars="200"/>
        <w:rPr>
          <w:rFonts w:ascii="宋体" w:hAnsi="宋体" w:cs="宋体"/>
          <w:b/>
          <w:bCs/>
          <w:color w:val="auto"/>
          <w:sz w:val="22"/>
          <w:highlight w:val="none"/>
          <w:u w:val="single"/>
          <w:lang w:val="zh-CN"/>
        </w:rPr>
      </w:pPr>
      <w:r>
        <w:rPr>
          <w:rFonts w:hint="eastAsia" w:ascii="宋体" w:hAnsi="宋体" w:cs="宋体"/>
          <w:b/>
          <w:bCs/>
          <w:color w:val="auto"/>
          <w:sz w:val="22"/>
          <w:highlight w:val="none"/>
          <w:u w:val="single"/>
        </w:rPr>
        <w:t>投标文件由《资格文件》《商务技术文件》《报价文件》三部分组成。</w:t>
      </w:r>
    </w:p>
    <w:p w14:paraId="32EC5C91">
      <w:pPr>
        <w:tabs>
          <w:tab w:val="left" w:pos="1069"/>
          <w:tab w:val="left" w:pos="2352"/>
        </w:tabs>
        <w:autoSpaceDE w:val="0"/>
        <w:autoSpaceDN w:val="0"/>
        <w:adjustRightInd w:val="0"/>
        <w:snapToGrid w:val="0"/>
        <w:spacing w:line="400" w:lineRule="atLeast"/>
        <w:ind w:firstLine="440" w:firstLineChars="200"/>
        <w:rPr>
          <w:rFonts w:ascii="宋体" w:hAnsi="宋体" w:cs="宋体"/>
          <w:b/>
          <w:color w:val="auto"/>
          <w:sz w:val="22"/>
          <w:highlight w:val="none"/>
          <w:lang w:val="zh-CN"/>
        </w:rPr>
      </w:pPr>
      <w:r>
        <w:rPr>
          <w:rFonts w:hint="eastAsia" w:ascii="宋体" w:hAnsi="宋体" w:cs="宋体"/>
          <w:color w:val="auto"/>
          <w:sz w:val="22"/>
          <w:highlight w:val="none"/>
          <w:lang w:val="zh-CN"/>
        </w:rPr>
        <w:t>2.1</w:t>
      </w:r>
      <w:r>
        <w:rPr>
          <w:rFonts w:hint="eastAsia" w:ascii="宋体" w:hAnsi="宋体" w:cs="宋体"/>
          <w:color w:val="auto"/>
          <w:sz w:val="22"/>
          <w:highlight w:val="none"/>
        </w:rPr>
        <w:t xml:space="preserve"> </w:t>
      </w:r>
      <w:r>
        <w:rPr>
          <w:rFonts w:hint="eastAsia" w:ascii="宋体" w:hAnsi="宋体" w:cs="宋体"/>
          <w:b/>
          <w:bCs/>
          <w:color w:val="auto"/>
          <w:sz w:val="22"/>
          <w:highlight w:val="none"/>
        </w:rPr>
        <w:t>《报价文件》</w:t>
      </w:r>
      <w:r>
        <w:rPr>
          <w:rFonts w:hint="eastAsia" w:ascii="宋体" w:hAnsi="宋体" w:cs="宋体"/>
          <w:b/>
          <w:bCs/>
          <w:color w:val="auto"/>
          <w:sz w:val="22"/>
          <w:highlight w:val="none"/>
          <w:lang w:val="zh-CN"/>
        </w:rPr>
        <w:t>组成</w:t>
      </w:r>
    </w:p>
    <w:tbl>
      <w:tblPr>
        <w:tblStyle w:val="31"/>
        <w:tblW w:w="9520"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8736"/>
      </w:tblGrid>
      <w:tr w14:paraId="12CBB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84" w:type="dxa"/>
          </w:tcPr>
          <w:p w14:paraId="1849426B">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bookmarkStart w:id="40" w:name="_Toc132122410"/>
            <w:bookmarkStart w:id="41" w:name="_Toc132122113"/>
            <w:r>
              <w:rPr>
                <w:rFonts w:hint="eastAsia" w:ascii="宋体" w:hAnsi="宋体" w:cs="宋体"/>
                <w:color w:val="auto"/>
                <w:sz w:val="22"/>
                <w:highlight w:val="none"/>
                <w:lang w:val="zh-CN"/>
              </w:rPr>
              <w:t>序号</w:t>
            </w:r>
          </w:p>
        </w:tc>
        <w:tc>
          <w:tcPr>
            <w:tcW w:w="8736" w:type="dxa"/>
          </w:tcPr>
          <w:p w14:paraId="14D4C48C">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内容（▲序号</w:t>
            </w:r>
            <w:r>
              <w:rPr>
                <w:rFonts w:hint="eastAsia" w:ascii="宋体" w:hAnsi="宋体" w:cs="宋体"/>
                <w:color w:val="auto"/>
                <w:sz w:val="22"/>
                <w:highlight w:val="none"/>
                <w:lang w:val="en-US" w:eastAsia="zh-CN"/>
              </w:rPr>
              <w:t>1</w:t>
            </w:r>
            <w:r>
              <w:rPr>
                <w:rFonts w:hint="eastAsia" w:ascii="宋体" w:hAnsi="宋体" w:cs="宋体"/>
                <w:color w:val="auto"/>
                <w:sz w:val="22"/>
                <w:highlight w:val="none"/>
                <w:lang w:val="zh-CN"/>
              </w:rPr>
              <w:t>项供应商必须提供，否则不能通过符合性审查的，责任自负）</w:t>
            </w:r>
          </w:p>
        </w:tc>
      </w:tr>
      <w:tr w14:paraId="66F8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tcPr>
          <w:p w14:paraId="550C2B2C">
            <w:pPr>
              <w:numPr>
                <w:ilvl w:val="0"/>
                <w:numId w:val="2"/>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36" w:type="dxa"/>
          </w:tcPr>
          <w:p w14:paraId="6A68279F">
            <w:pPr>
              <w:tabs>
                <w:tab w:val="left" w:pos="1069"/>
                <w:tab w:val="left" w:pos="2352"/>
              </w:tabs>
              <w:autoSpaceDE w:val="0"/>
              <w:autoSpaceDN w:val="0"/>
              <w:adjustRightInd w:val="0"/>
              <w:spacing w:line="430" w:lineRule="atLeast"/>
              <w:textAlignment w:val="bottom"/>
              <w:rPr>
                <w:rFonts w:ascii="宋体" w:hAnsi="宋体" w:cs="宋体"/>
                <w:color w:val="auto"/>
                <w:sz w:val="22"/>
                <w:highlight w:val="none"/>
              </w:rPr>
            </w:pPr>
            <w:r>
              <w:rPr>
                <w:rFonts w:hint="eastAsia" w:ascii="宋体" w:hAnsi="宋体" w:cs="宋体"/>
                <w:color w:val="auto"/>
                <w:sz w:val="22"/>
                <w:highlight w:val="none"/>
              </w:rPr>
              <w:t>开标（报价）一览表（首次报价）（附件一）</w:t>
            </w:r>
          </w:p>
        </w:tc>
      </w:tr>
      <w:bookmarkEnd w:id="40"/>
      <w:bookmarkEnd w:id="41"/>
    </w:tbl>
    <w:p w14:paraId="40B36E77">
      <w:pPr>
        <w:tabs>
          <w:tab w:val="left" w:pos="1069"/>
          <w:tab w:val="left" w:pos="2352"/>
        </w:tabs>
        <w:autoSpaceDE w:val="0"/>
        <w:autoSpaceDN w:val="0"/>
        <w:adjustRightInd w:val="0"/>
        <w:snapToGrid w:val="0"/>
        <w:spacing w:line="430" w:lineRule="atLeas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 xml:space="preserve">2.2 </w:t>
      </w:r>
      <w:r>
        <w:rPr>
          <w:rFonts w:hint="eastAsia" w:ascii="宋体" w:hAnsi="宋体" w:cs="宋体"/>
          <w:b/>
          <w:bCs/>
          <w:color w:val="auto"/>
          <w:sz w:val="22"/>
          <w:highlight w:val="none"/>
        </w:rPr>
        <w:t>《资格文件》组成</w:t>
      </w:r>
    </w:p>
    <w:tbl>
      <w:tblPr>
        <w:tblStyle w:val="31"/>
        <w:tblW w:w="9520"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8747"/>
      </w:tblGrid>
      <w:tr w14:paraId="25439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45401679">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序号</w:t>
            </w:r>
          </w:p>
        </w:tc>
        <w:tc>
          <w:tcPr>
            <w:tcW w:w="8747" w:type="dxa"/>
          </w:tcPr>
          <w:p w14:paraId="4DC3D3B8">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内容（▲</w:t>
            </w:r>
            <w:r>
              <w:rPr>
                <w:rFonts w:hint="eastAsia" w:ascii="宋体" w:hAnsi="宋体" w:cs="宋体"/>
                <w:color w:val="auto"/>
                <w:sz w:val="22"/>
                <w:highlight w:val="none"/>
              </w:rPr>
              <w:t>下列项</w:t>
            </w:r>
            <w:r>
              <w:rPr>
                <w:rFonts w:hint="eastAsia" w:ascii="宋体" w:hAnsi="宋体" w:cs="宋体"/>
                <w:color w:val="auto"/>
                <w:sz w:val="22"/>
                <w:highlight w:val="none"/>
                <w:lang w:val="zh-CN"/>
              </w:rPr>
              <w:t>供应商必须提供，否则不能通过符合性审查的，责任自负）</w:t>
            </w:r>
          </w:p>
        </w:tc>
      </w:tr>
      <w:tr w14:paraId="16DF3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73" w:type="dxa"/>
          </w:tcPr>
          <w:p w14:paraId="54CF6FCB">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tcPr>
          <w:p w14:paraId="214F8AE3">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rPr>
              <w:t>供应商的营业执照、税务登记证（如为多证合一仅需提供营业执照）</w:t>
            </w:r>
            <w:r>
              <w:rPr>
                <w:rFonts w:hint="eastAsia" w:ascii="宋体" w:hAnsi="宋体" w:cs="宋体"/>
                <w:color w:val="auto"/>
                <w:sz w:val="22"/>
                <w:highlight w:val="none"/>
              </w:rPr>
              <w:br w:type="textWrapping"/>
            </w:r>
            <w:r>
              <w:rPr>
                <w:rFonts w:hint="eastAsia" w:ascii="宋体" w:hAnsi="宋体" w:eastAsia="宋体" w:cs="宋体"/>
                <w:b w:val="0"/>
                <w:bCs w:val="0"/>
                <w:color w:val="auto"/>
                <w:sz w:val="22"/>
                <w:szCs w:val="22"/>
                <w:highlight w:val="none"/>
                <w:lang w:val="en-US" w:eastAsia="zh-CN"/>
              </w:rPr>
              <w:t>注：供应商若为事业单位或社会团体的，提供事业单位登记证书或社会团体法人登记证书。</w:t>
            </w:r>
          </w:p>
        </w:tc>
      </w:tr>
      <w:tr w14:paraId="6E418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F43C203">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tcPr>
          <w:p w14:paraId="07539489">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Style w:val="36"/>
                <w:rFonts w:hint="eastAsia" w:cs="宋体"/>
                <w:color w:val="auto"/>
                <w:sz w:val="22"/>
                <w:highlight w:val="none"/>
                <w:u w:val="none"/>
              </w:rPr>
              <w:t>符合参加政府采购活动应当具备的一般条件的承诺函（附件</w:t>
            </w:r>
            <w:r>
              <w:rPr>
                <w:rStyle w:val="36"/>
                <w:rFonts w:hint="eastAsia" w:cs="宋体"/>
                <w:color w:val="auto"/>
                <w:sz w:val="22"/>
                <w:highlight w:val="none"/>
                <w:u w:val="none"/>
                <w:lang w:val="en-US" w:eastAsia="zh-CN"/>
              </w:rPr>
              <w:t>二</w:t>
            </w:r>
            <w:r>
              <w:rPr>
                <w:rStyle w:val="36"/>
                <w:rFonts w:hint="eastAsia" w:cs="宋体"/>
                <w:color w:val="auto"/>
                <w:sz w:val="22"/>
                <w:highlight w:val="none"/>
                <w:u w:val="none"/>
              </w:rPr>
              <w:t>）</w:t>
            </w:r>
          </w:p>
        </w:tc>
      </w:tr>
      <w:tr w14:paraId="22CA4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6C7A9177">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vAlign w:val="center"/>
          </w:tcPr>
          <w:p w14:paraId="1FB7157C">
            <w:pPr>
              <w:tabs>
                <w:tab w:val="left" w:pos="1069"/>
                <w:tab w:val="left" w:pos="2352"/>
              </w:tabs>
              <w:autoSpaceDE w:val="0"/>
              <w:autoSpaceDN w:val="0"/>
              <w:adjustRightInd w:val="0"/>
              <w:spacing w:line="260" w:lineRule="exact"/>
              <w:textAlignment w:val="bottom"/>
              <w:rPr>
                <w:rFonts w:ascii="宋体" w:hAnsi="宋体" w:cs="宋体"/>
                <w:color w:val="auto"/>
                <w:sz w:val="22"/>
                <w:highlight w:val="none"/>
              </w:rPr>
            </w:pPr>
            <w:r>
              <w:rPr>
                <w:rFonts w:hint="eastAsia" w:ascii="宋体" w:hAnsi="宋体" w:cs="宋体"/>
                <w:color w:val="auto"/>
                <w:sz w:val="22"/>
                <w:highlight w:val="none"/>
              </w:rPr>
              <w:t>供应商“信用中国”(</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宋体" w:hAnsi="宋体" w:cs="宋体"/>
                <w:color w:val="auto"/>
                <w:sz w:val="22"/>
                <w:highlight w:val="none"/>
              </w:rPr>
              <w:t>www.creditchina.gov.cn</w:t>
            </w:r>
            <w:r>
              <w:rPr>
                <w:rFonts w:hint="eastAsia" w:ascii="宋体" w:hAnsi="宋体" w:cs="宋体"/>
                <w:color w:val="auto"/>
                <w:sz w:val="22"/>
                <w:highlight w:val="none"/>
              </w:rPr>
              <w:fldChar w:fldCharType="end"/>
            </w:r>
            <w:r>
              <w:rPr>
                <w:rFonts w:hint="eastAsia" w:ascii="宋体" w:hAnsi="宋体" w:cs="宋体"/>
                <w:color w:val="auto"/>
                <w:sz w:val="22"/>
                <w:highlight w:val="none"/>
              </w:rPr>
              <w:t>)；“中国政府采购网”（http://www.ccgp.gov.cn/）信用记录网页截图（招标公告发布之日至投标截止时间前均可）</w:t>
            </w:r>
          </w:p>
        </w:tc>
      </w:tr>
      <w:tr w14:paraId="11843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657D47B1">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vAlign w:val="center"/>
          </w:tcPr>
          <w:p w14:paraId="7EF9C48A">
            <w:pPr>
              <w:tabs>
                <w:tab w:val="left" w:pos="1069"/>
                <w:tab w:val="left" w:pos="2352"/>
              </w:tabs>
              <w:autoSpaceDE w:val="0"/>
              <w:autoSpaceDN w:val="0"/>
              <w:adjustRightInd w:val="0"/>
              <w:spacing w:line="260" w:lineRule="exact"/>
              <w:textAlignment w:val="bottom"/>
              <w:rPr>
                <w:rFonts w:ascii="宋体" w:hAnsi="宋体" w:cs="宋体"/>
                <w:color w:val="auto"/>
                <w:sz w:val="22"/>
                <w:highlight w:val="none"/>
              </w:rPr>
            </w:pPr>
            <w:r>
              <w:rPr>
                <w:rFonts w:hint="eastAsia" w:ascii="宋体" w:hAnsi="宋体" w:cs="宋体"/>
                <w:color w:val="auto"/>
                <w:sz w:val="22"/>
                <w:highlight w:val="none"/>
              </w:rPr>
              <w:t>法定代表人授权书（附件</w:t>
            </w:r>
            <w:r>
              <w:rPr>
                <w:rFonts w:hint="eastAsia" w:ascii="宋体" w:hAnsi="宋体" w:cs="宋体"/>
                <w:color w:val="auto"/>
                <w:sz w:val="22"/>
                <w:highlight w:val="none"/>
                <w:lang w:val="en-US" w:eastAsia="zh-CN"/>
              </w:rPr>
              <w:t>三</w:t>
            </w:r>
            <w:r>
              <w:rPr>
                <w:rFonts w:hint="eastAsia" w:ascii="宋体" w:hAnsi="宋体" w:cs="宋体"/>
                <w:color w:val="auto"/>
                <w:sz w:val="22"/>
                <w:highlight w:val="none"/>
              </w:rPr>
              <w:t>）</w:t>
            </w:r>
          </w:p>
          <w:p w14:paraId="321EF622">
            <w:pPr>
              <w:tabs>
                <w:tab w:val="left" w:pos="1069"/>
                <w:tab w:val="left" w:pos="2352"/>
              </w:tabs>
              <w:autoSpaceDE w:val="0"/>
              <w:autoSpaceDN w:val="0"/>
              <w:adjustRightInd w:val="0"/>
              <w:spacing w:line="260" w:lineRule="exact"/>
              <w:textAlignment w:val="bottom"/>
              <w:rPr>
                <w:rFonts w:ascii="宋体" w:hAnsi="宋体" w:cs="宋体"/>
                <w:color w:val="auto"/>
                <w:sz w:val="22"/>
                <w:highlight w:val="none"/>
              </w:rPr>
            </w:pPr>
            <w:r>
              <w:rPr>
                <w:rFonts w:hint="eastAsia" w:ascii="宋体" w:hAnsi="宋体" w:cs="宋体"/>
                <w:color w:val="auto"/>
                <w:sz w:val="22"/>
                <w:highlight w:val="none"/>
              </w:rPr>
              <w:t>（若是法定代表人直接参与投标的，仅需提供法人代表身份证复印影印件）</w:t>
            </w:r>
          </w:p>
        </w:tc>
      </w:tr>
    </w:tbl>
    <w:p w14:paraId="1903BDFE">
      <w:pPr>
        <w:tabs>
          <w:tab w:val="left" w:pos="1069"/>
          <w:tab w:val="left" w:pos="2352"/>
        </w:tabs>
        <w:autoSpaceDE w:val="0"/>
        <w:autoSpaceDN w:val="0"/>
        <w:adjustRightInd w:val="0"/>
        <w:snapToGrid w:val="0"/>
        <w:spacing w:line="430" w:lineRule="atLeas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 xml:space="preserve">2.3 </w:t>
      </w:r>
      <w:r>
        <w:rPr>
          <w:rFonts w:hint="eastAsia" w:ascii="宋体" w:hAnsi="宋体" w:cs="宋体"/>
          <w:b/>
          <w:bCs/>
          <w:color w:val="auto"/>
          <w:sz w:val="22"/>
          <w:highlight w:val="none"/>
        </w:rPr>
        <w:t>《商务技术文件》组成</w:t>
      </w:r>
    </w:p>
    <w:tbl>
      <w:tblPr>
        <w:tblStyle w:val="31"/>
        <w:tblW w:w="9520"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8747"/>
      </w:tblGrid>
      <w:tr w14:paraId="3B85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367DEB8A">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序号</w:t>
            </w:r>
          </w:p>
        </w:tc>
        <w:tc>
          <w:tcPr>
            <w:tcW w:w="8747" w:type="dxa"/>
          </w:tcPr>
          <w:p w14:paraId="02035B92">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内容（▲序号1</w:t>
            </w:r>
            <w:r>
              <w:rPr>
                <w:rFonts w:hint="eastAsia" w:ascii="宋体" w:hAnsi="宋体" w:cs="宋体"/>
                <w:color w:val="auto"/>
                <w:sz w:val="22"/>
                <w:highlight w:val="none"/>
              </w:rPr>
              <w:t>-6</w:t>
            </w:r>
            <w:r>
              <w:rPr>
                <w:rFonts w:hint="eastAsia" w:ascii="宋体" w:hAnsi="宋体" w:cs="宋体"/>
                <w:color w:val="auto"/>
                <w:sz w:val="22"/>
                <w:highlight w:val="none"/>
                <w:lang w:val="zh-CN"/>
              </w:rPr>
              <w:t>项供应商必须提供，否则不能通过符合性审查的，责任自负）</w:t>
            </w:r>
          </w:p>
        </w:tc>
      </w:tr>
      <w:tr w14:paraId="02D20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73" w:type="dxa"/>
          </w:tcPr>
          <w:p w14:paraId="79044800">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0E804BCD">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lang w:val="zh-CN"/>
              </w:rPr>
            </w:pPr>
            <w:r>
              <w:rPr>
                <w:rFonts w:hint="eastAsia" w:ascii="宋体" w:hAnsi="宋体" w:cs="宋体"/>
                <w:b/>
                <w:bCs/>
                <w:color w:val="auto"/>
                <w:sz w:val="22"/>
                <w:highlight w:val="none"/>
              </w:rPr>
              <w:t>报价函（附件</w:t>
            </w:r>
            <w:r>
              <w:rPr>
                <w:rFonts w:hint="eastAsia" w:ascii="宋体" w:hAnsi="宋体" w:cs="宋体"/>
                <w:b/>
                <w:bCs/>
                <w:color w:val="auto"/>
                <w:sz w:val="22"/>
                <w:highlight w:val="none"/>
                <w:lang w:val="en-US" w:eastAsia="zh-CN"/>
              </w:rPr>
              <w:t>四</w:t>
            </w:r>
            <w:r>
              <w:rPr>
                <w:rFonts w:hint="eastAsia" w:ascii="宋体" w:hAnsi="宋体" w:cs="宋体"/>
                <w:b/>
                <w:bCs/>
                <w:color w:val="auto"/>
                <w:sz w:val="22"/>
                <w:highlight w:val="none"/>
              </w:rPr>
              <w:t>）</w:t>
            </w:r>
          </w:p>
        </w:tc>
      </w:tr>
      <w:tr w14:paraId="05980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1B438DD0">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675D946C">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lang w:val="zh-CN"/>
              </w:rPr>
            </w:pPr>
            <w:r>
              <w:rPr>
                <w:rFonts w:hint="eastAsia" w:ascii="宋体" w:hAnsi="宋体" w:cs="宋体"/>
                <w:b/>
                <w:bCs/>
                <w:color w:val="auto"/>
                <w:sz w:val="22"/>
                <w:highlight w:val="none"/>
              </w:rPr>
              <w:t>供应商参与政府采购活动投标资格声明（附件</w:t>
            </w:r>
            <w:r>
              <w:rPr>
                <w:rFonts w:hint="eastAsia" w:ascii="宋体" w:hAnsi="宋体" w:cs="宋体"/>
                <w:b/>
                <w:bCs/>
                <w:color w:val="auto"/>
                <w:sz w:val="22"/>
                <w:highlight w:val="none"/>
                <w:lang w:val="en-US" w:eastAsia="zh-CN"/>
              </w:rPr>
              <w:t>五</w:t>
            </w:r>
            <w:r>
              <w:rPr>
                <w:rFonts w:hint="eastAsia" w:ascii="宋体" w:hAnsi="宋体" w:cs="宋体"/>
                <w:b/>
                <w:bCs/>
                <w:color w:val="auto"/>
                <w:sz w:val="22"/>
                <w:highlight w:val="none"/>
              </w:rPr>
              <w:t>）</w:t>
            </w:r>
          </w:p>
        </w:tc>
      </w:tr>
      <w:tr w14:paraId="4E0A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552B9B7D">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080341BA">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rPr>
            </w:pPr>
            <w:r>
              <w:rPr>
                <w:rFonts w:hint="eastAsia" w:ascii="宋体" w:hAnsi="宋体" w:cs="宋体"/>
                <w:b/>
                <w:bCs/>
                <w:color w:val="auto"/>
                <w:sz w:val="22"/>
                <w:highlight w:val="none"/>
              </w:rPr>
              <w:t>法定代表人诚信投标承诺书（附件</w:t>
            </w:r>
            <w:r>
              <w:rPr>
                <w:rFonts w:hint="eastAsia" w:ascii="宋体" w:hAnsi="宋体" w:cs="宋体"/>
                <w:b/>
                <w:bCs/>
                <w:color w:val="auto"/>
                <w:sz w:val="22"/>
                <w:highlight w:val="none"/>
                <w:lang w:val="en-US" w:eastAsia="zh-CN"/>
              </w:rPr>
              <w:t>六</w:t>
            </w:r>
            <w:r>
              <w:rPr>
                <w:rFonts w:hint="eastAsia" w:ascii="宋体" w:hAnsi="宋体" w:cs="宋体"/>
                <w:b/>
                <w:bCs/>
                <w:color w:val="auto"/>
                <w:sz w:val="22"/>
                <w:highlight w:val="none"/>
              </w:rPr>
              <w:t>）</w:t>
            </w:r>
          </w:p>
        </w:tc>
      </w:tr>
      <w:tr w14:paraId="7FAFA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8C91D35">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610A1676">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rPr>
            </w:pPr>
            <w:r>
              <w:rPr>
                <w:rFonts w:hint="eastAsia" w:ascii="宋体" w:hAnsi="宋体" w:cs="宋体"/>
                <w:b/>
                <w:bCs/>
                <w:color w:val="auto"/>
                <w:sz w:val="22"/>
                <w:highlight w:val="none"/>
              </w:rPr>
              <w:t>商务偏离表（附件</w:t>
            </w:r>
            <w:r>
              <w:rPr>
                <w:rFonts w:hint="eastAsia" w:ascii="宋体" w:hAnsi="宋体" w:cs="宋体"/>
                <w:b/>
                <w:bCs/>
                <w:color w:val="auto"/>
                <w:sz w:val="22"/>
                <w:highlight w:val="none"/>
                <w:lang w:val="en-US" w:eastAsia="zh-CN"/>
              </w:rPr>
              <w:t>七</w:t>
            </w:r>
            <w:r>
              <w:rPr>
                <w:rFonts w:hint="eastAsia" w:ascii="宋体" w:hAnsi="宋体" w:cs="宋体"/>
                <w:b/>
                <w:bCs/>
                <w:color w:val="auto"/>
                <w:sz w:val="22"/>
                <w:highlight w:val="none"/>
              </w:rPr>
              <w:t>（一））、技术偏离表（附件</w:t>
            </w:r>
            <w:r>
              <w:rPr>
                <w:rFonts w:hint="eastAsia" w:ascii="宋体" w:hAnsi="宋体" w:cs="宋体"/>
                <w:b/>
                <w:bCs/>
                <w:color w:val="auto"/>
                <w:sz w:val="22"/>
                <w:highlight w:val="none"/>
                <w:lang w:val="en-US" w:eastAsia="zh-CN"/>
              </w:rPr>
              <w:t>期</w:t>
            </w:r>
            <w:r>
              <w:rPr>
                <w:rFonts w:hint="eastAsia" w:ascii="宋体" w:hAnsi="宋体" w:cs="宋体"/>
                <w:b/>
                <w:bCs/>
                <w:color w:val="auto"/>
                <w:sz w:val="22"/>
                <w:highlight w:val="none"/>
              </w:rPr>
              <w:t>（二））</w:t>
            </w:r>
          </w:p>
        </w:tc>
      </w:tr>
      <w:tr w14:paraId="79B4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6409FD1A">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63BCCEA7">
            <w:pPr>
              <w:tabs>
                <w:tab w:val="left" w:pos="1069"/>
                <w:tab w:val="left" w:pos="2352"/>
              </w:tabs>
              <w:autoSpaceDE w:val="0"/>
              <w:autoSpaceDN w:val="0"/>
              <w:adjustRightInd w:val="0"/>
              <w:snapToGrid w:val="0"/>
              <w:spacing w:line="430" w:lineRule="atLeast"/>
              <w:rPr>
                <w:rFonts w:hint="eastAsia" w:ascii="宋体" w:hAnsi="宋体" w:eastAsia="宋体" w:cs="宋体"/>
                <w:b/>
                <w:bCs/>
                <w:color w:val="auto"/>
                <w:sz w:val="22"/>
                <w:highlight w:val="none"/>
                <w:lang w:eastAsia="zh-CN"/>
              </w:rPr>
            </w:pPr>
            <w:r>
              <w:rPr>
                <w:rFonts w:hint="eastAsia" w:ascii="宋体" w:hAnsi="宋体" w:cs="宋体"/>
                <w:b/>
                <w:bCs/>
                <w:color w:val="auto"/>
                <w:sz w:val="22"/>
                <w:highlight w:val="none"/>
              </w:rPr>
              <w:t>项目实施方案</w:t>
            </w:r>
            <w:r>
              <w:rPr>
                <w:rFonts w:hint="eastAsia" w:ascii="宋体" w:hAnsi="宋体" w:cs="宋体"/>
                <w:b/>
                <w:bCs/>
                <w:color w:val="auto"/>
                <w:sz w:val="22"/>
                <w:highlight w:val="none"/>
                <w:lang w:eastAsia="zh-CN"/>
              </w:rPr>
              <w:t>（</w:t>
            </w:r>
            <w:r>
              <w:rPr>
                <w:rFonts w:hint="eastAsia" w:ascii="宋体" w:hAnsi="宋体" w:cs="宋体"/>
                <w:b/>
                <w:bCs/>
                <w:color w:val="auto"/>
                <w:sz w:val="22"/>
                <w:highlight w:val="none"/>
                <w:lang w:val="en-US" w:eastAsia="zh-CN"/>
              </w:rPr>
              <w:t>改造及运营部分分别描述</w:t>
            </w:r>
            <w:r>
              <w:rPr>
                <w:rFonts w:hint="eastAsia" w:ascii="宋体" w:hAnsi="宋体" w:cs="宋体"/>
                <w:b/>
                <w:bCs/>
                <w:color w:val="auto"/>
                <w:sz w:val="22"/>
                <w:highlight w:val="none"/>
                <w:lang w:eastAsia="zh-CN"/>
              </w:rPr>
              <w:t>）</w:t>
            </w:r>
          </w:p>
        </w:tc>
      </w:tr>
      <w:tr w14:paraId="16682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0E035DAB">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7E393C51">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rPr>
            </w:pPr>
            <w:r>
              <w:rPr>
                <w:rFonts w:hint="eastAsia" w:ascii="宋体" w:hAnsi="宋体" w:cs="宋体"/>
                <w:b/>
                <w:bCs/>
                <w:color w:val="auto"/>
                <w:sz w:val="22"/>
                <w:highlight w:val="none"/>
              </w:rPr>
              <w:t>供应商项目服务人员汇总表（附件</w:t>
            </w:r>
            <w:r>
              <w:rPr>
                <w:rFonts w:hint="eastAsia" w:ascii="宋体" w:hAnsi="宋体" w:cs="宋体"/>
                <w:b/>
                <w:bCs/>
                <w:color w:val="auto"/>
                <w:sz w:val="22"/>
                <w:highlight w:val="none"/>
                <w:lang w:val="en-US" w:eastAsia="zh-CN"/>
              </w:rPr>
              <w:t>八</w:t>
            </w:r>
            <w:r>
              <w:rPr>
                <w:rFonts w:hint="eastAsia" w:ascii="宋体" w:hAnsi="宋体" w:cs="宋体"/>
                <w:b/>
                <w:bCs/>
                <w:color w:val="auto"/>
                <w:sz w:val="22"/>
                <w:highlight w:val="none"/>
              </w:rPr>
              <w:t>）；</w:t>
            </w:r>
          </w:p>
        </w:tc>
      </w:tr>
      <w:tr w14:paraId="61D36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18389951">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051A76A0">
            <w:pPr>
              <w:tabs>
                <w:tab w:val="left" w:pos="1069"/>
                <w:tab w:val="left" w:pos="2352"/>
              </w:tabs>
              <w:autoSpaceDE w:val="0"/>
              <w:autoSpaceDN w:val="0"/>
              <w:adjustRightInd w:val="0"/>
              <w:snapToGrid w:val="0"/>
              <w:spacing w:line="430" w:lineRule="atLeast"/>
              <w:rPr>
                <w:rFonts w:hint="eastAsia" w:ascii="宋体" w:hAnsi="宋体" w:cs="宋体"/>
                <w:b/>
                <w:bCs/>
                <w:color w:val="auto"/>
                <w:sz w:val="22"/>
                <w:highlight w:val="none"/>
              </w:rPr>
            </w:pPr>
            <w:r>
              <w:rPr>
                <w:rFonts w:hint="eastAsia" w:ascii="宋体"/>
                <w:color w:val="auto"/>
                <w:sz w:val="22"/>
                <w:highlight w:val="none"/>
              </w:rPr>
              <w:t>联合体投标协议（如是联合体投标的则需提供）</w:t>
            </w:r>
            <w:r>
              <w:rPr>
                <w:rFonts w:hint="eastAsia" w:ascii="宋体"/>
                <w:b/>
                <w:bCs/>
                <w:color w:val="auto"/>
                <w:sz w:val="22"/>
                <w:highlight w:val="none"/>
              </w:rPr>
              <w:t>（附件</w:t>
            </w:r>
            <w:r>
              <w:rPr>
                <w:rFonts w:hint="eastAsia" w:ascii="宋体"/>
                <w:b/>
                <w:bCs/>
                <w:color w:val="auto"/>
                <w:sz w:val="22"/>
                <w:highlight w:val="none"/>
                <w:lang w:val="en-US" w:eastAsia="zh-CN"/>
              </w:rPr>
              <w:t>九</w:t>
            </w:r>
            <w:r>
              <w:rPr>
                <w:rFonts w:hint="eastAsia" w:ascii="宋体"/>
                <w:b/>
                <w:bCs/>
                <w:color w:val="auto"/>
                <w:sz w:val="22"/>
                <w:highlight w:val="none"/>
              </w:rPr>
              <w:t>）</w:t>
            </w:r>
          </w:p>
        </w:tc>
      </w:tr>
      <w:tr w14:paraId="1FC0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04113960">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41A278C6">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距离采购人最近的服务机构的详细介绍、服务机构总负责人，电话，地址，技术力量配置等；</w:t>
            </w:r>
          </w:p>
        </w:tc>
      </w:tr>
      <w:tr w14:paraId="35FA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397D3D14">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3190A137">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供应商质量体系认证证书、供应商环境体系认证证书、供应商职业健康体系认证证书（（如有则提供）</w:t>
            </w:r>
          </w:p>
        </w:tc>
      </w:tr>
      <w:tr w14:paraId="4F762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E4FD9FF">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6D59627D">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供应商项目业绩清单，如有（附件</w:t>
            </w:r>
            <w:r>
              <w:rPr>
                <w:rFonts w:hint="eastAsia" w:ascii="宋体" w:hAnsi="宋体" w:cs="宋体"/>
                <w:color w:val="auto"/>
                <w:sz w:val="22"/>
                <w:highlight w:val="none"/>
                <w:lang w:val="en-US" w:eastAsia="zh-CN"/>
              </w:rPr>
              <w:t>十</w:t>
            </w:r>
            <w:r>
              <w:rPr>
                <w:rFonts w:hint="eastAsia" w:ascii="宋体" w:hAnsi="宋体" w:cs="宋体"/>
                <w:color w:val="auto"/>
                <w:sz w:val="22"/>
                <w:highlight w:val="none"/>
              </w:rPr>
              <w:t>）</w:t>
            </w:r>
          </w:p>
        </w:tc>
      </w:tr>
      <w:tr w14:paraId="0A174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304DBF6">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1B01AD1B">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供应商具有的其它相关资质证书（如有则提供）</w:t>
            </w:r>
          </w:p>
        </w:tc>
      </w:tr>
      <w:tr w14:paraId="6AB3E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000F958">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48A38079">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根据竞争性磋商文件中的采购内容与技术要求、评标细则，需要提供的其它文件和资料。</w:t>
            </w:r>
          </w:p>
        </w:tc>
      </w:tr>
      <w:tr w14:paraId="7FFEE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15EE9E85">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458A2EBC">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其它供应商须说明的资料（如有则提供）</w:t>
            </w:r>
          </w:p>
        </w:tc>
      </w:tr>
      <w:tr w14:paraId="3FB5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1A91CE51">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3765BCB9">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供应商应编制目录索引，注明项目所在投标文件页码。</w:t>
            </w:r>
          </w:p>
        </w:tc>
      </w:tr>
      <w:tr w14:paraId="56135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6E04BB3B">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45D0FB1D">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政府采购活动现场确认声明书（附件十一）</w:t>
            </w:r>
          </w:p>
        </w:tc>
      </w:tr>
      <w:tr w14:paraId="3C47B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134872A0">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6F3B39AF">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中小企业相关的证明材料：</w:t>
            </w:r>
          </w:p>
          <w:p w14:paraId="4C1466DC">
            <w:pPr>
              <w:numPr>
                <w:ilvl w:val="0"/>
                <w:numId w:val="5"/>
              </w:num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中小企业</w:t>
            </w:r>
          </w:p>
          <w:p w14:paraId="78C70DD2">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中小企业声明函（原件，加盖供应商公章，格式见采购文件第四部分附件1）</w:t>
            </w:r>
          </w:p>
          <w:p w14:paraId="68372701">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2）监狱企业参加政府采购活动时，应当提供由省级以上监狱管理局、戒毒管理局(含新疆生产建设兵团)出具的属于监狱企业的证明文件（原件或复印件加盖公章）。在政府采购活动中，监狱企业视同小型、微型企业。</w:t>
            </w:r>
          </w:p>
          <w:p w14:paraId="44D9F8B9">
            <w:pPr>
              <w:autoSpaceDE w:val="0"/>
              <w:autoSpaceDN w:val="0"/>
              <w:adjustRightInd w:val="0"/>
              <w:spacing w:line="260" w:lineRule="exact"/>
              <w:textAlignment w:val="bottom"/>
              <w:rPr>
                <w:rFonts w:ascii="宋体" w:hAnsi="宋体" w:cs="宋体"/>
                <w:color w:val="auto"/>
                <w:sz w:val="22"/>
                <w:highlight w:val="none"/>
              </w:rPr>
            </w:pPr>
            <w:r>
              <w:rPr>
                <w:rFonts w:hint="eastAsia" w:ascii="宋体" w:hAnsi="宋体" w:cs="Arial"/>
                <w:color w:val="auto"/>
                <w:sz w:val="22"/>
                <w:highlight w:val="none"/>
              </w:rPr>
              <w:t>（3）残疾人福利性单位声明函（原件，加盖供应商公章，格式见采购文件第四部分附件2）在政府采购活动中，残疾人福利性单位视同小型、微型企业。</w:t>
            </w:r>
          </w:p>
        </w:tc>
      </w:tr>
    </w:tbl>
    <w:p w14:paraId="2003DE79">
      <w:pPr>
        <w:tabs>
          <w:tab w:val="left" w:pos="1069"/>
          <w:tab w:val="left" w:pos="2352"/>
        </w:tabs>
        <w:rPr>
          <w:rFonts w:ascii="宋体" w:hAnsi="宋体" w:cs="宋体"/>
          <w:color w:val="auto"/>
          <w:highlight w:val="none"/>
        </w:rPr>
      </w:pPr>
    </w:p>
    <w:p w14:paraId="28F37193">
      <w:pPr>
        <w:tabs>
          <w:tab w:val="left" w:pos="1069"/>
          <w:tab w:val="left" w:pos="2352"/>
        </w:tabs>
        <w:autoSpaceDE w:val="0"/>
        <w:autoSpaceDN w:val="0"/>
        <w:adjustRightInd w:val="0"/>
        <w:snapToGrid w:val="0"/>
        <w:spacing w:line="400" w:lineRule="exact"/>
        <w:textAlignment w:val="bottom"/>
        <w:rPr>
          <w:rFonts w:ascii="宋体" w:hAnsi="宋体" w:cs="宋体"/>
          <w:color w:val="auto"/>
          <w:sz w:val="22"/>
          <w:highlight w:val="none"/>
        </w:rPr>
      </w:pPr>
      <w:r>
        <w:rPr>
          <w:rFonts w:hint="eastAsia" w:ascii="宋体" w:hAnsi="宋体" w:cs="宋体"/>
          <w:color w:val="auto"/>
          <w:sz w:val="22"/>
          <w:highlight w:val="none"/>
        </w:rPr>
        <w:t>3.投标内容填写说明</w:t>
      </w:r>
    </w:p>
    <w:p w14:paraId="70DF86C9">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供应商应按照（上表）所列出的内容及格式组成投标文件。</w:t>
      </w:r>
    </w:p>
    <w:p w14:paraId="2BCC9181">
      <w:pPr>
        <w:tabs>
          <w:tab w:val="left" w:pos="1069"/>
          <w:tab w:val="left" w:pos="2352"/>
        </w:tabs>
        <w:autoSpaceDE w:val="0"/>
        <w:autoSpaceDN w:val="0"/>
        <w:adjustRightInd w:val="0"/>
        <w:snapToGrid w:val="0"/>
        <w:spacing w:line="400" w:lineRule="exact"/>
        <w:textAlignment w:val="bottom"/>
        <w:rPr>
          <w:rFonts w:ascii="宋体" w:hAnsi="宋体" w:cs="宋体"/>
          <w:color w:val="auto"/>
          <w:sz w:val="22"/>
          <w:highlight w:val="none"/>
        </w:rPr>
      </w:pPr>
      <w:bookmarkStart w:id="42" w:name="_Toc132122412"/>
      <w:bookmarkStart w:id="43" w:name="_Toc132122115"/>
      <w:r>
        <w:rPr>
          <w:rFonts w:hint="eastAsia" w:ascii="宋体" w:hAnsi="宋体" w:cs="宋体"/>
          <w:color w:val="auto"/>
          <w:sz w:val="22"/>
          <w:highlight w:val="none"/>
        </w:rPr>
        <w:t>4.投标报价</w:t>
      </w:r>
      <w:bookmarkEnd w:id="42"/>
      <w:bookmarkEnd w:id="43"/>
    </w:p>
    <w:p w14:paraId="3654376E">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4.1 供应商应按竞争性磋商文件中《开标（报价）一览表（首次报价）》填写投标报价。</w:t>
      </w:r>
    </w:p>
    <w:p w14:paraId="576BFB79">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u w:val="single"/>
        </w:rPr>
      </w:pPr>
      <w:r>
        <w:rPr>
          <w:rFonts w:hint="eastAsia" w:ascii="宋体" w:hAnsi="宋体" w:cs="宋体"/>
          <w:color w:val="auto"/>
          <w:sz w:val="22"/>
          <w:highlight w:val="none"/>
        </w:rPr>
        <w:t>4.2 供应商应在各自技术和商务占优势的基础上并充分考虑本项目的重要性，提供对采购人最优惠的报价。</w:t>
      </w:r>
    </w:p>
    <w:p w14:paraId="3759FAEE">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 xml:space="preserve">4.3 </w:t>
      </w:r>
      <w:r>
        <w:rPr>
          <w:rFonts w:hint="eastAsia" w:ascii="宋体" w:hAnsi="宋体" w:cs="宋体"/>
          <w:b/>
          <w:bCs/>
          <w:color w:val="auto"/>
          <w:sz w:val="22"/>
          <w:highlight w:val="none"/>
          <w:u w:val="single"/>
        </w:rPr>
        <w:t>除采购人有变更采购需求的情况外，供应商最终报价不得高于首次报价</w:t>
      </w:r>
      <w:r>
        <w:rPr>
          <w:rFonts w:hint="eastAsia" w:ascii="宋体" w:hAnsi="宋体" w:cs="宋体"/>
          <w:color w:val="auto"/>
          <w:sz w:val="22"/>
          <w:highlight w:val="none"/>
        </w:rPr>
        <w:t>。</w:t>
      </w:r>
    </w:p>
    <w:p w14:paraId="3B5FCBE2">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 xml:space="preserve">4.4 </w:t>
      </w:r>
      <w:r>
        <w:rPr>
          <w:rFonts w:hint="eastAsia" w:ascii="宋体" w:hAnsi="宋体" w:cs="宋体"/>
          <w:b/>
          <w:bCs/>
          <w:color w:val="auto"/>
          <w:sz w:val="22"/>
          <w:highlight w:val="none"/>
          <w:u w:val="single"/>
        </w:rPr>
        <w:t>超过规定时间未提交最终报价的视为自动放弃投标</w:t>
      </w:r>
      <w:r>
        <w:rPr>
          <w:rFonts w:hint="eastAsia" w:ascii="宋体" w:hAnsi="宋体" w:cs="宋体"/>
          <w:color w:val="auto"/>
          <w:sz w:val="22"/>
          <w:highlight w:val="none"/>
        </w:rPr>
        <w:t>。</w:t>
      </w:r>
    </w:p>
    <w:p w14:paraId="5ED56711">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5.采购人要求分类报价是为了方便评标，但在任何情况下不限制采购人以其认为最合适的条款签订合同的权利。</w:t>
      </w:r>
    </w:p>
    <w:p w14:paraId="2E1768DD">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bookmarkStart w:id="44" w:name="_Toc132122117"/>
      <w:bookmarkStart w:id="45" w:name="_Toc132122414"/>
      <w:r>
        <w:rPr>
          <w:rFonts w:hint="eastAsia" w:ascii="宋体" w:hAnsi="宋体" w:cs="宋体"/>
          <w:color w:val="auto"/>
          <w:sz w:val="22"/>
          <w:highlight w:val="none"/>
        </w:rPr>
        <w:t>6.投标（响应）文件的有效期</w:t>
      </w:r>
      <w:bookmarkEnd w:id="44"/>
      <w:bookmarkEnd w:id="45"/>
    </w:p>
    <w:p w14:paraId="26572911">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6.1 自报价截止时间起90天内，投标（响应）文件应保持有效。有效期短于这个规定期限的报价将被拒绝。</w:t>
      </w:r>
    </w:p>
    <w:p w14:paraId="4E6FB099">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6.2 在特殊情况下，采购人可与供应商协商延长投标（响应）文件的有效期，这种要求和答复均应以书面形式进行。</w:t>
      </w:r>
    </w:p>
    <w:p w14:paraId="6F39CF3A">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6.3 供应商可拒绝接受延期要求，同意延长有效期的供应商不能修改投标（响应）文件。</w:t>
      </w:r>
    </w:p>
    <w:p w14:paraId="008EF6DE">
      <w:pPr>
        <w:pStyle w:val="42"/>
        <w:tabs>
          <w:tab w:val="left" w:pos="1069"/>
          <w:tab w:val="left" w:pos="2352"/>
        </w:tabs>
        <w:adjustRightInd w:val="0"/>
        <w:snapToGrid w:val="0"/>
        <w:spacing w:line="400" w:lineRule="atLeast"/>
        <w:outlineLvl w:val="0"/>
        <w:rPr>
          <w:rFonts w:hAnsi="宋体" w:cs="宋体"/>
          <w:b/>
          <w:bCs/>
          <w:color w:val="auto"/>
          <w:sz w:val="22"/>
          <w:szCs w:val="22"/>
          <w:highlight w:val="none"/>
        </w:rPr>
      </w:pPr>
      <w:bookmarkStart w:id="46" w:name="_Toc132123882"/>
      <w:bookmarkStart w:id="47" w:name="_Toc132125096"/>
      <w:bookmarkStart w:id="48" w:name="_Toc132125038"/>
      <w:bookmarkStart w:id="49" w:name="_Toc132122120"/>
      <w:bookmarkStart w:id="50" w:name="_Toc132125984"/>
      <w:bookmarkStart w:id="51" w:name="_Toc132125575"/>
      <w:bookmarkStart w:id="52" w:name="_Toc132123440"/>
      <w:bookmarkStart w:id="53" w:name="_Toc132124595"/>
      <w:bookmarkStart w:id="54" w:name="_Toc132123839"/>
      <w:bookmarkStart w:id="55" w:name="_Toc132126155"/>
      <w:bookmarkStart w:id="56" w:name="_Toc132123548"/>
      <w:bookmarkStart w:id="57" w:name="_Toc132122417"/>
      <w:bookmarkStart w:id="58" w:name="_Toc132125152"/>
      <w:bookmarkStart w:id="59" w:name="_Toc132123635"/>
      <w:bookmarkStart w:id="60" w:name="_Toc132655777"/>
      <w:r>
        <w:rPr>
          <w:rFonts w:hint="eastAsia" w:hAnsi="宋体" w:cs="宋体"/>
          <w:b/>
          <w:bCs/>
          <w:color w:val="auto"/>
          <w:sz w:val="22"/>
          <w:highlight w:val="none"/>
        </w:rPr>
        <w:t>四、</w:t>
      </w:r>
      <w:r>
        <w:rPr>
          <w:rFonts w:hint="eastAsia" w:hAnsi="宋体" w:cs="宋体"/>
          <w:b/>
          <w:bCs/>
          <w:color w:val="auto"/>
          <w:sz w:val="22"/>
          <w:szCs w:val="22"/>
          <w:highlight w:val="none"/>
        </w:rPr>
        <w:t>投标文件</w:t>
      </w:r>
    </w:p>
    <w:p w14:paraId="23563CC9">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1. 投标文件的上传、递交：见《投标邀请函（投标须知前附表）》。</w:t>
      </w:r>
    </w:p>
    <w:p w14:paraId="63BF2919">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2.“电子加密投标文件”解密和异常情况处理：见《投标邀请函（投标须知前附表）》。</w:t>
      </w:r>
    </w:p>
    <w:p w14:paraId="11CE0670">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3.投标文件的补充、修改或撤回</w:t>
      </w:r>
    </w:p>
    <w:p w14:paraId="6E68AF43">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3.1供应商应当在投标截止时间前完成投标文件的上传、递交，并可以补充、修改或者撤回投标文件。补充或者修改投标文件的，应当先行撤回原文件，补充、修改后重新上传、递交。投标截止时间前未完成上传、递交的，视为撤回投标文件。投标截止时间后递交的投标文件，“政府采购云平台”将予以拒收。</w:t>
      </w:r>
    </w:p>
    <w:p w14:paraId="0C9A6621">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3.2投标截止时间后，供应商不得撤回、修改《投标文件》。</w:t>
      </w:r>
    </w:p>
    <w:p w14:paraId="4DA5DB52">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4.投标文件的备选方案</w:t>
      </w:r>
    </w:p>
    <w:p w14:paraId="692ACE38">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4.1供应商不得递交任何的投标备选（替代）方案，否则其投标文件将作无效标处理。</w:t>
      </w:r>
    </w:p>
    <w:p w14:paraId="1450B9EC">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5. 投标截止期</w:t>
      </w:r>
    </w:p>
    <w:p w14:paraId="7F3B1C6B">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5.1供应商应按前附表中规定的时间、地点将投标文件递交给采购人，采购人将拒绝接受逾期送达的投标文件。</w:t>
      </w:r>
    </w:p>
    <w:p w14:paraId="6B2D1527">
      <w:pPr>
        <w:pStyle w:val="12"/>
        <w:tabs>
          <w:tab w:val="left" w:pos="1069"/>
          <w:tab w:val="left" w:pos="2352"/>
        </w:tabs>
        <w:adjustRightInd w:val="0"/>
        <w:spacing w:line="400" w:lineRule="exact"/>
        <w:ind w:firstLine="440" w:firstLineChars="200"/>
        <w:rPr>
          <w:rFonts w:hAnsi="宋体" w:cs="宋体"/>
          <w:b/>
          <w:bCs/>
          <w:color w:val="auto"/>
          <w:sz w:val="22"/>
          <w:highlight w:val="none"/>
        </w:rPr>
      </w:pPr>
      <w:r>
        <w:rPr>
          <w:rFonts w:hint="eastAsia" w:hAnsi="宋体" w:cs="宋体"/>
          <w:color w:val="auto"/>
          <w:sz w:val="22"/>
          <w:szCs w:val="22"/>
          <w:highlight w:val="none"/>
        </w:rPr>
        <w:t>5.2采购人可以按本须知规定以补充通知的方式，酌情延长递交投标文件的截止日期。在上述情况下，采购人与供应商以前在投标截止期方面的全部权利、责任和义务，将适用于延长至新的投标截止期。</w:t>
      </w:r>
    </w:p>
    <w:p w14:paraId="0213B8A4">
      <w:pPr>
        <w:pStyle w:val="12"/>
        <w:tabs>
          <w:tab w:val="left" w:pos="1069"/>
          <w:tab w:val="left" w:pos="2352"/>
        </w:tabs>
        <w:adjustRightInd w:val="0"/>
        <w:snapToGrid w:val="0"/>
        <w:spacing w:line="400" w:lineRule="exact"/>
        <w:ind w:firstLine="480"/>
        <w:outlineLvl w:val="0"/>
        <w:rPr>
          <w:rFonts w:hAnsi="宋体" w:cs="宋体"/>
          <w:b/>
          <w:bCs/>
          <w:color w:val="auto"/>
          <w:sz w:val="22"/>
          <w:highlight w:val="none"/>
        </w:rPr>
      </w:pPr>
      <w:bookmarkStart w:id="61" w:name="_Toc493530207"/>
      <w:bookmarkStart w:id="62" w:name="_Toc15003_WPSOffice_Level2"/>
      <w:r>
        <w:rPr>
          <w:rFonts w:hint="eastAsia" w:hAnsi="宋体" w:cs="宋体"/>
          <w:b/>
          <w:bCs/>
          <w:color w:val="auto"/>
          <w:sz w:val="22"/>
          <w:highlight w:val="none"/>
        </w:rPr>
        <w:t>五、开标和评标</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CC6BF1E">
      <w:pPr>
        <w:pStyle w:val="12"/>
        <w:tabs>
          <w:tab w:val="left" w:pos="1069"/>
          <w:tab w:val="left" w:pos="2352"/>
        </w:tabs>
        <w:snapToGrid w:val="0"/>
        <w:spacing w:line="440" w:lineRule="exact"/>
        <w:ind w:firstLine="431" w:firstLineChars="196"/>
        <w:rPr>
          <w:rFonts w:hAnsi="宋体" w:cs="宋体"/>
          <w:color w:val="auto"/>
          <w:sz w:val="22"/>
          <w:szCs w:val="22"/>
          <w:highlight w:val="none"/>
        </w:rPr>
      </w:pPr>
      <w:r>
        <w:rPr>
          <w:rFonts w:hint="eastAsia" w:hAnsi="宋体" w:cs="宋体"/>
          <w:color w:val="auto"/>
          <w:sz w:val="22"/>
          <w:szCs w:val="22"/>
          <w:highlight w:val="none"/>
        </w:rPr>
        <w:t>1.开标</w:t>
      </w:r>
    </w:p>
    <w:p w14:paraId="225E58A2">
      <w:pPr>
        <w:pStyle w:val="12"/>
        <w:tabs>
          <w:tab w:val="left" w:pos="1069"/>
          <w:tab w:val="left" w:pos="2352"/>
        </w:tabs>
        <w:snapToGrid w:val="0"/>
        <w:spacing w:line="440" w:lineRule="exact"/>
        <w:ind w:firstLine="431" w:firstLineChars="196"/>
        <w:rPr>
          <w:rFonts w:hAnsi="宋体" w:cs="宋体"/>
          <w:color w:val="auto"/>
          <w:sz w:val="22"/>
          <w:szCs w:val="22"/>
          <w:highlight w:val="none"/>
        </w:rPr>
      </w:pPr>
      <w:r>
        <w:rPr>
          <w:rFonts w:hint="eastAsia" w:hAnsi="宋体" w:cs="宋体"/>
          <w:color w:val="auto"/>
          <w:sz w:val="22"/>
          <w:szCs w:val="22"/>
          <w:highlight w:val="none"/>
        </w:rPr>
        <w:t>1.1开标准备</w:t>
      </w:r>
    </w:p>
    <w:p w14:paraId="7BF6A9FC">
      <w:pPr>
        <w:tabs>
          <w:tab w:val="left" w:pos="1069"/>
          <w:tab w:val="left" w:pos="2352"/>
        </w:tabs>
        <w:snapToGrid w:val="0"/>
        <w:spacing w:line="440" w:lineRule="exact"/>
        <w:ind w:firstLine="440" w:firstLineChars="200"/>
        <w:jc w:val="left"/>
        <w:rPr>
          <w:rFonts w:ascii="宋体" w:hAnsi="宋体" w:cs="宋体"/>
          <w:b/>
          <w:color w:val="auto"/>
          <w:kern w:val="0"/>
          <w:sz w:val="22"/>
          <w:highlight w:val="none"/>
        </w:rPr>
      </w:pPr>
      <w:r>
        <w:rPr>
          <w:rFonts w:hint="eastAsia" w:ascii="宋体" w:hAnsi="宋体" w:cs="宋体"/>
          <w:bCs/>
          <w:color w:val="auto"/>
          <w:sz w:val="22"/>
          <w:highlight w:val="none"/>
        </w:rPr>
        <w:t>1）</w:t>
      </w:r>
      <w:r>
        <w:rPr>
          <w:rFonts w:hint="eastAsia" w:ascii="宋体" w:hAnsi="宋体" w:cs="宋体"/>
          <w:b/>
          <w:color w:val="auto"/>
          <w:sz w:val="22"/>
          <w:highlight w:val="none"/>
        </w:rPr>
        <w:t>采购组织机构原则上采用电子评标，按照响应文件规定的时间通过“政府采购云平台”组织开标、开启响应文件，所有供应商均应当准时在线参加。</w:t>
      </w:r>
      <w:r>
        <w:rPr>
          <w:rFonts w:hint="eastAsia" w:ascii="宋体" w:hAnsi="宋体" w:cs="宋体"/>
          <w:b/>
          <w:color w:val="auto"/>
          <w:kern w:val="0"/>
          <w:sz w:val="22"/>
          <w:highlight w:val="none"/>
        </w:rPr>
        <w:t>供应商如不参加磋商大会的，视同认可磋商结果，事后不得对采购相关人员、磋商过程和磋商结果提出异议，同时供应商因未在线参加磋商而导致响应文件无法按时解密等一切后果由供应商自己承担。</w:t>
      </w:r>
    </w:p>
    <w:p w14:paraId="00308F49">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2）若磋商供应商在规定时间内无法解密或解密失败的，其投标无效。</w:t>
      </w:r>
    </w:p>
    <w:p w14:paraId="0A10A3CA">
      <w:pPr>
        <w:tabs>
          <w:tab w:val="left" w:pos="1069"/>
          <w:tab w:val="left" w:pos="2352"/>
        </w:tabs>
        <w:snapToGrid w:val="0"/>
        <w:spacing w:line="440" w:lineRule="exact"/>
        <w:ind w:firstLine="440" w:firstLineChars="200"/>
        <w:jc w:val="left"/>
        <w:rPr>
          <w:rFonts w:ascii="宋体" w:hAnsi="宋体" w:cs="宋体"/>
          <w:bCs/>
          <w:color w:val="auto"/>
          <w:sz w:val="22"/>
          <w:highlight w:val="none"/>
        </w:rPr>
      </w:pPr>
      <w:r>
        <w:rPr>
          <w:rFonts w:hint="eastAsia" w:ascii="宋体" w:hAnsi="宋体" w:cs="宋体"/>
          <w:color w:val="auto"/>
          <w:sz w:val="22"/>
          <w:highlight w:val="none"/>
          <w:shd w:val="clear" w:color="auto" w:fill="FFFFFF"/>
        </w:rPr>
        <w:t>3）</w:t>
      </w:r>
      <w:r>
        <w:rPr>
          <w:rFonts w:hint="eastAsia" w:ascii="宋体" w:hAnsi="宋体" w:cs="宋体"/>
          <w:b/>
          <w:bCs/>
          <w:color w:val="auto"/>
          <w:sz w:val="22"/>
          <w:highlight w:val="none"/>
          <w:shd w:val="clear" w:color="auto" w:fill="FFFFFF"/>
        </w:rPr>
        <w:t>所有二次报价询标流程，均在线上完成，请各供应商务必不要离开电脑太久，并留意手机短信。（请提前检查“政采云”内，关于‘项目采购’的岗位权限是否已勾选上。如有问题，请致电</w:t>
      </w:r>
      <w:r>
        <w:rPr>
          <w:rFonts w:hint="eastAsia" w:ascii="宋体" w:hAnsi="宋体" w:cs="宋体"/>
          <w:b/>
          <w:bCs/>
          <w:color w:val="auto"/>
          <w:sz w:val="22"/>
          <w:highlight w:val="none"/>
          <w:shd w:val="clear" w:color="auto" w:fill="FFFFFF"/>
          <w:lang w:eastAsia="zh-CN"/>
        </w:rPr>
        <w:t>95763</w:t>
      </w:r>
      <w:r>
        <w:rPr>
          <w:rFonts w:hint="eastAsia" w:ascii="宋体" w:hAnsi="宋体" w:cs="宋体"/>
          <w:b/>
          <w:bCs/>
          <w:color w:val="auto"/>
          <w:sz w:val="22"/>
          <w:highlight w:val="none"/>
          <w:shd w:val="clear" w:color="auto" w:fill="FFFFFF"/>
        </w:rPr>
        <w:t>）</w:t>
      </w:r>
    </w:p>
    <w:p w14:paraId="0A2CC4D8">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1.2 电子招投标开标及评审程序</w:t>
      </w:r>
    </w:p>
    <w:p w14:paraId="6F939714">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1）开标会由采购代理机构主持，磋商响应截止时间后，供应商登录政采云平台，用“项目采购-开标评标”功能对电子投标文件进行在线解密，各供应商代表在收到解密通知后30分钟内自行完成“电子加密投标文件”的在线解密。</w:t>
      </w:r>
    </w:p>
    <w:p w14:paraId="1CB5DA30">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2）投标文件解密结束，开启投标文件，对资格文件进行审查，并公布资格审查情况；</w:t>
      </w:r>
    </w:p>
    <w:p w14:paraId="0F1D35AA">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3）评审小组就价格、服务等认为需要磋商的内容进行磋商，供应商逐家回答磋商小组的提问，响应人作出最终承诺和最终报价。</w:t>
      </w:r>
    </w:p>
    <w:p w14:paraId="368EF6D5">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4）对商务技术文件进行评审；</w:t>
      </w:r>
    </w:p>
    <w:p w14:paraId="4D577817">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5）对报价文件进行评审；</w:t>
      </w:r>
    </w:p>
    <w:p w14:paraId="14E68B06">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6）公布评审结果。</w:t>
      </w:r>
    </w:p>
    <w:p w14:paraId="7D2DB5D7">
      <w:pPr>
        <w:pStyle w:val="12"/>
        <w:tabs>
          <w:tab w:val="left" w:pos="1069"/>
          <w:tab w:val="left" w:pos="2352"/>
        </w:tabs>
        <w:adjustRightInd w:val="0"/>
        <w:spacing w:line="400" w:lineRule="exact"/>
        <w:ind w:firstLine="442" w:firstLineChars="200"/>
        <w:rPr>
          <w:rFonts w:hAnsi="宋体" w:cs="宋体"/>
          <w:b/>
          <w:bCs/>
          <w:color w:val="auto"/>
          <w:sz w:val="22"/>
          <w:szCs w:val="22"/>
          <w:highlight w:val="none"/>
        </w:rPr>
      </w:pPr>
      <w:r>
        <w:rPr>
          <w:rFonts w:hint="eastAsia" w:hAnsi="宋体" w:cs="宋体"/>
          <w:b/>
          <w:bCs/>
          <w:color w:val="auto"/>
          <w:sz w:val="22"/>
          <w:szCs w:val="22"/>
          <w:highlight w:val="none"/>
        </w:rPr>
        <w:t>特别说明：政采云公司如对电子化开标及评审程序有调整的，按调整后的程序操作。</w:t>
      </w:r>
    </w:p>
    <w:p w14:paraId="11BB4EE8">
      <w:pPr>
        <w:tabs>
          <w:tab w:val="left" w:pos="1069"/>
          <w:tab w:val="left" w:pos="2352"/>
        </w:tabs>
        <w:adjustRightInd w:val="0"/>
        <w:snapToGrid w:val="0"/>
        <w:spacing w:line="400" w:lineRule="atLeast"/>
        <w:ind w:firstLine="433" w:firstLineChars="197"/>
        <w:rPr>
          <w:rFonts w:hAnsi="宋体" w:cs="宋体"/>
          <w:b/>
          <w:bCs/>
          <w:color w:val="auto"/>
          <w:sz w:val="22"/>
          <w:highlight w:val="none"/>
        </w:rPr>
      </w:pPr>
      <w:r>
        <w:rPr>
          <w:rFonts w:hint="eastAsia" w:ascii="宋体" w:hAnsi="宋体" w:cs="宋体"/>
          <w:color w:val="auto"/>
          <w:sz w:val="22"/>
          <w:highlight w:val="none"/>
        </w:rPr>
        <w:t>▲</w:t>
      </w:r>
      <w:r>
        <w:rPr>
          <w:rFonts w:hint="eastAsia" w:ascii="宋体" w:hAnsi="宋体" w:cs="宋体"/>
          <w:b/>
          <w:bCs/>
          <w:color w:val="auto"/>
          <w:sz w:val="22"/>
          <w:highlight w:val="none"/>
        </w:rPr>
        <w:t>供应商政采云系统填写报价和电子投标文件（开标（报价）一览表</w:t>
      </w:r>
      <w:r>
        <w:rPr>
          <w:rFonts w:hint="eastAsia" w:ascii="宋体" w:hAnsi="宋体" w:cs="宋体"/>
          <w:color w:val="auto"/>
          <w:sz w:val="22"/>
          <w:highlight w:val="none"/>
        </w:rPr>
        <w:t>（首次报价）</w:t>
      </w:r>
      <w:r>
        <w:rPr>
          <w:rFonts w:hint="eastAsia" w:ascii="宋体" w:hAnsi="宋体" w:cs="宋体"/>
          <w:b/>
          <w:bCs/>
          <w:color w:val="auto"/>
          <w:sz w:val="22"/>
          <w:highlight w:val="none"/>
        </w:rPr>
        <w:t>）中填写不一致的，以电子投标文件（开标（报价）一览表</w:t>
      </w:r>
      <w:r>
        <w:rPr>
          <w:rFonts w:hint="eastAsia" w:ascii="宋体" w:hAnsi="宋体" w:cs="宋体"/>
          <w:color w:val="auto"/>
          <w:sz w:val="22"/>
          <w:highlight w:val="none"/>
        </w:rPr>
        <w:t>（首次报价）</w:t>
      </w:r>
      <w:r>
        <w:rPr>
          <w:rFonts w:hint="eastAsia" w:ascii="宋体" w:hAnsi="宋体" w:cs="宋体"/>
          <w:b/>
          <w:bCs/>
          <w:color w:val="auto"/>
          <w:sz w:val="22"/>
          <w:highlight w:val="none"/>
        </w:rPr>
        <w:t>）为准，如果不接受调整价格的做废标处理。</w:t>
      </w:r>
    </w:p>
    <w:p w14:paraId="709CAD18">
      <w:pPr>
        <w:pStyle w:val="12"/>
        <w:tabs>
          <w:tab w:val="left" w:pos="1069"/>
          <w:tab w:val="left" w:pos="2352"/>
        </w:tabs>
        <w:adjustRightInd w:val="0"/>
        <w:spacing w:line="400" w:lineRule="exact"/>
        <w:ind w:firstLine="440" w:firstLineChars="200"/>
        <w:rPr>
          <w:rFonts w:hAnsi="宋体" w:cs="宋体"/>
          <w:b/>
          <w:bCs/>
          <w:color w:val="auto"/>
          <w:sz w:val="22"/>
          <w:highlight w:val="none"/>
        </w:rPr>
      </w:pPr>
      <w:r>
        <w:rPr>
          <w:rFonts w:hint="eastAsia" w:hAnsi="宋体" w:cs="宋体"/>
          <w:color w:val="auto"/>
          <w:sz w:val="22"/>
          <w:highlight w:val="none"/>
        </w:rPr>
        <w:t>2.评标</w:t>
      </w:r>
    </w:p>
    <w:p w14:paraId="7D6729F5">
      <w:pPr>
        <w:pStyle w:val="12"/>
        <w:tabs>
          <w:tab w:val="left" w:pos="1069"/>
          <w:tab w:val="left" w:pos="2352"/>
        </w:tabs>
        <w:adjustRightInd w:val="0"/>
        <w:spacing w:line="400" w:lineRule="exact"/>
        <w:ind w:firstLine="440" w:firstLineChars="200"/>
        <w:rPr>
          <w:rFonts w:hAnsi="宋体" w:cs="宋体"/>
          <w:b/>
          <w:bCs/>
          <w:color w:val="auto"/>
          <w:sz w:val="22"/>
          <w:highlight w:val="none"/>
        </w:rPr>
      </w:pPr>
      <w:r>
        <w:rPr>
          <w:rFonts w:hint="eastAsia" w:hAnsi="宋体" w:cs="宋体"/>
          <w:color w:val="auto"/>
          <w:sz w:val="22"/>
          <w:highlight w:val="none"/>
        </w:rPr>
        <w:t>2.1 评标由采购人依法组建的评审小组负责，并独立履行下列职责：</w:t>
      </w:r>
    </w:p>
    <w:p w14:paraId="3D765302">
      <w:pPr>
        <w:tabs>
          <w:tab w:val="left" w:pos="1069"/>
          <w:tab w:val="left" w:pos="2352"/>
        </w:tabs>
        <w:spacing w:line="400" w:lineRule="exact"/>
        <w:ind w:firstLine="431" w:firstLineChars="196"/>
        <w:rPr>
          <w:rFonts w:ascii="宋体" w:hAnsi="宋体" w:cs="宋体"/>
          <w:color w:val="auto"/>
          <w:sz w:val="22"/>
          <w:highlight w:val="none"/>
        </w:rPr>
      </w:pPr>
      <w:bookmarkStart w:id="63" w:name="_Toc2500_WPSOffice_Level3"/>
      <w:r>
        <w:rPr>
          <w:rFonts w:hint="eastAsia" w:ascii="宋体" w:hAnsi="宋体" w:cs="宋体"/>
          <w:color w:val="auto"/>
          <w:sz w:val="22"/>
          <w:highlight w:val="none"/>
        </w:rPr>
        <w:t>1）审查投标（响应）文件是否符合竞争性磋商文件要求，并作出评价；</w:t>
      </w:r>
      <w:bookmarkEnd w:id="63"/>
    </w:p>
    <w:p w14:paraId="5028C861">
      <w:pPr>
        <w:tabs>
          <w:tab w:val="left" w:pos="1069"/>
          <w:tab w:val="left" w:pos="2352"/>
        </w:tabs>
        <w:spacing w:line="400" w:lineRule="exact"/>
        <w:ind w:firstLine="440" w:firstLineChars="200"/>
        <w:rPr>
          <w:rFonts w:ascii="宋体" w:hAnsi="宋体" w:cs="宋体"/>
          <w:color w:val="auto"/>
          <w:sz w:val="22"/>
          <w:highlight w:val="none"/>
        </w:rPr>
      </w:pPr>
      <w:bookmarkStart w:id="64" w:name="_Toc20806_WPSOffice_Level3"/>
      <w:r>
        <w:rPr>
          <w:rFonts w:hint="eastAsia" w:ascii="宋体" w:hAnsi="宋体" w:cs="宋体"/>
          <w:color w:val="auto"/>
          <w:sz w:val="22"/>
          <w:highlight w:val="none"/>
        </w:rPr>
        <w:t>2）要求供应商对投标（响应）文件有关事项作出解释或者澄清；</w:t>
      </w:r>
      <w:bookmarkEnd w:id="64"/>
    </w:p>
    <w:p w14:paraId="629C3AD6">
      <w:pPr>
        <w:tabs>
          <w:tab w:val="left" w:pos="1069"/>
          <w:tab w:val="left" w:pos="2352"/>
        </w:tabs>
        <w:spacing w:line="400" w:lineRule="exact"/>
        <w:ind w:firstLine="440" w:firstLineChars="200"/>
        <w:rPr>
          <w:rFonts w:ascii="宋体" w:hAnsi="宋体" w:cs="宋体"/>
          <w:color w:val="auto"/>
          <w:sz w:val="22"/>
          <w:highlight w:val="none"/>
        </w:rPr>
      </w:pPr>
      <w:bookmarkStart w:id="65" w:name="_Toc12689_WPSOffice_Level3"/>
      <w:r>
        <w:rPr>
          <w:rFonts w:hint="eastAsia" w:ascii="宋体" w:hAnsi="宋体" w:cs="宋体"/>
          <w:color w:val="auto"/>
          <w:sz w:val="22"/>
          <w:highlight w:val="none"/>
        </w:rPr>
        <w:t>3）按照竞争性磋商文件确定的评标办法直接确定中标（成交）供应商；</w:t>
      </w:r>
      <w:bookmarkEnd w:id="65"/>
    </w:p>
    <w:p w14:paraId="430102D2">
      <w:pPr>
        <w:pStyle w:val="12"/>
        <w:tabs>
          <w:tab w:val="left" w:pos="1069"/>
          <w:tab w:val="left" w:pos="2352"/>
        </w:tabs>
        <w:adjustRightInd w:val="0"/>
        <w:spacing w:line="400" w:lineRule="exact"/>
        <w:ind w:firstLine="431" w:firstLineChars="196"/>
        <w:rPr>
          <w:rFonts w:hAnsi="宋体" w:cs="宋体"/>
          <w:b/>
          <w:bCs/>
          <w:color w:val="auto"/>
          <w:sz w:val="22"/>
          <w:highlight w:val="none"/>
        </w:rPr>
      </w:pPr>
      <w:bookmarkStart w:id="66" w:name="_Toc20017_WPSOffice_Level3"/>
      <w:r>
        <w:rPr>
          <w:rFonts w:hint="eastAsia" w:hAnsi="宋体" w:cs="宋体"/>
          <w:color w:val="auto"/>
          <w:sz w:val="22"/>
          <w:highlight w:val="none"/>
        </w:rPr>
        <w:t>4）向采购人或者有关部门报告非法干预评标工作的行为。</w:t>
      </w:r>
      <w:bookmarkEnd w:id="66"/>
    </w:p>
    <w:p w14:paraId="0CCBD332">
      <w:pPr>
        <w:tabs>
          <w:tab w:val="left" w:pos="1069"/>
          <w:tab w:val="left" w:pos="2352"/>
        </w:tabs>
        <w:spacing w:line="400" w:lineRule="exact"/>
        <w:ind w:firstLine="431" w:firstLineChars="196"/>
        <w:rPr>
          <w:rFonts w:ascii="宋体" w:hAnsi="宋体" w:cs="宋体"/>
          <w:color w:val="auto"/>
          <w:sz w:val="22"/>
          <w:highlight w:val="none"/>
        </w:rPr>
      </w:pPr>
      <w:r>
        <w:rPr>
          <w:rFonts w:hint="eastAsia" w:ascii="宋体" w:hAnsi="宋体" w:cs="宋体"/>
          <w:color w:val="auto"/>
          <w:sz w:val="22"/>
          <w:highlight w:val="none"/>
        </w:rPr>
        <w:t>2.2 评标应当遵循下列工作程序：</w:t>
      </w:r>
    </w:p>
    <w:p w14:paraId="3AC30DBA">
      <w:pPr>
        <w:tabs>
          <w:tab w:val="left" w:pos="1069"/>
          <w:tab w:val="left" w:pos="2352"/>
        </w:tabs>
        <w:spacing w:line="400" w:lineRule="exact"/>
        <w:rPr>
          <w:rFonts w:ascii="宋体" w:hAnsi="宋体" w:cs="宋体"/>
          <w:color w:val="auto"/>
          <w:sz w:val="22"/>
          <w:highlight w:val="none"/>
        </w:rPr>
      </w:pPr>
      <w:r>
        <w:rPr>
          <w:rFonts w:hint="eastAsia" w:ascii="宋体" w:hAnsi="宋体" w:cs="宋体"/>
          <w:color w:val="auto"/>
          <w:sz w:val="22"/>
          <w:highlight w:val="none"/>
        </w:rPr>
        <w:t xml:space="preserve">    1）投标（响应）文件初审。初审分为资格性检查和符合性检查。</w:t>
      </w:r>
    </w:p>
    <w:p w14:paraId="652F1E8B">
      <w:pPr>
        <w:tabs>
          <w:tab w:val="left" w:pos="1069"/>
          <w:tab w:val="left" w:pos="2352"/>
        </w:tabs>
        <w:spacing w:line="40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（1)资格性检查。由采购人代表或招标代理机构对供应商资格进行审查。依据法律法规和竞争性磋商文件的规定，对投标（响应）文件中的资格证明文件等进行审查，以确定供应商是否具备投标资格。</w:t>
      </w:r>
    </w:p>
    <w:p w14:paraId="47630B70">
      <w:pPr>
        <w:tabs>
          <w:tab w:val="left" w:pos="1069"/>
          <w:tab w:val="left" w:pos="2352"/>
        </w:tabs>
        <w:spacing w:line="40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（2)符合性检查。评审小组依据竞争性磋商文件的规定，从投标（响应）文件的有效性、完整性和对竞争性磋商文件的响应程度进行审查，以确定是否对竞争性磋商文件的实质性要求作出响应。</w:t>
      </w:r>
    </w:p>
    <w:p w14:paraId="7F606124">
      <w:pPr>
        <w:tabs>
          <w:tab w:val="left" w:pos="1069"/>
          <w:tab w:val="left" w:pos="2352"/>
        </w:tabs>
        <w:spacing w:line="400" w:lineRule="exact"/>
        <w:ind w:firstLine="440"/>
        <w:rPr>
          <w:rFonts w:ascii="宋体" w:hAnsi="宋体" w:cs="宋体"/>
          <w:color w:val="auto"/>
          <w:sz w:val="22"/>
          <w:highlight w:val="none"/>
        </w:rPr>
      </w:pPr>
      <w:r>
        <w:rPr>
          <w:rFonts w:hint="eastAsia" w:ascii="宋体" w:hAnsi="宋体" w:cs="宋体"/>
          <w:color w:val="auto"/>
          <w:sz w:val="22"/>
          <w:highlight w:val="none"/>
        </w:rPr>
        <w:t>2）评审小组可以根据供应商投标（响应）文件情况，经采购人确认，调整竞争性磋商文件及采购方案，在统一采购要求的基础上，要求所有有效供应商重新修正投标（响应）文件及进行多轮次报价。</w:t>
      </w:r>
    </w:p>
    <w:p w14:paraId="75342010">
      <w:pPr>
        <w:tabs>
          <w:tab w:val="left" w:pos="1069"/>
          <w:tab w:val="left" w:pos="2352"/>
        </w:tabs>
        <w:spacing w:line="400" w:lineRule="exact"/>
        <w:ind w:firstLine="440"/>
        <w:rPr>
          <w:rFonts w:ascii="宋体" w:hAnsi="宋体" w:cs="宋体"/>
          <w:color w:val="auto"/>
          <w:sz w:val="22"/>
          <w:highlight w:val="none"/>
        </w:rPr>
      </w:pPr>
      <w:r>
        <w:rPr>
          <w:rFonts w:hint="eastAsia" w:ascii="宋体" w:hAnsi="宋体" w:cs="宋体"/>
          <w:color w:val="auto"/>
          <w:sz w:val="22"/>
          <w:highlight w:val="none"/>
        </w:rPr>
        <w:t>3）评价。按竞争性磋商文件中规定的评标方法和标准，对资格性检查和符合性检查合格的投标（响应）文件进行商务和技术评估，综合评价。</w:t>
      </w:r>
    </w:p>
    <w:p w14:paraId="6ECFCE15">
      <w:pPr>
        <w:tabs>
          <w:tab w:val="left" w:pos="1069"/>
          <w:tab w:val="left" w:pos="2352"/>
        </w:tabs>
        <w:spacing w:line="400" w:lineRule="exact"/>
        <w:ind w:firstLine="440"/>
        <w:rPr>
          <w:rFonts w:ascii="宋体" w:hAnsi="宋体" w:cs="宋体"/>
          <w:color w:val="auto"/>
          <w:sz w:val="22"/>
          <w:highlight w:val="none"/>
        </w:rPr>
      </w:pPr>
      <w:r>
        <w:rPr>
          <w:rFonts w:hint="eastAsia" w:ascii="宋体" w:hAnsi="宋体" w:cs="宋体"/>
          <w:color w:val="auto"/>
          <w:sz w:val="22"/>
          <w:highlight w:val="none"/>
        </w:rPr>
        <w:t>4）推荐中标（成交）供应商候选人名单，并根据采购人的授权确定中标（成交）供应商。</w:t>
      </w:r>
    </w:p>
    <w:p w14:paraId="52E70C9C">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rPr>
        <w:t xml:space="preserve">2.3 </w:t>
      </w:r>
      <w:r>
        <w:rPr>
          <w:rFonts w:hint="eastAsia" w:hAnsi="宋体" w:cs="宋体"/>
          <w:color w:val="auto"/>
          <w:sz w:val="22"/>
          <w:highlight w:val="none"/>
          <w:u w:val="single"/>
        </w:rPr>
        <w:t>▲供应商存在下列情况之一的，报价无效:</w:t>
      </w:r>
    </w:p>
    <w:p w14:paraId="178C3218">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1）投标（响应）文件未按竞争性磋商文件要求签署、盖章的；</w:t>
      </w:r>
    </w:p>
    <w:p w14:paraId="7DD1A99B">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2）不具备竞争性磋商文件中规定的资格要求的；</w:t>
      </w:r>
    </w:p>
    <w:p w14:paraId="4467E105">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3）最终报价超过竞争性磋商文件中规定的预算金额或者最高限价的；</w:t>
      </w:r>
    </w:p>
    <w:p w14:paraId="7C87D27F">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4）投标（响应）文件含有采购人不能接受的附加条件的（包括竞争性磋商文件中明确要求不得偏离的招标要求，存在负偏离的）;</w:t>
      </w:r>
    </w:p>
    <w:p w14:paraId="3D43C56B">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5）对关键条文的偏离、保留或反对，例如关于付款方式、完工期（服务期）、免费质保期、适用法律法规、标准、税费等其他内容；</w:t>
      </w:r>
    </w:p>
    <w:p w14:paraId="741DF48B">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6）存在串标、抬标或弄虚作假情况的；</w:t>
      </w:r>
    </w:p>
    <w:p w14:paraId="320B5D61">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7）法律、法规和竞争性磋商文件规定的其他无效情形（或出现重大偏差）。</w:t>
      </w:r>
    </w:p>
    <w:p w14:paraId="643107FC">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rPr>
        <w:t xml:space="preserve">2.4 </w:t>
      </w:r>
      <w:r>
        <w:rPr>
          <w:rFonts w:hint="eastAsia" w:hAnsi="宋体" w:cs="宋体"/>
          <w:color w:val="auto"/>
          <w:sz w:val="22"/>
          <w:highlight w:val="none"/>
          <w:u w:val="single"/>
        </w:rPr>
        <w:t>▲评审小组发现投标（响应）文件有下列情形之一的属于重大偏差(评审小组按少数服从多数原则认定),按照无效投标处理：</w:t>
      </w:r>
    </w:p>
    <w:p w14:paraId="2F32CD9F">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1）未按竞争性磋商文件要求编制或字迹模糊、辨认不清的投标（响应）文件；</w:t>
      </w:r>
    </w:p>
    <w:p w14:paraId="6C0A4003">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2）除2.3条款以外，出现其它明显不符合采购要求的投标（响应）文件；</w:t>
      </w:r>
    </w:p>
    <w:p w14:paraId="3CE67414">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u w:val="single"/>
        </w:rPr>
        <w:t>3）除2.3条款以外，出现其它不符合竞争性磋商文件中规定的实质性要求的投标（响应）文件，是否为偏离实质性要求由评审小组认定。</w:t>
      </w:r>
    </w:p>
    <w:p w14:paraId="08CCF3C5">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rPr>
        <w:t>2.5</w:t>
      </w:r>
      <w:r>
        <w:rPr>
          <w:rFonts w:hint="eastAsia" w:hAnsi="宋体" w:cs="宋体"/>
          <w:color w:val="auto"/>
          <w:sz w:val="22"/>
          <w:highlight w:val="none"/>
          <w:u w:val="single"/>
        </w:rPr>
        <w:t>▲评审小组认为供应商的最终报价明显低于其他有效供应商的最终报价，有可能影响采购质量或者不能诚信履约的，应当要求其在合理的时间内提供说明，必要时提交相关证明材料；供应商不能证明其报价合理性的，评审小组应当将其作为无效投标处理。</w:t>
      </w:r>
    </w:p>
    <w:p w14:paraId="227906FE">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rPr>
        <w:t>2.6 评审小组在评标中，不得改变竞争性磋商文件中规定的评标标准、方法和中标(成交)条件。</w:t>
      </w:r>
    </w:p>
    <w:p w14:paraId="6363E877">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2.7 评标时如遇到竞争性磋商文件未规定的特殊情况，由评审小组按少数服从多数原则集体决定处理。</w:t>
      </w:r>
    </w:p>
    <w:p w14:paraId="385A5089">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2.8评审小组对未中标(成交)的供应商不作解释。同时根据政府采购法实施条例第四十条规定，本项目不对供应商公布详细的评审情况，不公布具体评标细则中小项得分。</w:t>
      </w:r>
    </w:p>
    <w:p w14:paraId="6F1DB945">
      <w:pPr>
        <w:pStyle w:val="12"/>
        <w:tabs>
          <w:tab w:val="left" w:pos="1069"/>
          <w:tab w:val="left" w:pos="2352"/>
        </w:tabs>
        <w:adjustRightInd w:val="0"/>
        <w:snapToGrid w:val="0"/>
        <w:spacing w:line="400" w:lineRule="exact"/>
        <w:ind w:firstLine="435" w:firstLineChars="197"/>
        <w:rPr>
          <w:rFonts w:hAnsi="宋体" w:cs="宋体"/>
          <w:b/>
          <w:bCs/>
          <w:color w:val="auto"/>
          <w:sz w:val="22"/>
          <w:highlight w:val="none"/>
        </w:rPr>
      </w:pPr>
      <w:r>
        <w:rPr>
          <w:rFonts w:hint="eastAsia" w:hAnsi="宋体" w:cs="宋体"/>
          <w:b/>
          <w:bCs/>
          <w:color w:val="auto"/>
          <w:sz w:val="22"/>
          <w:highlight w:val="none"/>
        </w:rPr>
        <w:t>2.9</w:t>
      </w:r>
      <w:r>
        <w:rPr>
          <w:rFonts w:hint="eastAsia" w:hAnsi="宋体" w:cs="宋体"/>
          <w:b/>
          <w:bCs/>
          <w:color w:val="auto"/>
          <w:sz w:val="22"/>
          <w:highlight w:val="none"/>
          <w:u w:val="single"/>
        </w:rPr>
        <w:t>符合资格条件的投标供应商不足三家的不予开标。如进入磋商过程中，符合采购人技术等方面要求的供应商为2家的，根据评审小组意见，可以流标；也可以按财政部《关于政府采购竞争性磋商采购方式管理暂行办法有关问题的补充通知【财库〔2015〕124号】》文件规定执行</w:t>
      </w:r>
      <w:r>
        <w:rPr>
          <w:rFonts w:hint="eastAsia" w:hAnsi="宋体" w:cs="宋体"/>
          <w:b/>
          <w:bCs/>
          <w:color w:val="auto"/>
          <w:sz w:val="22"/>
          <w:highlight w:val="none"/>
        </w:rPr>
        <w:t>。</w:t>
      </w:r>
    </w:p>
    <w:p w14:paraId="2488949E">
      <w:pPr>
        <w:pStyle w:val="12"/>
        <w:tabs>
          <w:tab w:val="left" w:pos="1069"/>
          <w:tab w:val="left" w:pos="2352"/>
        </w:tabs>
        <w:adjustRightInd w:val="0"/>
        <w:snapToGrid w:val="0"/>
        <w:spacing w:line="400" w:lineRule="exact"/>
        <w:ind w:firstLine="440" w:firstLineChars="200"/>
        <w:rPr>
          <w:rFonts w:hAnsi="宋体" w:cs="宋体"/>
          <w:b/>
          <w:bCs/>
          <w:color w:val="auto"/>
          <w:sz w:val="22"/>
          <w:highlight w:val="none"/>
        </w:rPr>
      </w:pPr>
      <w:r>
        <w:rPr>
          <w:rFonts w:hint="eastAsia" w:hAnsi="宋体" w:cs="宋体"/>
          <w:color w:val="auto"/>
          <w:sz w:val="22"/>
          <w:highlight w:val="none"/>
        </w:rPr>
        <w:t>3.投标（响应）文件的澄清</w:t>
      </w:r>
    </w:p>
    <w:p w14:paraId="7759E204">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为有利于对投标（响应）文件的评议，必要时采购人及评审小组可要求供应商对投标（响应）文件及合同条款进行澄清，并做出答复。答复须有授权代表签字并作为报价内容的一部分。</w:t>
      </w:r>
    </w:p>
    <w:p w14:paraId="1DC939C7">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4.有下列情形之一的，视为供应商相互串通投标：</w:t>
      </w:r>
    </w:p>
    <w:p w14:paraId="50DB29D9">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4.1不同供应商的投标（响应）文件由同一单位或者个人编制；</w:t>
      </w:r>
    </w:p>
    <w:p w14:paraId="71DD61C9">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4.2不同供应商委托同一单位或者个人办理投标事宜；</w:t>
      </w:r>
    </w:p>
    <w:p w14:paraId="1026F526">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4.3不同供应商的投标（响应）文件载明的项目管理成员为同一人；</w:t>
      </w:r>
    </w:p>
    <w:p w14:paraId="6D7E943F">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4.4不同供应商的投标（响应）文件异常一致或者投标报价呈规律性差异；</w:t>
      </w:r>
    </w:p>
    <w:p w14:paraId="32DBA885">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4.5不同供应商的投标（响应）文件相互混装；</w:t>
      </w:r>
    </w:p>
    <w:p w14:paraId="433DF10B">
      <w:pPr>
        <w:pStyle w:val="12"/>
        <w:tabs>
          <w:tab w:val="left" w:pos="1069"/>
          <w:tab w:val="left" w:pos="2352"/>
        </w:tabs>
        <w:adjustRightInd w:val="0"/>
        <w:spacing w:line="400" w:lineRule="exact"/>
        <w:ind w:left="437" w:leftChars="208"/>
        <w:rPr>
          <w:rFonts w:hAnsi="宋体" w:cs="宋体"/>
          <w:b/>
          <w:bCs/>
          <w:color w:val="auto"/>
          <w:sz w:val="22"/>
          <w:highlight w:val="none"/>
        </w:rPr>
      </w:pPr>
      <w:r>
        <w:rPr>
          <w:rFonts w:hint="eastAsia" w:hAnsi="宋体" w:cs="宋体"/>
          <w:color w:val="auto"/>
          <w:sz w:val="22"/>
          <w:highlight w:val="none"/>
        </w:rPr>
        <w:t>4.6经评审小组认定供应商进行串通投标的，评审小组可以对相关供应商做出无效报价处理，并上报政府采购管理部门进行进一步处理。</w:t>
      </w:r>
    </w:p>
    <w:p w14:paraId="5BDE4824">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rPr>
        <w:t>5.评标原则</w:t>
      </w:r>
    </w:p>
    <w:p w14:paraId="456C7C25">
      <w:pPr>
        <w:pStyle w:val="12"/>
        <w:tabs>
          <w:tab w:val="left" w:pos="1069"/>
          <w:tab w:val="left" w:pos="2352"/>
        </w:tabs>
        <w:adjustRightInd w:val="0"/>
        <w:spacing w:line="400" w:lineRule="exact"/>
        <w:ind w:firstLine="440" w:firstLineChars="200"/>
        <w:rPr>
          <w:rFonts w:hAnsi="宋体" w:cs="宋体"/>
          <w:b/>
          <w:bCs/>
          <w:color w:val="auto"/>
          <w:sz w:val="22"/>
          <w:highlight w:val="none"/>
        </w:rPr>
      </w:pPr>
      <w:r>
        <w:rPr>
          <w:rFonts w:hint="eastAsia" w:hAnsi="宋体" w:cs="宋体"/>
          <w:color w:val="auto"/>
          <w:sz w:val="22"/>
          <w:highlight w:val="none"/>
        </w:rPr>
        <w:t>评标办法具体见本竞争性磋商文件第七部分。</w:t>
      </w:r>
    </w:p>
    <w:p w14:paraId="321779CD">
      <w:pPr>
        <w:pStyle w:val="12"/>
        <w:tabs>
          <w:tab w:val="left" w:pos="1069"/>
          <w:tab w:val="left" w:pos="2352"/>
        </w:tabs>
        <w:adjustRightInd w:val="0"/>
        <w:snapToGrid w:val="0"/>
        <w:spacing w:line="400" w:lineRule="exact"/>
        <w:ind w:firstLine="480"/>
        <w:outlineLvl w:val="0"/>
        <w:rPr>
          <w:rFonts w:hAnsi="宋体" w:cs="宋体"/>
          <w:b/>
          <w:bCs/>
          <w:color w:val="auto"/>
          <w:sz w:val="22"/>
          <w:highlight w:val="none"/>
        </w:rPr>
      </w:pPr>
      <w:bookmarkStart w:id="67" w:name="_Toc132125039"/>
      <w:bookmarkStart w:id="68" w:name="_Toc132122418"/>
      <w:bookmarkStart w:id="69" w:name="_Toc132123636"/>
      <w:bookmarkStart w:id="70" w:name="_Toc132126156"/>
      <w:bookmarkStart w:id="71" w:name="_Toc132123441"/>
      <w:bookmarkStart w:id="72" w:name="_Toc132123549"/>
      <w:bookmarkStart w:id="73" w:name="_Toc132123840"/>
      <w:bookmarkStart w:id="74" w:name="_Toc132122121"/>
      <w:bookmarkStart w:id="75" w:name="_Toc132125153"/>
      <w:bookmarkStart w:id="76" w:name="_Toc132125097"/>
      <w:bookmarkStart w:id="77" w:name="_Toc132123883"/>
      <w:bookmarkStart w:id="78" w:name="_Toc493530208"/>
      <w:bookmarkStart w:id="79" w:name="_Toc24884_WPSOffice_Level2"/>
      <w:bookmarkStart w:id="80" w:name="_Toc132125985"/>
      <w:bookmarkStart w:id="81" w:name="_Toc132125576"/>
      <w:bookmarkStart w:id="82" w:name="_Toc132124596"/>
      <w:bookmarkStart w:id="83" w:name="_Toc132655778"/>
      <w:r>
        <w:rPr>
          <w:rFonts w:hint="eastAsia" w:hAnsi="宋体" w:cs="宋体"/>
          <w:b/>
          <w:bCs/>
          <w:color w:val="auto"/>
          <w:sz w:val="22"/>
          <w:highlight w:val="none"/>
        </w:rPr>
        <w:t>六、授予合同</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12992D8">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bookmarkStart w:id="84" w:name="_Toc23038_WPSOffice_Level3"/>
      <w:r>
        <w:rPr>
          <w:rFonts w:hint="eastAsia" w:hAnsi="宋体" w:cs="宋体"/>
          <w:color w:val="auto"/>
          <w:sz w:val="22"/>
          <w:highlight w:val="none"/>
        </w:rPr>
        <w:t>1.决标</w:t>
      </w:r>
      <w:bookmarkEnd w:id="84"/>
    </w:p>
    <w:p w14:paraId="4886909C">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rPr>
        <w:t>评标结束后，评审小组按照竞争性磋商文件确定的评标办法推荐中标（成交）供应商。</w:t>
      </w:r>
    </w:p>
    <w:p w14:paraId="3A91E326">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bookmarkStart w:id="85" w:name="_Toc764_WPSOffice_Level3"/>
      <w:r>
        <w:rPr>
          <w:rFonts w:hint="eastAsia" w:hAnsi="宋体" w:cs="宋体"/>
          <w:color w:val="auto"/>
          <w:sz w:val="22"/>
          <w:highlight w:val="none"/>
        </w:rPr>
        <w:t>2.</w:t>
      </w:r>
      <w:bookmarkEnd w:id="85"/>
      <w:r>
        <w:rPr>
          <w:rFonts w:hint="eastAsia" w:hAnsi="宋体" w:cs="宋体"/>
          <w:color w:val="auto"/>
          <w:sz w:val="22"/>
          <w:highlight w:val="none"/>
        </w:rPr>
        <w:t>中标（成交）通知书</w:t>
      </w:r>
    </w:p>
    <w:p w14:paraId="6A2D3E02">
      <w:pPr>
        <w:tabs>
          <w:tab w:val="left" w:pos="1069"/>
          <w:tab w:val="left" w:pos="2352"/>
        </w:tabs>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2.1采购人依法确认中标（成交）供应商后，代理机构在浙江省政府采购网上公示中标（成交）供应商名单，公示期限为1个工作日。同时向中标（成交）供应商发出中标（成交）通知书。</w:t>
      </w:r>
    </w:p>
    <w:p w14:paraId="630AB4E2">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2.2中标（成交）通知书对采购人和中标（成交）供应商具有法律约束力。中标（成交）通知书发出后，采购人改变中标结果或者中标（成交）供应商放弃中标的，应当承担法律责任。</w:t>
      </w:r>
    </w:p>
    <w:p w14:paraId="000F3CD6">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3.中标（成交）无效</w:t>
      </w:r>
    </w:p>
    <w:p w14:paraId="48A9948D">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1）发现中标（成交）供应商资格无效或中标（成交）供应商放弃成交或拒绝与采购人签订合同的,按相关法律法规执行，原则上重新开展政府采购活动。</w:t>
      </w:r>
    </w:p>
    <w:p w14:paraId="2E2BFF75">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2）有《中华人民共和国政府采购法实施条例》第七十一条、第七十二条、第七十三条、第七十四条规定的违法行为之一，由政府采购监管部门依法处理。</w:t>
      </w:r>
    </w:p>
    <w:p w14:paraId="55957DD7">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bookmarkStart w:id="86" w:name="_Toc3709_WPSOffice_Level3"/>
      <w:r>
        <w:rPr>
          <w:rFonts w:hint="eastAsia" w:hAnsi="宋体" w:cs="宋体"/>
          <w:color w:val="auto"/>
          <w:sz w:val="22"/>
          <w:highlight w:val="none"/>
        </w:rPr>
        <w:t>4.签订合同</w:t>
      </w:r>
      <w:bookmarkEnd w:id="86"/>
    </w:p>
    <w:p w14:paraId="78424EBC">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4.1 中标（成交）供应商须主动联系采购人或采购机构领取中标（成交）通知书。中标（成交）供应商应当在中标（成交）通知书发出之日起30日内与采购人签订合同。中标（成交）供应商未经采购人许可，在规定时间内未到采购人处与采购人签订合同，则视为拒签合同。</w:t>
      </w:r>
    </w:p>
    <w:p w14:paraId="6B530AB1">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4.2 竞争性磋商文件、中标（成交）供应商的投标（响应）文件及投标修改文件、评标过程中有关澄清文件及经双方签字的询标纪要（承诺）和中标（成交）通知书均作为合同附件。</w:t>
      </w:r>
    </w:p>
    <w:p w14:paraId="06710180">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4.3 拒签合同的责任</w:t>
      </w:r>
    </w:p>
    <w:p w14:paraId="5AC1D6F3">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rPr>
        <w:t>中标（成交）供应商在规定时间内（30日历天）借故否认已经承诺的条件、拒签合同者，以违约处理，并赔偿采购人由此造成的直接经济损失；采购人重新组织采购的，所需费用由原中标（成交）供应商承担。</w:t>
      </w:r>
    </w:p>
    <w:p w14:paraId="3605EE6B">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bookmarkStart w:id="87" w:name="_Toc21884_WPSOffice_Level3"/>
      <w:r>
        <w:rPr>
          <w:rFonts w:hint="eastAsia" w:hAnsi="宋体" w:cs="宋体"/>
          <w:color w:val="auto"/>
          <w:sz w:val="22"/>
          <w:highlight w:val="none"/>
        </w:rPr>
        <w:t>5.</w:t>
      </w:r>
      <w:bookmarkEnd w:id="87"/>
      <w:r>
        <w:rPr>
          <w:rFonts w:hint="eastAsia" w:hAnsi="宋体" w:cs="宋体"/>
          <w:color w:val="auto"/>
          <w:sz w:val="22"/>
          <w:highlight w:val="none"/>
        </w:rPr>
        <w:t>履约保证金</w:t>
      </w:r>
    </w:p>
    <w:p w14:paraId="6ACD4EFA">
      <w:pPr>
        <w:tabs>
          <w:tab w:val="left" w:pos="2352"/>
        </w:tabs>
        <w:autoSpaceDE w:val="0"/>
        <w:autoSpaceDN w:val="0"/>
        <w:adjustRightInd w:val="0"/>
        <w:snapToGri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kern w:val="0"/>
          <w:sz w:val="22"/>
          <w:highlight w:val="none"/>
          <w:lang w:eastAsia="zh-CN"/>
        </w:rPr>
        <w:t>中标（成交）供应商须在签订合同后5个工作日内向采购人提交合同金额1%的履约保证金（履约保证金可以是银行保函、转账支票、银行汇票等方式缴纳）</w:t>
      </w:r>
      <w:r>
        <w:rPr>
          <w:rFonts w:hint="eastAsia" w:ascii="宋体" w:hAnsi="宋体" w:cs="宋体"/>
          <w:color w:val="auto"/>
          <w:sz w:val="22"/>
          <w:highlight w:val="none"/>
        </w:rPr>
        <w:t>。</w:t>
      </w:r>
    </w:p>
    <w:p w14:paraId="74FBA685">
      <w:pPr>
        <w:tabs>
          <w:tab w:val="left" w:pos="1069"/>
          <w:tab w:val="left" w:pos="2352"/>
        </w:tabs>
        <w:spacing w:line="400" w:lineRule="exact"/>
        <w:ind w:firstLine="440" w:firstLineChars="200"/>
        <w:rPr>
          <w:rFonts w:ascii="宋体" w:hAnsi="宋体" w:cs="宋体"/>
          <w:b/>
          <w:color w:val="auto"/>
          <w:sz w:val="22"/>
          <w:highlight w:val="none"/>
        </w:rPr>
      </w:pPr>
      <w:r>
        <w:rPr>
          <w:rFonts w:hint="eastAsia" w:ascii="宋体" w:hAnsi="宋体" w:cs="宋体"/>
          <w:color w:val="auto"/>
          <w:sz w:val="22"/>
          <w:highlight w:val="none"/>
        </w:rPr>
        <w:t>6.招标代理服务费</w:t>
      </w:r>
    </w:p>
    <w:p w14:paraId="17C456F2">
      <w:pPr>
        <w:tabs>
          <w:tab w:val="left" w:pos="1069"/>
          <w:tab w:val="left" w:pos="2352"/>
        </w:tabs>
        <w:spacing w:line="400" w:lineRule="exact"/>
        <w:ind w:firstLine="440" w:firstLineChars="200"/>
        <w:rPr>
          <w:rFonts w:ascii="宋体" w:hAnsi="宋体" w:cs="宋体"/>
          <w:color w:val="auto"/>
          <w:highlight w:val="none"/>
        </w:rPr>
      </w:pPr>
      <w:r>
        <w:rPr>
          <w:rFonts w:hint="eastAsia" w:ascii="宋体" w:hAnsi="宋体" w:cs="宋体"/>
          <w:color w:val="auto"/>
          <w:sz w:val="22"/>
          <w:highlight w:val="none"/>
        </w:rPr>
        <w:t>本项目向</w:t>
      </w:r>
      <w:r>
        <w:rPr>
          <w:rFonts w:hint="eastAsia" w:ascii="宋体" w:hAnsi="宋体" w:cs="宋体"/>
          <w:color w:val="auto"/>
          <w:sz w:val="22"/>
          <w:highlight w:val="none"/>
          <w:lang w:eastAsia="zh-CN"/>
        </w:rPr>
        <w:t>中标（成交）供应商</w:t>
      </w:r>
      <w:r>
        <w:rPr>
          <w:rFonts w:hint="eastAsia" w:ascii="宋体" w:hAnsi="宋体" w:cs="宋体"/>
          <w:color w:val="auto"/>
          <w:sz w:val="22"/>
          <w:highlight w:val="none"/>
        </w:rPr>
        <w:t>收取招标代理服务费，</w:t>
      </w:r>
      <w:r>
        <w:rPr>
          <w:rFonts w:hint="eastAsia" w:ascii="宋体" w:hAnsi="宋体" w:cs="宋体"/>
          <w:color w:val="auto"/>
          <w:sz w:val="22"/>
          <w:highlight w:val="none"/>
          <w:lang w:val="zh-CN"/>
        </w:rPr>
        <w:t>按照《国家计委关于印发&lt;招标代理服务收费管理暂行办法&gt;的通知》（计价格[2002]1980号）</w:t>
      </w:r>
      <w:r>
        <w:rPr>
          <w:rFonts w:hint="eastAsia" w:ascii="宋体" w:hAnsi="宋体" w:cs="宋体"/>
          <w:color w:val="auto"/>
          <w:sz w:val="22"/>
          <w:highlight w:val="none"/>
          <w:lang w:val="en-US" w:eastAsia="zh-CN"/>
        </w:rPr>
        <w:t>服务类</w:t>
      </w:r>
      <w:r>
        <w:rPr>
          <w:rFonts w:hint="eastAsia" w:ascii="宋体" w:hAnsi="宋体" w:cs="宋体"/>
          <w:color w:val="auto"/>
          <w:sz w:val="22"/>
          <w:highlight w:val="none"/>
          <w:lang w:val="zh-CN"/>
        </w:rPr>
        <w:t>（</w:t>
      </w:r>
      <w:r>
        <w:rPr>
          <w:rFonts w:hint="eastAsia" w:ascii="宋体" w:hAnsi="宋体" w:cs="宋体"/>
          <w:color w:val="auto"/>
          <w:sz w:val="22"/>
          <w:highlight w:val="none"/>
        </w:rPr>
        <w:t>中标价</w:t>
      </w:r>
      <w:r>
        <w:rPr>
          <w:rFonts w:hint="eastAsia" w:ascii="宋体" w:hAnsi="宋体" w:cs="宋体"/>
          <w:color w:val="auto"/>
          <w:sz w:val="22"/>
          <w:highlight w:val="none"/>
          <w:lang w:val="zh-CN"/>
        </w:rPr>
        <w:t>）标准</w:t>
      </w:r>
      <w:r>
        <w:rPr>
          <w:rFonts w:hint="eastAsia" w:ascii="宋体" w:hAnsi="宋体" w:cs="宋体"/>
          <w:color w:val="auto"/>
          <w:sz w:val="22"/>
          <w:highlight w:val="none"/>
          <w:lang w:val="en-US" w:eastAsia="zh-CN"/>
        </w:rPr>
        <w:t>给予85%</w:t>
      </w:r>
      <w:r>
        <w:rPr>
          <w:rFonts w:hint="eastAsia" w:ascii="宋体" w:hAnsi="宋体" w:cs="宋体"/>
          <w:color w:val="auto"/>
          <w:sz w:val="22"/>
          <w:highlight w:val="none"/>
          <w:lang w:val="zh-CN"/>
        </w:rPr>
        <w:t>收取</w:t>
      </w:r>
      <w:r>
        <w:rPr>
          <w:rFonts w:hint="eastAsia" w:ascii="宋体" w:hAnsi="宋体" w:cs="宋体"/>
          <w:color w:val="auto"/>
          <w:sz w:val="22"/>
          <w:highlight w:val="none"/>
        </w:rPr>
        <w:t>。招标代理费汇入账号以招标代理机构提供的为准。</w:t>
      </w:r>
    </w:p>
    <w:p w14:paraId="63BCA041">
      <w:pPr>
        <w:tabs>
          <w:tab w:val="left" w:pos="1069"/>
          <w:tab w:val="left" w:pos="2352"/>
        </w:tabs>
        <w:adjustRightInd w:val="0"/>
        <w:snapToGrid w:val="0"/>
        <w:spacing w:line="400" w:lineRule="exact"/>
        <w:jc w:val="left"/>
        <w:rPr>
          <w:rFonts w:ascii="宋体" w:hAnsi="宋体" w:cs="宋体"/>
          <w:b/>
          <w:bCs/>
          <w:color w:val="auto"/>
          <w:sz w:val="22"/>
          <w:highlight w:val="none"/>
        </w:rPr>
      </w:pPr>
      <w:r>
        <w:rPr>
          <w:rFonts w:hint="eastAsia" w:ascii="宋体" w:hAnsi="宋体" w:cs="宋体"/>
          <w:b/>
          <w:bCs/>
          <w:color w:val="auto"/>
          <w:sz w:val="22"/>
          <w:highlight w:val="none"/>
        </w:rPr>
        <w:t>七、投诉质疑</w:t>
      </w:r>
    </w:p>
    <w:p w14:paraId="10218F59">
      <w:pPr>
        <w:pStyle w:val="44"/>
        <w:tabs>
          <w:tab w:val="left" w:pos="1069"/>
          <w:tab w:val="left" w:pos="2352"/>
        </w:tabs>
        <w:snapToGrid w:val="0"/>
        <w:spacing w:before="0" w:line="400" w:lineRule="exact"/>
        <w:ind w:firstLine="440"/>
        <w:rPr>
          <w:rFonts w:ascii="宋体" w:hAnsi="宋体" w:cs="宋体"/>
          <w:color w:val="auto"/>
          <w:sz w:val="22"/>
          <w:szCs w:val="22"/>
          <w:highlight w:val="none"/>
        </w:rPr>
      </w:pPr>
      <w:r>
        <w:rPr>
          <w:rFonts w:hint="eastAsia" w:ascii="宋体" w:hAnsi="宋体" w:cs="宋体"/>
          <w:color w:val="auto"/>
          <w:sz w:val="22"/>
          <w:szCs w:val="22"/>
          <w:highlight w:val="none"/>
        </w:rPr>
        <w:t>根据《中华人民共和国政府采购法》、《政府采购质疑和投诉办法》（中华人民共和国财政部令第94号）、《财政部关于加强政府采购供应商投诉受理审查工作的通知》(财库〔2007〕1号)和《浙江省政府采购供应商质疑处理办法》（浙财采监〔2012〕18号）的规定，政府采购供应商可以依法提起质疑和投诉。</w:t>
      </w:r>
    </w:p>
    <w:p w14:paraId="3FB065F2">
      <w:pPr>
        <w:pStyle w:val="44"/>
        <w:tabs>
          <w:tab w:val="left" w:pos="1069"/>
          <w:tab w:val="left" w:pos="2352"/>
        </w:tabs>
        <w:spacing w:before="0" w:line="400" w:lineRule="exact"/>
        <w:ind w:firstLine="0" w:firstLineChars="0"/>
        <w:rPr>
          <w:rFonts w:ascii="宋体" w:hAnsi="宋体" w:cs="宋体"/>
          <w:b/>
          <w:color w:val="auto"/>
          <w:sz w:val="22"/>
          <w:szCs w:val="22"/>
          <w:highlight w:val="none"/>
        </w:rPr>
      </w:pPr>
      <w:r>
        <w:rPr>
          <w:rFonts w:hint="eastAsia" w:ascii="宋体" w:hAnsi="宋体" w:cs="宋体"/>
          <w:b/>
          <w:color w:val="auto"/>
          <w:sz w:val="22"/>
          <w:szCs w:val="22"/>
          <w:highlight w:val="none"/>
        </w:rPr>
        <w:t>1.供应商询问</w:t>
      </w:r>
    </w:p>
    <w:p w14:paraId="0CF2583E">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lang w:val="zh-CN"/>
        </w:rPr>
        <w:t>供应商对政府采购活动事项有疑问的，可以向招标代理机构提出询问，招标代理机构将对供应商依法提出的询问作出答复，但答复的内容不得涉及商业秘密。</w:t>
      </w:r>
    </w:p>
    <w:p w14:paraId="3FB94CF8">
      <w:pPr>
        <w:pStyle w:val="44"/>
        <w:tabs>
          <w:tab w:val="left" w:pos="1069"/>
          <w:tab w:val="left" w:pos="2352"/>
        </w:tabs>
        <w:spacing w:before="0" w:line="400" w:lineRule="exact"/>
        <w:ind w:firstLine="0" w:firstLineChars="0"/>
        <w:rPr>
          <w:rFonts w:ascii="宋体" w:hAnsi="宋体" w:cs="宋体"/>
          <w:b/>
          <w:color w:val="auto"/>
          <w:sz w:val="22"/>
          <w:szCs w:val="22"/>
          <w:highlight w:val="none"/>
        </w:rPr>
      </w:pPr>
      <w:r>
        <w:rPr>
          <w:rFonts w:hint="eastAsia" w:ascii="宋体" w:hAnsi="宋体" w:cs="宋体"/>
          <w:b/>
          <w:color w:val="auto"/>
          <w:sz w:val="22"/>
          <w:szCs w:val="22"/>
          <w:highlight w:val="none"/>
        </w:rPr>
        <w:t>2.供应商质疑</w:t>
      </w:r>
    </w:p>
    <w:p w14:paraId="6B77267B">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2.1供应商认为竞争性磋商文件、采购过程和中标、成交结果使自己的权益受到损害的，可以在知道或者应知其权益受到损害之日起七个工作日内，以书面形式向采购人、采购代理机构提出质疑，</w:t>
      </w:r>
      <w:r>
        <w:rPr>
          <w:rFonts w:hint="eastAsia" w:hAnsi="宋体" w:cs="宋体"/>
          <w:color w:val="auto"/>
          <w:sz w:val="22"/>
          <w:szCs w:val="22"/>
          <w:highlight w:val="none"/>
          <w:lang w:val="zh-CN"/>
        </w:rPr>
        <w:t>否则，不予受理：</w:t>
      </w:r>
    </w:p>
    <w:p w14:paraId="4BA5FF88">
      <w:pPr>
        <w:pStyle w:val="12"/>
        <w:tabs>
          <w:tab w:val="left" w:pos="1069"/>
          <w:tab w:val="left" w:pos="2352"/>
        </w:tabs>
        <w:spacing w:line="400" w:lineRule="exact"/>
        <w:rPr>
          <w:rFonts w:hAnsi="宋体" w:cs="宋体"/>
          <w:color w:val="auto"/>
          <w:sz w:val="22"/>
          <w:szCs w:val="22"/>
          <w:highlight w:val="none"/>
        </w:rPr>
      </w:pPr>
      <w:r>
        <w:rPr>
          <w:rFonts w:hint="eastAsia" w:hAnsi="宋体" w:cs="宋体"/>
          <w:color w:val="auto"/>
          <w:sz w:val="22"/>
          <w:szCs w:val="22"/>
          <w:highlight w:val="none"/>
        </w:rPr>
        <w:t xml:space="preserve">   （1）供应商如认为招标公告信息使自身的合法权益受到损害的，应于自招标公告发布之日起七个工作内以书面形式向招标代理机构提出质疑；</w:t>
      </w:r>
    </w:p>
    <w:p w14:paraId="507DD114">
      <w:pPr>
        <w:pStyle w:val="12"/>
        <w:tabs>
          <w:tab w:val="left" w:pos="1069"/>
          <w:tab w:val="left" w:pos="2352"/>
        </w:tabs>
        <w:spacing w:line="400" w:lineRule="exact"/>
        <w:rPr>
          <w:rFonts w:hAnsi="宋体" w:cs="宋体"/>
          <w:color w:val="auto"/>
          <w:sz w:val="22"/>
          <w:szCs w:val="22"/>
          <w:highlight w:val="none"/>
        </w:rPr>
      </w:pPr>
      <w:r>
        <w:rPr>
          <w:rFonts w:hint="eastAsia" w:hAnsi="宋体" w:cs="宋体"/>
          <w:color w:val="auto"/>
          <w:sz w:val="22"/>
          <w:szCs w:val="22"/>
          <w:highlight w:val="none"/>
        </w:rPr>
        <w:t xml:space="preserve">   （2）</w:t>
      </w:r>
      <w:r>
        <w:rPr>
          <w:rFonts w:hint="eastAsia" w:hAnsi="宋体" w:cs="宋体"/>
          <w:color w:val="auto"/>
          <w:sz w:val="22"/>
          <w:szCs w:val="22"/>
          <w:highlight w:val="none"/>
          <w:lang w:val="zh-CN"/>
        </w:rPr>
        <w:t>对竞争性磋商文件提出质疑的，质疑期限为供应商获得竞争性磋商文件之日或者竞争性磋商文件公告期限届满之日起计算。</w:t>
      </w:r>
    </w:p>
    <w:p w14:paraId="5BD7BBE9">
      <w:pPr>
        <w:tabs>
          <w:tab w:val="left" w:pos="1069"/>
          <w:tab w:val="left" w:pos="2352"/>
        </w:tabs>
        <w:autoSpaceDE w:val="0"/>
        <w:autoSpaceDN w:val="0"/>
        <w:spacing w:line="400" w:lineRule="exact"/>
        <w:jc w:val="left"/>
        <w:rPr>
          <w:rFonts w:ascii="宋体" w:hAnsi="宋体" w:cs="宋体"/>
          <w:color w:val="auto"/>
          <w:kern w:val="0"/>
          <w:sz w:val="22"/>
          <w:highlight w:val="none"/>
          <w:lang w:val="zh-CN"/>
        </w:rPr>
      </w:pPr>
      <w:r>
        <w:rPr>
          <w:rFonts w:hint="eastAsia" w:ascii="宋体" w:hAnsi="宋体" w:cs="宋体"/>
          <w:color w:val="auto"/>
          <w:sz w:val="22"/>
          <w:highlight w:val="none"/>
        </w:rPr>
        <w:t xml:space="preserve">   （3）</w:t>
      </w:r>
      <w:r>
        <w:rPr>
          <w:rFonts w:hint="eastAsia" w:ascii="宋体" w:hAnsi="宋体" w:cs="宋体"/>
          <w:color w:val="auto"/>
          <w:kern w:val="0"/>
          <w:sz w:val="22"/>
          <w:highlight w:val="none"/>
          <w:lang w:val="zh-CN"/>
        </w:rPr>
        <w:t>对采购过程提出质疑的，质疑期限为各采购程序环节结束之日起计算。</w:t>
      </w:r>
    </w:p>
    <w:p w14:paraId="3B3E4544">
      <w:pPr>
        <w:pStyle w:val="12"/>
        <w:tabs>
          <w:tab w:val="left" w:pos="1069"/>
          <w:tab w:val="left" w:pos="2352"/>
        </w:tabs>
        <w:spacing w:line="400" w:lineRule="exact"/>
        <w:rPr>
          <w:rFonts w:hint="eastAsia" w:hAnsi="宋体" w:cs="宋体"/>
          <w:color w:val="auto"/>
          <w:sz w:val="22"/>
          <w:szCs w:val="22"/>
          <w:highlight w:val="none"/>
          <w:lang w:val="zh-CN"/>
        </w:rPr>
      </w:pPr>
      <w:r>
        <w:rPr>
          <w:rFonts w:hint="eastAsia" w:hAnsi="宋体" w:cs="宋体"/>
          <w:color w:val="auto"/>
          <w:sz w:val="22"/>
          <w:szCs w:val="22"/>
          <w:highlight w:val="none"/>
          <w:lang w:val="zh-CN"/>
        </w:rPr>
        <w:t xml:space="preserve">   （4）对采购结果提出质疑的，质疑期限自采购结果公告（包括公示、预公告、结果变更公告等）期限届满之日起计算。</w:t>
      </w:r>
    </w:p>
    <w:p w14:paraId="2F0007E0">
      <w:pPr>
        <w:pStyle w:val="12"/>
        <w:tabs>
          <w:tab w:val="left" w:pos="1069"/>
          <w:tab w:val="left" w:pos="2352"/>
        </w:tabs>
        <w:spacing w:line="400" w:lineRule="exact"/>
        <w:ind w:firstLine="440" w:firstLineChars="200"/>
        <w:rPr>
          <w:rFonts w:hint="eastAsia" w:ascii="宋体" w:hAnsi="宋体" w:eastAsia="宋体" w:cs="宋体"/>
          <w:color w:val="auto"/>
          <w:kern w:val="0"/>
          <w:sz w:val="22"/>
          <w:szCs w:val="22"/>
          <w:highlight w:val="none"/>
          <w:lang w:val="zh-CN" w:eastAsia="zh-CN" w:bidi="ar-SA"/>
        </w:rPr>
      </w:pP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5</w:t>
      </w:r>
      <w:r>
        <w:rPr>
          <w:rFonts w:hint="eastAsia" w:ascii="宋体" w:hAnsi="宋体" w:eastAsia="宋体" w:cs="宋体"/>
          <w:color w:val="auto"/>
          <w:kern w:val="0"/>
          <w:sz w:val="22"/>
          <w:szCs w:val="22"/>
          <w:highlight w:val="none"/>
          <w:lang w:val="zh-CN" w:eastAsia="zh-CN" w:bidi="ar-SA"/>
        </w:rPr>
        <w:t>）供应商</w:t>
      </w:r>
      <w:r>
        <w:rPr>
          <w:rFonts w:hint="eastAsia" w:ascii="宋体" w:hAnsi="宋体" w:eastAsia="宋体" w:cs="宋体"/>
          <w:color w:val="auto"/>
          <w:kern w:val="0"/>
          <w:sz w:val="22"/>
          <w:szCs w:val="22"/>
          <w:highlight w:val="none"/>
          <w:lang w:val="en-US" w:eastAsia="zh-CN" w:bidi="ar-SA"/>
        </w:rPr>
        <w:t>须</w:t>
      </w:r>
      <w:r>
        <w:rPr>
          <w:rFonts w:hint="eastAsia" w:ascii="宋体" w:hAnsi="宋体" w:eastAsia="宋体" w:cs="宋体"/>
          <w:color w:val="auto"/>
          <w:kern w:val="0"/>
          <w:sz w:val="22"/>
          <w:szCs w:val="22"/>
          <w:highlight w:val="none"/>
          <w:lang w:val="zh-CN" w:eastAsia="zh-CN" w:bidi="ar-SA"/>
        </w:rPr>
        <w:t>在法定质疑期内一次性提出针对同一采购程序环节的质疑。</w:t>
      </w:r>
    </w:p>
    <w:p w14:paraId="30371A3D">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2.2供应商提交的质疑书由法定代表人签字（或盖章）并加盖单位公章。质疑书至少应包括下列主要内容：</w:t>
      </w:r>
    </w:p>
    <w:p w14:paraId="5A2B4B3A">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（1）供应商的名称、地址、邮政编码、联系人、联系电话；</w:t>
      </w:r>
    </w:p>
    <w:p w14:paraId="7B2955F0">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（2）质疑项目的名称、编号；</w:t>
      </w:r>
    </w:p>
    <w:p w14:paraId="61399A20">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（3）具体、明确的质疑事项和与质疑事项相关的请求；</w:t>
      </w:r>
    </w:p>
    <w:p w14:paraId="64F7DE39">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（4）事实依据；</w:t>
      </w:r>
    </w:p>
    <w:p w14:paraId="643920A0">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（5）必要的法律依据；</w:t>
      </w:r>
    </w:p>
    <w:p w14:paraId="6392B0A1">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（6）提出质疑的日期。</w:t>
      </w:r>
    </w:p>
    <w:p w14:paraId="55A81EEB">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供应商为自然人的，应当由本人签字；供应商为法人或其他组织的，应当由法定代表人、主要负责人，或者其授权代表签字或者盖章，并加盖公章。</w:t>
      </w:r>
    </w:p>
    <w:p w14:paraId="6E48AAFC">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2.3采购人、采购代理机构应当在收到供应商的书面质疑后七个工作日内作出答复，并以书面形式通知质疑供应商和其他有关供应商，但答复的内容不得涉及商业秘密。</w:t>
      </w:r>
    </w:p>
    <w:p w14:paraId="0D7C3E76">
      <w:pPr>
        <w:pStyle w:val="44"/>
        <w:tabs>
          <w:tab w:val="left" w:pos="1069"/>
          <w:tab w:val="left" w:pos="2352"/>
        </w:tabs>
        <w:spacing w:before="0" w:line="400" w:lineRule="exact"/>
        <w:ind w:firstLine="0" w:firstLineChars="0"/>
        <w:rPr>
          <w:rFonts w:ascii="宋体" w:hAnsi="宋体" w:cs="宋体"/>
          <w:b/>
          <w:color w:val="auto"/>
          <w:sz w:val="22"/>
          <w:szCs w:val="22"/>
          <w:highlight w:val="none"/>
        </w:rPr>
      </w:pPr>
      <w:r>
        <w:rPr>
          <w:rFonts w:hint="eastAsia" w:ascii="宋体" w:hAnsi="宋体" w:cs="宋体"/>
          <w:b/>
          <w:color w:val="auto"/>
          <w:sz w:val="22"/>
          <w:szCs w:val="22"/>
          <w:highlight w:val="none"/>
        </w:rPr>
        <w:t>3.供应商投诉</w:t>
      </w:r>
    </w:p>
    <w:p w14:paraId="09345CAC">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3.1供应商投诉应当提交投诉书和必要的证明材料。供应商投诉的事项不得超出已质疑事项的范围（基于质疑答复内容提出的投诉事项除外）。</w:t>
      </w:r>
    </w:p>
    <w:p w14:paraId="23AB51DF">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3.2质疑供应商对采购人、采购代理机构的答复不满意或者采购人、采购代理机构未在规定的时间内作出答复的，可以在答复期满后十五个工作日内向同级财政部门提出投诉。</w:t>
      </w:r>
    </w:p>
    <w:p w14:paraId="53B3D88A">
      <w:pPr>
        <w:pStyle w:val="30"/>
        <w:tabs>
          <w:tab w:val="left" w:pos="1069"/>
          <w:tab w:val="left" w:pos="2352"/>
        </w:tabs>
        <w:ind w:left="0" w:leftChars="0" w:firstLine="0" w:firstLineChars="0"/>
        <w:rPr>
          <w:rFonts w:ascii="宋体" w:hAnsi="宋体"/>
          <w:b/>
          <w:bCs/>
          <w:color w:val="auto"/>
          <w:highlight w:val="none"/>
        </w:rPr>
      </w:pPr>
      <w:r>
        <w:rPr>
          <w:rFonts w:hint="eastAsia" w:ascii="宋体" w:hAnsi="宋体"/>
          <w:color w:val="auto"/>
          <w:highlight w:val="none"/>
        </w:rPr>
        <w:t>质疑函范本、投诉书范本请至浙江省政府采购网下载专区下载。</w:t>
      </w:r>
    </w:p>
    <w:p w14:paraId="7191A7D2">
      <w:pPr>
        <w:pStyle w:val="42"/>
        <w:spacing w:line="400" w:lineRule="exact"/>
        <w:rPr>
          <w:rFonts w:hAnsi="宋体" w:cs="宋体"/>
          <w:color w:val="auto"/>
          <w:sz w:val="22"/>
          <w:szCs w:val="22"/>
          <w:highlight w:val="none"/>
        </w:rPr>
      </w:pPr>
      <w:bookmarkStart w:id="88" w:name="_Toc29876_WPSOffice_Level1"/>
      <w:r>
        <w:rPr>
          <w:rFonts w:hint="eastAsia" w:hAnsi="宋体" w:cs="宋体"/>
          <w:b/>
          <w:bCs/>
          <w:color w:val="auto"/>
          <w:sz w:val="22"/>
          <w:szCs w:val="22"/>
          <w:highlight w:val="none"/>
        </w:rPr>
        <w:t>4.线上质疑及投诉</w:t>
      </w:r>
    </w:p>
    <w:p w14:paraId="028A4F7D">
      <w:pPr>
        <w:pStyle w:val="42"/>
        <w:spacing w:line="400" w:lineRule="exact"/>
        <w:ind w:firstLine="440" w:firstLineChars="200"/>
        <w:rPr>
          <w:rFonts w:hAnsi="宋体" w:cs="宋体"/>
          <w:color w:val="auto"/>
          <w:sz w:val="22"/>
          <w:szCs w:val="22"/>
          <w:highlight w:val="none"/>
        </w:rPr>
      </w:pPr>
      <w:r>
        <w:rPr>
          <w:rFonts w:hint="eastAsia" w:hAnsi="宋体" w:cs="宋体"/>
          <w:color w:val="auto"/>
          <w:sz w:val="22"/>
          <w:szCs w:val="22"/>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5958B658">
      <w:pPr>
        <w:pStyle w:val="42"/>
        <w:spacing w:line="400" w:lineRule="exact"/>
        <w:ind w:firstLine="440" w:firstLineChars="200"/>
        <w:rPr>
          <w:rFonts w:hAnsi="宋体" w:cs="宋体"/>
          <w:color w:val="auto"/>
          <w:sz w:val="22"/>
          <w:szCs w:val="22"/>
          <w:highlight w:val="none"/>
        </w:rPr>
      </w:pPr>
      <w:r>
        <w:rPr>
          <w:rFonts w:hint="eastAsia" w:hAnsi="宋体" w:cs="宋体"/>
          <w:color w:val="auto"/>
          <w:sz w:val="22"/>
          <w:szCs w:val="22"/>
          <w:highlight w:val="none"/>
        </w:rPr>
        <w:t>质疑函范本、投诉书范本请至浙江政府采购网下载专区下载。</w:t>
      </w:r>
    </w:p>
    <w:p w14:paraId="6DE5A86C">
      <w:pPr>
        <w:pStyle w:val="42"/>
        <w:spacing w:line="400" w:lineRule="exact"/>
        <w:ind w:firstLine="440" w:firstLineChars="200"/>
        <w:rPr>
          <w:rFonts w:hAnsi="宋体" w:cs="宋体"/>
          <w:color w:val="auto"/>
          <w:sz w:val="22"/>
          <w:szCs w:val="22"/>
          <w:highlight w:val="none"/>
        </w:rPr>
      </w:pPr>
    </w:p>
    <w:p w14:paraId="6303503A">
      <w:pPr>
        <w:tabs>
          <w:tab w:val="left" w:pos="1069"/>
          <w:tab w:val="left" w:pos="2352"/>
        </w:tabs>
        <w:jc w:val="center"/>
        <w:rPr>
          <w:rFonts w:ascii="宋体" w:hAnsi="宋体" w:cs="宋体"/>
          <w:b/>
          <w:color w:val="auto"/>
          <w:sz w:val="32"/>
          <w:szCs w:val="32"/>
          <w:highlight w:val="none"/>
        </w:rPr>
      </w:pPr>
    </w:p>
    <w:p w14:paraId="53644611">
      <w:pPr>
        <w:tabs>
          <w:tab w:val="left" w:pos="1069"/>
          <w:tab w:val="left" w:pos="2352"/>
        </w:tabs>
        <w:jc w:val="center"/>
        <w:rPr>
          <w:rFonts w:ascii="宋体" w:hAnsi="宋体" w:cs="宋体"/>
          <w:b/>
          <w:color w:val="auto"/>
          <w:sz w:val="32"/>
          <w:szCs w:val="32"/>
          <w:highlight w:val="none"/>
        </w:rPr>
      </w:pPr>
    </w:p>
    <w:p w14:paraId="4F451E7D">
      <w:pPr>
        <w:tabs>
          <w:tab w:val="left" w:pos="1069"/>
          <w:tab w:val="left" w:pos="2352"/>
        </w:tabs>
        <w:jc w:val="center"/>
        <w:rPr>
          <w:rFonts w:ascii="宋体" w:hAnsi="宋体" w:cs="宋体"/>
          <w:b/>
          <w:color w:val="auto"/>
          <w:sz w:val="32"/>
          <w:szCs w:val="32"/>
          <w:highlight w:val="none"/>
        </w:rPr>
      </w:pPr>
    </w:p>
    <w:p w14:paraId="2B593C7B">
      <w:pPr>
        <w:tabs>
          <w:tab w:val="left" w:pos="1069"/>
          <w:tab w:val="left" w:pos="2352"/>
        </w:tabs>
        <w:jc w:val="center"/>
        <w:rPr>
          <w:rFonts w:ascii="宋体" w:hAnsi="宋体" w:cs="宋体"/>
          <w:b/>
          <w:color w:val="auto"/>
          <w:sz w:val="32"/>
          <w:szCs w:val="32"/>
          <w:highlight w:val="none"/>
        </w:rPr>
      </w:pPr>
    </w:p>
    <w:p w14:paraId="4A220810">
      <w:pPr>
        <w:tabs>
          <w:tab w:val="left" w:pos="1069"/>
          <w:tab w:val="left" w:pos="2352"/>
        </w:tabs>
        <w:jc w:val="center"/>
        <w:rPr>
          <w:rFonts w:ascii="宋体" w:hAnsi="宋体" w:cs="宋体"/>
          <w:b/>
          <w:color w:val="auto"/>
          <w:sz w:val="32"/>
          <w:szCs w:val="32"/>
          <w:highlight w:val="none"/>
        </w:rPr>
      </w:pPr>
    </w:p>
    <w:p w14:paraId="475C345D">
      <w:pPr>
        <w:pStyle w:val="3"/>
        <w:rPr>
          <w:rFonts w:ascii="宋体" w:hAnsi="宋体" w:cs="宋体"/>
          <w:b/>
          <w:color w:val="auto"/>
          <w:sz w:val="32"/>
          <w:szCs w:val="32"/>
          <w:highlight w:val="none"/>
        </w:rPr>
      </w:pPr>
    </w:p>
    <w:p w14:paraId="24BD4B89">
      <w:pPr>
        <w:tabs>
          <w:tab w:val="left" w:pos="1069"/>
          <w:tab w:val="left" w:pos="2352"/>
        </w:tabs>
        <w:jc w:val="center"/>
        <w:rPr>
          <w:rFonts w:ascii="宋体" w:hAnsi="宋体" w:cs="宋体"/>
          <w:b/>
          <w:color w:val="auto"/>
          <w:sz w:val="32"/>
          <w:szCs w:val="32"/>
          <w:highlight w:val="none"/>
        </w:rPr>
      </w:pPr>
    </w:p>
    <w:p w14:paraId="4FEBF03E">
      <w:pPr>
        <w:tabs>
          <w:tab w:val="left" w:pos="1069"/>
          <w:tab w:val="left" w:pos="2352"/>
        </w:tabs>
        <w:jc w:val="center"/>
        <w:rPr>
          <w:rFonts w:ascii="宋体" w:hAnsi="宋体" w:cs="宋体"/>
          <w:b/>
          <w:color w:val="auto"/>
          <w:sz w:val="32"/>
          <w:szCs w:val="32"/>
          <w:highlight w:val="none"/>
        </w:rPr>
      </w:pPr>
    </w:p>
    <w:p w14:paraId="76E076DB">
      <w:pPr>
        <w:tabs>
          <w:tab w:val="left" w:pos="1069"/>
          <w:tab w:val="left" w:pos="2352"/>
        </w:tabs>
        <w:jc w:val="center"/>
        <w:rPr>
          <w:rFonts w:ascii="宋体" w:hAnsi="宋体" w:cs="宋体"/>
          <w:b/>
          <w:bCs/>
          <w:color w:val="auto"/>
          <w:sz w:val="32"/>
          <w:szCs w:val="32"/>
          <w:highlight w:val="none"/>
          <w:lang w:val="zh-CN"/>
        </w:rPr>
      </w:pPr>
      <w:r>
        <w:rPr>
          <w:rFonts w:hint="eastAsia" w:ascii="宋体" w:hAnsi="宋体" w:cs="宋体"/>
          <w:b/>
          <w:color w:val="auto"/>
          <w:sz w:val="32"/>
          <w:szCs w:val="32"/>
          <w:highlight w:val="none"/>
        </w:rPr>
        <w:t>第四部分、</w:t>
      </w:r>
      <w:r>
        <w:rPr>
          <w:rFonts w:hint="eastAsia" w:ascii="宋体" w:hAnsi="宋体" w:cs="宋体"/>
          <w:b/>
          <w:bCs/>
          <w:color w:val="auto"/>
          <w:sz w:val="32"/>
          <w:szCs w:val="32"/>
          <w:highlight w:val="none"/>
          <w:lang w:val="zh-CN"/>
        </w:rPr>
        <w:t>政府采购政策功能相关说明</w:t>
      </w:r>
    </w:p>
    <w:p w14:paraId="7B4C2128">
      <w:pPr>
        <w:tabs>
          <w:tab w:val="left" w:pos="1069"/>
          <w:tab w:val="left" w:pos="2352"/>
        </w:tabs>
        <w:jc w:val="left"/>
        <w:rPr>
          <w:rFonts w:ascii="宋体"/>
          <w:b/>
          <w:bCs/>
          <w:color w:val="auto"/>
          <w:sz w:val="22"/>
          <w:highlight w:val="none"/>
        </w:rPr>
      </w:pPr>
      <w:bookmarkStart w:id="89" w:name="_Toc25899_WPSOffice_Level2"/>
      <w:bookmarkStart w:id="90" w:name="_Toc10483_WPSOffice_Level2"/>
      <w:r>
        <w:rPr>
          <w:rFonts w:hint="eastAsia" w:ascii="宋体"/>
          <w:b/>
          <w:bCs/>
          <w:color w:val="auto"/>
          <w:sz w:val="22"/>
          <w:highlight w:val="none"/>
        </w:rPr>
        <w:t>一、</w:t>
      </w:r>
      <w:bookmarkEnd w:id="89"/>
      <w:r>
        <w:rPr>
          <w:rFonts w:hint="eastAsia" w:ascii="宋体"/>
          <w:b/>
          <w:bCs/>
          <w:color w:val="auto"/>
          <w:sz w:val="22"/>
          <w:highlight w:val="none"/>
        </w:rPr>
        <w:t>中小企业（含监狱企业、残疾人福利性单位）扶持政策说明</w:t>
      </w:r>
    </w:p>
    <w:p w14:paraId="3EE98BD0">
      <w:pPr>
        <w:tabs>
          <w:tab w:val="left" w:pos="1069"/>
          <w:tab w:val="left" w:pos="2352"/>
        </w:tabs>
        <w:spacing w:line="440" w:lineRule="atLeast"/>
        <w:jc w:val="left"/>
        <w:rPr>
          <w:rFonts w:ascii="宋体"/>
          <w:color w:val="auto"/>
          <w:sz w:val="22"/>
          <w:highlight w:val="none"/>
        </w:rPr>
      </w:pPr>
      <w:r>
        <w:rPr>
          <w:rFonts w:ascii="宋体"/>
          <w:color w:val="auto"/>
          <w:sz w:val="22"/>
          <w:highlight w:val="none"/>
        </w:rPr>
        <w:t>1</w:t>
      </w:r>
      <w:r>
        <w:rPr>
          <w:rFonts w:hint="eastAsia" w:ascii="宋体"/>
          <w:color w:val="auto"/>
          <w:sz w:val="22"/>
          <w:highlight w:val="none"/>
        </w:rPr>
        <w:t>、文件依据</w:t>
      </w:r>
    </w:p>
    <w:p w14:paraId="5C043EC5">
      <w:pPr>
        <w:tabs>
          <w:tab w:val="left" w:pos="1069"/>
          <w:tab w:val="left" w:pos="2352"/>
        </w:tabs>
        <w:spacing w:line="440" w:lineRule="atLeast"/>
        <w:jc w:val="left"/>
        <w:rPr>
          <w:rFonts w:ascii="宋体"/>
          <w:color w:val="auto"/>
          <w:sz w:val="22"/>
          <w:highlight w:val="none"/>
        </w:rPr>
      </w:pPr>
      <w:r>
        <w:rPr>
          <w:rFonts w:hint="eastAsia" w:ascii="宋体"/>
          <w:color w:val="auto"/>
          <w:sz w:val="22"/>
          <w:highlight w:val="none"/>
        </w:rPr>
        <w:t>（</w:t>
      </w:r>
      <w:r>
        <w:rPr>
          <w:rFonts w:ascii="宋体"/>
          <w:color w:val="auto"/>
          <w:sz w:val="22"/>
          <w:highlight w:val="none"/>
        </w:rPr>
        <w:t>1</w:t>
      </w:r>
      <w:r>
        <w:rPr>
          <w:rFonts w:hint="eastAsia" w:ascii="宋体"/>
          <w:color w:val="auto"/>
          <w:sz w:val="22"/>
          <w:highlight w:val="none"/>
        </w:rPr>
        <w:t>）《政府采购促进中小企业发展管理办法》（财库﹝2020﹞46 号）</w:t>
      </w:r>
    </w:p>
    <w:p w14:paraId="6E930FEE">
      <w:pPr>
        <w:tabs>
          <w:tab w:val="left" w:pos="1069"/>
          <w:tab w:val="left" w:pos="2352"/>
        </w:tabs>
        <w:spacing w:line="440" w:lineRule="atLeast"/>
        <w:jc w:val="left"/>
        <w:rPr>
          <w:rFonts w:ascii="宋体"/>
          <w:color w:val="auto"/>
          <w:sz w:val="22"/>
          <w:highlight w:val="none"/>
        </w:rPr>
      </w:pPr>
      <w:r>
        <w:rPr>
          <w:rFonts w:hint="eastAsia" w:ascii="宋体"/>
          <w:color w:val="auto"/>
          <w:sz w:val="22"/>
          <w:highlight w:val="none"/>
        </w:rPr>
        <w:t>（</w:t>
      </w:r>
      <w:r>
        <w:rPr>
          <w:rFonts w:ascii="宋体"/>
          <w:color w:val="auto"/>
          <w:sz w:val="22"/>
          <w:highlight w:val="none"/>
        </w:rPr>
        <w:t>2</w:t>
      </w:r>
      <w:r>
        <w:rPr>
          <w:rFonts w:hint="eastAsia" w:ascii="宋体"/>
          <w:color w:val="auto"/>
          <w:sz w:val="22"/>
          <w:highlight w:val="none"/>
        </w:rPr>
        <w:t>）浙江省省财政厅《关于开展政府采购供应商网上注册登记和诚信管理工作的通知》（浙财采监〔2010〕8号)</w:t>
      </w:r>
    </w:p>
    <w:p w14:paraId="6BA30D0A">
      <w:pPr>
        <w:tabs>
          <w:tab w:val="left" w:pos="1069"/>
          <w:tab w:val="left" w:pos="2352"/>
        </w:tabs>
        <w:spacing w:line="440" w:lineRule="atLeast"/>
        <w:jc w:val="left"/>
        <w:rPr>
          <w:rFonts w:ascii="宋体"/>
          <w:color w:val="auto"/>
          <w:sz w:val="22"/>
          <w:highlight w:val="none"/>
        </w:rPr>
      </w:pPr>
      <w:r>
        <w:rPr>
          <w:rFonts w:hint="eastAsia" w:ascii="宋体"/>
          <w:color w:val="auto"/>
          <w:sz w:val="22"/>
          <w:highlight w:val="none"/>
        </w:rPr>
        <w:t>（3）《工业和信息化部、国家统计局、国家发展和改革委员会、财政部关于印发中小企业划型标准规定的通知》（工信部联企业﹝2011﹞300号）</w:t>
      </w:r>
    </w:p>
    <w:p w14:paraId="6F6A1294">
      <w:pPr>
        <w:tabs>
          <w:tab w:val="left" w:pos="2352"/>
        </w:tabs>
        <w:spacing w:line="440" w:lineRule="atLeast"/>
        <w:jc w:val="left"/>
        <w:rPr>
          <w:rFonts w:ascii="宋体"/>
          <w:color w:val="auto"/>
          <w:sz w:val="22"/>
          <w:highlight w:val="none"/>
        </w:rPr>
      </w:pPr>
      <w:r>
        <w:rPr>
          <w:rFonts w:hint="eastAsia" w:ascii="宋体"/>
          <w:color w:val="auto"/>
          <w:sz w:val="22"/>
          <w:highlight w:val="none"/>
        </w:rPr>
        <w:t>（4）财政部、司法部《关于政府采购支持监狱企业发展有关问题的通知》（财库〔</w:t>
      </w:r>
      <w:r>
        <w:rPr>
          <w:rFonts w:ascii="宋体"/>
          <w:color w:val="auto"/>
          <w:sz w:val="22"/>
          <w:highlight w:val="none"/>
        </w:rPr>
        <w:t>2014</w:t>
      </w:r>
      <w:r>
        <w:rPr>
          <w:rFonts w:hint="eastAsia" w:ascii="宋体"/>
          <w:color w:val="auto"/>
          <w:sz w:val="22"/>
          <w:highlight w:val="none"/>
        </w:rPr>
        <w:t>〕</w:t>
      </w:r>
      <w:r>
        <w:rPr>
          <w:rFonts w:ascii="宋体"/>
          <w:color w:val="auto"/>
          <w:sz w:val="22"/>
          <w:highlight w:val="none"/>
        </w:rPr>
        <w:t>68</w:t>
      </w:r>
      <w:r>
        <w:rPr>
          <w:rFonts w:hint="eastAsia" w:ascii="宋体"/>
          <w:color w:val="auto"/>
          <w:sz w:val="22"/>
          <w:highlight w:val="none"/>
        </w:rPr>
        <w:t>号）</w:t>
      </w:r>
    </w:p>
    <w:p w14:paraId="728C531B">
      <w:pPr>
        <w:tabs>
          <w:tab w:val="left" w:pos="2352"/>
        </w:tabs>
        <w:spacing w:line="440" w:lineRule="atLeast"/>
        <w:jc w:val="left"/>
        <w:rPr>
          <w:rFonts w:ascii="宋体"/>
          <w:color w:val="auto"/>
          <w:sz w:val="22"/>
          <w:highlight w:val="none"/>
        </w:rPr>
      </w:pPr>
      <w:r>
        <w:rPr>
          <w:rFonts w:hint="eastAsia" w:ascii="宋体"/>
          <w:color w:val="auto"/>
          <w:sz w:val="22"/>
          <w:highlight w:val="none"/>
        </w:rPr>
        <w:t>（5）《财政部民政部中国残疾人联合会关于促进残疾人就业政府采购政策的通知》（财库〔</w:t>
      </w:r>
      <w:r>
        <w:rPr>
          <w:rFonts w:ascii="宋体"/>
          <w:color w:val="auto"/>
          <w:sz w:val="22"/>
          <w:highlight w:val="none"/>
        </w:rPr>
        <w:t>2017</w:t>
      </w:r>
      <w:r>
        <w:rPr>
          <w:rFonts w:hint="eastAsia" w:ascii="宋体"/>
          <w:color w:val="auto"/>
          <w:sz w:val="22"/>
          <w:highlight w:val="none"/>
        </w:rPr>
        <w:t>〕</w:t>
      </w:r>
      <w:r>
        <w:rPr>
          <w:rFonts w:ascii="宋体"/>
          <w:color w:val="auto"/>
          <w:sz w:val="22"/>
          <w:highlight w:val="none"/>
        </w:rPr>
        <w:t xml:space="preserve"> 141</w:t>
      </w:r>
      <w:r>
        <w:rPr>
          <w:rFonts w:hint="eastAsia" w:ascii="宋体"/>
          <w:color w:val="auto"/>
          <w:sz w:val="22"/>
          <w:highlight w:val="none"/>
        </w:rPr>
        <w:t>号）</w:t>
      </w:r>
    </w:p>
    <w:p w14:paraId="57FFDCE6">
      <w:pPr>
        <w:tabs>
          <w:tab w:val="left" w:pos="1069"/>
          <w:tab w:val="left" w:pos="2352"/>
        </w:tabs>
        <w:spacing w:line="440" w:lineRule="atLeast"/>
        <w:jc w:val="left"/>
        <w:rPr>
          <w:rFonts w:hAnsi="宋体"/>
          <w:color w:val="auto"/>
          <w:sz w:val="22"/>
          <w:highlight w:val="none"/>
        </w:rPr>
      </w:pPr>
      <w:r>
        <w:rPr>
          <w:rFonts w:hint="eastAsia" w:ascii="宋体"/>
          <w:color w:val="auto"/>
          <w:sz w:val="22"/>
          <w:highlight w:val="none"/>
        </w:rPr>
        <w:t>（6）</w:t>
      </w:r>
      <w:r>
        <w:rPr>
          <w:rFonts w:hint="eastAsia" w:hAnsi="宋体"/>
          <w:color w:val="auto"/>
          <w:sz w:val="22"/>
          <w:highlight w:val="none"/>
        </w:rPr>
        <w:t>《关于进一步加大政府采购支持中小企业力度的通知》（财库〔2022〕19号）；</w:t>
      </w:r>
    </w:p>
    <w:p w14:paraId="40B4717A">
      <w:pPr>
        <w:tabs>
          <w:tab w:val="left" w:pos="1069"/>
          <w:tab w:val="left" w:pos="2352"/>
        </w:tabs>
        <w:spacing w:line="440" w:lineRule="atLeast"/>
        <w:jc w:val="left"/>
        <w:rPr>
          <w:rFonts w:hAnsi="宋体"/>
          <w:color w:val="auto"/>
          <w:sz w:val="22"/>
          <w:highlight w:val="none"/>
        </w:rPr>
      </w:pPr>
      <w:r>
        <w:rPr>
          <w:rFonts w:hint="eastAsia" w:hAnsi="宋体" w:cs="宋体"/>
          <w:color w:val="auto"/>
          <w:sz w:val="22"/>
          <w:highlight w:val="none"/>
        </w:rPr>
        <w:t>（7）《浙江省财政厅关于进一步发挥政府采购政策 功能全力推动经济稳进提质的通知》（浙财采监〔2022〕3号）</w:t>
      </w:r>
      <w:r>
        <w:rPr>
          <w:rFonts w:hint="eastAsia" w:hAnsi="宋体"/>
          <w:color w:val="auto"/>
          <w:sz w:val="22"/>
          <w:highlight w:val="none"/>
        </w:rPr>
        <w:t>；</w:t>
      </w:r>
    </w:p>
    <w:p w14:paraId="07598E74">
      <w:pPr>
        <w:tabs>
          <w:tab w:val="left" w:pos="1069"/>
          <w:tab w:val="left" w:pos="2352"/>
        </w:tabs>
        <w:spacing w:line="440" w:lineRule="atLeast"/>
        <w:jc w:val="left"/>
        <w:rPr>
          <w:color w:val="auto"/>
          <w:highlight w:val="none"/>
        </w:rPr>
      </w:pPr>
      <w:r>
        <w:rPr>
          <w:rFonts w:hint="eastAsia" w:hAnsi="宋体" w:cs="宋体"/>
          <w:color w:val="auto"/>
          <w:sz w:val="22"/>
          <w:highlight w:val="none"/>
        </w:rPr>
        <w:t>（8）《关于进一步加大政府采购 支持中小企业力度 助力扎实稳住经济 的通知》（浙财采监〔2022〕8号）</w:t>
      </w:r>
    </w:p>
    <w:p w14:paraId="0BC18DF5">
      <w:pPr>
        <w:tabs>
          <w:tab w:val="left" w:pos="1069"/>
          <w:tab w:val="left" w:pos="2352"/>
        </w:tabs>
        <w:spacing w:line="440" w:lineRule="atLeast"/>
        <w:jc w:val="left"/>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b/>
          <w:bCs/>
          <w:color w:val="auto"/>
          <w:sz w:val="22"/>
          <w:highlight w:val="none"/>
          <w:u w:val="single"/>
        </w:rPr>
        <w:t>符合要求提供以下证明材料（附在《商务技术文件》中）</w:t>
      </w:r>
      <w:r>
        <w:rPr>
          <w:rFonts w:hint="eastAsia" w:ascii="宋体" w:hAnsi="宋体" w:cs="宋体"/>
          <w:color w:val="auto"/>
          <w:sz w:val="22"/>
          <w:highlight w:val="none"/>
        </w:rPr>
        <w:t>：</w:t>
      </w:r>
    </w:p>
    <w:p w14:paraId="54770B3E">
      <w:pPr>
        <w:tabs>
          <w:tab w:val="left" w:pos="2352"/>
        </w:tabs>
        <w:spacing w:line="440" w:lineRule="atLeast"/>
        <w:jc w:val="left"/>
        <w:rPr>
          <w:rFonts w:ascii="宋体"/>
          <w:color w:val="auto"/>
          <w:sz w:val="22"/>
          <w:highlight w:val="none"/>
        </w:rPr>
      </w:pPr>
      <w:r>
        <w:rPr>
          <w:rFonts w:hint="eastAsia" w:ascii="宋体"/>
          <w:color w:val="auto"/>
          <w:sz w:val="22"/>
          <w:highlight w:val="none"/>
        </w:rPr>
        <w:t>（1）中小企业：中小企业声明函（原件，加盖供应商公章，格式见附件1）</w:t>
      </w:r>
    </w:p>
    <w:p w14:paraId="5EBFD230">
      <w:pPr>
        <w:tabs>
          <w:tab w:val="left" w:pos="2352"/>
        </w:tabs>
        <w:spacing w:line="440" w:lineRule="atLeast"/>
        <w:jc w:val="left"/>
        <w:rPr>
          <w:rFonts w:ascii="宋体"/>
          <w:color w:val="auto"/>
          <w:sz w:val="22"/>
          <w:highlight w:val="none"/>
        </w:rPr>
      </w:pPr>
      <w:r>
        <w:rPr>
          <w:rFonts w:hint="eastAsia" w:ascii="宋体"/>
          <w:color w:val="auto"/>
          <w:sz w:val="22"/>
          <w:highlight w:val="none"/>
        </w:rPr>
        <w:t>（2）残疾人福利性单位：残疾人福利性单位声明函（原件，加盖供应商公章，格式见附件1）</w:t>
      </w:r>
    </w:p>
    <w:p w14:paraId="3D49D2A2">
      <w:pPr>
        <w:tabs>
          <w:tab w:val="left" w:pos="2352"/>
        </w:tabs>
        <w:spacing w:line="440" w:lineRule="atLeast"/>
        <w:jc w:val="left"/>
        <w:rPr>
          <w:rFonts w:ascii="宋体"/>
          <w:color w:val="auto"/>
          <w:sz w:val="22"/>
          <w:highlight w:val="none"/>
        </w:rPr>
      </w:pPr>
      <w:r>
        <w:rPr>
          <w:rFonts w:hint="eastAsia" w:ascii="宋体"/>
          <w:color w:val="auto"/>
          <w:sz w:val="22"/>
          <w:highlight w:val="none"/>
        </w:rPr>
        <w:t>（3）监狱企业：提供由省级以上监狱管理局、戒毒管理局（含新疆生产建设兵团）出具的属于监狱企业的证明文件（原件）</w:t>
      </w:r>
    </w:p>
    <w:p w14:paraId="172A5FEE">
      <w:pPr>
        <w:tabs>
          <w:tab w:val="left" w:pos="2352"/>
        </w:tabs>
        <w:spacing w:line="440" w:lineRule="atLeast"/>
        <w:jc w:val="left"/>
        <w:rPr>
          <w:rFonts w:ascii="宋体"/>
          <w:color w:val="auto"/>
          <w:sz w:val="22"/>
          <w:highlight w:val="none"/>
        </w:rPr>
      </w:pPr>
      <w:r>
        <w:rPr>
          <w:rFonts w:hint="eastAsia" w:ascii="宋体"/>
          <w:color w:val="auto"/>
          <w:sz w:val="22"/>
          <w:highlight w:val="none"/>
        </w:rPr>
        <w:t>3、扶持政策说明：</w:t>
      </w:r>
    </w:p>
    <w:p w14:paraId="5BF0D080">
      <w:pPr>
        <w:tabs>
          <w:tab w:val="left" w:pos="2352"/>
        </w:tabs>
        <w:spacing w:line="440" w:lineRule="atLeast"/>
        <w:jc w:val="left"/>
        <w:rPr>
          <w:rFonts w:ascii="宋体"/>
          <w:color w:val="auto"/>
          <w:sz w:val="22"/>
          <w:highlight w:val="none"/>
        </w:rPr>
      </w:pPr>
      <w:r>
        <w:rPr>
          <w:rFonts w:hint="eastAsia" w:ascii="宋体"/>
          <w:color w:val="auto"/>
          <w:sz w:val="22"/>
          <w:highlight w:val="none"/>
        </w:rPr>
        <w:t>残疾人福利性单位、监狱企业参加投标视同小微企业。</w:t>
      </w:r>
    </w:p>
    <w:p w14:paraId="1FA21131">
      <w:pPr>
        <w:tabs>
          <w:tab w:val="left" w:pos="2352"/>
        </w:tabs>
        <w:spacing w:line="440" w:lineRule="atLeast"/>
        <w:jc w:val="left"/>
        <w:rPr>
          <w:rFonts w:ascii="宋体"/>
          <w:color w:val="auto"/>
          <w:sz w:val="22"/>
          <w:highlight w:val="none"/>
        </w:rPr>
      </w:pPr>
      <w:r>
        <w:rPr>
          <w:rFonts w:hint="eastAsia" w:ascii="宋体"/>
          <w:color w:val="auto"/>
          <w:sz w:val="22"/>
          <w:highlight w:val="none"/>
        </w:rPr>
        <w:t>4、根据《浙江省财政厅关于进一步加大政府采购 支持中小企业力度 助力扎实稳住经济 的通知》（浙采监【2022]8号）文件规定“优先推荐专精特新中小企业、创新产品参加政府采购活动。对省级以上主管部门认定的首台套产品，自纳入《省推广应用指导目录》起三年内参加政府采购活动，视同已具备相应销售业绩，业绩分为满分。”</w:t>
      </w:r>
    </w:p>
    <w:p w14:paraId="3D2E034B">
      <w:pPr>
        <w:tabs>
          <w:tab w:val="left" w:pos="2352"/>
        </w:tabs>
        <w:spacing w:line="440" w:lineRule="atLeast"/>
        <w:jc w:val="left"/>
        <w:rPr>
          <w:rFonts w:ascii="宋体"/>
          <w:color w:val="auto"/>
          <w:sz w:val="22"/>
          <w:highlight w:val="none"/>
        </w:rPr>
      </w:pPr>
      <w:r>
        <w:rPr>
          <w:rFonts w:hint="eastAsia" w:ascii="宋体"/>
          <w:color w:val="auto"/>
          <w:sz w:val="22"/>
          <w:highlight w:val="none"/>
        </w:rPr>
        <w:t>5、</w:t>
      </w:r>
      <w:r>
        <w:rPr>
          <w:rFonts w:hint="eastAsia" w:ascii="宋体"/>
          <w:b/>
          <w:bCs/>
          <w:color w:val="auto"/>
          <w:sz w:val="22"/>
          <w:highlight w:val="none"/>
        </w:rPr>
        <w:t xml:space="preserve">本项目采购标的所属行业为  </w:t>
      </w:r>
      <w:r>
        <w:rPr>
          <w:rFonts w:hint="eastAsia" w:ascii="宋体"/>
          <w:b/>
          <w:bCs/>
          <w:color w:val="auto"/>
          <w:sz w:val="22"/>
          <w:highlight w:val="none"/>
          <w:u w:val="single"/>
        </w:rPr>
        <w:t>其他未列明行业</w:t>
      </w:r>
      <w:r>
        <w:rPr>
          <w:rFonts w:hint="eastAsia" w:ascii="宋体" w:hAnsi="宋体" w:cs="宋体"/>
          <w:b/>
          <w:bCs/>
          <w:color w:val="auto"/>
          <w:sz w:val="22"/>
          <w:highlight w:val="none"/>
          <w:u w:val="single"/>
        </w:rPr>
        <w:t>。</w:t>
      </w:r>
    </w:p>
    <w:p w14:paraId="0D182186">
      <w:pPr>
        <w:tabs>
          <w:tab w:val="left" w:pos="2352"/>
        </w:tabs>
        <w:snapToGrid w:val="0"/>
        <w:spacing w:line="360" w:lineRule="auto"/>
        <w:jc w:val="left"/>
        <w:rPr>
          <w:b/>
          <w:color w:val="auto"/>
          <w:sz w:val="28"/>
          <w:szCs w:val="28"/>
          <w:highlight w:val="none"/>
        </w:rPr>
      </w:pPr>
      <w:r>
        <w:rPr>
          <w:rFonts w:hint="eastAsia"/>
          <w:b/>
          <w:color w:val="auto"/>
          <w:sz w:val="28"/>
          <w:szCs w:val="28"/>
          <w:highlight w:val="none"/>
        </w:rPr>
        <w:t>6、</w:t>
      </w:r>
      <w:r>
        <w:rPr>
          <w:rFonts w:hint="eastAsia" w:ascii="宋体" w:hAnsi="宋体" w:cs="宋体"/>
          <w:b/>
          <w:bCs/>
          <w:color w:val="auto"/>
          <w:sz w:val="22"/>
          <w:highlight w:val="none"/>
          <w:u w:val="single"/>
        </w:rPr>
        <w:t>本项目对小型和微型企业产品的价格给予扣除10%，按扣除后的价格参与评审。</w:t>
      </w:r>
    </w:p>
    <w:p w14:paraId="5FA51A51">
      <w:pPr>
        <w:tabs>
          <w:tab w:val="left" w:pos="2352"/>
        </w:tabs>
        <w:snapToGrid w:val="0"/>
        <w:spacing w:line="360" w:lineRule="auto"/>
        <w:jc w:val="left"/>
        <w:rPr>
          <w:b/>
          <w:color w:val="auto"/>
          <w:sz w:val="28"/>
          <w:szCs w:val="28"/>
          <w:highlight w:val="none"/>
        </w:rPr>
      </w:pPr>
      <w:r>
        <w:rPr>
          <w:rFonts w:hint="eastAsia"/>
          <w:b/>
          <w:color w:val="auto"/>
          <w:sz w:val="28"/>
          <w:szCs w:val="28"/>
          <w:highlight w:val="none"/>
        </w:rPr>
        <w:t>附件1</w:t>
      </w:r>
    </w:p>
    <w:p w14:paraId="3AF9745F">
      <w:pPr>
        <w:tabs>
          <w:tab w:val="left" w:pos="2352"/>
        </w:tabs>
        <w:snapToGrid w:val="0"/>
        <w:spacing w:line="360" w:lineRule="auto"/>
        <w:jc w:val="center"/>
        <w:rPr>
          <w:b/>
          <w:color w:val="auto"/>
          <w:sz w:val="28"/>
          <w:szCs w:val="28"/>
          <w:highlight w:val="none"/>
        </w:rPr>
      </w:pPr>
      <w:r>
        <w:rPr>
          <w:rFonts w:hint="eastAsia"/>
          <w:b/>
          <w:color w:val="auto"/>
          <w:sz w:val="28"/>
          <w:szCs w:val="28"/>
          <w:highlight w:val="none"/>
        </w:rPr>
        <w:t>中小企业声明函（服务）</w:t>
      </w:r>
    </w:p>
    <w:p w14:paraId="1FEE0A5B">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本公司（联合体）郑重声明，根据《政府采购促进中小企业发展管理办法》（财库﹝2020﹞46 号）的规定，本公司 （联合体）参加</w:t>
      </w:r>
      <w:r>
        <w:rPr>
          <w:rFonts w:ascii="宋体" w:hAnsi="宋体" w:cs="宋体"/>
          <w:color w:val="auto"/>
          <w:sz w:val="22"/>
          <w:highlight w:val="none"/>
          <w:u w:val="single"/>
        </w:rPr>
        <w:t>（</w:t>
      </w:r>
      <w:r>
        <w:rPr>
          <w:rFonts w:hint="eastAsia" w:ascii="宋体" w:hAnsi="宋体" w:cs="宋体"/>
          <w:color w:val="auto"/>
          <w:sz w:val="22"/>
          <w:highlight w:val="none"/>
          <w:u w:val="single"/>
          <w:lang w:eastAsia="zh-CN"/>
        </w:rPr>
        <w:t>泰顺县彭溪镇人民政府</w:t>
      </w:r>
      <w:r>
        <w:rPr>
          <w:rFonts w:ascii="宋体" w:hAnsi="宋体" w:cs="宋体"/>
          <w:color w:val="auto"/>
          <w:sz w:val="22"/>
          <w:highlight w:val="none"/>
          <w:u w:val="single"/>
        </w:rPr>
        <w:t>）</w:t>
      </w:r>
      <w:r>
        <w:rPr>
          <w:rFonts w:ascii="宋体" w:hAnsi="宋体" w:cs="宋体"/>
          <w:color w:val="auto"/>
          <w:sz w:val="22"/>
          <w:highlight w:val="none"/>
        </w:rPr>
        <w:t>的</w:t>
      </w:r>
      <w:r>
        <w:rPr>
          <w:rFonts w:ascii="宋体" w:hAnsi="宋体" w:cs="宋体"/>
          <w:color w:val="auto"/>
          <w:sz w:val="22"/>
          <w:highlight w:val="none"/>
          <w:u w:val="single"/>
        </w:rPr>
        <w:t>（</w:t>
      </w:r>
      <w:r>
        <w:rPr>
          <w:rFonts w:hint="eastAsia" w:ascii="宋体" w:hAnsi="宋体" w:cs="宋体"/>
          <w:color w:val="auto"/>
          <w:sz w:val="22"/>
          <w:highlight w:val="none"/>
          <w:u w:val="single"/>
          <w:lang w:eastAsia="zh-CN"/>
        </w:rPr>
        <w:t>2024年泰顺县彭溪镇峰文村牛塘垵简洋农田宜机化改造项目</w:t>
      </w:r>
      <w:r>
        <w:rPr>
          <w:rFonts w:ascii="宋体" w:hAnsi="宋体" w:cs="宋体"/>
          <w:color w:val="auto"/>
          <w:sz w:val="22"/>
          <w:highlight w:val="none"/>
          <w:u w:val="single"/>
        </w:rPr>
        <w:t>）</w:t>
      </w:r>
      <w:r>
        <w:rPr>
          <w:rFonts w:ascii="宋体" w:hAnsi="宋体" w:cs="宋体"/>
          <w:color w:val="auto"/>
          <w:sz w:val="22"/>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461B5CC2">
      <w:pPr>
        <w:numPr>
          <w:ilvl w:val="0"/>
          <w:numId w:val="6"/>
        </w:numPr>
        <w:tabs>
          <w:tab w:val="left" w:pos="1069"/>
          <w:tab w:val="left" w:pos="2352"/>
        </w:tabs>
        <w:spacing w:line="400" w:lineRule="exact"/>
        <w:ind w:firstLine="442" w:firstLineChars="200"/>
        <w:rPr>
          <w:rFonts w:ascii="宋体" w:hAnsi="宋体" w:cs="宋体"/>
          <w:color w:val="auto"/>
          <w:sz w:val="22"/>
          <w:highlight w:val="none"/>
        </w:rPr>
      </w:pPr>
      <w:r>
        <w:rPr>
          <w:rFonts w:ascii="宋体" w:hAnsi="宋体" w:cs="宋体"/>
          <w:b/>
          <w:bCs/>
          <w:color w:val="auto"/>
          <w:sz w:val="22"/>
          <w:highlight w:val="none"/>
          <w:u w:val="single"/>
        </w:rPr>
        <w:t>（</w:t>
      </w:r>
      <w:r>
        <w:rPr>
          <w:rFonts w:hint="eastAsia" w:ascii="宋体" w:hAnsi="宋体" w:cs="宋体"/>
          <w:b/>
          <w:bCs/>
          <w:color w:val="auto"/>
          <w:sz w:val="22"/>
          <w:highlight w:val="none"/>
          <w:u w:val="single"/>
        </w:rPr>
        <w:t>标的名称</w:t>
      </w:r>
      <w:r>
        <w:rPr>
          <w:rFonts w:ascii="宋体" w:hAnsi="宋体" w:cs="宋体"/>
          <w:b/>
          <w:bCs/>
          <w:color w:val="auto"/>
          <w:sz w:val="22"/>
          <w:highlight w:val="none"/>
          <w:u w:val="single"/>
        </w:rPr>
        <w:t>）</w:t>
      </w:r>
      <w:r>
        <w:rPr>
          <w:rFonts w:ascii="宋体" w:hAnsi="宋体" w:cs="宋体"/>
          <w:b/>
          <w:bCs/>
          <w:color w:val="auto"/>
          <w:sz w:val="22"/>
          <w:highlight w:val="none"/>
        </w:rPr>
        <w:t xml:space="preserve"> </w:t>
      </w:r>
      <w:r>
        <w:rPr>
          <w:rFonts w:ascii="宋体" w:hAnsi="宋体" w:cs="宋体"/>
          <w:color w:val="auto"/>
          <w:sz w:val="22"/>
          <w:highlight w:val="none"/>
        </w:rPr>
        <w:t>，属于</w:t>
      </w:r>
      <w:r>
        <w:rPr>
          <w:rFonts w:hint="eastAsia" w:ascii="宋体" w:hAnsi="宋体" w:cs="宋体"/>
          <w:b/>
          <w:bCs/>
          <w:color w:val="auto"/>
          <w:sz w:val="22"/>
          <w:highlight w:val="none"/>
          <w:u w:val="single"/>
        </w:rPr>
        <w:t>（</w:t>
      </w:r>
      <w:r>
        <w:rPr>
          <w:rFonts w:ascii="宋体" w:hAnsi="宋体" w:cs="宋体"/>
          <w:b/>
          <w:bCs/>
          <w:color w:val="auto"/>
          <w:sz w:val="22"/>
          <w:highlight w:val="none"/>
          <w:u w:val="single"/>
        </w:rPr>
        <w:t>采购文件中明确的所属行业</w:t>
      </w:r>
      <w:r>
        <w:rPr>
          <w:rFonts w:hint="eastAsia" w:ascii="宋体" w:hAnsi="宋体" w:cs="宋体"/>
          <w:b/>
          <w:bCs/>
          <w:color w:val="auto"/>
          <w:sz w:val="22"/>
          <w:highlight w:val="none"/>
          <w:u w:val="single"/>
        </w:rPr>
        <w:t>）</w:t>
      </w:r>
      <w:r>
        <w:rPr>
          <w:rFonts w:ascii="宋体" w:hAnsi="宋体" w:cs="宋体"/>
          <w:b/>
          <w:bCs/>
          <w:color w:val="auto"/>
          <w:sz w:val="22"/>
          <w:highlight w:val="none"/>
        </w:rPr>
        <w:t>；</w:t>
      </w:r>
      <w:r>
        <w:rPr>
          <w:rFonts w:ascii="宋体" w:hAnsi="宋体" w:cs="宋体"/>
          <w:color w:val="auto"/>
          <w:sz w:val="22"/>
          <w:highlight w:val="none"/>
        </w:rPr>
        <w:t xml:space="preserve"> 承建（承接）企业为</w:t>
      </w:r>
      <w:r>
        <w:rPr>
          <w:rFonts w:ascii="宋体" w:hAnsi="宋体" w:cs="宋体"/>
          <w:color w:val="auto"/>
          <w:sz w:val="22"/>
          <w:highlight w:val="none"/>
          <w:u w:val="single"/>
        </w:rPr>
        <w:t>（企业名称）</w:t>
      </w:r>
      <w:r>
        <w:rPr>
          <w:rFonts w:ascii="宋体" w:hAnsi="宋体" w:cs="宋体"/>
          <w:color w:val="auto"/>
          <w:sz w:val="22"/>
          <w:highlight w:val="none"/>
        </w:rPr>
        <w:t>，从业人员</w:t>
      </w:r>
      <w:r>
        <w:rPr>
          <w:rFonts w:hint="eastAsia" w:ascii="宋体" w:hAnsi="宋体" w:cs="宋体"/>
          <w:color w:val="auto"/>
          <w:sz w:val="22"/>
          <w:highlight w:val="none"/>
          <w:u w:val="single"/>
        </w:rPr>
        <w:t xml:space="preserve">   </w:t>
      </w:r>
      <w:r>
        <w:rPr>
          <w:rFonts w:ascii="宋体" w:hAnsi="宋体" w:cs="宋体"/>
          <w:color w:val="auto"/>
          <w:sz w:val="22"/>
          <w:highlight w:val="none"/>
        </w:rPr>
        <w:t>人，营业收入为</w:t>
      </w:r>
      <w:r>
        <w:rPr>
          <w:rFonts w:hint="eastAsia" w:ascii="宋体" w:hAnsi="宋体" w:cs="宋体"/>
          <w:color w:val="auto"/>
          <w:sz w:val="22"/>
          <w:highlight w:val="none"/>
          <w:u w:val="single"/>
        </w:rPr>
        <w:t xml:space="preserve">   </w:t>
      </w:r>
      <w:r>
        <w:rPr>
          <w:rFonts w:ascii="宋体" w:hAnsi="宋体" w:cs="宋体"/>
          <w:color w:val="auto"/>
          <w:sz w:val="22"/>
          <w:highlight w:val="none"/>
        </w:rPr>
        <w:t>万元，资产总额为</w:t>
      </w:r>
      <w:r>
        <w:rPr>
          <w:rFonts w:hint="eastAsia" w:ascii="宋体" w:hAnsi="宋体" w:cs="宋体"/>
          <w:color w:val="auto"/>
          <w:sz w:val="22"/>
          <w:highlight w:val="none"/>
          <w:u w:val="single"/>
        </w:rPr>
        <w:t xml:space="preserve">   </w:t>
      </w:r>
      <w:r>
        <w:rPr>
          <w:rFonts w:ascii="宋体" w:hAnsi="宋体" w:cs="宋体"/>
          <w:color w:val="auto"/>
          <w:sz w:val="22"/>
          <w:highlight w:val="none"/>
        </w:rPr>
        <w:t>万元 ，属于</w:t>
      </w:r>
      <w:r>
        <w:rPr>
          <w:rFonts w:ascii="宋体" w:hAnsi="宋体" w:cs="宋体"/>
          <w:color w:val="auto"/>
          <w:sz w:val="22"/>
          <w:highlight w:val="none"/>
          <w:u w:val="single"/>
        </w:rPr>
        <w:t>（中型企业、 小型企业、微型企业）</w:t>
      </w:r>
      <w:r>
        <w:rPr>
          <w:rFonts w:ascii="宋体" w:hAnsi="宋体" w:cs="宋体"/>
          <w:color w:val="auto"/>
          <w:sz w:val="22"/>
          <w:highlight w:val="none"/>
        </w:rPr>
        <w:t xml:space="preserve">； </w:t>
      </w:r>
    </w:p>
    <w:p w14:paraId="1C4E7C47">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2.</w:t>
      </w:r>
      <w:r>
        <w:rPr>
          <w:rFonts w:ascii="宋体" w:hAnsi="宋体" w:cs="宋体"/>
          <w:color w:val="auto"/>
          <w:sz w:val="22"/>
          <w:highlight w:val="none"/>
          <w:u w:val="single"/>
        </w:rPr>
        <w:t xml:space="preserve"> （标的名称）</w:t>
      </w:r>
      <w:r>
        <w:rPr>
          <w:rFonts w:hint="eastAsia" w:ascii="宋体" w:hAnsi="宋体" w:cs="宋体"/>
          <w:color w:val="auto"/>
          <w:sz w:val="22"/>
          <w:highlight w:val="none"/>
          <w:u w:val="single"/>
        </w:rPr>
        <w:t xml:space="preserve">  </w:t>
      </w:r>
      <w:r>
        <w:rPr>
          <w:rFonts w:ascii="宋体" w:hAnsi="宋体" w:cs="宋体"/>
          <w:color w:val="auto"/>
          <w:sz w:val="22"/>
          <w:highlight w:val="none"/>
          <w:u w:val="single"/>
        </w:rPr>
        <w:t xml:space="preserve"> </w:t>
      </w:r>
      <w:r>
        <w:rPr>
          <w:rFonts w:ascii="宋体" w:hAnsi="宋体" w:cs="宋体"/>
          <w:color w:val="auto"/>
          <w:sz w:val="22"/>
          <w:highlight w:val="none"/>
        </w:rPr>
        <w:t>，属于</w:t>
      </w:r>
      <w:r>
        <w:rPr>
          <w:rFonts w:ascii="宋体" w:hAnsi="宋体" w:cs="宋体"/>
          <w:color w:val="auto"/>
          <w:sz w:val="22"/>
          <w:highlight w:val="none"/>
          <w:u w:val="single"/>
        </w:rPr>
        <w:t>（采购文件中明确的所属行业）</w:t>
      </w:r>
      <w:r>
        <w:rPr>
          <w:rFonts w:ascii="宋体" w:hAnsi="宋体" w:cs="宋体"/>
          <w:color w:val="auto"/>
          <w:sz w:val="22"/>
          <w:highlight w:val="none"/>
        </w:rPr>
        <w:t>； 承建（承接）企业为</w:t>
      </w:r>
      <w:r>
        <w:rPr>
          <w:rFonts w:ascii="宋体" w:hAnsi="宋体" w:cs="宋体"/>
          <w:color w:val="auto"/>
          <w:sz w:val="22"/>
          <w:highlight w:val="none"/>
          <w:u w:val="single"/>
        </w:rPr>
        <w:t>（企业名称）</w:t>
      </w:r>
      <w:r>
        <w:rPr>
          <w:rFonts w:ascii="宋体" w:hAnsi="宋体" w:cs="宋体"/>
          <w:color w:val="auto"/>
          <w:sz w:val="22"/>
          <w:highlight w:val="none"/>
        </w:rPr>
        <w:t>，从业人员</w:t>
      </w:r>
      <w:r>
        <w:rPr>
          <w:rFonts w:hint="eastAsia" w:ascii="宋体" w:hAnsi="宋体" w:cs="宋体"/>
          <w:color w:val="auto"/>
          <w:sz w:val="22"/>
          <w:highlight w:val="none"/>
          <w:u w:val="single"/>
        </w:rPr>
        <w:t xml:space="preserve">   </w:t>
      </w:r>
      <w:r>
        <w:rPr>
          <w:rFonts w:ascii="宋体" w:hAnsi="宋体" w:cs="宋体"/>
          <w:color w:val="auto"/>
          <w:sz w:val="22"/>
          <w:highlight w:val="none"/>
        </w:rPr>
        <w:t xml:space="preserve">人，营业收入为 </w:t>
      </w:r>
      <w:r>
        <w:rPr>
          <w:rFonts w:hint="eastAsia" w:ascii="宋体" w:hAnsi="宋体" w:cs="宋体"/>
          <w:color w:val="auto"/>
          <w:sz w:val="22"/>
          <w:highlight w:val="none"/>
          <w:u w:val="single"/>
        </w:rPr>
        <w:t xml:space="preserve">   </w:t>
      </w:r>
      <w:r>
        <w:rPr>
          <w:rFonts w:ascii="宋体" w:hAnsi="宋体" w:cs="宋体"/>
          <w:color w:val="auto"/>
          <w:sz w:val="22"/>
          <w:highlight w:val="none"/>
        </w:rPr>
        <w:t>万元，资产总额为</w:t>
      </w:r>
      <w:r>
        <w:rPr>
          <w:rFonts w:hint="eastAsia" w:ascii="宋体" w:hAnsi="宋体" w:cs="宋体"/>
          <w:color w:val="auto"/>
          <w:sz w:val="22"/>
          <w:highlight w:val="none"/>
          <w:u w:val="single"/>
        </w:rPr>
        <w:t xml:space="preserve">   </w:t>
      </w:r>
      <w:r>
        <w:rPr>
          <w:rFonts w:ascii="宋体" w:hAnsi="宋体" w:cs="宋体"/>
          <w:color w:val="auto"/>
          <w:sz w:val="22"/>
          <w:highlight w:val="none"/>
        </w:rPr>
        <w:t>万元，属于</w:t>
      </w:r>
      <w:r>
        <w:rPr>
          <w:rFonts w:ascii="宋体" w:hAnsi="宋体" w:cs="宋体"/>
          <w:color w:val="auto"/>
          <w:sz w:val="22"/>
          <w:highlight w:val="none"/>
          <w:u w:val="single"/>
        </w:rPr>
        <w:t>（中型企业、 小型企业、微型企业）</w:t>
      </w:r>
      <w:r>
        <w:rPr>
          <w:rFonts w:ascii="宋体" w:hAnsi="宋体" w:cs="宋体"/>
          <w:color w:val="auto"/>
          <w:sz w:val="22"/>
          <w:highlight w:val="none"/>
        </w:rPr>
        <w:t xml:space="preserve">； </w:t>
      </w:r>
    </w:p>
    <w:p w14:paraId="299AAC42">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 xml:space="preserve">…… 以上企业，不属于大企业的分支机构，不存在控股股东 为大企业的情形，也不存在与大企业的负责人为同一人的情形。 本企业对上述声明内容的真实性负责。如有虚假，将依法承担相应责任。 </w:t>
      </w:r>
    </w:p>
    <w:p w14:paraId="61983FD4">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 xml:space="preserve">企业名称（盖章）： </w:t>
      </w:r>
    </w:p>
    <w:p w14:paraId="13FD52D1">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日 期：</w:t>
      </w:r>
    </w:p>
    <w:p w14:paraId="4B352123">
      <w:pPr>
        <w:tabs>
          <w:tab w:val="left" w:pos="1069"/>
          <w:tab w:val="left" w:pos="2352"/>
        </w:tabs>
        <w:spacing w:line="40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注：</w:t>
      </w:r>
      <w:r>
        <w:rPr>
          <w:rFonts w:ascii="宋体" w:hAnsi="宋体" w:cs="宋体"/>
          <w:color w:val="auto"/>
          <w:sz w:val="22"/>
          <w:highlight w:val="none"/>
        </w:rPr>
        <w:t xml:space="preserve"> 从业人员、营业收入、资产总额填报上一年度数据，无上一年度数据的新成立企业可不填报。</w:t>
      </w:r>
    </w:p>
    <w:p w14:paraId="56BBB806">
      <w:pPr>
        <w:pStyle w:val="10"/>
        <w:tabs>
          <w:tab w:val="left" w:pos="2352"/>
        </w:tabs>
        <w:rPr>
          <w:color w:val="auto"/>
          <w:highlight w:val="none"/>
        </w:rPr>
      </w:pPr>
    </w:p>
    <w:p w14:paraId="7F609FC0">
      <w:pPr>
        <w:tabs>
          <w:tab w:val="left" w:pos="2352"/>
        </w:tabs>
        <w:snapToGrid w:val="0"/>
        <w:spacing w:line="360" w:lineRule="auto"/>
        <w:jc w:val="left"/>
        <w:rPr>
          <w:b/>
          <w:color w:val="auto"/>
          <w:sz w:val="28"/>
          <w:szCs w:val="28"/>
          <w:highlight w:val="none"/>
        </w:rPr>
      </w:pPr>
    </w:p>
    <w:p w14:paraId="27C755C5">
      <w:pPr>
        <w:tabs>
          <w:tab w:val="left" w:pos="2352"/>
        </w:tabs>
        <w:snapToGrid w:val="0"/>
        <w:spacing w:line="360" w:lineRule="auto"/>
        <w:jc w:val="left"/>
        <w:rPr>
          <w:b/>
          <w:color w:val="auto"/>
          <w:sz w:val="28"/>
          <w:szCs w:val="28"/>
          <w:highlight w:val="none"/>
        </w:rPr>
      </w:pPr>
      <w:r>
        <w:rPr>
          <w:rFonts w:hint="eastAsia"/>
          <w:b/>
          <w:color w:val="auto"/>
          <w:sz w:val="28"/>
          <w:szCs w:val="28"/>
          <w:highlight w:val="none"/>
        </w:rPr>
        <w:t>附件2</w:t>
      </w:r>
    </w:p>
    <w:p w14:paraId="226F783F">
      <w:pPr>
        <w:tabs>
          <w:tab w:val="left" w:pos="2352"/>
        </w:tabs>
        <w:snapToGrid w:val="0"/>
        <w:spacing w:line="360" w:lineRule="auto"/>
        <w:jc w:val="center"/>
        <w:rPr>
          <w:b/>
          <w:color w:val="auto"/>
          <w:sz w:val="28"/>
          <w:szCs w:val="28"/>
          <w:highlight w:val="none"/>
        </w:rPr>
      </w:pPr>
      <w:r>
        <w:rPr>
          <w:rFonts w:hint="eastAsia"/>
          <w:b/>
          <w:color w:val="auto"/>
          <w:sz w:val="28"/>
          <w:szCs w:val="28"/>
          <w:highlight w:val="none"/>
        </w:rPr>
        <w:t>残疾人福利性单位声明函</w:t>
      </w:r>
    </w:p>
    <w:p w14:paraId="087F7F6A">
      <w:pPr>
        <w:tabs>
          <w:tab w:val="left" w:pos="2352"/>
        </w:tabs>
        <w:snapToGrid w:val="0"/>
        <w:spacing w:line="360" w:lineRule="auto"/>
        <w:ind w:firstLine="440" w:firstLineChars="200"/>
        <w:rPr>
          <w:color w:val="auto"/>
          <w:sz w:val="22"/>
          <w:highlight w:val="none"/>
        </w:rPr>
      </w:pPr>
      <w:r>
        <w:rPr>
          <w:rFonts w:hint="eastAsia"/>
          <w:color w:val="auto"/>
          <w:sz w:val="22"/>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57664FA">
      <w:pPr>
        <w:tabs>
          <w:tab w:val="left" w:pos="2352"/>
        </w:tabs>
        <w:snapToGrid w:val="0"/>
        <w:spacing w:line="360" w:lineRule="auto"/>
        <w:ind w:firstLine="440" w:firstLineChars="200"/>
        <w:rPr>
          <w:color w:val="auto"/>
          <w:sz w:val="22"/>
          <w:highlight w:val="none"/>
        </w:rPr>
      </w:pPr>
      <w:r>
        <w:rPr>
          <w:rFonts w:hint="eastAsia"/>
          <w:color w:val="auto"/>
          <w:sz w:val="22"/>
          <w:highlight w:val="none"/>
        </w:rPr>
        <w:t>本单位对上述声明的真实性负责。如有虚假，将依法承担相应责任。</w:t>
      </w:r>
    </w:p>
    <w:p w14:paraId="21651210">
      <w:pPr>
        <w:tabs>
          <w:tab w:val="left" w:pos="2352"/>
        </w:tabs>
        <w:snapToGrid w:val="0"/>
        <w:spacing w:line="360" w:lineRule="auto"/>
        <w:ind w:firstLine="440" w:firstLineChars="200"/>
        <w:rPr>
          <w:color w:val="auto"/>
          <w:sz w:val="22"/>
          <w:highlight w:val="none"/>
        </w:rPr>
      </w:pPr>
    </w:p>
    <w:p w14:paraId="34D615D6">
      <w:pPr>
        <w:tabs>
          <w:tab w:val="left" w:pos="2352"/>
          <w:tab w:val="left" w:pos="4860"/>
        </w:tabs>
        <w:snapToGrid w:val="0"/>
        <w:spacing w:line="360" w:lineRule="auto"/>
        <w:ind w:right="1560" w:firstLine="440" w:firstLineChars="200"/>
        <w:rPr>
          <w:color w:val="auto"/>
          <w:sz w:val="22"/>
          <w:highlight w:val="none"/>
        </w:rPr>
      </w:pPr>
      <w:r>
        <w:rPr>
          <w:rFonts w:hint="eastAsia"/>
          <w:color w:val="auto"/>
          <w:sz w:val="22"/>
          <w:highlight w:val="none"/>
        </w:rPr>
        <w:t xml:space="preserve">       单位名称（盖章）：</w:t>
      </w:r>
    </w:p>
    <w:p w14:paraId="30448537">
      <w:pPr>
        <w:tabs>
          <w:tab w:val="left" w:pos="2352"/>
          <w:tab w:val="left" w:pos="4860"/>
        </w:tabs>
        <w:snapToGrid w:val="0"/>
        <w:spacing w:line="360" w:lineRule="auto"/>
        <w:ind w:right="1560" w:firstLine="440" w:firstLineChars="200"/>
        <w:rPr>
          <w:color w:val="auto"/>
          <w:sz w:val="22"/>
          <w:highlight w:val="none"/>
        </w:rPr>
      </w:pPr>
      <w:r>
        <w:rPr>
          <w:rFonts w:hint="eastAsia"/>
          <w:color w:val="auto"/>
          <w:sz w:val="22"/>
          <w:highlight w:val="none"/>
        </w:rPr>
        <w:t xml:space="preserve">       日  期：</w:t>
      </w:r>
    </w:p>
    <w:bookmarkEnd w:id="90"/>
    <w:p w14:paraId="577A4141">
      <w:pPr>
        <w:pStyle w:val="9"/>
        <w:tabs>
          <w:tab w:val="left" w:pos="1069"/>
          <w:tab w:val="left" w:pos="2352"/>
        </w:tabs>
        <w:spacing w:line="480" w:lineRule="exact"/>
        <w:rPr>
          <w:rFonts w:ascii="宋体" w:hAnsi="宋体" w:cs="宋体"/>
          <w:b/>
          <w:bCs/>
          <w:color w:val="auto"/>
          <w:sz w:val="26"/>
          <w:szCs w:val="26"/>
          <w:highlight w:val="none"/>
        </w:rPr>
      </w:pPr>
      <w:r>
        <w:rPr>
          <w:rFonts w:hint="eastAsia" w:ascii="宋体" w:hAnsi="宋体" w:cs="宋体"/>
          <w:b/>
          <w:bCs/>
          <w:color w:val="auto"/>
          <w:sz w:val="26"/>
          <w:szCs w:val="26"/>
          <w:highlight w:val="none"/>
        </w:rPr>
        <w:t>三、信贷政策</w:t>
      </w:r>
    </w:p>
    <w:p w14:paraId="7D44D101">
      <w:pPr>
        <w:tabs>
          <w:tab w:val="left" w:pos="1069"/>
          <w:tab w:val="left" w:pos="2352"/>
        </w:tabs>
        <w:snapToGrid w:val="0"/>
        <w:spacing w:line="460" w:lineRule="atLeast"/>
        <w:ind w:firstLine="440" w:firstLineChars="200"/>
        <w:jc w:val="left"/>
        <w:rPr>
          <w:rFonts w:ascii="宋体" w:hAnsi="宋体" w:cs="宋体"/>
          <w:color w:val="auto"/>
          <w:sz w:val="22"/>
          <w:highlight w:val="none"/>
        </w:rPr>
      </w:pPr>
      <w:r>
        <w:rPr>
          <w:rFonts w:hint="eastAsia" w:ascii="宋体" w:hAnsi="宋体" w:cs="宋体"/>
          <w:color w:val="auto"/>
          <w:sz w:val="22"/>
          <w:highlight w:val="none"/>
        </w:rPr>
        <w:t>1、温州市财政局关于温州市政府采购支持中小企业信用融资的通知（温财采〔2020〕3号）</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3"/>
        <w:gridCol w:w="4201"/>
        <w:gridCol w:w="1000"/>
        <w:gridCol w:w="1820"/>
      </w:tblGrid>
      <w:tr w14:paraId="65979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94" w:type="dxa"/>
            <w:gridSpan w:val="4"/>
          </w:tcPr>
          <w:p w14:paraId="73B21766">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温州市政府采购支持中小企业信用融资合作银行</w:t>
            </w:r>
          </w:p>
        </w:tc>
      </w:tr>
      <w:tr w14:paraId="55C98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2373" w:type="dxa"/>
          </w:tcPr>
          <w:p w14:paraId="4F6E7021">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银行名称</w:t>
            </w:r>
          </w:p>
        </w:tc>
        <w:tc>
          <w:tcPr>
            <w:tcW w:w="4201" w:type="dxa"/>
          </w:tcPr>
          <w:p w14:paraId="7AC749D5">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产品特点（不超过120字）</w:t>
            </w:r>
          </w:p>
        </w:tc>
        <w:tc>
          <w:tcPr>
            <w:tcW w:w="1000" w:type="dxa"/>
          </w:tcPr>
          <w:p w14:paraId="0090F553">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经办人</w:t>
            </w:r>
          </w:p>
        </w:tc>
        <w:tc>
          <w:tcPr>
            <w:tcW w:w="1820" w:type="dxa"/>
          </w:tcPr>
          <w:p w14:paraId="44579BAE">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联系方式</w:t>
            </w:r>
          </w:p>
        </w:tc>
      </w:tr>
      <w:tr w14:paraId="01438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44C3AD15">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中国工商银行股份有限公司温州分行</w:t>
            </w:r>
          </w:p>
        </w:tc>
        <w:tc>
          <w:tcPr>
            <w:tcW w:w="4201" w:type="dxa"/>
          </w:tcPr>
          <w:p w14:paraId="564F6C2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一、融资方式：采取简易方式,根据流水及纳税情况核定额度。信用方式。（融资200万以下）根据政府采购合同及供应商资金需求确定，以信用为主，追加采购合同项下的预期销货款为我行质押。（融资200万以上）二、融资利率：在我行一般中小企业信用贷款利率基础上下浮10%。</w:t>
            </w:r>
          </w:p>
        </w:tc>
        <w:tc>
          <w:tcPr>
            <w:tcW w:w="1000" w:type="dxa"/>
          </w:tcPr>
          <w:p w14:paraId="6D530CFC">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王经理</w:t>
            </w:r>
          </w:p>
        </w:tc>
        <w:tc>
          <w:tcPr>
            <w:tcW w:w="1820" w:type="dxa"/>
          </w:tcPr>
          <w:p w14:paraId="5BB2DEAB">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0577-88186626</w:t>
            </w:r>
          </w:p>
          <w:p w14:paraId="0413A0A1">
            <w:pPr>
              <w:tabs>
                <w:tab w:val="left" w:pos="1069"/>
                <w:tab w:val="left" w:pos="2352"/>
              </w:tabs>
              <w:jc w:val="left"/>
              <w:rPr>
                <w:rFonts w:ascii="宋体" w:hAnsi="宋体" w:cs="宋体"/>
                <w:color w:val="auto"/>
                <w:sz w:val="22"/>
                <w:highlight w:val="none"/>
              </w:rPr>
            </w:pPr>
          </w:p>
        </w:tc>
      </w:tr>
      <w:tr w14:paraId="3933E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2373" w:type="dxa"/>
          </w:tcPr>
          <w:p w14:paraId="20C0D2F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中国建设银行股份有限公司温州分行</w:t>
            </w:r>
          </w:p>
        </w:tc>
        <w:tc>
          <w:tcPr>
            <w:tcW w:w="4201" w:type="dxa"/>
          </w:tcPr>
          <w:p w14:paraId="195893C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申请手续简便：以政府采购合同为基础，无需额外抵押和担保；融资价格优惠：最低可享受4.15%的优惠利率，随LPR浮动调整；到账时间快速：最快可实现当日申请，当日放款；办理流程省心：线上操作流程，免去银行排队奔波。</w:t>
            </w:r>
          </w:p>
        </w:tc>
        <w:tc>
          <w:tcPr>
            <w:tcW w:w="1000" w:type="dxa"/>
          </w:tcPr>
          <w:p w14:paraId="01DD9A8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张经理</w:t>
            </w:r>
          </w:p>
        </w:tc>
        <w:tc>
          <w:tcPr>
            <w:tcW w:w="1820" w:type="dxa"/>
          </w:tcPr>
          <w:p w14:paraId="7E4FBF07">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0577-88093286</w:t>
            </w:r>
          </w:p>
        </w:tc>
      </w:tr>
      <w:tr w14:paraId="60DFB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6ABF276D">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中国邮政储蓄银行股份有限公司温州市分行</w:t>
            </w:r>
          </w:p>
        </w:tc>
        <w:tc>
          <w:tcPr>
            <w:tcW w:w="4201" w:type="dxa"/>
            <w:vAlign w:val="center"/>
          </w:tcPr>
          <w:p w14:paraId="0BEA9DB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政府采购贷”业务，是指我行为政府采购项目中标企业发放的，用于中标企业合法生产经营活动的短期人民币流动资金贷款。贷款免抵押、免担保，手续便捷、审批快速，单笔金额最高500万元，单笔期限最长18个月。</w:t>
            </w:r>
          </w:p>
        </w:tc>
        <w:tc>
          <w:tcPr>
            <w:tcW w:w="1000" w:type="dxa"/>
            <w:vAlign w:val="center"/>
          </w:tcPr>
          <w:p w14:paraId="65DFA3A8">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郑经理</w:t>
            </w:r>
          </w:p>
        </w:tc>
        <w:tc>
          <w:tcPr>
            <w:tcW w:w="1820" w:type="dxa"/>
            <w:vAlign w:val="center"/>
          </w:tcPr>
          <w:p w14:paraId="5176672C">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0577-88193910</w:t>
            </w:r>
          </w:p>
          <w:p w14:paraId="23ACE75C">
            <w:pPr>
              <w:tabs>
                <w:tab w:val="left" w:pos="1069"/>
                <w:tab w:val="left" w:pos="2352"/>
              </w:tabs>
              <w:jc w:val="left"/>
              <w:rPr>
                <w:rFonts w:ascii="宋体" w:hAnsi="宋体" w:cs="宋体"/>
                <w:color w:val="auto"/>
                <w:sz w:val="22"/>
                <w:highlight w:val="none"/>
              </w:rPr>
            </w:pPr>
          </w:p>
        </w:tc>
      </w:tr>
      <w:tr w14:paraId="4FC5C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131FF505">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中国民生银行股份有限公司温州分行</w:t>
            </w:r>
          </w:p>
        </w:tc>
        <w:tc>
          <w:tcPr>
            <w:tcW w:w="4201" w:type="dxa"/>
          </w:tcPr>
          <w:p w14:paraId="0A8D7544">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民生银行供应链金融“政采贷”产品，专为政府采购场景下的中小企业融资而设计，最高融资额度可达政府采购合同交易金额的70%,最高单笔授信金额可达500万元，期限最长可达1年，无需抵押，无需办理应收账款质押，材料简单，流程便捷，利率优惠。</w:t>
            </w:r>
          </w:p>
        </w:tc>
        <w:tc>
          <w:tcPr>
            <w:tcW w:w="1000" w:type="dxa"/>
          </w:tcPr>
          <w:p w14:paraId="0CE42DA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项经理</w:t>
            </w:r>
          </w:p>
        </w:tc>
        <w:tc>
          <w:tcPr>
            <w:tcW w:w="1820" w:type="dxa"/>
          </w:tcPr>
          <w:p w14:paraId="0232A076">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18057779630</w:t>
            </w:r>
          </w:p>
        </w:tc>
      </w:tr>
      <w:tr w14:paraId="3C5C3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7D48511E">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宁波银行股份有限公司温州分行</w:t>
            </w:r>
          </w:p>
        </w:tc>
        <w:tc>
          <w:tcPr>
            <w:tcW w:w="4201" w:type="dxa"/>
          </w:tcPr>
          <w:p w14:paraId="0FE1D6C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宁波银行政府采购融资指应供应商申请，以政府采购合同项下的回款为主要还款来源，为满足供应商履行采购合同所需资金而向其提供融资的信贷业务。提供中标通知书及其他授信材料即可申请，授信担保方式为信用，最长期限不超过一年，最大金额不超过2000万元。</w:t>
            </w:r>
          </w:p>
        </w:tc>
        <w:tc>
          <w:tcPr>
            <w:tcW w:w="1000" w:type="dxa"/>
          </w:tcPr>
          <w:p w14:paraId="52B8E293">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陈经理</w:t>
            </w:r>
          </w:p>
        </w:tc>
        <w:tc>
          <w:tcPr>
            <w:tcW w:w="1820" w:type="dxa"/>
          </w:tcPr>
          <w:p w14:paraId="1C2A014B">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0577－88007377</w:t>
            </w:r>
          </w:p>
          <w:p w14:paraId="4125D6C7">
            <w:pPr>
              <w:tabs>
                <w:tab w:val="left" w:pos="1069"/>
                <w:tab w:val="left" w:pos="2352"/>
              </w:tabs>
              <w:jc w:val="left"/>
              <w:rPr>
                <w:rFonts w:ascii="宋体" w:hAnsi="宋体" w:cs="宋体"/>
                <w:color w:val="auto"/>
                <w:sz w:val="22"/>
                <w:highlight w:val="none"/>
              </w:rPr>
            </w:pPr>
          </w:p>
        </w:tc>
      </w:tr>
      <w:tr w14:paraId="184F3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12EA2244">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杭州银行股份有限公司温州分行</w:t>
            </w:r>
          </w:p>
        </w:tc>
        <w:tc>
          <w:tcPr>
            <w:tcW w:w="4201" w:type="dxa"/>
          </w:tcPr>
          <w:p w14:paraId="48D921AA">
            <w:pPr>
              <w:tabs>
                <w:tab w:val="left" w:pos="1069"/>
                <w:tab w:val="left" w:pos="2352"/>
              </w:tabs>
              <w:rPr>
                <w:rFonts w:ascii="宋体" w:hAnsi="宋体" w:cs="宋体"/>
                <w:bCs/>
                <w:color w:val="auto"/>
                <w:sz w:val="22"/>
                <w:highlight w:val="none"/>
              </w:rPr>
            </w:pPr>
            <w:r>
              <w:rPr>
                <w:rFonts w:hint="eastAsia" w:ascii="宋体" w:hAnsi="宋体" w:cs="宋体"/>
                <w:bCs/>
                <w:color w:val="auto"/>
                <w:sz w:val="22"/>
                <w:highlight w:val="none"/>
              </w:rPr>
              <w:t>门槛低：纯信用，平台注册入库并取得采购合同即可申请</w:t>
            </w:r>
          </w:p>
          <w:p w14:paraId="0B9B9EAF">
            <w:pPr>
              <w:tabs>
                <w:tab w:val="left" w:pos="1069"/>
                <w:tab w:val="left" w:pos="2352"/>
              </w:tabs>
              <w:rPr>
                <w:rFonts w:ascii="宋体" w:hAnsi="宋体" w:cs="宋体"/>
                <w:bCs/>
                <w:color w:val="auto"/>
                <w:sz w:val="22"/>
                <w:highlight w:val="none"/>
              </w:rPr>
            </w:pPr>
            <w:r>
              <w:rPr>
                <w:rFonts w:hint="eastAsia" w:ascii="宋体" w:hAnsi="宋体" w:cs="宋体"/>
                <w:bCs/>
                <w:color w:val="auto"/>
                <w:sz w:val="22"/>
                <w:highlight w:val="none"/>
              </w:rPr>
              <w:t>手续简：线上申请+线上签约，足不出户</w:t>
            </w:r>
          </w:p>
          <w:p w14:paraId="033BF5A1">
            <w:pPr>
              <w:tabs>
                <w:tab w:val="left" w:pos="1069"/>
                <w:tab w:val="left" w:pos="2352"/>
              </w:tabs>
              <w:rPr>
                <w:rFonts w:ascii="宋体" w:hAnsi="宋体" w:cs="宋体"/>
                <w:bCs/>
                <w:color w:val="auto"/>
                <w:sz w:val="22"/>
                <w:highlight w:val="none"/>
              </w:rPr>
            </w:pPr>
            <w:r>
              <w:rPr>
                <w:rFonts w:hint="eastAsia" w:ascii="宋体" w:hAnsi="宋体" w:cs="宋体"/>
                <w:bCs/>
                <w:color w:val="auto"/>
                <w:sz w:val="22"/>
                <w:highlight w:val="none"/>
              </w:rPr>
              <w:t>利率优：按优于一般中小企业贷款利率执行</w:t>
            </w:r>
          </w:p>
          <w:p w14:paraId="3C5958AE">
            <w:pPr>
              <w:tabs>
                <w:tab w:val="left" w:pos="1069"/>
                <w:tab w:val="left" w:pos="2352"/>
              </w:tabs>
              <w:rPr>
                <w:rFonts w:ascii="宋体" w:hAnsi="宋体" w:cs="宋体"/>
                <w:color w:val="auto"/>
                <w:sz w:val="22"/>
                <w:highlight w:val="none"/>
              </w:rPr>
            </w:pPr>
            <w:r>
              <w:rPr>
                <w:rFonts w:hint="eastAsia" w:ascii="宋体" w:hAnsi="宋体" w:cs="宋体"/>
                <w:bCs/>
                <w:color w:val="auto"/>
                <w:sz w:val="22"/>
                <w:highlight w:val="none"/>
              </w:rPr>
              <w:t>额度高：最高为合同金额的80%</w:t>
            </w:r>
          </w:p>
        </w:tc>
        <w:tc>
          <w:tcPr>
            <w:tcW w:w="1000" w:type="dxa"/>
          </w:tcPr>
          <w:p w14:paraId="0A2F5B4B">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叶经理</w:t>
            </w:r>
          </w:p>
        </w:tc>
        <w:tc>
          <w:tcPr>
            <w:tcW w:w="1820" w:type="dxa"/>
          </w:tcPr>
          <w:p w14:paraId="241D1A7D">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0577-88008933</w:t>
            </w:r>
          </w:p>
        </w:tc>
      </w:tr>
      <w:tr w14:paraId="1FA4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5915DC3B">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招商银行股份有限公司温州分行</w:t>
            </w:r>
          </w:p>
        </w:tc>
        <w:tc>
          <w:tcPr>
            <w:tcW w:w="4201" w:type="dxa"/>
          </w:tcPr>
          <w:p w14:paraId="556D0071">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政采贷是招商银行针对政府采购招投标中标（成交）供应商，以政府采购合同项下未来应收账款为第一还款来源的融资业务，无需抵质押物。额度最高可达2000万，同时可开通自助贷款直通功能，自助贷款额度最高可达1000万，支持线上申请、随借随还。</w:t>
            </w:r>
          </w:p>
        </w:tc>
        <w:tc>
          <w:tcPr>
            <w:tcW w:w="1000" w:type="dxa"/>
          </w:tcPr>
          <w:p w14:paraId="7E5BF22F">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陈经理</w:t>
            </w:r>
          </w:p>
        </w:tc>
        <w:tc>
          <w:tcPr>
            <w:tcW w:w="1820" w:type="dxa"/>
          </w:tcPr>
          <w:p w14:paraId="183007FF">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0577-88056876</w:t>
            </w:r>
          </w:p>
          <w:p w14:paraId="28E7E781">
            <w:pPr>
              <w:tabs>
                <w:tab w:val="left" w:pos="1069"/>
                <w:tab w:val="left" w:pos="2352"/>
              </w:tabs>
              <w:jc w:val="left"/>
              <w:rPr>
                <w:rFonts w:ascii="宋体" w:hAnsi="宋体" w:cs="宋体"/>
                <w:color w:val="auto"/>
                <w:sz w:val="22"/>
                <w:highlight w:val="none"/>
              </w:rPr>
            </w:pPr>
          </w:p>
        </w:tc>
      </w:tr>
      <w:tr w14:paraId="5C94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09D5D5DC">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兴业银行股份有限公司温州分行</w:t>
            </w:r>
          </w:p>
        </w:tc>
        <w:tc>
          <w:tcPr>
            <w:tcW w:w="4201" w:type="dxa"/>
            <w:vAlign w:val="center"/>
          </w:tcPr>
          <w:p w14:paraId="14486820">
            <w:pPr>
              <w:pStyle w:val="46"/>
              <w:tabs>
                <w:tab w:val="left" w:pos="1069"/>
                <w:tab w:val="left" w:pos="2352"/>
              </w:tabs>
              <w:spacing w:line="240" w:lineRule="auto"/>
              <w:ind w:firstLine="0" w:firstLineChars="0"/>
              <w:jc w:val="both"/>
              <w:rPr>
                <w:rFonts w:ascii="宋体" w:hAnsi="宋体" w:eastAsia="宋体" w:cs="宋体"/>
                <w:bCs/>
                <w:color w:val="auto"/>
                <w:kern w:val="0"/>
                <w:sz w:val="22"/>
                <w:highlight w:val="none"/>
              </w:rPr>
            </w:pPr>
            <w:r>
              <w:rPr>
                <w:rFonts w:hint="eastAsia" w:ascii="宋体" w:hAnsi="宋体" w:eastAsia="宋体" w:cs="宋体"/>
                <w:bCs/>
                <w:color w:val="auto"/>
                <w:kern w:val="0"/>
                <w:sz w:val="22"/>
                <w:highlight w:val="none"/>
              </w:rPr>
              <w:t>融资担保方式及融资金额：1、采取信用免抵押的企业，最高融资金额200万元；2、采取政府采购中标应收帐款质押的，最高融资金额不超过1000万元，单笔提款金额不超过采购合同金额的70%。融资利率：在本单位一般性中小企业信用贷款利率基础上下浮10%。</w:t>
            </w:r>
          </w:p>
        </w:tc>
        <w:tc>
          <w:tcPr>
            <w:tcW w:w="1000" w:type="dxa"/>
            <w:vAlign w:val="center"/>
          </w:tcPr>
          <w:p w14:paraId="6662936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张经理</w:t>
            </w:r>
          </w:p>
          <w:p w14:paraId="1E25134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陈经理</w:t>
            </w:r>
          </w:p>
        </w:tc>
        <w:tc>
          <w:tcPr>
            <w:tcW w:w="1820" w:type="dxa"/>
            <w:vAlign w:val="center"/>
          </w:tcPr>
          <w:p w14:paraId="6B535647">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0577-88369368/13857713118</w:t>
            </w:r>
          </w:p>
          <w:p w14:paraId="4972226E">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0577-56969696-526506</w:t>
            </w:r>
          </w:p>
        </w:tc>
      </w:tr>
      <w:tr w14:paraId="191DF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2D0C07C6">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温州银行股份有限公司温州分行</w:t>
            </w:r>
          </w:p>
        </w:tc>
        <w:tc>
          <w:tcPr>
            <w:tcW w:w="4201" w:type="dxa"/>
          </w:tcPr>
          <w:p w14:paraId="743D5470">
            <w:pPr>
              <w:tabs>
                <w:tab w:val="left" w:pos="1069"/>
                <w:tab w:val="left" w:pos="2352"/>
              </w:tabs>
              <w:rPr>
                <w:rFonts w:ascii="宋体" w:hAnsi="宋体" w:cs="宋体"/>
                <w:bCs/>
                <w:color w:val="auto"/>
                <w:sz w:val="22"/>
                <w:highlight w:val="none"/>
              </w:rPr>
            </w:pPr>
            <w:r>
              <w:rPr>
                <w:rFonts w:hint="eastAsia" w:ascii="宋体" w:hAnsi="宋体" w:cs="宋体"/>
                <w:bCs/>
                <w:color w:val="auto"/>
                <w:sz w:val="22"/>
                <w:highlight w:val="none"/>
              </w:rPr>
              <w:t>政采订单贷：订单在手，融资无忧。用于满足供应商订单采购所需资金周转的贷款产品。门槛低，无须抵押，凭中标通知书即可申请，额度高，最高可贷500万元，单笔业务金额可贷中标金额的80%，最长期限可贷1年。</w:t>
            </w:r>
          </w:p>
        </w:tc>
        <w:tc>
          <w:tcPr>
            <w:tcW w:w="1000" w:type="dxa"/>
          </w:tcPr>
          <w:p w14:paraId="7DBC02DA">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陈经理</w:t>
            </w:r>
          </w:p>
        </w:tc>
        <w:tc>
          <w:tcPr>
            <w:tcW w:w="1820" w:type="dxa"/>
          </w:tcPr>
          <w:p w14:paraId="5989F77B">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13736355866</w:t>
            </w:r>
          </w:p>
        </w:tc>
      </w:tr>
      <w:tr w14:paraId="1ECCC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366558CB">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温州银行股份有限公司鹿城分行</w:t>
            </w:r>
          </w:p>
        </w:tc>
        <w:tc>
          <w:tcPr>
            <w:tcW w:w="4201" w:type="dxa"/>
          </w:tcPr>
          <w:p w14:paraId="7F3B9637">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政采订单贷：1、面向政府采购项目供应商，满足供应商资金周转需求，凭中标通知书即可申请，2、秒知额高，最高可贷500万元，单笔业务金额可贷中标金额的80%，</w:t>
            </w:r>
          </w:p>
          <w:p w14:paraId="32D4B4A9">
            <w:pPr>
              <w:pStyle w:val="45"/>
              <w:tabs>
                <w:tab w:val="left" w:pos="1069"/>
                <w:tab w:val="left" w:pos="2352"/>
              </w:tabs>
              <w:ind w:left="5" w:firstLine="0" w:firstLineChars="0"/>
              <w:rPr>
                <w:rFonts w:ascii="宋体" w:hAnsi="宋体" w:cs="宋体"/>
                <w:color w:val="auto"/>
                <w:sz w:val="22"/>
                <w:highlight w:val="none"/>
              </w:rPr>
            </w:pPr>
            <w:r>
              <w:rPr>
                <w:rFonts w:hint="eastAsia" w:ascii="宋体" w:hAnsi="宋体" w:cs="宋体"/>
                <w:color w:val="auto"/>
                <w:sz w:val="22"/>
                <w:highlight w:val="none"/>
              </w:rPr>
              <w:t>最长期限可贷1年。信保贷：1、额度最高可达500万元</w:t>
            </w:r>
          </w:p>
          <w:p w14:paraId="3383BB87">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2、担保灵活，信用贷款3、贷款年利率至少可享受本单位一般性中小企业信用贷款利率基础上下浮10 %</w:t>
            </w:r>
          </w:p>
        </w:tc>
        <w:tc>
          <w:tcPr>
            <w:tcW w:w="1000" w:type="dxa"/>
          </w:tcPr>
          <w:p w14:paraId="4BF10E7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戴经理</w:t>
            </w:r>
          </w:p>
        </w:tc>
        <w:tc>
          <w:tcPr>
            <w:tcW w:w="1820" w:type="dxa"/>
          </w:tcPr>
          <w:p w14:paraId="3BD04E9C">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13605772302</w:t>
            </w:r>
          </w:p>
        </w:tc>
      </w:tr>
      <w:tr w14:paraId="1AF98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7167492D">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交通银行股份有限公司温州分行</w:t>
            </w:r>
          </w:p>
        </w:tc>
        <w:tc>
          <w:tcPr>
            <w:tcW w:w="4201" w:type="dxa"/>
          </w:tcPr>
          <w:p w14:paraId="2C23FDB6">
            <w:pPr>
              <w:tabs>
                <w:tab w:val="left" w:pos="1069"/>
                <w:tab w:val="left" w:pos="2352"/>
              </w:tabs>
              <w:autoSpaceDE w:val="0"/>
              <w:autoSpaceDN w:val="0"/>
              <w:adjustRightInd w:val="0"/>
              <w:jc w:val="left"/>
              <w:rPr>
                <w:rFonts w:ascii="宋体" w:hAnsi="宋体" w:cs="宋体"/>
                <w:color w:val="auto"/>
                <w:sz w:val="22"/>
                <w:highlight w:val="none"/>
              </w:rPr>
            </w:pPr>
            <w:r>
              <w:rPr>
                <w:rFonts w:hint="eastAsia" w:ascii="宋体" w:hAnsi="宋体" w:cs="宋体"/>
                <w:color w:val="auto"/>
                <w:sz w:val="22"/>
                <w:highlight w:val="none"/>
              </w:rPr>
              <w:t>手续便捷，授信审批全程上门服务；无需抵押，无抵押贷款一步到位；额度灵活，随借随贷，单户最高2000万元；期限匹配，与付款周期相吻合；利率优惠，本行中小企业信用贷款利率水平至少下浮10%；一对一增值服务方案—您的财富管理银行。</w:t>
            </w:r>
          </w:p>
        </w:tc>
        <w:tc>
          <w:tcPr>
            <w:tcW w:w="1000" w:type="dxa"/>
          </w:tcPr>
          <w:p w14:paraId="48C3A2E2">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缪经理</w:t>
            </w:r>
          </w:p>
        </w:tc>
        <w:tc>
          <w:tcPr>
            <w:tcW w:w="1820" w:type="dxa"/>
          </w:tcPr>
          <w:p w14:paraId="589D0455">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0577-88248454</w:t>
            </w:r>
          </w:p>
        </w:tc>
      </w:tr>
      <w:tr w14:paraId="537C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2373" w:type="dxa"/>
          </w:tcPr>
          <w:p w14:paraId="74B11971">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上海浦东发展银行股份有限公司温州分行</w:t>
            </w:r>
          </w:p>
        </w:tc>
        <w:tc>
          <w:tcPr>
            <w:tcW w:w="4201" w:type="dxa"/>
          </w:tcPr>
          <w:p w14:paraId="5E6E3E5E">
            <w:pPr>
              <w:tabs>
                <w:tab w:val="left" w:pos="1069"/>
                <w:tab w:val="left" w:pos="2352"/>
              </w:tabs>
              <w:jc w:val="left"/>
              <w:rPr>
                <w:rFonts w:ascii="宋体" w:hAnsi="宋体" w:cs="宋体"/>
                <w:bCs/>
                <w:color w:val="auto"/>
                <w:sz w:val="22"/>
                <w:highlight w:val="none"/>
              </w:rPr>
            </w:pPr>
            <w:r>
              <w:rPr>
                <w:rFonts w:hint="eastAsia" w:ascii="宋体" w:hAnsi="宋体" w:cs="宋体"/>
                <w:bCs/>
                <w:color w:val="auto"/>
                <w:sz w:val="22"/>
                <w:highlight w:val="none"/>
              </w:rPr>
              <w:t>政采e贷：是浦发银行面向温州地区经营状况良好的小微企业政府采购项目供应商所提供的专属政府采购订单融资产品。产品特点：纯信用、免担保、门槛低、授信快、在线贷、秒放款</w:t>
            </w:r>
          </w:p>
          <w:p w14:paraId="07D869E6">
            <w:pPr>
              <w:shd w:val="clear" w:color="auto" w:fill="FFFFFF"/>
              <w:tabs>
                <w:tab w:val="left" w:pos="1069"/>
                <w:tab w:val="left" w:pos="2352"/>
              </w:tabs>
              <w:jc w:val="left"/>
              <w:rPr>
                <w:rFonts w:ascii="宋体" w:hAnsi="宋体" w:cs="宋体"/>
                <w:color w:val="auto"/>
                <w:sz w:val="22"/>
                <w:highlight w:val="none"/>
              </w:rPr>
            </w:pPr>
            <w:r>
              <w:rPr>
                <w:rFonts w:hint="eastAsia" w:ascii="宋体" w:hAnsi="宋体" w:cs="宋体"/>
                <w:bCs/>
                <w:color w:val="auto"/>
                <w:sz w:val="22"/>
                <w:highlight w:val="none"/>
              </w:rPr>
              <w:t>所需材料：企业基础证件、相关中标文件（中标通知书 、采购合同等）、其他必要文件</w:t>
            </w:r>
          </w:p>
        </w:tc>
        <w:tc>
          <w:tcPr>
            <w:tcW w:w="1000" w:type="dxa"/>
          </w:tcPr>
          <w:p w14:paraId="4B37DE2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叶经理</w:t>
            </w:r>
          </w:p>
        </w:tc>
        <w:tc>
          <w:tcPr>
            <w:tcW w:w="1820" w:type="dxa"/>
          </w:tcPr>
          <w:p w14:paraId="7D8A74AF">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0577-55570829</w:t>
            </w:r>
          </w:p>
          <w:p w14:paraId="5645322A">
            <w:pPr>
              <w:tabs>
                <w:tab w:val="left" w:pos="1069"/>
                <w:tab w:val="left" w:pos="2352"/>
              </w:tabs>
              <w:jc w:val="left"/>
              <w:rPr>
                <w:rFonts w:ascii="宋体" w:hAnsi="宋体" w:cs="宋体"/>
                <w:color w:val="auto"/>
                <w:sz w:val="22"/>
                <w:highlight w:val="none"/>
              </w:rPr>
            </w:pPr>
          </w:p>
        </w:tc>
      </w:tr>
    </w:tbl>
    <w:p w14:paraId="05BC043D">
      <w:pPr>
        <w:tabs>
          <w:tab w:val="left" w:pos="1069"/>
          <w:tab w:val="left" w:pos="2352"/>
        </w:tabs>
        <w:snapToGrid w:val="0"/>
        <w:spacing w:line="460" w:lineRule="atLeast"/>
        <w:ind w:firstLine="440" w:firstLineChars="200"/>
        <w:jc w:val="left"/>
        <w:rPr>
          <w:rFonts w:ascii="宋体" w:hAnsi="宋体" w:cs="宋体"/>
          <w:color w:val="auto"/>
          <w:sz w:val="22"/>
          <w:highlight w:val="none"/>
        </w:rPr>
      </w:pPr>
    </w:p>
    <w:p w14:paraId="495CED34">
      <w:pPr>
        <w:tabs>
          <w:tab w:val="left" w:pos="1069"/>
          <w:tab w:val="left" w:pos="2352"/>
        </w:tabs>
        <w:jc w:val="center"/>
        <w:rPr>
          <w:rFonts w:ascii="宋体" w:hAnsi="宋体" w:cs="宋体"/>
          <w:color w:val="auto"/>
          <w:sz w:val="22"/>
          <w:highlight w:val="none"/>
        </w:rPr>
      </w:pPr>
      <w:r>
        <w:rPr>
          <w:rFonts w:hint="eastAsia" w:ascii="宋体" w:hAnsi="宋体" w:cs="宋体"/>
          <w:b/>
          <w:bCs/>
          <w:color w:val="auto"/>
          <w:sz w:val="28"/>
          <w:szCs w:val="28"/>
          <w:highlight w:val="none"/>
        </w:rPr>
        <w:t>温州市政府采购信用融资意向银行选择表</w:t>
      </w:r>
    </w:p>
    <w:p w14:paraId="666B45EF">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（温州市供应商填写）</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268"/>
        <w:gridCol w:w="1417"/>
        <w:gridCol w:w="851"/>
        <w:gridCol w:w="1559"/>
        <w:gridCol w:w="2126"/>
      </w:tblGrid>
      <w:tr w14:paraId="3AA2D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668" w:type="dxa"/>
          </w:tcPr>
          <w:p w14:paraId="4614F9DA">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企业名称</w:t>
            </w:r>
          </w:p>
        </w:tc>
        <w:tc>
          <w:tcPr>
            <w:tcW w:w="8221" w:type="dxa"/>
            <w:gridSpan w:val="5"/>
          </w:tcPr>
          <w:p w14:paraId="61B64EF9">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r>
      <w:tr w14:paraId="7D2A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668" w:type="dxa"/>
          </w:tcPr>
          <w:p w14:paraId="0690A2CD">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企业注册地</w:t>
            </w:r>
          </w:p>
        </w:tc>
        <w:tc>
          <w:tcPr>
            <w:tcW w:w="3685" w:type="dxa"/>
            <w:gridSpan w:val="2"/>
          </w:tcPr>
          <w:p w14:paraId="7854DA8D">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c>
          <w:tcPr>
            <w:tcW w:w="2410" w:type="dxa"/>
            <w:gridSpan w:val="2"/>
          </w:tcPr>
          <w:p w14:paraId="0C083B53">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是否有融资意向</w:t>
            </w:r>
          </w:p>
        </w:tc>
        <w:tc>
          <w:tcPr>
            <w:tcW w:w="2126" w:type="dxa"/>
          </w:tcPr>
          <w:p w14:paraId="0FD1F06F">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r>
      <w:tr w14:paraId="4EF0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68" w:type="dxa"/>
          </w:tcPr>
          <w:p w14:paraId="42C318D4">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融资联系人</w:t>
            </w:r>
          </w:p>
        </w:tc>
        <w:tc>
          <w:tcPr>
            <w:tcW w:w="2268" w:type="dxa"/>
          </w:tcPr>
          <w:p w14:paraId="66F9065E">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c>
          <w:tcPr>
            <w:tcW w:w="2268" w:type="dxa"/>
            <w:gridSpan w:val="2"/>
          </w:tcPr>
          <w:p w14:paraId="2D4F46FC">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联系方式</w:t>
            </w:r>
          </w:p>
        </w:tc>
        <w:tc>
          <w:tcPr>
            <w:tcW w:w="3685" w:type="dxa"/>
            <w:gridSpan w:val="2"/>
          </w:tcPr>
          <w:p w14:paraId="37C79074">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r>
      <w:tr w14:paraId="07860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204" w:type="dxa"/>
            <w:gridSpan w:val="4"/>
            <w:vAlign w:val="center"/>
          </w:tcPr>
          <w:p w14:paraId="7D3257DD">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温州市政府采购信用融资合作银行</w:t>
            </w:r>
          </w:p>
        </w:tc>
        <w:tc>
          <w:tcPr>
            <w:tcW w:w="3685" w:type="dxa"/>
            <w:gridSpan w:val="2"/>
          </w:tcPr>
          <w:p w14:paraId="7F562180">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选择作为意向融资银行（可多选）</w:t>
            </w:r>
          </w:p>
        </w:tc>
      </w:tr>
      <w:tr w14:paraId="2220E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204" w:type="dxa"/>
            <w:gridSpan w:val="4"/>
          </w:tcPr>
          <w:p w14:paraId="39E038D8">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温州银行股份有限公司温州分行</w:t>
            </w:r>
          </w:p>
        </w:tc>
        <w:tc>
          <w:tcPr>
            <w:tcW w:w="3685" w:type="dxa"/>
            <w:gridSpan w:val="2"/>
          </w:tcPr>
          <w:p w14:paraId="1871D7FA">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789BB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204" w:type="dxa"/>
            <w:gridSpan w:val="4"/>
          </w:tcPr>
          <w:p w14:paraId="1B93C3FE">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温州银行股份有限公司鹿城分行</w:t>
            </w:r>
          </w:p>
        </w:tc>
        <w:tc>
          <w:tcPr>
            <w:tcW w:w="3685" w:type="dxa"/>
            <w:gridSpan w:val="2"/>
          </w:tcPr>
          <w:p w14:paraId="1FA06D0F">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415F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3438D402">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中国工商银行股份有限公司温州分行</w:t>
            </w:r>
          </w:p>
        </w:tc>
        <w:tc>
          <w:tcPr>
            <w:tcW w:w="3685" w:type="dxa"/>
            <w:gridSpan w:val="2"/>
          </w:tcPr>
          <w:p w14:paraId="51F87A62">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5B705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204" w:type="dxa"/>
            <w:gridSpan w:val="4"/>
          </w:tcPr>
          <w:p w14:paraId="642CE07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中国建设银行股份有限公司温州分行</w:t>
            </w:r>
          </w:p>
        </w:tc>
        <w:tc>
          <w:tcPr>
            <w:tcW w:w="3685" w:type="dxa"/>
            <w:gridSpan w:val="2"/>
          </w:tcPr>
          <w:p w14:paraId="0DA79318">
            <w:pPr>
              <w:tabs>
                <w:tab w:val="left" w:pos="1069"/>
                <w:tab w:val="left" w:pos="2352"/>
              </w:tabs>
              <w:rPr>
                <w:rFonts w:ascii="宋体" w:hAnsi="宋体" w:cs="宋体"/>
                <w:color w:val="auto"/>
                <w:sz w:val="22"/>
                <w:highlight w:val="none"/>
              </w:rPr>
            </w:pPr>
          </w:p>
        </w:tc>
      </w:tr>
      <w:tr w14:paraId="3F57C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320FF025">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中国邮政储蓄银行股份有限公司温州市分行</w:t>
            </w:r>
          </w:p>
        </w:tc>
        <w:tc>
          <w:tcPr>
            <w:tcW w:w="3685" w:type="dxa"/>
            <w:gridSpan w:val="2"/>
          </w:tcPr>
          <w:p w14:paraId="2A350959">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19787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5357B5F0">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中国民生银行股份有限公司温州分行</w:t>
            </w:r>
          </w:p>
        </w:tc>
        <w:tc>
          <w:tcPr>
            <w:tcW w:w="3685" w:type="dxa"/>
            <w:gridSpan w:val="2"/>
          </w:tcPr>
          <w:p w14:paraId="385EE027">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4B06E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5655FA98">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宁波银行股份有限公司温州分行</w:t>
            </w:r>
          </w:p>
        </w:tc>
        <w:tc>
          <w:tcPr>
            <w:tcW w:w="3685" w:type="dxa"/>
            <w:gridSpan w:val="2"/>
          </w:tcPr>
          <w:p w14:paraId="594AE929">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704F3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67990D7C">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杭州银行股份有限公司温州分行</w:t>
            </w:r>
          </w:p>
        </w:tc>
        <w:tc>
          <w:tcPr>
            <w:tcW w:w="3685" w:type="dxa"/>
            <w:gridSpan w:val="2"/>
          </w:tcPr>
          <w:p w14:paraId="5EF5B286">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1A7A0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3E78F85B">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招商银行股份有限公司温州分行</w:t>
            </w:r>
          </w:p>
        </w:tc>
        <w:tc>
          <w:tcPr>
            <w:tcW w:w="3685" w:type="dxa"/>
            <w:gridSpan w:val="2"/>
          </w:tcPr>
          <w:p w14:paraId="5E994127">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3D51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15DE5C9C">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兴业银行股份有限公司温州分行</w:t>
            </w:r>
          </w:p>
        </w:tc>
        <w:tc>
          <w:tcPr>
            <w:tcW w:w="3685" w:type="dxa"/>
            <w:gridSpan w:val="2"/>
          </w:tcPr>
          <w:p w14:paraId="4BFC2656">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7822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0418BB38">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交通银行股份有限公司温州分行</w:t>
            </w:r>
          </w:p>
        </w:tc>
        <w:tc>
          <w:tcPr>
            <w:tcW w:w="3685" w:type="dxa"/>
            <w:gridSpan w:val="2"/>
          </w:tcPr>
          <w:p w14:paraId="5A850D83">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4652A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6204" w:type="dxa"/>
            <w:gridSpan w:val="4"/>
          </w:tcPr>
          <w:p w14:paraId="721A82ED">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上海浦东发展银行股份有限公司温州分行</w:t>
            </w:r>
          </w:p>
        </w:tc>
        <w:tc>
          <w:tcPr>
            <w:tcW w:w="3685" w:type="dxa"/>
            <w:gridSpan w:val="2"/>
          </w:tcPr>
          <w:p w14:paraId="10F2F6DF">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bl>
    <w:p w14:paraId="29754A67">
      <w:pPr>
        <w:tabs>
          <w:tab w:val="left" w:pos="1069"/>
          <w:tab w:val="left" w:pos="2352"/>
        </w:tabs>
        <w:rPr>
          <w:rFonts w:ascii="宋体" w:hAnsi="宋体" w:cs="宋体"/>
          <w:color w:val="auto"/>
          <w:sz w:val="22"/>
          <w:highlight w:val="none"/>
        </w:rPr>
      </w:pPr>
    </w:p>
    <w:p w14:paraId="23243F7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注：1、本表填写对象为注册地在温州市域内的供应商。</w:t>
      </w:r>
    </w:p>
    <w:p w14:paraId="5EEBB7DE">
      <w:pPr>
        <w:tabs>
          <w:tab w:val="left" w:pos="1069"/>
          <w:tab w:val="left" w:pos="2352"/>
        </w:tabs>
        <w:spacing w:line="588" w:lineRule="exact"/>
        <w:ind w:firstLine="440" w:firstLineChars="200"/>
        <w:rPr>
          <w:rFonts w:ascii="宋体" w:hAnsi="宋体" w:cs="宋体"/>
          <w:b/>
          <w:color w:val="auto"/>
          <w:sz w:val="22"/>
          <w:highlight w:val="none"/>
        </w:rPr>
      </w:pPr>
      <w:r>
        <w:rPr>
          <w:rFonts w:hint="eastAsia" w:ascii="宋体" w:hAnsi="宋体" w:cs="宋体"/>
          <w:color w:val="auto"/>
          <w:sz w:val="22"/>
          <w:highlight w:val="none"/>
        </w:rPr>
        <w:t>2、财政部门根据企业自行选择，将本表及企业相关信息推送至相对应的融资意向银行经办人。</w:t>
      </w:r>
    </w:p>
    <w:p w14:paraId="3C9F91E1">
      <w:pPr>
        <w:pStyle w:val="10"/>
        <w:tabs>
          <w:tab w:val="left" w:pos="1069"/>
          <w:tab w:val="left" w:pos="2352"/>
        </w:tabs>
        <w:rPr>
          <w:rFonts w:ascii="宋体" w:hAnsi="宋体" w:cs="宋体"/>
          <w:b/>
          <w:color w:val="auto"/>
          <w:sz w:val="32"/>
          <w:szCs w:val="32"/>
          <w:highlight w:val="none"/>
        </w:rPr>
      </w:pPr>
    </w:p>
    <w:p w14:paraId="49B3E2D9">
      <w:pPr>
        <w:tabs>
          <w:tab w:val="left" w:pos="1069"/>
          <w:tab w:val="left" w:pos="2352"/>
        </w:tabs>
        <w:snapToGrid w:val="0"/>
        <w:spacing w:line="380" w:lineRule="exact"/>
        <w:jc w:val="center"/>
        <w:rPr>
          <w:rFonts w:ascii="宋体" w:hAnsi="宋体" w:cs="宋体"/>
          <w:b/>
          <w:color w:val="auto"/>
          <w:sz w:val="32"/>
          <w:szCs w:val="32"/>
          <w:highlight w:val="none"/>
        </w:rPr>
      </w:pPr>
    </w:p>
    <w:p w14:paraId="62B61806">
      <w:pPr>
        <w:tabs>
          <w:tab w:val="left" w:pos="1069"/>
          <w:tab w:val="left" w:pos="2352"/>
        </w:tabs>
        <w:snapToGrid w:val="0"/>
        <w:spacing w:line="380" w:lineRule="exact"/>
        <w:jc w:val="center"/>
        <w:rPr>
          <w:rFonts w:ascii="宋体" w:hAnsi="宋体" w:cs="宋体"/>
          <w:b/>
          <w:color w:val="auto"/>
          <w:sz w:val="32"/>
          <w:szCs w:val="32"/>
          <w:highlight w:val="none"/>
        </w:rPr>
      </w:pPr>
    </w:p>
    <w:p w14:paraId="05513A0B">
      <w:pPr>
        <w:tabs>
          <w:tab w:val="left" w:pos="1069"/>
          <w:tab w:val="left" w:pos="2352"/>
        </w:tabs>
        <w:snapToGrid w:val="0"/>
        <w:spacing w:line="380" w:lineRule="exact"/>
        <w:jc w:val="center"/>
        <w:rPr>
          <w:rFonts w:ascii="宋体" w:hAnsi="宋体" w:cs="宋体"/>
          <w:b/>
          <w:color w:val="auto"/>
          <w:sz w:val="32"/>
          <w:szCs w:val="32"/>
          <w:highlight w:val="none"/>
        </w:rPr>
      </w:pPr>
    </w:p>
    <w:p w14:paraId="40A4AF55">
      <w:pPr>
        <w:tabs>
          <w:tab w:val="left" w:pos="1069"/>
          <w:tab w:val="left" w:pos="2352"/>
        </w:tabs>
        <w:snapToGrid w:val="0"/>
        <w:spacing w:line="380" w:lineRule="exact"/>
        <w:jc w:val="center"/>
        <w:rPr>
          <w:rFonts w:ascii="宋体" w:hAnsi="宋体" w:cs="宋体"/>
          <w:b/>
          <w:color w:val="auto"/>
          <w:sz w:val="32"/>
          <w:szCs w:val="32"/>
          <w:highlight w:val="none"/>
        </w:rPr>
      </w:pPr>
    </w:p>
    <w:p w14:paraId="3F1D89AE">
      <w:pPr>
        <w:tabs>
          <w:tab w:val="left" w:pos="1069"/>
          <w:tab w:val="left" w:pos="2352"/>
        </w:tabs>
        <w:snapToGrid w:val="0"/>
        <w:spacing w:line="380" w:lineRule="exact"/>
        <w:jc w:val="center"/>
        <w:rPr>
          <w:rFonts w:ascii="宋体" w:hAnsi="宋体" w:cs="宋体"/>
          <w:b/>
          <w:color w:val="auto"/>
          <w:sz w:val="32"/>
          <w:szCs w:val="32"/>
          <w:highlight w:val="none"/>
        </w:rPr>
      </w:pPr>
    </w:p>
    <w:p w14:paraId="6152E30D">
      <w:pPr>
        <w:tabs>
          <w:tab w:val="left" w:pos="1069"/>
          <w:tab w:val="left" w:pos="2352"/>
        </w:tabs>
        <w:snapToGrid w:val="0"/>
        <w:spacing w:line="380" w:lineRule="exact"/>
        <w:jc w:val="center"/>
        <w:rPr>
          <w:rFonts w:ascii="宋体" w:hAnsi="宋体" w:cs="宋体"/>
          <w:b/>
          <w:bCs/>
          <w:color w:val="auto"/>
          <w:sz w:val="28"/>
          <w:szCs w:val="28"/>
          <w:highlight w:val="none"/>
        </w:rPr>
      </w:pPr>
      <w:r>
        <w:rPr>
          <w:rFonts w:hint="eastAsia" w:ascii="宋体" w:hAnsi="宋体" w:cs="宋体"/>
          <w:b/>
          <w:color w:val="auto"/>
          <w:sz w:val="32"/>
          <w:szCs w:val="32"/>
          <w:highlight w:val="none"/>
        </w:rPr>
        <w:t>第五部分、合同格式</w:t>
      </w:r>
      <w:bookmarkEnd w:id="88"/>
      <w:bookmarkStart w:id="91" w:name="_Toc11700_WPSOffice_Level1"/>
    </w:p>
    <w:p w14:paraId="612D7CD8">
      <w:pPr>
        <w:rPr>
          <w:rFonts w:eastAsia="仿宋"/>
          <w:b/>
          <w:bCs/>
          <w:color w:val="auto"/>
          <w:sz w:val="28"/>
          <w:highlight w:val="none"/>
        </w:rPr>
      </w:pPr>
    </w:p>
    <w:p w14:paraId="2A49A6AE">
      <w:pPr>
        <w:widowControl/>
        <w:spacing w:before="100" w:beforeAutospacing="1" w:after="100" w:afterAutospacing="1"/>
        <w:outlineLvl w:val="2"/>
        <w:rPr>
          <w:rFonts w:ascii="黑体" w:hAnsi="黑体" w:eastAsia="黑体" w:cs="宋体"/>
          <w:b/>
          <w:bCs/>
          <w:color w:val="auto"/>
          <w:kern w:val="0"/>
          <w:sz w:val="56"/>
          <w:szCs w:val="56"/>
          <w:highlight w:val="none"/>
        </w:rPr>
      </w:pPr>
      <w:r>
        <w:rPr>
          <w:rFonts w:hint="eastAsia" w:ascii="黑体" w:hAnsi="黑体" w:eastAsia="黑体" w:cs="宋体"/>
          <w:b/>
          <w:bCs/>
          <w:color w:val="auto"/>
          <w:kern w:val="0"/>
          <w:sz w:val="56"/>
          <w:szCs w:val="56"/>
          <w:highlight w:val="none"/>
        </w:rPr>
        <w:t xml:space="preserve">  </w:t>
      </w:r>
      <w:r>
        <w:rPr>
          <w:rFonts w:hint="eastAsia" w:cs="宋体" w:asciiTheme="minorEastAsia" w:hAnsiTheme="minorEastAsia"/>
          <w:bCs/>
          <w:color w:val="auto"/>
          <w:kern w:val="0"/>
          <w:sz w:val="56"/>
          <w:szCs w:val="56"/>
          <w:highlight w:val="none"/>
        </w:rPr>
        <w:t xml:space="preserve"> </w:t>
      </w:r>
    </w:p>
    <w:p w14:paraId="3680C5AD">
      <w:pPr>
        <w:widowControl/>
        <w:spacing w:before="100" w:beforeAutospacing="1" w:after="100" w:afterAutospacing="1"/>
        <w:jc w:val="center"/>
        <w:outlineLvl w:val="2"/>
        <w:rPr>
          <w:rFonts w:hint="eastAsia" w:ascii="华文中宋" w:hAnsi="华文中宋" w:eastAsia="华文中宋" w:cs="华文中宋"/>
          <w:b/>
          <w:bCs/>
          <w:color w:val="auto"/>
          <w:kern w:val="0"/>
          <w:sz w:val="56"/>
          <w:szCs w:val="56"/>
          <w:highlight w:val="none"/>
          <w:lang w:eastAsia="zh-CN"/>
        </w:rPr>
      </w:pPr>
      <w:r>
        <w:rPr>
          <w:rFonts w:hint="eastAsia" w:ascii="华文中宋" w:hAnsi="华文中宋" w:eastAsia="华文中宋" w:cs="华文中宋"/>
          <w:b/>
          <w:bCs/>
          <w:color w:val="auto"/>
          <w:kern w:val="0"/>
          <w:sz w:val="56"/>
          <w:szCs w:val="56"/>
          <w:highlight w:val="none"/>
          <w:lang w:eastAsia="zh-CN"/>
        </w:rPr>
        <w:t>2024年泰顺县彭溪镇峰文村牛塘垵简洋农田宜机化改造项目</w:t>
      </w:r>
    </w:p>
    <w:p w14:paraId="1DF42663">
      <w:pPr>
        <w:widowControl/>
        <w:spacing w:before="100" w:beforeAutospacing="1" w:after="100" w:afterAutospacing="1"/>
        <w:jc w:val="center"/>
        <w:outlineLvl w:val="2"/>
        <w:rPr>
          <w:rFonts w:ascii="华文中宋" w:hAnsi="华文中宋" w:eastAsia="华文中宋" w:cs="华文中宋"/>
          <w:b/>
          <w:bCs/>
          <w:color w:val="auto"/>
          <w:kern w:val="0"/>
          <w:sz w:val="56"/>
          <w:szCs w:val="56"/>
          <w:highlight w:val="none"/>
        </w:rPr>
      </w:pPr>
      <w:r>
        <w:rPr>
          <w:rFonts w:hint="eastAsia" w:ascii="华文中宋" w:hAnsi="华文中宋" w:eastAsia="华文中宋" w:cs="华文中宋"/>
          <w:b/>
          <w:bCs/>
          <w:color w:val="auto"/>
          <w:kern w:val="0"/>
          <w:sz w:val="56"/>
          <w:szCs w:val="56"/>
          <w:highlight w:val="none"/>
        </w:rPr>
        <w:t>合同</w:t>
      </w:r>
    </w:p>
    <w:p w14:paraId="600B3500">
      <w:pPr>
        <w:widowControl/>
        <w:spacing w:before="100" w:beforeAutospacing="1" w:after="100" w:afterAutospacing="1"/>
        <w:jc w:val="center"/>
        <w:outlineLvl w:val="2"/>
        <w:rPr>
          <w:rFonts w:ascii="黑体" w:hAnsi="黑体" w:eastAsia="黑体" w:cs="宋体"/>
          <w:b/>
          <w:bCs/>
          <w:color w:val="auto"/>
          <w:kern w:val="0"/>
          <w:sz w:val="44"/>
          <w:szCs w:val="44"/>
          <w:highlight w:val="none"/>
        </w:rPr>
      </w:pPr>
    </w:p>
    <w:p w14:paraId="69291043">
      <w:pPr>
        <w:widowControl/>
        <w:spacing w:before="100" w:beforeAutospacing="1" w:after="100" w:afterAutospacing="1" w:line="390" w:lineRule="atLeast"/>
        <w:jc w:val="left"/>
        <w:rPr>
          <w:rFonts w:ascii="宋体" w:hAnsi="宋体" w:cs="宋体"/>
          <w:bCs/>
          <w:color w:val="auto"/>
          <w:sz w:val="30"/>
          <w:szCs w:val="30"/>
          <w:highlight w:val="none"/>
        </w:rPr>
      </w:pPr>
      <w:r>
        <w:rPr>
          <w:rFonts w:hint="eastAsia" w:ascii="宋体" w:hAnsi="宋体" w:cs="宋体"/>
          <w:color w:val="auto"/>
          <w:kern w:val="0"/>
          <w:sz w:val="28"/>
          <w:szCs w:val="28"/>
          <w:highlight w:val="none"/>
        </w:rPr>
        <w:t>　</w:t>
      </w:r>
      <w:r>
        <w:rPr>
          <w:rFonts w:hint="eastAsia" w:ascii="黑体" w:hAnsi="黑体" w:eastAsia="黑体" w:cs="宋体"/>
          <w:color w:val="auto"/>
          <w:kern w:val="0"/>
          <w:sz w:val="28"/>
          <w:szCs w:val="28"/>
          <w:highlight w:val="none"/>
        </w:rPr>
        <w:t>　</w:t>
      </w:r>
    </w:p>
    <w:p w14:paraId="22F63F5A">
      <w:pPr>
        <w:snapToGrid w:val="0"/>
        <w:spacing w:line="760" w:lineRule="exact"/>
        <w:ind w:left="596" w:leftChars="284"/>
        <w:rPr>
          <w:rFonts w:ascii="宋体" w:hAnsi="宋体" w:cs="宋体"/>
          <w:bCs/>
          <w:color w:val="auto"/>
          <w:sz w:val="30"/>
          <w:szCs w:val="30"/>
          <w:highlight w:val="none"/>
          <w:u w:val="single"/>
        </w:rPr>
      </w:pPr>
      <w:r>
        <w:rPr>
          <w:rFonts w:hint="eastAsia" w:ascii="宋体" w:hAnsi="宋体" w:cs="宋体"/>
          <w:bCs/>
          <w:color w:val="auto"/>
          <w:sz w:val="30"/>
          <w:szCs w:val="30"/>
          <w:highlight w:val="none"/>
        </w:rPr>
        <w:t>签订日期：</w:t>
      </w:r>
      <w:r>
        <w:rPr>
          <w:rFonts w:hint="eastAsia" w:ascii="宋体" w:hAnsi="宋体" w:cs="宋体"/>
          <w:bCs/>
          <w:color w:val="auto"/>
          <w:sz w:val="30"/>
          <w:szCs w:val="30"/>
          <w:highlight w:val="none"/>
          <w:u w:val="single"/>
        </w:rPr>
        <w:t xml:space="preserve">        年 月 日  </w:t>
      </w:r>
    </w:p>
    <w:p w14:paraId="55B2BBFA">
      <w:pPr>
        <w:snapToGrid w:val="0"/>
        <w:spacing w:line="760" w:lineRule="exact"/>
        <w:ind w:left="596" w:leftChars="284"/>
        <w:rPr>
          <w:rFonts w:ascii="宋体" w:hAnsi="宋体" w:cs="宋体"/>
          <w:bCs/>
          <w:color w:val="auto"/>
          <w:sz w:val="30"/>
          <w:szCs w:val="30"/>
          <w:highlight w:val="none"/>
          <w:u w:val="single"/>
        </w:rPr>
      </w:pPr>
      <w:r>
        <w:rPr>
          <w:rFonts w:hint="eastAsia" w:ascii="宋体" w:hAnsi="宋体" w:cs="宋体"/>
          <w:bCs/>
          <w:color w:val="auto"/>
          <w:sz w:val="30"/>
          <w:szCs w:val="30"/>
          <w:highlight w:val="none"/>
        </w:rPr>
        <w:t>签订地点：</w:t>
      </w:r>
      <w:r>
        <w:rPr>
          <w:rFonts w:hint="eastAsia" w:ascii="宋体" w:hAnsi="宋体" w:cs="宋体"/>
          <w:bCs/>
          <w:color w:val="auto"/>
          <w:sz w:val="30"/>
          <w:szCs w:val="30"/>
          <w:highlight w:val="none"/>
          <w:u w:val="single"/>
        </w:rPr>
        <w:t xml:space="preserve">    温州市泰顺县  </w:t>
      </w:r>
    </w:p>
    <w:p w14:paraId="3B689E43">
      <w:pPr>
        <w:pStyle w:val="6"/>
        <w:rPr>
          <w:color w:val="auto"/>
          <w:highlight w:val="none"/>
        </w:rPr>
      </w:pPr>
    </w:p>
    <w:p w14:paraId="36536E6C">
      <w:pPr>
        <w:spacing w:line="460" w:lineRule="exact"/>
        <w:rPr>
          <w:rFonts w:ascii="宋体"/>
          <w:color w:val="auto"/>
          <w:sz w:val="22"/>
          <w:highlight w:val="none"/>
        </w:rPr>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pPr>
    </w:p>
    <w:p w14:paraId="110FDF60">
      <w:pPr>
        <w:keepNext w:val="0"/>
        <w:keepLines w:val="0"/>
        <w:pageBreakBefore w:val="0"/>
        <w:kinsoku/>
        <w:wordWrap/>
        <w:overflowPunct/>
        <w:topLinePunct w:val="0"/>
        <w:bidi w:val="0"/>
        <w:spacing w:line="400" w:lineRule="exact"/>
        <w:ind w:firstLine="496"/>
        <w:jc w:val="center"/>
        <w:textAlignment w:val="auto"/>
        <w:rPr>
          <w:rFonts w:hint="eastAsia" w:ascii="宋体" w:hAnsi="宋体" w:eastAsia="宋体" w:cs="宋体"/>
          <w:b/>
          <w:bCs/>
          <w:snapToGrid w:val="0"/>
          <w:color w:val="auto"/>
          <w:kern w:val="0"/>
          <w:sz w:val="32"/>
          <w:szCs w:val="32"/>
          <w:highlight w:val="none"/>
        </w:rPr>
      </w:pPr>
      <w:bookmarkStart w:id="92" w:name="_Toc520988777"/>
      <w:bookmarkStart w:id="93" w:name="_Toc520967255"/>
      <w:bookmarkStart w:id="94" w:name="_Toc28013177"/>
      <w:bookmarkStart w:id="95" w:name="_Toc521917363"/>
      <w:bookmarkStart w:id="96" w:name="_Toc17290092"/>
      <w:bookmarkStart w:id="97" w:name="_Toc367900908"/>
      <w:bookmarkStart w:id="98" w:name="_Toc482718664"/>
      <w:bookmarkStart w:id="99" w:name="_Toc482363049"/>
      <w:bookmarkStart w:id="100" w:name="_Toc482362963"/>
      <w:r>
        <w:rPr>
          <w:rFonts w:hint="eastAsia" w:ascii="宋体" w:hAnsi="宋体" w:eastAsia="宋体" w:cs="宋体"/>
          <w:b/>
          <w:bCs/>
          <w:snapToGrid w:val="0"/>
          <w:color w:val="auto"/>
          <w:kern w:val="0"/>
          <w:sz w:val="32"/>
          <w:szCs w:val="32"/>
          <w:highlight w:val="none"/>
        </w:rPr>
        <w:t>第一节</w:t>
      </w:r>
      <w:bookmarkEnd w:id="92"/>
      <w:bookmarkEnd w:id="93"/>
      <w:r>
        <w:rPr>
          <w:rFonts w:hint="eastAsia" w:ascii="宋体" w:hAnsi="宋体" w:eastAsia="宋体" w:cs="宋体"/>
          <w:b/>
          <w:bCs/>
          <w:snapToGrid w:val="0"/>
          <w:color w:val="auto"/>
          <w:kern w:val="0"/>
          <w:sz w:val="32"/>
          <w:szCs w:val="32"/>
          <w:highlight w:val="none"/>
        </w:rPr>
        <w:t xml:space="preserve">  合同协议书</w:t>
      </w:r>
      <w:bookmarkEnd w:id="94"/>
      <w:bookmarkEnd w:id="95"/>
      <w:bookmarkEnd w:id="96"/>
    </w:p>
    <w:p w14:paraId="61E9B64B">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sz w:val="22"/>
          <w:szCs w:val="22"/>
          <w:highlight w:val="none"/>
          <w:u w:val="single"/>
        </w:rPr>
      </w:pPr>
    </w:p>
    <w:p w14:paraId="317C4D81">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u w:val="none"/>
          <w:lang w:val="en-US" w:eastAsia="zh-CN"/>
        </w:rPr>
        <w:t>采购人：</w:t>
      </w:r>
      <w:r>
        <w:rPr>
          <w:rFonts w:hint="eastAsia" w:ascii="宋体" w:hAnsi="宋体" w:cs="宋体"/>
          <w:color w:val="auto"/>
          <w:sz w:val="22"/>
          <w:szCs w:val="22"/>
          <w:highlight w:val="none"/>
          <w:u w:val="single"/>
          <w:lang w:eastAsia="zh-CN"/>
        </w:rPr>
        <w:t>泰顺县彭溪镇人民政府</w:t>
      </w:r>
      <w:r>
        <w:rPr>
          <w:rFonts w:hint="eastAsia" w:ascii="宋体" w:hAnsi="宋体" w:eastAsia="宋体" w:cs="宋体"/>
          <w:color w:val="auto"/>
          <w:sz w:val="22"/>
          <w:szCs w:val="22"/>
          <w:highlight w:val="none"/>
        </w:rPr>
        <w:t>（以下简称“</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21B16C15">
      <w:pPr>
        <w:keepNext w:val="0"/>
        <w:keepLines w:val="0"/>
        <w:pageBreakBefore w:val="0"/>
        <w:widowControl/>
        <w:kinsoku/>
        <w:wordWrap/>
        <w:overflowPunct/>
        <w:topLinePunct w:val="0"/>
        <w:bidi w:val="0"/>
        <w:spacing w:line="400" w:lineRule="exact"/>
        <w:ind w:left="382" w:leftChars="182" w:firstLine="0" w:firstLineChars="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（以下简称“</w:t>
      </w:r>
      <w:r>
        <w:rPr>
          <w:rFonts w:hint="eastAsia" w:ascii="宋体" w:hAnsi="宋体" w:eastAsia="宋体" w:cs="宋体"/>
          <w:color w:val="auto"/>
          <w:sz w:val="22"/>
          <w:szCs w:val="22"/>
          <w:highlight w:val="none"/>
          <w:lang w:val="en-US" w:eastAsia="zh-CN"/>
        </w:rPr>
        <w:t>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w:t>
      </w:r>
    </w:p>
    <w:p w14:paraId="433B25A3">
      <w:pPr>
        <w:keepNext w:val="0"/>
        <w:keepLines w:val="0"/>
        <w:pageBreakBefore w:val="0"/>
        <w:widowControl/>
        <w:kinsoku/>
        <w:wordWrap/>
        <w:overflowPunct/>
        <w:topLinePunct w:val="0"/>
        <w:bidi w:val="0"/>
        <w:spacing w:line="400" w:lineRule="exact"/>
        <w:ind w:left="382" w:leftChars="182" w:firstLine="0" w:firstLineChars="0"/>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lang w:val="en-US" w:eastAsia="zh-CN"/>
        </w:rPr>
        <w:t>建设单位：</w:t>
      </w:r>
      <w:r>
        <w:rPr>
          <w:rFonts w:hint="eastAsia" w:ascii="宋体" w:hAnsi="宋体" w:eastAsia="宋体" w:cs="宋体"/>
          <w:color w:val="auto"/>
          <w:sz w:val="22"/>
          <w:szCs w:val="22"/>
          <w:highlight w:val="none"/>
          <w:u w:val="single"/>
          <w:lang w:val="en-US" w:eastAsia="zh-CN"/>
        </w:rPr>
        <w:t>泰顺县农业农村局</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（以下简称“</w:t>
      </w:r>
      <w:r>
        <w:rPr>
          <w:rFonts w:hint="eastAsia" w:ascii="宋体" w:hAnsi="宋体" w:eastAsia="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br w:type="textWrapping"/>
      </w:r>
      <w:r>
        <w:rPr>
          <w:rFonts w:hint="eastAsia" w:ascii="宋体" w:hAnsi="宋体" w:eastAsia="宋体" w:cs="宋体"/>
          <w:color w:val="auto"/>
          <w:sz w:val="22"/>
          <w:szCs w:val="22"/>
          <w:highlight w:val="none"/>
        </w:rPr>
        <w:t>为实施</w:t>
      </w:r>
      <w:r>
        <w:rPr>
          <w:rFonts w:hint="eastAsia" w:ascii="宋体" w:hAnsi="宋体" w:cs="宋体"/>
          <w:color w:val="auto"/>
          <w:sz w:val="22"/>
          <w:szCs w:val="22"/>
          <w:highlight w:val="none"/>
          <w:u w:val="single"/>
          <w:lang w:eastAsia="zh-CN"/>
        </w:rPr>
        <w:t>2024年泰顺县彭溪镇峰文村牛塘垵简洋农田宜机化改造项目</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甲方、丙方</w:t>
      </w:r>
      <w:r>
        <w:rPr>
          <w:rFonts w:hint="eastAsia" w:ascii="宋体" w:hAnsi="宋体" w:eastAsia="宋体" w:cs="宋体"/>
          <w:color w:val="auto"/>
          <w:sz w:val="22"/>
          <w:szCs w:val="22"/>
          <w:highlight w:val="none"/>
        </w:rPr>
        <w:t>已接受</w:t>
      </w:r>
      <w:r>
        <w:rPr>
          <w:rFonts w:hint="eastAsia" w:ascii="宋体" w:hAnsi="宋体" w:eastAsia="宋体" w:cs="宋体"/>
          <w:color w:val="auto"/>
          <w:sz w:val="22"/>
          <w:szCs w:val="22"/>
          <w:highlight w:val="none"/>
          <w:u w:val="single"/>
        </w:rPr>
        <w:t xml:space="preserve">          </w:t>
      </w:r>
    </w:p>
    <w:p w14:paraId="1E427D53">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名称）对该项目投标。</w:t>
      </w:r>
      <w:r>
        <w:rPr>
          <w:rFonts w:hint="eastAsia" w:ascii="宋体" w:hAnsi="宋体" w:eastAsia="宋体" w:cs="宋体"/>
          <w:color w:val="auto"/>
          <w:sz w:val="22"/>
          <w:szCs w:val="22"/>
          <w:highlight w:val="none"/>
          <w:lang w:val="en-US" w:eastAsia="zh-CN"/>
        </w:rPr>
        <w:t>三方</w:t>
      </w:r>
      <w:r>
        <w:rPr>
          <w:rFonts w:hint="eastAsia" w:ascii="宋体" w:hAnsi="宋体" w:eastAsia="宋体" w:cs="宋体"/>
          <w:color w:val="auto"/>
          <w:sz w:val="22"/>
          <w:szCs w:val="22"/>
          <w:highlight w:val="none"/>
        </w:rPr>
        <w:t>共同达成如下协议。</w:t>
      </w:r>
    </w:p>
    <w:p w14:paraId="528B3681">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kern w:val="2"/>
          <w:sz w:val="22"/>
          <w:szCs w:val="22"/>
          <w:highlight w:val="none"/>
          <w:lang w:eastAsia="zh-CN"/>
        </w:rPr>
      </w:pPr>
      <w:r>
        <w:rPr>
          <w:rFonts w:hint="eastAsia" w:ascii="宋体" w:hAnsi="宋体" w:eastAsia="宋体" w:cs="宋体"/>
          <w:color w:val="auto"/>
          <w:kern w:val="2"/>
          <w:sz w:val="22"/>
          <w:szCs w:val="22"/>
          <w:highlight w:val="none"/>
          <w:lang w:val="en-US" w:eastAsia="zh-CN"/>
        </w:rPr>
        <w:t>1.</w:t>
      </w:r>
      <w:r>
        <w:rPr>
          <w:rFonts w:hint="eastAsia" w:ascii="宋体" w:hAnsi="宋体" w:eastAsia="宋体" w:cs="宋体"/>
          <w:color w:val="auto"/>
          <w:kern w:val="2"/>
          <w:sz w:val="22"/>
          <w:szCs w:val="22"/>
          <w:highlight w:val="none"/>
        </w:rPr>
        <w:t>项目名称：</w:t>
      </w:r>
      <w:r>
        <w:rPr>
          <w:rFonts w:hint="eastAsia" w:ascii="宋体" w:hAnsi="宋体" w:cs="宋体"/>
          <w:color w:val="auto"/>
          <w:sz w:val="22"/>
          <w:szCs w:val="22"/>
          <w:highlight w:val="none"/>
          <w:u w:val="single"/>
          <w:lang w:eastAsia="zh-CN"/>
        </w:rPr>
        <w:t>2024年泰顺县彭溪镇峰文村牛塘垵简洋农田宜机化改造项目</w:t>
      </w:r>
    </w:p>
    <w:p w14:paraId="254E95D1">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lang w:val="en-US" w:eastAsia="zh-CN"/>
        </w:rPr>
        <w:t>2.</w:t>
      </w:r>
      <w:r>
        <w:rPr>
          <w:rFonts w:hint="eastAsia" w:ascii="宋体" w:hAnsi="宋体" w:eastAsia="宋体" w:cs="宋体"/>
          <w:color w:val="auto"/>
          <w:kern w:val="2"/>
          <w:sz w:val="22"/>
          <w:szCs w:val="22"/>
          <w:highlight w:val="none"/>
        </w:rPr>
        <w:t>项目地点：</w:t>
      </w:r>
      <w:r>
        <w:rPr>
          <w:rFonts w:hint="eastAsia" w:ascii="宋体" w:hAnsi="宋体" w:eastAsia="宋体" w:cs="宋体"/>
          <w:color w:val="auto"/>
          <w:sz w:val="22"/>
          <w:szCs w:val="22"/>
          <w:highlight w:val="none"/>
          <w:u w:val="single"/>
        </w:rPr>
        <w:t>泰顺县</w:t>
      </w:r>
    </w:p>
    <w:p w14:paraId="3A0CD8DC">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cs="宋体"/>
          <w:color w:val="auto"/>
          <w:kern w:val="2"/>
          <w:sz w:val="22"/>
          <w:szCs w:val="22"/>
          <w:highlight w:val="none"/>
          <w:u w:val="single"/>
          <w:lang w:eastAsia="zh-CN"/>
        </w:rPr>
      </w:pPr>
      <w:r>
        <w:rPr>
          <w:rFonts w:hint="eastAsia" w:ascii="宋体" w:hAnsi="宋体" w:eastAsia="宋体" w:cs="宋体"/>
          <w:color w:val="auto"/>
          <w:kern w:val="2"/>
          <w:sz w:val="22"/>
          <w:szCs w:val="22"/>
          <w:highlight w:val="none"/>
          <w:lang w:val="en-US" w:eastAsia="zh-CN"/>
        </w:rPr>
        <w:t>3.</w:t>
      </w:r>
      <w:r>
        <w:rPr>
          <w:rFonts w:hint="eastAsia" w:ascii="宋体" w:hAnsi="宋体" w:eastAsia="宋体" w:cs="宋体"/>
          <w:color w:val="auto"/>
          <w:kern w:val="2"/>
          <w:sz w:val="22"/>
          <w:szCs w:val="22"/>
          <w:highlight w:val="none"/>
        </w:rPr>
        <w:t>项目服务范围：</w:t>
      </w:r>
      <w:r>
        <w:rPr>
          <w:rFonts w:hint="eastAsia" w:ascii="宋体" w:hAnsi="宋体" w:cs="宋体"/>
          <w:bCs/>
          <w:color w:val="auto"/>
          <w:kern w:val="0"/>
          <w:sz w:val="22"/>
          <w:szCs w:val="22"/>
          <w:highlight w:val="none"/>
          <w:u w:val="single"/>
          <w:lang w:val="en-US" w:eastAsia="zh-CN"/>
        </w:rPr>
        <w:t>泰顺县彭溪镇峰文村牛塘垵简洋，设计面积约92.3亩</w:t>
      </w:r>
      <w:r>
        <w:rPr>
          <w:rFonts w:hint="eastAsia" w:ascii="宋体" w:hAnsi="宋体" w:cs="宋体"/>
          <w:color w:val="auto"/>
          <w:kern w:val="2"/>
          <w:sz w:val="22"/>
          <w:szCs w:val="22"/>
          <w:highlight w:val="none"/>
          <w:u w:val="single"/>
          <w:lang w:eastAsia="zh-CN"/>
        </w:rPr>
        <w:t>。</w:t>
      </w:r>
    </w:p>
    <w:p w14:paraId="0543F270">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kern w:val="2"/>
          <w:sz w:val="22"/>
          <w:szCs w:val="22"/>
          <w:highlight w:val="none"/>
          <w:u w:val="single"/>
          <w:lang w:eastAsia="zh-CN"/>
        </w:rPr>
      </w:pPr>
      <w:r>
        <w:rPr>
          <w:rFonts w:hint="eastAsia" w:ascii="宋体" w:hAnsi="宋体" w:eastAsia="宋体" w:cs="宋体"/>
          <w:color w:val="auto"/>
          <w:kern w:val="2"/>
          <w:sz w:val="22"/>
          <w:szCs w:val="22"/>
          <w:highlight w:val="none"/>
          <w:lang w:val="en-US" w:eastAsia="zh-CN"/>
        </w:rPr>
        <w:t>4.</w:t>
      </w:r>
      <w:r>
        <w:rPr>
          <w:rFonts w:hint="eastAsia" w:ascii="宋体" w:hAnsi="宋体" w:eastAsia="宋体" w:cs="宋体"/>
          <w:color w:val="auto"/>
          <w:kern w:val="2"/>
          <w:sz w:val="22"/>
          <w:szCs w:val="22"/>
          <w:highlight w:val="none"/>
        </w:rPr>
        <w:t>项目类型：</w:t>
      </w:r>
      <w:r>
        <w:rPr>
          <w:rFonts w:hint="eastAsia" w:ascii="宋体" w:hAnsi="宋体" w:cs="宋体"/>
          <w:color w:val="auto"/>
          <w:kern w:val="2"/>
          <w:sz w:val="22"/>
          <w:szCs w:val="22"/>
          <w:highlight w:val="none"/>
          <w:u w:val="single"/>
          <w:lang w:val="en-US" w:eastAsia="zh-CN"/>
        </w:rPr>
        <w:t>农田</w:t>
      </w:r>
      <w:r>
        <w:rPr>
          <w:rFonts w:hint="eastAsia" w:ascii="宋体" w:hAnsi="宋体" w:eastAsia="宋体" w:cs="宋体"/>
          <w:color w:val="auto"/>
          <w:kern w:val="2"/>
          <w:sz w:val="22"/>
          <w:szCs w:val="22"/>
          <w:highlight w:val="none"/>
          <w:u w:val="single"/>
          <w:lang w:eastAsia="zh-CN"/>
        </w:rPr>
        <w:t>。</w:t>
      </w:r>
    </w:p>
    <w:p w14:paraId="15BB3E6F">
      <w:pPr>
        <w:keepNext w:val="0"/>
        <w:keepLines w:val="0"/>
        <w:pageBreakBefore w:val="0"/>
        <w:widowControl/>
        <w:numPr>
          <w:ilvl w:val="0"/>
          <w:numId w:val="0"/>
        </w:numPr>
        <w:kinsoku/>
        <w:wordWrap/>
        <w:overflowPunct/>
        <w:topLinePunct w:val="0"/>
        <w:bidi w:val="0"/>
        <w:spacing w:line="400" w:lineRule="exact"/>
        <w:ind w:left="0" w:firstLine="440" w:firstLineChars="200"/>
        <w:textAlignment w:val="auto"/>
        <w:rPr>
          <w:rFonts w:hint="eastAsia" w:ascii="宋体" w:hAnsi="宋体" w:eastAsia="宋体" w:cs="宋体"/>
          <w:color w:val="auto"/>
          <w:kern w:val="2"/>
          <w:sz w:val="22"/>
          <w:szCs w:val="22"/>
          <w:highlight w:val="none"/>
          <w:u w:val="single"/>
        </w:rPr>
      </w:pPr>
      <w:r>
        <w:rPr>
          <w:rFonts w:hint="eastAsia" w:ascii="宋体" w:hAnsi="宋体" w:eastAsia="宋体" w:cs="宋体"/>
          <w:color w:val="auto"/>
          <w:kern w:val="2"/>
          <w:sz w:val="22"/>
          <w:szCs w:val="22"/>
          <w:highlight w:val="none"/>
          <w:lang w:val="en-US" w:eastAsia="zh-CN"/>
        </w:rPr>
        <w:t>5.</w:t>
      </w:r>
      <w:r>
        <w:rPr>
          <w:rFonts w:hint="eastAsia" w:ascii="宋体" w:hAnsi="宋体" w:eastAsia="宋体" w:cs="宋体"/>
          <w:color w:val="auto"/>
          <w:kern w:val="2"/>
          <w:sz w:val="22"/>
          <w:szCs w:val="22"/>
          <w:highlight w:val="none"/>
        </w:rPr>
        <w:t>项目</w:t>
      </w:r>
      <w:r>
        <w:rPr>
          <w:rFonts w:hint="eastAsia" w:ascii="宋体" w:hAnsi="宋体" w:eastAsia="宋体" w:cs="宋体"/>
          <w:color w:val="auto"/>
          <w:kern w:val="2"/>
          <w:sz w:val="22"/>
          <w:szCs w:val="22"/>
          <w:highlight w:val="none"/>
          <w:lang w:eastAsia="zh-CN"/>
        </w:rPr>
        <w:t>实施</w:t>
      </w:r>
      <w:r>
        <w:rPr>
          <w:rFonts w:hint="eastAsia" w:ascii="宋体" w:hAnsi="宋体" w:eastAsia="宋体" w:cs="宋体"/>
          <w:color w:val="auto"/>
          <w:kern w:val="2"/>
          <w:sz w:val="22"/>
          <w:szCs w:val="22"/>
          <w:highlight w:val="none"/>
        </w:rPr>
        <w:t>方式：</w:t>
      </w:r>
      <w:r>
        <w:rPr>
          <w:rFonts w:hint="eastAsia" w:ascii="宋体" w:hAnsi="宋体" w:eastAsia="宋体" w:cs="宋体"/>
          <w:bCs/>
          <w:color w:val="auto"/>
          <w:kern w:val="0"/>
          <w:sz w:val="22"/>
          <w:szCs w:val="22"/>
          <w:highlight w:val="none"/>
          <w:u w:val="single"/>
          <w:lang w:val="en-US" w:eastAsia="zh-CN"/>
        </w:rPr>
        <w:t>农村土地</w:t>
      </w:r>
      <w:r>
        <w:rPr>
          <w:rFonts w:hint="eastAsia" w:hAnsi="宋体" w:cs="宋体"/>
          <w:bCs/>
          <w:color w:val="auto"/>
          <w:kern w:val="0"/>
          <w:sz w:val="22"/>
          <w:szCs w:val="22"/>
          <w:highlight w:val="none"/>
          <w:u w:val="single"/>
          <w:lang w:val="en-US" w:eastAsia="zh-CN"/>
        </w:rPr>
        <w:t>宜机化改造</w:t>
      </w:r>
      <w:r>
        <w:rPr>
          <w:rFonts w:hint="eastAsia" w:ascii="宋体" w:hAnsi="宋体" w:eastAsia="宋体" w:cs="宋体"/>
          <w:bCs/>
          <w:color w:val="auto"/>
          <w:kern w:val="0"/>
          <w:sz w:val="22"/>
          <w:szCs w:val="22"/>
          <w:highlight w:val="none"/>
          <w:u w:val="single"/>
          <w:lang w:val="en-US" w:eastAsia="zh-CN"/>
        </w:rPr>
        <w:t>及项目运营</w:t>
      </w:r>
      <w:r>
        <w:rPr>
          <w:rFonts w:hint="eastAsia" w:ascii="宋体" w:hAnsi="宋体" w:eastAsia="宋体" w:cs="宋体"/>
          <w:color w:val="auto"/>
          <w:kern w:val="2"/>
          <w:sz w:val="22"/>
          <w:szCs w:val="22"/>
          <w:highlight w:val="none"/>
          <w:u w:val="single"/>
        </w:rPr>
        <w:t>。</w:t>
      </w:r>
    </w:p>
    <w:p w14:paraId="5A2E3D7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具体内容为：</w:t>
      </w:r>
    </w:p>
    <w:p w14:paraId="2AA98FA1">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宜机化改造部分</w:t>
      </w:r>
      <w:r>
        <w:rPr>
          <w:rFonts w:hint="eastAsia" w:ascii="宋体" w:hAnsi="宋体" w:eastAsia="宋体" w:cs="宋体"/>
          <w:bCs/>
          <w:color w:val="auto"/>
          <w:kern w:val="0"/>
          <w:sz w:val="22"/>
          <w:szCs w:val="22"/>
          <w:highlight w:val="none"/>
          <w:u w:val="none"/>
          <w:lang w:val="en-US" w:eastAsia="zh-CN"/>
        </w:rPr>
        <w:t>：包含农田土地平整、灌溉与排水、田间道路、农田防护与生态环境保持等全部费用，详见工程量清单，</w:t>
      </w:r>
      <w:r>
        <w:rPr>
          <w:rFonts w:hint="eastAsia" w:hAnsi="宋体" w:cs="宋体"/>
          <w:bCs/>
          <w:color w:val="auto"/>
          <w:kern w:val="0"/>
          <w:sz w:val="22"/>
          <w:szCs w:val="22"/>
          <w:highlight w:val="none"/>
          <w:u w:val="none"/>
          <w:lang w:val="en-US" w:eastAsia="zh-CN"/>
        </w:rPr>
        <w:t>甲方</w:t>
      </w:r>
      <w:r>
        <w:rPr>
          <w:rFonts w:hint="eastAsia" w:ascii="宋体" w:hAnsi="宋体" w:eastAsia="宋体" w:cs="宋体"/>
          <w:bCs/>
          <w:color w:val="auto"/>
          <w:kern w:val="0"/>
          <w:sz w:val="22"/>
          <w:szCs w:val="22"/>
          <w:highlight w:val="none"/>
          <w:u w:val="none"/>
          <w:lang w:val="en-US" w:eastAsia="zh-CN"/>
        </w:rPr>
        <w:t>按实际数量结算费用。供应商应注意考虑报价风险。实施期须在10个月内完成改造，</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质量要求为合格，</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质保期为自工程部分验收合格之日起至少1年。</w:t>
      </w:r>
    </w:p>
    <w:p w14:paraId="14A4E20C">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2）项目运营部分：</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实施完成后，进行耕种和管理养护。改造后耕种，主要负责水稻等粮油农作物、其他类作物的种植、培肥等；管理养护，主要负责项目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后工程建设的基础设施完整和修缮。按照</w:t>
      </w:r>
      <w:r>
        <w:rPr>
          <w:rFonts w:hint="eastAsia" w:hAnsi="宋体" w:cs="宋体"/>
          <w:bCs/>
          <w:color w:val="auto"/>
          <w:kern w:val="0"/>
          <w:sz w:val="22"/>
          <w:szCs w:val="22"/>
          <w:highlight w:val="none"/>
          <w:u w:val="none"/>
          <w:lang w:val="en-US" w:eastAsia="zh-CN"/>
        </w:rPr>
        <w:t>甲方</w:t>
      </w:r>
      <w:r>
        <w:rPr>
          <w:rFonts w:hint="eastAsia" w:ascii="宋体" w:hAnsi="宋体" w:eastAsia="宋体" w:cs="宋体"/>
          <w:bCs/>
          <w:color w:val="auto"/>
          <w:kern w:val="0"/>
          <w:sz w:val="22"/>
          <w:szCs w:val="22"/>
          <w:highlight w:val="none"/>
          <w:u w:val="none"/>
          <w:lang w:val="en-US" w:eastAsia="zh-CN"/>
        </w:rPr>
        <w:t>、主管部门要求进行种植，每年至少种植一季粮油作物，不得抛荒，种植耕种补助范围及规定按上级补助要求。垦后耕种要求达到县农业农村局的验收标准。由运营单位享有种植成果，运营单位应精耕细作，努力提高耕种的质量和产量。管理养护要求满足项目实施的质量控制标准，并由县主管部门进行验收。改造</w:t>
      </w:r>
      <w:r>
        <w:rPr>
          <w:rFonts w:hint="eastAsia" w:hAnsi="宋体" w:cs="宋体"/>
          <w:bCs/>
          <w:color w:val="auto"/>
          <w:kern w:val="0"/>
          <w:sz w:val="22"/>
          <w:szCs w:val="22"/>
          <w:highlight w:val="none"/>
          <w:u w:val="none"/>
          <w:lang w:val="en-US" w:eastAsia="zh-CN"/>
        </w:rPr>
        <w:t>验收</w:t>
      </w:r>
      <w:r>
        <w:rPr>
          <w:rFonts w:hint="eastAsia" w:ascii="宋体" w:hAnsi="宋体" w:eastAsia="宋体" w:cs="宋体"/>
          <w:bCs/>
          <w:color w:val="auto"/>
          <w:kern w:val="0"/>
          <w:sz w:val="22"/>
          <w:szCs w:val="22"/>
          <w:highlight w:val="none"/>
          <w:u w:val="none"/>
          <w:lang w:val="en-US" w:eastAsia="zh-CN"/>
        </w:rPr>
        <w:t>后</w:t>
      </w:r>
      <w:r>
        <w:rPr>
          <w:rFonts w:hint="eastAsia" w:hAnsi="宋体" w:cs="宋体"/>
          <w:bCs/>
          <w:color w:val="auto"/>
          <w:kern w:val="0"/>
          <w:sz w:val="22"/>
          <w:szCs w:val="22"/>
          <w:highlight w:val="none"/>
          <w:u w:val="none"/>
          <w:lang w:val="en-US" w:eastAsia="zh-CN"/>
        </w:rPr>
        <w:t>的</w:t>
      </w:r>
      <w:r>
        <w:rPr>
          <w:rFonts w:hint="eastAsia" w:ascii="宋体" w:hAnsi="宋体" w:eastAsia="宋体" w:cs="宋体"/>
          <w:bCs/>
          <w:color w:val="auto"/>
          <w:kern w:val="0"/>
          <w:sz w:val="22"/>
          <w:szCs w:val="22"/>
          <w:highlight w:val="none"/>
          <w:u w:val="none"/>
          <w:lang w:val="en-US" w:eastAsia="zh-CN"/>
        </w:rPr>
        <w:t>一年</w:t>
      </w:r>
      <w:r>
        <w:rPr>
          <w:rFonts w:hint="eastAsia" w:hAnsi="宋体" w:cs="宋体"/>
          <w:bCs/>
          <w:color w:val="auto"/>
          <w:kern w:val="0"/>
          <w:sz w:val="22"/>
          <w:szCs w:val="22"/>
          <w:highlight w:val="none"/>
          <w:u w:val="none"/>
          <w:lang w:val="en-US" w:eastAsia="zh-CN"/>
        </w:rPr>
        <w:t>为项目运营过渡期</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收益缴纳按上级政策和主管部门规定为准。</w:t>
      </w:r>
      <w:r>
        <w:rPr>
          <w:rFonts w:hint="eastAsia" w:ascii="宋体" w:hAnsi="宋体" w:eastAsia="宋体" w:cs="宋体"/>
          <w:bCs/>
          <w:color w:val="auto"/>
          <w:kern w:val="0"/>
          <w:sz w:val="22"/>
          <w:szCs w:val="22"/>
          <w:highlight w:val="none"/>
          <w:u w:val="none"/>
          <w:lang w:val="en-US" w:eastAsia="zh-CN"/>
        </w:rPr>
        <w:t>正式运营服务期：三年（</w:t>
      </w:r>
      <w:r>
        <w:rPr>
          <w:rFonts w:hint="eastAsia" w:hAnsi="宋体" w:cs="宋体"/>
          <w:bCs/>
          <w:color w:val="auto"/>
          <w:kern w:val="0"/>
          <w:sz w:val="22"/>
          <w:szCs w:val="22"/>
          <w:highlight w:val="none"/>
          <w:u w:val="none"/>
          <w:lang w:val="en-US" w:eastAsia="zh-CN"/>
        </w:rPr>
        <w:t>自过渡期满后开始计算，若上级政策及主管部门另有要求的，以其规定为准，中标方须无条件接受</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，运营期满后以</w:t>
      </w:r>
      <w:r>
        <w:rPr>
          <w:rFonts w:hint="eastAsia" w:ascii="宋体" w:hAnsi="宋体" w:eastAsia="宋体" w:cs="宋体"/>
          <w:bCs/>
          <w:color w:val="auto"/>
          <w:kern w:val="0"/>
          <w:sz w:val="22"/>
          <w:szCs w:val="22"/>
          <w:highlight w:val="none"/>
          <w:u w:val="none"/>
          <w:lang w:val="en-US" w:eastAsia="zh-CN"/>
        </w:rPr>
        <w:t>上级政策及主管部门</w:t>
      </w:r>
      <w:r>
        <w:rPr>
          <w:rFonts w:hint="eastAsia" w:hAnsi="宋体" w:cs="宋体"/>
          <w:bCs/>
          <w:color w:val="auto"/>
          <w:kern w:val="0"/>
          <w:sz w:val="22"/>
          <w:szCs w:val="22"/>
          <w:highlight w:val="none"/>
          <w:u w:val="none"/>
          <w:lang w:val="en-US" w:eastAsia="zh-CN"/>
        </w:rPr>
        <w:t>为准</w:t>
      </w:r>
      <w:r>
        <w:rPr>
          <w:rFonts w:hint="eastAsia" w:ascii="宋体" w:hAnsi="宋体" w:eastAsia="宋体" w:cs="宋体"/>
          <w:bCs/>
          <w:color w:val="auto"/>
          <w:kern w:val="0"/>
          <w:sz w:val="22"/>
          <w:szCs w:val="22"/>
          <w:highlight w:val="none"/>
          <w:u w:val="none"/>
          <w:lang w:val="en-US" w:eastAsia="zh-CN"/>
        </w:rPr>
        <w:t>。</w:t>
      </w:r>
    </w:p>
    <w:p w14:paraId="7BCF535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rPr>
      </w:pPr>
      <w:r>
        <w:rPr>
          <w:rFonts w:hint="eastAsia" w:ascii="宋体" w:hAnsi="宋体" w:eastAsia="宋体" w:cs="宋体"/>
          <w:bCs/>
          <w:color w:val="auto"/>
          <w:kern w:val="0"/>
          <w:sz w:val="22"/>
          <w:szCs w:val="22"/>
          <w:highlight w:val="none"/>
          <w:u w:val="none"/>
          <w:lang w:val="en-US" w:eastAsia="zh-CN"/>
        </w:rPr>
        <w:t>3）项目按立项文件要求，并通过县级验收，实现最终入库，完成</w:t>
      </w:r>
      <w:r>
        <w:rPr>
          <w:rFonts w:hint="eastAsia" w:hAnsi="宋体" w:cs="宋体"/>
          <w:bCs/>
          <w:color w:val="auto"/>
          <w:kern w:val="0"/>
          <w:sz w:val="22"/>
          <w:szCs w:val="22"/>
          <w:highlight w:val="none"/>
          <w:u w:val="none"/>
          <w:lang w:val="en-US" w:eastAsia="zh-CN"/>
        </w:rPr>
        <w:t>报备入库</w:t>
      </w:r>
      <w:r>
        <w:rPr>
          <w:rFonts w:hint="eastAsia" w:ascii="宋体" w:hAnsi="宋体" w:eastAsia="宋体" w:cs="宋体"/>
          <w:bCs/>
          <w:color w:val="auto"/>
          <w:kern w:val="0"/>
          <w:sz w:val="22"/>
          <w:szCs w:val="22"/>
          <w:highlight w:val="none"/>
        </w:rPr>
        <w:t>、</w:t>
      </w:r>
      <w:r>
        <w:rPr>
          <w:rFonts w:hint="eastAsia" w:ascii="宋体" w:hAnsi="宋体" w:eastAsia="宋体" w:cs="宋体"/>
          <w:bCs/>
          <w:color w:val="auto"/>
          <w:kern w:val="0"/>
          <w:sz w:val="22"/>
          <w:szCs w:val="22"/>
          <w:highlight w:val="none"/>
          <w:lang w:val="en-US" w:eastAsia="zh-CN"/>
        </w:rPr>
        <w:t>协助</w:t>
      </w:r>
      <w:r>
        <w:rPr>
          <w:rFonts w:hint="eastAsia" w:hAnsi="宋体" w:cs="宋体"/>
          <w:bCs/>
          <w:color w:val="auto"/>
          <w:kern w:val="0"/>
          <w:sz w:val="22"/>
          <w:szCs w:val="22"/>
          <w:highlight w:val="none"/>
          <w:lang w:val="en-US" w:eastAsia="zh-CN"/>
        </w:rPr>
        <w:t>甲方</w:t>
      </w:r>
      <w:r>
        <w:rPr>
          <w:rFonts w:hint="eastAsia" w:ascii="宋体" w:hAnsi="宋体" w:eastAsia="宋体" w:cs="宋体"/>
          <w:bCs/>
          <w:color w:val="auto"/>
          <w:kern w:val="0"/>
          <w:sz w:val="22"/>
          <w:szCs w:val="22"/>
          <w:highlight w:val="none"/>
          <w:lang w:val="en-US" w:eastAsia="zh-CN"/>
        </w:rPr>
        <w:t>备案、项目实施</w:t>
      </w:r>
      <w:r>
        <w:rPr>
          <w:rFonts w:hint="eastAsia" w:ascii="宋体" w:hAnsi="宋体" w:eastAsia="宋体" w:cs="宋体"/>
          <w:bCs/>
          <w:color w:val="auto"/>
          <w:kern w:val="0"/>
          <w:sz w:val="22"/>
          <w:szCs w:val="22"/>
          <w:highlight w:val="none"/>
        </w:rPr>
        <w:t>保险</w:t>
      </w:r>
      <w:r>
        <w:rPr>
          <w:rFonts w:hint="eastAsia" w:ascii="宋体" w:hAnsi="宋体" w:eastAsia="宋体" w:cs="宋体"/>
          <w:bCs/>
          <w:color w:val="auto"/>
          <w:kern w:val="0"/>
          <w:sz w:val="22"/>
          <w:szCs w:val="22"/>
          <w:highlight w:val="none"/>
          <w:lang w:eastAsia="zh-CN"/>
        </w:rPr>
        <w:t>、立项验收资料归档</w:t>
      </w:r>
      <w:r>
        <w:rPr>
          <w:rFonts w:hint="eastAsia" w:ascii="宋体" w:hAnsi="宋体" w:eastAsia="宋体" w:cs="宋体"/>
          <w:bCs/>
          <w:color w:val="auto"/>
          <w:kern w:val="0"/>
          <w:sz w:val="22"/>
          <w:szCs w:val="22"/>
          <w:highlight w:val="none"/>
          <w:lang w:val="en-US" w:eastAsia="zh-CN"/>
        </w:rPr>
        <w:t>等</w:t>
      </w:r>
      <w:r>
        <w:rPr>
          <w:rFonts w:hint="eastAsia" w:ascii="宋体" w:hAnsi="宋体" w:eastAsia="宋体" w:cs="宋体"/>
          <w:bCs/>
          <w:color w:val="auto"/>
          <w:kern w:val="0"/>
          <w:sz w:val="22"/>
          <w:szCs w:val="22"/>
          <w:highlight w:val="none"/>
        </w:rPr>
        <w:t>。</w:t>
      </w:r>
    </w:p>
    <w:p w14:paraId="02CF1F5C">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bCs/>
          <w:color w:val="auto"/>
          <w:kern w:val="0"/>
          <w:sz w:val="22"/>
          <w:szCs w:val="22"/>
          <w:highlight w:val="none"/>
          <w:u w:val="none"/>
          <w:lang w:val="en-US" w:eastAsia="zh-CN"/>
        </w:rPr>
        <w:t>6</w:t>
      </w:r>
      <w:r>
        <w:rPr>
          <w:rFonts w:hint="eastAsia" w:ascii="宋体" w:hAnsi="宋体" w:eastAsia="宋体" w:cs="宋体"/>
          <w:bCs/>
          <w:color w:val="auto"/>
          <w:kern w:val="0"/>
          <w:sz w:val="22"/>
          <w:szCs w:val="22"/>
          <w:highlight w:val="none"/>
          <w:u w:val="none"/>
          <w:lang w:val="en-US" w:eastAsia="zh-CN"/>
        </w:rPr>
        <w:t>.本项目通过</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后，对项目进行整体运营，采取运营收益上缴方式，</w:t>
      </w:r>
      <w:r>
        <w:rPr>
          <w:rFonts w:hint="eastAsia" w:hAnsi="宋体" w:cs="宋体"/>
          <w:bCs/>
          <w:color w:val="auto"/>
          <w:kern w:val="0"/>
          <w:sz w:val="22"/>
          <w:szCs w:val="22"/>
          <w:highlight w:val="none"/>
          <w:u w:val="none"/>
          <w:lang w:val="en-US" w:eastAsia="zh-CN"/>
        </w:rPr>
        <w:t>收益为</w:t>
      </w:r>
      <w:r>
        <w:rPr>
          <w:rFonts w:hint="eastAsia" w:hAnsi="宋体" w:cs="宋体"/>
          <w:bCs/>
          <w:color w:val="auto"/>
          <w:kern w:val="0"/>
          <w:sz w:val="22"/>
          <w:szCs w:val="22"/>
          <w:highlight w:val="none"/>
          <w:u w:val="single"/>
          <w:lang w:val="en-US" w:eastAsia="zh-CN"/>
        </w:rPr>
        <w:t xml:space="preserve">   </w:t>
      </w:r>
      <w:r>
        <w:rPr>
          <w:rFonts w:hint="eastAsia" w:ascii="宋体" w:hAnsi="宋体" w:eastAsia="宋体" w:cs="宋体"/>
          <w:bCs/>
          <w:color w:val="auto"/>
          <w:kern w:val="0"/>
          <w:sz w:val="22"/>
          <w:szCs w:val="22"/>
          <w:highlight w:val="none"/>
          <w:u w:val="none"/>
          <w:lang w:val="en-US" w:eastAsia="zh-CN"/>
        </w:rPr>
        <w:t>元/亩/年，按实际亩数计算上缴费用，运营收益，一年一交，在每年</w:t>
      </w:r>
      <w:r>
        <w:rPr>
          <w:rFonts w:hint="eastAsia" w:hAnsi="宋体" w:cs="宋体"/>
          <w:bCs/>
          <w:color w:val="auto"/>
          <w:kern w:val="0"/>
          <w:sz w:val="22"/>
          <w:szCs w:val="22"/>
          <w:highlight w:val="none"/>
          <w:u w:val="none"/>
          <w:lang w:val="en-US" w:eastAsia="zh-CN"/>
        </w:rPr>
        <w:t>度开始时</w:t>
      </w:r>
      <w:r>
        <w:rPr>
          <w:rFonts w:hint="eastAsia" w:ascii="宋体" w:hAnsi="宋体" w:eastAsia="宋体" w:cs="宋体"/>
          <w:bCs/>
          <w:color w:val="auto"/>
          <w:kern w:val="0"/>
          <w:sz w:val="22"/>
          <w:szCs w:val="22"/>
          <w:highlight w:val="none"/>
          <w:u w:val="none"/>
          <w:lang w:val="en-US" w:eastAsia="zh-CN"/>
        </w:rPr>
        <w:t>统一交入县财政专户。同时中标单位须根据实际</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亩数支付土地租金费用给村集体，本项目租金费用为</w:t>
      </w:r>
      <w:r>
        <w:rPr>
          <w:rFonts w:hint="eastAsia" w:ascii="宋体" w:hAnsi="宋体" w:eastAsia="宋体" w:cs="宋体"/>
          <w:bCs/>
          <w:color w:val="auto"/>
          <w:kern w:val="0"/>
          <w:sz w:val="22"/>
          <w:szCs w:val="22"/>
          <w:highlight w:val="none"/>
          <w:u w:val="single"/>
          <w:lang w:val="en-US" w:eastAsia="zh-CN"/>
        </w:rPr>
        <w:t xml:space="preserve"> </w:t>
      </w:r>
      <w:r>
        <w:rPr>
          <w:rFonts w:hint="eastAsia" w:hAnsi="宋体" w:cs="宋体"/>
          <w:bCs/>
          <w:color w:val="auto"/>
          <w:kern w:val="0"/>
          <w:sz w:val="22"/>
          <w:szCs w:val="22"/>
          <w:highlight w:val="none"/>
          <w:u w:val="single"/>
          <w:lang w:val="en-US" w:eastAsia="zh-CN"/>
        </w:rPr>
        <w:t xml:space="preserve">    </w:t>
      </w:r>
      <w:r>
        <w:rPr>
          <w:rFonts w:hint="eastAsia" w:ascii="宋体" w:hAnsi="宋体" w:eastAsia="宋体" w:cs="宋体"/>
          <w:bCs/>
          <w:color w:val="auto"/>
          <w:kern w:val="0"/>
          <w:sz w:val="22"/>
          <w:szCs w:val="22"/>
          <w:highlight w:val="none"/>
          <w:u w:val="none"/>
          <w:lang w:val="en-US" w:eastAsia="zh-CN"/>
        </w:rPr>
        <w:t>元/亩/年，</w:t>
      </w:r>
      <w:r>
        <w:rPr>
          <w:rFonts w:hint="eastAsia" w:hAnsi="宋体" w:cs="宋体"/>
          <w:bCs/>
          <w:color w:val="auto"/>
          <w:kern w:val="0"/>
          <w:sz w:val="22"/>
          <w:szCs w:val="22"/>
          <w:highlight w:val="none"/>
          <w:u w:val="none"/>
          <w:lang w:val="en-US" w:eastAsia="zh-CN"/>
        </w:rPr>
        <w:t>租金自实施改造进场施工之日起开始计算并一次性缴纳，具体</w:t>
      </w:r>
      <w:r>
        <w:rPr>
          <w:rFonts w:hint="eastAsia" w:ascii="宋体" w:hAnsi="宋体" w:eastAsia="宋体" w:cs="宋体"/>
          <w:bCs/>
          <w:color w:val="auto"/>
          <w:kern w:val="0"/>
          <w:sz w:val="22"/>
          <w:szCs w:val="22"/>
          <w:highlight w:val="none"/>
          <w:u w:val="none"/>
          <w:lang w:val="en-US" w:eastAsia="zh-CN"/>
        </w:rPr>
        <w:t>以中标后与村集体协商确定为准。</w:t>
      </w:r>
    </w:p>
    <w:p w14:paraId="414B9C9C">
      <w:pPr>
        <w:keepNext w:val="0"/>
        <w:keepLines w:val="0"/>
        <w:pageBreakBefore w:val="0"/>
        <w:kinsoku/>
        <w:wordWrap/>
        <w:overflowPunct/>
        <w:topLinePunct w:val="0"/>
        <w:autoSpaceDE/>
        <w:autoSpaceDN/>
        <w:bidi w:val="0"/>
        <w:spacing w:line="400" w:lineRule="exact"/>
        <w:ind w:firstLine="440" w:firstLineChars="200"/>
        <w:textAlignment w:val="auto"/>
        <w:outlineLvl w:val="9"/>
        <w:rPr>
          <w:rFonts w:hint="eastAsia" w:ascii="宋体" w:hAnsi="宋体" w:eastAsia="宋体" w:cs="宋体"/>
          <w:bCs/>
          <w:color w:val="auto"/>
          <w:kern w:val="0"/>
          <w:sz w:val="22"/>
          <w:szCs w:val="22"/>
          <w:highlight w:val="none"/>
          <w:u w:val="none"/>
          <w:lang w:val="en-US" w:eastAsia="zh-CN"/>
        </w:rPr>
      </w:pPr>
      <w:r>
        <w:rPr>
          <w:rFonts w:hint="eastAsia" w:ascii="宋体" w:hAnsi="宋体" w:cs="宋体"/>
          <w:bCs/>
          <w:color w:val="auto"/>
          <w:kern w:val="0"/>
          <w:sz w:val="22"/>
          <w:szCs w:val="22"/>
          <w:highlight w:val="none"/>
          <w:u w:val="none"/>
          <w:lang w:val="en-US" w:eastAsia="zh-CN"/>
        </w:rPr>
        <w:t>7</w:t>
      </w:r>
      <w:r>
        <w:rPr>
          <w:rFonts w:hint="eastAsia" w:ascii="宋体" w:hAnsi="宋体" w:eastAsia="宋体" w:cs="宋体"/>
          <w:bCs/>
          <w:color w:val="auto"/>
          <w:kern w:val="0"/>
          <w:sz w:val="22"/>
          <w:szCs w:val="22"/>
          <w:highlight w:val="none"/>
          <w:u w:val="none"/>
          <w:lang w:val="en-US" w:eastAsia="zh-CN"/>
        </w:rPr>
        <w:t>.未经</w:t>
      </w:r>
      <w:r>
        <w:rPr>
          <w:rFonts w:hint="eastAsia" w:ascii="宋体" w:hAnsi="宋体" w:cs="宋体"/>
          <w:bCs/>
          <w:color w:val="auto"/>
          <w:kern w:val="0"/>
          <w:sz w:val="22"/>
          <w:szCs w:val="22"/>
          <w:highlight w:val="none"/>
          <w:u w:val="none"/>
          <w:lang w:val="en-US" w:eastAsia="zh-CN"/>
        </w:rPr>
        <w:t>甲方、丙方</w:t>
      </w:r>
      <w:r>
        <w:rPr>
          <w:rFonts w:hint="eastAsia" w:ascii="宋体" w:hAnsi="宋体" w:eastAsia="宋体" w:cs="宋体"/>
          <w:bCs/>
          <w:color w:val="auto"/>
          <w:kern w:val="0"/>
          <w:sz w:val="22"/>
          <w:szCs w:val="22"/>
          <w:highlight w:val="none"/>
          <w:u w:val="none"/>
          <w:lang w:val="en-US" w:eastAsia="zh-CN"/>
        </w:rPr>
        <w:t>书面同意，不得进行转包、分包。</w:t>
      </w:r>
    </w:p>
    <w:p w14:paraId="2B190E3D">
      <w:pPr>
        <w:keepNext w:val="0"/>
        <w:keepLines w:val="0"/>
        <w:pageBreakBefore w:val="0"/>
        <w:kinsoku/>
        <w:wordWrap/>
        <w:overflowPunct/>
        <w:topLinePunct w:val="0"/>
        <w:autoSpaceDE/>
        <w:autoSpaceDN/>
        <w:bidi w:val="0"/>
        <w:spacing w:line="400" w:lineRule="exact"/>
        <w:ind w:firstLine="440" w:firstLineChars="200"/>
        <w:textAlignment w:val="auto"/>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8</w:t>
      </w:r>
      <w:r>
        <w:rPr>
          <w:rFonts w:hint="eastAsia" w:ascii="宋体" w:hAnsi="宋体" w:eastAsia="宋体" w:cs="宋体"/>
          <w:color w:val="auto"/>
          <w:sz w:val="22"/>
          <w:szCs w:val="22"/>
          <w:highlight w:val="none"/>
        </w:rPr>
        <w:t>.下列文件应视为构成合同文件的组成部分：</w:t>
      </w:r>
    </w:p>
    <w:p w14:paraId="02B173F5">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（1）合同协议书及各种合同附件(含补充协议、评标期间和合同谈判过程中的澄清文件和补充资料)；</w:t>
      </w:r>
    </w:p>
    <w:p w14:paraId="1F3C8B7D">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招标文件</w:t>
      </w:r>
      <w:r>
        <w:rPr>
          <w:rFonts w:hint="eastAsia" w:ascii="宋体" w:hAnsi="宋体" w:eastAsia="宋体" w:cs="宋体"/>
          <w:color w:val="auto"/>
          <w:sz w:val="22"/>
          <w:szCs w:val="22"/>
          <w:highlight w:val="none"/>
        </w:rPr>
        <w:t>；</w:t>
      </w:r>
    </w:p>
    <w:p w14:paraId="7AD0056A">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中标（成交）</w:t>
      </w:r>
      <w:r>
        <w:rPr>
          <w:rFonts w:hint="eastAsia" w:ascii="宋体" w:hAnsi="宋体" w:eastAsia="宋体" w:cs="宋体"/>
          <w:color w:val="auto"/>
          <w:sz w:val="22"/>
          <w:szCs w:val="22"/>
          <w:highlight w:val="none"/>
        </w:rPr>
        <w:t>通知书；</w:t>
      </w:r>
    </w:p>
    <w:p w14:paraId="432DB5C9">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（4）国家及行业标准、规范及有关技术资料</w:t>
      </w:r>
    </w:p>
    <w:p w14:paraId="28A5BDB7">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投标文件</w:t>
      </w:r>
      <w:r>
        <w:rPr>
          <w:rFonts w:hint="eastAsia" w:ascii="宋体" w:hAnsi="宋体" w:eastAsia="宋体" w:cs="宋体"/>
          <w:color w:val="auto"/>
          <w:sz w:val="22"/>
          <w:szCs w:val="22"/>
          <w:highlight w:val="none"/>
        </w:rPr>
        <w:t>；</w:t>
      </w:r>
    </w:p>
    <w:p w14:paraId="6B536B8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）其他合同文件。</w:t>
      </w:r>
    </w:p>
    <w:p w14:paraId="3DFB1AD7">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9</w:t>
      </w:r>
      <w:r>
        <w:rPr>
          <w:rFonts w:hint="eastAsia" w:ascii="宋体" w:hAnsi="宋体" w:eastAsia="宋体" w:cs="宋体"/>
          <w:color w:val="auto"/>
          <w:sz w:val="22"/>
          <w:szCs w:val="22"/>
          <w:highlight w:val="none"/>
        </w:rPr>
        <w:t>.上述文件互相补充和解释，如有不明确或不一致之处，以合同约定次序在先者为准。</w:t>
      </w:r>
    </w:p>
    <w:p w14:paraId="26B633FC">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10</w:t>
      </w:r>
      <w:r>
        <w:rPr>
          <w:rFonts w:hint="eastAsia" w:ascii="宋体" w:hAnsi="宋体" w:eastAsia="宋体" w:cs="宋体"/>
          <w:color w:val="auto"/>
          <w:sz w:val="22"/>
          <w:szCs w:val="22"/>
          <w:highlight w:val="none"/>
        </w:rPr>
        <w:t>.签约合同价：</w:t>
      </w:r>
    </w:p>
    <w:p w14:paraId="62DB1385">
      <w:pPr>
        <w:keepNext w:val="0"/>
        <w:keepLines w:val="0"/>
        <w:pageBreakBefore w:val="0"/>
        <w:kinsoku/>
        <w:wordWrap/>
        <w:overflowPunct/>
        <w:topLinePunct w:val="0"/>
        <w:bidi w:val="0"/>
        <w:snapToGrid w:val="0"/>
        <w:spacing w:line="400" w:lineRule="exact"/>
        <w:ind w:firstLine="389" w:firstLineChars="176"/>
        <w:textAlignment w:val="auto"/>
        <w:rPr>
          <w:rFonts w:hint="eastAsia" w:ascii="宋体" w:hAnsi="宋体" w:eastAsia="宋体" w:cs="宋体"/>
          <w:b/>
          <w:bCs/>
          <w:color w:val="auto"/>
          <w:kern w:val="2"/>
          <w:sz w:val="22"/>
          <w:szCs w:val="22"/>
          <w:highlight w:val="none"/>
          <w:u w:val="none"/>
          <w:lang w:eastAsia="zh-CN"/>
        </w:rPr>
      </w:pPr>
      <w:r>
        <w:rPr>
          <w:rFonts w:hint="eastAsia" w:ascii="宋体" w:hAnsi="宋体" w:eastAsia="宋体" w:cs="宋体"/>
          <w:b/>
          <w:bCs/>
          <w:color w:val="auto"/>
          <w:kern w:val="2"/>
          <w:sz w:val="22"/>
          <w:szCs w:val="22"/>
          <w:highlight w:val="none"/>
          <w:u w:val="none"/>
        </w:rPr>
        <w:t>本项目为</w:t>
      </w:r>
      <w:r>
        <w:rPr>
          <w:rFonts w:hint="eastAsia" w:ascii="宋体" w:hAnsi="宋体" w:eastAsia="宋体" w:cs="宋体"/>
          <w:b/>
          <w:bCs/>
          <w:color w:val="auto"/>
          <w:kern w:val="2"/>
          <w:sz w:val="22"/>
          <w:szCs w:val="22"/>
          <w:highlight w:val="none"/>
          <w:u w:val="single"/>
        </w:rPr>
        <w:t>固定</w:t>
      </w:r>
      <w:r>
        <w:rPr>
          <w:rFonts w:hint="eastAsia" w:ascii="宋体" w:hAnsi="宋体" w:eastAsia="宋体" w:cs="宋体"/>
          <w:b/>
          <w:bCs/>
          <w:color w:val="auto"/>
          <w:kern w:val="2"/>
          <w:sz w:val="22"/>
          <w:szCs w:val="22"/>
          <w:highlight w:val="none"/>
          <w:u w:val="single"/>
          <w:lang w:val="en-US" w:eastAsia="zh-CN"/>
        </w:rPr>
        <w:t>单价</w:t>
      </w:r>
      <w:r>
        <w:rPr>
          <w:rFonts w:hint="eastAsia" w:ascii="宋体" w:hAnsi="宋体" w:eastAsia="宋体" w:cs="宋体"/>
          <w:b/>
          <w:bCs/>
          <w:color w:val="auto"/>
          <w:kern w:val="2"/>
          <w:sz w:val="22"/>
          <w:szCs w:val="22"/>
          <w:highlight w:val="none"/>
          <w:u w:val="single"/>
        </w:rPr>
        <w:t>合同</w:t>
      </w:r>
      <w:r>
        <w:rPr>
          <w:rFonts w:hint="eastAsia" w:ascii="宋体" w:hAnsi="宋体" w:cs="宋体"/>
          <w:b/>
          <w:bCs/>
          <w:color w:val="auto"/>
          <w:kern w:val="2"/>
          <w:sz w:val="22"/>
          <w:szCs w:val="22"/>
          <w:highlight w:val="none"/>
          <w:u w:val="single"/>
          <w:lang w:eastAsia="zh-CN"/>
        </w:rPr>
        <w:t>，</w:t>
      </w:r>
      <w:r>
        <w:rPr>
          <w:rFonts w:hint="eastAsia" w:ascii="宋体" w:hAnsi="宋体" w:cs="宋体"/>
          <w:b/>
          <w:bCs/>
          <w:color w:val="auto"/>
          <w:kern w:val="2"/>
          <w:sz w:val="22"/>
          <w:szCs w:val="22"/>
          <w:highlight w:val="none"/>
          <w:u w:val="single"/>
          <w:lang w:val="en-US" w:eastAsia="zh-CN"/>
        </w:rPr>
        <w:t>参照中标下浮率计算中标单价</w:t>
      </w:r>
      <w:r>
        <w:rPr>
          <w:rFonts w:hint="eastAsia" w:ascii="宋体" w:hAnsi="宋体" w:eastAsia="宋体" w:cs="宋体"/>
          <w:b/>
          <w:bCs/>
          <w:color w:val="auto"/>
          <w:kern w:val="2"/>
          <w:sz w:val="22"/>
          <w:szCs w:val="22"/>
          <w:highlight w:val="none"/>
          <w:u w:val="none"/>
          <w:lang w:eastAsia="zh-CN"/>
        </w:rPr>
        <w:t>。</w:t>
      </w:r>
    </w:p>
    <w:p w14:paraId="7B2D5ED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bCs/>
          <w:color w:val="auto"/>
          <w:kern w:val="0"/>
          <w:sz w:val="22"/>
          <w:szCs w:val="22"/>
          <w:highlight w:val="none"/>
          <w:u w:val="none"/>
          <w:lang w:val="en-US" w:eastAsia="zh-CN"/>
        </w:rPr>
        <w:t>10.1改造</w:t>
      </w:r>
      <w:r>
        <w:rPr>
          <w:rFonts w:hint="eastAsia" w:ascii="宋体" w:hAnsi="宋体" w:eastAsia="宋体" w:cs="宋体"/>
          <w:bCs/>
          <w:color w:val="auto"/>
          <w:kern w:val="0"/>
          <w:sz w:val="22"/>
          <w:szCs w:val="22"/>
          <w:highlight w:val="none"/>
          <w:u w:val="none"/>
          <w:lang w:val="en-US" w:eastAsia="zh-CN"/>
        </w:rPr>
        <w:t>实施部分</w:t>
      </w:r>
      <w:r>
        <w:rPr>
          <w:rFonts w:hint="eastAsia" w:hAnsi="宋体" w:cs="宋体"/>
          <w:bCs/>
          <w:color w:val="auto"/>
          <w:kern w:val="0"/>
          <w:sz w:val="22"/>
          <w:szCs w:val="22"/>
          <w:highlight w:val="none"/>
          <w:u w:val="none"/>
          <w:lang w:val="en-US" w:eastAsia="zh-CN"/>
        </w:rPr>
        <w:t>价格</w:t>
      </w:r>
      <w:r>
        <w:rPr>
          <w:rFonts w:hint="eastAsia" w:ascii="宋体" w:hAnsi="宋体" w:eastAsia="宋体" w:cs="宋体"/>
          <w:bCs/>
          <w:color w:val="auto"/>
          <w:kern w:val="0"/>
          <w:sz w:val="22"/>
          <w:szCs w:val="22"/>
          <w:highlight w:val="none"/>
          <w:u w:val="none"/>
          <w:lang w:val="en-US" w:eastAsia="zh-CN"/>
        </w:rPr>
        <w:t>。即完成该项目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实施所需的一切费用，根据工程量清单进行下浮率</w:t>
      </w:r>
      <w:r>
        <w:rPr>
          <w:rFonts w:hint="eastAsia" w:hAnsi="宋体" w:cs="宋体"/>
          <w:bCs/>
          <w:color w:val="auto"/>
          <w:kern w:val="0"/>
          <w:sz w:val="22"/>
          <w:szCs w:val="22"/>
          <w:highlight w:val="none"/>
          <w:u w:val="none"/>
          <w:lang w:val="en-US" w:eastAsia="zh-CN"/>
        </w:rPr>
        <w:t>结算</w:t>
      </w:r>
      <w:r>
        <w:rPr>
          <w:rFonts w:hint="eastAsia" w:ascii="宋体" w:hAnsi="宋体" w:eastAsia="宋体" w:cs="宋体"/>
          <w:bCs/>
          <w:color w:val="auto"/>
          <w:kern w:val="0"/>
          <w:sz w:val="22"/>
          <w:szCs w:val="22"/>
          <w:highlight w:val="none"/>
          <w:u w:val="none"/>
          <w:lang w:val="en-US" w:eastAsia="zh-CN"/>
        </w:rPr>
        <w:t>。</w:t>
      </w:r>
    </w:p>
    <w:p w14:paraId="434BC570">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按照县农业农村部门、县财政部门审定的项目规划设计文件，由</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以中标单价结算，包含实施工程量增加、变更等不可预见风险，不包含国家或部门法律、法规等政策变化造成的损失，但由</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责任引起实施期延误的除外。</w:t>
      </w:r>
    </w:p>
    <w:p w14:paraId="3E9AAD4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bCs/>
          <w:color w:val="auto"/>
          <w:kern w:val="0"/>
          <w:sz w:val="22"/>
          <w:szCs w:val="22"/>
          <w:highlight w:val="none"/>
          <w:u w:val="none"/>
          <w:lang w:val="en-US" w:eastAsia="zh-CN"/>
        </w:rPr>
        <w:t>宜机化改造部分</w:t>
      </w:r>
      <w:r>
        <w:rPr>
          <w:rFonts w:hint="eastAsia" w:ascii="宋体" w:hAnsi="宋体" w:eastAsia="宋体" w:cs="宋体"/>
          <w:bCs/>
          <w:color w:val="auto"/>
          <w:kern w:val="0"/>
          <w:sz w:val="22"/>
          <w:szCs w:val="22"/>
          <w:highlight w:val="none"/>
          <w:u w:val="none"/>
          <w:lang w:val="en-US" w:eastAsia="zh-CN"/>
        </w:rPr>
        <w:t>验收后，其结算价=实际工程量*（1-</w:t>
      </w:r>
      <w:r>
        <w:rPr>
          <w:rFonts w:hint="eastAsia" w:hAnsi="宋体" w:cs="宋体"/>
          <w:bCs/>
          <w:color w:val="auto"/>
          <w:kern w:val="0"/>
          <w:sz w:val="22"/>
          <w:szCs w:val="22"/>
          <w:highlight w:val="none"/>
          <w:u w:val="single"/>
          <w:lang w:val="en-US" w:eastAsia="zh-CN"/>
        </w:rPr>
        <w:t xml:space="preserve">           </w:t>
      </w:r>
      <w:r>
        <w:rPr>
          <w:rFonts w:hint="eastAsia" w:hAnsi="宋体" w:cs="宋体"/>
          <w:bCs/>
          <w:color w:val="auto"/>
          <w:kern w:val="0"/>
          <w:sz w:val="22"/>
          <w:szCs w:val="22"/>
          <w:highlight w:val="none"/>
          <w:u w:val="none"/>
          <w:lang w:val="en-US" w:eastAsia="zh-CN"/>
        </w:rPr>
        <w:t xml:space="preserve">   </w:t>
      </w:r>
      <w:r>
        <w:rPr>
          <w:rFonts w:hint="eastAsia" w:ascii="宋体" w:hAnsi="宋体" w:eastAsia="宋体" w:cs="宋体"/>
          <w:bCs/>
          <w:color w:val="auto"/>
          <w:kern w:val="0"/>
          <w:sz w:val="22"/>
          <w:szCs w:val="22"/>
          <w:highlight w:val="none"/>
          <w:u w:val="none"/>
          <w:lang w:val="en-US" w:eastAsia="zh-CN"/>
        </w:rPr>
        <w:t>）*单价，暂列金、预留金、暂估价等不下浮。</w:t>
      </w:r>
    </w:p>
    <w:p w14:paraId="794FE90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val="0"/>
          <w:color w:val="auto"/>
          <w:kern w:val="2"/>
          <w:sz w:val="22"/>
          <w:szCs w:val="22"/>
          <w:highlight w:val="none"/>
          <w:lang w:val="en-US" w:eastAsia="zh-CN"/>
        </w:rPr>
      </w:pPr>
      <w:r>
        <w:rPr>
          <w:rFonts w:hint="eastAsia" w:hAnsi="宋体" w:cs="宋体"/>
          <w:bCs/>
          <w:color w:val="auto"/>
          <w:kern w:val="0"/>
          <w:sz w:val="22"/>
          <w:szCs w:val="22"/>
          <w:highlight w:val="none"/>
          <w:u w:val="none"/>
          <w:lang w:val="en-US" w:eastAsia="zh-CN"/>
        </w:rPr>
        <w:t>10.2</w:t>
      </w:r>
      <w:r>
        <w:rPr>
          <w:rFonts w:hint="eastAsia" w:ascii="宋体" w:hAnsi="宋体" w:eastAsia="宋体" w:cs="宋体"/>
          <w:bCs/>
          <w:color w:val="auto"/>
          <w:kern w:val="0"/>
          <w:sz w:val="22"/>
          <w:szCs w:val="22"/>
          <w:highlight w:val="none"/>
          <w:u w:val="none"/>
          <w:lang w:val="en-US" w:eastAsia="zh-CN"/>
        </w:rPr>
        <w:t>项目运营收益部分</w:t>
      </w:r>
      <w:r>
        <w:rPr>
          <w:rFonts w:hint="eastAsia" w:hAnsi="宋体" w:cs="宋体"/>
          <w:bCs/>
          <w:color w:val="auto"/>
          <w:kern w:val="0"/>
          <w:sz w:val="22"/>
          <w:szCs w:val="22"/>
          <w:highlight w:val="none"/>
          <w:u w:val="none"/>
          <w:lang w:val="en-US" w:eastAsia="zh-CN"/>
        </w:rPr>
        <w:t>价格</w:t>
      </w:r>
      <w:r>
        <w:rPr>
          <w:rFonts w:hint="eastAsia" w:ascii="宋体" w:hAnsi="宋体" w:eastAsia="宋体" w:cs="宋体"/>
          <w:bCs/>
          <w:color w:val="auto"/>
          <w:kern w:val="0"/>
          <w:sz w:val="22"/>
          <w:szCs w:val="22"/>
          <w:highlight w:val="none"/>
          <w:u w:val="none"/>
          <w:lang w:val="en-US" w:eastAsia="zh-CN"/>
        </w:rPr>
        <w:t>。每亩年收益价格</w:t>
      </w:r>
      <w:r>
        <w:rPr>
          <w:rFonts w:hint="eastAsia" w:ascii="宋体" w:hAnsi="宋体" w:eastAsia="宋体" w:cs="宋体"/>
          <w:bCs/>
          <w:color w:val="auto"/>
          <w:kern w:val="0"/>
          <w:sz w:val="22"/>
          <w:szCs w:val="22"/>
          <w:highlight w:val="none"/>
          <w:u w:val="single"/>
          <w:lang w:val="en-US" w:eastAsia="zh-CN"/>
        </w:rPr>
        <w:t xml:space="preserve">           </w:t>
      </w:r>
      <w:r>
        <w:rPr>
          <w:rFonts w:hint="eastAsia" w:ascii="宋体" w:hAnsi="宋体" w:eastAsia="宋体" w:cs="宋体"/>
          <w:bCs/>
          <w:color w:val="auto"/>
          <w:kern w:val="0"/>
          <w:sz w:val="22"/>
          <w:szCs w:val="22"/>
          <w:highlight w:val="none"/>
          <w:u w:val="none"/>
          <w:lang w:val="en-US" w:eastAsia="zh-CN"/>
        </w:rPr>
        <w:t>元/亩/年。</w:t>
      </w:r>
    </w:p>
    <w:p w14:paraId="56817F10">
      <w:pPr>
        <w:keepNext w:val="0"/>
        <w:keepLines w:val="0"/>
        <w:pageBreakBefore w:val="0"/>
        <w:widowControl/>
        <w:numPr>
          <w:ilvl w:val="-1"/>
          <w:numId w:val="0"/>
        </w:numPr>
        <w:kinsoku/>
        <w:wordWrap/>
        <w:overflowPunct/>
        <w:topLinePunct w:val="0"/>
        <w:bidi w:val="0"/>
        <w:snapToGrid w:val="0"/>
        <w:spacing w:line="400" w:lineRule="exact"/>
        <w:ind w:leftChars="0" w:firstLine="387" w:firstLineChars="176"/>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注：以上费用均包含税费。</w:t>
      </w:r>
    </w:p>
    <w:p w14:paraId="69002DE3">
      <w:pPr>
        <w:keepNext w:val="0"/>
        <w:keepLines w:val="0"/>
        <w:pageBreakBefore w:val="0"/>
        <w:widowControl/>
        <w:numPr>
          <w:ilvl w:val="0"/>
          <w:numId w:val="0"/>
        </w:numPr>
        <w:kinsoku/>
        <w:wordWrap/>
        <w:overflowPunct/>
        <w:topLinePunct w:val="0"/>
        <w:bidi w:val="0"/>
        <w:snapToGrid w:val="0"/>
        <w:spacing w:line="400" w:lineRule="exact"/>
        <w:ind w:left="420" w:leftChars="0"/>
        <w:jc w:val="left"/>
        <w:textAlignment w:val="auto"/>
        <w:rPr>
          <w:rFonts w:hint="eastAsia" w:ascii="宋体" w:hAnsi="宋体" w:eastAsia="宋体" w:cs="宋体"/>
          <w:color w:val="auto"/>
          <w:kern w:val="2"/>
          <w:sz w:val="22"/>
          <w:szCs w:val="22"/>
          <w:highlight w:val="none"/>
          <w:u w:val="none"/>
        </w:rPr>
      </w:pPr>
      <w:r>
        <w:rPr>
          <w:rFonts w:hint="eastAsia" w:ascii="宋体" w:hAnsi="宋体" w:eastAsia="宋体" w:cs="宋体"/>
          <w:bCs w:val="0"/>
          <w:color w:val="auto"/>
          <w:kern w:val="2"/>
          <w:sz w:val="22"/>
          <w:szCs w:val="22"/>
          <w:highlight w:val="none"/>
          <w:lang w:val="en-US" w:eastAsia="zh-CN"/>
        </w:rPr>
        <w:t>11.</w:t>
      </w:r>
      <w:r>
        <w:rPr>
          <w:rFonts w:hint="eastAsia" w:ascii="宋体" w:hAnsi="宋体" w:eastAsia="宋体" w:cs="宋体"/>
          <w:color w:val="auto"/>
          <w:kern w:val="2"/>
          <w:sz w:val="22"/>
          <w:szCs w:val="22"/>
          <w:highlight w:val="none"/>
          <w:u w:val="none"/>
          <w:lang w:val="en-US" w:eastAsia="zh-CN"/>
        </w:rPr>
        <w:t>乙方</w:t>
      </w:r>
      <w:r>
        <w:rPr>
          <w:rFonts w:hint="eastAsia" w:ascii="宋体" w:hAnsi="宋体" w:eastAsia="宋体" w:cs="宋体"/>
          <w:color w:val="auto"/>
          <w:kern w:val="2"/>
          <w:sz w:val="22"/>
          <w:szCs w:val="22"/>
          <w:highlight w:val="none"/>
          <w:u w:val="none"/>
        </w:rPr>
        <w:t>认为为完成本</w:t>
      </w:r>
      <w:r>
        <w:rPr>
          <w:rFonts w:hint="eastAsia" w:ascii="宋体" w:hAnsi="宋体" w:eastAsia="宋体" w:cs="宋体"/>
          <w:color w:val="auto"/>
          <w:kern w:val="2"/>
          <w:sz w:val="22"/>
          <w:szCs w:val="22"/>
          <w:highlight w:val="none"/>
          <w:u w:val="none"/>
          <w:lang w:val="en-US" w:eastAsia="zh-CN"/>
        </w:rPr>
        <w:t>合同</w:t>
      </w:r>
      <w:r>
        <w:rPr>
          <w:rFonts w:hint="eastAsia" w:ascii="宋体" w:hAnsi="宋体" w:eastAsia="宋体" w:cs="宋体"/>
          <w:color w:val="auto"/>
          <w:kern w:val="2"/>
          <w:sz w:val="22"/>
          <w:szCs w:val="22"/>
          <w:highlight w:val="none"/>
          <w:u w:val="none"/>
        </w:rPr>
        <w:t>规定的项目承包内容所需发生的直接成本、间接成本、利润、税</w:t>
      </w:r>
    </w:p>
    <w:p w14:paraId="59C6D2FA">
      <w:pPr>
        <w:keepNext w:val="0"/>
        <w:keepLines w:val="0"/>
        <w:pageBreakBefore w:val="0"/>
        <w:widowControl/>
        <w:numPr>
          <w:ilvl w:val="0"/>
          <w:numId w:val="0"/>
        </w:numPr>
        <w:kinsoku/>
        <w:wordWrap/>
        <w:overflowPunct/>
        <w:topLinePunct w:val="0"/>
        <w:bidi w:val="0"/>
        <w:snapToGrid w:val="0"/>
        <w:spacing w:line="400" w:lineRule="exact"/>
        <w:jc w:val="left"/>
        <w:textAlignment w:val="auto"/>
        <w:rPr>
          <w:rFonts w:hint="eastAsia" w:ascii="宋体" w:hAnsi="宋体" w:eastAsia="宋体" w:cs="宋体"/>
          <w:bCs w:val="0"/>
          <w:color w:val="auto"/>
          <w:kern w:val="2"/>
          <w:sz w:val="22"/>
          <w:szCs w:val="22"/>
          <w:highlight w:val="none"/>
          <w:lang w:val="en-US" w:eastAsia="zh-CN"/>
        </w:rPr>
      </w:pPr>
      <w:r>
        <w:rPr>
          <w:rFonts w:hint="eastAsia" w:ascii="宋体" w:hAnsi="宋体" w:eastAsia="宋体" w:cs="宋体"/>
          <w:color w:val="auto"/>
          <w:kern w:val="2"/>
          <w:sz w:val="22"/>
          <w:szCs w:val="22"/>
          <w:highlight w:val="none"/>
          <w:u w:val="none"/>
        </w:rPr>
        <w:t>金、政策性文件规定的费用等一切费用均应计入</w:t>
      </w:r>
      <w:r>
        <w:rPr>
          <w:rFonts w:hint="eastAsia" w:ascii="宋体" w:hAnsi="宋体" w:eastAsia="宋体" w:cs="宋体"/>
          <w:color w:val="auto"/>
          <w:kern w:val="2"/>
          <w:sz w:val="22"/>
          <w:szCs w:val="22"/>
          <w:highlight w:val="none"/>
          <w:u w:val="none"/>
          <w:lang w:val="en-US" w:eastAsia="zh-CN"/>
        </w:rPr>
        <w:t>合同价</w:t>
      </w:r>
      <w:r>
        <w:rPr>
          <w:rFonts w:hint="eastAsia" w:ascii="宋体" w:hAnsi="宋体" w:eastAsia="宋体" w:cs="宋体"/>
          <w:color w:val="auto"/>
          <w:kern w:val="2"/>
          <w:sz w:val="22"/>
          <w:szCs w:val="22"/>
          <w:highlight w:val="none"/>
          <w:u w:val="none"/>
        </w:rPr>
        <w:t>；凡未列入的，将被认为均已包含在</w:t>
      </w:r>
      <w:r>
        <w:rPr>
          <w:rFonts w:hint="eastAsia" w:ascii="宋体" w:hAnsi="宋体" w:eastAsia="宋体" w:cs="宋体"/>
          <w:color w:val="auto"/>
          <w:kern w:val="2"/>
          <w:sz w:val="22"/>
          <w:szCs w:val="22"/>
          <w:highlight w:val="none"/>
          <w:u w:val="none"/>
          <w:lang w:val="en-US" w:eastAsia="zh-CN"/>
        </w:rPr>
        <w:t>合同价</w:t>
      </w:r>
      <w:r>
        <w:rPr>
          <w:rFonts w:hint="eastAsia" w:ascii="宋体" w:hAnsi="宋体" w:eastAsia="宋体" w:cs="宋体"/>
          <w:color w:val="auto"/>
          <w:kern w:val="2"/>
          <w:sz w:val="22"/>
          <w:szCs w:val="22"/>
          <w:highlight w:val="none"/>
          <w:u w:val="none"/>
        </w:rPr>
        <w:t>中，今后不得以任何理由追加或调整。</w:t>
      </w:r>
    </w:p>
    <w:p w14:paraId="0A5DF0DC">
      <w:pPr>
        <w:keepNext w:val="0"/>
        <w:keepLines w:val="0"/>
        <w:pageBreakBefore w:val="0"/>
        <w:kinsoku/>
        <w:wordWrap/>
        <w:overflowPunct/>
        <w:topLinePunct w:val="0"/>
        <w:bidi w:val="0"/>
        <w:snapToGri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12</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lang w:val="en-US" w:eastAsia="zh-CN"/>
        </w:rPr>
        <w:t>运营部分</w:t>
      </w:r>
      <w:r>
        <w:rPr>
          <w:rFonts w:hint="eastAsia" w:ascii="宋体" w:hAnsi="宋体" w:eastAsia="宋体" w:cs="宋体"/>
          <w:color w:val="auto"/>
          <w:sz w:val="22"/>
          <w:szCs w:val="22"/>
          <w:highlight w:val="none"/>
        </w:rPr>
        <w:t>项目负责人：</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6FB125A">
      <w:pPr>
        <w:keepNext w:val="0"/>
        <w:keepLines w:val="0"/>
        <w:pageBreakBefore w:val="0"/>
        <w:kinsoku/>
        <w:wordWrap/>
        <w:overflowPunct/>
        <w:topLinePunct w:val="0"/>
        <w:bidi w:val="0"/>
        <w:snapToGrid w:val="0"/>
        <w:spacing w:line="400" w:lineRule="exact"/>
        <w:ind w:firstLine="660" w:firstLineChars="3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宜机化改造部分</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负责人：</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p>
    <w:p w14:paraId="42B7C4A2">
      <w:pPr>
        <w:keepNext w:val="0"/>
        <w:keepLines w:val="0"/>
        <w:pageBreakBefore w:val="0"/>
        <w:kinsoku/>
        <w:wordWrap/>
        <w:overflowPunct/>
        <w:topLinePunct w:val="0"/>
        <w:bidi w:val="0"/>
        <w:spacing w:line="400" w:lineRule="exact"/>
        <w:ind w:firstLine="440" w:firstLineChars="200"/>
        <w:textAlignment w:val="auto"/>
        <w:outlineLvl w:val="0"/>
        <w:rPr>
          <w:rFonts w:hint="eastAsia" w:ascii="宋体" w:hAnsi="宋体" w:eastAsia="宋体" w:cs="宋体"/>
          <w:color w:val="auto"/>
          <w:sz w:val="22"/>
          <w:szCs w:val="22"/>
          <w:highlight w:val="none"/>
        </w:rPr>
      </w:pPr>
      <w:bookmarkStart w:id="101" w:name="_Toc22005"/>
      <w:r>
        <w:rPr>
          <w:rFonts w:hint="eastAsia" w:ascii="宋体" w:hAnsi="宋体" w:eastAsia="宋体" w:cs="宋体"/>
          <w:color w:val="auto"/>
          <w:sz w:val="22"/>
          <w:szCs w:val="22"/>
          <w:highlight w:val="none"/>
          <w:lang w:val="en-US" w:eastAsia="zh-CN"/>
        </w:rPr>
        <w:t>13</w:t>
      </w:r>
      <w:r>
        <w:rPr>
          <w:rFonts w:hint="eastAsia" w:ascii="宋体" w:hAnsi="宋体" w:eastAsia="宋体" w:cs="宋体"/>
          <w:color w:val="auto"/>
          <w:sz w:val="22"/>
          <w:szCs w:val="22"/>
          <w:highlight w:val="none"/>
        </w:rPr>
        <w:t>.</w:t>
      </w:r>
      <w:bookmarkEnd w:id="101"/>
      <w:r>
        <w:rPr>
          <w:rFonts w:hint="eastAsia" w:ascii="宋体" w:hAnsi="宋体" w:eastAsia="宋体" w:cs="宋体"/>
          <w:bCs/>
          <w:color w:val="auto"/>
          <w:kern w:val="0"/>
          <w:sz w:val="22"/>
          <w:szCs w:val="22"/>
          <w:highlight w:val="none"/>
          <w:u w:val="none"/>
          <w:lang w:val="en-US" w:eastAsia="zh-CN"/>
        </w:rPr>
        <w:t>项目验收</w:t>
      </w:r>
    </w:p>
    <w:p w14:paraId="0817F452">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完成项目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项目乡镇政府组织项目设计、监理等单位对项目进行自验，自验合格的，项目乡镇政府向县农业农村部门申请项目验收。县农业农村部门会同财政部门，组织相关部门专家组成员进行项目验收。项目通过验收后，</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开展竣工验收相关材料编制整理等工作，做好项目报备入库工作。</w:t>
      </w:r>
    </w:p>
    <w:p w14:paraId="5D779EC8">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垦后耕种验收：改造后耕种验收：</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实施完成后，种植养护项目一年验收一次。</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根据县农业农村部门的统一要求，提交验收材料，县农业农村部门会同财政部门，组织相关部门专家组成员对项目的耕种情况，进行实地勘察验收。</w:t>
      </w:r>
    </w:p>
    <w:p w14:paraId="54499B99">
      <w:pPr>
        <w:keepNext w:val="0"/>
        <w:keepLines w:val="0"/>
        <w:pageBreakBefore w:val="0"/>
        <w:widowControl/>
        <w:numPr>
          <w:ilvl w:val="0"/>
          <w:numId w:val="0"/>
        </w:numPr>
        <w:kinsoku/>
        <w:wordWrap/>
        <w:overflowPunct/>
        <w:topLinePunct w:val="0"/>
        <w:bidi w:val="0"/>
        <w:snapToGrid w:val="0"/>
        <w:spacing w:line="400" w:lineRule="exact"/>
        <w:ind w:left="0" w:firstLine="387" w:firstLineChars="176"/>
        <w:textAlignment w:val="auto"/>
        <w:rPr>
          <w:rFonts w:hint="eastAsia" w:ascii="宋体" w:hAnsi="宋体" w:eastAsia="宋体" w:cs="宋体"/>
          <w:color w:val="auto"/>
          <w:kern w:val="2"/>
          <w:sz w:val="22"/>
          <w:szCs w:val="22"/>
          <w:highlight w:val="none"/>
          <w:u w:val="none"/>
        </w:rPr>
      </w:pPr>
      <w:r>
        <w:rPr>
          <w:rFonts w:hint="eastAsia" w:ascii="宋体" w:hAnsi="宋体" w:eastAsia="宋体" w:cs="宋体"/>
          <w:bCs/>
          <w:color w:val="auto"/>
          <w:kern w:val="0"/>
          <w:sz w:val="22"/>
          <w:szCs w:val="22"/>
          <w:highlight w:val="none"/>
          <w:u w:val="none"/>
          <w:lang w:val="en-US" w:eastAsia="zh-CN"/>
        </w:rPr>
        <w:t>管理养护要求：满足项目实施的质量控制标准收</w:t>
      </w:r>
      <w:r>
        <w:rPr>
          <w:rFonts w:hint="eastAsia" w:ascii="宋体" w:hAnsi="宋体" w:cs="宋体"/>
          <w:bCs w:val="0"/>
          <w:color w:val="auto"/>
          <w:kern w:val="2"/>
          <w:sz w:val="22"/>
          <w:szCs w:val="22"/>
          <w:highlight w:val="none"/>
          <w:u w:val="none"/>
          <w:lang w:val="en-US" w:eastAsia="zh-CN"/>
        </w:rPr>
        <w:t>。</w:t>
      </w:r>
    </w:p>
    <w:p w14:paraId="2AF8B33F">
      <w:pPr>
        <w:keepNext w:val="0"/>
        <w:keepLines w:val="0"/>
        <w:pageBreakBefore w:val="0"/>
        <w:kinsoku/>
        <w:wordWrap/>
        <w:overflowPunct/>
        <w:topLinePunct w:val="0"/>
        <w:bidi w:val="0"/>
        <w:snapToGri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14</w:t>
      </w:r>
      <w:r>
        <w:rPr>
          <w:rFonts w:hint="eastAsia" w:ascii="宋体" w:hAnsi="宋体" w:eastAsia="宋体" w:cs="宋体"/>
          <w:color w:val="auto"/>
          <w:sz w:val="22"/>
          <w:szCs w:val="22"/>
          <w:highlight w:val="none"/>
        </w:rPr>
        <w:t>.本合同一式七份，</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各执</w:t>
      </w:r>
      <w:r>
        <w:rPr>
          <w:rFonts w:hint="eastAsia" w:ascii="宋体" w:hAnsi="宋体" w:eastAsia="宋体" w:cs="宋体"/>
          <w:color w:val="auto"/>
          <w:sz w:val="22"/>
          <w:szCs w:val="22"/>
          <w:highlight w:val="none"/>
          <w:lang w:val="en-US" w:eastAsia="zh-CN"/>
        </w:rPr>
        <w:t>二</w:t>
      </w:r>
      <w:r>
        <w:rPr>
          <w:rFonts w:hint="eastAsia" w:ascii="宋体" w:hAnsi="宋体" w:eastAsia="宋体" w:cs="宋体"/>
          <w:color w:val="auto"/>
          <w:sz w:val="22"/>
          <w:szCs w:val="22"/>
          <w:highlight w:val="none"/>
        </w:rPr>
        <w:t>份，具有同等效力，招标代理单位备案一份。</w:t>
      </w:r>
    </w:p>
    <w:p w14:paraId="67B8F712">
      <w:pPr>
        <w:keepNext w:val="0"/>
        <w:keepLines w:val="0"/>
        <w:pageBreakBefore w:val="0"/>
        <w:kinsoku/>
        <w:wordWrap/>
        <w:overflowPunct/>
        <w:topLinePunct w:val="0"/>
        <w:bidi w:val="0"/>
        <w:snapToGri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15</w:t>
      </w:r>
      <w:r>
        <w:rPr>
          <w:rFonts w:hint="eastAsia" w:ascii="宋体" w:hAnsi="宋体" w:eastAsia="宋体" w:cs="宋体"/>
          <w:color w:val="auto"/>
          <w:sz w:val="22"/>
          <w:szCs w:val="22"/>
          <w:highlight w:val="none"/>
        </w:rPr>
        <w:t>.根据项目实施及管理需要，本合同未尽事宜，</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另行签订补充协议。补充协议是合同的组成部分。</w:t>
      </w:r>
    </w:p>
    <w:p w14:paraId="0307C7E0">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：（盖单位章）</w:t>
      </w:r>
    </w:p>
    <w:p w14:paraId="37735BFE">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法定代表人或其委托代理人：（签字）</w:t>
      </w:r>
    </w:p>
    <w:p w14:paraId="59DE65DF">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年     月     日</w:t>
      </w:r>
    </w:p>
    <w:p w14:paraId="0F8AA184">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p>
    <w:p w14:paraId="4B849EE6">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（联合体牵头人）：（盖单位章）</w:t>
      </w:r>
    </w:p>
    <w:p w14:paraId="4689C656">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法定代表人或其委托代理人：（签字）</w:t>
      </w:r>
    </w:p>
    <w:p w14:paraId="2A8E88B8">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年     月     日</w:t>
      </w:r>
    </w:p>
    <w:p w14:paraId="1B29747E">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（联合体成员）</w:t>
      </w:r>
      <w:r>
        <w:rPr>
          <w:rFonts w:hint="eastAsia" w:ascii="宋体" w:hAnsi="宋体" w:eastAsia="宋体" w:cs="宋体"/>
          <w:b/>
          <w:bCs/>
          <w:color w:val="auto"/>
          <w:sz w:val="22"/>
          <w:szCs w:val="22"/>
          <w:highlight w:val="none"/>
          <w:lang w:eastAsia="zh-CN"/>
        </w:rPr>
        <w:t>（</w:t>
      </w:r>
      <w:r>
        <w:rPr>
          <w:rFonts w:hint="eastAsia" w:ascii="宋体" w:hAnsi="宋体" w:eastAsia="宋体" w:cs="宋体"/>
          <w:b/>
          <w:bCs/>
          <w:color w:val="auto"/>
          <w:sz w:val="22"/>
          <w:szCs w:val="22"/>
          <w:highlight w:val="none"/>
          <w:lang w:val="en-US" w:eastAsia="zh-CN"/>
        </w:rPr>
        <w:t>如有</w:t>
      </w:r>
      <w:r>
        <w:rPr>
          <w:rFonts w:hint="eastAsia" w:ascii="宋体" w:hAnsi="宋体" w:eastAsia="宋体" w:cs="宋体"/>
          <w:b/>
          <w:bCs/>
          <w:color w:val="auto"/>
          <w:sz w:val="22"/>
          <w:szCs w:val="22"/>
          <w:highlight w:val="none"/>
          <w:lang w:eastAsia="zh-CN"/>
        </w:rPr>
        <w:t>）</w:t>
      </w:r>
      <w:r>
        <w:rPr>
          <w:rFonts w:hint="eastAsia" w:ascii="宋体" w:hAnsi="宋体" w:eastAsia="宋体" w:cs="宋体"/>
          <w:color w:val="auto"/>
          <w:sz w:val="22"/>
          <w:szCs w:val="22"/>
          <w:highlight w:val="none"/>
        </w:rPr>
        <w:t>：（盖单位章）</w:t>
      </w:r>
    </w:p>
    <w:p w14:paraId="034F29EA">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法定代表人或其委托代理人：（签字）</w:t>
      </w:r>
    </w:p>
    <w:p w14:paraId="181FAC6F">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年     月     日</w:t>
      </w:r>
    </w:p>
    <w:p w14:paraId="5AAB169E">
      <w:pPr>
        <w:pStyle w:val="38"/>
        <w:keepNext w:val="0"/>
        <w:keepLines w:val="0"/>
        <w:pageBreakBefore w:val="0"/>
        <w:kinsoku/>
        <w:wordWrap/>
        <w:overflowPunct/>
        <w:topLinePunct w:val="0"/>
        <w:bidi w:val="0"/>
        <w:spacing w:line="400" w:lineRule="exact"/>
        <w:textAlignment w:val="auto"/>
        <w:rPr>
          <w:rFonts w:hint="eastAsia" w:ascii="宋体" w:hAnsi="宋体" w:eastAsia="宋体" w:cs="宋体"/>
          <w:color w:val="auto"/>
          <w:sz w:val="22"/>
          <w:szCs w:val="22"/>
          <w:highlight w:val="none"/>
          <w:lang w:val="en-US" w:eastAsia="zh-CN"/>
        </w:rPr>
      </w:pPr>
    </w:p>
    <w:p w14:paraId="232250C2">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：（盖单位章）</w:t>
      </w:r>
    </w:p>
    <w:p w14:paraId="30C3AC94">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法定代表人或其委托代理人：（签字）</w:t>
      </w:r>
    </w:p>
    <w:p w14:paraId="16B8BD12">
      <w:pPr>
        <w:keepNext w:val="0"/>
        <w:keepLines w:val="0"/>
        <w:pageBreakBefore w:val="0"/>
        <w:kinsoku/>
        <w:wordWrap/>
        <w:overflowPunct/>
        <w:topLinePunct w:val="0"/>
        <w:bidi w:val="0"/>
        <w:snapToGrid w:val="0"/>
        <w:spacing w:line="400" w:lineRule="exact"/>
        <w:ind w:firstLine="1269" w:firstLineChars="577"/>
        <w:textAlignment w:val="auto"/>
        <w:rPr>
          <w:rFonts w:hint="eastAsia" w:ascii="宋体" w:hAnsi="宋体" w:eastAsia="宋体" w:cs="宋体"/>
          <w:color w:val="auto"/>
          <w:sz w:val="22"/>
          <w:szCs w:val="22"/>
          <w:highlight w:val="none"/>
        </w:rPr>
      </w:pPr>
    </w:p>
    <w:p w14:paraId="3C45CD62">
      <w:pPr>
        <w:keepNext w:val="0"/>
        <w:keepLines w:val="0"/>
        <w:pageBreakBefore w:val="0"/>
        <w:kinsoku/>
        <w:wordWrap/>
        <w:overflowPunct/>
        <w:topLinePunct w:val="0"/>
        <w:bidi w:val="0"/>
        <w:snapToGrid w:val="0"/>
        <w:spacing w:line="400" w:lineRule="exact"/>
        <w:ind w:firstLine="1269" w:firstLineChars="577"/>
        <w:textAlignment w:val="auto"/>
        <w:rPr>
          <w:rFonts w:hint="eastAsia" w:ascii="宋体" w:hAnsi="宋体" w:eastAsia="宋体" w:cs="宋体"/>
          <w:color w:val="auto"/>
          <w:sz w:val="22"/>
          <w:szCs w:val="22"/>
          <w:highlight w:val="none"/>
        </w:rPr>
      </w:pPr>
    </w:p>
    <w:p w14:paraId="659C6A80">
      <w:pPr>
        <w:keepNext w:val="0"/>
        <w:keepLines w:val="0"/>
        <w:pageBreakBefore w:val="0"/>
        <w:kinsoku/>
        <w:wordWrap/>
        <w:overflowPunct/>
        <w:topLinePunct w:val="0"/>
        <w:bidi w:val="0"/>
        <w:snapToGrid w:val="0"/>
        <w:spacing w:line="400" w:lineRule="exact"/>
        <w:ind w:firstLine="1927" w:firstLineChars="8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 xml:space="preserve">签订日期：     </w:t>
      </w:r>
      <w:r>
        <w:rPr>
          <w:rFonts w:hint="eastAsia" w:ascii="宋体" w:hAnsi="宋体" w:eastAsia="宋体" w:cs="宋体"/>
          <w:color w:val="auto"/>
          <w:sz w:val="22"/>
          <w:szCs w:val="22"/>
          <w:highlight w:val="none"/>
        </w:rPr>
        <w:t>年     月     日</w:t>
      </w:r>
    </w:p>
    <w:p w14:paraId="69A116A1">
      <w:pPr>
        <w:keepNext w:val="0"/>
        <w:keepLines w:val="0"/>
        <w:pageBreakBefore w:val="0"/>
        <w:kinsoku/>
        <w:wordWrap/>
        <w:overflowPunct/>
        <w:topLinePunct w:val="0"/>
        <w:bidi w:val="0"/>
        <w:spacing w:line="400" w:lineRule="exact"/>
        <w:ind w:firstLine="496"/>
        <w:jc w:val="center"/>
        <w:textAlignment w:val="auto"/>
        <w:rPr>
          <w:rFonts w:hint="eastAsia" w:ascii="宋体" w:hAnsi="宋体" w:eastAsia="宋体" w:cs="宋体"/>
          <w:b/>
          <w:bCs/>
          <w:snapToGrid w:val="0"/>
          <w:color w:val="auto"/>
          <w:kern w:val="0"/>
          <w:sz w:val="32"/>
          <w:szCs w:val="32"/>
          <w:highlight w:val="none"/>
        </w:rPr>
      </w:pPr>
      <w:r>
        <w:rPr>
          <w:rFonts w:hint="eastAsia" w:ascii="宋体" w:hAnsi="宋体" w:eastAsia="宋体" w:cs="宋体"/>
          <w:bCs/>
          <w:snapToGrid w:val="0"/>
          <w:color w:val="auto"/>
          <w:kern w:val="0"/>
          <w:szCs w:val="24"/>
          <w:highlight w:val="none"/>
        </w:rPr>
        <w:br w:type="page"/>
      </w:r>
      <w:bookmarkStart w:id="102" w:name="_Toc17290093"/>
      <w:bookmarkStart w:id="103" w:name="_Toc521917364"/>
      <w:bookmarkStart w:id="104" w:name="_Toc520988778"/>
      <w:bookmarkStart w:id="105" w:name="_Toc520967257"/>
      <w:bookmarkStart w:id="106" w:name="_Toc28013178"/>
      <w:r>
        <w:rPr>
          <w:rFonts w:hint="eastAsia" w:ascii="宋体" w:hAnsi="宋体" w:eastAsia="宋体" w:cs="宋体"/>
          <w:b/>
          <w:bCs/>
          <w:snapToGrid w:val="0"/>
          <w:color w:val="auto"/>
          <w:kern w:val="0"/>
          <w:sz w:val="32"/>
          <w:szCs w:val="32"/>
          <w:highlight w:val="none"/>
        </w:rPr>
        <w:t>第二节 合同条款</w:t>
      </w:r>
      <w:bookmarkEnd w:id="97"/>
      <w:bookmarkEnd w:id="98"/>
      <w:bookmarkEnd w:id="99"/>
      <w:bookmarkEnd w:id="100"/>
      <w:bookmarkEnd w:id="102"/>
      <w:bookmarkEnd w:id="103"/>
      <w:bookmarkEnd w:id="104"/>
      <w:bookmarkEnd w:id="105"/>
      <w:bookmarkEnd w:id="106"/>
    </w:p>
    <w:p w14:paraId="03FCE387">
      <w:pPr>
        <w:keepNext w:val="0"/>
        <w:keepLines w:val="0"/>
        <w:pageBreakBefore w:val="0"/>
        <w:widowControl w:val="0"/>
        <w:numPr>
          <w:ilvl w:val="0"/>
          <w:numId w:val="7"/>
        </w:numPr>
        <w:tabs>
          <w:tab w:val="left" w:pos="672"/>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07" w:name="_Toc359839844"/>
      <w:bookmarkStart w:id="108" w:name="_Toc354478272"/>
      <w:bookmarkStart w:id="109" w:name="_Toc359839315"/>
      <w:bookmarkStart w:id="110" w:name="_Toc359839703"/>
      <w:bookmarkStart w:id="111" w:name="_Toc354494030"/>
      <w:bookmarkStart w:id="112" w:name="_Toc359838518"/>
      <w:bookmarkStart w:id="113" w:name="_Toc354478012"/>
      <w:r>
        <w:rPr>
          <w:rFonts w:hint="eastAsia" w:ascii="宋体" w:hAnsi="宋体" w:eastAsia="宋体" w:cs="宋体"/>
          <w:b/>
          <w:snapToGrid w:val="0"/>
          <w:color w:val="auto"/>
          <w:kern w:val="2"/>
          <w:sz w:val="22"/>
          <w:szCs w:val="22"/>
          <w:highlight w:val="none"/>
          <w:lang w:val="en-US" w:eastAsia="zh-CN" w:bidi="ar-SA"/>
        </w:rPr>
        <w:t>一般约定</w:t>
      </w:r>
    </w:p>
    <w:p w14:paraId="661C26E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1.1词语</w:t>
      </w:r>
      <w:r>
        <w:rPr>
          <w:rFonts w:hint="eastAsia" w:ascii="宋体" w:hAnsi="宋体" w:eastAsia="宋体" w:cs="宋体"/>
          <w:b/>
          <w:bCs/>
          <w:color w:val="auto"/>
          <w:kern w:val="2"/>
          <w:sz w:val="22"/>
          <w:szCs w:val="22"/>
          <w:highlight w:val="none"/>
          <w:lang w:val="en-US" w:eastAsia="zh-CN" w:bidi="ar-SA"/>
        </w:rPr>
        <w:t>定义</w:t>
      </w:r>
      <w:bookmarkEnd w:id="107"/>
      <w:bookmarkEnd w:id="108"/>
      <w:bookmarkEnd w:id="109"/>
      <w:bookmarkEnd w:id="110"/>
      <w:bookmarkEnd w:id="111"/>
      <w:bookmarkEnd w:id="112"/>
      <w:bookmarkEnd w:id="113"/>
    </w:p>
    <w:p w14:paraId="3CABDF77">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在本合同中，下列名词或术语，除文中另有要求或说明外，应具有本条所赋予的定义：</w:t>
      </w:r>
    </w:p>
    <w:p w14:paraId="0C7B810D">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1.1.1合同</w:t>
      </w:r>
    </w:p>
    <w:p w14:paraId="2C20E3E8">
      <w:pPr>
        <w:keepNext w:val="0"/>
        <w:keepLines w:val="0"/>
        <w:pageBreakBefore w:val="0"/>
        <w:kinsoku/>
        <w:wordWrap/>
        <w:overflowPunct/>
        <w:topLinePunct w:val="0"/>
        <w:bidi w:val="0"/>
        <w:spacing w:line="400" w:lineRule="exact"/>
        <w:ind w:firstLine="426" w:firstLineChars="20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b/>
          <w:color w:val="auto"/>
          <w:spacing w:val="-4"/>
          <w:sz w:val="22"/>
          <w:szCs w:val="22"/>
          <w:highlight w:val="none"/>
        </w:rPr>
        <w:t>1.1.1.1</w:t>
      </w:r>
      <w:r>
        <w:rPr>
          <w:rFonts w:hint="eastAsia" w:ascii="宋体" w:hAnsi="宋体" w:eastAsia="宋体" w:cs="宋体"/>
          <w:color w:val="auto"/>
          <w:spacing w:val="-4"/>
          <w:sz w:val="22"/>
          <w:szCs w:val="22"/>
          <w:highlight w:val="none"/>
        </w:rPr>
        <w:t>本项目:</w:t>
      </w:r>
      <w:r>
        <w:rPr>
          <w:rFonts w:hint="eastAsia" w:ascii="宋体" w:hAnsi="宋体" w:eastAsia="宋体" w:cs="宋体"/>
          <w:color w:val="auto"/>
          <w:sz w:val="22"/>
          <w:szCs w:val="22"/>
          <w:highlight w:val="none"/>
        </w:rPr>
        <w:t>指</w:t>
      </w:r>
      <w:r>
        <w:rPr>
          <w:rFonts w:hint="eastAsia" w:ascii="宋体" w:hAnsi="宋体" w:cs="宋体"/>
          <w:color w:val="auto"/>
          <w:sz w:val="22"/>
          <w:szCs w:val="22"/>
          <w:highlight w:val="none"/>
          <w:lang w:eastAsia="zh-CN"/>
        </w:rPr>
        <w:t>2024年泰顺县彭溪镇峰文村牛塘垵简洋农田宜机化改造项目</w:t>
      </w:r>
      <w:r>
        <w:rPr>
          <w:rFonts w:hint="eastAsia" w:ascii="宋体" w:hAnsi="宋体" w:eastAsia="宋体" w:cs="宋体"/>
          <w:color w:val="auto"/>
          <w:kern w:val="0"/>
          <w:sz w:val="22"/>
          <w:szCs w:val="22"/>
          <w:highlight w:val="none"/>
          <w:lang w:eastAsia="zh-CN"/>
        </w:rPr>
        <w:t>。</w:t>
      </w:r>
    </w:p>
    <w:p w14:paraId="44CA1805">
      <w:pPr>
        <w:keepNext w:val="0"/>
        <w:keepLines w:val="0"/>
        <w:pageBreakBefore w:val="0"/>
        <w:kinsoku/>
        <w:wordWrap/>
        <w:overflowPunct/>
        <w:topLinePunct w:val="0"/>
        <w:bidi w:val="0"/>
        <w:adjustRightInd w:val="0"/>
        <w:spacing w:line="400" w:lineRule="exact"/>
        <w:ind w:firstLine="426"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pacing w:val="-4"/>
          <w:sz w:val="22"/>
          <w:szCs w:val="22"/>
          <w:highlight w:val="none"/>
        </w:rPr>
        <w:t>1.1.1.2</w:t>
      </w:r>
      <w:r>
        <w:rPr>
          <w:rFonts w:hint="eastAsia" w:ascii="宋体" w:hAnsi="宋体" w:eastAsia="宋体" w:cs="宋体"/>
          <w:color w:val="auto"/>
          <w:sz w:val="22"/>
          <w:szCs w:val="22"/>
          <w:highlight w:val="none"/>
        </w:rPr>
        <w:t>合同文件（或称合同）：指合同协议书、</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、投标函、合同条款、</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w:t>
      </w:r>
      <w:r>
        <w:rPr>
          <w:rFonts w:hint="eastAsia" w:ascii="宋体" w:hAnsi="宋体" w:eastAsia="宋体" w:cs="宋体"/>
          <w:color w:val="auto"/>
          <w:sz w:val="22"/>
          <w:szCs w:val="22"/>
          <w:highlight w:val="none"/>
          <w:lang w:val="en-US" w:eastAsia="zh-CN"/>
        </w:rPr>
        <w:t>开标一览表等</w:t>
      </w:r>
      <w:r>
        <w:rPr>
          <w:rFonts w:hint="eastAsia" w:ascii="宋体" w:hAnsi="宋体" w:eastAsia="宋体" w:cs="宋体"/>
          <w:color w:val="auto"/>
          <w:sz w:val="22"/>
          <w:szCs w:val="22"/>
          <w:highlight w:val="none"/>
        </w:rPr>
        <w:t>其他构成合同组成部分的文件。</w:t>
      </w:r>
    </w:p>
    <w:p w14:paraId="71A142AA">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1.1.1.3</w:t>
      </w:r>
      <w:r>
        <w:rPr>
          <w:rFonts w:hint="eastAsia" w:ascii="宋体" w:hAnsi="宋体" w:eastAsia="宋体" w:cs="宋体"/>
          <w:color w:val="auto"/>
          <w:sz w:val="22"/>
          <w:szCs w:val="22"/>
          <w:highlight w:val="none"/>
        </w:rPr>
        <w:t>合同协议书：指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规定的时间与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签订合同协议书。若为联合体成交的，联合体各方应当共同与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签订合同。除法律另有规定或合同另有约定外，</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和</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的法定代表人或其委托代理人在合同协议书上签字并盖单位章后，合同生效。</w:t>
      </w:r>
    </w:p>
    <w:p w14:paraId="45352CCD">
      <w:pPr>
        <w:keepNext w:val="0"/>
        <w:keepLines w:val="0"/>
        <w:pageBreakBefore w:val="0"/>
        <w:kinsoku/>
        <w:wordWrap/>
        <w:overflowPunct/>
        <w:topLinePunct w:val="0"/>
        <w:bidi w:val="0"/>
        <w:adjustRightInd w:val="0"/>
        <w:spacing w:line="400" w:lineRule="exact"/>
        <w:ind w:firstLine="446" w:firstLineChars="202"/>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1.1.1.4</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通知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成交的函件。</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随附的澄清、说明、补正事项纪要等，是</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的组成部分。</w:t>
      </w:r>
    </w:p>
    <w:p w14:paraId="773C5725">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1.1.1.5</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要求：指构成合同文件组成部分的名为</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要求的文件，包括招标项目的目的、范围、设计与其他技术标准和要求，以及合同</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当事人约定对其所作的修改或补充。</w:t>
      </w:r>
    </w:p>
    <w:p w14:paraId="78B01636">
      <w:pPr>
        <w:keepNext w:val="0"/>
        <w:keepLines w:val="0"/>
        <w:pageBreakBefore w:val="0"/>
        <w:kinsoku/>
        <w:wordWrap/>
        <w:overflowPunct/>
        <w:topLinePunct w:val="0"/>
        <w:bidi w:val="0"/>
        <w:adjustRightInd w:val="0"/>
        <w:spacing w:line="400" w:lineRule="exact"/>
        <w:ind w:firstLine="446" w:firstLineChars="202"/>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1.1.1.6</w:t>
      </w:r>
      <w:r>
        <w:rPr>
          <w:rFonts w:hint="eastAsia" w:ascii="宋体" w:hAnsi="宋体" w:eastAsia="宋体" w:cs="宋体"/>
          <w:color w:val="auto"/>
          <w:sz w:val="22"/>
          <w:szCs w:val="22"/>
          <w:highlight w:val="none"/>
        </w:rPr>
        <w:t>价格清单：指构成合同文件组成部分的由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按规定的格式和要求填写并标明价格的清单。</w:t>
      </w:r>
    </w:p>
    <w:p w14:paraId="6E2D2C4E">
      <w:pPr>
        <w:keepNext w:val="0"/>
        <w:keepLines w:val="0"/>
        <w:pageBreakBefore w:val="0"/>
        <w:kinsoku/>
        <w:wordWrap/>
        <w:overflowPunct/>
        <w:topLinePunct w:val="0"/>
        <w:bidi w:val="0"/>
        <w:adjustRightInd w:val="0"/>
        <w:spacing w:line="400" w:lineRule="exact"/>
        <w:ind w:firstLine="446" w:firstLineChars="202"/>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1.1.1.7</w:t>
      </w:r>
      <w:r>
        <w:rPr>
          <w:rFonts w:hint="eastAsia" w:ascii="宋体" w:hAnsi="宋体" w:eastAsia="宋体" w:cs="宋体"/>
          <w:color w:val="auto"/>
          <w:sz w:val="22"/>
          <w:szCs w:val="22"/>
          <w:highlight w:val="none"/>
        </w:rPr>
        <w:t>其他合同文件：指经合同</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当事人确认构成合同文件的其他文件。</w:t>
      </w:r>
    </w:p>
    <w:p w14:paraId="709713F2">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1.1.2合同当事人和人员</w:t>
      </w:r>
    </w:p>
    <w:p w14:paraId="73BEFBCF">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1.1.2.1</w:t>
      </w:r>
      <w:r>
        <w:rPr>
          <w:rFonts w:hint="eastAsia" w:ascii="宋体" w:hAnsi="宋体" w:eastAsia="宋体" w:cs="宋体"/>
          <w:color w:val="auto"/>
          <w:sz w:val="22"/>
          <w:szCs w:val="22"/>
          <w:highlight w:val="none"/>
        </w:rPr>
        <w:t>合同当事人：指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和（或）</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和（或）</w:t>
      </w:r>
      <w:r>
        <w:rPr>
          <w:rFonts w:hint="eastAsia" w:ascii="宋体" w:hAnsi="宋体" w:eastAsia="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w:t>
      </w:r>
    </w:p>
    <w:p w14:paraId="7EE58C65">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1.1.2.2</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：是指出面与</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lang w:val="en-US" w:eastAsia="zh-CN"/>
        </w:rPr>
        <w:t>丙方</w:t>
      </w:r>
      <w:r>
        <w:rPr>
          <w:rFonts w:hint="eastAsia" w:ascii="宋体" w:hAnsi="宋体" w:eastAsia="宋体" w:cs="宋体"/>
          <w:color w:val="auto"/>
          <w:sz w:val="22"/>
          <w:szCs w:val="22"/>
          <w:highlight w:val="none"/>
        </w:rPr>
        <w:t>签订合同的项目</w:t>
      </w:r>
      <w:r>
        <w:rPr>
          <w:rFonts w:hint="eastAsia" w:ascii="宋体" w:hAnsi="宋体" w:eastAsia="宋体" w:cs="宋体"/>
          <w:color w:val="auto"/>
          <w:sz w:val="22"/>
          <w:szCs w:val="22"/>
          <w:highlight w:val="none"/>
          <w:lang w:val="en-US" w:eastAsia="zh-CN"/>
        </w:rPr>
        <w:t>采购人</w:t>
      </w:r>
      <w:r>
        <w:rPr>
          <w:rFonts w:hint="eastAsia" w:ascii="宋体" w:hAnsi="宋体" w:eastAsia="宋体" w:cs="宋体"/>
          <w:color w:val="auto"/>
          <w:sz w:val="22"/>
          <w:szCs w:val="22"/>
          <w:highlight w:val="none"/>
        </w:rPr>
        <w:t>。</w:t>
      </w:r>
    </w:p>
    <w:p w14:paraId="466DFC21">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u w:val="single"/>
          <w:lang w:eastAsia="zh-CN"/>
        </w:rPr>
      </w:pPr>
      <w:r>
        <w:rPr>
          <w:rFonts w:hint="eastAsia" w:ascii="宋体" w:hAnsi="宋体" w:eastAsia="宋体" w:cs="宋体"/>
          <w:b/>
          <w:color w:val="auto"/>
          <w:sz w:val="22"/>
          <w:szCs w:val="22"/>
          <w:highlight w:val="none"/>
        </w:rPr>
        <w:t>1.1.2.3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：是指与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lang w:val="en-US" w:eastAsia="zh-CN"/>
        </w:rPr>
        <w:t>丙方</w:t>
      </w:r>
      <w:r>
        <w:rPr>
          <w:rFonts w:hint="eastAsia" w:ascii="宋体" w:hAnsi="宋体" w:eastAsia="宋体" w:cs="宋体"/>
          <w:color w:val="auto"/>
          <w:sz w:val="22"/>
          <w:szCs w:val="22"/>
          <w:highlight w:val="none"/>
        </w:rPr>
        <w:t>签订项目合同的</w:t>
      </w:r>
      <w:r>
        <w:rPr>
          <w:rFonts w:hint="eastAsia" w:ascii="宋体" w:hAnsi="宋体" w:eastAsia="宋体" w:cs="宋体"/>
          <w:color w:val="auto"/>
          <w:sz w:val="22"/>
          <w:szCs w:val="22"/>
          <w:highlight w:val="none"/>
          <w:lang w:eastAsia="zh-CN"/>
        </w:rPr>
        <w:t>乙方。</w:t>
      </w:r>
    </w:p>
    <w:p w14:paraId="4A0EAD99">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b/>
          <w:color w:val="auto"/>
          <w:sz w:val="22"/>
          <w:szCs w:val="22"/>
          <w:highlight w:val="none"/>
        </w:rPr>
        <w:t>1.1.2.4</w:t>
      </w:r>
      <w:r>
        <w:rPr>
          <w:rFonts w:hint="eastAsia" w:ascii="宋体" w:hAnsi="宋体" w:eastAsia="宋体" w:cs="宋体"/>
          <w:color w:val="auto"/>
          <w:sz w:val="22"/>
          <w:szCs w:val="22"/>
          <w:highlight w:val="none"/>
          <w:lang w:val="en-US" w:eastAsia="zh-CN"/>
        </w:rPr>
        <w:t>丙方：是指出面与甲方、乙方签订合同并按该合同进行支付价款的项目建设单位。</w:t>
      </w:r>
    </w:p>
    <w:p w14:paraId="283BB51E">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1.1.2.</w:t>
      </w:r>
      <w:r>
        <w:rPr>
          <w:rFonts w:hint="eastAsia" w:ascii="宋体" w:hAnsi="宋体" w:eastAsia="宋体" w:cs="宋体"/>
          <w:b/>
          <w:color w:val="auto"/>
          <w:sz w:val="22"/>
          <w:szCs w:val="22"/>
          <w:highlight w:val="none"/>
          <w:lang w:val="en-US" w:eastAsia="zh-CN"/>
        </w:rPr>
        <w:t>5</w:t>
      </w:r>
      <w:r>
        <w:rPr>
          <w:rFonts w:hint="eastAsia" w:ascii="宋体" w:hAnsi="宋体" w:eastAsia="宋体" w:cs="宋体"/>
          <w:color w:val="auto"/>
          <w:sz w:val="22"/>
          <w:szCs w:val="22"/>
          <w:highlight w:val="none"/>
        </w:rPr>
        <w:t>项目经理部：是指由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根据项目管理及</w:t>
      </w:r>
      <w:r>
        <w:rPr>
          <w:rFonts w:hint="eastAsia" w:ascii="宋体" w:hAnsi="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要求按照采购文件、响应文件及有关法律规定而在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现场组建的机构。</w:t>
      </w:r>
    </w:p>
    <w:p w14:paraId="30DD85CB">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w:t>
      </w:r>
      <w:r>
        <w:rPr>
          <w:rFonts w:hint="eastAsia" w:ascii="宋体" w:hAnsi="宋体" w:eastAsia="宋体" w:cs="宋体"/>
          <w:b/>
          <w:color w:val="auto"/>
          <w:sz w:val="22"/>
          <w:szCs w:val="22"/>
          <w:highlight w:val="none"/>
          <w:lang w:val="en-US" w:eastAsia="zh-CN"/>
        </w:rPr>
        <w:t>6</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项目负责人：指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指定代表</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履行义务，具体实施本项目的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、协调及管理的总负责人。</w:t>
      </w:r>
    </w:p>
    <w:p w14:paraId="38798CEB">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w:t>
      </w:r>
      <w:r>
        <w:rPr>
          <w:rFonts w:hint="eastAsia" w:ascii="宋体" w:hAnsi="宋体" w:eastAsia="宋体" w:cs="宋体"/>
          <w:b/>
          <w:color w:val="auto"/>
          <w:sz w:val="22"/>
          <w:szCs w:val="22"/>
          <w:highlight w:val="none"/>
          <w:lang w:val="en-US" w:eastAsia="zh-CN"/>
        </w:rPr>
        <w:t>7</w:t>
      </w:r>
      <w:r>
        <w:rPr>
          <w:rFonts w:hint="eastAsia" w:ascii="宋体" w:hAnsi="宋体" w:eastAsia="宋体" w:cs="宋体"/>
          <w:color w:val="auto"/>
          <w:sz w:val="22"/>
          <w:szCs w:val="22"/>
          <w:highlight w:val="none"/>
        </w:rPr>
        <w:t>监理人：指受</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委托，依照法律、行政法规及有关的技术标准、设计文件和本项目合同，对</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w:t>
      </w:r>
      <w:r>
        <w:rPr>
          <w:rFonts w:hint="eastAsia" w:ascii="宋体" w:hAnsi="宋体" w:eastAsia="宋体" w:cs="宋体"/>
          <w:color w:val="auto"/>
          <w:sz w:val="22"/>
          <w:szCs w:val="22"/>
          <w:highlight w:val="none"/>
          <w:lang w:val="en-US" w:eastAsia="zh-CN"/>
        </w:rPr>
        <w:t>服务周</w:t>
      </w:r>
      <w:r>
        <w:rPr>
          <w:rFonts w:hint="eastAsia" w:ascii="宋体" w:hAnsi="宋体" w:eastAsia="宋体" w:cs="宋体"/>
          <w:color w:val="auto"/>
          <w:sz w:val="22"/>
          <w:szCs w:val="22"/>
          <w:highlight w:val="none"/>
        </w:rPr>
        <w:t>期和</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rPr>
        <w:t>资金使用等方面，代表</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实施监督的独立法人。</w:t>
      </w:r>
    </w:p>
    <w:p w14:paraId="03D0E404">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w:t>
      </w:r>
      <w:r>
        <w:rPr>
          <w:rFonts w:hint="eastAsia" w:ascii="宋体" w:hAnsi="宋体" w:eastAsia="宋体" w:cs="宋体"/>
          <w:b/>
          <w:color w:val="auto"/>
          <w:sz w:val="22"/>
          <w:szCs w:val="22"/>
          <w:highlight w:val="none"/>
          <w:lang w:val="en-US" w:eastAsia="zh-CN"/>
        </w:rPr>
        <w:t>8</w:t>
      </w:r>
      <w:r>
        <w:rPr>
          <w:rFonts w:hint="eastAsia" w:ascii="宋体" w:hAnsi="宋体" w:eastAsia="宋体" w:cs="宋体"/>
          <w:color w:val="auto"/>
          <w:sz w:val="22"/>
          <w:szCs w:val="22"/>
          <w:highlight w:val="none"/>
        </w:rPr>
        <w:t>总监理工程师：指由监理人委派对合同履行实施管理的全权负责人。</w:t>
      </w:r>
    </w:p>
    <w:p w14:paraId="6A77662B">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1.1.3项目和设备</w:t>
      </w:r>
    </w:p>
    <w:p w14:paraId="7F55829B">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1.1.3.1</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：指</w:t>
      </w:r>
      <w:r>
        <w:rPr>
          <w:rFonts w:hint="eastAsia" w:ascii="宋体" w:hAnsi="宋体" w:eastAsia="宋体" w:cs="宋体"/>
          <w:color w:val="auto"/>
          <w:sz w:val="22"/>
          <w:szCs w:val="22"/>
          <w:highlight w:val="none"/>
          <w:lang w:val="en-US" w:eastAsia="zh-CN"/>
        </w:rPr>
        <w:t>甲方委托乙方实施及管理的项目</w:t>
      </w:r>
      <w:r>
        <w:rPr>
          <w:rFonts w:hint="eastAsia" w:ascii="宋体" w:hAnsi="宋体" w:eastAsia="宋体" w:cs="宋体"/>
          <w:color w:val="auto"/>
          <w:sz w:val="22"/>
          <w:szCs w:val="22"/>
          <w:highlight w:val="none"/>
        </w:rPr>
        <w:t>。</w:t>
      </w:r>
    </w:p>
    <w:p w14:paraId="451518A3">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w:t>
      </w:r>
      <w:r>
        <w:rPr>
          <w:rFonts w:hint="eastAsia" w:ascii="宋体" w:hAnsi="宋体" w:eastAsia="宋体" w:cs="宋体"/>
          <w:b/>
          <w:color w:val="auto"/>
          <w:sz w:val="22"/>
          <w:szCs w:val="22"/>
          <w:highlight w:val="none"/>
          <w:lang w:eastAsia="zh-CN"/>
        </w:rPr>
        <w:t>2</w:t>
      </w:r>
      <w:r>
        <w:rPr>
          <w:rFonts w:hint="eastAsia" w:ascii="宋体" w:hAnsi="宋体" w:eastAsia="宋体" w:cs="宋体"/>
          <w:color w:val="auto"/>
          <w:sz w:val="22"/>
          <w:szCs w:val="22"/>
          <w:highlight w:val="none"/>
        </w:rPr>
        <w:t>临时</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lang w:val="en-US" w:eastAsia="zh-CN"/>
        </w:rPr>
        <w:t>内容</w:t>
      </w:r>
      <w:r>
        <w:rPr>
          <w:rFonts w:hint="eastAsia" w:ascii="宋体" w:hAnsi="宋体" w:eastAsia="宋体" w:cs="宋体"/>
          <w:color w:val="auto"/>
          <w:sz w:val="22"/>
          <w:szCs w:val="22"/>
          <w:highlight w:val="none"/>
        </w:rPr>
        <w:t>：指为完成合同约定的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所修建的各类临时性</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lang w:val="en-US" w:eastAsia="zh-CN"/>
        </w:rPr>
        <w:t>内容</w:t>
      </w:r>
      <w:r>
        <w:rPr>
          <w:rFonts w:hint="eastAsia" w:ascii="宋体" w:hAnsi="宋体" w:eastAsia="宋体" w:cs="宋体"/>
          <w:color w:val="auto"/>
          <w:sz w:val="22"/>
          <w:szCs w:val="22"/>
          <w:highlight w:val="none"/>
        </w:rPr>
        <w:t>，不包括</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设备。</w:t>
      </w:r>
    </w:p>
    <w:p w14:paraId="5DDC65E2">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w:t>
      </w:r>
      <w:r>
        <w:rPr>
          <w:rFonts w:hint="eastAsia" w:ascii="宋体" w:hAnsi="宋体" w:eastAsia="宋体" w:cs="宋体"/>
          <w:b/>
          <w:color w:val="auto"/>
          <w:sz w:val="22"/>
          <w:szCs w:val="22"/>
          <w:highlight w:val="none"/>
          <w:lang w:eastAsia="zh-CN"/>
        </w:rPr>
        <w:t>3</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设备：指为完成合同约定的各项工作所需的设备、器具和其他物品，不包括临时</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lang w:val="en-US" w:eastAsia="zh-CN"/>
        </w:rPr>
        <w:t>内容</w:t>
      </w:r>
      <w:r>
        <w:rPr>
          <w:rFonts w:hint="eastAsia" w:ascii="宋体" w:hAnsi="宋体" w:eastAsia="宋体" w:cs="宋体"/>
          <w:color w:val="auto"/>
          <w:sz w:val="22"/>
          <w:szCs w:val="22"/>
          <w:highlight w:val="none"/>
        </w:rPr>
        <w:t>和材料。</w:t>
      </w:r>
    </w:p>
    <w:p w14:paraId="75496050">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w:t>
      </w:r>
      <w:r>
        <w:rPr>
          <w:rFonts w:hint="eastAsia" w:ascii="宋体" w:hAnsi="宋体" w:eastAsia="宋体" w:cs="宋体"/>
          <w:b/>
          <w:color w:val="auto"/>
          <w:sz w:val="22"/>
          <w:szCs w:val="22"/>
          <w:highlight w:val="none"/>
          <w:lang w:eastAsia="zh-CN"/>
        </w:rPr>
        <w:t>4</w:t>
      </w:r>
      <w:r>
        <w:rPr>
          <w:rFonts w:hint="eastAsia" w:ascii="宋体" w:hAnsi="宋体" w:eastAsia="宋体" w:cs="宋体"/>
          <w:color w:val="auto"/>
          <w:sz w:val="22"/>
          <w:szCs w:val="22"/>
          <w:highlight w:val="none"/>
        </w:rPr>
        <w:t>临时设施：指为完成合同约定的各项工作所服务的临时性生产和生活设施。</w:t>
      </w:r>
    </w:p>
    <w:p w14:paraId="23AFD39F">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w:t>
      </w:r>
      <w:r>
        <w:rPr>
          <w:rFonts w:hint="eastAsia" w:ascii="宋体" w:hAnsi="宋体" w:eastAsia="宋体" w:cs="宋体"/>
          <w:b/>
          <w:color w:val="auto"/>
          <w:sz w:val="22"/>
          <w:szCs w:val="22"/>
          <w:highlight w:val="none"/>
          <w:lang w:eastAsia="zh-CN"/>
        </w:rPr>
        <w:t>5</w:t>
      </w:r>
      <w:r>
        <w:rPr>
          <w:rFonts w:hint="eastAsia" w:ascii="宋体" w:hAnsi="宋体" w:eastAsia="宋体" w:cs="宋体"/>
          <w:b w:val="0"/>
          <w:color w:val="auto"/>
          <w:sz w:val="22"/>
          <w:szCs w:val="22"/>
          <w:highlight w:val="none"/>
          <w:lang w:val="en-US" w:eastAsia="zh-CN"/>
        </w:rPr>
        <w:t>项目</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场地（或称现场）：指用于合同</w:t>
      </w:r>
      <w:r>
        <w:rPr>
          <w:rFonts w:hint="eastAsia" w:ascii="宋体" w:hAnsi="宋体" w:eastAsia="宋体" w:cs="宋体"/>
          <w:color w:val="auto"/>
          <w:sz w:val="22"/>
          <w:szCs w:val="22"/>
          <w:highlight w:val="none"/>
          <w:lang w:val="en-US" w:eastAsia="zh-CN"/>
        </w:rPr>
        <w:t>内容实施</w:t>
      </w:r>
      <w:r>
        <w:rPr>
          <w:rFonts w:hint="eastAsia" w:ascii="宋体" w:hAnsi="宋体" w:eastAsia="宋体" w:cs="宋体"/>
          <w:color w:val="auto"/>
          <w:sz w:val="22"/>
          <w:szCs w:val="22"/>
          <w:highlight w:val="none"/>
        </w:rPr>
        <w:t>的场所，以及在合同中指定作为</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场地组成部分的其他场所。</w:t>
      </w:r>
    </w:p>
    <w:p w14:paraId="5BB68C63">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1.1.4日期、检验和完工</w:t>
      </w:r>
    </w:p>
    <w:p w14:paraId="0E3AD6CB">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1.1.4.1</w:t>
      </w:r>
      <w:r>
        <w:rPr>
          <w:rFonts w:hint="eastAsia" w:ascii="宋体" w:hAnsi="宋体" w:eastAsia="宋体" w:cs="宋体"/>
          <w:color w:val="auto"/>
          <w:sz w:val="22"/>
          <w:szCs w:val="22"/>
          <w:highlight w:val="none"/>
        </w:rPr>
        <w:t>开始工作通知：指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通知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开始工作的函件。</w:t>
      </w:r>
    </w:p>
    <w:p w14:paraId="5FD5F873">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1.1.4.2</w:t>
      </w:r>
      <w:r>
        <w:rPr>
          <w:rFonts w:hint="eastAsia" w:ascii="宋体" w:hAnsi="宋体" w:eastAsia="宋体" w:cs="宋体"/>
          <w:color w:val="auto"/>
          <w:sz w:val="22"/>
          <w:szCs w:val="22"/>
          <w:highlight w:val="none"/>
        </w:rPr>
        <w:t>开始工作日期：指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发出的开始工作通知中写明的开始工作日期。</w:t>
      </w:r>
    </w:p>
    <w:p w14:paraId="1F152509">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1.1.4.3</w:t>
      </w:r>
      <w:r>
        <w:rPr>
          <w:rFonts w:hint="eastAsia" w:ascii="宋体" w:hAnsi="宋体" w:eastAsia="宋体" w:cs="宋体"/>
          <w:color w:val="auto"/>
          <w:sz w:val="22"/>
          <w:szCs w:val="22"/>
          <w:highlight w:val="none"/>
        </w:rPr>
        <w:t>合同期：指本合同签署生效之日始至本合同规定的各项权利、义务行使及履行完毕的期限。</w:t>
      </w:r>
    </w:p>
    <w:p w14:paraId="13F650A3">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1.1.4.4</w:t>
      </w:r>
      <w:r>
        <w:rPr>
          <w:rFonts w:hint="eastAsia" w:ascii="宋体" w:hAnsi="宋体" w:eastAsia="宋体" w:cs="宋体"/>
          <w:color w:val="auto"/>
          <w:sz w:val="22"/>
          <w:szCs w:val="22"/>
          <w:highlight w:val="none"/>
          <w:lang w:eastAsia="zh-CN"/>
        </w:rPr>
        <w:t>服务期</w:t>
      </w:r>
      <w:r>
        <w:rPr>
          <w:rFonts w:hint="eastAsia" w:ascii="宋体" w:hAnsi="宋体" w:eastAsia="宋体" w:cs="宋体"/>
          <w:color w:val="auto"/>
          <w:sz w:val="22"/>
          <w:szCs w:val="22"/>
          <w:highlight w:val="none"/>
        </w:rPr>
        <w:t>：</w:t>
      </w:r>
      <w:r>
        <w:rPr>
          <w:rFonts w:hint="eastAsia" w:ascii="宋体" w:hAnsi="宋体" w:eastAsia="宋体" w:cs="宋体"/>
          <w:bCs/>
          <w:color w:val="auto"/>
          <w:kern w:val="0"/>
          <w:sz w:val="22"/>
          <w:szCs w:val="22"/>
          <w:highlight w:val="none"/>
          <w:u w:val="none"/>
          <w:lang w:val="en-US" w:eastAsia="zh-CN"/>
        </w:rPr>
        <w:t>实施期要求：须在10个月内完成改造</w:t>
      </w:r>
      <w:r>
        <w:rPr>
          <w:rFonts w:hint="eastAsia" w:ascii="宋体" w:hAnsi="宋体" w:eastAsia="宋体" w:cs="宋体"/>
          <w:color w:val="auto"/>
          <w:sz w:val="22"/>
          <w:szCs w:val="22"/>
          <w:highlight w:val="none"/>
          <w:u w:val="none"/>
        </w:rPr>
        <w:t>，开工时间以监理工程师签发的单个项目的开工令为准。</w:t>
      </w:r>
      <w:r>
        <w:rPr>
          <w:rFonts w:hint="eastAsia" w:ascii="宋体" w:hAnsi="宋体" w:eastAsia="宋体" w:cs="宋体"/>
          <w:color w:val="auto"/>
          <w:sz w:val="22"/>
          <w:szCs w:val="22"/>
          <w:highlight w:val="none"/>
          <w:lang w:val="en-US" w:eastAsia="zh-CN"/>
        </w:rPr>
        <w:t>正式运营服务期：三年（</w:t>
      </w:r>
      <w:r>
        <w:rPr>
          <w:rFonts w:hint="eastAsia" w:ascii="宋体" w:hAnsi="宋体" w:cs="宋体"/>
          <w:color w:val="auto"/>
          <w:sz w:val="22"/>
          <w:szCs w:val="22"/>
          <w:highlight w:val="none"/>
          <w:lang w:val="en-US" w:eastAsia="zh-CN"/>
        </w:rPr>
        <w:t>自过渡期满后开始计算，若上级政策及主管部门另有要求的，以其规定为准，中标方须无条件接受</w:t>
      </w:r>
      <w:r>
        <w:rPr>
          <w:rFonts w:hint="eastAsia" w:ascii="宋体" w:hAnsi="宋体" w:eastAsia="宋体" w:cs="宋体"/>
          <w:color w:val="auto"/>
          <w:sz w:val="22"/>
          <w:szCs w:val="22"/>
          <w:highlight w:val="none"/>
          <w:lang w:val="en-US" w:eastAsia="zh-CN"/>
        </w:rPr>
        <w:t>），运营期满后以上级政策及主管部门为准。</w:t>
      </w:r>
    </w:p>
    <w:p w14:paraId="239FCB6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1.1.4.5完工日期：指完成项目立项文件规定的</w:t>
      </w:r>
      <w:r>
        <w:rPr>
          <w:rFonts w:hint="eastAsia" w:ascii="宋体" w:hAnsi="宋体" w:eastAsia="宋体" w:cs="宋体"/>
          <w:color w:val="auto"/>
          <w:sz w:val="22"/>
          <w:szCs w:val="22"/>
          <w:highlight w:val="none"/>
          <w:lang w:val="en-US" w:eastAsia="zh-CN"/>
        </w:rPr>
        <w:t>服务</w:t>
      </w:r>
      <w:r>
        <w:rPr>
          <w:rFonts w:hint="eastAsia" w:ascii="宋体" w:hAnsi="宋体" w:eastAsia="宋体" w:cs="宋体"/>
          <w:color w:val="auto"/>
          <w:sz w:val="22"/>
          <w:szCs w:val="22"/>
          <w:highlight w:val="none"/>
        </w:rPr>
        <w:t>内容，并通过验收之日</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进入运营期，运营期满后结束</w:t>
      </w:r>
      <w:r>
        <w:rPr>
          <w:rFonts w:hint="eastAsia" w:ascii="宋体" w:hAnsi="宋体" w:cs="宋体"/>
          <w:color w:val="auto"/>
          <w:sz w:val="22"/>
          <w:szCs w:val="22"/>
          <w:highlight w:val="none"/>
          <w:lang w:val="en-US" w:eastAsia="zh-CN"/>
        </w:rPr>
        <w:t>，若上级政策及主管部门另有要求的，运营期从新的规定</w:t>
      </w:r>
      <w:r>
        <w:rPr>
          <w:rFonts w:hint="eastAsia" w:ascii="宋体" w:hAnsi="宋体" w:eastAsia="宋体" w:cs="宋体"/>
          <w:color w:val="auto"/>
          <w:sz w:val="22"/>
          <w:szCs w:val="22"/>
          <w:highlight w:val="none"/>
        </w:rPr>
        <w:t>。</w:t>
      </w:r>
    </w:p>
    <w:p w14:paraId="0D29A83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1.1.4.6项目交付：系指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将通过完工验收并将已完成</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交付给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3961E18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1.1.4.7天：除特别指明外，指日历天。合同中按天计算时间的，开始当天不计入，从次日开始计算。期限最后一天的截止时间为当天24:00。</w:t>
      </w:r>
    </w:p>
    <w:p w14:paraId="4631BD1E">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1.1.4.8支付日：指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按合同约定时间向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支付应得款项的日期。若合同约定的支付日为非银行营业日，则应顺延至原约定支付日之后的第一个银行营业日。</w:t>
      </w:r>
    </w:p>
    <w:p w14:paraId="3674D79B">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1.1.5合同价格和费用</w:t>
      </w:r>
    </w:p>
    <w:p w14:paraId="403A3F0D">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1.1.5.1</w:t>
      </w:r>
      <w:r>
        <w:rPr>
          <w:rFonts w:hint="eastAsia" w:ascii="宋体" w:hAnsi="宋体" w:eastAsia="宋体" w:cs="宋体"/>
          <w:color w:val="auto"/>
          <w:sz w:val="22"/>
          <w:szCs w:val="22"/>
          <w:highlight w:val="none"/>
        </w:rPr>
        <w:t>签约合同价：指</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明确的并在签订合同时于合同协议书中写明的合同总金额。</w:t>
      </w:r>
    </w:p>
    <w:p w14:paraId="54B04A3F">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1.1.5.2</w:t>
      </w:r>
      <w:r>
        <w:rPr>
          <w:rFonts w:hint="eastAsia" w:ascii="宋体" w:hAnsi="宋体" w:eastAsia="宋体" w:cs="宋体"/>
          <w:color w:val="auto"/>
          <w:sz w:val="22"/>
          <w:szCs w:val="22"/>
          <w:highlight w:val="none"/>
        </w:rPr>
        <w:t>合同价格：指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按合同约定完成了包括缺陷责任期</w:t>
      </w:r>
      <w:r>
        <w:rPr>
          <w:rFonts w:hint="eastAsia" w:ascii="宋体" w:hAnsi="宋体" w:eastAsia="宋体" w:cs="宋体"/>
          <w:color w:val="auto"/>
          <w:sz w:val="22"/>
          <w:szCs w:val="22"/>
          <w:highlight w:val="none"/>
          <w:lang w:val="en-US" w:eastAsia="zh-CN"/>
        </w:rPr>
        <w:t>和</w:t>
      </w:r>
      <w:r>
        <w:rPr>
          <w:rFonts w:hint="eastAsia" w:ascii="宋体" w:hAnsi="宋体" w:cs="宋体"/>
          <w:color w:val="auto"/>
          <w:sz w:val="22"/>
          <w:szCs w:val="22"/>
          <w:highlight w:val="none"/>
          <w:lang w:val="en-US" w:eastAsia="zh-CN"/>
        </w:rPr>
        <w:t>垦后管护</w:t>
      </w:r>
      <w:r>
        <w:rPr>
          <w:rFonts w:hint="eastAsia" w:ascii="宋体" w:hAnsi="宋体" w:eastAsia="宋体" w:cs="宋体"/>
          <w:color w:val="auto"/>
          <w:sz w:val="22"/>
          <w:szCs w:val="22"/>
          <w:highlight w:val="none"/>
          <w:lang w:val="en-US" w:eastAsia="zh-CN"/>
        </w:rPr>
        <w:t>期</w:t>
      </w:r>
      <w:r>
        <w:rPr>
          <w:rFonts w:hint="eastAsia" w:ascii="宋体" w:hAnsi="宋体" w:eastAsia="宋体" w:cs="宋体"/>
          <w:color w:val="auto"/>
          <w:sz w:val="22"/>
          <w:szCs w:val="22"/>
          <w:highlight w:val="none"/>
        </w:rPr>
        <w:t>内的全部承包工作后，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应付给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的金额，包括在履行合同过程中按合同约定进行的变更和调整。</w:t>
      </w:r>
    </w:p>
    <w:p w14:paraId="095E8758">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1.1.5.3</w:t>
      </w:r>
      <w:r>
        <w:rPr>
          <w:rFonts w:hint="eastAsia" w:ascii="宋体" w:hAnsi="宋体" w:eastAsia="宋体" w:cs="宋体"/>
          <w:color w:val="auto"/>
          <w:sz w:val="22"/>
          <w:szCs w:val="22"/>
          <w:highlight w:val="none"/>
        </w:rPr>
        <w:t>费用：指为履行合同所发生的或将要发生的所有合理开支，包括管理费和应分摊的其他费用，但不包括利润。</w:t>
      </w:r>
    </w:p>
    <w:p w14:paraId="08CE65BD">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1.1.5.4</w:t>
      </w:r>
      <w:r>
        <w:rPr>
          <w:rFonts w:hint="eastAsia" w:ascii="宋体" w:hAnsi="宋体" w:eastAsia="宋体" w:cs="宋体"/>
          <w:color w:val="auto"/>
          <w:sz w:val="22"/>
          <w:szCs w:val="22"/>
          <w:highlight w:val="none"/>
        </w:rPr>
        <w:t>预留金（暂列金）：指采购文件中给定的，用于在签订协议书时尚未确定或不可预见变更的设计、</w:t>
      </w:r>
      <w:r>
        <w:rPr>
          <w:rFonts w:hint="eastAsia" w:ascii="宋体" w:hAnsi="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及其所需材料、设备、服务等的金额</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本项目无预留金</w:t>
      </w:r>
      <w:r>
        <w:rPr>
          <w:rFonts w:hint="eastAsia" w:ascii="宋体" w:hAnsi="宋体" w:eastAsia="宋体" w:cs="宋体"/>
          <w:color w:val="auto"/>
          <w:sz w:val="22"/>
          <w:szCs w:val="22"/>
          <w:highlight w:val="none"/>
        </w:rPr>
        <w:t>。</w:t>
      </w:r>
    </w:p>
    <w:p w14:paraId="5A8E0E22">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1.1.5.5</w:t>
      </w:r>
      <w:r>
        <w:rPr>
          <w:rFonts w:hint="eastAsia" w:ascii="宋体" w:hAnsi="宋体" w:eastAsia="宋体" w:cs="宋体"/>
          <w:color w:val="auto"/>
          <w:sz w:val="22"/>
          <w:szCs w:val="22"/>
          <w:highlight w:val="none"/>
        </w:rPr>
        <w:t>暂估价：指采购文件中给定的，用于支付必然发生但暂时不能确定价格的专业服务、材料、设备的金额</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本项目无</w:t>
      </w:r>
      <w:r>
        <w:rPr>
          <w:rFonts w:hint="eastAsia" w:ascii="宋体" w:hAnsi="宋体" w:eastAsia="宋体" w:cs="宋体"/>
          <w:color w:val="auto"/>
          <w:sz w:val="22"/>
          <w:szCs w:val="22"/>
          <w:highlight w:val="none"/>
        </w:rPr>
        <w:t>暂估价。</w:t>
      </w:r>
    </w:p>
    <w:p w14:paraId="32448852">
      <w:pPr>
        <w:keepNext w:val="0"/>
        <w:keepLines w:val="0"/>
        <w:pageBreakBefore w:val="0"/>
        <w:kinsoku/>
        <w:wordWrap/>
        <w:overflowPunct/>
        <w:topLinePunct w:val="0"/>
        <w:bidi w:val="0"/>
        <w:adjustRightInd w:val="0"/>
        <w:snapToGri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1.1.5.6</w:t>
      </w:r>
      <w:r>
        <w:rPr>
          <w:rFonts w:hint="eastAsia" w:ascii="宋体" w:hAnsi="宋体" w:eastAsia="宋体" w:cs="宋体"/>
          <w:color w:val="auto"/>
          <w:sz w:val="22"/>
          <w:szCs w:val="22"/>
          <w:highlight w:val="none"/>
        </w:rPr>
        <w:t>计息利率：指按中国人民银行公布的一年（含）年期贷款基准利率为基础设置的利率。如果中国人民银行贷款基准利率调整，则项目服务期间的计息利率同步调整，即人民银行贷款基准利率的调整日即为本项目计息利率的调整日。</w:t>
      </w:r>
    </w:p>
    <w:p w14:paraId="3999FF31">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1.1.6其他</w:t>
      </w:r>
    </w:p>
    <w:p w14:paraId="6EF34DDF">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1.1.6.1</w:t>
      </w:r>
      <w:r>
        <w:rPr>
          <w:rFonts w:hint="eastAsia" w:ascii="宋体" w:hAnsi="宋体" w:eastAsia="宋体" w:cs="宋体"/>
          <w:color w:val="auto"/>
          <w:sz w:val="22"/>
          <w:szCs w:val="22"/>
          <w:highlight w:val="none"/>
        </w:rPr>
        <w:t>书面形式：指合同文件、信函、电报、传真、数据电文、电子邮件、会议纪要等可以有形地表现所载内容的形式。</w:t>
      </w:r>
    </w:p>
    <w:p w14:paraId="2843FADB">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文件：指由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根据合同应提交的所有图纸、手册、模型、计算书、软件和其他文件。</w:t>
      </w:r>
    </w:p>
    <w:p w14:paraId="0CFE0236">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1.1.6.3</w:t>
      </w:r>
      <w:r>
        <w:rPr>
          <w:rFonts w:hint="eastAsia" w:ascii="宋体" w:hAnsi="宋体" w:eastAsia="宋体" w:cs="宋体"/>
          <w:color w:val="auto"/>
          <w:sz w:val="22"/>
          <w:szCs w:val="22"/>
          <w:highlight w:val="none"/>
        </w:rPr>
        <w:t>现场：指用于</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的场所，以及在合同中可能明确指定作为现场组成部分的任何场所。</w:t>
      </w:r>
    </w:p>
    <w:p w14:paraId="45726191">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1.1.6.4</w:t>
      </w:r>
      <w:r>
        <w:rPr>
          <w:rFonts w:hint="eastAsia" w:ascii="宋体" w:hAnsi="宋体" w:eastAsia="宋体" w:cs="宋体"/>
          <w:color w:val="auto"/>
          <w:sz w:val="22"/>
          <w:szCs w:val="22"/>
          <w:highlight w:val="none"/>
        </w:rPr>
        <w:t>变更是指根据合同约定，经指示或批准对</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要求或</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所做的改变。</w:t>
      </w:r>
    </w:p>
    <w:p w14:paraId="5F9FA1CC">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1.1.6.5</w:t>
      </w:r>
      <w:r>
        <w:rPr>
          <w:rFonts w:hint="eastAsia" w:ascii="宋体" w:hAnsi="宋体" w:eastAsia="宋体" w:cs="宋体"/>
          <w:color w:val="auto"/>
          <w:sz w:val="22"/>
          <w:szCs w:val="22"/>
          <w:highlight w:val="none"/>
        </w:rPr>
        <w:t>一般设计变更：指在本合同项下的某单项</w:t>
      </w:r>
      <w:r>
        <w:rPr>
          <w:rFonts w:hint="eastAsia" w:ascii="宋体" w:hAnsi="宋体" w:eastAsia="宋体" w:cs="宋体"/>
          <w:color w:val="auto"/>
          <w:sz w:val="22"/>
          <w:szCs w:val="22"/>
          <w:highlight w:val="none"/>
          <w:lang w:val="en-US" w:eastAsia="zh-CN"/>
        </w:rPr>
        <w:t>服务内容</w:t>
      </w:r>
      <w:r>
        <w:rPr>
          <w:rFonts w:hint="eastAsia" w:ascii="宋体" w:hAnsi="宋体" w:eastAsia="宋体" w:cs="宋体"/>
          <w:color w:val="auto"/>
          <w:sz w:val="22"/>
          <w:szCs w:val="22"/>
          <w:highlight w:val="none"/>
        </w:rPr>
        <w:t>在实际</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过程中出现了与签订该单项</w:t>
      </w:r>
      <w:r>
        <w:rPr>
          <w:rFonts w:hint="eastAsia" w:ascii="宋体" w:hAnsi="宋体" w:eastAsia="宋体" w:cs="宋体"/>
          <w:color w:val="auto"/>
          <w:sz w:val="22"/>
          <w:szCs w:val="22"/>
          <w:highlight w:val="none"/>
          <w:lang w:val="en-US" w:eastAsia="zh-CN"/>
        </w:rPr>
        <w:t>服务内容</w:t>
      </w:r>
      <w:r>
        <w:rPr>
          <w:rFonts w:hint="eastAsia" w:ascii="宋体" w:hAnsi="宋体" w:eastAsia="宋体" w:cs="宋体"/>
          <w:color w:val="auto"/>
          <w:sz w:val="22"/>
          <w:szCs w:val="22"/>
          <w:highlight w:val="none"/>
        </w:rPr>
        <w:t>合同时的预计条件不一致的情况，而需要改变原定</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范围内的某些工作内容。如</w:t>
      </w:r>
      <w:r>
        <w:rPr>
          <w:rFonts w:hint="eastAsia" w:ascii="宋体" w:hAnsi="宋体" w:eastAsia="宋体" w:cs="宋体"/>
          <w:color w:val="auto"/>
          <w:sz w:val="22"/>
          <w:szCs w:val="22"/>
          <w:highlight w:val="none"/>
          <w:lang w:val="en-US" w:eastAsia="zh-CN"/>
        </w:rPr>
        <w:t>实施工作量</w:t>
      </w:r>
      <w:r>
        <w:rPr>
          <w:rFonts w:hint="eastAsia" w:ascii="宋体" w:hAnsi="宋体" w:eastAsia="宋体" w:cs="宋体"/>
          <w:color w:val="auto"/>
          <w:sz w:val="22"/>
          <w:szCs w:val="22"/>
          <w:highlight w:val="none"/>
        </w:rPr>
        <w:t>、合同价款、</w:t>
      </w:r>
      <w:r>
        <w:rPr>
          <w:rFonts w:hint="eastAsia" w:ascii="宋体" w:hAnsi="宋体" w:eastAsia="宋体" w:cs="宋体"/>
          <w:color w:val="auto"/>
          <w:sz w:val="22"/>
          <w:szCs w:val="22"/>
          <w:highlight w:val="none"/>
          <w:lang w:val="en-US" w:eastAsia="zh-CN"/>
        </w:rPr>
        <w:t>服务周</w:t>
      </w:r>
      <w:r>
        <w:rPr>
          <w:rFonts w:hint="eastAsia" w:ascii="宋体" w:hAnsi="宋体" w:eastAsia="宋体" w:cs="宋体"/>
          <w:color w:val="auto"/>
          <w:sz w:val="22"/>
          <w:szCs w:val="22"/>
          <w:highlight w:val="none"/>
        </w:rPr>
        <w:t>期、质量要求、位置、标高尺寸及</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方法等方面的变化，且此变化控制在相关技术标准的变量范围之内。</w:t>
      </w:r>
    </w:p>
    <w:p w14:paraId="68DEB0B6">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1.1.6.6</w:t>
      </w:r>
      <w:r>
        <w:rPr>
          <w:rFonts w:hint="eastAsia" w:ascii="宋体" w:hAnsi="宋体" w:eastAsia="宋体" w:cs="宋体"/>
          <w:color w:val="auto"/>
          <w:sz w:val="22"/>
          <w:szCs w:val="22"/>
          <w:highlight w:val="none"/>
        </w:rPr>
        <w:t>重大设计变更：指由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（或</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）提出的并由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确认的关于引起复垦面积等重大变动且变动超出原设计控制范围的变更。</w:t>
      </w:r>
    </w:p>
    <w:p w14:paraId="0C422DEB">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1.1.6.7</w:t>
      </w:r>
      <w:r>
        <w:rPr>
          <w:rFonts w:hint="eastAsia" w:ascii="宋体" w:hAnsi="宋体" w:eastAsia="宋体" w:cs="宋体"/>
          <w:color w:val="auto"/>
          <w:sz w:val="22"/>
          <w:szCs w:val="22"/>
          <w:highlight w:val="none"/>
        </w:rPr>
        <w:t>项目文件：指本合同及与本项目有关的文件。</w:t>
      </w:r>
    </w:p>
    <w:p w14:paraId="5B820641">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1.1.6.8</w:t>
      </w:r>
      <w:r>
        <w:rPr>
          <w:rFonts w:hint="eastAsia" w:ascii="宋体" w:hAnsi="宋体" w:eastAsia="宋体" w:cs="宋体"/>
          <w:color w:val="auto"/>
          <w:sz w:val="22"/>
          <w:szCs w:val="22"/>
          <w:highlight w:val="none"/>
        </w:rPr>
        <w:t>进度计划：指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的项目实施方案中确定并经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批准的</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进度计划。</w:t>
      </w:r>
      <w:bookmarkStart w:id="114" w:name="_Toc354494031"/>
    </w:p>
    <w:bookmarkEnd w:id="114"/>
    <w:p w14:paraId="429EB3B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1.2语言文字</w:t>
      </w:r>
    </w:p>
    <w:p w14:paraId="1A8244A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本合同使用的语言文字为中文。专用术语使用外文的，应附有中文注释。</w:t>
      </w:r>
    </w:p>
    <w:p w14:paraId="00508CC1">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1.3法律</w:t>
      </w:r>
    </w:p>
    <w:p w14:paraId="0D0231C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适用于本合同的法律包括中华人民共和国法律、行政法规、部门规章，以及</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所在地的地方性法规、自治条例、单行条例和地方政府规章。</w:t>
      </w:r>
    </w:p>
    <w:p w14:paraId="465D84D6">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合同的优先解释顺序</w:t>
      </w:r>
    </w:p>
    <w:p w14:paraId="3AFDAD66">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组成合同的各项文件应互相解释，互为说明。解释合同文件的优先顺序如下：</w:t>
      </w:r>
    </w:p>
    <w:p w14:paraId="45ED29A5">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（1）合同协议书及各种合同附件(含补充协议、评标期间和合同谈判过程中的澄清文件和补充资料)；</w:t>
      </w:r>
    </w:p>
    <w:p w14:paraId="62E342B8">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招标文件</w:t>
      </w:r>
      <w:r>
        <w:rPr>
          <w:rFonts w:hint="eastAsia" w:ascii="宋体" w:hAnsi="宋体" w:eastAsia="宋体" w:cs="宋体"/>
          <w:color w:val="auto"/>
          <w:sz w:val="22"/>
          <w:szCs w:val="22"/>
          <w:highlight w:val="none"/>
        </w:rPr>
        <w:t>；</w:t>
      </w:r>
    </w:p>
    <w:p w14:paraId="692B5C8C">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中标（成交）</w:t>
      </w:r>
      <w:r>
        <w:rPr>
          <w:rFonts w:hint="eastAsia" w:ascii="宋体" w:hAnsi="宋体" w:eastAsia="宋体" w:cs="宋体"/>
          <w:color w:val="auto"/>
          <w:sz w:val="22"/>
          <w:szCs w:val="22"/>
          <w:highlight w:val="none"/>
        </w:rPr>
        <w:t>通知书；</w:t>
      </w:r>
    </w:p>
    <w:p w14:paraId="5FC99C76">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（4）国家及行业标准、规范及有关技术资料</w:t>
      </w:r>
    </w:p>
    <w:p w14:paraId="4C0EA788">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投标文件</w:t>
      </w:r>
      <w:r>
        <w:rPr>
          <w:rFonts w:hint="eastAsia" w:ascii="宋体" w:hAnsi="宋体" w:eastAsia="宋体" w:cs="宋体"/>
          <w:color w:val="auto"/>
          <w:sz w:val="22"/>
          <w:szCs w:val="22"/>
          <w:highlight w:val="none"/>
        </w:rPr>
        <w:t>；</w:t>
      </w:r>
    </w:p>
    <w:p w14:paraId="6A9C03BE">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）其他合同文件。</w:t>
      </w:r>
    </w:p>
    <w:p w14:paraId="6CFBE9BF">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15" w:name="_Toc359839317"/>
      <w:bookmarkStart w:id="116" w:name="_Toc354478273"/>
      <w:bookmarkStart w:id="117" w:name="_Toc354494032"/>
      <w:bookmarkStart w:id="118" w:name="_Toc354478013"/>
      <w:bookmarkStart w:id="119" w:name="_Toc359839846"/>
      <w:bookmarkStart w:id="120" w:name="_Toc359838520"/>
      <w:bookmarkStart w:id="121" w:name="_Toc359839705"/>
      <w:r>
        <w:rPr>
          <w:rFonts w:hint="eastAsia" w:ascii="宋体" w:hAnsi="宋体" w:eastAsia="宋体" w:cs="宋体"/>
          <w:b/>
          <w:snapToGrid w:val="0"/>
          <w:color w:val="auto"/>
          <w:kern w:val="2"/>
          <w:sz w:val="22"/>
          <w:szCs w:val="22"/>
          <w:highlight w:val="none"/>
          <w:lang w:val="en-US" w:eastAsia="zh-CN" w:bidi="ar-SA"/>
        </w:rPr>
        <w:t>合同价款的计算、支付</w:t>
      </w:r>
      <w:bookmarkEnd w:id="115"/>
      <w:bookmarkEnd w:id="116"/>
      <w:bookmarkEnd w:id="117"/>
      <w:bookmarkEnd w:id="118"/>
      <w:bookmarkEnd w:id="119"/>
      <w:bookmarkEnd w:id="120"/>
      <w:bookmarkEnd w:id="121"/>
    </w:p>
    <w:p w14:paraId="27D1F792">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22" w:name="_Toc354478274"/>
      <w:bookmarkStart w:id="123" w:name="_Toc354494033"/>
      <w:r>
        <w:rPr>
          <w:rFonts w:hint="eastAsia" w:ascii="宋体" w:hAnsi="宋体" w:eastAsia="宋体" w:cs="宋体"/>
          <w:b/>
          <w:bCs/>
          <w:snapToGrid w:val="0"/>
          <w:color w:val="auto"/>
          <w:kern w:val="2"/>
          <w:sz w:val="22"/>
          <w:szCs w:val="22"/>
          <w:highlight w:val="none"/>
          <w:lang w:val="en-US" w:eastAsia="zh-CN" w:bidi="ar-SA"/>
        </w:rPr>
        <w:t>3.1合同总价款的构成</w:t>
      </w:r>
      <w:bookmarkEnd w:id="122"/>
      <w:bookmarkEnd w:id="123"/>
    </w:p>
    <w:p w14:paraId="45F94B4D">
      <w:pPr>
        <w:keepNext w:val="0"/>
        <w:keepLines w:val="0"/>
        <w:pageBreakBefore w:val="0"/>
        <w:widowControl/>
        <w:numPr>
          <w:ilvl w:val="0"/>
          <w:numId w:val="0"/>
        </w:numPr>
        <w:kinsoku/>
        <w:wordWrap/>
        <w:overflowPunct/>
        <w:topLinePunct w:val="0"/>
        <w:bidi w:val="0"/>
        <w:spacing w:line="400" w:lineRule="exact"/>
        <w:ind w:left="420" w:leftChars="0"/>
        <w:textAlignment w:val="auto"/>
        <w:rPr>
          <w:rFonts w:hint="eastAsia" w:ascii="宋体" w:hAnsi="宋体" w:eastAsia="宋体" w:cs="宋体"/>
          <w:bCs w:val="0"/>
          <w:color w:val="auto"/>
          <w:kern w:val="2"/>
          <w:sz w:val="22"/>
          <w:szCs w:val="22"/>
          <w:highlight w:val="none"/>
          <w:lang w:val="en-US" w:eastAsia="zh-CN"/>
        </w:rPr>
      </w:pPr>
      <w:r>
        <w:rPr>
          <w:rFonts w:hint="eastAsia" w:ascii="宋体" w:hAnsi="宋体" w:eastAsia="宋体" w:cs="宋体"/>
          <w:bCs/>
          <w:color w:val="auto"/>
          <w:kern w:val="0"/>
          <w:sz w:val="22"/>
          <w:szCs w:val="22"/>
          <w:highlight w:val="none"/>
          <w:u w:val="none"/>
          <w:lang w:val="en-US" w:eastAsia="zh-CN"/>
        </w:rPr>
        <w:t>农村土地整治</w:t>
      </w:r>
      <w:r>
        <w:rPr>
          <w:rFonts w:hint="eastAsia" w:ascii="宋体"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项目运营等</w:t>
      </w:r>
      <w:r>
        <w:rPr>
          <w:rFonts w:hint="eastAsia" w:ascii="宋体" w:hAnsi="宋体" w:eastAsia="宋体" w:cs="宋体"/>
          <w:bCs w:val="0"/>
          <w:color w:val="auto"/>
          <w:kern w:val="2"/>
          <w:sz w:val="22"/>
          <w:szCs w:val="22"/>
          <w:highlight w:val="none"/>
          <w:lang w:val="en-US" w:eastAsia="zh-CN"/>
        </w:rPr>
        <w:t>。</w:t>
      </w:r>
    </w:p>
    <w:p w14:paraId="7D7CB168">
      <w:pPr>
        <w:keepNext w:val="0"/>
        <w:keepLines w:val="0"/>
        <w:pageBreakBefore w:val="0"/>
        <w:widowControl/>
        <w:numPr>
          <w:ilvl w:val="0"/>
          <w:numId w:val="0"/>
        </w:numPr>
        <w:kinsoku/>
        <w:wordWrap/>
        <w:overflowPunct/>
        <w:topLinePunct w:val="0"/>
        <w:bidi w:val="0"/>
        <w:spacing w:line="400" w:lineRule="exact"/>
        <w:ind w:left="420" w:leftChars="0"/>
        <w:jc w:val="left"/>
        <w:textAlignment w:val="auto"/>
        <w:rPr>
          <w:rFonts w:hint="eastAsia" w:ascii="宋体" w:hAnsi="宋体" w:eastAsia="宋体" w:cs="宋体"/>
          <w:color w:val="auto"/>
          <w:kern w:val="2"/>
          <w:sz w:val="22"/>
          <w:szCs w:val="22"/>
          <w:highlight w:val="none"/>
          <w:u w:val="none"/>
        </w:rPr>
      </w:pPr>
      <w:r>
        <w:rPr>
          <w:rFonts w:hint="eastAsia" w:ascii="宋体" w:hAnsi="宋体" w:eastAsia="宋体" w:cs="宋体"/>
          <w:color w:val="auto"/>
          <w:kern w:val="2"/>
          <w:sz w:val="22"/>
          <w:szCs w:val="22"/>
          <w:highlight w:val="none"/>
          <w:u w:val="none"/>
          <w:lang w:val="en-US" w:eastAsia="zh-CN"/>
        </w:rPr>
        <w:t>乙方</w:t>
      </w:r>
      <w:r>
        <w:rPr>
          <w:rFonts w:hint="eastAsia" w:ascii="宋体" w:hAnsi="宋体" w:eastAsia="宋体" w:cs="宋体"/>
          <w:color w:val="auto"/>
          <w:kern w:val="2"/>
          <w:sz w:val="22"/>
          <w:szCs w:val="22"/>
          <w:highlight w:val="none"/>
          <w:u w:val="none"/>
        </w:rPr>
        <w:t>认为为完成本</w:t>
      </w:r>
      <w:r>
        <w:rPr>
          <w:rFonts w:hint="eastAsia" w:ascii="宋体" w:hAnsi="宋体" w:eastAsia="宋体" w:cs="宋体"/>
          <w:color w:val="auto"/>
          <w:kern w:val="2"/>
          <w:sz w:val="22"/>
          <w:szCs w:val="22"/>
          <w:highlight w:val="none"/>
          <w:u w:val="none"/>
          <w:lang w:val="en-US" w:eastAsia="zh-CN"/>
        </w:rPr>
        <w:t>合同</w:t>
      </w:r>
      <w:r>
        <w:rPr>
          <w:rFonts w:hint="eastAsia" w:ascii="宋体" w:hAnsi="宋体" w:eastAsia="宋体" w:cs="宋体"/>
          <w:color w:val="auto"/>
          <w:kern w:val="2"/>
          <w:sz w:val="22"/>
          <w:szCs w:val="22"/>
          <w:highlight w:val="none"/>
          <w:u w:val="none"/>
        </w:rPr>
        <w:t>规定的项目承包内容所需发生的直接成本、间接成本、利润、税金、</w:t>
      </w:r>
    </w:p>
    <w:p w14:paraId="63B232E4">
      <w:pPr>
        <w:keepNext w:val="0"/>
        <w:keepLines w:val="0"/>
        <w:pageBreakBefore w:val="0"/>
        <w:widowControl/>
        <w:numPr>
          <w:ilvl w:val="0"/>
          <w:numId w:val="0"/>
        </w:numPr>
        <w:kinsoku/>
        <w:wordWrap/>
        <w:overflowPunct/>
        <w:topLinePunct w:val="0"/>
        <w:bidi w:val="0"/>
        <w:spacing w:line="400" w:lineRule="exact"/>
        <w:jc w:val="left"/>
        <w:textAlignment w:val="auto"/>
        <w:rPr>
          <w:rFonts w:hint="eastAsia" w:ascii="宋体" w:hAnsi="宋体" w:eastAsia="宋体" w:cs="宋体"/>
          <w:bCs w:val="0"/>
          <w:color w:val="auto"/>
          <w:kern w:val="2"/>
          <w:sz w:val="22"/>
          <w:szCs w:val="22"/>
          <w:highlight w:val="none"/>
          <w:lang w:val="en-US" w:eastAsia="zh-CN"/>
        </w:rPr>
      </w:pPr>
      <w:r>
        <w:rPr>
          <w:rFonts w:hint="eastAsia" w:ascii="宋体" w:hAnsi="宋体" w:eastAsia="宋体" w:cs="宋体"/>
          <w:color w:val="auto"/>
          <w:kern w:val="2"/>
          <w:sz w:val="22"/>
          <w:szCs w:val="22"/>
          <w:highlight w:val="none"/>
          <w:u w:val="none"/>
        </w:rPr>
        <w:t>政策性文件规定的费用等一切费用均应计入</w:t>
      </w:r>
      <w:r>
        <w:rPr>
          <w:rFonts w:hint="eastAsia" w:ascii="宋体" w:hAnsi="宋体" w:eastAsia="宋体" w:cs="宋体"/>
          <w:color w:val="auto"/>
          <w:kern w:val="2"/>
          <w:sz w:val="22"/>
          <w:szCs w:val="22"/>
          <w:highlight w:val="none"/>
          <w:u w:val="none"/>
          <w:lang w:val="en-US" w:eastAsia="zh-CN"/>
        </w:rPr>
        <w:t>合同价</w:t>
      </w:r>
      <w:r>
        <w:rPr>
          <w:rFonts w:hint="eastAsia" w:ascii="宋体" w:hAnsi="宋体" w:eastAsia="宋体" w:cs="宋体"/>
          <w:color w:val="auto"/>
          <w:kern w:val="2"/>
          <w:sz w:val="22"/>
          <w:szCs w:val="22"/>
          <w:highlight w:val="none"/>
          <w:u w:val="none"/>
        </w:rPr>
        <w:t>；凡未列入的，将被认为均已包含在亩均单价中，今后不得以任何理由追加或调整。</w:t>
      </w:r>
    </w:p>
    <w:p w14:paraId="5C15E0CE">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3.2合同总价款的支付</w:t>
      </w:r>
    </w:p>
    <w:p w14:paraId="03EEE2D5">
      <w:pPr>
        <w:keepNext w:val="0"/>
        <w:keepLines w:val="0"/>
        <w:pageBreakBefore w:val="0"/>
        <w:tabs>
          <w:tab w:val="left" w:pos="2700"/>
        </w:tabs>
        <w:kinsoku/>
        <w:wordWrap/>
        <w:overflowPunct/>
        <w:topLinePunct w:val="0"/>
        <w:bidi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3.2.1项目支付方式：</w:t>
      </w:r>
    </w:p>
    <w:p w14:paraId="6C5295AC">
      <w:pPr>
        <w:pStyle w:val="12"/>
        <w:keepNext w:val="0"/>
        <w:keepLines w:val="0"/>
        <w:pageBreakBefore w:val="0"/>
        <w:widowControl/>
        <w:kinsoku/>
        <w:wordWrap/>
        <w:overflowPunct/>
        <w:topLinePunct w:val="0"/>
        <w:autoSpaceDE/>
        <w:autoSpaceDN/>
        <w:bidi w:val="0"/>
        <w:adjustRightInd w:val="0"/>
        <w:snapToGrid w:val="0"/>
        <w:spacing w:line="400" w:lineRule="exact"/>
        <w:ind w:left="437" w:leftChars="208" w:firstLine="0" w:firstLineChars="0"/>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实施部分</w:t>
      </w:r>
    </w:p>
    <w:p w14:paraId="3E140F8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本部分费用由本项目的建设单位（泰顺县农业农村局）统一支付给中标（成交）供应商。</w:t>
      </w:r>
    </w:p>
    <w:p w14:paraId="7BB6CA9C">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1.1预付款</w:t>
      </w:r>
    </w:p>
    <w:p w14:paraId="36B4CCB8">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1.1.2 预付款的支付</w:t>
      </w:r>
    </w:p>
    <w:p w14:paraId="1871B601">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预付款支付比例或金额：合同价款总额的30%(由甲方根据项目实际情况及资金情况分批支付)。</w:t>
      </w:r>
    </w:p>
    <w:p w14:paraId="3207A193">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预付款支付期限：合同生效后，主要人员、机械设备进场并经本项目建设单位（丙方）、甲方、监理单位确认后，丙方向乙方预付合同价款总额的30%。</w:t>
      </w:r>
    </w:p>
    <w:p w14:paraId="1EC440D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预付款扣回的方式：从第二个月起按工程进度比例逐月扣回，扣完为止。</w:t>
      </w:r>
    </w:p>
    <w:p w14:paraId="6F40B18E">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发包人支付进度款的期限：期限按通用条款执行；支付金额经监理单位签发和建设单位（丙方）、甲方审核后，丙方向乙方支付经核实的工程款，支付比例为审核签发后工程量造价的85%，当本工程进度款支付至合同价的85%时，将停止支付工程进度款。待</w:t>
      </w:r>
      <w:r>
        <w:rPr>
          <w:rFonts w:hint="eastAsia" w:hAnsi="宋体" w:cs="宋体"/>
          <w:bCs/>
          <w:color w:val="auto"/>
          <w:kern w:val="0"/>
          <w:sz w:val="22"/>
          <w:szCs w:val="22"/>
          <w:highlight w:val="none"/>
          <w:u w:val="none"/>
          <w:lang w:val="en-US" w:eastAsia="zh-CN"/>
        </w:rPr>
        <w:t>宜机化改造部分</w:t>
      </w:r>
      <w:r>
        <w:rPr>
          <w:rFonts w:hint="eastAsia" w:ascii="宋体" w:hAnsi="宋体" w:eastAsia="宋体" w:cs="宋体"/>
          <w:bCs/>
          <w:color w:val="auto"/>
          <w:kern w:val="0"/>
          <w:sz w:val="22"/>
          <w:szCs w:val="22"/>
          <w:highlight w:val="none"/>
          <w:u w:val="none"/>
          <w:lang w:val="en-US" w:eastAsia="zh-CN"/>
        </w:rPr>
        <w:t>项目竣工验收合格后并办理竣工结算，经相关单位审定并经城建档案馆备案，付至最终审定价款的98.5%后，扣留结算造价1.5%保修金。缺陷责任期满，经验收无缺陷后，全部质量保修金一次性退还（质量保修金不计息）。</w:t>
      </w:r>
    </w:p>
    <w:p w14:paraId="5AD1F18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val="0"/>
          <w:color w:val="auto"/>
          <w:kern w:val="2"/>
          <w:sz w:val="22"/>
          <w:szCs w:val="22"/>
          <w:highlight w:val="none"/>
        </w:rPr>
      </w:pPr>
      <w:r>
        <w:rPr>
          <w:rFonts w:hint="eastAsia" w:ascii="宋体" w:hAnsi="宋体" w:eastAsia="宋体" w:cs="宋体"/>
          <w:bCs/>
          <w:color w:val="auto"/>
          <w:kern w:val="0"/>
          <w:sz w:val="22"/>
          <w:szCs w:val="22"/>
          <w:highlight w:val="none"/>
          <w:u w:val="none"/>
          <w:lang w:val="en-US" w:eastAsia="zh-CN"/>
        </w:rPr>
        <w:t>2.说明:（1）对于满足合同支付约定条件的，采购人于收到中标方开具的正式税务发票后15日内予以支付相应合同价款。（2）若为联合体中标的，本项目所有费用拨付至</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牵头人基本账户</w:t>
      </w:r>
      <w:r>
        <w:rPr>
          <w:rFonts w:hint="eastAsia" w:ascii="宋体" w:hAnsi="宋体" w:eastAsia="宋体" w:cs="宋体"/>
          <w:bCs w:val="0"/>
          <w:color w:val="auto"/>
          <w:kern w:val="2"/>
          <w:sz w:val="22"/>
          <w:szCs w:val="22"/>
          <w:highlight w:val="none"/>
        </w:rPr>
        <w:t>。</w:t>
      </w:r>
    </w:p>
    <w:p w14:paraId="3FDF8712">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3.3税费</w:t>
      </w:r>
    </w:p>
    <w:p w14:paraId="45341FA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本项目可能涉及的相关税费由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自行考虑计入合同总价。</w:t>
      </w:r>
    </w:p>
    <w:p w14:paraId="0F66448D">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3.4履约保证金</w:t>
      </w:r>
    </w:p>
    <w:p w14:paraId="074FFD8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cs="宋体"/>
          <w:color w:val="auto"/>
          <w:kern w:val="0"/>
          <w:sz w:val="22"/>
          <w:highlight w:val="none"/>
          <w:lang w:eastAsia="zh-CN"/>
        </w:rPr>
        <w:t>中标（成交）供应商须在签订合同后5个工作日内向采购人提交合同金额1%的履约保证金（履约保证金可以是银行保函、转账支票、银行汇票等方式缴纳）</w:t>
      </w:r>
      <w:r>
        <w:rPr>
          <w:rFonts w:hint="eastAsia" w:ascii="宋体" w:hAnsi="宋体" w:eastAsia="宋体" w:cs="宋体"/>
          <w:bCs/>
          <w:color w:val="auto"/>
          <w:kern w:val="0"/>
          <w:sz w:val="22"/>
          <w:szCs w:val="22"/>
          <w:highlight w:val="none"/>
          <w:u w:val="none"/>
          <w:lang w:val="en-US" w:eastAsia="zh-CN"/>
        </w:rPr>
        <w:t>。</w:t>
      </w:r>
    </w:p>
    <w:p w14:paraId="509C9F66">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bCs/>
          <w:color w:val="auto"/>
          <w:kern w:val="0"/>
          <w:sz w:val="22"/>
          <w:szCs w:val="22"/>
          <w:highlight w:val="none"/>
          <w:u w:val="none"/>
          <w:lang w:val="en-US" w:eastAsia="zh-CN"/>
        </w:rPr>
        <w:t>保函应满足以下几个条件：①保函期限：担保有效期自采购人与中标（成交）供应商签订的合同生效之日起至整体项目全面验收（运营期满）并无履约问题之日起15日后失效或无息退还；③如果由于实施期延误或保函出具机构要求分期出具保函的，则在前一份保函有效期满之日2个月前必须重新出具相同内容的保函；若不出具，项目业主有权对保函进行收兑</w:t>
      </w:r>
      <w:r>
        <w:rPr>
          <w:rFonts w:hint="eastAsia" w:ascii="宋体" w:hAnsi="宋体" w:eastAsia="宋体" w:cs="宋体"/>
          <w:color w:val="auto"/>
          <w:sz w:val="22"/>
          <w:szCs w:val="22"/>
          <w:highlight w:val="none"/>
        </w:rPr>
        <w:t>。</w:t>
      </w:r>
    </w:p>
    <w:p w14:paraId="4A493FC4">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服务期</w:t>
      </w:r>
    </w:p>
    <w:p w14:paraId="12DAF94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bCs/>
          <w:color w:val="auto"/>
          <w:kern w:val="0"/>
          <w:sz w:val="22"/>
          <w:szCs w:val="22"/>
          <w:highlight w:val="none"/>
          <w:u w:val="none"/>
          <w:lang w:val="en-US" w:eastAsia="zh-CN"/>
        </w:rPr>
        <w:t>实施期要求：须在10个月内完成改造</w:t>
      </w:r>
      <w:r>
        <w:rPr>
          <w:rFonts w:hint="eastAsia" w:ascii="宋体" w:hAnsi="宋体" w:eastAsia="宋体" w:cs="宋体"/>
          <w:color w:val="auto"/>
          <w:sz w:val="22"/>
          <w:szCs w:val="22"/>
          <w:highlight w:val="none"/>
          <w:u w:val="none"/>
        </w:rPr>
        <w:t>，开工时间以监理工程师签发的单个项目的开工令为准。</w:t>
      </w:r>
      <w:r>
        <w:rPr>
          <w:rFonts w:hint="eastAsia" w:ascii="宋体" w:hAnsi="宋体" w:eastAsia="宋体" w:cs="宋体"/>
          <w:color w:val="auto"/>
          <w:sz w:val="22"/>
          <w:szCs w:val="22"/>
          <w:highlight w:val="none"/>
          <w:lang w:val="en-US" w:eastAsia="zh-CN"/>
        </w:rPr>
        <w:t>正式运营服务期：三年（</w:t>
      </w:r>
      <w:r>
        <w:rPr>
          <w:rFonts w:hint="eastAsia" w:ascii="宋体" w:hAnsi="宋体" w:cs="宋体"/>
          <w:color w:val="auto"/>
          <w:sz w:val="22"/>
          <w:szCs w:val="22"/>
          <w:highlight w:val="none"/>
          <w:lang w:val="en-US" w:eastAsia="zh-CN"/>
        </w:rPr>
        <w:t>自过渡期满后开始计算，若上级政策及主管部门另有要求的，以其规定为准，中标方须无条件接受</w:t>
      </w:r>
      <w:r>
        <w:rPr>
          <w:rFonts w:hint="eastAsia" w:ascii="宋体" w:hAnsi="宋体" w:eastAsia="宋体" w:cs="宋体"/>
          <w:color w:val="auto"/>
          <w:sz w:val="22"/>
          <w:szCs w:val="22"/>
          <w:highlight w:val="none"/>
          <w:lang w:val="en-US" w:eastAsia="zh-CN"/>
        </w:rPr>
        <w:t>），运营期满后以上级政策及主管部门为准</w:t>
      </w:r>
      <w:r>
        <w:rPr>
          <w:rFonts w:hint="eastAsia" w:ascii="宋体" w:hAnsi="宋体" w:eastAsia="宋体" w:cs="宋体"/>
          <w:color w:val="auto"/>
          <w:sz w:val="22"/>
          <w:szCs w:val="22"/>
          <w:highlight w:val="none"/>
        </w:rPr>
        <w:t>。</w:t>
      </w:r>
    </w:p>
    <w:p w14:paraId="14512325">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由于下述原因之一而影响</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进度，而且受影响的</w:t>
      </w:r>
      <w:r>
        <w:rPr>
          <w:rFonts w:hint="eastAsia" w:ascii="宋体" w:hAnsi="宋体" w:eastAsia="宋体" w:cs="宋体"/>
          <w:color w:val="auto"/>
          <w:sz w:val="22"/>
          <w:szCs w:val="22"/>
          <w:highlight w:val="none"/>
          <w:lang w:val="en-US" w:eastAsia="zh-CN"/>
        </w:rPr>
        <w:t>项目服务内容</w:t>
      </w:r>
      <w:r>
        <w:rPr>
          <w:rFonts w:hint="eastAsia" w:ascii="宋体" w:hAnsi="宋体" w:eastAsia="宋体" w:cs="宋体"/>
          <w:color w:val="auto"/>
          <w:sz w:val="22"/>
          <w:szCs w:val="22"/>
          <w:highlight w:val="none"/>
        </w:rPr>
        <w:t>是处在</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进度网络计划的关键线路上，</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有权要求延长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w:t>
      </w:r>
    </w:p>
    <w:p w14:paraId="6E92BC2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(1)组织验收时间超过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申请验收时间30天；</w:t>
      </w:r>
    </w:p>
    <w:p w14:paraId="7918E59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(2)保护文物；</w:t>
      </w:r>
    </w:p>
    <w:p w14:paraId="23C369E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(3)政策处理工作未能按计划如期完成；</w:t>
      </w:r>
    </w:p>
    <w:p w14:paraId="5FC24165">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(4)因规划调整、</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地质条件变化导致</w:t>
      </w:r>
      <w:r>
        <w:rPr>
          <w:rFonts w:hint="eastAsia" w:ascii="宋体" w:hAnsi="宋体" w:eastAsia="宋体" w:cs="宋体"/>
          <w:color w:val="auto"/>
          <w:sz w:val="22"/>
          <w:szCs w:val="22"/>
          <w:highlight w:val="none"/>
          <w:lang w:val="en-US" w:eastAsia="zh-CN"/>
        </w:rPr>
        <w:t>实施工作量</w:t>
      </w:r>
      <w:r>
        <w:rPr>
          <w:rFonts w:hint="eastAsia" w:ascii="宋体" w:hAnsi="宋体" w:eastAsia="宋体" w:cs="宋体"/>
          <w:color w:val="auto"/>
          <w:sz w:val="22"/>
          <w:szCs w:val="22"/>
          <w:highlight w:val="none"/>
        </w:rPr>
        <w:t>的增加；</w:t>
      </w:r>
    </w:p>
    <w:p w14:paraId="2BA6F58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(5)不可抗力造成的</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期延误。</w:t>
      </w:r>
    </w:p>
    <w:p w14:paraId="63586C34">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4.2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应在第4.1款第（1）项所述情况发生后14天内向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发出要求延长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期的书面通知，同时递交要求延长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期的相关证明材料，供</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核实。在第4.1款第(2)-(5)项所述情况发生后14天内向监理工程师发出要求延长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期的书面通知，并抄送</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，同时递交要求延长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期的相关证明材料，供监理工程师核实。</w:t>
      </w:r>
    </w:p>
    <w:p w14:paraId="5B53BC7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监理工程师在与</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适当协商并报经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批准后应确定延长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期的天数，并通知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。在上述任何情况下，</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均不能降低</w:t>
      </w:r>
      <w:r>
        <w:rPr>
          <w:rFonts w:hint="eastAsia" w:ascii="宋体" w:hAnsi="宋体" w:eastAsia="宋体" w:cs="宋体"/>
          <w:color w:val="auto"/>
          <w:sz w:val="22"/>
          <w:szCs w:val="22"/>
          <w:highlight w:val="none"/>
          <w:lang w:val="en-US" w:eastAsia="zh-CN"/>
        </w:rPr>
        <w:t>项目服务</w:t>
      </w:r>
      <w:r>
        <w:rPr>
          <w:rFonts w:hint="eastAsia" w:ascii="宋体" w:hAnsi="宋体" w:eastAsia="宋体" w:cs="宋体"/>
          <w:color w:val="auto"/>
          <w:sz w:val="22"/>
          <w:szCs w:val="22"/>
          <w:highlight w:val="none"/>
        </w:rPr>
        <w:t>质量标准。</w:t>
      </w:r>
    </w:p>
    <w:p w14:paraId="51F68963">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24" w:name="_Toc359839319"/>
      <w:bookmarkStart w:id="125" w:name="_Toc354494037"/>
      <w:bookmarkStart w:id="126" w:name="_Toc354478278"/>
      <w:bookmarkStart w:id="127" w:name="_Toc359839848"/>
      <w:bookmarkStart w:id="128" w:name="_Toc359838522"/>
      <w:bookmarkStart w:id="129" w:name="_Toc354478015"/>
      <w:bookmarkStart w:id="130" w:name="_Toc359839707"/>
      <w:r>
        <w:rPr>
          <w:rFonts w:hint="eastAsia" w:ascii="宋体" w:hAnsi="宋体" w:eastAsia="宋体" w:cs="宋体"/>
          <w:b/>
          <w:snapToGrid w:val="0"/>
          <w:color w:val="auto"/>
          <w:kern w:val="2"/>
          <w:sz w:val="22"/>
          <w:szCs w:val="22"/>
          <w:highlight w:val="none"/>
          <w:lang w:val="en-US" w:eastAsia="zh-CN" w:bidi="ar-SA"/>
        </w:rPr>
        <w:t>项目进度</w:t>
      </w:r>
      <w:bookmarkEnd w:id="124"/>
      <w:bookmarkEnd w:id="125"/>
      <w:bookmarkEnd w:id="126"/>
      <w:bookmarkEnd w:id="127"/>
      <w:bookmarkEnd w:id="128"/>
      <w:bookmarkEnd w:id="129"/>
      <w:bookmarkEnd w:id="130"/>
    </w:p>
    <w:p w14:paraId="4F9188F0">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必须按照合同规定的日期开始工作。</w:t>
      </w:r>
    </w:p>
    <w:p w14:paraId="2A1BE22D">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5.2</w:t>
      </w:r>
      <w:r>
        <w:rPr>
          <w:rFonts w:hint="eastAsia" w:ascii="宋体" w:hAnsi="宋体" w:eastAsia="宋体" w:cs="宋体"/>
          <w:color w:val="auto"/>
          <w:sz w:val="22"/>
          <w:szCs w:val="22"/>
          <w:highlight w:val="none"/>
        </w:rPr>
        <w:t>各期</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前1个月，</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应向监理人提交各期</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组织计划和进度计划，</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应以书面形式提供为实施</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计划采用的</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期安排和方法的总体说明报监理人审批，监理人在10日内审核后书面确认。</w:t>
      </w:r>
    </w:p>
    <w:p w14:paraId="03DE80AE">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编制各期项目的总体</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组织计划和进度计划时，应按日历天为单位考虑工作量，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将对照该进度计划进行考核，以每30日历天为一个考核周期，作为项目进度计划考核的依据。</w:t>
      </w:r>
    </w:p>
    <w:p w14:paraId="33365329">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5.4</w:t>
      </w:r>
      <w:r>
        <w:rPr>
          <w:rFonts w:hint="eastAsia" w:ascii="宋体" w:hAnsi="宋体" w:eastAsia="宋体" w:cs="宋体"/>
          <w:color w:val="auto"/>
          <w:sz w:val="22"/>
          <w:szCs w:val="22"/>
          <w:highlight w:val="none"/>
        </w:rPr>
        <w:t>各期项目的总进度计划或安排都不应有重大更改，如果任何一方对进度或安排有重大更改，须提前10日书面通知另一方并征得另一方书面同意，如果在未经另一方同意的情况下私自变更，私自变更方应承担由此产生的一切责任。</w:t>
      </w:r>
    </w:p>
    <w:p w14:paraId="1EF3384D">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5.5</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应负责编制和上报各单项</w:t>
      </w:r>
      <w:r>
        <w:rPr>
          <w:rFonts w:hint="eastAsia" w:ascii="宋体" w:hAnsi="宋体" w:eastAsia="宋体" w:cs="宋体"/>
          <w:color w:val="auto"/>
          <w:sz w:val="22"/>
          <w:szCs w:val="22"/>
          <w:highlight w:val="none"/>
          <w:lang w:val="en-US" w:eastAsia="zh-CN"/>
        </w:rPr>
        <w:t>实施项目</w:t>
      </w:r>
      <w:r>
        <w:rPr>
          <w:rFonts w:hint="eastAsia" w:ascii="宋体" w:hAnsi="宋体" w:eastAsia="宋体" w:cs="宋体"/>
          <w:color w:val="auto"/>
          <w:sz w:val="22"/>
          <w:szCs w:val="22"/>
          <w:highlight w:val="none"/>
        </w:rPr>
        <w:t>的进度报告（包括月、季、年），并提交给监理人。每一份报告应包括：每一阶段进展情况的说明；</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文件、</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状况的图表；实际进度与计划进度的对比；安全统计，包括涉及环境和公共关系方面的任何危险事件与活动的详情，可能影响按照合同完工的任何因素的详情，以及为消除这些因素正在采取（或者准备采取）的措施。</w:t>
      </w:r>
    </w:p>
    <w:p w14:paraId="7B58EBEC">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变更</w:t>
      </w:r>
    </w:p>
    <w:p w14:paraId="54F03DB8">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6.1变更情形</w:t>
      </w:r>
    </w:p>
    <w:p w14:paraId="67EADB1C">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当发生以下情形时，构成变更：</w:t>
      </w:r>
    </w:p>
    <w:p w14:paraId="1165291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要求”中明确的土地整治面积等边界条件发生重大变动（须经原批准部门批准）；</w:t>
      </w:r>
    </w:p>
    <w:p w14:paraId="28468E3A">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决定延期实施（须在原定的实施时间10天前通知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w:t>
      </w:r>
    </w:p>
    <w:p w14:paraId="7B8D91D7">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6.2变更处理</w:t>
      </w:r>
    </w:p>
    <w:p w14:paraId="31869CA5">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当发生本合同条款第6.1款第（1）项变更时，按实调整土地整治面积，</w:t>
      </w:r>
      <w:r>
        <w:rPr>
          <w:rFonts w:hint="eastAsia" w:ascii="宋体" w:hAnsi="宋体" w:eastAsia="宋体" w:cs="宋体"/>
          <w:color w:val="auto"/>
          <w:sz w:val="22"/>
          <w:szCs w:val="22"/>
          <w:highlight w:val="none"/>
          <w:lang w:eastAsia="zh-CN"/>
        </w:rPr>
        <w:t>项目实施费用</w:t>
      </w:r>
      <w:r>
        <w:rPr>
          <w:rFonts w:hint="eastAsia" w:ascii="宋体" w:hAnsi="宋体" w:eastAsia="宋体" w:cs="宋体"/>
          <w:color w:val="auto"/>
          <w:sz w:val="22"/>
          <w:szCs w:val="22"/>
          <w:highlight w:val="none"/>
        </w:rPr>
        <w:t>以</w:t>
      </w:r>
      <w:r>
        <w:rPr>
          <w:rFonts w:hint="eastAsia" w:ascii="宋体" w:hAnsi="宋体" w:eastAsia="宋体" w:cs="宋体"/>
          <w:color w:val="auto"/>
          <w:sz w:val="22"/>
          <w:szCs w:val="22"/>
          <w:highlight w:val="none"/>
          <w:lang w:val="en-US" w:eastAsia="zh-CN"/>
        </w:rPr>
        <w:t>中标</w:t>
      </w:r>
      <w:r>
        <w:rPr>
          <w:rFonts w:hint="eastAsia" w:ascii="宋体" w:hAnsi="宋体" w:eastAsia="宋体" w:cs="宋体"/>
          <w:color w:val="auto"/>
          <w:sz w:val="22"/>
          <w:szCs w:val="22"/>
          <w:highlight w:val="none"/>
          <w:lang w:eastAsia="zh-CN"/>
        </w:rPr>
        <w:t>项目实施费用</w:t>
      </w:r>
      <w:r>
        <w:rPr>
          <w:rFonts w:hint="eastAsia" w:ascii="宋体" w:hAnsi="宋体" w:eastAsia="宋体" w:cs="宋体"/>
          <w:color w:val="auto"/>
          <w:sz w:val="22"/>
          <w:szCs w:val="22"/>
          <w:highlight w:val="none"/>
          <w:lang w:val="en-US" w:eastAsia="zh-CN"/>
        </w:rPr>
        <w:t>单</w:t>
      </w:r>
      <w:r>
        <w:rPr>
          <w:rFonts w:hint="eastAsia" w:ascii="宋体" w:hAnsi="宋体" w:eastAsia="宋体" w:cs="宋体"/>
          <w:color w:val="auto"/>
          <w:sz w:val="22"/>
          <w:szCs w:val="22"/>
          <w:highlight w:val="none"/>
        </w:rPr>
        <w:t>价包干实施。</w:t>
      </w:r>
    </w:p>
    <w:p w14:paraId="1E02A50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无论发生第（1）项或第（2）项变更时，</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均不得以变更为由向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提出索赔。</w:t>
      </w:r>
    </w:p>
    <w:p w14:paraId="1C8222B5">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承诺和保证</w:t>
      </w:r>
    </w:p>
    <w:p w14:paraId="0748D451">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7.1甲方、丙方的承诺和保证</w:t>
      </w:r>
    </w:p>
    <w:p w14:paraId="6C536822">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7.1.1</w:t>
      </w:r>
      <w:r>
        <w:rPr>
          <w:rFonts w:hint="eastAsia" w:ascii="宋体" w:hAnsi="宋体" w:eastAsia="宋体" w:cs="宋体"/>
          <w:color w:val="auto"/>
          <w:sz w:val="22"/>
          <w:szCs w:val="22"/>
          <w:highlight w:val="none"/>
        </w:rPr>
        <w:t>协助</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lang w:val="en-US" w:eastAsia="zh-CN"/>
        </w:rPr>
        <w:t>做好配合</w:t>
      </w:r>
      <w:r>
        <w:rPr>
          <w:rFonts w:hint="eastAsia" w:ascii="宋体" w:hAnsi="宋体" w:eastAsia="宋体" w:cs="宋体"/>
          <w:color w:val="auto"/>
          <w:sz w:val="22"/>
          <w:szCs w:val="22"/>
          <w:highlight w:val="none"/>
        </w:rPr>
        <w:t>工作。</w:t>
      </w:r>
    </w:p>
    <w:p w14:paraId="2EB7C180">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7.1.2</w:t>
      </w:r>
      <w:r>
        <w:rPr>
          <w:rFonts w:hint="eastAsia" w:ascii="宋体" w:hAnsi="宋体" w:eastAsia="宋体" w:cs="宋体"/>
          <w:b w:val="0"/>
          <w:bCs/>
          <w:color w:val="auto"/>
          <w:sz w:val="22"/>
          <w:szCs w:val="22"/>
          <w:highlight w:val="none"/>
          <w:lang w:val="en-US" w:eastAsia="zh-CN"/>
        </w:rPr>
        <w:t>由丙方</w:t>
      </w:r>
      <w:r>
        <w:rPr>
          <w:rFonts w:hint="eastAsia" w:ascii="宋体" w:hAnsi="宋体" w:eastAsia="宋体" w:cs="宋体"/>
          <w:b w:val="0"/>
          <w:bCs/>
          <w:color w:val="auto"/>
          <w:sz w:val="22"/>
          <w:szCs w:val="22"/>
          <w:highlight w:val="none"/>
        </w:rPr>
        <w:t>按合同</w:t>
      </w:r>
      <w:r>
        <w:rPr>
          <w:rFonts w:hint="eastAsia" w:ascii="宋体" w:hAnsi="宋体" w:eastAsia="宋体" w:cs="宋体"/>
          <w:color w:val="auto"/>
          <w:sz w:val="22"/>
          <w:szCs w:val="22"/>
          <w:highlight w:val="none"/>
        </w:rPr>
        <w:t>规定按时向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提供合同款。</w:t>
      </w:r>
    </w:p>
    <w:p w14:paraId="3F625ACA">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7.2乙方的承诺和保证</w:t>
      </w:r>
    </w:p>
    <w:p w14:paraId="1D7D3184">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7.2.1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在项目</w:t>
      </w:r>
      <w:r>
        <w:rPr>
          <w:rFonts w:hint="eastAsia" w:ascii="宋体" w:hAnsi="宋体" w:eastAsia="宋体" w:cs="宋体"/>
          <w:color w:val="auto"/>
          <w:sz w:val="22"/>
          <w:szCs w:val="22"/>
          <w:highlight w:val="none"/>
          <w:lang w:val="en-US" w:eastAsia="zh-CN"/>
        </w:rPr>
        <w:t>服务实施</w:t>
      </w:r>
      <w:r>
        <w:rPr>
          <w:rFonts w:hint="eastAsia" w:ascii="宋体" w:hAnsi="宋体" w:eastAsia="宋体" w:cs="宋体"/>
          <w:color w:val="auto"/>
          <w:sz w:val="22"/>
          <w:szCs w:val="22"/>
          <w:highlight w:val="none"/>
        </w:rPr>
        <w:t>时间方面的特别承诺和保证：</w:t>
      </w:r>
    </w:p>
    <w:p w14:paraId="206E39B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保证按照本合同约定准时开始工作。</w:t>
      </w:r>
    </w:p>
    <w:p w14:paraId="4912E22E">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（2）为保证</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的进展和按期完成，</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将对</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提供的场地进行详细的规划，如在</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时尚有部分拆迁未完成，则应先对可以</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部分进行规划</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，合</w:t>
      </w:r>
      <w:r>
        <w:rPr>
          <w:rFonts w:hint="eastAsia" w:ascii="宋体" w:hAnsi="宋体" w:eastAsia="宋体" w:cs="宋体"/>
          <w:color w:val="auto"/>
          <w:sz w:val="22"/>
          <w:szCs w:val="22"/>
          <w:highlight w:val="none"/>
          <w:lang w:val="en-US" w:eastAsia="zh-CN"/>
        </w:rPr>
        <w:t>理</w:t>
      </w:r>
      <w:r>
        <w:rPr>
          <w:rFonts w:hint="eastAsia" w:ascii="宋体" w:hAnsi="宋体" w:eastAsia="宋体" w:cs="宋体"/>
          <w:color w:val="auto"/>
          <w:sz w:val="22"/>
          <w:szCs w:val="22"/>
          <w:highlight w:val="none"/>
        </w:rPr>
        <w:t>调配</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及采购力量，并配合</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及相关部门对于未完成拆迁部分进行拆迁。一旦该拆迁完成，提供足够的</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力量，以便</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的进展不受影响。</w:t>
      </w:r>
    </w:p>
    <w:p w14:paraId="4952EE15">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（3）在考虑</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进展时，充分考虑</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所在地每年会发生雨季、台风、暴雨、干旱季节、高温、寒冷及其他自然因素对</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可能产生的影响，合同确定的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期亦充分考虑了该等影响因素。</w:t>
      </w:r>
    </w:p>
    <w:p w14:paraId="3C8379F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（4）在发生或估计会发生</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期迟延的情况时，</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应加强</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力量进行赶工，并确保</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质量，以便延误的</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期能够赶上，按照在保证质量的情况下通过验收。</w:t>
      </w:r>
    </w:p>
    <w:p w14:paraId="5EB54D9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有权在发现</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按计划可能或实际发生</w:t>
      </w:r>
      <w:r>
        <w:rPr>
          <w:rFonts w:hint="eastAsia" w:ascii="宋体" w:hAnsi="宋体" w:eastAsia="宋体" w:cs="宋体"/>
          <w:color w:val="auto"/>
          <w:sz w:val="22"/>
          <w:szCs w:val="22"/>
          <w:highlight w:val="none"/>
          <w:lang w:val="en-US" w:eastAsia="zh-CN"/>
        </w:rPr>
        <w:t>项目实施期</w:t>
      </w:r>
      <w:r>
        <w:rPr>
          <w:rFonts w:hint="eastAsia" w:ascii="宋体" w:hAnsi="宋体" w:eastAsia="宋体" w:cs="宋体"/>
          <w:color w:val="auto"/>
          <w:sz w:val="22"/>
          <w:szCs w:val="22"/>
          <w:highlight w:val="none"/>
        </w:rPr>
        <w:t>延误的情况下，要求</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加强</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力量的配置。</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应该在收到</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或其代表、监理人的通知（不管是口头或书面）后，应即刻调整或改正。</w:t>
      </w:r>
    </w:p>
    <w:p w14:paraId="2E3DE10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bCs w:val="0"/>
          <w:color w:val="auto"/>
          <w:kern w:val="2"/>
          <w:sz w:val="22"/>
          <w:szCs w:val="22"/>
          <w:highlight w:val="none"/>
          <w:u w:val="none"/>
          <w:lang w:val="en-US" w:eastAsia="zh-CN"/>
        </w:rPr>
        <w:t>（6）</w:t>
      </w:r>
      <w:r>
        <w:rPr>
          <w:rFonts w:hint="eastAsia" w:ascii="宋体" w:hAnsi="宋体" w:eastAsia="宋体" w:cs="宋体"/>
          <w:bCs w:val="0"/>
          <w:color w:val="auto"/>
          <w:kern w:val="2"/>
          <w:sz w:val="22"/>
          <w:szCs w:val="22"/>
          <w:highlight w:val="none"/>
          <w:u w:val="none"/>
          <w:lang w:val="en-US" w:eastAsia="zh-CN"/>
        </w:rPr>
        <w:t>本项目经</w:t>
      </w:r>
      <w:r>
        <w:rPr>
          <w:rFonts w:hint="eastAsia" w:ascii="宋体" w:hAnsi="宋体" w:cs="宋体"/>
          <w:bCs w:val="0"/>
          <w:color w:val="auto"/>
          <w:kern w:val="2"/>
          <w:sz w:val="22"/>
          <w:szCs w:val="22"/>
          <w:highlight w:val="none"/>
          <w:u w:val="none"/>
          <w:lang w:val="en-US" w:eastAsia="zh-CN"/>
        </w:rPr>
        <w:t>甲方</w:t>
      </w:r>
      <w:r>
        <w:rPr>
          <w:rFonts w:hint="eastAsia" w:ascii="宋体" w:hAnsi="宋体" w:eastAsia="宋体" w:cs="宋体"/>
          <w:bCs w:val="0"/>
          <w:color w:val="auto"/>
          <w:kern w:val="2"/>
          <w:sz w:val="22"/>
          <w:szCs w:val="22"/>
          <w:highlight w:val="none"/>
          <w:u w:val="none"/>
          <w:lang w:val="en-US" w:eastAsia="zh-CN"/>
        </w:rPr>
        <w:t>书面同意后进行分包，</w:t>
      </w:r>
      <w:r>
        <w:rPr>
          <w:rFonts w:hint="eastAsia" w:ascii="宋体" w:hAnsi="宋体" w:cs="宋体"/>
          <w:bCs w:val="0"/>
          <w:color w:val="auto"/>
          <w:kern w:val="2"/>
          <w:sz w:val="22"/>
          <w:szCs w:val="22"/>
          <w:highlight w:val="none"/>
          <w:u w:val="none"/>
          <w:lang w:val="en-US" w:eastAsia="zh-CN"/>
        </w:rPr>
        <w:t>甲方</w:t>
      </w:r>
      <w:r>
        <w:rPr>
          <w:rFonts w:hint="eastAsia" w:ascii="宋体" w:hAnsi="宋体" w:eastAsia="宋体" w:cs="宋体"/>
          <w:bCs w:val="0"/>
          <w:color w:val="auto"/>
          <w:kern w:val="2"/>
          <w:sz w:val="22"/>
          <w:szCs w:val="22"/>
          <w:highlight w:val="none"/>
          <w:u w:val="none"/>
          <w:lang w:val="en-US" w:eastAsia="zh-CN"/>
        </w:rPr>
        <w:t>有权对</w:t>
      </w:r>
      <w:r>
        <w:rPr>
          <w:rFonts w:hint="eastAsia" w:ascii="宋体" w:hAnsi="宋体" w:cs="宋体"/>
          <w:bCs w:val="0"/>
          <w:color w:val="auto"/>
          <w:kern w:val="2"/>
          <w:sz w:val="22"/>
          <w:szCs w:val="22"/>
          <w:highlight w:val="none"/>
          <w:u w:val="none"/>
          <w:lang w:val="en-US" w:eastAsia="zh-CN"/>
        </w:rPr>
        <w:t>乙方</w:t>
      </w:r>
      <w:r>
        <w:rPr>
          <w:rFonts w:hint="eastAsia" w:ascii="宋体" w:hAnsi="宋体" w:eastAsia="宋体" w:cs="宋体"/>
          <w:bCs w:val="0"/>
          <w:color w:val="auto"/>
          <w:kern w:val="2"/>
          <w:sz w:val="22"/>
          <w:szCs w:val="22"/>
          <w:highlight w:val="none"/>
          <w:u w:val="none"/>
          <w:lang w:val="en-US" w:eastAsia="zh-CN"/>
        </w:rPr>
        <w:t>分包的内容进行监管。</w:t>
      </w:r>
    </w:p>
    <w:p w14:paraId="1DD0841C">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7.2.</w:t>
      </w:r>
      <w:r>
        <w:rPr>
          <w:rFonts w:hint="eastAsia" w:ascii="宋体" w:hAnsi="宋体" w:eastAsia="宋体" w:cs="宋体"/>
          <w:b/>
          <w:color w:val="auto"/>
          <w:sz w:val="22"/>
          <w:szCs w:val="22"/>
          <w:highlight w:val="none"/>
          <w:lang w:val="en-US" w:eastAsia="zh-CN"/>
        </w:rPr>
        <w:t>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质量方面的特别承诺和保证：</w:t>
      </w:r>
    </w:p>
    <w:p w14:paraId="1F7A6B8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充分理解，严格把握</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质量，是本合同及相关采购文件、响应文件中关键义务。</w:t>
      </w:r>
    </w:p>
    <w:p w14:paraId="4DEE33E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保证将投入具有足够充分数量的并具有相应资格、资质以及类似</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经验的设计</w:t>
      </w:r>
      <w:r>
        <w:rPr>
          <w:rFonts w:hint="eastAsia" w:ascii="宋体" w:hAnsi="宋体" w:eastAsia="宋体" w:cs="宋体"/>
          <w:color w:val="auto"/>
          <w:sz w:val="22"/>
          <w:szCs w:val="22"/>
          <w:highlight w:val="none"/>
          <w:lang w:val="en-US"/>
        </w:rPr>
        <w:t>、</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专业人士及管理人员力量，充分保证</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质量。未经监理工程师同意，不得减少、替换合同约定的专业人员、管理人员及</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力量。</w:t>
      </w:r>
    </w:p>
    <w:p w14:paraId="11BBDAEA">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保证对</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场地及地质状况和可能会影响</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质量的各个环节及因素，能够有充分的了解并严格把关，采取一切措施防止产生</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瑕疵的情形。</w:t>
      </w:r>
    </w:p>
    <w:p w14:paraId="76FC81F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保证按“</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要求”及强制性标准开展</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设计，并按设计审查意见调整设计成果。</w:t>
      </w:r>
    </w:p>
    <w:p w14:paraId="4ABF775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的协助下，以</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的名义具体负责初步设计的报批工作。</w:t>
      </w:r>
    </w:p>
    <w:p w14:paraId="7530DA2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所采购的原材料及设备、设施应符合本项目</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的要求，防止不合格或假冒的原材料及设备、设施用于本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应建立起本项目</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的检查、监督机制，发现或被指出有不符合要求的原材料及设备和设施，马上返修、纠正，并自行承担因此造成的费用增加。</w:t>
      </w:r>
    </w:p>
    <w:p w14:paraId="5E18EC9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进一步保证投入足够的原材料及设备、设施用于本项目，</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不得偷工减料，防止用其他原材料替代按照设计所需要的原材料，并对</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用料、设备、设施及</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过程作详细记录。</w:t>
      </w:r>
    </w:p>
    <w:p w14:paraId="19BF43E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应保证</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（含</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的委托人）、监理人有权随时进入</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的任何地点，并有权向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调取和复制与</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设计、</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、采购以及与之相关的所有文件、材料，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应予配合和提供。</w:t>
      </w:r>
    </w:p>
    <w:p w14:paraId="55794E3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（8）任何时候如</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及监理人发现有任何不符合质量要求的情况，</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在接到书面通知后，应立即纠正，并自行承担因此产生的任何额外费用。</w:t>
      </w:r>
    </w:p>
    <w:p w14:paraId="39A2F82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（9）对上述保证的任何违反，构成对本项目</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质量的实质性违反，</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必须立即纠正，否则应视为实质性违反合同。</w:t>
      </w:r>
    </w:p>
    <w:p w14:paraId="10DBE6CB">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7.2.</w:t>
      </w:r>
      <w:r>
        <w:rPr>
          <w:rFonts w:hint="eastAsia" w:ascii="宋体" w:hAnsi="宋体" w:eastAsia="宋体" w:cs="宋体"/>
          <w:b/>
          <w:color w:val="auto"/>
          <w:sz w:val="22"/>
          <w:szCs w:val="22"/>
          <w:highlight w:val="none"/>
          <w:lang w:val="en-US" w:eastAsia="zh-CN"/>
        </w:rPr>
        <w:t>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应做好</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场地周围文物保护建筑、古树名木的保护工作。发生保护措施费用根据实际情况由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、监理人签证。</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场地周围邻近建筑物、地下管线、构筑物由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负责保护及承担措施费用。保护期间若发生损坏，由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p>
    <w:p w14:paraId="248019FA">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7.2.</w:t>
      </w:r>
      <w:r>
        <w:rPr>
          <w:rFonts w:hint="eastAsia" w:ascii="宋体" w:hAnsi="宋体" w:eastAsia="宋体" w:cs="宋体"/>
          <w:b/>
          <w:color w:val="auto"/>
          <w:sz w:val="22"/>
          <w:szCs w:val="22"/>
          <w:highlight w:val="none"/>
          <w:lang w:val="en-US" w:eastAsia="zh-CN"/>
        </w:rPr>
        <w:t>4</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应及时足额支付农民工工资，若有拖欠农民工工资的现象，</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有权在合同款中扣除相应数额，用于农民工工资的发放；</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在完工验收合格后，向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支付合同规定的合同价款前，在当地媒体上发布关于清理该</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欠薪的公告，经确认无拖欠农民工工资后，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方可支付合同价款。</w:t>
      </w:r>
    </w:p>
    <w:p w14:paraId="5FC46FCA">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职责和权利</w:t>
      </w:r>
    </w:p>
    <w:p w14:paraId="256F4876">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8.1甲方的职责和权利</w:t>
      </w:r>
    </w:p>
    <w:p w14:paraId="1B63F6CC">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除本合同及附件已有明确规定外，</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的职责和权利还包括：</w:t>
      </w:r>
    </w:p>
    <w:p w14:paraId="6EA271B4">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8.1.1</w:t>
      </w:r>
      <w:r>
        <w:rPr>
          <w:rFonts w:hint="eastAsia" w:ascii="宋体" w:hAnsi="宋体" w:eastAsia="宋体" w:cs="宋体"/>
          <w:color w:val="auto"/>
          <w:sz w:val="22"/>
          <w:szCs w:val="22"/>
          <w:highlight w:val="none"/>
        </w:rPr>
        <w:t>协助</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办理为本项目实施所必需的以</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名义办理的有关政府部门、第三方机构的批准、许可、同意等。</w:t>
      </w:r>
    </w:p>
    <w:p w14:paraId="028EC48B">
      <w:pPr>
        <w:keepNext w:val="0"/>
        <w:keepLines w:val="0"/>
        <w:pageBreakBefore w:val="0"/>
        <w:kinsoku/>
        <w:wordWrap/>
        <w:overflowPunct/>
        <w:topLinePunct w:val="0"/>
        <w:bidi w:val="0"/>
        <w:adjustRightInd w:val="0"/>
        <w:spacing w:line="400" w:lineRule="exact"/>
        <w:ind w:firstLine="389" w:firstLineChars="176"/>
        <w:textAlignment w:val="auto"/>
        <w:rPr>
          <w:rFonts w:hint="eastAsia" w:ascii="宋体" w:hAnsi="宋体" w:eastAsia="宋体" w:cs="宋体"/>
          <w:color w:val="auto"/>
          <w:sz w:val="22"/>
          <w:szCs w:val="22"/>
          <w:highlight w:val="none"/>
          <w:lang w:eastAsia="zh-CN"/>
        </w:rPr>
      </w:pPr>
      <w:r>
        <w:rPr>
          <w:rFonts w:hint="eastAsia" w:ascii="宋体" w:hAnsi="宋体" w:eastAsia="宋体" w:cs="宋体"/>
          <w:b/>
          <w:color w:val="auto"/>
          <w:sz w:val="22"/>
          <w:szCs w:val="22"/>
          <w:highlight w:val="none"/>
        </w:rPr>
        <w:t>8.1.2</w:t>
      </w:r>
      <w:r>
        <w:rPr>
          <w:rFonts w:hint="eastAsia" w:ascii="宋体" w:hAnsi="宋体" w:eastAsia="宋体" w:cs="宋体"/>
          <w:color w:val="auto"/>
          <w:sz w:val="22"/>
          <w:szCs w:val="22"/>
          <w:highlight w:val="none"/>
        </w:rPr>
        <w:t>各乡镇政府负责本项目政策处理工作，保障无障碍</w:t>
      </w:r>
      <w:r>
        <w:rPr>
          <w:rFonts w:hint="eastAsia"/>
          <w:color w:val="auto"/>
          <w:highlight w:val="none"/>
          <w:lang w:val="en-US" w:eastAsia="zh-CN"/>
        </w:rPr>
        <w:t>项目</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rPr>
        <w:t>环境，并及时向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交付</w:t>
      </w:r>
      <w:r>
        <w:rPr>
          <w:rFonts w:hint="eastAsia" w:ascii="宋体" w:hAnsi="宋体" w:cs="宋体"/>
          <w:color w:val="auto"/>
          <w:sz w:val="22"/>
          <w:szCs w:val="22"/>
          <w:highlight w:val="none"/>
          <w:lang w:eastAsia="zh-CN"/>
        </w:rPr>
        <w:t>改造实施</w:t>
      </w:r>
      <w:r>
        <w:rPr>
          <w:rFonts w:hint="eastAsia" w:ascii="宋体" w:hAnsi="宋体" w:eastAsia="宋体" w:cs="宋体"/>
          <w:color w:val="auto"/>
          <w:sz w:val="22"/>
          <w:szCs w:val="22"/>
          <w:highlight w:val="none"/>
        </w:rPr>
        <w:t>的用地。政策处理费包括青苗调查和赔偿以及其他政策处理费</w:t>
      </w:r>
      <w:r>
        <w:rPr>
          <w:rFonts w:hint="eastAsia" w:ascii="宋体" w:hAnsi="宋体" w:cs="宋体"/>
          <w:color w:val="auto"/>
          <w:sz w:val="22"/>
          <w:szCs w:val="22"/>
          <w:highlight w:val="none"/>
          <w:lang w:eastAsia="zh-CN"/>
        </w:rPr>
        <w:t>。</w:t>
      </w:r>
    </w:p>
    <w:p w14:paraId="59770E22">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8.2乙方的职责和权利</w:t>
      </w:r>
    </w:p>
    <w:p w14:paraId="64AF6D3D">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负责按计划</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，确保投入资金满足本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实施的需要。</w:t>
      </w:r>
    </w:p>
    <w:p w14:paraId="28D28DD9">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8.2.2</w:t>
      </w:r>
      <w:r>
        <w:rPr>
          <w:rFonts w:hint="eastAsia" w:ascii="宋体" w:hAnsi="宋体" w:eastAsia="宋体" w:cs="宋体"/>
          <w:color w:val="auto"/>
          <w:sz w:val="22"/>
          <w:szCs w:val="22"/>
          <w:highlight w:val="none"/>
        </w:rPr>
        <w:t>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完成的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应完全符合本合同并适合于合同中规定的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的预期目的。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应包括为满足</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要求及本合同明确的或合同隐含或由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的任何义务而产生的任何工作，以及合同中虽未提及但推论对</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的稳定、完整或安全、可靠及有效运行所必须的全部工作。</w:t>
      </w:r>
    </w:p>
    <w:p w14:paraId="16AB2F6D">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应在合同期内实施和完成本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，包括设计、</w:t>
      </w:r>
      <w:r>
        <w:rPr>
          <w:rFonts w:hint="eastAsia" w:ascii="宋体" w:hAnsi="宋体" w:eastAsia="宋体" w:cs="宋体"/>
          <w:color w:val="auto"/>
          <w:sz w:val="22"/>
          <w:szCs w:val="22"/>
          <w:highlight w:val="none"/>
          <w:lang w:val="en-US" w:eastAsia="zh-CN"/>
        </w:rPr>
        <w:t>土地整治</w:t>
      </w:r>
      <w:r>
        <w:rPr>
          <w:rFonts w:hint="eastAsia" w:ascii="宋体" w:hAnsi="宋体" w:eastAsia="宋体" w:cs="宋体"/>
          <w:color w:val="auto"/>
          <w:sz w:val="22"/>
          <w:szCs w:val="22"/>
          <w:highlight w:val="none"/>
        </w:rPr>
        <w:t>、提供</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文件，并应在合同期内修补设计、</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缺陷。</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应为该</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的实施、完工以及修补缺陷而提供所需要的或临时性或永久性的全部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劳务、设备、材料，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的设备、临时</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以及所有其他物品。</w:t>
      </w:r>
    </w:p>
    <w:p w14:paraId="7B03997C">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8.2.4</w:t>
      </w:r>
      <w:r>
        <w:rPr>
          <w:rFonts w:hint="eastAsia" w:ascii="宋体" w:hAnsi="宋体" w:eastAsia="宋体" w:cs="宋体"/>
          <w:color w:val="auto"/>
          <w:sz w:val="22"/>
          <w:szCs w:val="22"/>
          <w:highlight w:val="none"/>
        </w:rPr>
        <w:t>不管</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是否给予了批准或同意，</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应对全部现场作业、所有</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方法以及全部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的完备性、稳定性和安全性承担全部责任。</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负责解决在</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过程中发生的一切争议（包括但不限于结算纠纷、拖欠民工工资纠纷、劳动争议、人身损害等纠纷），承担解决争议的费用或责任，相关费用不计入合同价款。</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保证不会因为争议影响到</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进度、</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质量以及</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交付。</w:t>
      </w:r>
    </w:p>
    <w:p w14:paraId="1E4FF73A">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8.2.5</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对本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设计、</w:t>
      </w:r>
      <w:r>
        <w:rPr>
          <w:rFonts w:hint="eastAsia" w:ascii="宋体" w:hAnsi="宋体" w:eastAsia="宋体" w:cs="宋体"/>
          <w:color w:val="auto"/>
          <w:sz w:val="22"/>
          <w:szCs w:val="22"/>
          <w:highlight w:val="none"/>
          <w:lang w:val="en-US" w:eastAsia="zh-CN"/>
        </w:rPr>
        <w:t>土地整治</w:t>
      </w:r>
      <w:r>
        <w:rPr>
          <w:rFonts w:hint="eastAsia" w:ascii="宋体" w:hAnsi="宋体" w:eastAsia="宋体" w:cs="宋体"/>
          <w:color w:val="auto"/>
          <w:sz w:val="22"/>
          <w:szCs w:val="22"/>
          <w:highlight w:val="none"/>
        </w:rPr>
        <w:t>提出重大设计变更应经监理及</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书面同意，如需报原审批机构审核的，审核通过后方可实施。</w:t>
      </w:r>
    </w:p>
    <w:p w14:paraId="3EE31CFC">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8.2.6</w:t>
      </w:r>
      <w:r>
        <w:rPr>
          <w:rFonts w:hint="eastAsia" w:ascii="宋体" w:hAnsi="宋体" w:eastAsia="宋体" w:cs="宋体"/>
          <w:color w:val="auto"/>
          <w:sz w:val="22"/>
          <w:szCs w:val="22"/>
          <w:highlight w:val="none"/>
        </w:rPr>
        <w:t>依法纳税。</w:t>
      </w:r>
    </w:p>
    <w:p w14:paraId="2F72F848">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8.2.7</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val="en-US" w:eastAsia="zh-CN"/>
        </w:rPr>
        <w:t>项目服务</w:t>
      </w:r>
      <w:r>
        <w:rPr>
          <w:rFonts w:hint="eastAsia" w:ascii="宋体" w:hAnsi="宋体" w:eastAsia="宋体" w:cs="宋体"/>
          <w:color w:val="auto"/>
          <w:sz w:val="22"/>
          <w:szCs w:val="22"/>
          <w:highlight w:val="none"/>
        </w:rPr>
        <w:t>期内应对设计、</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val="en-US" w:eastAsia="zh-CN"/>
        </w:rPr>
        <w:t>垦后管护</w:t>
      </w:r>
      <w:r>
        <w:rPr>
          <w:rFonts w:hint="eastAsia" w:ascii="宋体" w:hAnsi="宋体" w:eastAsia="宋体" w:cs="宋体"/>
          <w:color w:val="auto"/>
          <w:sz w:val="22"/>
          <w:szCs w:val="22"/>
          <w:highlight w:val="none"/>
          <w:lang w:val="en-US" w:eastAsia="zh-CN"/>
        </w:rPr>
        <w:t>、</w:t>
      </w:r>
      <w:r>
        <w:rPr>
          <w:rFonts w:hint="eastAsia" w:ascii="宋体" w:hAnsi="宋体" w:eastAsia="宋体" w:cs="宋体"/>
          <w:color w:val="auto"/>
          <w:sz w:val="22"/>
          <w:szCs w:val="22"/>
          <w:highlight w:val="none"/>
        </w:rPr>
        <w:t>财产和人员伤亡进行保险。</w:t>
      </w:r>
    </w:p>
    <w:p w14:paraId="4716F97A">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8.2.8</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应按合同规定配合</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完工验收，负责解决验收中的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质量问题及质保期的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质量问题并负责向完工备案部门备案。</w:t>
      </w:r>
    </w:p>
    <w:p w14:paraId="338B7B6F">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8.2.9</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应始终遵守政府当局发布的一切有关法律、条例和法令，</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应经常取得与适用于本项目已公布的法律、条例和法令有关的一切必要的资料。并始终被视为对这些资料有充分的了解。</w:t>
      </w:r>
    </w:p>
    <w:p w14:paraId="57125FE6">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8.2.10</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为本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签订的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文件必须符合国家有关的法律、法规，并与本合同不相抵触。</w:t>
      </w:r>
    </w:p>
    <w:p w14:paraId="551C4EB4">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在完工验收后应负责向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提供完整的完工档案、设备、仪器、仪表维修操作手册、质量保修书等有关资料。</w:t>
      </w:r>
    </w:p>
    <w:p w14:paraId="4536A107">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应按档案管理的有关规定，负责编制项目档案，提供给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并保证文书档案移交并向有关部门归档。</w:t>
      </w:r>
    </w:p>
    <w:p w14:paraId="37CC7552">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8.2.13</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实施过程的重大问题应及时向监理人、</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及有关部门汇报。</w:t>
      </w:r>
    </w:p>
    <w:p w14:paraId="5D16B2F6">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8.2.14</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完工验收</w:t>
      </w:r>
      <w:r>
        <w:rPr>
          <w:rFonts w:hint="eastAsia" w:ascii="宋体" w:hAnsi="宋体" w:eastAsia="宋体" w:cs="宋体"/>
          <w:color w:val="auto"/>
          <w:sz w:val="22"/>
          <w:szCs w:val="22"/>
          <w:highlight w:val="none"/>
          <w:lang w:val="en-US" w:eastAsia="zh-CN"/>
        </w:rPr>
        <w:t>入库</w:t>
      </w:r>
      <w:r>
        <w:rPr>
          <w:rFonts w:hint="eastAsia" w:ascii="宋体" w:hAnsi="宋体" w:eastAsia="宋体" w:cs="宋体"/>
          <w:color w:val="auto"/>
          <w:sz w:val="22"/>
          <w:szCs w:val="22"/>
          <w:highlight w:val="none"/>
        </w:rPr>
        <w:t>后，按照本合同规定</w:t>
      </w:r>
      <w:r>
        <w:rPr>
          <w:rFonts w:hint="eastAsia" w:ascii="宋体" w:hAnsi="宋体" w:eastAsia="宋体" w:cs="宋体"/>
          <w:color w:val="auto"/>
          <w:sz w:val="22"/>
          <w:szCs w:val="22"/>
          <w:highlight w:val="none"/>
          <w:lang w:val="en-US" w:eastAsia="zh-CN"/>
        </w:rPr>
        <w:t>由乙方负责</w:t>
      </w:r>
      <w:r>
        <w:rPr>
          <w:rFonts w:hint="eastAsia" w:ascii="宋体" w:hAnsi="宋体" w:cs="宋体"/>
          <w:color w:val="auto"/>
          <w:sz w:val="22"/>
          <w:szCs w:val="22"/>
          <w:highlight w:val="none"/>
          <w:lang w:val="en-US" w:eastAsia="zh-CN"/>
        </w:rPr>
        <w:t>垦后管护</w:t>
      </w:r>
      <w:r>
        <w:rPr>
          <w:rFonts w:hint="eastAsia" w:ascii="宋体" w:hAnsi="宋体" w:eastAsia="宋体" w:cs="宋体"/>
          <w:color w:val="auto"/>
          <w:sz w:val="22"/>
          <w:szCs w:val="22"/>
          <w:highlight w:val="none"/>
          <w:lang w:val="en-US" w:eastAsia="zh-CN"/>
        </w:rPr>
        <w:t>，</w:t>
      </w:r>
      <w:r>
        <w:rPr>
          <w:rFonts w:hint="eastAsia" w:ascii="宋体" w:hAnsi="宋体" w:cs="宋体"/>
          <w:color w:val="auto"/>
          <w:sz w:val="22"/>
          <w:szCs w:val="22"/>
          <w:highlight w:val="none"/>
          <w:lang w:val="en-US" w:eastAsia="zh-CN"/>
        </w:rPr>
        <w:t>垦后管护</w:t>
      </w:r>
      <w:r>
        <w:rPr>
          <w:rFonts w:hint="eastAsia" w:ascii="宋体" w:hAnsi="宋体" w:eastAsia="宋体" w:cs="宋体"/>
          <w:color w:val="auto"/>
          <w:sz w:val="22"/>
          <w:szCs w:val="22"/>
          <w:highlight w:val="none"/>
          <w:lang w:val="en-US" w:eastAsia="zh-CN"/>
        </w:rPr>
        <w:t>期满后</w:t>
      </w:r>
      <w:r>
        <w:rPr>
          <w:rFonts w:hint="eastAsia" w:ascii="宋体" w:hAnsi="宋体" w:eastAsia="宋体" w:cs="宋体"/>
          <w:color w:val="auto"/>
          <w:sz w:val="22"/>
          <w:szCs w:val="22"/>
          <w:highlight w:val="none"/>
        </w:rPr>
        <w:t>将项目交付给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513E3D5A">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8.2.15</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必须无条件服从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委托的监理人对本项目的监理。</w:t>
      </w:r>
    </w:p>
    <w:p w14:paraId="41CCAB78">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8.2.16</w:t>
      </w:r>
      <w:r>
        <w:rPr>
          <w:rFonts w:hint="eastAsia" w:ascii="宋体" w:hAnsi="宋体" w:eastAsia="宋体" w:cs="宋体"/>
          <w:color w:val="auto"/>
          <w:sz w:val="22"/>
          <w:szCs w:val="22"/>
          <w:highlight w:val="none"/>
        </w:rPr>
        <w:t>政策处理完成并具备</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rPr>
        <w:t>条件，监理人发布开工令后</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开始进场</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w:t>
      </w:r>
    </w:p>
    <w:p w14:paraId="03DF9469">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31" w:name="_Toc354478285"/>
      <w:bookmarkStart w:id="132" w:name="_Toc354478018"/>
      <w:bookmarkStart w:id="133" w:name="_Toc359839849"/>
      <w:bookmarkStart w:id="134" w:name="_Toc359839320"/>
      <w:bookmarkStart w:id="135" w:name="_Toc359838523"/>
      <w:bookmarkStart w:id="136" w:name="_Toc359839708"/>
      <w:bookmarkStart w:id="137" w:name="_Toc354494040"/>
      <w:r>
        <w:rPr>
          <w:rFonts w:hint="eastAsia" w:ascii="宋体" w:hAnsi="宋体" w:eastAsia="宋体" w:cs="宋体"/>
          <w:b/>
          <w:snapToGrid w:val="0"/>
          <w:color w:val="auto"/>
          <w:kern w:val="2"/>
          <w:sz w:val="22"/>
          <w:szCs w:val="22"/>
          <w:highlight w:val="none"/>
          <w:lang w:val="en-US" w:eastAsia="zh-CN" w:bidi="ar-SA"/>
        </w:rPr>
        <w:t>验收和</w:t>
      </w:r>
      <w:bookmarkEnd w:id="131"/>
      <w:bookmarkEnd w:id="132"/>
      <w:bookmarkEnd w:id="133"/>
      <w:bookmarkEnd w:id="134"/>
      <w:bookmarkEnd w:id="135"/>
      <w:bookmarkEnd w:id="136"/>
      <w:bookmarkEnd w:id="137"/>
      <w:r>
        <w:rPr>
          <w:rFonts w:hint="eastAsia" w:ascii="宋体" w:hAnsi="宋体" w:eastAsia="宋体" w:cs="宋体"/>
          <w:b/>
          <w:snapToGrid w:val="0"/>
          <w:color w:val="auto"/>
          <w:kern w:val="2"/>
          <w:sz w:val="22"/>
          <w:szCs w:val="22"/>
          <w:highlight w:val="none"/>
          <w:lang w:val="en-US" w:eastAsia="zh-CN" w:bidi="ar-SA"/>
        </w:rPr>
        <w:t>交付</w:t>
      </w:r>
    </w:p>
    <w:p w14:paraId="3640FC7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38" w:name="_Toc359838524"/>
      <w:bookmarkStart w:id="139" w:name="_Toc354494045"/>
      <w:bookmarkStart w:id="140" w:name="_Toc354478290"/>
      <w:r>
        <w:rPr>
          <w:rFonts w:hint="eastAsia" w:ascii="宋体" w:hAnsi="宋体" w:eastAsia="宋体" w:cs="宋体"/>
          <w:b/>
          <w:bCs/>
          <w:snapToGrid w:val="0"/>
          <w:color w:val="auto"/>
          <w:kern w:val="2"/>
          <w:sz w:val="22"/>
          <w:szCs w:val="22"/>
          <w:highlight w:val="none"/>
          <w:lang w:val="en-US" w:eastAsia="zh-CN" w:bidi="ar-SA"/>
        </w:rPr>
        <w:t>9.1</w:t>
      </w:r>
      <w:bookmarkEnd w:id="138"/>
      <w:r>
        <w:rPr>
          <w:rFonts w:hint="eastAsia" w:ascii="宋体" w:hAnsi="宋体" w:eastAsia="宋体" w:cs="宋体"/>
          <w:b/>
          <w:bCs/>
          <w:snapToGrid w:val="0"/>
          <w:color w:val="auto"/>
          <w:kern w:val="2"/>
          <w:sz w:val="22"/>
          <w:szCs w:val="22"/>
          <w:highlight w:val="none"/>
          <w:lang w:val="en-US" w:eastAsia="zh-CN" w:bidi="ar-SA"/>
        </w:rPr>
        <w:t>竣工资料及验收申请</w:t>
      </w:r>
    </w:p>
    <w:p w14:paraId="344D0462">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default" w:ascii="宋体" w:hAnsi="宋体" w:eastAsia="宋体" w:cs="宋体"/>
          <w:b w:val="0"/>
          <w:bCs w:val="0"/>
          <w:snapToGrid w:val="0"/>
          <w:color w:val="auto"/>
          <w:kern w:val="2"/>
          <w:sz w:val="22"/>
          <w:szCs w:val="22"/>
          <w:highlight w:val="none"/>
          <w:lang w:val="en-US" w:eastAsia="zh-CN" w:bidi="ar-SA"/>
        </w:rPr>
      </w:pPr>
      <w:bookmarkStart w:id="141" w:name="_Toc350862182"/>
      <w:r>
        <w:rPr>
          <w:rFonts w:hint="eastAsia" w:ascii="宋体" w:hAnsi="宋体" w:eastAsia="宋体" w:cs="宋体"/>
          <w:b w:val="0"/>
          <w:bCs w:val="0"/>
          <w:snapToGrid w:val="0"/>
          <w:color w:val="auto"/>
          <w:kern w:val="2"/>
          <w:sz w:val="22"/>
          <w:szCs w:val="22"/>
          <w:highlight w:val="none"/>
          <w:lang w:val="en-US" w:eastAsia="zh-CN" w:bidi="ar-SA"/>
        </w:rPr>
        <w:t>由乙方提出。</w:t>
      </w:r>
    </w:p>
    <w:p w14:paraId="1FD24BA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9.2</w:t>
      </w:r>
      <w:bookmarkEnd w:id="141"/>
      <w:r>
        <w:rPr>
          <w:rFonts w:hint="eastAsia" w:ascii="宋体" w:hAnsi="宋体" w:eastAsia="宋体" w:cs="宋体"/>
          <w:b/>
          <w:bCs/>
          <w:snapToGrid w:val="0"/>
          <w:color w:val="auto"/>
          <w:kern w:val="2"/>
          <w:sz w:val="22"/>
          <w:szCs w:val="22"/>
          <w:highlight w:val="none"/>
          <w:lang w:val="en-US" w:eastAsia="zh-CN" w:bidi="ar-SA"/>
        </w:rPr>
        <w:t>验收</w:t>
      </w:r>
    </w:p>
    <w:p w14:paraId="5B5C9601">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项目验收：中标（成交）供应商完成项目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项目乡镇政府组织项目设计、监理等单位对项目进行自验，自验合格的，项目乡镇政府向县农业农村部门申请项目验收。县农业农村部门会同财政部门，组织相关部门专家组成员进行项目验收。项目通过验收后，中标（成交）供应商开展竣工验收相关材料编制整理等工作，做好项目报备入库工作。</w:t>
      </w:r>
    </w:p>
    <w:p w14:paraId="67EF3DD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垦后耕种验收：改造后耕种验收：</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实施完成后，种植养护项目一年验收一次。中标（成交）供应商根据县农业农村部门的统一要求，提交验收材料，县农业农村部门会同财政部门，组织相关部门专家组成员对项目的耕种情况，进行实地勘察验收。</w:t>
      </w:r>
    </w:p>
    <w:p w14:paraId="65C40429">
      <w:pPr>
        <w:keepNext w:val="0"/>
        <w:keepLines w:val="0"/>
        <w:pageBreakBefore w:val="0"/>
        <w:kinsoku/>
        <w:wordWrap/>
        <w:overflowPunct/>
        <w:topLinePunct w:val="0"/>
        <w:bidi w:val="0"/>
        <w:adjustRightInd w:val="0"/>
        <w:spacing w:line="400" w:lineRule="exact"/>
        <w:ind w:firstLine="440" w:firstLineChars="200"/>
        <w:jc w:val="left"/>
        <w:textAlignment w:val="auto"/>
        <w:rPr>
          <w:rFonts w:hint="eastAsia" w:ascii="宋体" w:hAnsi="宋体" w:eastAsia="宋体" w:cs="宋体"/>
          <w:b w:val="0"/>
          <w:bCs/>
          <w:color w:val="auto"/>
          <w:kern w:val="2"/>
          <w:sz w:val="22"/>
          <w:szCs w:val="22"/>
          <w:highlight w:val="none"/>
          <w:lang w:val="en-US" w:eastAsia="zh-CN"/>
        </w:rPr>
      </w:pPr>
      <w:r>
        <w:rPr>
          <w:rFonts w:hint="eastAsia" w:ascii="宋体" w:hAnsi="宋体" w:eastAsia="宋体" w:cs="宋体"/>
          <w:bCs/>
          <w:color w:val="auto"/>
          <w:kern w:val="0"/>
          <w:sz w:val="22"/>
          <w:szCs w:val="22"/>
          <w:highlight w:val="none"/>
          <w:u w:val="none"/>
          <w:lang w:val="en-US" w:eastAsia="zh-CN"/>
        </w:rPr>
        <w:t>管理养护要求：满足项目实施的质量控制标准收</w:t>
      </w:r>
      <w:r>
        <w:rPr>
          <w:rFonts w:hint="eastAsia" w:ascii="宋体" w:hAnsi="宋体" w:eastAsia="宋体" w:cs="宋体"/>
          <w:b w:val="0"/>
          <w:bCs/>
          <w:color w:val="auto"/>
          <w:kern w:val="2"/>
          <w:sz w:val="22"/>
          <w:szCs w:val="22"/>
          <w:highlight w:val="none"/>
          <w:u w:val="none"/>
          <w:lang w:val="en-US" w:eastAsia="zh-CN"/>
        </w:rPr>
        <w:t>。</w:t>
      </w:r>
    </w:p>
    <w:p w14:paraId="45E4DFC9">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42" w:name="_Toc350862183"/>
      <w:r>
        <w:rPr>
          <w:rFonts w:hint="eastAsia" w:ascii="宋体" w:hAnsi="宋体" w:eastAsia="宋体" w:cs="宋体"/>
          <w:b/>
          <w:bCs/>
          <w:snapToGrid w:val="0"/>
          <w:color w:val="auto"/>
          <w:kern w:val="2"/>
          <w:sz w:val="22"/>
          <w:szCs w:val="22"/>
          <w:highlight w:val="none"/>
          <w:lang w:val="en-US" w:eastAsia="zh-CN" w:bidi="ar-SA"/>
        </w:rPr>
        <w:t>9.3缺陷责任与保修责任</w:t>
      </w:r>
      <w:bookmarkEnd w:id="142"/>
    </w:p>
    <w:p w14:paraId="740589F8">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bookmarkStart w:id="143" w:name="_Toc359838534"/>
      <w:r>
        <w:rPr>
          <w:rFonts w:hint="eastAsia" w:ascii="宋体" w:hAnsi="宋体" w:eastAsia="宋体" w:cs="宋体"/>
          <w:b/>
          <w:color w:val="auto"/>
          <w:sz w:val="22"/>
          <w:szCs w:val="22"/>
          <w:highlight w:val="none"/>
        </w:rPr>
        <w:t>9.3.1</w:t>
      </w:r>
      <w:r>
        <w:rPr>
          <w:rFonts w:hint="eastAsia" w:ascii="宋体" w:hAnsi="宋体" w:eastAsia="宋体" w:cs="宋体"/>
          <w:color w:val="auto"/>
          <w:sz w:val="22"/>
          <w:szCs w:val="22"/>
          <w:highlight w:val="none"/>
        </w:rPr>
        <w:t>缺陷责任期（质量保修期）的起算时间</w:t>
      </w:r>
      <w:bookmarkEnd w:id="143"/>
    </w:p>
    <w:p w14:paraId="6B790D61">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缺陷责任期（质量保修期）计算如下：</w:t>
      </w:r>
      <w:r>
        <w:rPr>
          <w:rFonts w:hint="eastAsia" w:ascii="宋体"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质保期为自验收合格之日起至少1年</w:t>
      </w:r>
      <w:r>
        <w:rPr>
          <w:rFonts w:hint="eastAsia" w:ascii="宋体" w:hAnsi="宋体" w:eastAsia="宋体" w:cs="宋体"/>
          <w:color w:val="auto"/>
          <w:sz w:val="22"/>
          <w:szCs w:val="22"/>
          <w:highlight w:val="none"/>
        </w:rPr>
        <w:t>。</w:t>
      </w:r>
    </w:p>
    <w:p w14:paraId="4AC90684">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9.3.2</w:t>
      </w:r>
      <w:r>
        <w:rPr>
          <w:rFonts w:hint="eastAsia" w:ascii="宋体" w:hAnsi="宋体" w:eastAsia="宋体" w:cs="宋体"/>
          <w:color w:val="auto"/>
          <w:sz w:val="22"/>
          <w:szCs w:val="22"/>
          <w:highlight w:val="none"/>
        </w:rPr>
        <w:t>保修责任</w:t>
      </w:r>
    </w:p>
    <w:p w14:paraId="0F3563E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提前验收并签发</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接受证书的</w:t>
      </w:r>
      <w:r>
        <w:rPr>
          <w:rFonts w:hint="eastAsia" w:ascii="宋体" w:hAnsi="宋体" w:eastAsia="宋体" w:cs="宋体"/>
          <w:color w:val="auto"/>
          <w:sz w:val="22"/>
          <w:szCs w:val="22"/>
          <w:highlight w:val="none"/>
          <w:lang w:val="en-US" w:eastAsia="zh-CN"/>
        </w:rPr>
        <w:t>完工子项</w:t>
      </w:r>
      <w:r>
        <w:rPr>
          <w:rFonts w:hint="eastAsia" w:ascii="宋体" w:hAnsi="宋体" w:eastAsia="宋体" w:cs="宋体"/>
          <w:color w:val="auto"/>
          <w:sz w:val="22"/>
          <w:szCs w:val="22"/>
          <w:highlight w:val="none"/>
        </w:rPr>
        <w:t>，若未投入正常使用，其保修期同缺陷责任期。</w:t>
      </w:r>
    </w:p>
    <w:p w14:paraId="43CE91C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（2）保修期内，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应负责未交付的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和设备的全部日常维护和缺陷修复工作，对已交付</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使用的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和设备，则应由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负责日常维护工作，但</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应按交付证书中所列的缺陷修复清单进行修复，直至经监理人检验合格为止。</w:t>
      </w:r>
    </w:p>
    <w:p w14:paraId="36485457">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在保修期内使用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和设备过程中，发现新的缺陷和损坏或原修复的缺陷部位或部件又遭损坏，则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应按监理人的指示负责修复，直至经监理人检验合格为止。监理人应会同</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和</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共同进行查验，若经查验确属</w:t>
      </w:r>
      <w:r>
        <w:rPr>
          <w:rFonts w:hint="eastAsia" w:ascii="宋体" w:hAnsi="宋体" w:eastAsia="宋体" w:cs="宋体"/>
          <w:color w:val="auto"/>
          <w:sz w:val="22"/>
          <w:szCs w:val="22"/>
          <w:highlight w:val="none"/>
          <w:lang w:eastAsia="zh-CN"/>
        </w:rPr>
        <w:t>乙方</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rPr>
        <w:t>中隐存的或其他由于</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责任造成的缺陷或损坏，应由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承担修复费用；若经查验确属</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使用不当或其他由于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责任造成的缺陷或损坏，则由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承担修复费用。</w:t>
      </w:r>
    </w:p>
    <w:p w14:paraId="6869803C">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（4）在整个质量保修期满后的28天内，由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或授权监理人签署和颁发保修责任终止证书给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，若保修期满后还有缺陷未修补，则需待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按监理人的要求完成缺陷修复工作后，再发保修责任终止证书。尽管颁发了发保修责任终止证书，</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和</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均仍应对保修责任终止证书颁发前尚未履行的义务和责任负责。</w:t>
      </w:r>
    </w:p>
    <w:p w14:paraId="4E7E721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（5）在质量保修期内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按法律、行政法规或国家关于</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质量保修的有关规定，对交付</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使用的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承担质量保修责任。若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不履行保修义务和责任，则由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另行确定维修方，费用由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还应承担由于违约造成的法律后果。</w:t>
      </w:r>
    </w:p>
    <w:p w14:paraId="02FF9C9E">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应在全部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验收通过之后，在交付时将质量保修书提供给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7AB05F5F">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9.3.3</w:t>
      </w:r>
      <w:r>
        <w:rPr>
          <w:rFonts w:hint="eastAsia" w:ascii="宋体" w:hAnsi="宋体" w:eastAsia="宋体" w:cs="宋体"/>
          <w:color w:val="auto"/>
          <w:sz w:val="22"/>
          <w:szCs w:val="22"/>
          <w:highlight w:val="none"/>
        </w:rPr>
        <w:t>履约担保的返还</w:t>
      </w:r>
    </w:p>
    <w:p w14:paraId="2E850B8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应在项目全部通过验收</w:t>
      </w:r>
      <w:r>
        <w:rPr>
          <w:rFonts w:hint="eastAsia" w:ascii="宋体" w:hAnsi="宋体" w:eastAsia="宋体" w:cs="宋体"/>
          <w:color w:val="auto"/>
          <w:sz w:val="22"/>
          <w:szCs w:val="22"/>
          <w:highlight w:val="none"/>
          <w:lang w:val="en-US" w:eastAsia="zh-CN"/>
        </w:rPr>
        <w:t>入库并</w:t>
      </w:r>
      <w:r>
        <w:rPr>
          <w:rFonts w:hint="eastAsia" w:ascii="宋体" w:hAnsi="宋体" w:eastAsia="宋体" w:cs="宋体"/>
          <w:color w:val="auto"/>
          <w:sz w:val="22"/>
          <w:szCs w:val="22"/>
          <w:highlight w:val="none"/>
        </w:rPr>
        <w:t>无履约问题</w:t>
      </w:r>
      <w:r>
        <w:rPr>
          <w:rFonts w:hint="eastAsia" w:ascii="宋体" w:hAnsi="宋体" w:eastAsia="宋体" w:cs="宋体"/>
          <w:color w:val="auto"/>
          <w:sz w:val="22"/>
          <w:szCs w:val="22"/>
          <w:highlight w:val="none"/>
          <w:lang w:val="en-US" w:eastAsia="zh-CN"/>
        </w:rPr>
        <w:t>之日起</w:t>
      </w:r>
      <w:r>
        <w:rPr>
          <w:rFonts w:hint="eastAsia" w:ascii="宋体" w:hAnsi="宋体" w:eastAsia="宋体" w:cs="宋体"/>
          <w:color w:val="auto"/>
          <w:sz w:val="22"/>
          <w:szCs w:val="22"/>
          <w:highlight w:val="none"/>
        </w:rPr>
        <w:t>15</w:t>
      </w:r>
      <w:r>
        <w:rPr>
          <w:rFonts w:hint="eastAsia" w:ascii="宋体" w:hAnsi="宋体" w:eastAsia="宋体" w:cs="宋体"/>
          <w:color w:val="auto"/>
          <w:sz w:val="22"/>
          <w:szCs w:val="22"/>
          <w:highlight w:val="none"/>
          <w:lang w:val="en-US" w:eastAsia="zh-CN"/>
        </w:rPr>
        <w:t>日后</w:t>
      </w:r>
      <w:r>
        <w:rPr>
          <w:rFonts w:hint="eastAsia" w:ascii="宋体" w:hAnsi="宋体" w:eastAsia="宋体" w:cs="宋体"/>
          <w:color w:val="auto"/>
          <w:sz w:val="22"/>
          <w:szCs w:val="22"/>
          <w:highlight w:val="none"/>
        </w:rPr>
        <w:t>，履约担保</w:t>
      </w:r>
      <w:r>
        <w:rPr>
          <w:rFonts w:hint="eastAsia" w:ascii="宋体" w:hAnsi="宋体" w:eastAsia="宋体" w:cs="宋体"/>
          <w:color w:val="auto"/>
          <w:sz w:val="22"/>
          <w:szCs w:val="22"/>
          <w:highlight w:val="none"/>
          <w:lang w:val="en-US" w:eastAsia="zh-CN"/>
        </w:rPr>
        <w:t>失效或无息退还</w:t>
      </w:r>
      <w:r>
        <w:rPr>
          <w:rFonts w:hint="eastAsia" w:ascii="宋体" w:hAnsi="宋体" w:eastAsia="宋体" w:cs="宋体"/>
          <w:color w:val="auto"/>
          <w:sz w:val="22"/>
          <w:szCs w:val="22"/>
          <w:highlight w:val="none"/>
        </w:rPr>
        <w:t>。</w:t>
      </w:r>
    </w:p>
    <w:bookmarkEnd w:id="139"/>
    <w:bookmarkEnd w:id="140"/>
    <w:p w14:paraId="18F920FF">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9.4设备的移出</w:t>
      </w:r>
    </w:p>
    <w:p w14:paraId="738418B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交付完毕60日内从现场与</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中清除并运走</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的所有设备、剩余材料、残物、垃圾和临时</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内容</w:t>
      </w:r>
      <w:r>
        <w:rPr>
          <w:rFonts w:hint="eastAsia" w:ascii="宋体" w:hAnsi="宋体" w:eastAsia="宋体" w:cs="宋体"/>
          <w:color w:val="auto"/>
          <w:sz w:val="22"/>
          <w:szCs w:val="22"/>
          <w:highlight w:val="none"/>
          <w:lang w:val="en-US" w:eastAsia="zh-CN"/>
        </w:rPr>
        <w:t>等</w:t>
      </w:r>
      <w:r>
        <w:rPr>
          <w:rFonts w:hint="eastAsia" w:ascii="宋体" w:hAnsi="宋体" w:eastAsia="宋体" w:cs="宋体"/>
          <w:color w:val="auto"/>
          <w:sz w:val="22"/>
          <w:szCs w:val="22"/>
          <w:highlight w:val="none"/>
        </w:rPr>
        <w:t>，因单项</w:t>
      </w:r>
      <w:r>
        <w:rPr>
          <w:rFonts w:hint="eastAsia" w:ascii="宋体" w:hAnsi="宋体" w:eastAsia="宋体" w:cs="宋体"/>
          <w:color w:val="auto"/>
          <w:sz w:val="22"/>
          <w:szCs w:val="22"/>
          <w:highlight w:val="none"/>
          <w:lang w:val="en-US" w:eastAsia="zh-CN"/>
        </w:rPr>
        <w:t>实施内容</w:t>
      </w:r>
      <w:r>
        <w:rPr>
          <w:rFonts w:hint="eastAsia" w:ascii="宋体" w:hAnsi="宋体" w:eastAsia="宋体" w:cs="宋体"/>
          <w:color w:val="auto"/>
          <w:sz w:val="22"/>
          <w:szCs w:val="22"/>
          <w:highlight w:val="none"/>
        </w:rPr>
        <w:t>后续</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或保修需要留下的除外。</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应保持现场与</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处于相关规范规定的清洁和安全状态，若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在上述时间内未能迁出前述物品，</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有权将前述物品移至某一合适地点保存，运输和保存所发生的费用和风险应由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p>
    <w:p w14:paraId="65F8B157">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9.5持续责任</w:t>
      </w:r>
    </w:p>
    <w:p w14:paraId="5F7B0A6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即使</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验收并接受了本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中的全部或任何部分的</w:t>
      </w:r>
      <w:r>
        <w:rPr>
          <w:rFonts w:hint="eastAsia" w:ascii="宋体" w:hAnsi="宋体" w:eastAsia="宋体" w:cs="宋体"/>
          <w:color w:val="auto"/>
          <w:sz w:val="22"/>
          <w:szCs w:val="22"/>
          <w:highlight w:val="none"/>
          <w:lang w:val="en-US" w:eastAsia="zh-CN"/>
        </w:rPr>
        <w:t>实施内容</w:t>
      </w:r>
      <w:r>
        <w:rPr>
          <w:rFonts w:hint="eastAsia" w:ascii="宋体" w:hAnsi="宋体" w:eastAsia="宋体" w:cs="宋体"/>
          <w:color w:val="auto"/>
          <w:sz w:val="22"/>
          <w:szCs w:val="22"/>
          <w:highlight w:val="none"/>
        </w:rPr>
        <w:t>、材料、设备；或签发了验收证书，</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对本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中的</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缺陷所承担的义务或责任不得解除。</w:t>
      </w:r>
    </w:p>
    <w:p w14:paraId="0CCD800C">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44" w:name="_Toc359838537"/>
      <w:bookmarkStart w:id="145" w:name="_Toc359839321"/>
      <w:bookmarkStart w:id="146" w:name="_Toc359839709"/>
      <w:bookmarkStart w:id="147" w:name="_Toc359839850"/>
      <w:r>
        <w:rPr>
          <w:rFonts w:hint="eastAsia" w:ascii="宋体" w:hAnsi="宋体" w:eastAsia="宋体" w:cs="宋体"/>
          <w:b/>
          <w:snapToGrid w:val="0"/>
          <w:color w:val="auto"/>
          <w:kern w:val="2"/>
          <w:sz w:val="22"/>
          <w:szCs w:val="22"/>
          <w:highlight w:val="none"/>
          <w:lang w:val="en-US" w:eastAsia="zh-CN" w:bidi="ar-SA"/>
        </w:rPr>
        <w:t>保险</w:t>
      </w:r>
      <w:bookmarkEnd w:id="144"/>
      <w:bookmarkEnd w:id="145"/>
      <w:bookmarkEnd w:id="146"/>
      <w:bookmarkEnd w:id="147"/>
    </w:p>
    <w:p w14:paraId="78A541F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保险</w:t>
      </w:r>
    </w:p>
    <w:p w14:paraId="1154F02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10.1.1</w:t>
      </w:r>
      <w:r>
        <w:rPr>
          <w:rFonts w:hint="eastAsia" w:ascii="宋体" w:hAnsi="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一切险由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负责投保</w:t>
      </w:r>
    </w:p>
    <w:p w14:paraId="3F73677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保险金额、保险费率和保险期限：保险金额按保险人规定，保险费率由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与保险人协商确定，保险期限自开始工作日即日算起至服务期结束。</w:t>
      </w:r>
    </w:p>
    <w:p w14:paraId="5025B08A">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10.1.2第三者责任险由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负责投保</w:t>
      </w:r>
    </w:p>
    <w:p w14:paraId="1EF2FE3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第三者责任险保险费率：由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与保险人协商确定；</w:t>
      </w:r>
    </w:p>
    <w:p w14:paraId="4A3A25D7">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第三者责任险保险金额：300万元/年，事故次数不限（不计免赔额）。</w:t>
      </w:r>
    </w:p>
    <w:p w14:paraId="7329C336">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10.2人身意外险种由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负责投保，针对本项目所有</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人员。</w:t>
      </w:r>
    </w:p>
    <w:p w14:paraId="26A88D45">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保险金额、保险费率和保险期限：保险金额按保险人规定，保险费率由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与保险人协商确定，保险期限自开始工作日即日算起至服务期结束。</w:t>
      </w:r>
    </w:p>
    <w:p w14:paraId="53CD4841">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10.3保险凭证</w:t>
      </w:r>
    </w:p>
    <w:p w14:paraId="410FA55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提交保险凭证的期限：保险手续办理完毕后7天内提交。</w:t>
      </w:r>
    </w:p>
    <w:p w14:paraId="45CD400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10.4保险金不足的补偿</w:t>
      </w:r>
    </w:p>
    <w:p w14:paraId="21A30D4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负责补偿的范围与金额：保险金不足的补偿均由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w:t>
      </w:r>
    </w:p>
    <w:p w14:paraId="7D6E65B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负责补偿的范围与金额：由于本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一切保险均由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负责投保，其费用均列入报价，故</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不承担保险金不足的补偿。</w:t>
      </w:r>
    </w:p>
    <w:p w14:paraId="357523D0">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48" w:name="_Toc359839852"/>
      <w:bookmarkStart w:id="149" w:name="_Toc359839323"/>
      <w:bookmarkStart w:id="150" w:name="_Toc354478021"/>
      <w:bookmarkStart w:id="151" w:name="_Toc354494048"/>
      <w:bookmarkStart w:id="152" w:name="_Toc359839711"/>
      <w:bookmarkStart w:id="153" w:name="_Toc354478293"/>
      <w:bookmarkStart w:id="154" w:name="_Toc359838542"/>
      <w:r>
        <w:rPr>
          <w:rFonts w:hint="eastAsia" w:ascii="宋体" w:hAnsi="宋体" w:eastAsia="宋体" w:cs="宋体"/>
          <w:b/>
          <w:snapToGrid w:val="0"/>
          <w:color w:val="auto"/>
          <w:kern w:val="2"/>
          <w:sz w:val="22"/>
          <w:szCs w:val="22"/>
          <w:highlight w:val="none"/>
          <w:lang w:val="en-US" w:eastAsia="zh-CN" w:bidi="ar-SA"/>
        </w:rPr>
        <w:t>付款到期日</w:t>
      </w:r>
      <w:bookmarkEnd w:id="148"/>
      <w:bookmarkEnd w:id="149"/>
      <w:bookmarkEnd w:id="150"/>
      <w:bookmarkEnd w:id="151"/>
      <w:bookmarkEnd w:id="152"/>
      <w:bookmarkEnd w:id="153"/>
      <w:bookmarkEnd w:id="154"/>
    </w:p>
    <w:p w14:paraId="20714FE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除非有其它明确规定，本合同项下一方向另一方支付的任何款项应由有支付义务的一方在收到另一方书面支付要求后的7个工作日内支付。</w:t>
      </w:r>
    </w:p>
    <w:p w14:paraId="4F989EC6">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55" w:name="_Toc359839712"/>
      <w:bookmarkStart w:id="156" w:name="_Toc354494049"/>
      <w:bookmarkStart w:id="157" w:name="_Toc359839853"/>
      <w:bookmarkStart w:id="158" w:name="_Toc359839324"/>
      <w:bookmarkStart w:id="159" w:name="_Toc354478294"/>
      <w:bookmarkStart w:id="160" w:name="_Toc359838543"/>
      <w:bookmarkStart w:id="161" w:name="_Toc354478022"/>
      <w:r>
        <w:rPr>
          <w:rFonts w:hint="eastAsia" w:ascii="宋体" w:hAnsi="宋体" w:eastAsia="宋体" w:cs="宋体"/>
          <w:b/>
          <w:snapToGrid w:val="0"/>
          <w:color w:val="auto"/>
          <w:kern w:val="2"/>
          <w:sz w:val="22"/>
          <w:szCs w:val="22"/>
          <w:highlight w:val="none"/>
          <w:lang w:val="en-US" w:eastAsia="zh-CN" w:bidi="ar-SA"/>
        </w:rPr>
        <w:t>违约责任</w:t>
      </w:r>
      <w:bookmarkEnd w:id="155"/>
      <w:bookmarkEnd w:id="156"/>
      <w:bookmarkEnd w:id="157"/>
      <w:bookmarkEnd w:id="158"/>
      <w:bookmarkEnd w:id="159"/>
      <w:bookmarkEnd w:id="160"/>
      <w:bookmarkEnd w:id="161"/>
    </w:p>
    <w:p w14:paraId="1F4F5051">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62" w:name="_Toc354478295"/>
      <w:bookmarkStart w:id="163" w:name="_Toc354494050"/>
      <w:r>
        <w:rPr>
          <w:rFonts w:hint="eastAsia" w:ascii="宋体" w:hAnsi="宋体" w:eastAsia="宋体" w:cs="宋体"/>
          <w:b/>
          <w:bCs/>
          <w:snapToGrid w:val="0"/>
          <w:color w:val="auto"/>
          <w:kern w:val="2"/>
          <w:sz w:val="22"/>
          <w:szCs w:val="22"/>
          <w:highlight w:val="none"/>
          <w:lang w:val="en-US" w:eastAsia="zh-CN" w:bidi="ar-SA"/>
        </w:rPr>
        <w:t>12.1延误违约金</w:t>
      </w:r>
      <w:bookmarkEnd w:id="162"/>
      <w:bookmarkEnd w:id="163"/>
    </w:p>
    <w:p w14:paraId="680E125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应提供相应的资金支付保障计划，若</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未能在约定期限内按时向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足额支付合同价款，按应付合同价款和其延误支付的每日利息（超过约定期限的天数）支付延误赔偿金，计息利率：指按中国人民银行公布的</w:t>
      </w:r>
      <w:r>
        <w:rPr>
          <w:rFonts w:hint="eastAsia" w:ascii="宋体" w:hAnsi="宋体" w:cs="宋体"/>
          <w:color w:val="auto"/>
          <w:sz w:val="22"/>
          <w:szCs w:val="22"/>
          <w:highlight w:val="none"/>
          <w:lang w:val="en-US" w:eastAsia="zh-CN"/>
        </w:rPr>
        <w:t>一</w:t>
      </w:r>
      <w:r>
        <w:rPr>
          <w:rFonts w:hint="eastAsia" w:ascii="宋体" w:hAnsi="宋体" w:eastAsia="宋体" w:cs="宋体"/>
          <w:color w:val="auto"/>
          <w:sz w:val="22"/>
          <w:szCs w:val="22"/>
          <w:highlight w:val="none"/>
        </w:rPr>
        <w:t>年期贷款基准利率。</w:t>
      </w:r>
    </w:p>
    <w:p w14:paraId="645173FE">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64" w:name="_Toc345358572"/>
      <w:bookmarkStart w:id="165" w:name="_Toc354494051"/>
      <w:bookmarkStart w:id="166" w:name="_Toc354478296"/>
      <w:bookmarkStart w:id="167" w:name="_Toc345359046"/>
      <w:r>
        <w:rPr>
          <w:rFonts w:hint="eastAsia" w:ascii="宋体" w:hAnsi="宋体" w:eastAsia="宋体" w:cs="宋体"/>
          <w:b/>
          <w:bCs/>
          <w:snapToGrid w:val="0"/>
          <w:color w:val="auto"/>
          <w:kern w:val="2"/>
          <w:sz w:val="22"/>
          <w:szCs w:val="22"/>
          <w:highlight w:val="none"/>
          <w:lang w:val="en-US" w:eastAsia="zh-CN" w:bidi="ar-SA"/>
        </w:rPr>
        <w:t>12.2逾期赔偿金</w:t>
      </w:r>
      <w:bookmarkEnd w:id="164"/>
      <w:bookmarkEnd w:id="165"/>
      <w:bookmarkEnd w:id="166"/>
      <w:bookmarkEnd w:id="167"/>
    </w:p>
    <w:p w14:paraId="41017BB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应提供相应的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进度计划，保证</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按期完成，</w:t>
      </w:r>
      <w:r>
        <w:rPr>
          <w:rFonts w:hint="eastAsia" w:ascii="宋体" w:hAnsi="宋体" w:eastAsia="宋体" w:cs="宋体"/>
          <w:color w:val="auto"/>
          <w:sz w:val="22"/>
          <w:szCs w:val="22"/>
          <w:highlight w:val="none"/>
          <w:lang w:val="en-US" w:eastAsia="zh-CN"/>
        </w:rPr>
        <w:t>由于政策处理无法实施的项目除外，乙方不能以项目实施难度大、造价高等为理由不实施项目。</w:t>
      </w:r>
      <w:r>
        <w:rPr>
          <w:rFonts w:hint="eastAsia" w:ascii="宋体" w:hAnsi="宋体" w:eastAsia="宋体" w:cs="宋体"/>
          <w:color w:val="auto"/>
          <w:sz w:val="22"/>
          <w:szCs w:val="22"/>
          <w:highlight w:val="none"/>
        </w:rPr>
        <w:t>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原因，未能在合同规定的期限内通过验收，</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按单个项目合同价款的万分之二每日（超出30日的天数）支付逾期赔偿金。</w:t>
      </w:r>
    </w:p>
    <w:p w14:paraId="0CC96BF0">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12.3未能入库违约赔偿金</w:t>
      </w:r>
    </w:p>
    <w:p w14:paraId="4BE6A11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如某单个项目因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原因不能入库的，对</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造成的实际损失由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承担；由于政策变化及其他非</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原因导致项目已实施但不能入库的，对</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造成的实际损失（由第三方造价咨询单位审核金额为准，若最终</w:t>
      </w:r>
      <w:r>
        <w:rPr>
          <w:rFonts w:hint="eastAsia" w:ascii="宋体" w:hAnsi="宋体" w:eastAsia="宋体" w:cs="宋体"/>
          <w:color w:val="auto"/>
          <w:sz w:val="22"/>
          <w:szCs w:val="22"/>
          <w:highlight w:val="none"/>
          <w:lang w:val="en-US" w:eastAsia="zh-CN"/>
        </w:rPr>
        <w:t>项目实施费用</w:t>
      </w:r>
      <w:r>
        <w:rPr>
          <w:rFonts w:hint="eastAsia" w:ascii="宋体" w:hAnsi="宋体" w:eastAsia="宋体" w:cs="宋体"/>
          <w:color w:val="auto"/>
          <w:sz w:val="22"/>
          <w:szCs w:val="22"/>
          <w:highlight w:val="none"/>
        </w:rPr>
        <w:t>单价超过中标</w:t>
      </w:r>
      <w:r>
        <w:rPr>
          <w:rFonts w:hint="eastAsia" w:ascii="宋体" w:hAnsi="宋体" w:eastAsia="宋体" w:cs="宋体"/>
          <w:color w:val="auto"/>
          <w:sz w:val="22"/>
          <w:szCs w:val="22"/>
          <w:highlight w:val="none"/>
          <w:lang w:val="en-US" w:eastAsia="zh-CN"/>
        </w:rPr>
        <w:t>项目实施费用</w:t>
      </w:r>
      <w:r>
        <w:rPr>
          <w:rFonts w:hint="eastAsia" w:ascii="宋体" w:hAnsi="宋体" w:eastAsia="宋体" w:cs="宋体"/>
          <w:color w:val="auto"/>
          <w:sz w:val="22"/>
          <w:szCs w:val="22"/>
          <w:highlight w:val="none"/>
        </w:rPr>
        <w:t>单价，则按中标</w:t>
      </w:r>
      <w:r>
        <w:rPr>
          <w:rFonts w:hint="eastAsia" w:ascii="宋体" w:hAnsi="宋体" w:eastAsia="宋体" w:cs="宋体"/>
          <w:color w:val="auto"/>
          <w:sz w:val="22"/>
          <w:szCs w:val="22"/>
          <w:highlight w:val="none"/>
          <w:lang w:val="en-US" w:eastAsia="zh-CN"/>
        </w:rPr>
        <w:t>项目实施费用</w:t>
      </w:r>
      <w:r>
        <w:rPr>
          <w:rFonts w:hint="eastAsia" w:ascii="宋体" w:hAnsi="宋体" w:eastAsia="宋体" w:cs="宋体"/>
          <w:color w:val="auto"/>
          <w:sz w:val="22"/>
          <w:szCs w:val="22"/>
          <w:highlight w:val="none"/>
        </w:rPr>
        <w:t>单价乘以已实施亩数结算）由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w:t>
      </w:r>
    </w:p>
    <w:p w14:paraId="44DD74C1">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68" w:name="_Toc354494052"/>
      <w:bookmarkStart w:id="169" w:name="_Toc354478297"/>
      <w:r>
        <w:rPr>
          <w:rFonts w:hint="eastAsia" w:ascii="宋体" w:hAnsi="宋体" w:eastAsia="宋体" w:cs="宋体"/>
          <w:b/>
          <w:bCs/>
          <w:snapToGrid w:val="0"/>
          <w:color w:val="auto"/>
          <w:kern w:val="2"/>
          <w:sz w:val="22"/>
          <w:szCs w:val="22"/>
          <w:highlight w:val="none"/>
          <w:lang w:val="en-US" w:eastAsia="zh-CN" w:bidi="ar-SA"/>
        </w:rPr>
        <w:t>12.4违约赔偿金</w:t>
      </w:r>
      <w:bookmarkEnd w:id="168"/>
      <w:bookmarkEnd w:id="169"/>
    </w:p>
    <w:p w14:paraId="19BFB776">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一方（非违约方）声明另一方（违约方）违约并提供违约事实的证明，并且该违约导致本合同不能履行或不能完全履行，则非违约方有权要求违约方承担违约责任，违约方应在收到上述声明及证明之日起30日内就违约造成的损失予以赔偿，如果非违约方因违约方违约导致本合同不能履行而终止本合同时在不免除任何一方的其他支付义务前提下，违约方应向非违约方支付违约部分的百分之三（3%）作为违约赔偿金。</w:t>
      </w:r>
    </w:p>
    <w:p w14:paraId="784AE844">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12.5三方约定的其他违约责任</w:t>
      </w:r>
    </w:p>
    <w:p w14:paraId="3B4BF2A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12.5.1</w:t>
      </w:r>
      <w:r>
        <w:rPr>
          <w:rFonts w:hint="eastAsia" w:ascii="宋体" w:hAnsi="宋体" w:eastAsia="宋体" w:cs="宋体"/>
          <w:color w:val="auto"/>
          <w:sz w:val="22"/>
          <w:szCs w:val="22"/>
          <w:highlight w:val="none"/>
        </w:rPr>
        <w:t>项目负责人每月到位22日历天及以上，否则按5000元/天的标准支付违约金，其他项目部主要人员（含设计代表）每月到位22日历天及以上，否则按2000元/天的标准支付违约金，该违约金从履约保证金中扣除。</w:t>
      </w:r>
    </w:p>
    <w:p w14:paraId="55910BAC">
      <w:pPr>
        <w:keepNext w:val="0"/>
        <w:keepLines w:val="0"/>
        <w:pageBreakBefore w:val="0"/>
        <w:kinsoku/>
        <w:wordWrap/>
        <w:overflowPunct/>
        <w:topLinePunct w:val="0"/>
        <w:bidi w:val="0"/>
        <w:adjustRightInd w:val="0"/>
        <w:spacing w:line="40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12</w:t>
      </w:r>
      <w:r>
        <w:rPr>
          <w:rFonts w:hint="eastAsia" w:ascii="宋体" w:hAnsi="宋体" w:eastAsia="宋体" w:cs="宋体"/>
          <w:color w:val="auto"/>
          <w:sz w:val="22"/>
          <w:szCs w:val="22"/>
          <w:highlight w:val="none"/>
          <w:lang w:val="en-US" w:eastAsia="zh-CN"/>
        </w:rPr>
        <w:t xml:space="preserve">.5.2 </w:t>
      </w:r>
      <w:r>
        <w:rPr>
          <w:rFonts w:hint="eastAsia" w:ascii="宋体" w:hAnsi="宋体" w:cs="宋体"/>
          <w:color w:val="auto"/>
          <w:sz w:val="22"/>
          <w:szCs w:val="22"/>
          <w:highlight w:val="none"/>
          <w:lang w:val="en-US" w:eastAsia="zh-CN"/>
        </w:rPr>
        <w:t>运营期满后，</w:t>
      </w:r>
      <w:r>
        <w:rPr>
          <w:rFonts w:hint="eastAsia" w:ascii="宋体" w:hAnsi="宋体" w:eastAsia="宋体" w:cs="宋体"/>
          <w:color w:val="auto"/>
          <w:sz w:val="22"/>
          <w:szCs w:val="22"/>
          <w:highlight w:val="none"/>
          <w:lang w:val="en-US" w:eastAsia="zh-CN"/>
        </w:rPr>
        <w:t>若上级政策及主管部门另有要求的，以其规定为准，中标方须无条件接受</w:t>
      </w:r>
      <w:r>
        <w:rPr>
          <w:rFonts w:hint="eastAsia" w:ascii="宋体" w:hAnsi="宋体" w:cs="宋体"/>
          <w:color w:val="auto"/>
          <w:sz w:val="22"/>
          <w:szCs w:val="22"/>
          <w:highlight w:val="none"/>
          <w:lang w:val="en-US" w:eastAsia="zh-CN"/>
        </w:rPr>
        <w:t>，继续进行运营</w:t>
      </w:r>
      <w:r>
        <w:rPr>
          <w:rFonts w:hint="eastAsia" w:ascii="宋体" w:hAnsi="宋体" w:eastAsia="宋体" w:cs="宋体"/>
          <w:color w:val="auto"/>
          <w:sz w:val="22"/>
          <w:szCs w:val="22"/>
          <w:highlight w:val="none"/>
          <w:lang w:val="en-US" w:eastAsia="zh-CN"/>
        </w:rPr>
        <w:t>，</w:t>
      </w:r>
      <w:r>
        <w:rPr>
          <w:rFonts w:hint="eastAsia" w:ascii="宋体" w:hAnsi="宋体" w:cs="宋体"/>
          <w:color w:val="auto"/>
          <w:sz w:val="22"/>
          <w:szCs w:val="22"/>
          <w:highlight w:val="none"/>
          <w:lang w:val="en-US" w:eastAsia="zh-CN"/>
        </w:rPr>
        <w:t>未继续履行合同的，按合同价款的20%支付违约金，同时要求乙方进行赔偿</w:t>
      </w:r>
      <w:r>
        <w:rPr>
          <w:rFonts w:hint="eastAsia" w:ascii="宋体" w:hAnsi="宋体" w:eastAsia="宋体" w:cs="宋体"/>
          <w:color w:val="auto"/>
          <w:sz w:val="22"/>
          <w:szCs w:val="22"/>
          <w:highlight w:val="none"/>
        </w:rPr>
        <w:t>。</w:t>
      </w:r>
    </w:p>
    <w:p w14:paraId="50CA5A6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12.5.3未及时上缴项目运营收益或租金的，每延期一天按</w:t>
      </w:r>
      <w:r>
        <w:rPr>
          <w:rFonts w:hint="eastAsia" w:ascii="宋体" w:hAnsi="宋体" w:eastAsia="宋体" w:cs="宋体"/>
          <w:color w:val="auto"/>
          <w:sz w:val="22"/>
          <w:szCs w:val="22"/>
          <w:highlight w:val="none"/>
        </w:rPr>
        <w:t>2000元/天的标准支付违约金。</w:t>
      </w:r>
    </w:p>
    <w:p w14:paraId="2940E470">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70" w:name="_Toc359839854"/>
      <w:bookmarkStart w:id="171" w:name="_Toc359838544"/>
      <w:bookmarkStart w:id="172" w:name="_Toc354478023"/>
      <w:bookmarkStart w:id="173" w:name="_Toc359839325"/>
      <w:bookmarkStart w:id="174" w:name="_Toc354478298"/>
      <w:bookmarkStart w:id="175" w:name="_Toc354494053"/>
      <w:bookmarkStart w:id="176" w:name="_Toc359839713"/>
      <w:r>
        <w:rPr>
          <w:rFonts w:hint="eastAsia" w:ascii="宋体" w:hAnsi="宋体" w:eastAsia="宋体" w:cs="宋体"/>
          <w:b/>
          <w:snapToGrid w:val="0"/>
          <w:color w:val="auto"/>
          <w:kern w:val="2"/>
          <w:sz w:val="22"/>
          <w:szCs w:val="22"/>
          <w:highlight w:val="none"/>
          <w:lang w:val="en-US" w:eastAsia="zh-CN" w:bidi="ar-SA"/>
        </w:rPr>
        <w:t>项目延误与终止</w:t>
      </w:r>
      <w:bookmarkEnd w:id="170"/>
      <w:bookmarkEnd w:id="171"/>
      <w:bookmarkEnd w:id="172"/>
      <w:bookmarkEnd w:id="173"/>
      <w:bookmarkEnd w:id="174"/>
      <w:bookmarkEnd w:id="175"/>
      <w:bookmarkEnd w:id="176"/>
    </w:p>
    <w:p w14:paraId="441870B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77" w:name="_Toc354478299"/>
      <w:bookmarkStart w:id="178" w:name="_Toc354494054"/>
      <w:r>
        <w:rPr>
          <w:rFonts w:hint="eastAsia" w:ascii="宋体" w:hAnsi="宋体" w:eastAsia="宋体" w:cs="宋体"/>
          <w:b/>
          <w:bCs/>
          <w:snapToGrid w:val="0"/>
          <w:color w:val="auto"/>
          <w:kern w:val="2"/>
          <w:sz w:val="22"/>
          <w:szCs w:val="22"/>
          <w:highlight w:val="none"/>
          <w:lang w:val="en-US" w:eastAsia="zh-CN" w:bidi="ar-SA"/>
        </w:rPr>
        <w:t>13.1项目</w:t>
      </w:r>
      <w:r>
        <w:rPr>
          <w:rFonts w:hint="eastAsia" w:ascii="宋体" w:hAnsi="宋体" w:cs="宋体"/>
          <w:b/>
          <w:bCs/>
          <w:snapToGrid w:val="0"/>
          <w:color w:val="auto"/>
          <w:kern w:val="2"/>
          <w:sz w:val="22"/>
          <w:szCs w:val="22"/>
          <w:highlight w:val="none"/>
          <w:lang w:val="en-US" w:eastAsia="zh-CN" w:bidi="ar-SA"/>
        </w:rPr>
        <w:t>停止实施</w:t>
      </w:r>
      <w:r>
        <w:rPr>
          <w:rFonts w:hint="eastAsia" w:ascii="宋体" w:hAnsi="宋体" w:eastAsia="宋体" w:cs="宋体"/>
          <w:b/>
          <w:bCs/>
          <w:snapToGrid w:val="0"/>
          <w:color w:val="auto"/>
          <w:kern w:val="2"/>
          <w:sz w:val="22"/>
          <w:szCs w:val="22"/>
          <w:highlight w:val="none"/>
          <w:lang w:val="en-US" w:eastAsia="zh-CN" w:bidi="ar-SA"/>
        </w:rPr>
        <w:t>或</w:t>
      </w:r>
      <w:bookmarkEnd w:id="177"/>
      <w:bookmarkEnd w:id="178"/>
      <w:r>
        <w:rPr>
          <w:rFonts w:hint="eastAsia" w:ascii="宋体" w:hAnsi="宋体" w:cs="宋体"/>
          <w:b/>
          <w:bCs/>
          <w:snapToGrid w:val="0"/>
          <w:color w:val="auto"/>
          <w:kern w:val="2"/>
          <w:sz w:val="22"/>
          <w:szCs w:val="22"/>
          <w:highlight w:val="none"/>
          <w:lang w:val="en-US" w:eastAsia="zh-CN" w:bidi="ar-SA"/>
        </w:rPr>
        <w:t>延缓实施</w:t>
      </w:r>
    </w:p>
    <w:p w14:paraId="3C75200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由于政策变化，不可抗力以及</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之外原因导致本项目</w:t>
      </w:r>
      <w:r>
        <w:rPr>
          <w:rFonts w:hint="eastAsia" w:ascii="宋体" w:hAnsi="宋体" w:cs="宋体"/>
          <w:color w:val="auto"/>
          <w:sz w:val="22"/>
          <w:szCs w:val="22"/>
          <w:highlight w:val="none"/>
          <w:lang w:eastAsia="zh-CN"/>
        </w:rPr>
        <w:t>停止实施</w:t>
      </w:r>
      <w:r>
        <w:rPr>
          <w:rFonts w:hint="eastAsia" w:ascii="宋体" w:hAnsi="宋体" w:eastAsia="宋体" w:cs="宋体"/>
          <w:color w:val="auto"/>
          <w:sz w:val="22"/>
          <w:szCs w:val="22"/>
          <w:highlight w:val="none"/>
        </w:rPr>
        <w:t>或</w:t>
      </w:r>
      <w:r>
        <w:rPr>
          <w:rFonts w:hint="eastAsia" w:ascii="宋体" w:hAnsi="宋体" w:cs="宋体"/>
          <w:color w:val="auto"/>
          <w:sz w:val="22"/>
          <w:szCs w:val="22"/>
          <w:highlight w:val="none"/>
          <w:lang w:eastAsia="zh-CN"/>
        </w:rPr>
        <w:t>延缓实施</w:t>
      </w:r>
      <w:r>
        <w:rPr>
          <w:rFonts w:hint="eastAsia" w:ascii="宋体" w:hAnsi="宋体" w:eastAsia="宋体" w:cs="宋体"/>
          <w:color w:val="auto"/>
          <w:sz w:val="22"/>
          <w:szCs w:val="22"/>
          <w:highlight w:val="none"/>
        </w:rPr>
        <w:t>，使合同不能继续履行，</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应负责做好已完</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和已购材料、设备的保护和交付工作，按</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要求将自有的机械设备和人员撤出</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现场。</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应为撤出提供必要条件，并承担经济支出。已经订货的材料、设备由订购方负责组织退货，不能退货的价款和退货发生的费用，由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w:t>
      </w:r>
    </w:p>
    <w:p w14:paraId="735127F1">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79" w:name="_Toc354478300"/>
      <w:bookmarkStart w:id="180" w:name="_Toc354494055"/>
      <w:r>
        <w:rPr>
          <w:rFonts w:hint="eastAsia" w:ascii="宋体" w:hAnsi="宋体" w:eastAsia="宋体" w:cs="宋体"/>
          <w:b/>
          <w:bCs/>
          <w:snapToGrid w:val="0"/>
          <w:color w:val="auto"/>
          <w:kern w:val="2"/>
          <w:sz w:val="22"/>
          <w:szCs w:val="22"/>
          <w:highlight w:val="none"/>
          <w:lang w:val="en-US" w:eastAsia="zh-CN" w:bidi="ar-SA"/>
        </w:rPr>
        <w:t>13.2合同终止</w:t>
      </w:r>
      <w:bookmarkEnd w:id="179"/>
      <w:bookmarkEnd w:id="180"/>
    </w:p>
    <w:p w14:paraId="416A0E99">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13.2.1</w:t>
      </w:r>
      <w:r>
        <w:rPr>
          <w:rFonts w:hint="eastAsia" w:ascii="宋体" w:hAnsi="宋体" w:eastAsia="宋体" w:cs="宋体"/>
          <w:color w:val="auto"/>
          <w:sz w:val="22"/>
          <w:szCs w:val="22"/>
          <w:highlight w:val="none"/>
        </w:rPr>
        <w:t>在下列情况下，</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可终止本合同：</w:t>
      </w:r>
    </w:p>
    <w:p w14:paraId="26376A8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原因，在本合同签订后90天内仍未提交规划设计送审稿；</w:t>
      </w:r>
    </w:p>
    <w:p w14:paraId="5BE0BFF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w:t>
      </w:r>
      <w:r>
        <w:rPr>
          <w:rFonts w:hint="eastAsia" w:ascii="宋体" w:hAnsi="宋体" w:eastAsia="宋体" w:cs="宋体"/>
          <w:color w:val="auto"/>
          <w:sz w:val="22"/>
          <w:szCs w:val="22"/>
          <w:highlight w:val="none"/>
          <w:lang w:eastAsia="zh-CN"/>
        </w:rPr>
        <w:t>服务期</w:t>
      </w:r>
      <w:r>
        <w:rPr>
          <w:rFonts w:hint="eastAsia" w:ascii="宋体" w:hAnsi="宋体" w:eastAsia="宋体" w:cs="宋体"/>
          <w:color w:val="auto"/>
          <w:sz w:val="22"/>
          <w:szCs w:val="22"/>
          <w:highlight w:val="none"/>
        </w:rPr>
        <w:t>严重滞后，监理人发出项目开工令后1个月内未进场</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w:t>
      </w:r>
    </w:p>
    <w:p w14:paraId="111738A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违约导致本合同无法继续履行；</w:t>
      </w:r>
    </w:p>
    <w:p w14:paraId="765FC15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以书面形式通知</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已终止</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且不打算重新开始；</w:t>
      </w:r>
    </w:p>
    <w:p w14:paraId="27AD62B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（5）因不可抗力原因造成</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无法实施；</w:t>
      </w:r>
    </w:p>
    <w:p w14:paraId="40DEE88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未经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许可擅自转让本合同</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w:t>
      </w:r>
    </w:p>
    <w:p w14:paraId="21B67307">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13.2.2</w:t>
      </w:r>
      <w:r>
        <w:rPr>
          <w:rFonts w:hint="eastAsia" w:ascii="宋体" w:hAnsi="宋体" w:eastAsia="宋体" w:cs="宋体"/>
          <w:color w:val="auto"/>
          <w:sz w:val="22"/>
          <w:szCs w:val="22"/>
          <w:highlight w:val="none"/>
        </w:rPr>
        <w:t>在下列情况下，</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可终止本合同：</w:t>
      </w:r>
    </w:p>
    <w:p w14:paraId="01C26C5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不能按合同约定及时支付</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应得的合同价款；</w:t>
      </w:r>
    </w:p>
    <w:p w14:paraId="016295DA">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（2）因</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违约的原因影响</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，使</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无法正常履行本合同。</w:t>
      </w:r>
    </w:p>
    <w:p w14:paraId="1A537B4C">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1" w:name="_Toc354478301"/>
      <w:bookmarkStart w:id="182" w:name="_Toc354494056"/>
      <w:r>
        <w:rPr>
          <w:rFonts w:hint="eastAsia" w:ascii="宋体" w:hAnsi="宋体" w:eastAsia="宋体" w:cs="宋体"/>
          <w:b/>
          <w:bCs/>
          <w:snapToGrid w:val="0"/>
          <w:color w:val="auto"/>
          <w:kern w:val="2"/>
          <w:sz w:val="22"/>
          <w:szCs w:val="22"/>
          <w:highlight w:val="none"/>
          <w:lang w:val="en-US" w:eastAsia="zh-CN" w:bidi="ar-SA"/>
        </w:rPr>
        <w:t>13.3终止合同时的估价</w:t>
      </w:r>
      <w:bookmarkEnd w:id="181"/>
      <w:bookmarkEnd w:id="182"/>
    </w:p>
    <w:p w14:paraId="149A3EA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本合同终止后，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和</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应在本合同终止之日起30日内共同确定投资文件、财务文件、</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文件、设备、材料、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的设备和</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的价值，以及到终止合同日期为止</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应得到的所有款项。</w:t>
      </w:r>
    </w:p>
    <w:p w14:paraId="605E0FD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因</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的原因导致合同终止的，在违约方按规定承担违约责任以后，按照已完成的合格</w:t>
      </w:r>
      <w:r>
        <w:rPr>
          <w:rFonts w:hint="eastAsia" w:ascii="宋体" w:hAnsi="宋体" w:eastAsia="宋体" w:cs="宋体"/>
          <w:color w:val="auto"/>
          <w:sz w:val="22"/>
          <w:szCs w:val="22"/>
          <w:highlight w:val="none"/>
          <w:lang w:val="en-US" w:eastAsia="zh-CN"/>
        </w:rPr>
        <w:t>实施工作量</w:t>
      </w:r>
      <w:r>
        <w:rPr>
          <w:rFonts w:hint="eastAsia" w:ascii="宋体" w:hAnsi="宋体" w:eastAsia="宋体" w:cs="宋体"/>
          <w:color w:val="auto"/>
          <w:sz w:val="22"/>
          <w:szCs w:val="22"/>
          <w:highlight w:val="none"/>
        </w:rPr>
        <w:t>并经审价后的</w:t>
      </w:r>
      <w:r>
        <w:rPr>
          <w:rFonts w:hint="eastAsia" w:ascii="宋体" w:hAnsi="宋体" w:eastAsia="宋体" w:cs="宋体"/>
          <w:color w:val="auto"/>
          <w:sz w:val="22"/>
          <w:szCs w:val="22"/>
          <w:highlight w:val="none"/>
          <w:lang w:eastAsia="zh-CN"/>
        </w:rPr>
        <w:t>项目实施费用</w:t>
      </w:r>
      <w:r>
        <w:rPr>
          <w:rFonts w:hint="eastAsia" w:ascii="宋体" w:hAnsi="宋体" w:eastAsia="宋体" w:cs="宋体"/>
          <w:color w:val="auto"/>
          <w:sz w:val="22"/>
          <w:szCs w:val="22"/>
          <w:highlight w:val="none"/>
        </w:rPr>
        <w:t>包干价的100%确定作为合同终止后的合同价款。</w:t>
      </w:r>
    </w:p>
    <w:p w14:paraId="6754004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的原因导致合同终止的，在按规定承担违约责任以后，按照已完成的合格</w:t>
      </w:r>
      <w:r>
        <w:rPr>
          <w:rFonts w:hint="eastAsia" w:ascii="宋体" w:hAnsi="宋体" w:eastAsia="宋体" w:cs="宋体"/>
          <w:color w:val="auto"/>
          <w:sz w:val="22"/>
          <w:szCs w:val="22"/>
          <w:highlight w:val="none"/>
          <w:lang w:val="en-US" w:eastAsia="zh-CN"/>
        </w:rPr>
        <w:t>实施工作量</w:t>
      </w:r>
      <w:r>
        <w:rPr>
          <w:rFonts w:hint="eastAsia" w:ascii="宋体" w:hAnsi="宋体" w:eastAsia="宋体" w:cs="宋体"/>
          <w:color w:val="auto"/>
          <w:sz w:val="22"/>
          <w:szCs w:val="22"/>
          <w:highlight w:val="none"/>
        </w:rPr>
        <w:t>并经审价后的</w:t>
      </w:r>
      <w:r>
        <w:rPr>
          <w:rFonts w:hint="eastAsia" w:ascii="宋体" w:hAnsi="宋体" w:eastAsia="宋体" w:cs="宋体"/>
          <w:color w:val="auto"/>
          <w:sz w:val="22"/>
          <w:szCs w:val="22"/>
          <w:highlight w:val="none"/>
          <w:lang w:eastAsia="zh-CN"/>
        </w:rPr>
        <w:t>项目实施费用</w:t>
      </w:r>
      <w:r>
        <w:rPr>
          <w:rFonts w:hint="eastAsia" w:ascii="宋体" w:hAnsi="宋体" w:eastAsia="宋体" w:cs="宋体"/>
          <w:color w:val="auto"/>
          <w:sz w:val="22"/>
          <w:szCs w:val="22"/>
          <w:highlight w:val="none"/>
        </w:rPr>
        <w:t>包干价的85%确定作为合同终止后的合同价款。</w:t>
      </w:r>
    </w:p>
    <w:p w14:paraId="474F9310">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3" w:name="_Toc354494057"/>
      <w:bookmarkStart w:id="184" w:name="_Toc354478302"/>
      <w:r>
        <w:rPr>
          <w:rFonts w:hint="eastAsia" w:ascii="宋体" w:hAnsi="宋体" w:eastAsia="宋体" w:cs="宋体"/>
          <w:b/>
          <w:bCs/>
          <w:snapToGrid w:val="0"/>
          <w:color w:val="auto"/>
          <w:kern w:val="2"/>
          <w:sz w:val="22"/>
          <w:szCs w:val="22"/>
          <w:highlight w:val="none"/>
          <w:lang w:val="en-US" w:eastAsia="zh-CN" w:bidi="ar-SA"/>
        </w:rPr>
        <w:t>13.4终止后的支付</w:t>
      </w:r>
      <w:bookmarkEnd w:id="183"/>
      <w:bookmarkEnd w:id="184"/>
    </w:p>
    <w:p w14:paraId="06901737">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合同终止的，</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应在本合同终止日起并经审价后3个月内向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支付应得的所有款项。</w:t>
      </w:r>
    </w:p>
    <w:p w14:paraId="33F0B3EF">
      <w:pPr>
        <w:keepNext w:val="0"/>
        <w:keepLines w:val="0"/>
        <w:pageBreakBefore w:val="0"/>
        <w:widowControl w:val="0"/>
        <w:kinsoku/>
        <w:wordWrap/>
        <w:overflowPunct/>
        <w:topLinePunct w:val="0"/>
        <w:bidi w:val="0"/>
        <w:spacing w:before="0" w:after="0" w:line="400" w:lineRule="exact"/>
        <w:ind w:firstLine="480"/>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5" w:name="_Toc354494058"/>
      <w:bookmarkStart w:id="186" w:name="_Toc354478303"/>
      <w:r>
        <w:rPr>
          <w:rFonts w:hint="eastAsia" w:ascii="宋体" w:hAnsi="宋体" w:eastAsia="宋体" w:cs="宋体"/>
          <w:b/>
          <w:bCs/>
          <w:snapToGrid w:val="0"/>
          <w:color w:val="auto"/>
          <w:kern w:val="2"/>
          <w:sz w:val="22"/>
          <w:szCs w:val="22"/>
          <w:highlight w:val="none"/>
          <w:lang w:val="en-US" w:eastAsia="zh-CN" w:bidi="ar-SA"/>
        </w:rPr>
        <w:t>13.5合同的取消</w:t>
      </w:r>
      <w:bookmarkEnd w:id="185"/>
      <w:bookmarkEnd w:id="186"/>
    </w:p>
    <w:p w14:paraId="2B17E0C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如果一方违约，事先订立的而且在交付时仍然有效的任何设备采购合同、供货合同及所有其它合同应由违约方予以解除，违约方对因此而产生的任何解除费用负赔偿责任。</w:t>
      </w:r>
    </w:p>
    <w:p w14:paraId="2490EC3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7" w:name="_Toc354478304"/>
      <w:bookmarkStart w:id="188" w:name="_Toc354494059"/>
      <w:r>
        <w:rPr>
          <w:rFonts w:hint="eastAsia" w:ascii="宋体" w:hAnsi="宋体" w:eastAsia="宋体" w:cs="宋体"/>
          <w:b/>
          <w:bCs/>
          <w:snapToGrid w:val="0"/>
          <w:color w:val="auto"/>
          <w:kern w:val="2"/>
          <w:sz w:val="22"/>
          <w:szCs w:val="22"/>
          <w:highlight w:val="none"/>
          <w:lang w:val="en-US" w:eastAsia="zh-CN" w:bidi="ar-SA"/>
        </w:rPr>
        <w:t>13.6不可抗力及影响</w:t>
      </w:r>
      <w:bookmarkEnd w:id="187"/>
      <w:bookmarkEnd w:id="188"/>
    </w:p>
    <w:p w14:paraId="07FFB5E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任何一方由于出现不可抗力事件使该方未能全部或部分履行其本合同项下的义务时，如果该事件在签订本合同时是不能合理预见的，该事件的后果是不能克服和不能避免的，该方应有权中止履行本合同项下的义务。不可抗力应包括下列事件：</w:t>
      </w:r>
    </w:p>
    <w:p w14:paraId="0CA3869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（1）闪电、地震、地沉、地隆、山崩、飓风、风暴、火灾、海啸、泥石流、洪水、旱灾、陨石撞击和火山爆发，或其他天灾；</w:t>
      </w:r>
    </w:p>
    <w:p w14:paraId="0119FCA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（2）战争行为、入侵、武装冲突或外敌行为、封锁、暴乱、恐怖行为；</w:t>
      </w:r>
    </w:p>
    <w:p w14:paraId="50D5B06C">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（3）由于任何爆炸性核装置或其核部件的任何核燃料或核燃料燃烧后的核废物、放射性有毒炸药，或其他有害物质所引起的放射性污染；</w:t>
      </w:r>
    </w:p>
    <w:p w14:paraId="311CF00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（4）政府部门对项目或其任何部分实行的没收、征用、充公或国有化；</w:t>
      </w:r>
    </w:p>
    <w:p w14:paraId="73C8A7B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若发生上款所述的不可抗力导致一方无法履行本项目合同项下的义务，该方有权中止履行。前述不可抗力只有在宣称受到不可抗力影响的一方在合同订立时不能在合理范围内预见到这种情况或不能在合理范围内避免或克服这种情况或其后果时才构成暂停权。宣称不可抗力情况的一方应在不可抗力情况不再存在后尽快恢复对其根据本合同所承担的义务的履行。</w:t>
      </w:r>
    </w:p>
    <w:p w14:paraId="6614061D">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9" w:name="_Toc354494060"/>
      <w:bookmarkStart w:id="190" w:name="_Toc354478305"/>
      <w:r>
        <w:rPr>
          <w:rFonts w:hint="eastAsia" w:ascii="宋体" w:hAnsi="宋体" w:eastAsia="宋体" w:cs="宋体"/>
          <w:b/>
          <w:bCs/>
          <w:snapToGrid w:val="0"/>
          <w:color w:val="auto"/>
          <w:kern w:val="2"/>
          <w:sz w:val="22"/>
          <w:szCs w:val="22"/>
          <w:highlight w:val="none"/>
          <w:lang w:val="en-US" w:eastAsia="zh-CN" w:bidi="ar-SA"/>
        </w:rPr>
        <w:t>13.7通知</w:t>
      </w:r>
      <w:bookmarkEnd w:id="189"/>
      <w:bookmarkEnd w:id="190"/>
    </w:p>
    <w:p w14:paraId="54A5D156">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声称受到不可抗力情况影响的一方应在知道不可抗力之后立即以书面形式向另一方发出通知并说明这种不可抗力情况所造成影响的详细情况，包括这种不可抗力情况发生的日期和估计停止的日期及其对该方根据本合同所承担的义务的影响。</w:t>
      </w:r>
    </w:p>
    <w:p w14:paraId="7EE9D8FD">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91" w:name="_Toc354478306"/>
      <w:bookmarkStart w:id="192" w:name="_Toc354494061"/>
      <w:r>
        <w:rPr>
          <w:rFonts w:hint="eastAsia" w:ascii="宋体" w:hAnsi="宋体" w:eastAsia="宋体" w:cs="宋体"/>
          <w:b/>
          <w:bCs/>
          <w:snapToGrid w:val="0"/>
          <w:color w:val="auto"/>
          <w:kern w:val="2"/>
          <w:sz w:val="22"/>
          <w:szCs w:val="22"/>
          <w:highlight w:val="none"/>
          <w:lang w:val="en-US" w:eastAsia="zh-CN" w:bidi="ar-SA"/>
        </w:rPr>
        <w:t>13.8不可抗力造成的支出和延误</w:t>
      </w:r>
      <w:bookmarkEnd w:id="191"/>
      <w:bookmarkEnd w:id="192"/>
    </w:p>
    <w:p w14:paraId="7A5DE455">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不可抗力事件结束后48小时内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通报受害情况和损失情况，及预计清理和修复的费用。不可抗力事件持续发生，</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应每隔7天向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报告一次受害情况。不可抗力事件结束后14天内，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提交清理和修复费用的正式报告及有关资料，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需要根据情况对其损失进行确认，对修复的费用待检测和修复方案确定后另行计算。因不可抗力事件导致的费用变更及</w:t>
      </w:r>
      <w:r>
        <w:rPr>
          <w:rFonts w:hint="eastAsia" w:ascii="宋体" w:hAnsi="宋体" w:eastAsia="宋体" w:cs="宋体"/>
          <w:color w:val="auto"/>
          <w:sz w:val="22"/>
          <w:szCs w:val="22"/>
          <w:highlight w:val="none"/>
          <w:lang w:eastAsia="zh-CN"/>
        </w:rPr>
        <w:t>服务期</w:t>
      </w:r>
      <w:r>
        <w:rPr>
          <w:rFonts w:hint="eastAsia" w:ascii="宋体" w:hAnsi="宋体" w:eastAsia="宋体" w:cs="宋体"/>
          <w:color w:val="auto"/>
          <w:sz w:val="22"/>
          <w:szCs w:val="22"/>
          <w:highlight w:val="none"/>
        </w:rPr>
        <w:t>延误由</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按以下方法分别承担：</w:t>
      </w:r>
    </w:p>
    <w:p w14:paraId="185BB77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本身的损害由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w:t>
      </w:r>
    </w:p>
    <w:p w14:paraId="275BA1B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（2）受雇人员的伤害，分别按照各自的雇佣合同关系负责处理；</w:t>
      </w:r>
    </w:p>
    <w:p w14:paraId="10943E9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的机具、设备、财产和临时</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内容的损失、损害，由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p>
    <w:p w14:paraId="11F8DF95">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（4）因不可抗力事件导致的停工损失，包括</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人员、管理人员，除</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要求留守</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场地的管理人员及保卫人员费用由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承担外，其余由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p>
    <w:p w14:paraId="3EA456D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（5）不可抗力事件发生后，因一方迟延履行合同约定的保护义务导致的延续损失、损害，由迟延履行义务的一方承担相应责任及其损失；</w:t>
      </w:r>
    </w:p>
    <w:p w14:paraId="4374EB8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（6）如果声称遭受不可抗力影响的一方已履行了第13.7款的通知程序，本合同中规定的履行某项义务的任何期限应根据不可抗力对履行该项义务产生影响的相同时间相应顺延。</w:t>
      </w:r>
    </w:p>
    <w:p w14:paraId="15A168D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93" w:name="_Toc345358561"/>
      <w:bookmarkStart w:id="194" w:name="_Toc345359035"/>
      <w:bookmarkStart w:id="195" w:name="_Toc354478307"/>
      <w:bookmarkStart w:id="196" w:name="_Toc354494062"/>
      <w:r>
        <w:rPr>
          <w:rFonts w:hint="eastAsia" w:ascii="宋体" w:hAnsi="宋体" w:eastAsia="宋体" w:cs="宋体"/>
          <w:b/>
          <w:bCs/>
          <w:snapToGrid w:val="0"/>
          <w:color w:val="auto"/>
          <w:kern w:val="2"/>
          <w:sz w:val="22"/>
          <w:szCs w:val="22"/>
          <w:highlight w:val="none"/>
          <w:lang w:val="en-US" w:eastAsia="zh-CN" w:bidi="ar-SA"/>
        </w:rPr>
        <w:t>13.9不可抗力造成的终止</w:t>
      </w:r>
      <w:bookmarkEnd w:id="193"/>
      <w:bookmarkEnd w:id="194"/>
      <w:bookmarkEnd w:id="195"/>
      <w:bookmarkEnd w:id="196"/>
    </w:p>
    <w:p w14:paraId="29D5163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如果任何不可抗力阻止一方履行其义务的时间自该不可抗力发生日起连续超过90日，</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应协商决定继续履行本合同的条件或者同意终止本合同。如果自不可抗力发生后180天之内</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不能就继续履行的条件或终止本合同达成一致意见，任何一方有权给予另一方书面通知后终止本合同。</w:t>
      </w:r>
    </w:p>
    <w:p w14:paraId="499BE5CF">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97" w:name="_Toc359839714"/>
      <w:bookmarkStart w:id="198" w:name="_Toc354494063"/>
      <w:bookmarkStart w:id="199" w:name="_Toc359839855"/>
      <w:bookmarkStart w:id="200" w:name="_Toc359838545"/>
      <w:bookmarkStart w:id="201" w:name="_Toc354478308"/>
      <w:bookmarkStart w:id="202" w:name="_Toc359839326"/>
      <w:bookmarkStart w:id="203" w:name="_Toc354478024"/>
      <w:r>
        <w:rPr>
          <w:rFonts w:hint="eastAsia" w:ascii="宋体" w:hAnsi="宋体" w:eastAsia="宋体" w:cs="宋体"/>
          <w:b/>
          <w:snapToGrid w:val="0"/>
          <w:color w:val="auto"/>
          <w:kern w:val="2"/>
          <w:sz w:val="22"/>
          <w:szCs w:val="22"/>
          <w:highlight w:val="none"/>
          <w:lang w:val="en-US" w:eastAsia="zh-CN" w:bidi="ar-SA"/>
        </w:rPr>
        <w:t>争议的解决</w:t>
      </w:r>
      <w:bookmarkEnd w:id="197"/>
      <w:bookmarkEnd w:id="198"/>
      <w:bookmarkEnd w:id="199"/>
      <w:bookmarkEnd w:id="200"/>
      <w:bookmarkEnd w:id="201"/>
      <w:bookmarkEnd w:id="202"/>
      <w:bookmarkEnd w:id="203"/>
    </w:p>
    <w:p w14:paraId="308A2BDE">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04" w:name="_Toc354494064"/>
      <w:bookmarkStart w:id="205" w:name="_Toc345358578"/>
      <w:bookmarkStart w:id="206" w:name="_Toc354478309"/>
      <w:bookmarkStart w:id="207" w:name="_Toc345359052"/>
      <w:r>
        <w:rPr>
          <w:rFonts w:hint="eastAsia" w:ascii="宋体" w:hAnsi="宋体" w:eastAsia="宋体" w:cs="宋体"/>
          <w:b/>
          <w:bCs/>
          <w:snapToGrid w:val="0"/>
          <w:color w:val="auto"/>
          <w:kern w:val="2"/>
          <w:sz w:val="22"/>
          <w:szCs w:val="22"/>
          <w:highlight w:val="none"/>
          <w:lang w:val="en-US" w:eastAsia="zh-CN" w:bidi="ar-SA"/>
        </w:rPr>
        <w:t>14.1不可分割性</w:t>
      </w:r>
      <w:bookmarkEnd w:id="204"/>
      <w:bookmarkEnd w:id="205"/>
      <w:bookmarkEnd w:id="206"/>
      <w:bookmarkEnd w:id="207"/>
    </w:p>
    <w:p w14:paraId="3975BA5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如果本合同其中某一条款不合法、无效或不能执行，或者被任何有管辖权的仲裁庭或法院宣布为不合法、无效或不能执行，则：</w:t>
      </w:r>
    </w:p>
    <w:p w14:paraId="650C405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（1）其它部分仍应保持有效；</w:t>
      </w:r>
    </w:p>
    <w:p w14:paraId="2388C64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应商定对不合法、无效或不能执行的条款进行修改或更换，使之合法、有效并可执行，并且这些修改或更改应尽可能平衡</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之间的利益。</w:t>
      </w:r>
    </w:p>
    <w:p w14:paraId="512A6DC7">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08" w:name="_Toc345359053"/>
      <w:bookmarkStart w:id="209" w:name="_Toc354478310"/>
      <w:bookmarkStart w:id="210" w:name="_Toc345358579"/>
      <w:bookmarkStart w:id="211" w:name="_Toc354494065"/>
      <w:r>
        <w:rPr>
          <w:rFonts w:hint="eastAsia" w:ascii="宋体" w:hAnsi="宋体" w:eastAsia="宋体" w:cs="宋体"/>
          <w:b/>
          <w:bCs/>
          <w:snapToGrid w:val="0"/>
          <w:color w:val="auto"/>
          <w:kern w:val="2"/>
          <w:sz w:val="22"/>
          <w:szCs w:val="22"/>
          <w:highlight w:val="none"/>
          <w:lang w:val="en-US" w:eastAsia="zh-CN" w:bidi="ar-SA"/>
        </w:rPr>
        <w:t>14.2定期讨论</w:t>
      </w:r>
      <w:bookmarkEnd w:id="208"/>
      <w:bookmarkEnd w:id="209"/>
      <w:bookmarkEnd w:id="210"/>
      <w:bookmarkEnd w:id="211"/>
    </w:p>
    <w:p w14:paraId="3FB4605C">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在本合同履行期间，</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应定期举行会议，原则上每月一次，以讨论</w:t>
      </w:r>
      <w:r>
        <w:rPr>
          <w:rFonts w:hint="eastAsia" w:ascii="宋体" w:hAnsi="宋体" w:cs="宋体"/>
          <w:color w:val="auto"/>
          <w:sz w:val="22"/>
          <w:szCs w:val="22"/>
          <w:highlight w:val="none"/>
          <w:lang w:val="en-US" w:eastAsia="zh-CN"/>
        </w:rPr>
        <w:t>项目</w:t>
      </w:r>
      <w:r>
        <w:rPr>
          <w:rFonts w:hint="eastAsia" w:ascii="宋体" w:hAnsi="宋体" w:eastAsia="宋体" w:cs="宋体"/>
          <w:color w:val="auto"/>
          <w:sz w:val="22"/>
          <w:szCs w:val="22"/>
          <w:highlight w:val="none"/>
        </w:rPr>
        <w:t>工作的进度，从而确保本合同的充分履行。</w:t>
      </w:r>
    </w:p>
    <w:p w14:paraId="48029EDC">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12" w:name="_Toc354494066"/>
      <w:bookmarkStart w:id="213" w:name="_Toc345358580"/>
      <w:bookmarkStart w:id="214" w:name="_Toc345359054"/>
      <w:bookmarkStart w:id="215" w:name="_Toc354478311"/>
      <w:r>
        <w:rPr>
          <w:rFonts w:hint="eastAsia" w:ascii="宋体" w:hAnsi="宋体" w:eastAsia="宋体" w:cs="宋体"/>
          <w:b/>
          <w:bCs/>
          <w:snapToGrid w:val="0"/>
          <w:color w:val="auto"/>
          <w:kern w:val="2"/>
          <w:sz w:val="22"/>
          <w:szCs w:val="22"/>
          <w:highlight w:val="none"/>
          <w:lang w:val="en-US" w:eastAsia="zh-CN" w:bidi="ar-SA"/>
        </w:rPr>
        <w:t>14.3友好解决</w:t>
      </w:r>
      <w:bookmarkEnd w:id="212"/>
      <w:bookmarkEnd w:id="213"/>
      <w:bookmarkEnd w:id="214"/>
      <w:bookmarkEnd w:id="215"/>
    </w:p>
    <w:p w14:paraId="2B5E3B0C">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除非本合同另有规定，一方无论何时要求另一方给予同意或批准时，另一方不得无理拒绝或拖延给予该同意或批准；前提是该同意或批准符合本合同条款精神或法律法规。</w:t>
      </w:r>
    </w:p>
    <w:p w14:paraId="7D64723C">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由于本合同的履行或对其中任何规定的解释而出现任何争议或索赔，一方应根据另一方提出的要求迅速举行会晤，通过友好协商解决争议或索赔。</w:t>
      </w:r>
    </w:p>
    <w:p w14:paraId="064D67BF">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14.4诉讼</w:t>
      </w:r>
    </w:p>
    <w:p w14:paraId="37D6625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如果争议在首次要求协商之日起42天内未能通过友好协商予以解决，则可在</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所在地通过诉讼解决。</w:t>
      </w:r>
    </w:p>
    <w:p w14:paraId="66B2AB42">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14.5继续的权利和义务</w:t>
      </w:r>
    </w:p>
    <w:p w14:paraId="213459E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在对争议进行友好协商或</w:t>
      </w:r>
      <w:r>
        <w:rPr>
          <w:rFonts w:hint="eastAsia" w:ascii="宋体" w:hAnsi="宋体" w:eastAsia="宋体" w:cs="宋体"/>
          <w:snapToGrid w:val="0"/>
          <w:color w:val="auto"/>
          <w:sz w:val="22"/>
          <w:szCs w:val="22"/>
          <w:highlight w:val="none"/>
        </w:rPr>
        <w:t>诉讼</w:t>
      </w:r>
      <w:r>
        <w:rPr>
          <w:rFonts w:hint="eastAsia" w:ascii="宋体" w:hAnsi="宋体" w:eastAsia="宋体" w:cs="宋体"/>
          <w:color w:val="auto"/>
          <w:sz w:val="22"/>
          <w:szCs w:val="22"/>
          <w:highlight w:val="none"/>
        </w:rPr>
        <w:t>时，除争议的事项外，</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应继续行使、履行各自在本合同项下的其他权利、义务。</w:t>
      </w:r>
    </w:p>
    <w:p w14:paraId="201BF7B1">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216" w:name="_Toc359839327"/>
      <w:bookmarkStart w:id="217" w:name="_Toc354478025"/>
      <w:bookmarkStart w:id="218" w:name="_Toc359839715"/>
      <w:bookmarkStart w:id="219" w:name="_Toc359839856"/>
      <w:bookmarkStart w:id="220" w:name="_Toc359838546"/>
      <w:bookmarkStart w:id="221" w:name="_Toc354494070"/>
      <w:bookmarkStart w:id="222" w:name="_Toc354478315"/>
      <w:r>
        <w:rPr>
          <w:rFonts w:hint="eastAsia" w:ascii="宋体" w:hAnsi="宋体" w:eastAsia="宋体" w:cs="宋体"/>
          <w:b/>
          <w:snapToGrid w:val="0"/>
          <w:color w:val="auto"/>
          <w:kern w:val="2"/>
          <w:sz w:val="22"/>
          <w:szCs w:val="22"/>
          <w:highlight w:val="none"/>
          <w:lang w:val="en-US" w:eastAsia="zh-CN" w:bidi="ar-SA"/>
        </w:rPr>
        <w:t>风险划分</w:t>
      </w:r>
      <w:bookmarkEnd w:id="216"/>
      <w:bookmarkEnd w:id="217"/>
      <w:bookmarkEnd w:id="218"/>
      <w:bookmarkEnd w:id="219"/>
      <w:bookmarkEnd w:id="220"/>
      <w:bookmarkEnd w:id="221"/>
      <w:bookmarkEnd w:id="222"/>
    </w:p>
    <w:p w14:paraId="16C92E9E">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除另有明确约定外，在本项目交付给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之前，因本项目所产生的风险，由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承担。若风险在交付之前发生或虽然在交付之前未发生但隐含在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中而致使交付之后发生，给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造成损害的，则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应连带向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进行赔偿。</w:t>
      </w:r>
    </w:p>
    <w:p w14:paraId="27AE7E9E">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223" w:name="_Toc354494071"/>
      <w:bookmarkStart w:id="224" w:name="_Toc359839328"/>
      <w:bookmarkStart w:id="225" w:name="_Toc359839716"/>
      <w:bookmarkStart w:id="226" w:name="_Toc354478316"/>
      <w:bookmarkStart w:id="227" w:name="_Toc359839857"/>
      <w:bookmarkStart w:id="228" w:name="_Toc354478026"/>
      <w:bookmarkStart w:id="229" w:name="_Toc359838547"/>
      <w:r>
        <w:rPr>
          <w:rFonts w:hint="eastAsia" w:ascii="宋体" w:hAnsi="宋体" w:eastAsia="宋体" w:cs="宋体"/>
          <w:b/>
          <w:snapToGrid w:val="0"/>
          <w:color w:val="auto"/>
          <w:kern w:val="2"/>
          <w:sz w:val="22"/>
          <w:szCs w:val="22"/>
          <w:highlight w:val="none"/>
          <w:lang w:val="en-US" w:eastAsia="zh-CN" w:bidi="ar-SA"/>
        </w:rPr>
        <w:t>协议变更、补充和解除</w:t>
      </w:r>
      <w:bookmarkEnd w:id="223"/>
      <w:bookmarkEnd w:id="224"/>
      <w:bookmarkEnd w:id="225"/>
      <w:bookmarkEnd w:id="226"/>
      <w:bookmarkEnd w:id="227"/>
      <w:bookmarkEnd w:id="228"/>
      <w:bookmarkEnd w:id="229"/>
    </w:p>
    <w:p w14:paraId="1352814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对本合同的任何变更、增补或改动，只有在形成文字并经</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经授权的代表签署后方为有效和具有约束力。</w:t>
      </w:r>
    </w:p>
    <w:p w14:paraId="014C2E7B">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230" w:name="_Toc354478317"/>
      <w:bookmarkStart w:id="231" w:name="_Toc359839329"/>
      <w:bookmarkStart w:id="232" w:name="_Toc359838548"/>
      <w:bookmarkStart w:id="233" w:name="_Toc359839858"/>
      <w:bookmarkStart w:id="234" w:name="_Toc354494072"/>
      <w:bookmarkStart w:id="235" w:name="_Toc354478027"/>
      <w:bookmarkStart w:id="236" w:name="_Toc359839717"/>
      <w:r>
        <w:rPr>
          <w:rFonts w:hint="eastAsia" w:ascii="宋体" w:hAnsi="宋体" w:eastAsia="宋体" w:cs="宋体"/>
          <w:b/>
          <w:snapToGrid w:val="0"/>
          <w:color w:val="auto"/>
          <w:kern w:val="2"/>
          <w:sz w:val="22"/>
          <w:szCs w:val="22"/>
          <w:highlight w:val="none"/>
          <w:lang w:val="en-US" w:eastAsia="zh-CN" w:bidi="ar-SA"/>
        </w:rPr>
        <w:t>适用法律及其它</w:t>
      </w:r>
      <w:bookmarkEnd w:id="230"/>
      <w:bookmarkEnd w:id="231"/>
      <w:bookmarkEnd w:id="232"/>
      <w:bookmarkEnd w:id="233"/>
      <w:bookmarkEnd w:id="234"/>
      <w:bookmarkEnd w:id="235"/>
      <w:bookmarkEnd w:id="236"/>
    </w:p>
    <w:p w14:paraId="790E695D">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37" w:name="_Toc354478318"/>
      <w:bookmarkStart w:id="238" w:name="_Toc354494073"/>
      <w:r>
        <w:rPr>
          <w:rFonts w:hint="eastAsia" w:ascii="宋体" w:hAnsi="宋体" w:eastAsia="宋体" w:cs="宋体"/>
          <w:b/>
          <w:bCs/>
          <w:snapToGrid w:val="0"/>
          <w:color w:val="auto"/>
          <w:kern w:val="2"/>
          <w:sz w:val="22"/>
          <w:szCs w:val="22"/>
          <w:highlight w:val="none"/>
          <w:lang w:val="en-US" w:eastAsia="zh-CN" w:bidi="ar-SA"/>
        </w:rPr>
        <w:t>17.1适用法律</w:t>
      </w:r>
      <w:bookmarkEnd w:id="237"/>
      <w:bookmarkEnd w:id="238"/>
    </w:p>
    <w:p w14:paraId="30AEA9CE">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17.1.1</w:t>
      </w:r>
      <w:r>
        <w:rPr>
          <w:rFonts w:hint="eastAsia" w:ascii="宋体" w:hAnsi="宋体" w:eastAsia="宋体" w:cs="宋体"/>
          <w:color w:val="auto"/>
          <w:sz w:val="22"/>
          <w:szCs w:val="22"/>
          <w:highlight w:val="none"/>
        </w:rPr>
        <w:t>适用法律</w:t>
      </w:r>
    </w:p>
    <w:p w14:paraId="54C1AE6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本合同的效力、解释及执行均应适用中央和地方各级机构最新颁布的法律、法规以及政府有关部门对行业管理的统一规定。</w:t>
      </w:r>
    </w:p>
    <w:p w14:paraId="60101593">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17.1.2</w:t>
      </w:r>
      <w:r>
        <w:rPr>
          <w:rFonts w:hint="eastAsia" w:ascii="宋体" w:hAnsi="宋体" w:eastAsia="宋体" w:cs="宋体"/>
          <w:color w:val="auto"/>
          <w:sz w:val="22"/>
          <w:szCs w:val="22"/>
          <w:highlight w:val="none"/>
        </w:rPr>
        <w:t>优惠待遇</w:t>
      </w:r>
    </w:p>
    <w:p w14:paraId="2D33D60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根据法律，</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有权享有在签订本合同后出现的或被公众知晓的比本合同规定的更优惠的税收、投资优惠或其它利益。</w:t>
      </w:r>
    </w:p>
    <w:p w14:paraId="480869EA">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39" w:name="_Toc354494074"/>
      <w:bookmarkStart w:id="240" w:name="_Toc354478319"/>
      <w:r>
        <w:rPr>
          <w:rFonts w:hint="eastAsia" w:ascii="宋体" w:hAnsi="宋体" w:eastAsia="宋体" w:cs="宋体"/>
          <w:b/>
          <w:bCs/>
          <w:snapToGrid w:val="0"/>
          <w:color w:val="auto"/>
          <w:kern w:val="2"/>
          <w:sz w:val="22"/>
          <w:szCs w:val="22"/>
          <w:highlight w:val="none"/>
          <w:lang w:val="en-US" w:eastAsia="zh-CN" w:bidi="ar-SA"/>
        </w:rPr>
        <w:t>17.2资料和保密</w:t>
      </w:r>
      <w:bookmarkEnd w:id="239"/>
      <w:bookmarkEnd w:id="240"/>
    </w:p>
    <w:p w14:paraId="6A243881">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17.2.1</w:t>
      </w:r>
      <w:r>
        <w:rPr>
          <w:rFonts w:hint="eastAsia" w:ascii="宋体" w:hAnsi="宋体" w:eastAsia="宋体" w:cs="宋体"/>
          <w:color w:val="auto"/>
          <w:sz w:val="22"/>
          <w:szCs w:val="22"/>
          <w:highlight w:val="none"/>
        </w:rPr>
        <w:t>对资料的权利</w:t>
      </w:r>
    </w:p>
    <w:p w14:paraId="443234A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提供的资料，或主要以此为基础开发的资料，包括文件、计算机程序和其它存储在任何媒介上的资料，均视为</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的财产。</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应不为本项目之外的目的使用上述资料，并且应在项目交付时将上述资料返还给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70B03D13">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bookmarkStart w:id="241" w:name="_Toc354478320"/>
      <w:bookmarkStart w:id="242" w:name="_Toc354494075"/>
      <w:r>
        <w:rPr>
          <w:rFonts w:hint="eastAsia" w:ascii="宋体" w:hAnsi="宋体" w:eastAsia="宋体" w:cs="宋体"/>
          <w:b/>
          <w:color w:val="auto"/>
          <w:sz w:val="22"/>
          <w:szCs w:val="22"/>
          <w:highlight w:val="none"/>
        </w:rPr>
        <w:t>17.2.2</w:t>
      </w:r>
      <w:r>
        <w:rPr>
          <w:rFonts w:hint="eastAsia" w:ascii="宋体" w:hAnsi="宋体" w:eastAsia="宋体" w:cs="宋体"/>
          <w:color w:val="auto"/>
          <w:sz w:val="22"/>
          <w:szCs w:val="22"/>
          <w:highlight w:val="none"/>
        </w:rPr>
        <w:t>保密性</w:t>
      </w:r>
      <w:bookmarkEnd w:id="241"/>
      <w:bookmarkEnd w:id="242"/>
    </w:p>
    <w:p w14:paraId="074DC2A1">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应对本合同的内容和项目的所有信息及文件保密。未经对方同意，不得向任何人或单位披露或者泄露本合同和本项目所包含或涉及的任何内容，但以下情形除外：</w:t>
      </w:r>
    </w:p>
    <w:p w14:paraId="5B1EE886">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(1)对各方负有保密义务一方向执行本合同相关职责及事项的职员、法律顾问的披露；</w:t>
      </w:r>
    </w:p>
    <w:p w14:paraId="36781916">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(2)向根据法律规定有权了解本协议内容的司法、行政机关的披露；</w:t>
      </w:r>
    </w:p>
    <w:p w14:paraId="5E62CB8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(3)为满足本合同的生效条件而向有关部门或人员所作的披露；</w:t>
      </w:r>
    </w:p>
    <w:p w14:paraId="4AEE8ED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均同意的披露。</w:t>
      </w:r>
    </w:p>
    <w:p w14:paraId="5F45B45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依据上述所作透露时，透露方应该提示接受方履行保密义务。</w:t>
      </w:r>
    </w:p>
    <w:p w14:paraId="646DD40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43" w:name="_Toc354478321"/>
      <w:bookmarkStart w:id="244" w:name="_Toc354494076"/>
      <w:r>
        <w:rPr>
          <w:rFonts w:hint="eastAsia" w:ascii="宋体" w:hAnsi="宋体" w:eastAsia="宋体" w:cs="宋体"/>
          <w:b/>
          <w:bCs/>
          <w:snapToGrid w:val="0"/>
          <w:color w:val="auto"/>
          <w:kern w:val="2"/>
          <w:sz w:val="22"/>
          <w:szCs w:val="22"/>
          <w:highlight w:val="none"/>
          <w:lang w:val="en-US" w:eastAsia="zh-CN" w:bidi="ar-SA"/>
        </w:rPr>
        <w:t>17.3知识产权</w:t>
      </w:r>
      <w:bookmarkEnd w:id="243"/>
      <w:bookmarkEnd w:id="244"/>
    </w:p>
    <w:p w14:paraId="4E702A72">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17.3.1</w:t>
      </w:r>
      <w:r>
        <w:rPr>
          <w:rFonts w:hint="eastAsia" w:ascii="宋体" w:hAnsi="宋体" w:eastAsia="宋体" w:cs="宋体"/>
          <w:color w:val="auto"/>
          <w:sz w:val="22"/>
          <w:szCs w:val="22"/>
          <w:highlight w:val="none"/>
        </w:rPr>
        <w:t>因执行本合同所产生和形成的知识产权归</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所有。本合同所称的知识产权包括（但不限于）：著作权、专利权、商标权、专有技术、技术资料、标识、字号、名称及形象设计等，不管以文字、图案或混合，亦不管以书面或电子及其他形式作为载体而体现。</w:t>
      </w:r>
    </w:p>
    <w:p w14:paraId="41B0DF8D">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17.3.2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在此保证，为本项目的目的所产生的知识产权，不管是</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单独或共同合作产生，也不管是否有</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的相应的协助，其权利均归</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所有，</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并应提供与之有关的所有信息、资料、文件。未经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书面许可，不能用作本项目之外的用途。</w:t>
      </w:r>
    </w:p>
    <w:p w14:paraId="33894131">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17.3.3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在此进一步保证，在完成本项目过程中，将不会侵犯他人的知识产权。</w:t>
      </w:r>
    </w:p>
    <w:p w14:paraId="63FFB9AE">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为完成本项目工作而侵犯他人的知识产权的，不管是在本项目实施过程中还是交付给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以后，责任均由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承担。因此而给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造成损失的，由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承担连带赔偿责任。</w:t>
      </w:r>
    </w:p>
    <w:p w14:paraId="591C9D1A">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17.3.4</w:t>
      </w:r>
      <w:r>
        <w:rPr>
          <w:rFonts w:hint="eastAsia" w:ascii="宋体" w:hAnsi="宋体" w:eastAsia="宋体" w:cs="宋体"/>
          <w:color w:val="auto"/>
          <w:sz w:val="22"/>
          <w:szCs w:val="22"/>
          <w:highlight w:val="none"/>
        </w:rPr>
        <w:t>本条约定在本合同终止后仍然有效。</w:t>
      </w:r>
    </w:p>
    <w:p w14:paraId="085385C6">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45" w:name="_Toc354494077"/>
      <w:bookmarkStart w:id="246" w:name="_Toc354478322"/>
      <w:r>
        <w:rPr>
          <w:rFonts w:hint="eastAsia" w:ascii="宋体" w:hAnsi="宋体" w:eastAsia="宋体" w:cs="宋体"/>
          <w:b/>
          <w:bCs/>
          <w:snapToGrid w:val="0"/>
          <w:color w:val="auto"/>
          <w:kern w:val="2"/>
          <w:sz w:val="22"/>
          <w:szCs w:val="22"/>
          <w:highlight w:val="none"/>
          <w:lang w:val="en-US" w:eastAsia="zh-CN" w:bidi="ar-SA"/>
        </w:rPr>
        <w:t>17.4不正当报酬的声明</w:t>
      </w:r>
      <w:bookmarkEnd w:id="245"/>
      <w:bookmarkEnd w:id="246"/>
    </w:p>
    <w:p w14:paraId="302DDEB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一致声明：反对关于项目的行贿、受贿及不合法的行为。</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都不会为项目提供或接受任何不合法的报酬，提供或接受不当的服务。</w:t>
      </w:r>
    </w:p>
    <w:p w14:paraId="27AB403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47" w:name="_Toc354494078"/>
      <w:bookmarkStart w:id="248" w:name="_Toc354478323"/>
      <w:r>
        <w:rPr>
          <w:rFonts w:hint="eastAsia" w:ascii="宋体" w:hAnsi="宋体" w:eastAsia="宋体" w:cs="宋体"/>
          <w:b/>
          <w:bCs/>
          <w:snapToGrid w:val="0"/>
          <w:color w:val="auto"/>
          <w:kern w:val="2"/>
          <w:sz w:val="22"/>
          <w:szCs w:val="22"/>
          <w:highlight w:val="none"/>
          <w:lang w:val="en-US" w:eastAsia="zh-CN" w:bidi="ar-SA"/>
        </w:rPr>
        <w:t>17.5其它条款</w:t>
      </w:r>
      <w:bookmarkEnd w:id="247"/>
      <w:bookmarkEnd w:id="248"/>
    </w:p>
    <w:p w14:paraId="3F35E619">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17.5.1</w:t>
      </w:r>
      <w:r>
        <w:rPr>
          <w:rFonts w:hint="eastAsia" w:ascii="宋体" w:hAnsi="宋体" w:eastAsia="宋体" w:cs="宋体"/>
          <w:color w:val="auto"/>
          <w:sz w:val="22"/>
          <w:szCs w:val="22"/>
          <w:highlight w:val="none"/>
        </w:rPr>
        <w:t>在中国法律、法规允许的范围内，</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对于本合同项下权利的未行使或延误行使不应视为对该权利的放弃，而且对该权利的单独或部分行使也不能阻止任何未来对该权利的行使。</w:t>
      </w:r>
    </w:p>
    <w:p w14:paraId="316A4706">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17.5.2</w:t>
      </w:r>
      <w:r>
        <w:rPr>
          <w:rFonts w:hint="eastAsia" w:ascii="宋体" w:hAnsi="宋体" w:eastAsia="宋体" w:cs="宋体"/>
          <w:color w:val="auto"/>
          <w:sz w:val="22"/>
          <w:szCs w:val="22"/>
          <w:highlight w:val="none"/>
        </w:rPr>
        <w:t>独立性</w:t>
      </w:r>
    </w:p>
    <w:p w14:paraId="480C63B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本合同某一条款的无效，如果对本合同的履行或合同目的的实现没有实质性影响，则本合同其他条款继续有效。</w:t>
      </w:r>
    </w:p>
    <w:p w14:paraId="39E74B5E">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17.5.3</w:t>
      </w:r>
      <w:r>
        <w:rPr>
          <w:rFonts w:hint="eastAsia" w:ascii="宋体" w:hAnsi="宋体" w:eastAsia="宋体" w:cs="宋体"/>
          <w:color w:val="auto"/>
          <w:sz w:val="22"/>
          <w:szCs w:val="22"/>
          <w:highlight w:val="none"/>
        </w:rPr>
        <w:t>通知</w:t>
      </w:r>
    </w:p>
    <w:p w14:paraId="7EAEC82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根据合同规定由一方向另一方或两方发送的要约、记录或通知及文件均应采用书面形式，包括信件、传真、电子邮件、电报或电挂。若任何一方的地址或者其他信息（包括，但不限，收件人以及传真和邮箱，等）发生了变化，应事先书面通知另一方。</w:t>
      </w:r>
    </w:p>
    <w:p w14:paraId="2CD25132">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249" w:name="_Toc359838549"/>
      <w:bookmarkStart w:id="250" w:name="_Toc359839330"/>
      <w:bookmarkStart w:id="251" w:name="_Toc359839718"/>
      <w:bookmarkStart w:id="252" w:name="_Toc359839859"/>
      <w:r>
        <w:rPr>
          <w:rFonts w:hint="eastAsia" w:ascii="宋体" w:hAnsi="宋体" w:eastAsia="宋体" w:cs="宋体"/>
          <w:b/>
          <w:snapToGrid w:val="0"/>
          <w:color w:val="auto"/>
          <w:kern w:val="2"/>
          <w:sz w:val="22"/>
          <w:szCs w:val="22"/>
          <w:highlight w:val="none"/>
          <w:lang w:val="en-US" w:eastAsia="zh-CN" w:bidi="ar-SA"/>
        </w:rPr>
        <w:t>通讯联络</w:t>
      </w:r>
      <w:bookmarkEnd w:id="249"/>
      <w:bookmarkEnd w:id="250"/>
      <w:bookmarkEnd w:id="251"/>
      <w:bookmarkEnd w:id="252"/>
    </w:p>
    <w:p w14:paraId="485E36BD">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18.1</w:t>
      </w:r>
      <w:r>
        <w:rPr>
          <w:rFonts w:hint="eastAsia" w:ascii="宋体" w:hAnsi="宋体" w:eastAsia="宋体" w:cs="宋体"/>
          <w:color w:val="auto"/>
          <w:sz w:val="22"/>
          <w:szCs w:val="22"/>
          <w:highlight w:val="none"/>
        </w:rPr>
        <w:t>无论何处述及由任何人发出或颁布的任何通知、指示、同意、批准、证明或决定，除另有说明者外，此类通讯联络均应为书面的，且不得无故扣押或拖延。</w:t>
      </w:r>
    </w:p>
    <w:p w14:paraId="23A5D403">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18.2</w:t>
      </w:r>
      <w:r>
        <w:rPr>
          <w:rFonts w:hint="eastAsia" w:ascii="宋体" w:hAnsi="宋体" w:eastAsia="宋体" w:cs="宋体"/>
          <w:color w:val="auto"/>
          <w:sz w:val="22"/>
          <w:szCs w:val="22"/>
          <w:highlight w:val="none"/>
        </w:rPr>
        <w:t>无论何处述及的通讯联络应为“书写的”或“书面的”，这指的是任何手写，打字或印刷的通讯联络，包括合同中所商定的电子传送系统。</w:t>
      </w:r>
    </w:p>
    <w:p w14:paraId="401A52F0">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18.3</w:t>
      </w:r>
      <w:r>
        <w:rPr>
          <w:rFonts w:hint="eastAsia" w:ascii="宋体" w:hAnsi="宋体" w:eastAsia="宋体" w:cs="宋体"/>
          <w:color w:val="auto"/>
          <w:sz w:val="22"/>
          <w:szCs w:val="22"/>
          <w:highlight w:val="none"/>
        </w:rPr>
        <w:t>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发给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的以及由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发给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的全部文件，应由人工送达并取得书面的收据证明，或由一种商定的电子传送系统发送。此类通讯联络的接收地址如下：</w:t>
      </w:r>
    </w:p>
    <w:p w14:paraId="6619720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p>
    <w:p w14:paraId="3A363941">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199BA11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地址：</w:t>
      </w:r>
    </w:p>
    <w:p w14:paraId="28CB536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         电话：          传真：         电子信箱：</w:t>
      </w:r>
    </w:p>
    <w:p w14:paraId="5FD4F937">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p>
    <w:p w14:paraId="5E038F47">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（联合体牵头方）：</w:t>
      </w:r>
    </w:p>
    <w:p w14:paraId="7B88B041">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地址：</w:t>
      </w:r>
    </w:p>
    <w:p w14:paraId="594C3BF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         电话：          传真：         电子信箱：</w:t>
      </w:r>
    </w:p>
    <w:p w14:paraId="2EE7E63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p>
    <w:p w14:paraId="38D18C31">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（联合体成员）：</w:t>
      </w:r>
    </w:p>
    <w:p w14:paraId="66E8E43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地址：</w:t>
      </w:r>
    </w:p>
    <w:p w14:paraId="7715FC9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         电话：          传真：         电子信箱：</w:t>
      </w:r>
    </w:p>
    <w:p w14:paraId="1E02005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lang w:eastAsia="zh-CN"/>
        </w:rPr>
      </w:pPr>
    </w:p>
    <w:p w14:paraId="575EA74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w:t>
      </w:r>
    </w:p>
    <w:p w14:paraId="7D39C0B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地址：</w:t>
      </w:r>
    </w:p>
    <w:p w14:paraId="519E17A6">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         电话：          传真：         电子信箱：</w:t>
      </w:r>
    </w:p>
    <w:p w14:paraId="65C67926">
      <w:pPr>
        <w:pStyle w:val="38"/>
        <w:keepNext w:val="0"/>
        <w:keepLines w:val="0"/>
        <w:pageBreakBefore w:val="0"/>
        <w:widowControl w:val="0"/>
        <w:kinsoku/>
        <w:wordWrap/>
        <w:overflowPunct/>
        <w:topLinePunct w:val="0"/>
        <w:bidi w:val="0"/>
        <w:spacing w:line="400" w:lineRule="exact"/>
        <w:ind w:firstLine="426"/>
        <w:textAlignment w:val="auto"/>
        <w:rPr>
          <w:rFonts w:hint="eastAsia" w:ascii="宋体" w:hAnsi="宋体" w:eastAsia="宋体" w:cs="宋体"/>
          <w:color w:val="auto"/>
          <w:sz w:val="22"/>
          <w:szCs w:val="20"/>
          <w:highlight w:val="none"/>
          <w:lang w:val="en-US" w:eastAsia="zh-CN"/>
        </w:rPr>
      </w:pPr>
    </w:p>
    <w:p w14:paraId="34226FB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（1）通知在如下情况下被视为已经送达：</w:t>
      </w:r>
    </w:p>
    <w:p w14:paraId="480926CA">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A.如果是采用信函方式，则当信函通过当面交付、快递或邮寄(挂号信，要求收讫回执)交付至上述地址时；</w:t>
      </w:r>
    </w:p>
    <w:p w14:paraId="3AC4767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B.如果采用传真方式，则当收传真方已经实际收到完整并可以识别的传真之时；</w:t>
      </w:r>
    </w:p>
    <w:p w14:paraId="2DD74BF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C.如果采用电子邮件方式，则当对方实际看到电子邮件并进行口头确认收到时。</w:t>
      </w:r>
    </w:p>
    <w:p w14:paraId="634E3C3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2"/>
          <w:szCs w:val="22"/>
          <w:highlight w:val="none"/>
        </w:rPr>
        <w:t>（2）如果</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或</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对上述通讯联络的接收地址作出任何细节改动，应在采用该改动之前以书面形式</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通知对方。</w:t>
      </w:r>
    </w:p>
    <w:p w14:paraId="7C6391A3">
      <w:pPr>
        <w:keepNext w:val="0"/>
        <w:keepLines w:val="0"/>
        <w:pageBreakBefore w:val="0"/>
        <w:kinsoku/>
        <w:wordWrap/>
        <w:overflowPunct/>
        <w:topLinePunct w:val="0"/>
        <w:bidi w:val="0"/>
        <w:spacing w:line="400" w:lineRule="exact"/>
        <w:ind w:firstLine="440" w:firstLineChars="200"/>
        <w:jc w:val="left"/>
        <w:textAlignment w:val="auto"/>
        <w:rPr>
          <w:rFonts w:hint="eastAsia" w:ascii="宋体" w:hAnsi="宋体" w:eastAsia="宋体" w:cs="宋体"/>
          <w:color w:val="auto"/>
          <w:szCs w:val="24"/>
          <w:highlight w:val="none"/>
        </w:rPr>
      </w:pPr>
      <w:r>
        <w:rPr>
          <w:rFonts w:hint="eastAsia" w:ascii="宋体" w:hAnsi="宋体" w:eastAsia="宋体" w:cs="宋体"/>
          <w:color w:val="auto"/>
          <w:sz w:val="22"/>
          <w:szCs w:val="22"/>
          <w:highlight w:val="none"/>
          <w:u w:val="none"/>
        </w:rPr>
        <w:t>注：</w:t>
      </w:r>
      <w:r>
        <w:rPr>
          <w:rFonts w:hint="eastAsia" w:ascii="宋体" w:hAnsi="宋体" w:eastAsia="宋体" w:cs="宋体"/>
          <w:color w:val="auto"/>
          <w:sz w:val="22"/>
          <w:szCs w:val="22"/>
          <w:highlight w:val="none"/>
          <w:u w:val="single"/>
        </w:rPr>
        <w:t>本合同作为示范文本，具体以正式签订合同为准，合同条款的具体内容应严格按照</w:t>
      </w:r>
      <w:r>
        <w:rPr>
          <w:rFonts w:hint="eastAsia" w:ascii="宋体" w:hAnsi="宋体" w:eastAsia="宋体" w:cs="宋体"/>
          <w:color w:val="auto"/>
          <w:sz w:val="22"/>
          <w:szCs w:val="22"/>
          <w:highlight w:val="none"/>
          <w:u w:val="single"/>
          <w:lang w:eastAsia="zh-CN"/>
        </w:rPr>
        <w:t>采购文件</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eastAsia="zh-CN"/>
        </w:rPr>
        <w:t>响应文件</w:t>
      </w:r>
      <w:r>
        <w:rPr>
          <w:rFonts w:hint="eastAsia" w:ascii="宋体" w:hAnsi="宋体" w:eastAsia="宋体" w:cs="宋体"/>
          <w:color w:val="auto"/>
          <w:sz w:val="22"/>
          <w:szCs w:val="22"/>
          <w:highlight w:val="none"/>
          <w:u w:val="single"/>
        </w:rPr>
        <w:t>、采购结果及中标供应商的承诺来拟订。</w:t>
      </w:r>
    </w:p>
    <w:p w14:paraId="5E0BA22A">
      <w:pPr>
        <w:keepNext w:val="0"/>
        <w:keepLines w:val="0"/>
        <w:pageBreakBefore w:val="0"/>
        <w:kinsoku/>
        <w:wordWrap/>
        <w:overflowPunct/>
        <w:topLinePunct w:val="0"/>
        <w:autoSpaceDE w:val="0"/>
        <w:autoSpaceDN w:val="0"/>
        <w:bidi w:val="0"/>
        <w:adjustRightInd w:val="0"/>
        <w:spacing w:line="400" w:lineRule="exact"/>
        <w:jc w:val="center"/>
        <w:textAlignment w:val="auto"/>
        <w:outlineLvl w:val="0"/>
        <w:rPr>
          <w:rFonts w:hint="eastAsia" w:ascii="宋体" w:hAnsi="宋体" w:eastAsia="宋体" w:cs="宋体"/>
          <w:color w:val="auto"/>
          <w:sz w:val="36"/>
          <w:szCs w:val="36"/>
          <w:highlight w:val="none"/>
        </w:rPr>
        <w:sectPr>
          <w:footerReference r:id="rId12" w:type="first"/>
          <w:footerReference r:id="rId11" w:type="default"/>
          <w:pgSz w:w="11906" w:h="16838"/>
          <w:pgMar w:top="1440" w:right="1361" w:bottom="1276" w:left="1361" w:header="851" w:footer="992" w:gutter="0"/>
          <w:pgNumType w:fmt="decimal"/>
          <w:cols w:space="720" w:num="1"/>
          <w:docGrid w:linePitch="312" w:charSpace="0"/>
        </w:sectPr>
      </w:pPr>
      <w:bookmarkStart w:id="253" w:name="_Toc30605"/>
      <w:r>
        <w:rPr>
          <w:rFonts w:hint="eastAsia" w:ascii="宋体" w:hAnsi="宋体" w:eastAsia="宋体" w:cs="宋体"/>
          <w:b/>
          <w:color w:val="auto"/>
          <w:sz w:val="24"/>
          <w:szCs w:val="24"/>
          <w:highlight w:val="none"/>
          <w:lang w:val="zh-CN"/>
        </w:rPr>
        <w:t>（合同签订后采购人或供应商须将合同副本</w:t>
      </w:r>
      <w:bookmarkEnd w:id="253"/>
      <w:bookmarkStart w:id="254" w:name="_Toc12954"/>
      <w:r>
        <w:rPr>
          <w:rFonts w:hint="eastAsia" w:ascii="宋体" w:hAnsi="宋体" w:eastAsia="宋体" w:cs="宋体"/>
          <w:b/>
          <w:color w:val="auto"/>
          <w:sz w:val="24"/>
          <w:szCs w:val="24"/>
          <w:highlight w:val="none"/>
          <w:lang w:val="zh-CN"/>
        </w:rPr>
        <w:t>送达</w:t>
      </w:r>
      <w:r>
        <w:rPr>
          <w:rFonts w:hint="eastAsia" w:ascii="宋体" w:hAnsi="宋体" w:eastAsia="宋体" w:cs="宋体"/>
          <w:b/>
          <w:color w:val="auto"/>
          <w:sz w:val="24"/>
          <w:szCs w:val="24"/>
          <w:highlight w:val="none"/>
          <w:lang w:val="en-US" w:eastAsia="zh-CN"/>
        </w:rPr>
        <w:t>招标代理机构</w:t>
      </w:r>
      <w:r>
        <w:rPr>
          <w:rFonts w:hint="eastAsia" w:ascii="宋体" w:hAnsi="宋体" w:eastAsia="宋体" w:cs="宋体"/>
          <w:b/>
          <w:color w:val="auto"/>
          <w:sz w:val="24"/>
          <w:szCs w:val="24"/>
          <w:highlight w:val="none"/>
          <w:lang w:val="zh-CN"/>
        </w:rPr>
        <w:t>处备案）</w:t>
      </w:r>
      <w:bookmarkEnd w:id="254"/>
    </w:p>
    <w:p w14:paraId="53800B17">
      <w:pPr>
        <w:pStyle w:val="6"/>
        <w:tabs>
          <w:tab w:val="left" w:pos="1069"/>
          <w:tab w:val="left" w:pos="2352"/>
        </w:tabs>
        <w:jc w:val="center"/>
        <w:rPr>
          <w:rFonts w:hint="eastAsia" w:ascii="宋体" w:hAnsi="宋体" w:cs="宋体"/>
          <w:b/>
          <w:bCs/>
          <w:color w:val="auto"/>
          <w:sz w:val="32"/>
          <w:szCs w:val="32"/>
          <w:highlight w:val="none"/>
        </w:rPr>
      </w:pPr>
    </w:p>
    <w:p w14:paraId="4B8F3507">
      <w:pPr>
        <w:pStyle w:val="6"/>
        <w:tabs>
          <w:tab w:val="left" w:pos="1069"/>
          <w:tab w:val="left" w:pos="2352"/>
        </w:tabs>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第六部分、附件-投标（响应）文件格式</w:t>
      </w:r>
      <w:bookmarkEnd w:id="91"/>
    </w:p>
    <w:p w14:paraId="54B0C97C">
      <w:pPr>
        <w:tabs>
          <w:tab w:val="left" w:pos="1069"/>
          <w:tab w:val="left" w:pos="2352"/>
        </w:tabs>
        <w:snapToGrid w:val="0"/>
        <w:spacing w:line="440" w:lineRule="exact"/>
        <w:rPr>
          <w:rFonts w:ascii="宋体" w:hAnsi="宋体" w:cs="宋体"/>
          <w:b/>
          <w:bCs/>
          <w:color w:val="auto"/>
          <w:sz w:val="32"/>
          <w:szCs w:val="32"/>
          <w:highlight w:val="none"/>
        </w:rPr>
      </w:pPr>
      <w:r>
        <w:rPr>
          <w:rFonts w:hint="eastAsia" w:ascii="宋体" w:hAnsi="宋体" w:cs="宋体"/>
          <w:b/>
          <w:bCs/>
          <w:color w:val="auto"/>
          <w:sz w:val="22"/>
          <w:highlight w:val="none"/>
          <w:lang w:val="zh-CN"/>
        </w:rPr>
        <w:t>一、</w:t>
      </w:r>
      <w:r>
        <w:rPr>
          <w:rFonts w:hint="eastAsia" w:ascii="宋体" w:hAnsi="宋体" w:cs="宋体"/>
          <w:b/>
          <w:bCs/>
          <w:color w:val="auto"/>
          <w:sz w:val="22"/>
          <w:highlight w:val="none"/>
        </w:rPr>
        <w:t>报价</w:t>
      </w:r>
      <w:r>
        <w:rPr>
          <w:rFonts w:hint="eastAsia" w:ascii="宋体" w:hAnsi="宋体" w:cs="宋体"/>
          <w:b/>
          <w:bCs/>
          <w:color w:val="auto"/>
          <w:sz w:val="22"/>
          <w:highlight w:val="none"/>
          <w:lang w:val="zh-CN"/>
        </w:rPr>
        <w:t>部分投标文件格式</w:t>
      </w:r>
    </w:p>
    <w:p w14:paraId="2162C704">
      <w:pPr>
        <w:pStyle w:val="9"/>
        <w:tabs>
          <w:tab w:val="left" w:pos="1069"/>
          <w:tab w:val="left" w:pos="2352"/>
        </w:tabs>
        <w:rPr>
          <w:rFonts w:ascii="宋体" w:hAnsi="宋体" w:cs="宋体"/>
          <w:color w:val="auto"/>
          <w:sz w:val="22"/>
          <w:szCs w:val="22"/>
          <w:highlight w:val="none"/>
        </w:rPr>
      </w:pPr>
      <w:r>
        <w:rPr>
          <w:rFonts w:hint="eastAsia" w:ascii="宋体" w:hAnsi="宋体" w:cs="宋体"/>
          <w:b/>
          <w:bCs/>
          <w:color w:val="auto"/>
          <w:sz w:val="22"/>
          <w:highlight w:val="none"/>
        </w:rPr>
        <w:t>报价</w:t>
      </w:r>
      <w:r>
        <w:rPr>
          <w:rFonts w:hint="eastAsia" w:ascii="宋体" w:hAnsi="宋体" w:cs="宋体"/>
          <w:b/>
          <w:bCs/>
          <w:color w:val="auto"/>
          <w:sz w:val="22"/>
          <w:highlight w:val="none"/>
          <w:lang w:val="zh-CN"/>
        </w:rPr>
        <w:t>部分投标文件</w:t>
      </w:r>
      <w:r>
        <w:rPr>
          <w:rFonts w:hint="eastAsia" w:ascii="宋体" w:hAnsi="宋体" w:cs="宋体"/>
          <w:color w:val="auto"/>
          <w:sz w:val="22"/>
          <w:szCs w:val="22"/>
          <w:highlight w:val="none"/>
        </w:rPr>
        <w:t>封面参考：</w:t>
      </w:r>
    </w:p>
    <w:p w14:paraId="48B4B4E4">
      <w:pPr>
        <w:tabs>
          <w:tab w:val="left" w:pos="1069"/>
          <w:tab w:val="left" w:pos="2352"/>
        </w:tabs>
        <w:snapToGrid w:val="0"/>
        <w:spacing w:line="440" w:lineRule="exact"/>
        <w:jc w:val="center"/>
        <w:rPr>
          <w:rFonts w:ascii="宋体" w:hAnsi="宋体" w:cs="宋体"/>
          <w:b/>
          <w:color w:val="auto"/>
          <w:sz w:val="32"/>
          <w:szCs w:val="32"/>
          <w:highlight w:val="none"/>
        </w:rPr>
      </w:pPr>
    </w:p>
    <w:p w14:paraId="25BC74B2">
      <w:pPr>
        <w:tabs>
          <w:tab w:val="left" w:pos="1069"/>
          <w:tab w:val="left" w:pos="2352"/>
        </w:tabs>
        <w:spacing w:line="480" w:lineRule="auto"/>
        <w:jc w:val="center"/>
        <w:rPr>
          <w:rFonts w:hint="eastAsia" w:ascii="宋体" w:hAnsi="宋体" w:eastAsia="等线" w:cs="宋体"/>
          <w:b/>
          <w:color w:val="auto"/>
          <w:sz w:val="64"/>
          <w:szCs w:val="64"/>
          <w:highlight w:val="none"/>
          <w:lang w:eastAsia="zh-CN"/>
        </w:rPr>
      </w:pPr>
      <w:r>
        <w:rPr>
          <w:rFonts w:hint="eastAsia" w:ascii="宋体" w:hAnsi="宋体" w:eastAsia="等线" w:cs="宋体"/>
          <w:b/>
          <w:color w:val="auto"/>
          <w:sz w:val="64"/>
          <w:szCs w:val="64"/>
          <w:highlight w:val="none"/>
          <w:lang w:eastAsia="zh-CN"/>
        </w:rPr>
        <w:t>2024年泰顺县彭溪镇峰文村牛塘垵简洋农田宜机化改造项目</w:t>
      </w:r>
    </w:p>
    <w:p w14:paraId="0BA26CB6">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84"/>
          <w:szCs w:val="84"/>
          <w:highlight w:val="none"/>
        </w:rPr>
        <w:t>投 标 文 件</w:t>
      </w:r>
    </w:p>
    <w:p w14:paraId="0949A305">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60"/>
          <w:szCs w:val="60"/>
          <w:highlight w:val="none"/>
        </w:rPr>
        <w:t>（报 价 部 分）</w:t>
      </w:r>
    </w:p>
    <w:p w14:paraId="09DBE477">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0EE5F3D2">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tbl>
      <w:tblPr>
        <w:tblStyle w:val="31"/>
        <w:tblW w:w="0" w:type="auto"/>
        <w:tblInd w:w="844"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7678"/>
      </w:tblGrid>
      <w:tr w14:paraId="2937374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61D5BE2C">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项目编号：</w:t>
            </w:r>
            <w:r>
              <w:rPr>
                <w:rFonts w:hint="eastAsia" w:ascii="宋体" w:hAnsi="宋体" w:cs="宋体"/>
                <w:b/>
                <w:color w:val="auto"/>
                <w:sz w:val="26"/>
                <w:szCs w:val="26"/>
                <w:highlight w:val="none"/>
                <w:lang w:eastAsia="zh-CN"/>
              </w:rPr>
              <w:t>TSCG202501003</w:t>
            </w:r>
          </w:p>
        </w:tc>
      </w:tr>
      <w:tr w14:paraId="71FDA3E4">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5C5F3736">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采购单位：</w:t>
            </w:r>
            <w:r>
              <w:rPr>
                <w:rFonts w:hint="eastAsia" w:ascii="宋体" w:hAnsi="宋体" w:cs="宋体"/>
                <w:b/>
                <w:color w:val="auto"/>
                <w:sz w:val="26"/>
                <w:szCs w:val="26"/>
                <w:highlight w:val="none"/>
                <w:lang w:eastAsia="zh-CN"/>
              </w:rPr>
              <w:t>泰顺县彭溪镇人民政府</w:t>
            </w:r>
          </w:p>
        </w:tc>
      </w:tr>
      <w:tr w14:paraId="1D8C94C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46102203">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供应商名称（盖章）：</w:t>
            </w:r>
          </w:p>
        </w:tc>
      </w:tr>
      <w:tr w14:paraId="1AA52D4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28EDBAB2">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供应商地址：</w:t>
            </w:r>
          </w:p>
        </w:tc>
      </w:tr>
      <w:tr w14:paraId="342A14E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46162CC0">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法定代表人（签字或盖章）或</w:t>
            </w:r>
            <w:r>
              <w:rPr>
                <w:rFonts w:hint="eastAsia" w:ascii="宋体" w:hAnsi="宋体" w:cs="宋体"/>
                <w:b/>
                <w:color w:val="auto"/>
                <w:sz w:val="26"/>
                <w:szCs w:val="26"/>
                <w:highlight w:val="none"/>
                <w:lang w:val="zh-CN"/>
              </w:rPr>
              <w:t>授权代表（签字）：</w:t>
            </w:r>
          </w:p>
        </w:tc>
      </w:tr>
      <w:tr w14:paraId="46BC4AF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7448DCAE">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日期：  年 月 日</w:t>
            </w:r>
          </w:p>
        </w:tc>
      </w:tr>
    </w:tbl>
    <w:p w14:paraId="0673EB96">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6E48A5B8">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7F66303A">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735FDF25">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08C03678">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229255D0">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27850B5F">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1721BED4">
      <w:pPr>
        <w:tabs>
          <w:tab w:val="left" w:pos="1069"/>
          <w:tab w:val="left" w:pos="2352"/>
        </w:tabs>
        <w:autoSpaceDE w:val="0"/>
        <w:autoSpaceDN w:val="0"/>
        <w:adjustRightInd w:val="0"/>
        <w:spacing w:line="360" w:lineRule="exact"/>
        <w:rPr>
          <w:rFonts w:ascii="宋体" w:hAnsi="宋体" w:cs="宋体"/>
          <w:b/>
          <w:bCs/>
          <w:color w:val="auto"/>
          <w:sz w:val="32"/>
          <w:szCs w:val="32"/>
          <w:highlight w:val="none"/>
        </w:rPr>
      </w:pPr>
      <w:r>
        <w:rPr>
          <w:rFonts w:hint="eastAsia" w:ascii="宋体" w:hAnsi="宋体" w:cs="宋体"/>
          <w:b/>
          <w:bCs/>
          <w:color w:val="auto"/>
          <w:sz w:val="32"/>
          <w:szCs w:val="32"/>
          <w:highlight w:val="none"/>
          <w:lang w:val="zh-CN"/>
        </w:rPr>
        <w:t>附件一</w:t>
      </w:r>
    </w:p>
    <w:p w14:paraId="21C4095F">
      <w:pPr>
        <w:tabs>
          <w:tab w:val="left" w:pos="1069"/>
          <w:tab w:val="left" w:pos="2352"/>
        </w:tabs>
        <w:autoSpaceDE w:val="0"/>
        <w:autoSpaceDN w:val="0"/>
        <w:adjustRightInd w:val="0"/>
        <w:spacing w:line="360" w:lineRule="atLeast"/>
        <w:jc w:val="center"/>
        <w:textAlignment w:val="baseline"/>
        <w:rPr>
          <w:rFonts w:ascii="宋体" w:hAnsi="宋体" w:cs="宋体"/>
          <w:b/>
          <w:bCs/>
          <w:color w:val="auto"/>
          <w:sz w:val="32"/>
          <w:szCs w:val="32"/>
          <w:highlight w:val="none"/>
          <w:lang w:val="zh-CN"/>
        </w:rPr>
      </w:pPr>
      <w:r>
        <w:rPr>
          <w:rFonts w:hint="eastAsia" w:ascii="宋体" w:hAnsi="宋体" w:cs="宋体"/>
          <w:b/>
          <w:bCs/>
          <w:color w:val="auto"/>
          <w:sz w:val="32"/>
          <w:szCs w:val="32"/>
          <w:highlight w:val="none"/>
        </w:rPr>
        <w:t>开标（报价）一览表</w:t>
      </w:r>
      <w:r>
        <w:rPr>
          <w:rFonts w:hint="eastAsia" w:ascii="宋体" w:hAnsi="宋体" w:cs="宋体"/>
          <w:color w:val="auto"/>
          <w:sz w:val="22"/>
          <w:highlight w:val="none"/>
        </w:rPr>
        <w:t>（首次报价）</w:t>
      </w:r>
    </w:p>
    <w:p w14:paraId="1AA4E4A8">
      <w:pPr>
        <w:tabs>
          <w:tab w:val="left" w:pos="1069"/>
          <w:tab w:val="left" w:pos="2352"/>
        </w:tabs>
        <w:autoSpaceDE w:val="0"/>
        <w:autoSpaceDN w:val="0"/>
        <w:adjustRightInd w:val="0"/>
        <w:spacing w:line="400" w:lineRule="exact"/>
        <w:rPr>
          <w:rFonts w:hint="eastAsia" w:ascii="宋体" w:hAnsi="宋体" w:eastAsia="宋体" w:cs="宋体"/>
          <w:color w:val="auto"/>
          <w:sz w:val="22"/>
          <w:highlight w:val="none"/>
          <w:u w:val="single"/>
          <w:lang w:eastAsia="zh-CN"/>
        </w:rPr>
      </w:pPr>
      <w:r>
        <w:rPr>
          <w:rFonts w:hint="eastAsia" w:ascii="宋体" w:hAnsi="宋体" w:cs="宋体"/>
          <w:color w:val="auto"/>
          <w:sz w:val="22"/>
          <w:highlight w:val="none"/>
        </w:rPr>
        <w:t>项目名称</w:t>
      </w:r>
      <w:r>
        <w:rPr>
          <w:rFonts w:hint="eastAsia" w:ascii="宋体" w:hAnsi="宋体" w:cs="宋体"/>
          <w:color w:val="auto"/>
          <w:sz w:val="22"/>
          <w:highlight w:val="none"/>
          <w:lang w:val="zh-CN"/>
        </w:rPr>
        <w:t>：</w:t>
      </w:r>
      <w:r>
        <w:rPr>
          <w:rFonts w:hint="eastAsia" w:ascii="宋体" w:hAnsi="宋体" w:cs="宋体"/>
          <w:color w:val="auto"/>
          <w:sz w:val="22"/>
          <w:highlight w:val="none"/>
          <w:u w:val="single"/>
          <w:lang w:eastAsia="zh-CN"/>
        </w:rPr>
        <w:t>2024年泰顺县彭溪镇峰文村牛塘垵简洋农田宜机化改造项目</w:t>
      </w:r>
    </w:p>
    <w:p w14:paraId="31AC472F">
      <w:pPr>
        <w:tabs>
          <w:tab w:val="left" w:pos="1069"/>
          <w:tab w:val="left" w:pos="2352"/>
        </w:tabs>
        <w:autoSpaceDE w:val="0"/>
        <w:autoSpaceDN w:val="0"/>
        <w:adjustRightInd w:val="0"/>
        <w:spacing w:line="400" w:lineRule="exact"/>
        <w:rPr>
          <w:rFonts w:hint="eastAsia" w:ascii="宋体" w:hAnsi="宋体" w:eastAsia="宋体" w:cs="宋体"/>
          <w:color w:val="auto"/>
          <w:sz w:val="22"/>
          <w:highlight w:val="none"/>
          <w:lang w:val="zh-CN" w:eastAsia="zh-CN"/>
        </w:rPr>
      </w:pPr>
      <w:r>
        <w:rPr>
          <w:rFonts w:hint="eastAsia" w:ascii="宋体" w:hAnsi="宋体" w:cs="宋体"/>
          <w:color w:val="auto"/>
          <w:sz w:val="22"/>
          <w:highlight w:val="none"/>
          <w:lang w:val="zh-CN"/>
        </w:rPr>
        <w:t>采购编号：</w:t>
      </w:r>
      <w:r>
        <w:rPr>
          <w:rFonts w:hint="eastAsia" w:ascii="宋体" w:hAnsi="宋体" w:cs="宋体"/>
          <w:color w:val="auto"/>
          <w:sz w:val="22"/>
          <w:highlight w:val="none"/>
          <w:u w:val="single"/>
          <w:lang w:eastAsia="zh-CN"/>
        </w:rPr>
        <w:t>TSCG202501003</w:t>
      </w:r>
    </w:p>
    <w:tbl>
      <w:tblPr>
        <w:tblStyle w:val="31"/>
        <w:tblW w:w="5054" w:type="pct"/>
        <w:tblInd w:w="2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176"/>
        <w:gridCol w:w="1420"/>
        <w:gridCol w:w="3040"/>
        <w:gridCol w:w="1583"/>
        <w:gridCol w:w="1839"/>
      </w:tblGrid>
      <w:tr w14:paraId="3116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346" w:type="pct"/>
            <w:vAlign w:val="center"/>
          </w:tcPr>
          <w:p w14:paraId="14E6F71C">
            <w:pPr>
              <w:keepNext w:val="0"/>
              <w:keepLines w:val="0"/>
              <w:pageBreakBefore w:val="0"/>
              <w:widowControl/>
              <w:kinsoku/>
              <w:wordWrap/>
              <w:overflowPunct/>
              <w:topLinePunct w:val="0"/>
              <w:autoSpaceDE/>
              <w:autoSpaceDN/>
              <w:bidi w:val="0"/>
              <w:adjustRightInd/>
              <w:snapToGrid w:val="0"/>
              <w:spacing w:line="4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序号</w:t>
            </w:r>
          </w:p>
        </w:tc>
        <w:tc>
          <w:tcPr>
            <w:tcW w:w="604" w:type="pct"/>
            <w:tcBorders>
              <w:right w:val="single" w:color="000000" w:sz="4" w:space="0"/>
            </w:tcBorders>
            <w:vAlign w:val="center"/>
          </w:tcPr>
          <w:p w14:paraId="505329AE">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u w:val="none"/>
                <w:lang w:val="en-US" w:eastAsia="zh-CN"/>
              </w:rPr>
            </w:pPr>
            <w:r>
              <w:rPr>
                <w:rFonts w:hint="eastAsia" w:ascii="宋体" w:hAnsi="宋体" w:eastAsia="宋体" w:cs="宋体"/>
                <w:b w:val="0"/>
                <w:bCs/>
                <w:color w:val="auto"/>
                <w:kern w:val="0"/>
                <w:sz w:val="22"/>
                <w:szCs w:val="22"/>
                <w:highlight w:val="none"/>
                <w:u w:val="none"/>
                <w:lang w:val="en-US" w:eastAsia="zh-CN"/>
              </w:rPr>
              <w:t>标项名称</w:t>
            </w:r>
          </w:p>
        </w:tc>
        <w:tc>
          <w:tcPr>
            <w:tcW w:w="729" w:type="pct"/>
            <w:tcBorders>
              <w:left w:val="single" w:color="000000" w:sz="4" w:space="0"/>
            </w:tcBorders>
            <w:vAlign w:val="center"/>
          </w:tcPr>
          <w:p w14:paraId="77DDDE3A">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报价类型</w:t>
            </w:r>
          </w:p>
        </w:tc>
        <w:tc>
          <w:tcPr>
            <w:tcW w:w="1561" w:type="pct"/>
            <w:vAlign w:val="center"/>
          </w:tcPr>
          <w:p w14:paraId="048E06F7">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投标报价</w:t>
            </w:r>
          </w:p>
        </w:tc>
        <w:tc>
          <w:tcPr>
            <w:tcW w:w="813" w:type="pct"/>
            <w:vAlign w:val="center"/>
          </w:tcPr>
          <w:p w14:paraId="0A0C44B6">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项目负责人</w:t>
            </w:r>
          </w:p>
        </w:tc>
        <w:tc>
          <w:tcPr>
            <w:tcW w:w="944" w:type="pct"/>
            <w:vAlign w:val="center"/>
          </w:tcPr>
          <w:p w14:paraId="4B125BBC">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最高限价</w:t>
            </w:r>
          </w:p>
        </w:tc>
      </w:tr>
      <w:tr w14:paraId="5349B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trPr>
        <w:tc>
          <w:tcPr>
            <w:tcW w:w="346" w:type="pct"/>
            <w:vAlign w:val="center"/>
          </w:tcPr>
          <w:p w14:paraId="76408C5A">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1</w:t>
            </w:r>
          </w:p>
        </w:tc>
        <w:tc>
          <w:tcPr>
            <w:tcW w:w="604" w:type="pct"/>
            <w:vMerge w:val="restart"/>
            <w:tcBorders>
              <w:right w:val="single" w:color="000000" w:sz="4" w:space="0"/>
            </w:tcBorders>
            <w:shd w:val="clear" w:color="auto" w:fill="auto"/>
            <w:vAlign w:val="center"/>
          </w:tcPr>
          <w:p w14:paraId="19C0D098">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u w:val="none"/>
                <w:lang w:val="en-US" w:eastAsia="zh-CN" w:bidi="ar-SA"/>
              </w:rPr>
            </w:pPr>
            <w:r>
              <w:rPr>
                <w:rFonts w:hint="eastAsia" w:ascii="宋体" w:hAnsi="宋体" w:cs="宋体"/>
                <w:color w:val="auto"/>
                <w:sz w:val="22"/>
                <w:szCs w:val="22"/>
                <w:highlight w:val="none"/>
                <w:u w:val="none"/>
                <w:lang w:eastAsia="zh-CN"/>
              </w:rPr>
              <w:t>2024年泰顺县彭溪镇峰文村牛塘垵简洋农田宜机化改造项目</w:t>
            </w:r>
          </w:p>
        </w:tc>
        <w:tc>
          <w:tcPr>
            <w:tcW w:w="729" w:type="pct"/>
            <w:tcBorders>
              <w:left w:val="single" w:color="000000" w:sz="4" w:space="0"/>
            </w:tcBorders>
            <w:shd w:val="clear" w:color="auto" w:fill="auto"/>
            <w:vAlign w:val="center"/>
          </w:tcPr>
          <w:p w14:paraId="29024ED8">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运营部分：每亩年收益报价</w:t>
            </w:r>
          </w:p>
        </w:tc>
        <w:tc>
          <w:tcPr>
            <w:tcW w:w="1561" w:type="pct"/>
            <w:shd w:val="clear" w:color="auto" w:fill="auto"/>
            <w:vAlign w:val="center"/>
          </w:tcPr>
          <w:p w14:paraId="727062E5">
            <w:pPr>
              <w:keepNext w:val="0"/>
              <w:keepLines w:val="0"/>
              <w:pageBreakBefore w:val="0"/>
              <w:widowControl/>
              <w:kinsoku/>
              <w:wordWrap/>
              <w:overflowPunct/>
              <w:topLinePunct w:val="0"/>
              <w:autoSpaceDE/>
              <w:autoSpaceDN/>
              <w:bidi w:val="0"/>
              <w:adjustRightInd/>
              <w:snapToGrid w:val="0"/>
              <w:spacing w:line="4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大写：</w:t>
            </w:r>
            <w:r>
              <w:rPr>
                <w:rFonts w:hint="eastAsia" w:ascii="宋体" w:hAnsi="宋体" w:eastAsia="宋体" w:cs="宋体"/>
                <w:b w:val="0"/>
                <w:bCs/>
                <w:color w:val="auto"/>
                <w:kern w:val="0"/>
                <w:sz w:val="22"/>
                <w:szCs w:val="22"/>
                <w:highlight w:val="none"/>
                <w:u w:val="single"/>
                <w:lang w:val="en-US" w:eastAsia="zh-CN"/>
              </w:rPr>
              <w:t xml:space="preserve">              </w:t>
            </w:r>
            <w:r>
              <w:rPr>
                <w:rFonts w:hint="eastAsia" w:ascii="宋体" w:hAnsi="宋体" w:eastAsia="宋体" w:cs="宋体"/>
                <w:b w:val="0"/>
                <w:bCs/>
                <w:color w:val="auto"/>
                <w:kern w:val="0"/>
                <w:sz w:val="22"/>
                <w:szCs w:val="22"/>
                <w:highlight w:val="none"/>
                <w:lang w:val="en-US" w:eastAsia="zh-CN"/>
              </w:rPr>
              <w:t xml:space="preserve">                  </w:t>
            </w:r>
          </w:p>
          <w:p w14:paraId="18B85FAC">
            <w:pPr>
              <w:keepNext w:val="0"/>
              <w:keepLines w:val="0"/>
              <w:pageBreakBefore w:val="0"/>
              <w:widowControl/>
              <w:kinsoku/>
              <w:wordWrap/>
              <w:overflowPunct/>
              <w:topLinePunct w:val="0"/>
              <w:autoSpaceDE/>
              <w:autoSpaceDN/>
              <w:bidi w:val="0"/>
              <w:adjustRightInd/>
              <w:snapToGrid w:val="0"/>
              <w:spacing w:line="400" w:lineRule="exact"/>
              <w:ind w:firstLine="446" w:firstLineChars="200"/>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小写：</w:t>
            </w:r>
            <w:r>
              <w:rPr>
                <w:rFonts w:hint="eastAsia" w:ascii="宋体" w:hAnsi="宋体" w:eastAsia="宋体" w:cs="宋体"/>
                <w:b w:val="0"/>
                <w:bCs/>
                <w:color w:val="auto"/>
                <w:kern w:val="0"/>
                <w:sz w:val="22"/>
                <w:szCs w:val="22"/>
                <w:highlight w:val="none"/>
                <w:u w:val="single"/>
                <w:lang w:val="en-US" w:eastAsia="zh-CN"/>
              </w:rPr>
              <w:t xml:space="preserve">              </w:t>
            </w:r>
            <w:r>
              <w:rPr>
                <w:rFonts w:hint="eastAsia" w:ascii="宋体" w:hAnsi="宋体" w:eastAsia="宋体" w:cs="宋体"/>
                <w:b w:val="0"/>
                <w:bCs/>
                <w:color w:val="auto"/>
                <w:kern w:val="0"/>
                <w:sz w:val="22"/>
                <w:szCs w:val="22"/>
                <w:highlight w:val="none"/>
                <w:lang w:val="en-US" w:eastAsia="zh-CN"/>
              </w:rPr>
              <w:t xml:space="preserve">                 </w:t>
            </w:r>
          </w:p>
        </w:tc>
        <w:tc>
          <w:tcPr>
            <w:tcW w:w="813" w:type="pct"/>
            <w:vAlign w:val="center"/>
          </w:tcPr>
          <w:p w14:paraId="730A46CA">
            <w:pPr>
              <w:keepNext w:val="0"/>
              <w:keepLines w:val="0"/>
              <w:pageBreakBefore w:val="0"/>
              <w:widowControl/>
              <w:kinsoku/>
              <w:wordWrap/>
              <w:overflowPunct/>
              <w:topLinePunct w:val="0"/>
              <w:autoSpaceDE/>
              <w:autoSpaceDN/>
              <w:bidi w:val="0"/>
              <w:adjustRightInd/>
              <w:snapToGrid w:val="0"/>
              <w:spacing w:line="4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944" w:type="pct"/>
            <w:vAlign w:val="center"/>
          </w:tcPr>
          <w:p w14:paraId="5359E7D7">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每亩年租金收益报价（起步价暂定为300元/亩/年）</w:t>
            </w:r>
          </w:p>
        </w:tc>
      </w:tr>
      <w:tr w14:paraId="408FC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4" w:hRule="atLeast"/>
        </w:trPr>
        <w:tc>
          <w:tcPr>
            <w:tcW w:w="346" w:type="pct"/>
            <w:vAlign w:val="center"/>
          </w:tcPr>
          <w:p w14:paraId="70D9CA69">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2</w:t>
            </w:r>
          </w:p>
        </w:tc>
        <w:tc>
          <w:tcPr>
            <w:tcW w:w="604" w:type="pct"/>
            <w:vMerge w:val="continue"/>
            <w:tcBorders>
              <w:right w:val="single" w:color="000000" w:sz="4" w:space="0"/>
            </w:tcBorders>
            <w:shd w:val="clear" w:color="auto" w:fill="auto"/>
            <w:vAlign w:val="center"/>
          </w:tcPr>
          <w:p w14:paraId="2F6D590E">
            <w:pPr>
              <w:keepNext w:val="0"/>
              <w:keepLines w:val="0"/>
              <w:pageBreakBefore w:val="0"/>
              <w:widowControl/>
              <w:kinsoku/>
              <w:wordWrap/>
              <w:overflowPunct/>
              <w:topLinePunct w:val="0"/>
              <w:autoSpaceDE/>
              <w:autoSpaceDN/>
              <w:bidi w:val="0"/>
              <w:adjustRightInd/>
              <w:snapToGrid w:val="0"/>
              <w:spacing w:line="400" w:lineRule="exact"/>
              <w:jc w:val="left"/>
              <w:textAlignment w:val="auto"/>
              <w:rPr>
                <w:rFonts w:hint="eastAsia" w:ascii="宋体" w:hAnsi="宋体" w:eastAsia="宋体" w:cs="宋体"/>
                <w:b w:val="0"/>
                <w:bCs/>
                <w:color w:val="auto"/>
                <w:kern w:val="0"/>
                <w:sz w:val="22"/>
                <w:szCs w:val="22"/>
                <w:highlight w:val="none"/>
                <w:lang w:val="en-US" w:eastAsia="zh-CN" w:bidi="ar-SA"/>
              </w:rPr>
            </w:pPr>
          </w:p>
        </w:tc>
        <w:tc>
          <w:tcPr>
            <w:tcW w:w="729" w:type="pct"/>
            <w:tcBorders>
              <w:left w:val="single" w:color="000000" w:sz="4" w:space="0"/>
            </w:tcBorders>
            <w:shd w:val="clear" w:color="auto" w:fill="auto"/>
            <w:vAlign w:val="center"/>
          </w:tcPr>
          <w:p w14:paraId="4185D998">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cs="宋体"/>
                <w:b w:val="0"/>
                <w:bCs/>
                <w:color w:val="auto"/>
                <w:kern w:val="0"/>
                <w:sz w:val="22"/>
                <w:szCs w:val="22"/>
                <w:highlight w:val="none"/>
                <w:lang w:val="en-US" w:eastAsia="zh-CN"/>
              </w:rPr>
              <w:t>宜机化改造部分</w:t>
            </w:r>
            <w:r>
              <w:rPr>
                <w:rFonts w:hint="eastAsia" w:ascii="宋体" w:hAnsi="宋体" w:eastAsia="宋体" w:cs="宋体"/>
                <w:b w:val="0"/>
                <w:bCs/>
                <w:color w:val="auto"/>
                <w:kern w:val="0"/>
                <w:sz w:val="22"/>
                <w:szCs w:val="22"/>
                <w:highlight w:val="none"/>
                <w:lang w:val="en-US" w:eastAsia="zh-CN"/>
              </w:rPr>
              <w:t>：下浮率</w:t>
            </w:r>
          </w:p>
        </w:tc>
        <w:tc>
          <w:tcPr>
            <w:tcW w:w="1561" w:type="pct"/>
            <w:shd w:val="clear" w:color="auto" w:fill="auto"/>
            <w:vAlign w:val="center"/>
          </w:tcPr>
          <w:p w14:paraId="5F8289FD">
            <w:pPr>
              <w:keepNext w:val="0"/>
              <w:keepLines w:val="0"/>
              <w:pageBreakBefore w:val="0"/>
              <w:widowControl/>
              <w:kinsoku/>
              <w:wordWrap/>
              <w:overflowPunct/>
              <w:topLinePunct w:val="0"/>
              <w:autoSpaceDE/>
              <w:autoSpaceDN/>
              <w:bidi w:val="0"/>
              <w:adjustRightInd/>
              <w:snapToGrid w:val="0"/>
              <w:spacing w:line="4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大写：</w:t>
            </w:r>
            <w:r>
              <w:rPr>
                <w:rFonts w:hint="eastAsia" w:ascii="宋体" w:hAnsi="宋体" w:eastAsia="宋体" w:cs="宋体"/>
                <w:b w:val="0"/>
                <w:bCs/>
                <w:color w:val="auto"/>
                <w:kern w:val="0"/>
                <w:sz w:val="22"/>
                <w:szCs w:val="22"/>
                <w:highlight w:val="none"/>
                <w:u w:val="single"/>
                <w:lang w:val="en-US" w:eastAsia="zh-CN"/>
              </w:rPr>
              <w:t xml:space="preserve">              </w:t>
            </w:r>
            <w:r>
              <w:rPr>
                <w:rFonts w:hint="eastAsia" w:ascii="宋体" w:hAnsi="宋体" w:eastAsia="宋体" w:cs="宋体"/>
                <w:b w:val="0"/>
                <w:bCs/>
                <w:color w:val="auto"/>
                <w:kern w:val="0"/>
                <w:sz w:val="22"/>
                <w:szCs w:val="22"/>
                <w:highlight w:val="none"/>
                <w:lang w:val="en-US" w:eastAsia="zh-CN"/>
              </w:rPr>
              <w:t xml:space="preserve">                   </w:t>
            </w:r>
          </w:p>
          <w:p w14:paraId="035400A4">
            <w:pPr>
              <w:keepNext w:val="0"/>
              <w:keepLines w:val="0"/>
              <w:pageBreakBefore w:val="0"/>
              <w:widowControl/>
              <w:kinsoku/>
              <w:wordWrap/>
              <w:overflowPunct/>
              <w:topLinePunct w:val="0"/>
              <w:autoSpaceDE/>
              <w:autoSpaceDN/>
              <w:bidi w:val="0"/>
              <w:adjustRightInd/>
              <w:snapToGrid w:val="0"/>
              <w:spacing w:line="400" w:lineRule="exact"/>
              <w:ind w:firstLine="446" w:firstLineChars="200"/>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 xml:space="preserve">小写： </w:t>
            </w:r>
            <w:r>
              <w:rPr>
                <w:rFonts w:hint="eastAsia" w:ascii="宋体" w:hAnsi="宋体" w:eastAsia="宋体" w:cs="宋体"/>
                <w:b w:val="0"/>
                <w:bCs/>
                <w:color w:val="auto"/>
                <w:kern w:val="0"/>
                <w:sz w:val="22"/>
                <w:szCs w:val="22"/>
                <w:highlight w:val="none"/>
                <w:u w:val="single"/>
                <w:lang w:val="en-US" w:eastAsia="zh-CN"/>
              </w:rPr>
              <w:t xml:space="preserve">            %  </w:t>
            </w:r>
            <w:r>
              <w:rPr>
                <w:rFonts w:hint="eastAsia" w:ascii="宋体" w:hAnsi="宋体" w:eastAsia="宋体" w:cs="宋体"/>
                <w:b w:val="0"/>
                <w:bCs/>
                <w:color w:val="auto"/>
                <w:kern w:val="0"/>
                <w:sz w:val="22"/>
                <w:szCs w:val="22"/>
                <w:highlight w:val="none"/>
                <w:lang w:val="en-US" w:eastAsia="zh-CN"/>
              </w:rPr>
              <w:t xml:space="preserve">           </w:t>
            </w:r>
          </w:p>
        </w:tc>
        <w:tc>
          <w:tcPr>
            <w:tcW w:w="813" w:type="pct"/>
            <w:vAlign w:val="center"/>
          </w:tcPr>
          <w:p w14:paraId="5091B5ED">
            <w:pPr>
              <w:keepNext w:val="0"/>
              <w:keepLines w:val="0"/>
              <w:pageBreakBefore w:val="0"/>
              <w:widowControl/>
              <w:kinsoku/>
              <w:wordWrap/>
              <w:overflowPunct/>
              <w:topLinePunct w:val="0"/>
              <w:autoSpaceDE/>
              <w:autoSpaceDN/>
              <w:bidi w:val="0"/>
              <w:adjustRightInd/>
              <w:snapToGrid w:val="0"/>
              <w:spacing w:line="4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944" w:type="pct"/>
            <w:vAlign w:val="center"/>
          </w:tcPr>
          <w:p w14:paraId="3EF9BB92">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参照工程量清单报下浮率</w:t>
            </w:r>
          </w:p>
        </w:tc>
      </w:tr>
    </w:tbl>
    <w:p w14:paraId="298C3961">
      <w:pPr>
        <w:pStyle w:val="12"/>
        <w:tabs>
          <w:tab w:val="left" w:pos="1069"/>
          <w:tab w:val="left" w:pos="2352"/>
        </w:tabs>
        <w:spacing w:line="440" w:lineRule="atLeast"/>
        <w:rPr>
          <w:rFonts w:hAnsi="宋体" w:cs="宋体"/>
          <w:color w:val="auto"/>
          <w:sz w:val="22"/>
          <w:highlight w:val="none"/>
        </w:rPr>
      </w:pPr>
    </w:p>
    <w:p w14:paraId="792239FA">
      <w:pPr>
        <w:tabs>
          <w:tab w:val="left" w:pos="1069"/>
          <w:tab w:val="left" w:pos="2352"/>
        </w:tabs>
        <w:autoSpaceDE w:val="0"/>
        <w:autoSpaceDN w:val="0"/>
        <w:spacing w:line="360" w:lineRule="auto"/>
        <w:rPr>
          <w:rFonts w:ascii="宋体" w:hAnsi="宋体" w:cs="宋体"/>
          <w:color w:val="auto"/>
          <w:sz w:val="22"/>
          <w:highlight w:val="none"/>
        </w:rPr>
      </w:pPr>
      <w:r>
        <w:rPr>
          <w:rFonts w:hint="eastAsia" w:ascii="宋体" w:hAnsi="宋体" w:cs="宋体"/>
          <w:color w:val="auto"/>
          <w:sz w:val="22"/>
          <w:highlight w:val="none"/>
        </w:rPr>
        <w:t>1、▲</w:t>
      </w:r>
      <w:r>
        <w:rPr>
          <w:rFonts w:hint="eastAsia" w:ascii="宋体" w:hAnsi="宋体" w:cs="宋体"/>
          <w:b/>
          <w:bCs/>
          <w:color w:val="auto"/>
          <w:sz w:val="22"/>
          <w:highlight w:val="none"/>
          <w:u w:val="single"/>
        </w:rPr>
        <w:t>开标（报价）一览表中投标价为符合竞争性磋商文件要求的投标</w:t>
      </w:r>
      <w:r>
        <w:rPr>
          <w:rFonts w:hint="eastAsia" w:ascii="宋体" w:hAnsi="宋体" w:cs="宋体"/>
          <w:b/>
          <w:bCs/>
          <w:color w:val="auto"/>
          <w:sz w:val="22"/>
          <w:highlight w:val="none"/>
          <w:u w:val="single"/>
          <w:lang w:val="en-US" w:eastAsia="zh-CN"/>
        </w:rPr>
        <w:t>报价</w:t>
      </w:r>
      <w:r>
        <w:rPr>
          <w:rFonts w:hint="eastAsia" w:ascii="宋体" w:hAnsi="宋体" w:cs="宋体"/>
          <w:color w:val="auto"/>
          <w:sz w:val="22"/>
          <w:highlight w:val="none"/>
        </w:rPr>
        <w:t>。</w:t>
      </w:r>
    </w:p>
    <w:p w14:paraId="276C5578">
      <w:pPr>
        <w:tabs>
          <w:tab w:val="left" w:pos="1069"/>
          <w:tab w:val="left" w:pos="2352"/>
        </w:tabs>
        <w:autoSpaceDE w:val="0"/>
        <w:autoSpaceDN w:val="0"/>
        <w:spacing w:line="360" w:lineRule="auto"/>
        <w:rPr>
          <w:rFonts w:ascii="宋体" w:hAnsi="宋体" w:cs="宋体"/>
          <w:b/>
          <w:bCs/>
          <w:color w:val="auto"/>
          <w:sz w:val="22"/>
          <w:highlight w:val="none"/>
        </w:rPr>
      </w:pPr>
      <w:r>
        <w:rPr>
          <w:rFonts w:hint="eastAsia" w:ascii="宋体" w:hAnsi="宋体" w:cs="宋体"/>
          <w:color w:val="auto"/>
          <w:sz w:val="22"/>
          <w:highlight w:val="none"/>
        </w:rPr>
        <w:t>3、▲</w:t>
      </w:r>
      <w:r>
        <w:rPr>
          <w:rFonts w:hint="eastAsia" w:ascii="宋体" w:hAnsi="宋体" w:cs="宋体"/>
          <w:b/>
          <w:bCs/>
          <w:color w:val="auto"/>
          <w:sz w:val="22"/>
          <w:highlight w:val="none"/>
          <w:u w:val="single"/>
        </w:rPr>
        <w:t>不提供此表格的将视为没有实质性响应竞争性磋商文件</w:t>
      </w:r>
      <w:r>
        <w:rPr>
          <w:rFonts w:hint="eastAsia" w:ascii="宋体" w:hAnsi="宋体" w:cs="宋体"/>
          <w:color w:val="auto"/>
          <w:sz w:val="22"/>
          <w:highlight w:val="none"/>
        </w:rPr>
        <w:t>。</w:t>
      </w:r>
    </w:p>
    <w:p w14:paraId="7A730C1A">
      <w:pPr>
        <w:pStyle w:val="12"/>
        <w:tabs>
          <w:tab w:val="left" w:pos="1069"/>
          <w:tab w:val="left" w:pos="2352"/>
        </w:tabs>
        <w:spacing w:line="440" w:lineRule="atLeast"/>
        <w:rPr>
          <w:rFonts w:hAnsi="宋体" w:cs="宋体"/>
          <w:b/>
          <w:bCs/>
          <w:color w:val="auto"/>
          <w:sz w:val="22"/>
          <w:highlight w:val="none"/>
        </w:rPr>
      </w:pPr>
    </w:p>
    <w:p w14:paraId="43DD259C">
      <w:pPr>
        <w:pStyle w:val="12"/>
        <w:tabs>
          <w:tab w:val="left" w:pos="1069"/>
          <w:tab w:val="left" w:pos="2352"/>
        </w:tabs>
        <w:spacing w:line="440" w:lineRule="atLeast"/>
        <w:rPr>
          <w:rFonts w:hAnsi="宋体" w:cs="宋体"/>
          <w:b/>
          <w:bCs/>
          <w:color w:val="auto"/>
          <w:sz w:val="22"/>
          <w:highlight w:val="none"/>
        </w:rPr>
      </w:pPr>
      <w:r>
        <w:rPr>
          <w:rFonts w:hint="eastAsia" w:hAnsi="宋体" w:cs="宋体"/>
          <w:color w:val="auto"/>
          <w:sz w:val="22"/>
          <w:highlight w:val="none"/>
        </w:rPr>
        <w:t>供应商全称：（盖章）</w:t>
      </w:r>
    </w:p>
    <w:p w14:paraId="4C8A038F">
      <w:pPr>
        <w:pStyle w:val="12"/>
        <w:tabs>
          <w:tab w:val="left" w:pos="1069"/>
          <w:tab w:val="left" w:pos="2352"/>
        </w:tabs>
        <w:spacing w:line="440" w:lineRule="atLeast"/>
        <w:rPr>
          <w:rFonts w:hAnsi="宋体" w:cs="宋体"/>
          <w:b/>
          <w:bCs/>
          <w:color w:val="auto"/>
          <w:sz w:val="22"/>
          <w:highlight w:val="none"/>
          <w:lang w:val="zh-CN"/>
        </w:rPr>
      </w:pPr>
      <w:r>
        <w:rPr>
          <w:rFonts w:hint="eastAsia" w:hAnsi="宋体" w:cs="宋体"/>
          <w:color w:val="auto"/>
          <w:sz w:val="22"/>
          <w:highlight w:val="none"/>
        </w:rPr>
        <w:t>法定代表人（签字或盖章）或</w:t>
      </w:r>
      <w:r>
        <w:rPr>
          <w:rFonts w:hint="eastAsia" w:hAnsi="宋体" w:cs="宋体"/>
          <w:color w:val="auto"/>
          <w:sz w:val="22"/>
          <w:highlight w:val="none"/>
          <w:lang w:val="zh-CN"/>
        </w:rPr>
        <w:t>授权代表（签字）：</w:t>
      </w:r>
    </w:p>
    <w:p w14:paraId="0BEDE981">
      <w:pPr>
        <w:pStyle w:val="12"/>
        <w:tabs>
          <w:tab w:val="left" w:pos="1069"/>
          <w:tab w:val="left" w:pos="2352"/>
        </w:tabs>
        <w:spacing w:line="440" w:lineRule="atLeast"/>
        <w:rPr>
          <w:rFonts w:hAnsi="宋体" w:cs="宋体"/>
          <w:b/>
          <w:bCs/>
          <w:color w:val="auto"/>
          <w:sz w:val="22"/>
          <w:highlight w:val="none"/>
        </w:rPr>
      </w:pPr>
      <w:r>
        <w:rPr>
          <w:rFonts w:hint="eastAsia" w:hAnsi="宋体" w:cs="宋体"/>
          <w:color w:val="auto"/>
          <w:sz w:val="22"/>
          <w:highlight w:val="none"/>
        </w:rPr>
        <w:t>日期：</w:t>
      </w:r>
    </w:p>
    <w:p w14:paraId="79CF9967">
      <w:pPr>
        <w:tabs>
          <w:tab w:val="left" w:pos="1069"/>
          <w:tab w:val="left" w:pos="2352"/>
        </w:tabs>
        <w:spacing w:line="360" w:lineRule="exact"/>
        <w:jc w:val="left"/>
        <w:rPr>
          <w:rFonts w:ascii="宋体" w:hAnsi="宋体" w:cs="宋体"/>
          <w:color w:val="auto"/>
          <w:sz w:val="22"/>
          <w:highlight w:val="none"/>
          <w:lang w:val="zh-CN"/>
        </w:rPr>
      </w:pPr>
      <w:bookmarkStart w:id="255" w:name="_Toc31481_WPSOffice_Level2"/>
    </w:p>
    <w:p w14:paraId="2890F53B">
      <w:pPr>
        <w:pStyle w:val="10"/>
        <w:tabs>
          <w:tab w:val="left" w:pos="1069"/>
          <w:tab w:val="left" w:pos="2352"/>
        </w:tabs>
        <w:rPr>
          <w:rFonts w:ascii="宋体" w:hAnsi="宋体" w:cs="宋体"/>
          <w:color w:val="auto"/>
          <w:sz w:val="22"/>
          <w:highlight w:val="none"/>
          <w:lang w:val="zh-CN"/>
        </w:rPr>
      </w:pPr>
    </w:p>
    <w:p w14:paraId="6FF1EC15">
      <w:pPr>
        <w:pStyle w:val="10"/>
        <w:tabs>
          <w:tab w:val="left" w:pos="1069"/>
          <w:tab w:val="left" w:pos="2352"/>
        </w:tabs>
        <w:rPr>
          <w:rFonts w:ascii="宋体" w:hAnsi="宋体" w:cs="宋体"/>
          <w:color w:val="auto"/>
          <w:sz w:val="22"/>
          <w:highlight w:val="none"/>
          <w:lang w:val="zh-CN"/>
        </w:rPr>
      </w:pPr>
    </w:p>
    <w:p w14:paraId="4F0EB214">
      <w:pPr>
        <w:pStyle w:val="10"/>
        <w:tabs>
          <w:tab w:val="left" w:pos="1069"/>
          <w:tab w:val="left" w:pos="2352"/>
        </w:tabs>
        <w:rPr>
          <w:rFonts w:ascii="宋体" w:hAnsi="宋体" w:cs="宋体"/>
          <w:color w:val="auto"/>
          <w:sz w:val="22"/>
          <w:highlight w:val="none"/>
          <w:lang w:val="zh-CN"/>
        </w:rPr>
      </w:pPr>
    </w:p>
    <w:bookmarkEnd w:id="255"/>
    <w:p w14:paraId="38DA48D2">
      <w:pPr>
        <w:pStyle w:val="9"/>
        <w:tabs>
          <w:tab w:val="left" w:pos="1069"/>
          <w:tab w:val="left" w:pos="2352"/>
        </w:tabs>
        <w:rPr>
          <w:rFonts w:ascii="宋体" w:hAnsi="宋体" w:cs="宋体"/>
          <w:b/>
          <w:bCs/>
          <w:color w:val="auto"/>
          <w:sz w:val="32"/>
          <w:szCs w:val="32"/>
          <w:highlight w:val="none"/>
        </w:rPr>
      </w:pPr>
    </w:p>
    <w:p w14:paraId="5534B93C">
      <w:pPr>
        <w:pStyle w:val="9"/>
        <w:tabs>
          <w:tab w:val="left" w:pos="2352"/>
        </w:tabs>
        <w:rPr>
          <w:rFonts w:ascii="宋体"/>
          <w:b/>
          <w:bCs/>
          <w:color w:val="auto"/>
          <w:sz w:val="32"/>
          <w:szCs w:val="32"/>
          <w:highlight w:val="none"/>
        </w:rPr>
      </w:pPr>
    </w:p>
    <w:p w14:paraId="34049891">
      <w:pPr>
        <w:tabs>
          <w:tab w:val="left" w:pos="1069"/>
          <w:tab w:val="left" w:pos="2352"/>
        </w:tabs>
        <w:snapToGrid w:val="0"/>
        <w:spacing w:line="440" w:lineRule="exact"/>
        <w:rPr>
          <w:rFonts w:ascii="宋体" w:hAnsi="宋体" w:cs="宋体"/>
          <w:b/>
          <w:bCs/>
          <w:color w:val="auto"/>
          <w:sz w:val="22"/>
          <w:highlight w:val="none"/>
        </w:rPr>
      </w:pPr>
    </w:p>
    <w:p w14:paraId="1102F185">
      <w:pPr>
        <w:tabs>
          <w:tab w:val="left" w:pos="1069"/>
          <w:tab w:val="left" w:pos="2352"/>
        </w:tabs>
        <w:snapToGrid w:val="0"/>
        <w:spacing w:line="440" w:lineRule="exact"/>
        <w:rPr>
          <w:rFonts w:ascii="宋体" w:hAnsi="宋体" w:cs="宋体"/>
          <w:b/>
          <w:bCs/>
          <w:color w:val="auto"/>
          <w:sz w:val="22"/>
          <w:highlight w:val="none"/>
        </w:rPr>
      </w:pPr>
    </w:p>
    <w:p w14:paraId="16BDBDDF">
      <w:pPr>
        <w:tabs>
          <w:tab w:val="left" w:pos="1069"/>
          <w:tab w:val="left" w:pos="2352"/>
        </w:tabs>
        <w:snapToGrid w:val="0"/>
        <w:spacing w:line="440" w:lineRule="exact"/>
        <w:rPr>
          <w:rFonts w:ascii="宋体" w:hAnsi="宋体" w:cs="宋体"/>
          <w:b/>
          <w:bCs/>
          <w:color w:val="auto"/>
          <w:sz w:val="32"/>
          <w:szCs w:val="32"/>
          <w:highlight w:val="none"/>
        </w:rPr>
      </w:pPr>
      <w:r>
        <w:rPr>
          <w:rFonts w:hint="eastAsia" w:ascii="宋体" w:hAnsi="宋体" w:cs="宋体"/>
          <w:b/>
          <w:bCs/>
          <w:color w:val="auto"/>
          <w:sz w:val="22"/>
          <w:highlight w:val="none"/>
        </w:rPr>
        <w:t>二</w:t>
      </w:r>
      <w:r>
        <w:rPr>
          <w:rFonts w:hint="eastAsia" w:ascii="宋体" w:hAnsi="宋体" w:cs="宋体"/>
          <w:b/>
          <w:bCs/>
          <w:color w:val="auto"/>
          <w:sz w:val="22"/>
          <w:highlight w:val="none"/>
          <w:lang w:val="zh-CN"/>
        </w:rPr>
        <w:t>、</w:t>
      </w:r>
      <w:r>
        <w:rPr>
          <w:rFonts w:hint="eastAsia" w:ascii="宋体" w:hAnsi="宋体" w:cs="宋体"/>
          <w:b/>
          <w:bCs/>
          <w:color w:val="auto"/>
          <w:sz w:val="22"/>
          <w:highlight w:val="none"/>
        </w:rPr>
        <w:t>资格</w:t>
      </w:r>
      <w:r>
        <w:rPr>
          <w:rFonts w:hint="eastAsia" w:ascii="宋体" w:hAnsi="宋体" w:cs="宋体"/>
          <w:b/>
          <w:bCs/>
          <w:color w:val="auto"/>
          <w:sz w:val="22"/>
          <w:highlight w:val="none"/>
          <w:lang w:val="zh-CN"/>
        </w:rPr>
        <w:t>部分投标文件格式</w:t>
      </w:r>
    </w:p>
    <w:p w14:paraId="5FF42CA5">
      <w:pPr>
        <w:pStyle w:val="9"/>
        <w:tabs>
          <w:tab w:val="left" w:pos="1069"/>
          <w:tab w:val="left" w:pos="2352"/>
        </w:tabs>
        <w:rPr>
          <w:rFonts w:ascii="宋体" w:hAnsi="宋体" w:cs="宋体"/>
          <w:color w:val="auto"/>
          <w:sz w:val="22"/>
          <w:szCs w:val="22"/>
          <w:highlight w:val="none"/>
        </w:rPr>
      </w:pPr>
      <w:r>
        <w:rPr>
          <w:rFonts w:hint="eastAsia" w:ascii="宋体" w:hAnsi="宋体" w:cs="宋体"/>
          <w:b/>
          <w:bCs/>
          <w:color w:val="auto"/>
          <w:sz w:val="22"/>
          <w:highlight w:val="none"/>
        </w:rPr>
        <w:t>资格</w:t>
      </w:r>
      <w:r>
        <w:rPr>
          <w:rFonts w:hint="eastAsia" w:ascii="宋体" w:hAnsi="宋体" w:cs="宋体"/>
          <w:b/>
          <w:bCs/>
          <w:color w:val="auto"/>
          <w:sz w:val="22"/>
          <w:highlight w:val="none"/>
          <w:lang w:val="zh-CN"/>
        </w:rPr>
        <w:t>部分投标文件</w:t>
      </w:r>
      <w:r>
        <w:rPr>
          <w:rFonts w:hint="eastAsia" w:ascii="宋体" w:hAnsi="宋体" w:cs="宋体"/>
          <w:color w:val="auto"/>
          <w:sz w:val="22"/>
          <w:szCs w:val="22"/>
          <w:highlight w:val="none"/>
        </w:rPr>
        <w:t>封面参考：</w:t>
      </w:r>
    </w:p>
    <w:p w14:paraId="01DA98E8">
      <w:pPr>
        <w:tabs>
          <w:tab w:val="left" w:pos="1069"/>
          <w:tab w:val="left" w:pos="2352"/>
        </w:tabs>
        <w:spacing w:line="480" w:lineRule="auto"/>
        <w:jc w:val="center"/>
        <w:rPr>
          <w:rFonts w:ascii="宋体" w:hAnsi="宋体" w:cs="宋体"/>
          <w:b/>
          <w:color w:val="auto"/>
          <w:sz w:val="64"/>
          <w:szCs w:val="64"/>
          <w:highlight w:val="none"/>
        </w:rPr>
      </w:pPr>
    </w:p>
    <w:p w14:paraId="248B9D18">
      <w:pPr>
        <w:tabs>
          <w:tab w:val="left" w:pos="1069"/>
          <w:tab w:val="left" w:pos="2352"/>
        </w:tabs>
        <w:spacing w:line="480" w:lineRule="auto"/>
        <w:jc w:val="center"/>
        <w:rPr>
          <w:rFonts w:hint="eastAsia" w:ascii="宋体" w:hAnsi="宋体" w:eastAsia="等线" w:cs="宋体"/>
          <w:b/>
          <w:color w:val="auto"/>
          <w:sz w:val="64"/>
          <w:szCs w:val="64"/>
          <w:highlight w:val="none"/>
          <w:lang w:eastAsia="zh-CN"/>
        </w:rPr>
      </w:pPr>
      <w:r>
        <w:rPr>
          <w:rFonts w:hint="eastAsia" w:ascii="宋体" w:hAnsi="宋体" w:eastAsia="等线" w:cs="宋体"/>
          <w:b/>
          <w:color w:val="auto"/>
          <w:sz w:val="64"/>
          <w:szCs w:val="64"/>
          <w:highlight w:val="none"/>
          <w:lang w:eastAsia="zh-CN"/>
        </w:rPr>
        <w:t>2024年泰顺县彭溪镇峰文村牛塘垵简洋农田宜机化改造项目</w:t>
      </w:r>
    </w:p>
    <w:p w14:paraId="4A8E5662">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84"/>
          <w:szCs w:val="84"/>
          <w:highlight w:val="none"/>
        </w:rPr>
        <w:t>投 标 文 件</w:t>
      </w:r>
    </w:p>
    <w:p w14:paraId="16ED75A2">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60"/>
          <w:szCs w:val="60"/>
          <w:highlight w:val="none"/>
        </w:rPr>
        <w:t>（资 格 部 分）</w:t>
      </w:r>
    </w:p>
    <w:p w14:paraId="36E79F9D">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025D9A69">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tbl>
      <w:tblPr>
        <w:tblStyle w:val="31"/>
        <w:tblW w:w="0" w:type="auto"/>
        <w:tblInd w:w="844"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7678"/>
      </w:tblGrid>
      <w:tr w14:paraId="059C967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737" w:hRule="atLeast"/>
        </w:trPr>
        <w:tc>
          <w:tcPr>
            <w:tcW w:w="7678" w:type="dxa"/>
          </w:tcPr>
          <w:p w14:paraId="694A14B9">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项目编号：</w:t>
            </w:r>
            <w:r>
              <w:rPr>
                <w:rFonts w:hint="eastAsia" w:ascii="宋体" w:hAnsi="宋体" w:cs="宋体"/>
                <w:b/>
                <w:color w:val="auto"/>
                <w:sz w:val="26"/>
                <w:szCs w:val="26"/>
                <w:highlight w:val="none"/>
                <w:lang w:eastAsia="zh-CN"/>
              </w:rPr>
              <w:t>TSCG202501003</w:t>
            </w:r>
          </w:p>
        </w:tc>
      </w:tr>
      <w:tr w14:paraId="2BA6560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0F3322B7">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采购单位：</w:t>
            </w:r>
            <w:r>
              <w:rPr>
                <w:rFonts w:hint="eastAsia" w:ascii="宋体" w:hAnsi="宋体" w:cs="宋体"/>
                <w:b/>
                <w:color w:val="auto"/>
                <w:sz w:val="26"/>
                <w:szCs w:val="26"/>
                <w:highlight w:val="none"/>
                <w:lang w:eastAsia="zh-CN"/>
              </w:rPr>
              <w:t>泰顺县彭溪镇人民政府</w:t>
            </w:r>
          </w:p>
        </w:tc>
      </w:tr>
      <w:tr w14:paraId="3F34320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67846509">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供应商名称（盖章）：</w:t>
            </w:r>
          </w:p>
        </w:tc>
      </w:tr>
      <w:tr w14:paraId="0512568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38996A17">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供应商地址：</w:t>
            </w:r>
          </w:p>
        </w:tc>
      </w:tr>
      <w:tr w14:paraId="48C6C90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5B52912D">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法定代表人（签字或盖章）或</w:t>
            </w:r>
            <w:r>
              <w:rPr>
                <w:rFonts w:hint="eastAsia" w:ascii="宋体" w:hAnsi="宋体" w:cs="宋体"/>
                <w:b/>
                <w:color w:val="auto"/>
                <w:sz w:val="26"/>
                <w:szCs w:val="26"/>
                <w:highlight w:val="none"/>
                <w:lang w:val="zh-CN"/>
              </w:rPr>
              <w:t>授权代表（签字）：</w:t>
            </w:r>
          </w:p>
        </w:tc>
      </w:tr>
      <w:tr w14:paraId="6C6D0F7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4A3BCDC1">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日期：  年 月 日</w:t>
            </w:r>
          </w:p>
        </w:tc>
      </w:tr>
    </w:tbl>
    <w:p w14:paraId="6DB86D8F">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02360F97">
      <w:pPr>
        <w:tabs>
          <w:tab w:val="left" w:pos="1069"/>
          <w:tab w:val="left" w:pos="2352"/>
        </w:tabs>
        <w:autoSpaceDE w:val="0"/>
        <w:autoSpaceDN w:val="0"/>
        <w:adjustRightInd w:val="0"/>
        <w:spacing w:line="460" w:lineRule="atLeast"/>
        <w:rPr>
          <w:rFonts w:ascii="宋体" w:hAnsi="宋体" w:cs="宋体"/>
          <w:b/>
          <w:bCs/>
          <w:color w:val="auto"/>
          <w:sz w:val="30"/>
          <w:highlight w:val="none"/>
          <w:lang w:val="zh-CN"/>
        </w:rPr>
      </w:pPr>
    </w:p>
    <w:p w14:paraId="5F714786">
      <w:pPr>
        <w:tabs>
          <w:tab w:val="left" w:pos="1069"/>
          <w:tab w:val="left" w:pos="2352"/>
        </w:tabs>
        <w:autoSpaceDE w:val="0"/>
        <w:autoSpaceDN w:val="0"/>
        <w:adjustRightInd w:val="0"/>
        <w:spacing w:line="460" w:lineRule="atLeast"/>
        <w:rPr>
          <w:rFonts w:ascii="宋体" w:hAnsi="宋体" w:cs="宋体"/>
          <w:b/>
          <w:bCs/>
          <w:color w:val="auto"/>
          <w:sz w:val="30"/>
          <w:highlight w:val="none"/>
          <w:lang w:val="zh-CN"/>
        </w:rPr>
      </w:pPr>
    </w:p>
    <w:p w14:paraId="777C2C93">
      <w:pPr>
        <w:tabs>
          <w:tab w:val="left" w:pos="1069"/>
          <w:tab w:val="left" w:pos="2352"/>
        </w:tabs>
        <w:autoSpaceDE w:val="0"/>
        <w:autoSpaceDN w:val="0"/>
        <w:adjustRightInd w:val="0"/>
        <w:spacing w:line="460" w:lineRule="atLeast"/>
        <w:rPr>
          <w:rFonts w:hint="eastAsia" w:ascii="宋体" w:hAnsi="宋体" w:eastAsia="宋体" w:cs="宋体"/>
          <w:b/>
          <w:bCs/>
          <w:color w:val="auto"/>
          <w:sz w:val="30"/>
          <w:highlight w:val="none"/>
          <w:lang w:eastAsia="zh-CN"/>
        </w:rPr>
      </w:pPr>
      <w:r>
        <w:rPr>
          <w:rFonts w:hint="eastAsia" w:ascii="宋体" w:hAnsi="宋体" w:cs="宋体"/>
          <w:b/>
          <w:bCs/>
          <w:color w:val="auto"/>
          <w:sz w:val="30"/>
          <w:highlight w:val="none"/>
          <w:lang w:val="zh-CN"/>
        </w:rPr>
        <w:t>附件</w:t>
      </w:r>
      <w:r>
        <w:rPr>
          <w:rFonts w:hint="eastAsia" w:ascii="宋体" w:hAnsi="宋体" w:cs="宋体"/>
          <w:b/>
          <w:bCs/>
          <w:color w:val="auto"/>
          <w:sz w:val="30"/>
          <w:highlight w:val="none"/>
          <w:lang w:val="en-US" w:eastAsia="zh-CN"/>
        </w:rPr>
        <w:t>二</w:t>
      </w:r>
    </w:p>
    <w:p w14:paraId="34E38966">
      <w:pPr>
        <w:tabs>
          <w:tab w:val="left" w:pos="1069"/>
          <w:tab w:val="left" w:pos="2352"/>
        </w:tabs>
        <w:autoSpaceDE w:val="0"/>
        <w:autoSpaceDN w:val="0"/>
        <w:adjustRightInd w:val="0"/>
        <w:spacing w:line="460" w:lineRule="atLeast"/>
        <w:jc w:val="center"/>
        <w:rPr>
          <w:rFonts w:ascii="宋体" w:hAnsi="宋体" w:cs="宋体"/>
          <w:b/>
          <w:bCs/>
          <w:color w:val="auto"/>
          <w:sz w:val="32"/>
          <w:szCs w:val="24"/>
          <w:highlight w:val="none"/>
        </w:rPr>
      </w:pPr>
      <w:r>
        <w:rPr>
          <w:rFonts w:hint="eastAsia" w:ascii="宋体" w:hAnsi="宋体" w:cs="宋体"/>
          <w:b/>
          <w:bCs/>
          <w:color w:val="auto"/>
          <w:sz w:val="32"/>
          <w:szCs w:val="24"/>
          <w:highlight w:val="none"/>
        </w:rPr>
        <w:t>符合参加政府采购活动应当具备的一般条件的承诺函</w:t>
      </w:r>
    </w:p>
    <w:p w14:paraId="264B1E00">
      <w:pPr>
        <w:snapToGrid w:val="0"/>
        <w:spacing w:line="360" w:lineRule="auto"/>
        <w:rPr>
          <w:rFonts w:ascii="宋体" w:hAnsi="宋体" w:cs="宋体"/>
          <w:color w:val="auto"/>
          <w:sz w:val="22"/>
          <w:highlight w:val="none"/>
          <w:u w:val="single"/>
        </w:rPr>
      </w:pPr>
    </w:p>
    <w:p w14:paraId="1AD23E07">
      <w:pPr>
        <w:keepNext w:val="0"/>
        <w:keepLines w:val="0"/>
        <w:pageBreakBefore w:val="0"/>
        <w:widowControl w:val="0"/>
        <w:kinsoku/>
        <w:wordWrap/>
        <w:overflowPunct/>
        <w:topLinePunct w:val="0"/>
        <w:autoSpaceDE/>
        <w:autoSpaceDN/>
        <w:bidi w:val="0"/>
        <w:adjustRightInd/>
        <w:snapToGrid w:val="0"/>
        <w:spacing w:line="360" w:lineRule="exact"/>
        <w:textAlignment w:val="auto"/>
        <w:rPr>
          <w:rFonts w:ascii="宋体" w:hAnsi="宋体" w:cs="仿宋_GB2312"/>
          <w:b/>
          <w:bCs/>
          <w:color w:val="auto"/>
          <w:sz w:val="22"/>
          <w:szCs w:val="24"/>
          <w:highlight w:val="none"/>
        </w:rPr>
      </w:pPr>
      <w:r>
        <w:rPr>
          <w:rFonts w:hint="eastAsia" w:ascii="宋体" w:hAnsi="宋体" w:cs="宋体"/>
          <w:color w:val="auto"/>
          <w:sz w:val="22"/>
          <w:highlight w:val="none"/>
          <w:u w:val="single"/>
          <w:lang w:eastAsia="zh-CN"/>
        </w:rPr>
        <w:t>泰顺县彭溪镇人民政府</w:t>
      </w:r>
      <w:r>
        <w:rPr>
          <w:rFonts w:hint="eastAsia" w:ascii="宋体" w:hAnsi="宋体" w:cs="宋体"/>
          <w:color w:val="auto"/>
          <w:sz w:val="22"/>
          <w:highlight w:val="none"/>
          <w:u w:val="single"/>
        </w:rPr>
        <w:t>、杭州华旗招标代理有限公司</w:t>
      </w:r>
      <w:r>
        <w:rPr>
          <w:rFonts w:hint="eastAsia" w:ascii="宋体" w:hAnsi="宋体" w:cs="仿宋_GB2312"/>
          <w:b/>
          <w:bCs/>
          <w:color w:val="auto"/>
          <w:sz w:val="22"/>
          <w:szCs w:val="24"/>
          <w:highlight w:val="none"/>
        </w:rPr>
        <w:t>：</w:t>
      </w:r>
    </w:p>
    <w:p w14:paraId="07900286">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s="仿宋_GB2312"/>
          <w:color w:val="auto"/>
          <w:sz w:val="22"/>
          <w:szCs w:val="24"/>
          <w:highlight w:val="none"/>
        </w:rPr>
      </w:pPr>
      <w:r>
        <w:rPr>
          <w:rFonts w:hint="eastAsia" w:ascii="宋体" w:hAnsi="宋体" w:cs="仿宋_GB2312"/>
          <w:color w:val="auto"/>
          <w:sz w:val="22"/>
          <w:szCs w:val="24"/>
          <w:highlight w:val="none"/>
        </w:rPr>
        <w:t>我方参与</w:t>
      </w:r>
      <w:r>
        <w:rPr>
          <w:rFonts w:hint="eastAsia" w:ascii="宋体" w:hAnsi="宋体" w:cs="仿宋_GB2312"/>
          <w:color w:val="auto"/>
          <w:sz w:val="22"/>
          <w:szCs w:val="24"/>
          <w:highlight w:val="none"/>
          <w:u w:val="single"/>
        </w:rPr>
        <w:t xml:space="preserve"> </w:t>
      </w:r>
      <w:r>
        <w:rPr>
          <w:rFonts w:ascii="宋体" w:hAnsi="宋体" w:cs="仿宋_GB2312"/>
          <w:color w:val="auto"/>
          <w:sz w:val="22"/>
          <w:szCs w:val="24"/>
          <w:highlight w:val="none"/>
          <w:u w:val="single"/>
        </w:rPr>
        <w:t xml:space="preserve"> </w:t>
      </w:r>
      <w:r>
        <w:rPr>
          <w:rFonts w:hint="eastAsia" w:ascii="宋体" w:hAnsi="宋体" w:cs="仿宋_GB2312"/>
          <w:b/>
          <w:bCs/>
          <w:color w:val="auto"/>
          <w:sz w:val="22"/>
          <w:szCs w:val="24"/>
          <w:highlight w:val="none"/>
          <w:u w:val="single"/>
          <w:lang w:eastAsia="zh-CN"/>
        </w:rPr>
        <w:t>2024年泰顺县彭溪镇峰文村牛塘垵简洋农田宜机化改造项目</w:t>
      </w:r>
      <w:r>
        <w:rPr>
          <w:rFonts w:hint="eastAsia" w:ascii="宋体" w:hAnsi="宋体" w:cs="仿宋_GB2312"/>
          <w:b/>
          <w:bCs/>
          <w:color w:val="auto"/>
          <w:sz w:val="22"/>
          <w:szCs w:val="24"/>
          <w:highlight w:val="none"/>
          <w:u w:val="single"/>
        </w:rPr>
        <w:t>（项目编号：</w:t>
      </w:r>
      <w:r>
        <w:rPr>
          <w:rFonts w:hint="eastAsia" w:ascii="宋体" w:hAnsi="宋体" w:cs="仿宋_GB2312"/>
          <w:b/>
          <w:bCs/>
          <w:color w:val="auto"/>
          <w:sz w:val="22"/>
          <w:szCs w:val="24"/>
          <w:highlight w:val="none"/>
          <w:u w:val="single"/>
          <w:lang w:eastAsia="zh-CN"/>
        </w:rPr>
        <w:t>TSCG202501003</w:t>
      </w:r>
      <w:r>
        <w:rPr>
          <w:rFonts w:hint="eastAsia" w:ascii="宋体" w:hAnsi="宋体" w:cs="仿宋_GB2312"/>
          <w:b/>
          <w:bCs/>
          <w:color w:val="auto"/>
          <w:sz w:val="22"/>
          <w:szCs w:val="24"/>
          <w:highlight w:val="none"/>
          <w:u w:val="single"/>
        </w:rPr>
        <w:t>）</w:t>
      </w:r>
      <w:r>
        <w:rPr>
          <w:rFonts w:hint="eastAsia" w:ascii="宋体" w:hAnsi="宋体" w:cs="仿宋_GB2312"/>
          <w:color w:val="auto"/>
          <w:sz w:val="22"/>
          <w:szCs w:val="24"/>
          <w:highlight w:val="none"/>
        </w:rPr>
        <w:t>政府采购活动，郑重承诺：</w:t>
      </w:r>
    </w:p>
    <w:p w14:paraId="4D9E2F06">
      <w:pPr>
        <w:keepNext w:val="0"/>
        <w:keepLines w:val="0"/>
        <w:pageBreakBefore w:val="0"/>
        <w:widowControl w:val="0"/>
        <w:kinsoku/>
        <w:wordWrap/>
        <w:overflowPunct/>
        <w:topLinePunct w:val="0"/>
        <w:autoSpaceDE/>
        <w:autoSpaceDN/>
        <w:bidi w:val="0"/>
        <w:adjustRightInd/>
        <w:snapToGrid w:val="0"/>
        <w:spacing w:line="360" w:lineRule="exact"/>
        <w:ind w:firstLine="334" w:firstLineChars="150"/>
        <w:textAlignment w:val="auto"/>
        <w:rPr>
          <w:rFonts w:ascii="宋体" w:hAnsi="宋体" w:cs="仿宋_GB2312"/>
          <w:color w:val="auto"/>
          <w:sz w:val="22"/>
          <w:szCs w:val="24"/>
          <w:highlight w:val="none"/>
        </w:rPr>
      </w:pPr>
      <w:r>
        <w:rPr>
          <w:rFonts w:hint="eastAsia" w:ascii="宋体" w:hAnsi="宋体" w:cs="仿宋_GB2312"/>
          <w:color w:val="auto"/>
          <w:sz w:val="22"/>
          <w:szCs w:val="24"/>
          <w:highlight w:val="none"/>
        </w:rPr>
        <w:t>（一）具备《中华人民共和国政府采购法》第二十二条规定的条件：</w:t>
      </w:r>
    </w:p>
    <w:p w14:paraId="43CBCF76">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s="仿宋_GB2312"/>
          <w:color w:val="auto"/>
          <w:sz w:val="22"/>
          <w:szCs w:val="24"/>
          <w:highlight w:val="none"/>
        </w:rPr>
      </w:pPr>
      <w:r>
        <w:rPr>
          <w:rFonts w:hint="eastAsia" w:ascii="宋体" w:hAnsi="宋体" w:cs="仿宋_GB2312"/>
          <w:color w:val="auto"/>
          <w:sz w:val="22"/>
          <w:szCs w:val="24"/>
          <w:highlight w:val="none"/>
        </w:rPr>
        <w:t>1、</w:t>
      </w:r>
      <w:r>
        <w:rPr>
          <w:rFonts w:ascii="宋体" w:hAnsi="宋体" w:cs="仿宋_GB2312"/>
          <w:color w:val="auto"/>
          <w:sz w:val="22"/>
          <w:szCs w:val="24"/>
          <w:highlight w:val="none"/>
        </w:rPr>
        <w:t>具有独立承担民事责任的能力；</w:t>
      </w:r>
    </w:p>
    <w:p w14:paraId="26D864F1">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2、</w:t>
      </w:r>
      <w:r>
        <w:rPr>
          <w:rFonts w:ascii="宋体" w:hAnsi="宋体"/>
          <w:color w:val="auto"/>
          <w:sz w:val="22"/>
          <w:szCs w:val="24"/>
          <w:highlight w:val="none"/>
        </w:rPr>
        <w:t xml:space="preserve">具有良好的商业信誉和健全的财务会计制度； </w:t>
      </w:r>
    </w:p>
    <w:p w14:paraId="40573AFF">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3、</w:t>
      </w:r>
      <w:r>
        <w:rPr>
          <w:rFonts w:ascii="宋体" w:hAnsi="宋体"/>
          <w:color w:val="auto"/>
          <w:sz w:val="22"/>
          <w:szCs w:val="24"/>
          <w:highlight w:val="none"/>
        </w:rPr>
        <w:t>具有履行合同所必需的设备和专业技术能力；</w:t>
      </w:r>
    </w:p>
    <w:p w14:paraId="64EA316E">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4、</w:t>
      </w:r>
      <w:r>
        <w:rPr>
          <w:rFonts w:ascii="宋体" w:hAnsi="宋体"/>
          <w:color w:val="auto"/>
          <w:sz w:val="22"/>
          <w:szCs w:val="24"/>
          <w:highlight w:val="none"/>
        </w:rPr>
        <w:t>有依法缴纳税收和社会保障资金的良好记录；</w:t>
      </w:r>
    </w:p>
    <w:p w14:paraId="05922EC6">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5、</w:t>
      </w:r>
      <w:r>
        <w:rPr>
          <w:rFonts w:ascii="宋体" w:hAnsi="宋体"/>
          <w:color w:val="auto"/>
          <w:sz w:val="22"/>
          <w:szCs w:val="24"/>
          <w:highlight w:val="none"/>
        </w:rPr>
        <w:t>参加政府采购活动前三年内，在经营活动中没有重大违法记录；</w:t>
      </w:r>
    </w:p>
    <w:p w14:paraId="42383355">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6、</w:t>
      </w:r>
      <w:r>
        <w:rPr>
          <w:rFonts w:ascii="宋体" w:hAnsi="宋体"/>
          <w:color w:val="auto"/>
          <w:sz w:val="22"/>
          <w:szCs w:val="24"/>
          <w:highlight w:val="none"/>
        </w:rPr>
        <w:t>具有法律、行政法规规定的其他条件。</w:t>
      </w:r>
    </w:p>
    <w:p w14:paraId="244992B0">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（二）未被信用中国（</w:t>
      </w:r>
      <w:r>
        <w:rPr>
          <w:rFonts w:ascii="宋体" w:hAnsi="宋体"/>
          <w:color w:val="auto"/>
          <w:sz w:val="22"/>
          <w:szCs w:val="24"/>
          <w:highlight w:val="none"/>
        </w:rPr>
        <w:t>www.creditchina.gov.cn)、中国政府采购网（www.ccgp.gov.cn）列入失信被执行人、重大税收违法案件当事人名单、政府采购严重违法失信行为记录名单</w:t>
      </w:r>
      <w:r>
        <w:rPr>
          <w:rFonts w:hint="eastAsia" w:ascii="宋体" w:hAnsi="宋体" w:cs="宋体"/>
          <w:color w:val="auto"/>
          <w:sz w:val="22"/>
          <w:highlight w:val="none"/>
        </w:rPr>
        <w:t>（没有因违法经营受到刑事处罚，没有被责令停产停业、被吊销许可证或者执照、被处以较大数额罚款等行政处罚，没有因违法经营被禁止参加政府采购活动的期限未满情形）</w:t>
      </w:r>
      <w:r>
        <w:rPr>
          <w:rFonts w:ascii="宋体" w:hAnsi="宋体"/>
          <w:color w:val="auto"/>
          <w:sz w:val="22"/>
          <w:szCs w:val="24"/>
          <w:highlight w:val="none"/>
        </w:rPr>
        <w:t>。</w:t>
      </w:r>
    </w:p>
    <w:p w14:paraId="46FD9C85">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（三）不存在以下情况：</w:t>
      </w:r>
    </w:p>
    <w:p w14:paraId="09E323C2">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1、</w:t>
      </w:r>
      <w:r>
        <w:rPr>
          <w:rFonts w:ascii="宋体" w:hAnsi="宋体"/>
          <w:color w:val="auto"/>
          <w:sz w:val="22"/>
          <w:szCs w:val="24"/>
          <w:highlight w:val="none"/>
        </w:rPr>
        <w:t>单位负责人为同一人或者存在直接控股、管理关系的不同供应商参加同一合同项下的政府采购活动的；</w:t>
      </w:r>
    </w:p>
    <w:p w14:paraId="1C698600">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2、</w:t>
      </w:r>
      <w:r>
        <w:rPr>
          <w:rFonts w:ascii="宋体" w:hAnsi="宋体"/>
          <w:color w:val="auto"/>
          <w:sz w:val="22"/>
          <w:szCs w:val="24"/>
          <w:highlight w:val="none"/>
        </w:rPr>
        <w:t>为采购项目提供整体设计、规范编制或者项目管理、监理、检测等服务后再参加该采购项目的其他采购活动的。</w:t>
      </w:r>
    </w:p>
    <w:p w14:paraId="71495311">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（四）如有虚假，采购人可取消我方任何资格（投标/中标/签订合同），我方对此无任何异议。</w:t>
      </w:r>
    </w:p>
    <w:p w14:paraId="09DB4F4D">
      <w:pPr>
        <w:keepNext w:val="0"/>
        <w:keepLines w:val="0"/>
        <w:pageBreakBefore w:val="0"/>
        <w:widowControl w:val="0"/>
        <w:kinsoku/>
        <w:wordWrap/>
        <w:overflowPunct/>
        <w:topLinePunct w:val="0"/>
        <w:autoSpaceDE/>
        <w:autoSpaceDN/>
        <w:bidi w:val="0"/>
        <w:adjustRightInd/>
        <w:spacing w:line="360" w:lineRule="exact"/>
        <w:ind w:firstLine="4460" w:firstLineChars="2000"/>
        <w:textAlignment w:val="auto"/>
        <w:rPr>
          <w:rFonts w:ascii="宋体" w:hAnsi="宋体"/>
          <w:color w:val="auto"/>
          <w:sz w:val="22"/>
          <w:szCs w:val="24"/>
          <w:highlight w:val="none"/>
        </w:rPr>
      </w:pPr>
    </w:p>
    <w:p w14:paraId="7D000E2D">
      <w:pPr>
        <w:keepNext w:val="0"/>
        <w:keepLines w:val="0"/>
        <w:pageBreakBefore w:val="0"/>
        <w:widowControl w:val="0"/>
        <w:kinsoku/>
        <w:wordWrap/>
        <w:overflowPunct/>
        <w:topLinePunct w:val="0"/>
        <w:autoSpaceDE/>
        <w:autoSpaceDN/>
        <w:bidi w:val="0"/>
        <w:adjustRightInd/>
        <w:spacing w:line="360" w:lineRule="exact"/>
        <w:ind w:firstLine="4906" w:firstLineChars="2200"/>
        <w:textAlignment w:val="auto"/>
        <w:rPr>
          <w:rFonts w:ascii="宋体" w:hAnsi="宋体"/>
          <w:color w:val="auto"/>
          <w:sz w:val="22"/>
          <w:szCs w:val="24"/>
          <w:highlight w:val="none"/>
        </w:rPr>
      </w:pPr>
      <w:r>
        <w:rPr>
          <w:rFonts w:hint="eastAsia" w:ascii="宋体" w:hAnsi="宋体"/>
          <w:color w:val="auto"/>
          <w:sz w:val="22"/>
          <w:szCs w:val="24"/>
          <w:highlight w:val="none"/>
        </w:rPr>
        <w:t>供应商名称</w:t>
      </w:r>
      <w:r>
        <w:rPr>
          <w:rFonts w:hint="eastAsia" w:ascii="宋体" w:hAnsi="宋体" w:cs="宋体"/>
          <w:color w:val="auto"/>
          <w:sz w:val="22"/>
          <w:szCs w:val="24"/>
          <w:highlight w:val="none"/>
        </w:rPr>
        <w:t>（公章）</w:t>
      </w:r>
      <w:r>
        <w:rPr>
          <w:rFonts w:ascii="宋体" w:hAnsi="宋体"/>
          <w:color w:val="auto"/>
          <w:sz w:val="22"/>
          <w:szCs w:val="24"/>
          <w:highlight w:val="none"/>
        </w:rPr>
        <w:t>：</w:t>
      </w:r>
    </w:p>
    <w:p w14:paraId="072F9DC7">
      <w:pPr>
        <w:keepNext w:val="0"/>
        <w:keepLines w:val="0"/>
        <w:pageBreakBefore w:val="0"/>
        <w:widowControl w:val="0"/>
        <w:kinsoku/>
        <w:wordWrap/>
        <w:overflowPunct/>
        <w:topLinePunct w:val="0"/>
        <w:autoSpaceDE/>
        <w:autoSpaceDN/>
        <w:bidi w:val="0"/>
        <w:adjustRightInd/>
        <w:spacing w:line="360" w:lineRule="exact"/>
        <w:jc w:val="center"/>
        <w:textAlignment w:val="auto"/>
        <w:rPr>
          <w:rFonts w:ascii="宋体" w:hAnsi="宋体"/>
          <w:color w:val="auto"/>
          <w:sz w:val="22"/>
          <w:szCs w:val="24"/>
          <w:highlight w:val="none"/>
        </w:rPr>
      </w:pPr>
      <w:r>
        <w:rPr>
          <w:rFonts w:ascii="宋体" w:hAnsi="宋体"/>
          <w:color w:val="auto"/>
          <w:sz w:val="22"/>
          <w:szCs w:val="24"/>
          <w:highlight w:val="none"/>
        </w:rPr>
        <w:t xml:space="preserve">                    </w:t>
      </w:r>
      <w:r>
        <w:rPr>
          <w:rFonts w:hint="eastAsia" w:ascii="宋体" w:hAnsi="宋体"/>
          <w:color w:val="auto"/>
          <w:sz w:val="22"/>
          <w:szCs w:val="24"/>
          <w:highlight w:val="none"/>
        </w:rPr>
        <w:t xml:space="preserve">   日期：  </w:t>
      </w:r>
      <w:r>
        <w:rPr>
          <w:rFonts w:ascii="宋体" w:hAnsi="宋体"/>
          <w:color w:val="auto"/>
          <w:sz w:val="22"/>
          <w:szCs w:val="24"/>
          <w:highlight w:val="none"/>
        </w:rPr>
        <w:t>年</w:t>
      </w:r>
      <w:r>
        <w:rPr>
          <w:rFonts w:hint="eastAsia" w:ascii="宋体" w:hAnsi="宋体"/>
          <w:color w:val="auto"/>
          <w:sz w:val="22"/>
          <w:szCs w:val="24"/>
          <w:highlight w:val="none"/>
        </w:rPr>
        <w:t xml:space="preserve">  月  日</w:t>
      </w:r>
    </w:p>
    <w:p w14:paraId="4CAB98F7">
      <w:pPr>
        <w:keepNext w:val="0"/>
        <w:keepLines w:val="0"/>
        <w:pageBreakBefore w:val="0"/>
        <w:widowControl w:val="0"/>
        <w:kinsoku/>
        <w:wordWrap/>
        <w:overflowPunct/>
        <w:topLinePunct w:val="0"/>
        <w:autoSpaceDE/>
        <w:autoSpaceDN/>
        <w:bidi w:val="0"/>
        <w:adjustRightInd/>
        <w:spacing w:line="360" w:lineRule="exact"/>
        <w:jc w:val="center"/>
        <w:textAlignment w:val="auto"/>
        <w:rPr>
          <w:rFonts w:ascii="宋体" w:hAnsi="宋体"/>
          <w:color w:val="auto"/>
          <w:sz w:val="22"/>
          <w:szCs w:val="24"/>
          <w:highlight w:val="none"/>
        </w:rPr>
      </w:pPr>
    </w:p>
    <w:p w14:paraId="713B8D50">
      <w:pPr>
        <w:keepNext w:val="0"/>
        <w:keepLines w:val="0"/>
        <w:pageBreakBefore w:val="0"/>
        <w:widowControl w:val="0"/>
        <w:kinsoku/>
        <w:wordWrap/>
        <w:overflowPunct/>
        <w:topLinePunct w:val="0"/>
        <w:autoSpaceDE/>
        <w:autoSpaceDN/>
        <w:bidi w:val="0"/>
        <w:adjustRightInd/>
        <w:snapToGrid w:val="0"/>
        <w:spacing w:line="360" w:lineRule="exact"/>
        <w:ind w:right="480" w:firstLine="446" w:firstLineChars="200"/>
        <w:jc w:val="left"/>
        <w:textAlignment w:val="auto"/>
        <w:rPr>
          <w:rFonts w:ascii="宋体" w:hAnsi="宋体" w:cs="宋体"/>
          <w:b/>
          <w:bCs/>
          <w:color w:val="auto"/>
          <w:sz w:val="32"/>
          <w:szCs w:val="32"/>
          <w:highlight w:val="none"/>
        </w:rPr>
      </w:pPr>
      <w:r>
        <w:rPr>
          <w:rFonts w:hint="eastAsia" w:ascii="宋体" w:hAnsi="宋体" w:cs="仿宋_GB2312"/>
          <w:color w:val="auto"/>
          <w:sz w:val="22"/>
          <w:highlight w:val="none"/>
        </w:rPr>
        <w:t>注：根据《</w:t>
      </w:r>
      <w:r>
        <w:rPr>
          <w:rFonts w:ascii="宋体" w:hAnsi="宋体" w:cs="仿宋_GB2312"/>
          <w:color w:val="auto"/>
          <w:sz w:val="22"/>
          <w:highlight w:val="none"/>
        </w:rPr>
        <w:t>关于规范政府采购供应商资格设定及资格审查的通知</w:t>
      </w:r>
      <w:r>
        <w:rPr>
          <w:rFonts w:hint="eastAsia" w:ascii="宋体" w:hAnsi="宋体" w:cs="仿宋_GB2312"/>
          <w:color w:val="auto"/>
          <w:sz w:val="22"/>
          <w:highlight w:val="none"/>
        </w:rPr>
        <w:t>》（</w:t>
      </w:r>
      <w:r>
        <w:rPr>
          <w:rFonts w:ascii="宋体" w:hAnsi="宋体" w:cs="仿宋_GB2312"/>
          <w:color w:val="auto"/>
          <w:sz w:val="22"/>
          <w:highlight w:val="none"/>
        </w:rPr>
        <w:t>浙财采监[2013]24号</w:t>
      </w:r>
      <w:r>
        <w:rPr>
          <w:rFonts w:hint="eastAsia" w:ascii="宋体" w:hAnsi="宋体" w:cs="仿宋_GB2312"/>
          <w:color w:val="auto"/>
          <w:sz w:val="22"/>
          <w:highlight w:val="none"/>
        </w:rPr>
        <w:t>）的相关规定，金融、保险、通讯等特定行业的全国性企业所设立的区域性分支机构，以及个体工商户、个人独资企业、合伙企业，参与政府采购活动，如果已经依法办理了工商、税务和社保登记手续，</w:t>
      </w:r>
      <w:r>
        <w:rPr>
          <w:rFonts w:hint="eastAsia" w:ascii="宋体" w:hAnsi="宋体" w:cs="仿宋_GB2312"/>
          <w:b/>
          <w:color w:val="auto"/>
          <w:sz w:val="22"/>
          <w:highlight w:val="none"/>
          <w:u w:val="single"/>
        </w:rPr>
        <w:t>除提供上述《符合参加政府采购活动应当具备的一般条件的承诺函》外，还需提供下列材料：总公司（总机构）的授权书或提供房产权证或其他有效财产证明材料，证明其具备实际承担责任的能力和法定的缔结合同能力，可以独立参加政府采购活动，由单位负责人签署相关文件材料。</w:t>
      </w:r>
    </w:p>
    <w:p w14:paraId="78C125AF">
      <w:pPr>
        <w:rPr>
          <w:color w:val="auto"/>
          <w:highlight w:val="none"/>
        </w:rPr>
      </w:pPr>
    </w:p>
    <w:p w14:paraId="6DD65CA0">
      <w:pPr>
        <w:rPr>
          <w:color w:val="auto"/>
          <w:highlight w:val="none"/>
        </w:rPr>
      </w:pPr>
    </w:p>
    <w:p w14:paraId="78068A4A">
      <w:pPr>
        <w:rPr>
          <w:color w:val="auto"/>
          <w:highlight w:val="none"/>
        </w:rPr>
      </w:pPr>
    </w:p>
    <w:p w14:paraId="071EDAD4">
      <w:pPr>
        <w:tabs>
          <w:tab w:val="left" w:pos="1069"/>
          <w:tab w:val="left" w:pos="2352"/>
        </w:tabs>
        <w:spacing w:line="360" w:lineRule="exact"/>
        <w:jc w:val="left"/>
        <w:rPr>
          <w:rFonts w:hint="eastAsia" w:ascii="宋体" w:hAnsi="宋体" w:eastAsia="宋体" w:cs="宋体"/>
          <w:b/>
          <w:bCs/>
          <w:color w:val="auto"/>
          <w:sz w:val="30"/>
          <w:highlight w:val="none"/>
          <w:lang w:eastAsia="zh-CN"/>
        </w:rPr>
      </w:pPr>
      <w:r>
        <w:rPr>
          <w:rFonts w:hint="eastAsia" w:ascii="宋体" w:hAnsi="宋体" w:cs="宋体"/>
          <w:b/>
          <w:bCs/>
          <w:color w:val="auto"/>
          <w:sz w:val="30"/>
          <w:highlight w:val="none"/>
        </w:rPr>
        <w:t>附件</w:t>
      </w:r>
      <w:r>
        <w:rPr>
          <w:rFonts w:hint="eastAsia" w:ascii="宋体" w:hAnsi="宋体" w:cs="宋体"/>
          <w:b/>
          <w:bCs/>
          <w:color w:val="auto"/>
          <w:sz w:val="30"/>
          <w:highlight w:val="none"/>
          <w:lang w:val="en-US" w:eastAsia="zh-CN"/>
        </w:rPr>
        <w:t>三</w:t>
      </w:r>
    </w:p>
    <w:p w14:paraId="7A91D2E9">
      <w:pPr>
        <w:tabs>
          <w:tab w:val="left" w:pos="1069"/>
          <w:tab w:val="left" w:pos="1080"/>
          <w:tab w:val="left" w:pos="2352"/>
        </w:tabs>
        <w:autoSpaceDE w:val="0"/>
        <w:autoSpaceDN w:val="0"/>
        <w:adjustRightInd w:val="0"/>
        <w:spacing w:line="360" w:lineRule="exact"/>
        <w:jc w:val="center"/>
        <w:rPr>
          <w:rFonts w:ascii="宋体" w:hAnsi="宋体" w:cs="宋体"/>
          <w:b/>
          <w:bCs/>
          <w:color w:val="auto"/>
          <w:sz w:val="36"/>
          <w:highlight w:val="none"/>
          <w:lang w:val="zh-CN"/>
        </w:rPr>
      </w:pPr>
      <w:bookmarkStart w:id="256" w:name="_Toc32552_WPSOffice_Level3"/>
      <w:r>
        <w:rPr>
          <w:rFonts w:hint="eastAsia" w:ascii="宋体" w:hAnsi="宋体" w:cs="宋体"/>
          <w:b/>
          <w:bCs/>
          <w:color w:val="auto"/>
          <w:sz w:val="32"/>
          <w:highlight w:val="none"/>
          <w:lang w:val="zh-CN"/>
        </w:rPr>
        <w:t>法定代表人授权书</w:t>
      </w:r>
      <w:bookmarkEnd w:id="256"/>
    </w:p>
    <w:p w14:paraId="46237D94">
      <w:pPr>
        <w:tabs>
          <w:tab w:val="left" w:pos="1069"/>
          <w:tab w:val="left" w:pos="2352"/>
        </w:tabs>
        <w:autoSpaceDE w:val="0"/>
        <w:autoSpaceDN w:val="0"/>
        <w:adjustRightInd w:val="0"/>
        <w:spacing w:line="360" w:lineRule="exact"/>
        <w:jc w:val="center"/>
        <w:rPr>
          <w:rFonts w:ascii="宋体" w:hAnsi="宋体" w:cs="宋体"/>
          <w:color w:val="auto"/>
          <w:sz w:val="36"/>
          <w:highlight w:val="none"/>
          <w:lang w:val="zh-CN"/>
        </w:rPr>
      </w:pPr>
    </w:p>
    <w:p w14:paraId="1AE98B6B">
      <w:pPr>
        <w:tabs>
          <w:tab w:val="left" w:pos="1069"/>
          <w:tab w:val="left" w:pos="2352"/>
        </w:tabs>
        <w:spacing w:line="400" w:lineRule="atLeast"/>
        <w:rPr>
          <w:rFonts w:ascii="宋体" w:hAnsi="宋体" w:cs="宋体"/>
          <w:color w:val="auto"/>
          <w:sz w:val="22"/>
          <w:highlight w:val="none"/>
        </w:rPr>
      </w:pPr>
      <w:r>
        <w:rPr>
          <w:rFonts w:hint="eastAsia" w:ascii="宋体" w:hAnsi="宋体" w:cs="宋体"/>
          <w:color w:val="auto"/>
          <w:sz w:val="22"/>
          <w:highlight w:val="none"/>
          <w:u w:val="single"/>
          <w:lang w:eastAsia="zh-CN"/>
        </w:rPr>
        <w:t>泰顺县彭溪镇人民政府</w:t>
      </w:r>
      <w:r>
        <w:rPr>
          <w:rFonts w:hint="eastAsia" w:ascii="宋体" w:hAnsi="宋体" w:cs="宋体"/>
          <w:color w:val="auto"/>
          <w:sz w:val="22"/>
          <w:highlight w:val="none"/>
          <w:lang w:val="zh-CN"/>
        </w:rPr>
        <w:t>：</w:t>
      </w:r>
    </w:p>
    <w:p w14:paraId="759FF5CD">
      <w:pPr>
        <w:tabs>
          <w:tab w:val="left" w:pos="1069"/>
          <w:tab w:val="left" w:pos="2352"/>
          <w:tab w:val="left" w:pos="3850"/>
        </w:tabs>
        <w:snapToGrid w:val="0"/>
        <w:spacing w:line="400" w:lineRule="atLeast"/>
        <w:ind w:firstLine="446" w:firstLineChars="200"/>
        <w:rPr>
          <w:rFonts w:ascii="宋体" w:hAnsi="宋体" w:cs="宋体"/>
          <w:color w:val="auto"/>
          <w:sz w:val="22"/>
          <w:highlight w:val="none"/>
        </w:rPr>
      </w:pPr>
      <w:r>
        <w:rPr>
          <w:rFonts w:hint="eastAsia" w:ascii="宋体" w:hAnsi="宋体" w:cs="宋体"/>
          <w:color w:val="auto"/>
          <w:sz w:val="22"/>
          <w:highlight w:val="none"/>
        </w:rPr>
        <w:t>本授权委托书声明：我</w:t>
      </w:r>
      <w:r>
        <w:rPr>
          <w:rFonts w:hint="eastAsia" w:ascii="宋体" w:hAnsi="宋体" w:cs="宋体"/>
          <w:color w:val="auto"/>
          <w:sz w:val="22"/>
          <w:highlight w:val="none"/>
          <w:u w:val="single"/>
        </w:rPr>
        <w:t>（法定代表人姓名）</w:t>
      </w:r>
      <w:r>
        <w:rPr>
          <w:rFonts w:hint="eastAsia" w:ascii="宋体" w:hAnsi="宋体" w:cs="宋体"/>
          <w:color w:val="auto"/>
          <w:sz w:val="22"/>
          <w:highlight w:val="none"/>
        </w:rPr>
        <w:t>系</w:t>
      </w:r>
      <w:r>
        <w:rPr>
          <w:rFonts w:hint="eastAsia" w:ascii="宋体" w:hAnsi="宋体" w:cs="宋体"/>
          <w:color w:val="auto"/>
          <w:sz w:val="22"/>
          <w:highlight w:val="none"/>
          <w:u w:val="single"/>
        </w:rPr>
        <w:t>（供应商名称）</w:t>
      </w:r>
      <w:r>
        <w:rPr>
          <w:rFonts w:hint="eastAsia" w:ascii="宋体" w:hAnsi="宋体" w:cs="宋体"/>
          <w:color w:val="auto"/>
          <w:sz w:val="22"/>
          <w:highlight w:val="none"/>
        </w:rPr>
        <w:t>的法定代表人，现授权委托</w:t>
      </w:r>
      <w:r>
        <w:rPr>
          <w:rFonts w:hint="eastAsia" w:ascii="宋体" w:hAnsi="宋体" w:cs="宋体"/>
          <w:color w:val="auto"/>
          <w:sz w:val="22"/>
          <w:highlight w:val="none"/>
          <w:u w:val="single"/>
        </w:rPr>
        <w:t>（单位名称）</w:t>
      </w:r>
      <w:r>
        <w:rPr>
          <w:rFonts w:hint="eastAsia" w:ascii="宋体" w:hAnsi="宋体" w:cs="宋体"/>
          <w:color w:val="auto"/>
          <w:sz w:val="22"/>
          <w:highlight w:val="none"/>
        </w:rPr>
        <w:t>的</w:t>
      </w:r>
      <w:r>
        <w:rPr>
          <w:rFonts w:hint="eastAsia" w:ascii="宋体" w:hAnsi="宋体" w:cs="宋体"/>
          <w:color w:val="auto"/>
          <w:sz w:val="22"/>
          <w:highlight w:val="none"/>
          <w:u w:val="single"/>
        </w:rPr>
        <w:t>（授权代表姓名）</w:t>
      </w:r>
      <w:r>
        <w:rPr>
          <w:rFonts w:hint="eastAsia" w:ascii="宋体" w:hAnsi="宋体" w:cs="宋体"/>
          <w:color w:val="auto"/>
          <w:sz w:val="22"/>
          <w:highlight w:val="none"/>
        </w:rPr>
        <w:t>为我公司法定代表人授权代表，参加贵处组织的</w:t>
      </w:r>
      <w:r>
        <w:rPr>
          <w:rFonts w:hint="eastAsia" w:ascii="宋体" w:hAnsi="宋体" w:cs="宋体"/>
          <w:color w:val="auto"/>
          <w:sz w:val="22"/>
          <w:highlight w:val="none"/>
          <w:u w:val="single"/>
          <w:lang w:eastAsia="zh-CN"/>
        </w:rPr>
        <w:t>2024年泰顺县彭溪镇峰文村牛塘垵简洋农田宜机化改造项目</w:t>
      </w:r>
      <w:r>
        <w:rPr>
          <w:rFonts w:hint="eastAsia" w:ascii="宋体" w:hAnsi="宋体" w:cs="宋体"/>
          <w:color w:val="auto"/>
          <w:sz w:val="22"/>
          <w:highlight w:val="none"/>
          <w:lang w:val="zh-CN"/>
        </w:rPr>
        <w:t>（</w:t>
      </w:r>
      <w:r>
        <w:rPr>
          <w:rFonts w:hint="eastAsia" w:ascii="宋体" w:hAnsi="宋体" w:cs="宋体"/>
          <w:color w:val="auto"/>
          <w:sz w:val="22"/>
          <w:highlight w:val="none"/>
        </w:rPr>
        <w:t>采购</w:t>
      </w:r>
      <w:r>
        <w:rPr>
          <w:rFonts w:hint="eastAsia" w:ascii="宋体" w:hAnsi="宋体" w:cs="宋体"/>
          <w:color w:val="auto"/>
          <w:sz w:val="22"/>
          <w:highlight w:val="none"/>
          <w:lang w:val="zh-CN"/>
        </w:rPr>
        <w:t>编号：</w:t>
      </w:r>
      <w:r>
        <w:rPr>
          <w:rFonts w:hint="eastAsia" w:ascii="宋体" w:hAnsi="宋体" w:cs="宋体"/>
          <w:color w:val="auto"/>
          <w:sz w:val="22"/>
          <w:highlight w:val="none"/>
          <w:u w:val="single"/>
          <w:lang w:eastAsia="zh-CN"/>
        </w:rPr>
        <w:t>TSCG202501003</w:t>
      </w:r>
      <w:r>
        <w:rPr>
          <w:rFonts w:hint="eastAsia" w:ascii="宋体" w:hAnsi="宋体" w:cs="宋体"/>
          <w:color w:val="auto"/>
          <w:sz w:val="22"/>
          <w:highlight w:val="none"/>
          <w:u w:val="single"/>
        </w:rPr>
        <w:t>）</w:t>
      </w:r>
      <w:r>
        <w:rPr>
          <w:rFonts w:hint="eastAsia" w:ascii="宋体" w:hAnsi="宋体" w:cs="宋体"/>
          <w:color w:val="auto"/>
          <w:sz w:val="22"/>
          <w:highlight w:val="none"/>
        </w:rPr>
        <w:t>项目投标，全权处理本次招投标活动中的一切事宜，我承认授权代表全权代表我所签署的本项目的投标（响应）文件的内容。</w:t>
      </w:r>
    </w:p>
    <w:p w14:paraId="0BFA44BA">
      <w:pPr>
        <w:tabs>
          <w:tab w:val="left" w:pos="1069"/>
          <w:tab w:val="left" w:pos="2352"/>
        </w:tabs>
        <w:spacing w:line="400" w:lineRule="atLeast"/>
        <w:ind w:firstLine="446" w:firstLineChars="200"/>
        <w:rPr>
          <w:rFonts w:ascii="宋体" w:hAnsi="宋体" w:cs="宋体"/>
          <w:color w:val="auto"/>
          <w:sz w:val="22"/>
          <w:highlight w:val="none"/>
        </w:rPr>
      </w:pPr>
    </w:p>
    <w:p w14:paraId="3A9B8212">
      <w:pPr>
        <w:tabs>
          <w:tab w:val="left" w:pos="1069"/>
          <w:tab w:val="left" w:pos="2352"/>
        </w:tabs>
        <w:spacing w:line="400" w:lineRule="atLeast"/>
        <w:ind w:firstLine="446" w:firstLineChars="200"/>
        <w:rPr>
          <w:rFonts w:ascii="宋体" w:hAnsi="宋体" w:cs="宋体"/>
          <w:color w:val="auto"/>
          <w:sz w:val="22"/>
          <w:highlight w:val="none"/>
        </w:rPr>
      </w:pPr>
      <w:r>
        <w:rPr>
          <w:rFonts w:hint="eastAsia" w:ascii="宋体" w:hAnsi="宋体" w:cs="宋体"/>
          <w:color w:val="auto"/>
          <w:sz w:val="22"/>
          <w:highlight w:val="none"/>
        </w:rPr>
        <w:t>授权代表无转授权，特此授权。</w:t>
      </w:r>
    </w:p>
    <w:p w14:paraId="5C57AD58">
      <w:pPr>
        <w:tabs>
          <w:tab w:val="left" w:pos="1069"/>
          <w:tab w:val="left" w:pos="2352"/>
        </w:tabs>
        <w:spacing w:line="400" w:lineRule="atLeast"/>
        <w:rPr>
          <w:rFonts w:ascii="宋体" w:hAnsi="宋体" w:cs="宋体"/>
          <w:color w:val="auto"/>
          <w:sz w:val="22"/>
          <w:highlight w:val="none"/>
        </w:rPr>
      </w:pPr>
    </w:p>
    <w:p w14:paraId="119E9C66">
      <w:pPr>
        <w:tabs>
          <w:tab w:val="left" w:pos="1069"/>
          <w:tab w:val="left" w:pos="2352"/>
        </w:tabs>
        <w:spacing w:line="400" w:lineRule="atLeast"/>
        <w:ind w:firstLine="2992" w:firstLineChars="1342"/>
        <w:rPr>
          <w:rFonts w:ascii="宋体" w:hAnsi="宋体" w:cs="宋体"/>
          <w:color w:val="auto"/>
          <w:sz w:val="22"/>
          <w:highlight w:val="none"/>
          <w:u w:val="single"/>
        </w:rPr>
      </w:pPr>
      <w:r>
        <w:rPr>
          <w:rFonts w:hint="eastAsia" w:ascii="宋体" w:hAnsi="宋体" w:cs="宋体"/>
          <w:color w:val="auto"/>
          <w:sz w:val="22"/>
          <w:highlight w:val="none"/>
        </w:rPr>
        <w:t>授权代表：</w:t>
      </w:r>
      <w:r>
        <w:rPr>
          <w:rFonts w:hint="eastAsia" w:ascii="宋体" w:hAnsi="宋体" w:cs="宋体"/>
          <w:color w:val="auto"/>
          <w:sz w:val="22"/>
          <w:highlight w:val="none"/>
          <w:u w:val="single"/>
        </w:rPr>
        <w:t>（签字）</w:t>
      </w:r>
      <w:r>
        <w:rPr>
          <w:rFonts w:hint="eastAsia" w:ascii="宋体" w:hAnsi="宋体" w:cs="宋体"/>
          <w:color w:val="auto"/>
          <w:sz w:val="22"/>
          <w:highlight w:val="none"/>
        </w:rPr>
        <w:t>性别：</w:t>
      </w:r>
      <w:r>
        <w:rPr>
          <w:rFonts w:hint="eastAsia" w:ascii="宋体" w:hAnsi="宋体" w:cs="宋体"/>
          <w:color w:val="auto"/>
          <w:sz w:val="22"/>
          <w:highlight w:val="none"/>
          <w:u w:val="single"/>
        </w:rPr>
        <w:t xml:space="preserve">        </w:t>
      </w:r>
      <w:r>
        <w:rPr>
          <w:rFonts w:hint="eastAsia" w:ascii="宋体" w:hAnsi="宋体" w:cs="宋体"/>
          <w:color w:val="auto"/>
          <w:sz w:val="22"/>
          <w:highlight w:val="none"/>
        </w:rPr>
        <w:t>年龄：</w:t>
      </w:r>
      <w:r>
        <w:rPr>
          <w:rFonts w:hint="eastAsia" w:ascii="宋体" w:hAnsi="宋体" w:cs="宋体"/>
          <w:color w:val="auto"/>
          <w:sz w:val="22"/>
          <w:highlight w:val="none"/>
          <w:u w:val="single"/>
        </w:rPr>
        <w:t xml:space="preserve">        </w:t>
      </w:r>
    </w:p>
    <w:p w14:paraId="01CD4246">
      <w:pPr>
        <w:tabs>
          <w:tab w:val="left" w:pos="1069"/>
          <w:tab w:val="left" w:pos="2352"/>
        </w:tabs>
        <w:spacing w:line="400" w:lineRule="atLeast"/>
        <w:ind w:firstLine="2992" w:firstLineChars="1342"/>
        <w:rPr>
          <w:rFonts w:ascii="宋体" w:hAnsi="宋体" w:cs="宋体"/>
          <w:color w:val="auto"/>
          <w:sz w:val="22"/>
          <w:highlight w:val="none"/>
          <w:u w:val="single"/>
        </w:rPr>
      </w:pPr>
    </w:p>
    <w:p w14:paraId="0F025DAA">
      <w:pPr>
        <w:tabs>
          <w:tab w:val="left" w:pos="1069"/>
          <w:tab w:val="left" w:pos="2352"/>
        </w:tabs>
        <w:spacing w:line="400" w:lineRule="atLeast"/>
        <w:ind w:firstLine="2992" w:firstLineChars="1342"/>
        <w:rPr>
          <w:rFonts w:ascii="宋体" w:hAnsi="宋体" w:cs="宋体"/>
          <w:color w:val="auto"/>
          <w:sz w:val="22"/>
          <w:highlight w:val="none"/>
          <w:u w:val="single"/>
        </w:rPr>
      </w:pPr>
      <w:r>
        <w:rPr>
          <w:rFonts w:hint="eastAsia" w:ascii="宋体" w:hAnsi="宋体" w:cs="宋体"/>
          <w:color w:val="auto"/>
          <w:sz w:val="22"/>
          <w:highlight w:val="none"/>
        </w:rPr>
        <w:t>详细通讯地址：</w:t>
      </w:r>
      <w:r>
        <w:rPr>
          <w:rFonts w:hint="eastAsia" w:ascii="宋体" w:hAnsi="宋体" w:cs="宋体"/>
          <w:color w:val="auto"/>
          <w:sz w:val="22"/>
          <w:highlight w:val="none"/>
          <w:u w:val="single"/>
        </w:rPr>
        <w:t xml:space="preserve">        </w:t>
      </w:r>
      <w:r>
        <w:rPr>
          <w:rFonts w:hint="eastAsia" w:ascii="宋体" w:hAnsi="宋体" w:cs="宋体"/>
          <w:color w:val="auto"/>
          <w:sz w:val="22"/>
          <w:highlight w:val="none"/>
        </w:rPr>
        <w:t>邮政编码：</w:t>
      </w:r>
      <w:r>
        <w:rPr>
          <w:rFonts w:hint="eastAsia" w:ascii="宋体" w:hAnsi="宋体" w:cs="宋体"/>
          <w:color w:val="auto"/>
          <w:sz w:val="22"/>
          <w:highlight w:val="none"/>
          <w:u w:val="single"/>
        </w:rPr>
        <w:t xml:space="preserve">        </w:t>
      </w:r>
    </w:p>
    <w:p w14:paraId="7F330385">
      <w:pPr>
        <w:tabs>
          <w:tab w:val="left" w:pos="1069"/>
          <w:tab w:val="left" w:pos="2352"/>
        </w:tabs>
        <w:spacing w:line="400" w:lineRule="atLeast"/>
        <w:ind w:firstLine="2992" w:firstLineChars="1342"/>
        <w:rPr>
          <w:rFonts w:ascii="宋体" w:hAnsi="宋体" w:cs="宋体"/>
          <w:color w:val="auto"/>
          <w:sz w:val="22"/>
          <w:highlight w:val="none"/>
          <w:u w:val="single"/>
        </w:rPr>
      </w:pPr>
    </w:p>
    <w:p w14:paraId="3BECB2D0">
      <w:pPr>
        <w:tabs>
          <w:tab w:val="left" w:pos="1069"/>
          <w:tab w:val="left" w:pos="2352"/>
        </w:tabs>
        <w:spacing w:line="400" w:lineRule="atLeast"/>
        <w:ind w:firstLine="2992" w:firstLineChars="1342"/>
        <w:rPr>
          <w:rFonts w:ascii="宋体" w:hAnsi="宋体" w:cs="宋体"/>
          <w:color w:val="auto"/>
          <w:sz w:val="22"/>
          <w:highlight w:val="none"/>
          <w:u w:val="single"/>
        </w:rPr>
      </w:pPr>
      <w:r>
        <w:rPr>
          <w:rFonts w:hint="eastAsia" w:ascii="宋体" w:hAnsi="宋体" w:cs="宋体"/>
          <w:color w:val="auto"/>
          <w:sz w:val="22"/>
          <w:highlight w:val="none"/>
        </w:rPr>
        <w:t>电话：</w:t>
      </w:r>
      <w:r>
        <w:rPr>
          <w:rFonts w:hint="eastAsia" w:ascii="宋体" w:hAnsi="宋体" w:cs="宋体"/>
          <w:color w:val="auto"/>
          <w:sz w:val="22"/>
          <w:highlight w:val="none"/>
          <w:u w:val="single"/>
        </w:rPr>
        <w:t xml:space="preserve">        </w:t>
      </w:r>
      <w:r>
        <w:rPr>
          <w:rFonts w:hint="eastAsia" w:ascii="宋体" w:hAnsi="宋体" w:cs="宋体"/>
          <w:color w:val="auto"/>
          <w:sz w:val="22"/>
          <w:highlight w:val="none"/>
        </w:rPr>
        <w:t>传真：</w:t>
      </w:r>
      <w:r>
        <w:rPr>
          <w:rFonts w:hint="eastAsia" w:ascii="宋体" w:hAnsi="宋体" w:cs="宋体"/>
          <w:color w:val="auto"/>
          <w:sz w:val="22"/>
          <w:highlight w:val="none"/>
          <w:u w:val="single"/>
        </w:rPr>
        <w:t xml:space="preserve">        </w:t>
      </w:r>
    </w:p>
    <w:p w14:paraId="7094DDE8">
      <w:pPr>
        <w:tabs>
          <w:tab w:val="left" w:pos="1069"/>
          <w:tab w:val="left" w:pos="2352"/>
        </w:tabs>
        <w:spacing w:line="400" w:lineRule="atLeast"/>
        <w:ind w:left="1" w:firstLine="427" w:firstLineChars="192"/>
        <w:rPr>
          <w:rFonts w:ascii="宋体" w:hAnsi="宋体" w:cs="宋体"/>
          <w:color w:val="auto"/>
          <w:sz w:val="22"/>
          <w:highlight w:val="none"/>
        </w:rPr>
      </w:pPr>
    </w:p>
    <w:p w14:paraId="1D7EBBA3">
      <w:pPr>
        <w:tabs>
          <w:tab w:val="left" w:pos="1069"/>
          <w:tab w:val="left" w:pos="2352"/>
        </w:tabs>
        <w:spacing w:line="400" w:lineRule="atLeast"/>
        <w:ind w:left="1" w:firstLine="2985" w:firstLineChars="1339"/>
        <w:rPr>
          <w:rFonts w:ascii="宋体" w:hAnsi="宋体" w:cs="宋体"/>
          <w:color w:val="auto"/>
          <w:sz w:val="22"/>
          <w:highlight w:val="none"/>
        </w:rPr>
      </w:pPr>
      <w:r>
        <w:rPr>
          <w:rFonts w:hint="eastAsia" w:ascii="宋体" w:hAnsi="宋体" w:cs="宋体"/>
          <w:color w:val="auto"/>
          <w:sz w:val="22"/>
          <w:highlight w:val="none"/>
        </w:rPr>
        <w:t>供应商：</w:t>
      </w:r>
      <w:r>
        <w:rPr>
          <w:rFonts w:hint="eastAsia" w:ascii="宋体" w:hAnsi="宋体" w:cs="宋体"/>
          <w:color w:val="auto"/>
          <w:sz w:val="22"/>
          <w:highlight w:val="none"/>
          <w:u w:val="single"/>
        </w:rPr>
        <w:t xml:space="preserve">（盖章）       </w:t>
      </w:r>
    </w:p>
    <w:p w14:paraId="57284CF6">
      <w:pPr>
        <w:tabs>
          <w:tab w:val="left" w:pos="1069"/>
          <w:tab w:val="left" w:pos="2352"/>
        </w:tabs>
        <w:spacing w:line="400" w:lineRule="atLeast"/>
        <w:ind w:left="1" w:firstLine="427" w:firstLineChars="192"/>
        <w:rPr>
          <w:rFonts w:ascii="宋体" w:hAnsi="宋体" w:cs="宋体"/>
          <w:color w:val="auto"/>
          <w:sz w:val="22"/>
          <w:highlight w:val="none"/>
        </w:rPr>
      </w:pPr>
    </w:p>
    <w:p w14:paraId="7605F99E">
      <w:pPr>
        <w:tabs>
          <w:tab w:val="left" w:pos="1069"/>
          <w:tab w:val="left" w:pos="2352"/>
        </w:tabs>
        <w:spacing w:line="400" w:lineRule="atLeast"/>
        <w:ind w:left="2100" w:right="440"/>
        <w:jc w:val="center"/>
        <w:rPr>
          <w:rFonts w:ascii="宋体" w:hAnsi="宋体" w:cs="宋体"/>
          <w:color w:val="auto"/>
          <w:sz w:val="22"/>
          <w:highlight w:val="none"/>
        </w:rPr>
      </w:pPr>
      <w:r>
        <w:rPr>
          <w:rFonts w:hint="eastAsia" w:ascii="宋体" w:hAnsi="宋体" w:cs="宋体"/>
          <w:color w:val="auto"/>
          <w:sz w:val="22"/>
          <w:highlight w:val="none"/>
        </w:rPr>
        <w:t>法定代表人：</w:t>
      </w:r>
      <w:r>
        <w:rPr>
          <w:rFonts w:hint="eastAsia" w:ascii="宋体" w:hAnsi="宋体" w:cs="宋体"/>
          <w:color w:val="auto"/>
          <w:sz w:val="22"/>
          <w:highlight w:val="none"/>
          <w:u w:val="single"/>
        </w:rPr>
        <w:t>（签字或盖章）</w:t>
      </w:r>
    </w:p>
    <w:p w14:paraId="52B084DC">
      <w:pPr>
        <w:tabs>
          <w:tab w:val="left" w:pos="1069"/>
          <w:tab w:val="left" w:pos="2352"/>
        </w:tabs>
        <w:spacing w:line="400" w:lineRule="atLeast"/>
        <w:ind w:left="2699"/>
        <w:rPr>
          <w:rFonts w:ascii="宋体" w:hAnsi="宋体" w:cs="宋体"/>
          <w:color w:val="auto"/>
          <w:sz w:val="22"/>
          <w:highlight w:val="none"/>
        </w:rPr>
      </w:pPr>
    </w:p>
    <w:p w14:paraId="37C566EF">
      <w:pPr>
        <w:tabs>
          <w:tab w:val="left" w:pos="1069"/>
          <w:tab w:val="left" w:pos="2352"/>
        </w:tabs>
        <w:spacing w:line="400" w:lineRule="atLeast"/>
        <w:ind w:right="440" w:firstLine="3345" w:firstLineChars="1500"/>
        <w:jc w:val="center"/>
        <w:rPr>
          <w:rFonts w:ascii="宋体" w:hAnsi="宋体" w:cs="宋体"/>
          <w:color w:val="auto"/>
          <w:sz w:val="22"/>
          <w:highlight w:val="none"/>
        </w:rPr>
      </w:pPr>
      <w:r>
        <w:rPr>
          <w:rFonts w:hint="eastAsia" w:ascii="宋体" w:hAnsi="宋体" w:cs="宋体"/>
          <w:color w:val="auto"/>
          <w:sz w:val="22"/>
          <w:highlight w:val="none"/>
        </w:rPr>
        <w:t>授权委托日期：</w:t>
      </w:r>
      <w:r>
        <w:rPr>
          <w:rFonts w:hint="eastAsia" w:ascii="宋体" w:hAnsi="宋体" w:cs="宋体"/>
          <w:color w:val="auto"/>
          <w:sz w:val="22"/>
          <w:highlight w:val="none"/>
          <w:u w:val="single"/>
        </w:rPr>
        <w:t xml:space="preserve">        年  月  日</w:t>
      </w:r>
    </w:p>
    <w:p w14:paraId="7C6E74BE">
      <w:pPr>
        <w:tabs>
          <w:tab w:val="left" w:pos="1069"/>
          <w:tab w:val="left" w:pos="2352"/>
        </w:tabs>
        <w:spacing w:line="360" w:lineRule="exact"/>
        <w:ind w:left="2699"/>
        <w:rPr>
          <w:rFonts w:ascii="宋体" w:hAnsi="宋体" w:cs="宋体"/>
          <w:color w:val="auto"/>
          <w:sz w:val="22"/>
          <w:highlight w:val="none"/>
        </w:rPr>
      </w:pPr>
    </w:p>
    <w:tbl>
      <w:tblPr>
        <w:tblStyle w:val="3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14:paraId="1C0AA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trPr>
        <w:tc>
          <w:tcPr>
            <w:tcW w:w="9214" w:type="dxa"/>
          </w:tcPr>
          <w:p w14:paraId="22CFA5CA">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p>
          <w:p w14:paraId="11800539">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r>
              <w:rPr>
                <w:rFonts w:hint="eastAsia" w:hAnsi="宋体" w:cs="宋体"/>
                <w:b/>
                <w:bCs/>
                <w:color w:val="auto"/>
                <w:kern w:val="2"/>
                <w:sz w:val="22"/>
                <w:szCs w:val="22"/>
                <w:highlight w:val="none"/>
              </w:rPr>
              <w:t>粘贴法人授权代表身份证复印影印件</w:t>
            </w:r>
          </w:p>
          <w:p w14:paraId="5E49BF0D">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p>
        </w:tc>
      </w:tr>
    </w:tbl>
    <w:p w14:paraId="71EF089E">
      <w:pPr>
        <w:pStyle w:val="12"/>
        <w:tabs>
          <w:tab w:val="left" w:pos="1069"/>
          <w:tab w:val="left" w:pos="2352"/>
        </w:tabs>
        <w:adjustRightInd w:val="0"/>
        <w:snapToGrid w:val="0"/>
        <w:spacing w:line="360" w:lineRule="exact"/>
        <w:jc w:val="center"/>
        <w:rPr>
          <w:rFonts w:hAnsi="宋体" w:cs="宋体"/>
          <w:color w:val="auto"/>
          <w:sz w:val="22"/>
          <w:highlight w:val="none"/>
          <w:lang w:val="zh-CN"/>
        </w:rPr>
      </w:pPr>
    </w:p>
    <w:p w14:paraId="11077A0A">
      <w:pPr>
        <w:pStyle w:val="12"/>
        <w:tabs>
          <w:tab w:val="left" w:pos="1069"/>
          <w:tab w:val="left" w:pos="2352"/>
        </w:tabs>
        <w:adjustRightInd w:val="0"/>
        <w:snapToGrid w:val="0"/>
        <w:spacing w:line="360" w:lineRule="exact"/>
        <w:jc w:val="center"/>
        <w:rPr>
          <w:rFonts w:hAnsi="宋体" w:cs="宋体"/>
          <w:color w:val="auto"/>
          <w:sz w:val="22"/>
          <w:highlight w:val="none"/>
          <w:lang w:val="zh-CN"/>
        </w:rPr>
      </w:pPr>
    </w:p>
    <w:p w14:paraId="2AC06AF5">
      <w:pPr>
        <w:pStyle w:val="12"/>
        <w:tabs>
          <w:tab w:val="left" w:pos="1069"/>
          <w:tab w:val="left" w:pos="2352"/>
        </w:tabs>
        <w:adjustRightInd w:val="0"/>
        <w:snapToGrid w:val="0"/>
        <w:spacing w:line="360" w:lineRule="exact"/>
        <w:jc w:val="center"/>
        <w:rPr>
          <w:rFonts w:hAnsi="宋体" w:cs="宋体"/>
          <w:color w:val="auto"/>
          <w:sz w:val="22"/>
          <w:highlight w:val="none"/>
          <w:lang w:val="zh-CN"/>
        </w:rPr>
      </w:pPr>
    </w:p>
    <w:tbl>
      <w:tblPr>
        <w:tblStyle w:val="3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1109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9356" w:type="dxa"/>
          </w:tcPr>
          <w:p w14:paraId="3866C5E0">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p>
          <w:p w14:paraId="04C60FB4">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r>
              <w:rPr>
                <w:rFonts w:hint="eastAsia" w:hAnsi="宋体" w:cs="宋体"/>
                <w:b/>
                <w:bCs/>
                <w:color w:val="auto"/>
                <w:kern w:val="2"/>
                <w:sz w:val="22"/>
                <w:szCs w:val="22"/>
                <w:highlight w:val="none"/>
              </w:rPr>
              <w:t>粘贴法人身份证复印影印件</w:t>
            </w:r>
          </w:p>
          <w:p w14:paraId="5C76E87C">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p>
        </w:tc>
      </w:tr>
    </w:tbl>
    <w:p w14:paraId="1C6D4E91">
      <w:pPr>
        <w:pStyle w:val="3"/>
        <w:rPr>
          <w:color w:val="auto"/>
          <w:sz w:val="24"/>
          <w:szCs w:val="24"/>
          <w:highlight w:val="none"/>
          <w:u w:val="single"/>
        </w:rPr>
      </w:pPr>
      <w:r>
        <w:rPr>
          <w:rFonts w:hint="eastAsia" w:ascii="宋体" w:hAnsi="宋体" w:cs="宋体"/>
          <w:b/>
          <w:bCs/>
          <w:color w:val="auto"/>
          <w:sz w:val="24"/>
          <w:szCs w:val="24"/>
          <w:highlight w:val="none"/>
          <w:u w:val="single"/>
        </w:rPr>
        <w:t>注：若是法定代表人直接参与投标的，仅需提供法定代表人身份证复印影印件。</w:t>
      </w:r>
    </w:p>
    <w:p w14:paraId="72C87D15">
      <w:pPr>
        <w:tabs>
          <w:tab w:val="left" w:pos="1069"/>
          <w:tab w:val="left" w:pos="2352"/>
        </w:tabs>
        <w:spacing w:line="360" w:lineRule="exact"/>
        <w:jc w:val="left"/>
        <w:rPr>
          <w:rFonts w:ascii="宋体" w:hAnsi="宋体" w:cs="宋体"/>
          <w:b/>
          <w:bCs/>
          <w:color w:val="auto"/>
          <w:sz w:val="30"/>
          <w:highlight w:val="none"/>
        </w:rPr>
      </w:pPr>
    </w:p>
    <w:p w14:paraId="31E33D05">
      <w:pPr>
        <w:tabs>
          <w:tab w:val="left" w:pos="1069"/>
          <w:tab w:val="left" w:pos="2352"/>
        </w:tabs>
        <w:snapToGrid w:val="0"/>
        <w:spacing w:line="440" w:lineRule="exact"/>
        <w:rPr>
          <w:rFonts w:ascii="宋体" w:hAnsi="宋体" w:cs="宋体"/>
          <w:b/>
          <w:bCs/>
          <w:color w:val="auto"/>
          <w:sz w:val="22"/>
          <w:highlight w:val="none"/>
        </w:rPr>
      </w:pPr>
    </w:p>
    <w:p w14:paraId="487ED19B">
      <w:pPr>
        <w:tabs>
          <w:tab w:val="left" w:pos="1069"/>
          <w:tab w:val="left" w:pos="2352"/>
        </w:tabs>
        <w:snapToGrid w:val="0"/>
        <w:spacing w:line="440" w:lineRule="exact"/>
        <w:rPr>
          <w:rFonts w:ascii="宋体" w:hAnsi="宋体" w:cs="宋体"/>
          <w:b/>
          <w:bCs/>
          <w:color w:val="auto"/>
          <w:sz w:val="32"/>
          <w:szCs w:val="32"/>
          <w:highlight w:val="none"/>
        </w:rPr>
      </w:pPr>
      <w:r>
        <w:rPr>
          <w:rFonts w:hint="eastAsia" w:ascii="宋体" w:hAnsi="宋体" w:cs="宋体"/>
          <w:b/>
          <w:bCs/>
          <w:color w:val="auto"/>
          <w:sz w:val="22"/>
          <w:highlight w:val="none"/>
        </w:rPr>
        <w:t>三</w:t>
      </w:r>
      <w:r>
        <w:rPr>
          <w:rFonts w:hint="eastAsia" w:ascii="宋体" w:hAnsi="宋体" w:cs="宋体"/>
          <w:b/>
          <w:bCs/>
          <w:color w:val="auto"/>
          <w:sz w:val="22"/>
          <w:highlight w:val="none"/>
          <w:lang w:val="zh-CN"/>
        </w:rPr>
        <w:t>、</w:t>
      </w:r>
      <w:r>
        <w:rPr>
          <w:rFonts w:hint="eastAsia" w:ascii="宋体" w:hAnsi="宋体" w:cs="宋体"/>
          <w:b/>
          <w:bCs/>
          <w:color w:val="auto"/>
          <w:sz w:val="22"/>
          <w:highlight w:val="none"/>
        </w:rPr>
        <w:t>商务技术</w:t>
      </w:r>
      <w:r>
        <w:rPr>
          <w:rFonts w:hint="eastAsia" w:ascii="宋体" w:hAnsi="宋体" w:cs="宋体"/>
          <w:b/>
          <w:bCs/>
          <w:color w:val="auto"/>
          <w:sz w:val="22"/>
          <w:highlight w:val="none"/>
          <w:lang w:val="zh-CN"/>
        </w:rPr>
        <w:t>部分投标文件格式</w:t>
      </w:r>
    </w:p>
    <w:p w14:paraId="5597073C">
      <w:pPr>
        <w:pStyle w:val="9"/>
        <w:tabs>
          <w:tab w:val="left" w:pos="1069"/>
          <w:tab w:val="left" w:pos="2352"/>
        </w:tabs>
        <w:rPr>
          <w:rFonts w:ascii="宋体" w:hAnsi="宋体" w:cs="宋体"/>
          <w:color w:val="auto"/>
          <w:sz w:val="22"/>
          <w:szCs w:val="22"/>
          <w:highlight w:val="none"/>
        </w:rPr>
      </w:pPr>
      <w:r>
        <w:rPr>
          <w:rFonts w:hint="eastAsia" w:ascii="宋体" w:hAnsi="宋体" w:cs="宋体"/>
          <w:b/>
          <w:bCs/>
          <w:color w:val="auto"/>
          <w:sz w:val="22"/>
          <w:highlight w:val="none"/>
        </w:rPr>
        <w:t>商务技术</w:t>
      </w:r>
      <w:r>
        <w:rPr>
          <w:rFonts w:hint="eastAsia" w:ascii="宋体" w:hAnsi="宋体" w:cs="宋体"/>
          <w:b/>
          <w:bCs/>
          <w:color w:val="auto"/>
          <w:sz w:val="22"/>
          <w:highlight w:val="none"/>
          <w:lang w:val="zh-CN"/>
        </w:rPr>
        <w:t>部分投标文件</w:t>
      </w:r>
      <w:r>
        <w:rPr>
          <w:rFonts w:hint="eastAsia" w:ascii="宋体" w:hAnsi="宋体" w:cs="宋体"/>
          <w:color w:val="auto"/>
          <w:sz w:val="22"/>
          <w:szCs w:val="22"/>
          <w:highlight w:val="none"/>
        </w:rPr>
        <w:t>封面参考：</w:t>
      </w:r>
    </w:p>
    <w:p w14:paraId="43C1DAA0">
      <w:pPr>
        <w:tabs>
          <w:tab w:val="left" w:pos="1069"/>
          <w:tab w:val="left" w:pos="2352"/>
        </w:tabs>
        <w:snapToGrid w:val="0"/>
        <w:spacing w:line="440" w:lineRule="exact"/>
        <w:jc w:val="center"/>
        <w:rPr>
          <w:rFonts w:ascii="宋体" w:hAnsi="宋体" w:cs="宋体"/>
          <w:b/>
          <w:color w:val="auto"/>
          <w:sz w:val="32"/>
          <w:szCs w:val="32"/>
          <w:highlight w:val="none"/>
        </w:rPr>
      </w:pPr>
    </w:p>
    <w:p w14:paraId="7D5CDBE2">
      <w:pPr>
        <w:tabs>
          <w:tab w:val="left" w:pos="1069"/>
          <w:tab w:val="left" w:pos="2352"/>
        </w:tabs>
        <w:spacing w:line="480" w:lineRule="auto"/>
        <w:jc w:val="center"/>
        <w:rPr>
          <w:rFonts w:hint="eastAsia" w:ascii="宋体" w:hAnsi="宋体" w:eastAsia="等线" w:cs="宋体"/>
          <w:b/>
          <w:color w:val="auto"/>
          <w:sz w:val="64"/>
          <w:szCs w:val="64"/>
          <w:highlight w:val="none"/>
          <w:lang w:eastAsia="zh-CN"/>
        </w:rPr>
      </w:pPr>
      <w:r>
        <w:rPr>
          <w:rFonts w:hint="eastAsia" w:ascii="宋体" w:hAnsi="宋体" w:eastAsia="等线" w:cs="宋体"/>
          <w:b/>
          <w:color w:val="auto"/>
          <w:sz w:val="64"/>
          <w:szCs w:val="64"/>
          <w:highlight w:val="none"/>
          <w:lang w:eastAsia="zh-CN"/>
        </w:rPr>
        <w:t>2024年泰顺县彭溪镇峰文村牛塘垵简洋农田宜机化改造项目</w:t>
      </w:r>
    </w:p>
    <w:p w14:paraId="3BFD6A87">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84"/>
          <w:szCs w:val="84"/>
          <w:highlight w:val="none"/>
        </w:rPr>
        <w:t>投 标 文 件</w:t>
      </w:r>
    </w:p>
    <w:p w14:paraId="1DF4C317">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60"/>
          <w:szCs w:val="60"/>
          <w:highlight w:val="none"/>
        </w:rPr>
        <w:t>（商 务 技 术 部 分）</w:t>
      </w:r>
    </w:p>
    <w:p w14:paraId="1957205B">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269F44AD">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tbl>
      <w:tblPr>
        <w:tblStyle w:val="31"/>
        <w:tblW w:w="0" w:type="auto"/>
        <w:tblInd w:w="844"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7678"/>
      </w:tblGrid>
      <w:tr w14:paraId="6D6AA45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0D939303">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项目编号：</w:t>
            </w:r>
            <w:r>
              <w:rPr>
                <w:rFonts w:hint="eastAsia" w:ascii="宋体" w:hAnsi="宋体" w:cs="宋体"/>
                <w:b/>
                <w:color w:val="auto"/>
                <w:sz w:val="26"/>
                <w:szCs w:val="26"/>
                <w:highlight w:val="none"/>
                <w:lang w:eastAsia="zh-CN"/>
              </w:rPr>
              <w:t>TSCG202501003</w:t>
            </w:r>
          </w:p>
        </w:tc>
      </w:tr>
      <w:tr w14:paraId="2D9227F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63FE3B46">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采购单位：</w:t>
            </w:r>
            <w:r>
              <w:rPr>
                <w:rFonts w:hint="eastAsia" w:ascii="宋体" w:hAnsi="宋体" w:cs="宋体"/>
                <w:b/>
                <w:color w:val="auto"/>
                <w:sz w:val="26"/>
                <w:szCs w:val="26"/>
                <w:highlight w:val="none"/>
                <w:lang w:eastAsia="zh-CN"/>
              </w:rPr>
              <w:t>泰顺县彭溪镇人民政府</w:t>
            </w:r>
          </w:p>
        </w:tc>
      </w:tr>
      <w:tr w14:paraId="7F62AEA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04E8A9F7">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供应商名称（盖章）：</w:t>
            </w:r>
          </w:p>
        </w:tc>
      </w:tr>
      <w:tr w14:paraId="5164E05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5C390FD3">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供应商地址：</w:t>
            </w:r>
          </w:p>
        </w:tc>
      </w:tr>
      <w:tr w14:paraId="77611F7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290BDF23">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法定代表人（签字或盖章）或</w:t>
            </w:r>
            <w:r>
              <w:rPr>
                <w:rFonts w:hint="eastAsia" w:ascii="宋体" w:hAnsi="宋体" w:cs="宋体"/>
                <w:b/>
                <w:color w:val="auto"/>
                <w:sz w:val="26"/>
                <w:szCs w:val="26"/>
                <w:highlight w:val="none"/>
                <w:lang w:val="zh-CN"/>
              </w:rPr>
              <w:t>授权代表（签字）：</w:t>
            </w:r>
          </w:p>
        </w:tc>
      </w:tr>
      <w:tr w14:paraId="30173AE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712FD69A">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日期：  年 月 日</w:t>
            </w:r>
          </w:p>
        </w:tc>
      </w:tr>
    </w:tbl>
    <w:p w14:paraId="760D4636">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 xml:space="preserve"> </w:t>
      </w:r>
    </w:p>
    <w:p w14:paraId="3EF752BE">
      <w:pPr>
        <w:pStyle w:val="11"/>
        <w:tabs>
          <w:tab w:val="left" w:pos="1069"/>
          <w:tab w:val="left" w:pos="2352"/>
        </w:tabs>
        <w:ind w:left="0" w:right="-257"/>
        <w:rPr>
          <w:color w:val="auto"/>
          <w:highlight w:val="none"/>
        </w:rPr>
      </w:pPr>
    </w:p>
    <w:p w14:paraId="6D7B2C8C">
      <w:pPr>
        <w:tabs>
          <w:tab w:val="left" w:pos="1069"/>
          <w:tab w:val="left" w:pos="2352"/>
        </w:tabs>
        <w:spacing w:line="360" w:lineRule="exact"/>
        <w:jc w:val="left"/>
        <w:rPr>
          <w:rFonts w:ascii="宋体" w:hAnsi="宋体" w:cs="宋体"/>
          <w:b/>
          <w:bCs/>
          <w:color w:val="auto"/>
          <w:sz w:val="30"/>
          <w:highlight w:val="none"/>
        </w:rPr>
      </w:pPr>
    </w:p>
    <w:p w14:paraId="10C94145">
      <w:pPr>
        <w:tabs>
          <w:tab w:val="left" w:pos="1069"/>
          <w:tab w:val="left" w:pos="2352"/>
        </w:tabs>
        <w:spacing w:line="360" w:lineRule="exact"/>
        <w:jc w:val="left"/>
        <w:rPr>
          <w:rFonts w:ascii="宋体" w:hAnsi="宋体" w:cs="宋体"/>
          <w:b/>
          <w:bCs/>
          <w:color w:val="auto"/>
          <w:sz w:val="30"/>
          <w:highlight w:val="none"/>
        </w:rPr>
      </w:pPr>
    </w:p>
    <w:p w14:paraId="326E95B8">
      <w:pPr>
        <w:tabs>
          <w:tab w:val="left" w:pos="1069"/>
          <w:tab w:val="left" w:pos="2352"/>
        </w:tabs>
        <w:spacing w:line="360" w:lineRule="exact"/>
        <w:jc w:val="left"/>
        <w:rPr>
          <w:rFonts w:ascii="宋体" w:hAnsi="宋体" w:cs="宋体"/>
          <w:b/>
          <w:bCs/>
          <w:color w:val="auto"/>
          <w:sz w:val="30"/>
          <w:highlight w:val="none"/>
        </w:rPr>
      </w:pPr>
    </w:p>
    <w:p w14:paraId="0D311747">
      <w:pPr>
        <w:tabs>
          <w:tab w:val="left" w:pos="1069"/>
          <w:tab w:val="left" w:pos="2352"/>
        </w:tabs>
        <w:spacing w:line="360" w:lineRule="exact"/>
        <w:jc w:val="left"/>
        <w:rPr>
          <w:rFonts w:hint="eastAsia" w:ascii="宋体" w:hAnsi="宋体" w:eastAsia="宋体" w:cs="宋体"/>
          <w:b/>
          <w:bCs/>
          <w:color w:val="auto"/>
          <w:sz w:val="30"/>
          <w:highlight w:val="none"/>
          <w:lang w:eastAsia="zh-CN"/>
        </w:rPr>
      </w:pPr>
      <w:r>
        <w:rPr>
          <w:rFonts w:hint="eastAsia" w:ascii="宋体" w:hAnsi="宋体" w:cs="宋体"/>
          <w:b/>
          <w:bCs/>
          <w:color w:val="auto"/>
          <w:sz w:val="30"/>
          <w:highlight w:val="none"/>
        </w:rPr>
        <w:t>附件</w:t>
      </w:r>
      <w:r>
        <w:rPr>
          <w:rFonts w:hint="eastAsia" w:ascii="宋体" w:hAnsi="宋体" w:cs="宋体"/>
          <w:b/>
          <w:bCs/>
          <w:color w:val="auto"/>
          <w:sz w:val="30"/>
          <w:highlight w:val="none"/>
          <w:lang w:val="en-US" w:eastAsia="zh-CN"/>
        </w:rPr>
        <w:t>四</w:t>
      </w:r>
    </w:p>
    <w:p w14:paraId="7608D3A1">
      <w:pPr>
        <w:tabs>
          <w:tab w:val="left" w:pos="1069"/>
          <w:tab w:val="left" w:pos="2352"/>
        </w:tabs>
        <w:autoSpaceDE w:val="0"/>
        <w:autoSpaceDN w:val="0"/>
        <w:adjustRightInd w:val="0"/>
        <w:spacing w:line="360" w:lineRule="exact"/>
        <w:jc w:val="center"/>
        <w:rPr>
          <w:rFonts w:ascii="宋体" w:hAnsi="宋体" w:cs="宋体"/>
          <w:b/>
          <w:bCs/>
          <w:color w:val="auto"/>
          <w:sz w:val="30"/>
          <w:szCs w:val="30"/>
          <w:highlight w:val="none"/>
          <w:lang w:val="zh-CN"/>
        </w:rPr>
      </w:pPr>
      <w:bookmarkStart w:id="257" w:name="_Toc30988_WPSOffice_Level3"/>
      <w:r>
        <w:rPr>
          <w:rFonts w:hint="eastAsia" w:ascii="宋体" w:hAnsi="宋体" w:cs="宋体"/>
          <w:b/>
          <w:bCs/>
          <w:color w:val="auto"/>
          <w:sz w:val="30"/>
          <w:szCs w:val="30"/>
          <w:highlight w:val="none"/>
        </w:rPr>
        <w:t>报价</w:t>
      </w:r>
      <w:r>
        <w:rPr>
          <w:rFonts w:hint="eastAsia" w:ascii="宋体" w:hAnsi="宋体" w:cs="宋体"/>
          <w:b/>
          <w:bCs/>
          <w:color w:val="auto"/>
          <w:sz w:val="30"/>
          <w:szCs w:val="30"/>
          <w:highlight w:val="none"/>
          <w:lang w:val="zh-CN"/>
        </w:rPr>
        <w:t>函</w:t>
      </w:r>
      <w:bookmarkEnd w:id="257"/>
    </w:p>
    <w:p w14:paraId="1E99275F">
      <w:pPr>
        <w:tabs>
          <w:tab w:val="left" w:pos="1069"/>
          <w:tab w:val="left" w:pos="2352"/>
        </w:tabs>
        <w:autoSpaceDE w:val="0"/>
        <w:autoSpaceDN w:val="0"/>
        <w:adjustRightInd w:val="0"/>
        <w:spacing w:line="360" w:lineRule="exact"/>
        <w:rPr>
          <w:rFonts w:ascii="宋体" w:hAnsi="宋体" w:cs="宋体"/>
          <w:color w:val="auto"/>
          <w:sz w:val="36"/>
          <w:highlight w:val="none"/>
          <w:lang w:val="zh-CN"/>
        </w:rPr>
      </w:pPr>
    </w:p>
    <w:p w14:paraId="66EB3DC8">
      <w:pPr>
        <w:pStyle w:val="12"/>
        <w:tabs>
          <w:tab w:val="left" w:pos="1069"/>
          <w:tab w:val="left" w:pos="2352"/>
        </w:tabs>
        <w:rPr>
          <w:rFonts w:hAnsi="宋体" w:cs="宋体"/>
          <w:color w:val="auto"/>
          <w:sz w:val="22"/>
          <w:highlight w:val="none"/>
          <w:u w:val="single"/>
        </w:rPr>
      </w:pPr>
      <w:r>
        <w:rPr>
          <w:rFonts w:hint="eastAsia" w:hAnsi="宋体" w:cs="宋体"/>
          <w:color w:val="auto"/>
          <w:sz w:val="22"/>
          <w:highlight w:val="none"/>
          <w:u w:val="single"/>
          <w:lang w:eastAsia="zh-CN"/>
        </w:rPr>
        <w:t>泰顺县彭溪镇人民政府</w:t>
      </w:r>
      <w:r>
        <w:rPr>
          <w:rFonts w:hint="eastAsia" w:hAnsi="宋体" w:cs="宋体"/>
          <w:color w:val="auto"/>
          <w:sz w:val="22"/>
          <w:highlight w:val="none"/>
          <w:u w:val="single"/>
        </w:rPr>
        <w:t>：</w:t>
      </w:r>
    </w:p>
    <w:p w14:paraId="1571CC5D">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u w:val="single"/>
          <w:lang w:val="zh-CN"/>
        </w:rPr>
        <w:t>（供应商全称）授权（授权代表名称）（职务、职称）</w:t>
      </w:r>
      <w:r>
        <w:rPr>
          <w:rFonts w:hint="eastAsia" w:ascii="宋体" w:hAnsi="宋体" w:cs="宋体"/>
          <w:color w:val="auto"/>
          <w:sz w:val="22"/>
          <w:highlight w:val="none"/>
          <w:lang w:val="zh-CN"/>
        </w:rPr>
        <w:t>为授权代表，参加贵方组织的</w:t>
      </w:r>
      <w:r>
        <w:rPr>
          <w:rFonts w:hint="eastAsia" w:ascii="宋体" w:hAnsi="宋体" w:cs="宋体"/>
          <w:color w:val="auto"/>
          <w:sz w:val="22"/>
          <w:highlight w:val="none"/>
          <w:u w:val="single"/>
          <w:lang w:eastAsia="zh-CN"/>
        </w:rPr>
        <w:t>2024年泰顺县彭溪镇峰文村牛塘垵简洋农田宜机化改造项目</w:t>
      </w:r>
      <w:r>
        <w:rPr>
          <w:rFonts w:hint="eastAsia" w:ascii="宋体" w:hAnsi="宋体" w:cs="宋体"/>
          <w:color w:val="auto"/>
          <w:sz w:val="22"/>
          <w:highlight w:val="none"/>
          <w:lang w:val="zh-CN"/>
        </w:rPr>
        <w:t>（</w:t>
      </w:r>
      <w:r>
        <w:rPr>
          <w:rFonts w:hint="eastAsia" w:ascii="宋体" w:hAnsi="宋体" w:cs="宋体"/>
          <w:color w:val="auto"/>
          <w:sz w:val="22"/>
          <w:highlight w:val="none"/>
        </w:rPr>
        <w:t>采购</w:t>
      </w:r>
      <w:r>
        <w:rPr>
          <w:rFonts w:hint="eastAsia" w:ascii="宋体" w:hAnsi="宋体" w:cs="宋体"/>
          <w:color w:val="auto"/>
          <w:sz w:val="22"/>
          <w:highlight w:val="none"/>
          <w:lang w:val="zh-CN"/>
        </w:rPr>
        <w:t>编号：</w:t>
      </w:r>
      <w:r>
        <w:rPr>
          <w:rFonts w:hint="eastAsia" w:ascii="宋体" w:hAnsi="宋体" w:cs="宋体"/>
          <w:color w:val="auto"/>
          <w:sz w:val="22"/>
          <w:highlight w:val="none"/>
          <w:u w:val="single"/>
          <w:lang w:eastAsia="zh-CN"/>
        </w:rPr>
        <w:t>TSCG202501003</w:t>
      </w:r>
      <w:r>
        <w:rPr>
          <w:rFonts w:hint="eastAsia" w:ascii="宋体" w:hAnsi="宋体" w:cs="宋体"/>
          <w:color w:val="auto"/>
          <w:sz w:val="22"/>
          <w:highlight w:val="none"/>
          <w:u w:val="single"/>
        </w:rPr>
        <w:t>）</w:t>
      </w:r>
      <w:r>
        <w:rPr>
          <w:rFonts w:hint="eastAsia" w:ascii="宋体" w:hAnsi="宋体" w:cs="宋体"/>
          <w:color w:val="auto"/>
          <w:sz w:val="22"/>
          <w:highlight w:val="none"/>
          <w:lang w:val="zh-CN"/>
        </w:rPr>
        <w:t>招标的有关活动，并对</w:t>
      </w:r>
      <w:r>
        <w:rPr>
          <w:rFonts w:hint="eastAsia" w:ascii="宋体" w:hAnsi="宋体" w:cs="宋体"/>
          <w:color w:val="auto"/>
          <w:sz w:val="22"/>
          <w:highlight w:val="none"/>
          <w:u w:val="single"/>
          <w:lang w:eastAsia="zh-CN"/>
        </w:rPr>
        <w:t>2024年泰顺县彭溪镇峰文村牛塘垵简洋农田宜机化改造项目</w:t>
      </w:r>
      <w:r>
        <w:rPr>
          <w:rFonts w:hint="eastAsia" w:ascii="宋体" w:hAnsi="宋体" w:cs="宋体"/>
          <w:color w:val="auto"/>
          <w:sz w:val="22"/>
          <w:highlight w:val="none"/>
          <w:lang w:val="zh-CN"/>
        </w:rPr>
        <w:t>进行投标。为此：</w:t>
      </w:r>
    </w:p>
    <w:p w14:paraId="4528644A">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lang w:val="zh-CN"/>
        </w:rPr>
        <w:t>1、提供供应商须知规定的全部投标（响应）文件：</w:t>
      </w:r>
    </w:p>
    <w:p w14:paraId="3106BD60">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lang w:val="zh-CN"/>
        </w:rPr>
        <w:t>“电子加密投标文件”：在线上传递交。</w:t>
      </w:r>
    </w:p>
    <w:p w14:paraId="39CE44E8">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lang w:val="zh-CN"/>
        </w:rPr>
        <w:t>2、保证遵守竞争性磋商文件中的有关规定和收费标准。</w:t>
      </w:r>
    </w:p>
    <w:p w14:paraId="2A291DA1">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3、保证忠实地执行采购人、中标（成交）供应商双方所签的合同，并承担合同规定的责任义务。</w:t>
      </w:r>
    </w:p>
    <w:p w14:paraId="0E5725A6">
      <w:pPr>
        <w:pStyle w:val="12"/>
        <w:tabs>
          <w:tab w:val="left" w:pos="1069"/>
          <w:tab w:val="left" w:pos="2352"/>
        </w:tabs>
        <w:snapToGrid w:val="0"/>
        <w:spacing w:line="410" w:lineRule="atLeast"/>
        <w:ind w:firstLine="446" w:firstLineChars="200"/>
        <w:rPr>
          <w:rFonts w:hAnsi="宋体" w:cs="宋体"/>
          <w:color w:val="auto"/>
          <w:sz w:val="22"/>
          <w:highlight w:val="none"/>
        </w:rPr>
      </w:pPr>
      <w:r>
        <w:rPr>
          <w:rFonts w:hint="eastAsia" w:hAnsi="宋体" w:cs="宋体"/>
          <w:color w:val="auto"/>
          <w:sz w:val="22"/>
          <w:highlight w:val="none"/>
          <w:lang w:val="zh-CN"/>
        </w:rPr>
        <w:t>4、我方对完工期承诺如下：</w:t>
      </w:r>
      <w:r>
        <w:rPr>
          <w:rFonts w:hint="eastAsia" w:hAnsi="宋体" w:cs="宋体"/>
          <w:color w:val="auto"/>
          <w:sz w:val="22"/>
          <w:highlight w:val="none"/>
        </w:rPr>
        <w:t>按竞争性磋商文件规定期限交货并通过采购人验收，逾期采购人有权拒绝。</w:t>
      </w:r>
    </w:p>
    <w:p w14:paraId="1292DC6E">
      <w:pPr>
        <w:tabs>
          <w:tab w:val="left" w:pos="1069"/>
          <w:tab w:val="left" w:pos="2352"/>
        </w:tabs>
        <w:autoSpaceDE w:val="0"/>
        <w:autoSpaceDN w:val="0"/>
        <w:adjustRightInd w:val="0"/>
        <w:spacing w:line="440" w:lineRule="atLeast"/>
        <w:ind w:firstLine="450"/>
        <w:rPr>
          <w:rFonts w:ascii="宋体" w:hAnsi="宋体" w:cs="宋体"/>
          <w:color w:val="auto"/>
          <w:sz w:val="22"/>
          <w:highlight w:val="none"/>
          <w:lang w:val="zh-CN"/>
        </w:rPr>
      </w:pPr>
      <w:r>
        <w:rPr>
          <w:rFonts w:hint="eastAsia" w:ascii="宋体" w:hAnsi="宋体" w:cs="宋体"/>
          <w:color w:val="auto"/>
          <w:sz w:val="22"/>
          <w:highlight w:val="none"/>
          <w:lang w:val="zh-CN"/>
        </w:rPr>
        <w:t>5、供应商已详细审查全部竞争性磋商文件，包括竞争性磋商文件补充文件（如果有的话）。我方完全理解并同意放弃对这方面有不明及误解的权力。如果竞争性磋商文件有相互矛盾之处，我方同意按采购人的理解处理。</w:t>
      </w:r>
    </w:p>
    <w:p w14:paraId="31A39B14">
      <w:pPr>
        <w:tabs>
          <w:tab w:val="left" w:pos="1069"/>
          <w:tab w:val="left" w:pos="2352"/>
        </w:tabs>
        <w:spacing w:line="340" w:lineRule="exact"/>
        <w:ind w:firstLine="448" w:firstLineChars="201"/>
        <w:rPr>
          <w:rFonts w:ascii="宋体" w:hAnsi="宋体" w:cs="宋体"/>
          <w:color w:val="auto"/>
          <w:sz w:val="22"/>
          <w:highlight w:val="none"/>
        </w:rPr>
      </w:pPr>
      <w:r>
        <w:rPr>
          <w:rFonts w:hint="eastAsia" w:ascii="宋体" w:hAnsi="宋体" w:cs="宋体"/>
          <w:color w:val="auto"/>
          <w:sz w:val="22"/>
          <w:highlight w:val="none"/>
        </w:rPr>
        <w:t>6、利益冲突：近三年内直至目前，我公司与本项目的采购人、招标代理机构没有任何的隶属关系。</w:t>
      </w:r>
    </w:p>
    <w:p w14:paraId="4148B56D">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rPr>
        <w:t>7、我公司没有被各级、各地财政监管部门限制参加政府采购活动，且在限制期内。</w:t>
      </w:r>
    </w:p>
    <w:p w14:paraId="727D1713">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8、愿意向贵方提供任何与该项投标有关的数据、情况和技术资料，完全理解贵方不一定接受最低价的投标或收到的任何投标。</w:t>
      </w:r>
    </w:p>
    <w:p w14:paraId="5ECB7C95">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9、本投标自开标之日起90天内有效。</w:t>
      </w:r>
    </w:p>
    <w:p w14:paraId="29E8C811">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10、与本投标有关的一切往来通讯请寄：</w:t>
      </w:r>
    </w:p>
    <w:p w14:paraId="3597345E">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u w:val="single"/>
        </w:rPr>
      </w:pPr>
      <w:r>
        <w:rPr>
          <w:rFonts w:hint="eastAsia" w:ascii="宋体" w:hAnsi="宋体" w:cs="宋体"/>
          <w:color w:val="auto"/>
          <w:sz w:val="22"/>
          <w:highlight w:val="none"/>
          <w:lang w:val="zh-CN"/>
        </w:rPr>
        <w:t>地址：</w:t>
      </w:r>
      <w:r>
        <w:rPr>
          <w:rFonts w:hint="eastAsia" w:ascii="宋体" w:hAnsi="宋体" w:cs="宋体"/>
          <w:color w:val="auto"/>
          <w:sz w:val="22"/>
          <w:highlight w:val="none"/>
          <w:u w:val="single"/>
        </w:rPr>
        <w:t xml:space="preserve">                     </w:t>
      </w:r>
      <w:r>
        <w:rPr>
          <w:rFonts w:hint="eastAsia" w:ascii="宋体" w:hAnsi="宋体" w:cs="宋体"/>
          <w:color w:val="auto"/>
          <w:sz w:val="22"/>
          <w:highlight w:val="none"/>
          <w:lang w:val="zh-CN"/>
        </w:rPr>
        <w:t>邮编：</w:t>
      </w:r>
      <w:r>
        <w:rPr>
          <w:rFonts w:hint="eastAsia" w:ascii="宋体" w:hAnsi="宋体" w:cs="宋体"/>
          <w:color w:val="auto"/>
          <w:sz w:val="22"/>
          <w:highlight w:val="none"/>
          <w:u w:val="single"/>
        </w:rPr>
        <w:t xml:space="preserve">                     </w:t>
      </w:r>
    </w:p>
    <w:p w14:paraId="72636B67">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电话：</w:t>
      </w:r>
      <w:r>
        <w:rPr>
          <w:rFonts w:hint="eastAsia" w:ascii="宋体" w:hAnsi="宋体" w:cs="宋体"/>
          <w:color w:val="auto"/>
          <w:sz w:val="22"/>
          <w:highlight w:val="none"/>
          <w:u w:val="single"/>
        </w:rPr>
        <w:t xml:space="preserve">                     </w:t>
      </w:r>
      <w:r>
        <w:rPr>
          <w:rFonts w:hint="eastAsia" w:ascii="宋体" w:hAnsi="宋体" w:cs="宋体"/>
          <w:color w:val="auto"/>
          <w:sz w:val="22"/>
          <w:highlight w:val="none"/>
          <w:lang w:val="zh-CN"/>
        </w:rPr>
        <w:t>传真：</w:t>
      </w:r>
      <w:r>
        <w:rPr>
          <w:rFonts w:hint="eastAsia" w:ascii="宋体" w:hAnsi="宋体" w:cs="宋体"/>
          <w:color w:val="auto"/>
          <w:sz w:val="22"/>
          <w:highlight w:val="none"/>
          <w:u w:val="single"/>
        </w:rPr>
        <w:t xml:space="preserve">                     </w:t>
      </w:r>
    </w:p>
    <w:p w14:paraId="408CF50A">
      <w:pPr>
        <w:pStyle w:val="12"/>
        <w:tabs>
          <w:tab w:val="left" w:pos="1069"/>
          <w:tab w:val="left" w:pos="2352"/>
        </w:tabs>
        <w:spacing w:line="440" w:lineRule="atLeast"/>
        <w:rPr>
          <w:rFonts w:hAnsi="宋体" w:cs="宋体"/>
          <w:b/>
          <w:color w:val="auto"/>
          <w:sz w:val="22"/>
          <w:highlight w:val="none"/>
        </w:rPr>
      </w:pPr>
      <w:r>
        <w:rPr>
          <w:rFonts w:hint="eastAsia" w:hAnsi="宋体" w:cs="宋体"/>
          <w:color w:val="auto"/>
          <w:sz w:val="22"/>
          <w:highlight w:val="none"/>
        </w:rPr>
        <w:t>供应商全称：（盖章）</w:t>
      </w:r>
    </w:p>
    <w:p w14:paraId="7DE2C754">
      <w:pPr>
        <w:pStyle w:val="12"/>
        <w:tabs>
          <w:tab w:val="left" w:pos="1069"/>
          <w:tab w:val="left" w:pos="2352"/>
        </w:tabs>
        <w:spacing w:line="440" w:lineRule="atLeast"/>
        <w:rPr>
          <w:rFonts w:hAnsi="宋体" w:cs="宋体"/>
          <w:b/>
          <w:color w:val="auto"/>
          <w:sz w:val="22"/>
          <w:highlight w:val="none"/>
          <w:lang w:val="zh-CN"/>
        </w:rPr>
      </w:pPr>
      <w:r>
        <w:rPr>
          <w:rFonts w:hint="eastAsia" w:hAnsi="宋体" w:cs="宋体"/>
          <w:color w:val="auto"/>
          <w:sz w:val="22"/>
          <w:highlight w:val="none"/>
        </w:rPr>
        <w:t>法定代表人（签字或盖章）或</w:t>
      </w:r>
      <w:r>
        <w:rPr>
          <w:rFonts w:hint="eastAsia" w:hAnsi="宋体" w:cs="宋体"/>
          <w:color w:val="auto"/>
          <w:sz w:val="22"/>
          <w:highlight w:val="none"/>
          <w:lang w:val="zh-CN"/>
        </w:rPr>
        <w:t>授权代表（签字）：</w:t>
      </w:r>
    </w:p>
    <w:p w14:paraId="003ABF77">
      <w:pPr>
        <w:pStyle w:val="12"/>
        <w:tabs>
          <w:tab w:val="left" w:pos="1069"/>
          <w:tab w:val="left" w:pos="2352"/>
        </w:tabs>
        <w:spacing w:line="440" w:lineRule="atLeast"/>
        <w:rPr>
          <w:rFonts w:hAnsi="宋体" w:cs="宋体"/>
          <w:b/>
          <w:color w:val="auto"/>
          <w:sz w:val="22"/>
          <w:highlight w:val="none"/>
          <w:lang w:val="zh-CN"/>
        </w:rPr>
      </w:pPr>
      <w:r>
        <w:rPr>
          <w:rFonts w:hint="eastAsia" w:hAnsi="宋体" w:cs="宋体"/>
          <w:color w:val="auto"/>
          <w:sz w:val="22"/>
          <w:highlight w:val="none"/>
        </w:rPr>
        <w:t>日期：</w:t>
      </w:r>
    </w:p>
    <w:p w14:paraId="0607EDE3">
      <w:pPr>
        <w:tabs>
          <w:tab w:val="left" w:pos="1069"/>
          <w:tab w:val="left" w:pos="2352"/>
        </w:tabs>
        <w:spacing w:line="360" w:lineRule="exact"/>
        <w:jc w:val="left"/>
        <w:rPr>
          <w:rFonts w:ascii="宋体" w:hAnsi="宋体" w:cs="宋体"/>
          <w:color w:val="auto"/>
          <w:sz w:val="22"/>
          <w:highlight w:val="none"/>
        </w:rPr>
      </w:pPr>
    </w:p>
    <w:p w14:paraId="1FEE12BF">
      <w:pPr>
        <w:tabs>
          <w:tab w:val="left" w:pos="1069"/>
          <w:tab w:val="left" w:pos="2352"/>
        </w:tabs>
        <w:spacing w:line="360" w:lineRule="exact"/>
        <w:jc w:val="left"/>
        <w:rPr>
          <w:rFonts w:ascii="宋体" w:hAnsi="宋体" w:cs="宋体"/>
          <w:color w:val="auto"/>
          <w:sz w:val="22"/>
          <w:highlight w:val="none"/>
        </w:rPr>
      </w:pPr>
    </w:p>
    <w:p w14:paraId="09B0E936">
      <w:pPr>
        <w:tabs>
          <w:tab w:val="left" w:pos="1069"/>
          <w:tab w:val="left" w:pos="2352"/>
        </w:tabs>
        <w:spacing w:line="360" w:lineRule="exact"/>
        <w:jc w:val="left"/>
        <w:rPr>
          <w:rFonts w:ascii="宋体" w:hAnsi="宋体" w:cs="宋体"/>
          <w:b/>
          <w:bCs/>
          <w:color w:val="auto"/>
          <w:sz w:val="30"/>
          <w:highlight w:val="none"/>
        </w:rPr>
      </w:pPr>
    </w:p>
    <w:p w14:paraId="21AF3CD7">
      <w:pPr>
        <w:tabs>
          <w:tab w:val="left" w:pos="1069"/>
          <w:tab w:val="left" w:pos="2352"/>
        </w:tabs>
        <w:spacing w:line="360" w:lineRule="exact"/>
        <w:jc w:val="left"/>
        <w:rPr>
          <w:rFonts w:ascii="宋体" w:hAnsi="宋体" w:cs="宋体"/>
          <w:b/>
          <w:bCs/>
          <w:color w:val="auto"/>
          <w:sz w:val="30"/>
          <w:highlight w:val="none"/>
        </w:rPr>
      </w:pPr>
    </w:p>
    <w:p w14:paraId="2AE349F9">
      <w:pPr>
        <w:pStyle w:val="6"/>
        <w:tabs>
          <w:tab w:val="left" w:pos="1069"/>
          <w:tab w:val="left" w:pos="2352"/>
        </w:tabs>
        <w:rPr>
          <w:color w:val="auto"/>
          <w:highlight w:val="none"/>
        </w:rPr>
      </w:pPr>
    </w:p>
    <w:p w14:paraId="43C1BD91">
      <w:pPr>
        <w:tabs>
          <w:tab w:val="left" w:pos="1069"/>
          <w:tab w:val="left" w:pos="2352"/>
        </w:tabs>
        <w:spacing w:line="360" w:lineRule="exact"/>
        <w:jc w:val="left"/>
        <w:rPr>
          <w:rFonts w:hint="eastAsia" w:ascii="宋体" w:hAnsi="宋体" w:eastAsia="宋体" w:cs="宋体"/>
          <w:color w:val="auto"/>
          <w:sz w:val="22"/>
          <w:highlight w:val="none"/>
          <w:lang w:eastAsia="zh-CN"/>
        </w:rPr>
      </w:pPr>
      <w:r>
        <w:rPr>
          <w:rFonts w:hint="eastAsia" w:ascii="宋体" w:hAnsi="宋体" w:cs="宋体"/>
          <w:b/>
          <w:bCs/>
          <w:color w:val="auto"/>
          <w:sz w:val="30"/>
          <w:highlight w:val="none"/>
        </w:rPr>
        <w:t>附件</w:t>
      </w:r>
      <w:r>
        <w:rPr>
          <w:rFonts w:hint="eastAsia" w:ascii="宋体" w:hAnsi="宋体" w:cs="宋体"/>
          <w:b/>
          <w:bCs/>
          <w:color w:val="auto"/>
          <w:sz w:val="30"/>
          <w:highlight w:val="none"/>
          <w:lang w:val="en-US" w:eastAsia="zh-CN"/>
        </w:rPr>
        <w:t>五</w:t>
      </w:r>
    </w:p>
    <w:p w14:paraId="0620AEF1">
      <w:pPr>
        <w:tabs>
          <w:tab w:val="left" w:pos="1069"/>
          <w:tab w:val="left" w:pos="2352"/>
        </w:tabs>
        <w:spacing w:line="360" w:lineRule="exact"/>
        <w:jc w:val="center"/>
        <w:rPr>
          <w:rFonts w:ascii="宋体" w:hAnsi="宋体" w:cs="宋体"/>
          <w:b/>
          <w:bCs/>
          <w:color w:val="auto"/>
          <w:sz w:val="30"/>
          <w:highlight w:val="none"/>
          <w:lang w:val="zh-CN"/>
        </w:rPr>
      </w:pPr>
      <w:bookmarkStart w:id="258" w:name="_Toc15399_WPSOffice_Level3"/>
      <w:r>
        <w:rPr>
          <w:rFonts w:hint="eastAsia" w:ascii="宋体" w:hAnsi="宋体" w:cs="宋体"/>
          <w:b/>
          <w:bCs/>
          <w:color w:val="auto"/>
          <w:sz w:val="30"/>
          <w:highlight w:val="none"/>
          <w:lang w:val="zh-CN"/>
        </w:rPr>
        <w:t>供应商参与政府采购活动投标资格声明函</w:t>
      </w:r>
      <w:bookmarkEnd w:id="258"/>
    </w:p>
    <w:tbl>
      <w:tblPr>
        <w:tblStyle w:val="3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7992"/>
      </w:tblGrid>
      <w:tr w14:paraId="1F03E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4AB01B2B">
            <w:pPr>
              <w:pStyle w:val="12"/>
              <w:tabs>
                <w:tab w:val="left" w:pos="1069"/>
                <w:tab w:val="left" w:pos="2352"/>
              </w:tabs>
              <w:adjustRightInd w:val="0"/>
              <w:snapToGrid w:val="0"/>
              <w:spacing w:line="400" w:lineRule="exact"/>
              <w:rPr>
                <w:rFonts w:hAnsi="宋体" w:cs="宋体"/>
                <w:color w:val="auto"/>
                <w:kern w:val="2"/>
                <w:sz w:val="22"/>
                <w:szCs w:val="22"/>
                <w:highlight w:val="none"/>
              </w:rPr>
            </w:pPr>
            <w:r>
              <w:rPr>
                <w:rFonts w:hint="eastAsia" w:hAnsi="宋体" w:cs="宋体"/>
                <w:color w:val="auto"/>
                <w:kern w:val="2"/>
                <w:sz w:val="22"/>
                <w:szCs w:val="22"/>
                <w:highlight w:val="none"/>
              </w:rPr>
              <w:t>项目名称</w:t>
            </w:r>
          </w:p>
        </w:tc>
        <w:tc>
          <w:tcPr>
            <w:tcW w:w="7992" w:type="dxa"/>
          </w:tcPr>
          <w:p w14:paraId="753B63A5">
            <w:pPr>
              <w:pStyle w:val="12"/>
              <w:tabs>
                <w:tab w:val="left" w:pos="1069"/>
                <w:tab w:val="left" w:pos="2352"/>
              </w:tabs>
              <w:adjustRightInd w:val="0"/>
              <w:snapToGrid w:val="0"/>
              <w:spacing w:line="400" w:lineRule="exact"/>
              <w:jc w:val="center"/>
              <w:rPr>
                <w:rFonts w:hint="eastAsia" w:hAnsi="宋体" w:eastAsia="宋体" w:cs="宋体"/>
                <w:color w:val="auto"/>
                <w:kern w:val="2"/>
                <w:sz w:val="22"/>
                <w:szCs w:val="22"/>
                <w:highlight w:val="none"/>
                <w:lang w:eastAsia="zh-CN"/>
              </w:rPr>
            </w:pPr>
            <w:r>
              <w:rPr>
                <w:rFonts w:hint="eastAsia" w:hAnsi="宋体" w:cs="宋体"/>
                <w:color w:val="auto"/>
                <w:kern w:val="2"/>
                <w:sz w:val="22"/>
                <w:szCs w:val="22"/>
                <w:highlight w:val="none"/>
                <w:lang w:eastAsia="zh-CN"/>
              </w:rPr>
              <w:t>2024年泰顺县彭溪镇峰文村牛塘垵简洋农田宜机化改造项目</w:t>
            </w:r>
          </w:p>
        </w:tc>
      </w:tr>
      <w:tr w14:paraId="16F14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27044548">
            <w:pPr>
              <w:pStyle w:val="12"/>
              <w:tabs>
                <w:tab w:val="left" w:pos="1069"/>
                <w:tab w:val="left" w:pos="2352"/>
              </w:tabs>
              <w:adjustRightInd w:val="0"/>
              <w:snapToGrid w:val="0"/>
              <w:spacing w:line="400" w:lineRule="exact"/>
              <w:rPr>
                <w:rFonts w:hAnsi="宋体" w:cs="宋体"/>
                <w:color w:val="auto"/>
                <w:kern w:val="2"/>
                <w:sz w:val="22"/>
                <w:szCs w:val="22"/>
                <w:highlight w:val="none"/>
              </w:rPr>
            </w:pPr>
            <w:r>
              <w:rPr>
                <w:rFonts w:hint="eastAsia" w:hAnsi="宋体" w:cs="宋体"/>
                <w:color w:val="auto"/>
                <w:kern w:val="2"/>
                <w:sz w:val="22"/>
                <w:szCs w:val="22"/>
                <w:highlight w:val="none"/>
              </w:rPr>
              <w:t>项目采购编号</w:t>
            </w:r>
          </w:p>
        </w:tc>
        <w:tc>
          <w:tcPr>
            <w:tcW w:w="7992" w:type="dxa"/>
          </w:tcPr>
          <w:p w14:paraId="2297F391">
            <w:pPr>
              <w:pStyle w:val="12"/>
              <w:tabs>
                <w:tab w:val="left" w:pos="1069"/>
                <w:tab w:val="left" w:pos="2352"/>
              </w:tabs>
              <w:adjustRightInd w:val="0"/>
              <w:snapToGrid w:val="0"/>
              <w:spacing w:line="400" w:lineRule="exact"/>
              <w:jc w:val="center"/>
              <w:rPr>
                <w:rFonts w:hint="eastAsia" w:hAnsi="宋体" w:eastAsia="宋体" w:cs="宋体"/>
                <w:color w:val="auto"/>
                <w:kern w:val="2"/>
                <w:sz w:val="22"/>
                <w:szCs w:val="22"/>
                <w:highlight w:val="none"/>
                <w:lang w:eastAsia="zh-CN"/>
              </w:rPr>
            </w:pPr>
            <w:r>
              <w:rPr>
                <w:rFonts w:hint="eastAsia" w:hAnsi="宋体" w:cs="宋体"/>
                <w:color w:val="auto"/>
                <w:kern w:val="2"/>
                <w:sz w:val="22"/>
                <w:szCs w:val="22"/>
                <w:highlight w:val="none"/>
                <w:lang w:eastAsia="zh-CN"/>
              </w:rPr>
              <w:t>TSCG202501003</w:t>
            </w:r>
          </w:p>
        </w:tc>
      </w:tr>
      <w:tr w14:paraId="70BD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2D68CEA9">
            <w:pPr>
              <w:pStyle w:val="12"/>
              <w:tabs>
                <w:tab w:val="left" w:pos="1069"/>
                <w:tab w:val="left" w:pos="2352"/>
              </w:tabs>
              <w:adjustRightInd w:val="0"/>
              <w:snapToGrid w:val="0"/>
              <w:spacing w:line="400" w:lineRule="exact"/>
              <w:rPr>
                <w:rFonts w:hAnsi="宋体" w:cs="宋体"/>
                <w:color w:val="auto"/>
                <w:kern w:val="2"/>
                <w:sz w:val="22"/>
                <w:szCs w:val="22"/>
                <w:highlight w:val="none"/>
              </w:rPr>
            </w:pPr>
            <w:r>
              <w:rPr>
                <w:rFonts w:hint="eastAsia" w:hAnsi="宋体" w:cs="宋体"/>
                <w:color w:val="auto"/>
                <w:kern w:val="2"/>
                <w:sz w:val="22"/>
                <w:szCs w:val="22"/>
                <w:highlight w:val="none"/>
              </w:rPr>
              <w:t>时间</w:t>
            </w:r>
          </w:p>
        </w:tc>
        <w:tc>
          <w:tcPr>
            <w:tcW w:w="7992" w:type="dxa"/>
          </w:tcPr>
          <w:p w14:paraId="48199890">
            <w:pPr>
              <w:pStyle w:val="12"/>
              <w:tabs>
                <w:tab w:val="left" w:pos="1069"/>
                <w:tab w:val="left" w:pos="2352"/>
              </w:tabs>
              <w:adjustRightInd w:val="0"/>
              <w:snapToGrid w:val="0"/>
              <w:spacing w:line="400" w:lineRule="exact"/>
              <w:jc w:val="center"/>
              <w:rPr>
                <w:rFonts w:hAnsi="宋体" w:cs="宋体"/>
                <w:color w:val="auto"/>
                <w:kern w:val="2"/>
                <w:sz w:val="22"/>
                <w:szCs w:val="22"/>
                <w:highlight w:val="none"/>
              </w:rPr>
            </w:pPr>
            <w:r>
              <w:rPr>
                <w:rFonts w:hint="eastAsia" w:hAnsi="宋体" w:cs="宋体"/>
                <w:color w:val="auto"/>
                <w:kern w:val="2"/>
                <w:sz w:val="22"/>
                <w:szCs w:val="22"/>
                <w:highlight w:val="none"/>
              </w:rPr>
              <w:t>本项目投标截止时间</w:t>
            </w:r>
          </w:p>
        </w:tc>
      </w:tr>
      <w:tr w14:paraId="7F8AD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6" w:hRule="atLeast"/>
        </w:trPr>
        <w:tc>
          <w:tcPr>
            <w:tcW w:w="9612" w:type="dxa"/>
            <w:gridSpan w:val="2"/>
          </w:tcPr>
          <w:p w14:paraId="75783754">
            <w:pPr>
              <w:pStyle w:val="12"/>
              <w:tabs>
                <w:tab w:val="left" w:pos="1069"/>
                <w:tab w:val="left" w:pos="2352"/>
              </w:tabs>
              <w:adjustRightInd w:val="0"/>
              <w:snapToGrid w:val="0"/>
              <w:spacing w:line="400" w:lineRule="exact"/>
              <w:ind w:firstLine="450"/>
              <w:rPr>
                <w:rFonts w:hAnsi="宋体" w:cs="宋体"/>
                <w:color w:val="auto"/>
                <w:kern w:val="2"/>
                <w:highlight w:val="none"/>
              </w:rPr>
            </w:pPr>
            <w:r>
              <w:rPr>
                <w:rFonts w:hint="eastAsia" w:hAnsi="宋体" w:cs="宋体"/>
                <w:color w:val="auto"/>
                <w:kern w:val="2"/>
                <w:highlight w:val="none"/>
              </w:rPr>
              <w:t>1、根据政府采购法第二十二条规定，我单位满足以下条件，并已经在《资格文件》中提供了相应的证明材料：</w:t>
            </w:r>
          </w:p>
          <w:p w14:paraId="1B4EA715">
            <w:pPr>
              <w:pStyle w:val="12"/>
              <w:tabs>
                <w:tab w:val="left" w:pos="1069"/>
                <w:tab w:val="left" w:pos="2352"/>
              </w:tabs>
              <w:adjustRightInd w:val="0"/>
              <w:snapToGrid w:val="0"/>
              <w:spacing w:line="400" w:lineRule="exact"/>
              <w:ind w:firstLine="450"/>
              <w:rPr>
                <w:rFonts w:hAnsi="宋体" w:cs="宋体"/>
                <w:color w:val="auto"/>
                <w:kern w:val="2"/>
                <w:highlight w:val="none"/>
              </w:rPr>
            </w:pPr>
            <w:r>
              <w:rPr>
                <w:rFonts w:hint="eastAsia" w:hAnsi="宋体" w:cs="宋体"/>
                <w:color w:val="auto"/>
                <w:kern w:val="2"/>
                <w:highlight w:val="none"/>
              </w:rPr>
              <w:t>（一）具有独立承担民事责任的能力；（二）具有良好的商业信誉和健全的财务会计制度；（三）具有履行合同所必需的设备和专业技术能力；（四）有依法缴纳税收和社会保障资金的良好记录；（五）参加政府采购活动前三年内，在经营活动中没有重大违法记录；（六）法律、行政法规规定的其他条件。</w:t>
            </w:r>
          </w:p>
          <w:p w14:paraId="4E1F4727">
            <w:pPr>
              <w:pStyle w:val="12"/>
              <w:tabs>
                <w:tab w:val="left" w:pos="1069"/>
                <w:tab w:val="left" w:pos="2352"/>
              </w:tabs>
              <w:adjustRightInd w:val="0"/>
              <w:snapToGrid w:val="0"/>
              <w:spacing w:line="400" w:lineRule="exact"/>
              <w:ind w:firstLine="450"/>
              <w:rPr>
                <w:rFonts w:hAnsi="宋体" w:cs="宋体"/>
                <w:color w:val="auto"/>
                <w:kern w:val="2"/>
                <w:highlight w:val="none"/>
              </w:rPr>
            </w:pPr>
            <w:r>
              <w:rPr>
                <w:rFonts w:hint="eastAsia" w:hAnsi="宋体" w:cs="宋体"/>
                <w:color w:val="auto"/>
                <w:kern w:val="2"/>
                <w:highlight w:val="none"/>
              </w:rPr>
              <w:t>2、根据财政部与有关部门联合签署了《关于对重大税收违法案件当事人实施联合惩戒措施的合作备忘录》(发改财金〔2014〕3062号)、《失信企业协同监管和联合惩戒合作备忘录》(发改财金〔2015〕2045号)、《关于对违法失信上市公司相关责任主体实施联合惩戒的合作备忘录》(发改财金〔2015〕3062号)、《关于对失信被执行人实施联合惩戒的合作备忘录》(发改财金〔2016〕141号)、《关于对安全生产领域失信生产经营单位及其有关人员开展联合惩戒的合作备忘录》(发改财金〔2016〕1001号)，依法限制相关失信主体参与政府采购活动。我单位不存在上述文件规定依法限制参与政府采购的情况，并提供“信用中国”、“中国政府采购网”查询网页截图（公告发布之日至投标截止时间）。</w:t>
            </w:r>
          </w:p>
          <w:p w14:paraId="27F84569">
            <w:pPr>
              <w:pStyle w:val="12"/>
              <w:tabs>
                <w:tab w:val="left" w:pos="1069"/>
                <w:tab w:val="left" w:pos="2352"/>
              </w:tabs>
              <w:adjustRightInd w:val="0"/>
              <w:snapToGrid w:val="0"/>
              <w:spacing w:line="400" w:lineRule="exact"/>
              <w:ind w:firstLine="450"/>
              <w:rPr>
                <w:rFonts w:hint="eastAsia" w:hAnsi="宋体" w:eastAsia="宋体" w:cs="宋体"/>
                <w:color w:val="auto"/>
                <w:kern w:val="2"/>
                <w:highlight w:val="none"/>
                <w:lang w:eastAsia="zh-CN"/>
              </w:rPr>
            </w:pPr>
            <w:r>
              <w:rPr>
                <w:rFonts w:hint="eastAsia" w:hAnsi="宋体" w:cs="宋体"/>
                <w:color w:val="auto"/>
                <w:kern w:val="2"/>
                <w:highlight w:val="none"/>
              </w:rPr>
              <w:t>3、我单位没有被各地、各级财政部门限制参加政府采购活动，且在限制期内</w:t>
            </w:r>
            <w:r>
              <w:rPr>
                <w:rFonts w:hint="eastAsia" w:hAnsi="宋体" w:cs="宋体"/>
                <w:color w:val="auto"/>
                <w:kern w:val="2"/>
                <w:highlight w:val="none"/>
                <w:lang w:eastAsia="zh-CN"/>
              </w:rPr>
              <w:t>。</w:t>
            </w:r>
          </w:p>
          <w:p w14:paraId="778B9F85">
            <w:pPr>
              <w:tabs>
                <w:tab w:val="left" w:pos="1069"/>
                <w:tab w:val="left" w:pos="2352"/>
                <w:tab w:val="center" w:pos="4483"/>
              </w:tabs>
              <w:adjustRightInd w:val="0"/>
              <w:spacing w:line="360" w:lineRule="auto"/>
              <w:ind w:firstLine="400"/>
              <w:rPr>
                <w:rFonts w:ascii="宋体" w:hAnsi="宋体" w:cs="宋体"/>
                <w:b/>
                <w:bCs/>
                <w:color w:val="auto"/>
                <w:szCs w:val="21"/>
                <w:highlight w:val="none"/>
                <w:u w:val="single"/>
              </w:rPr>
            </w:pPr>
            <w:r>
              <w:rPr>
                <w:rFonts w:hint="eastAsia" w:ascii="宋体" w:hAnsi="宋体" w:cs="宋体"/>
                <w:color w:val="auto"/>
                <w:szCs w:val="21"/>
                <w:highlight w:val="none"/>
              </w:rPr>
              <w:t>4、我单位参与本项目政府采购活动3年内其它重大违法记录（重大违法记录，是指供应商因违法经营受到刑事处罚或者责令停产停业、吊销许可证或者执照、较大数额罚款等行政处罚）情况声明：</w:t>
            </w:r>
            <w:r>
              <w:rPr>
                <w:rFonts w:hint="eastAsia" w:ascii="宋体" w:hAnsi="宋体" w:cs="宋体"/>
                <w:b/>
                <w:bCs/>
                <w:color w:val="auto"/>
                <w:szCs w:val="21"/>
                <w:highlight w:val="none"/>
                <w:u w:val="single"/>
              </w:rPr>
              <w:t>（若无则说明无）。</w:t>
            </w:r>
          </w:p>
          <w:p w14:paraId="5BC6655B">
            <w:pPr>
              <w:tabs>
                <w:tab w:val="left" w:pos="1069"/>
                <w:tab w:val="left" w:pos="2352"/>
                <w:tab w:val="center" w:pos="4483"/>
              </w:tabs>
              <w:adjustRightInd w:val="0"/>
              <w:spacing w:line="360" w:lineRule="auto"/>
              <w:ind w:firstLine="400"/>
              <w:rPr>
                <w:rFonts w:ascii="宋体" w:hAnsi="宋体" w:cs="宋体"/>
                <w:color w:val="auto"/>
                <w:szCs w:val="21"/>
                <w:highlight w:val="none"/>
              </w:rPr>
            </w:pPr>
            <w:r>
              <w:rPr>
                <w:rFonts w:hint="eastAsia" w:ascii="宋体" w:hAnsi="宋体" w:cs="宋体"/>
                <w:color w:val="auto"/>
                <w:szCs w:val="21"/>
                <w:highlight w:val="none"/>
              </w:rPr>
              <w:t>5、我单位符合本项目特定资格条件：</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要求，并在《资格文件》中提供了相应的证明材料</w:t>
            </w:r>
            <w:r>
              <w:rPr>
                <w:rFonts w:hint="eastAsia" w:ascii="宋体" w:hAnsi="宋体" w:cs="宋体"/>
                <w:color w:val="auto"/>
                <w:szCs w:val="21"/>
                <w:highlight w:val="none"/>
                <w:u w:val="single"/>
              </w:rPr>
              <w:t>（竞争性磋商文件没有要求特定资格条件的，本条款空格处可以空白）。</w:t>
            </w:r>
          </w:p>
          <w:p w14:paraId="1094A5A7">
            <w:pPr>
              <w:tabs>
                <w:tab w:val="left" w:pos="1069"/>
                <w:tab w:val="left" w:pos="2352"/>
                <w:tab w:val="center" w:pos="4483"/>
              </w:tabs>
              <w:adjustRightInd w:val="0"/>
              <w:spacing w:line="360" w:lineRule="auto"/>
              <w:ind w:firstLine="426" w:firstLineChars="200"/>
              <w:rPr>
                <w:rFonts w:ascii="宋体" w:hAnsi="宋体" w:cs="宋体"/>
                <w:color w:val="auto"/>
                <w:sz w:val="20"/>
                <w:highlight w:val="none"/>
              </w:rPr>
            </w:pPr>
            <w:r>
              <w:rPr>
                <w:rFonts w:hint="eastAsia" w:ascii="宋体" w:hAnsi="宋体" w:cs="宋体"/>
                <w:color w:val="auto"/>
                <w:szCs w:val="21"/>
                <w:highlight w:val="none"/>
              </w:rPr>
              <w:t>本公司所提交的本声明和陈述均是真实的、准确的。若与真实情况不符，本公司愿意承担由此而产生的一切后果。我方提供了全部能提供的资料和数据，我们同意遵照贵方要求出示有关证明文件。</w:t>
            </w:r>
          </w:p>
        </w:tc>
      </w:tr>
      <w:tr w14:paraId="451B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9612" w:type="dxa"/>
            <w:gridSpan w:val="2"/>
            <w:vAlign w:val="center"/>
          </w:tcPr>
          <w:p w14:paraId="269E8C09">
            <w:pPr>
              <w:pStyle w:val="12"/>
              <w:tabs>
                <w:tab w:val="left" w:pos="1069"/>
                <w:tab w:val="left" w:pos="2352"/>
              </w:tabs>
              <w:adjustRightInd w:val="0"/>
              <w:snapToGrid w:val="0"/>
              <w:spacing w:line="400" w:lineRule="exact"/>
              <w:ind w:left="422" w:firstLine="331"/>
              <w:rPr>
                <w:rFonts w:hAnsi="宋体" w:cs="宋体"/>
                <w:color w:val="auto"/>
                <w:kern w:val="2"/>
                <w:sz w:val="22"/>
                <w:szCs w:val="22"/>
                <w:highlight w:val="none"/>
              </w:rPr>
            </w:pPr>
            <w:r>
              <w:rPr>
                <w:rFonts w:hint="eastAsia" w:hAnsi="宋体" w:cs="宋体"/>
                <w:color w:val="auto"/>
                <w:kern w:val="2"/>
                <w:sz w:val="22"/>
                <w:szCs w:val="22"/>
                <w:highlight w:val="none"/>
              </w:rPr>
              <w:t>供应商名称（加盖盖章）：</w:t>
            </w:r>
          </w:p>
        </w:tc>
      </w:tr>
      <w:tr w14:paraId="68DF5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9612" w:type="dxa"/>
            <w:gridSpan w:val="2"/>
            <w:vAlign w:val="center"/>
          </w:tcPr>
          <w:p w14:paraId="036233DB">
            <w:pPr>
              <w:pStyle w:val="12"/>
              <w:tabs>
                <w:tab w:val="left" w:pos="1069"/>
                <w:tab w:val="left" w:pos="2352"/>
              </w:tabs>
              <w:adjustRightInd w:val="0"/>
              <w:snapToGrid w:val="0"/>
              <w:spacing w:line="400" w:lineRule="exact"/>
              <w:ind w:left="422" w:firstLine="331"/>
              <w:rPr>
                <w:rFonts w:hAnsi="宋体" w:cs="宋体"/>
                <w:color w:val="auto"/>
                <w:kern w:val="2"/>
                <w:sz w:val="22"/>
                <w:szCs w:val="22"/>
                <w:highlight w:val="none"/>
              </w:rPr>
            </w:pPr>
            <w:r>
              <w:rPr>
                <w:rFonts w:hint="eastAsia" w:hAnsi="宋体" w:cs="宋体"/>
                <w:color w:val="auto"/>
                <w:kern w:val="2"/>
                <w:sz w:val="22"/>
                <w:szCs w:val="22"/>
                <w:highlight w:val="none"/>
              </w:rPr>
              <w:t>法定代表人（签字或盖章）或授权代表（签字）：</w:t>
            </w:r>
          </w:p>
        </w:tc>
      </w:tr>
      <w:tr w14:paraId="460C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9612" w:type="dxa"/>
            <w:gridSpan w:val="2"/>
            <w:vAlign w:val="center"/>
          </w:tcPr>
          <w:p w14:paraId="032D5E3B">
            <w:pPr>
              <w:pStyle w:val="12"/>
              <w:tabs>
                <w:tab w:val="left" w:pos="1069"/>
                <w:tab w:val="left" w:pos="2352"/>
              </w:tabs>
              <w:adjustRightInd w:val="0"/>
              <w:snapToGrid w:val="0"/>
              <w:spacing w:line="400" w:lineRule="exact"/>
              <w:ind w:left="422" w:firstLine="331"/>
              <w:rPr>
                <w:rFonts w:hAnsi="宋体" w:cs="宋体"/>
                <w:color w:val="auto"/>
                <w:kern w:val="2"/>
                <w:sz w:val="22"/>
                <w:szCs w:val="22"/>
                <w:highlight w:val="none"/>
              </w:rPr>
            </w:pPr>
            <w:r>
              <w:rPr>
                <w:rFonts w:hint="eastAsia" w:hAnsi="宋体" w:cs="宋体"/>
                <w:color w:val="auto"/>
                <w:kern w:val="2"/>
                <w:sz w:val="22"/>
                <w:szCs w:val="22"/>
                <w:highlight w:val="none"/>
              </w:rPr>
              <w:t>签署日期：</w:t>
            </w:r>
          </w:p>
        </w:tc>
      </w:tr>
    </w:tbl>
    <w:p w14:paraId="1D652D17">
      <w:pPr>
        <w:tabs>
          <w:tab w:val="left" w:pos="1069"/>
          <w:tab w:val="left" w:pos="2352"/>
        </w:tabs>
        <w:spacing w:line="360" w:lineRule="exact"/>
        <w:jc w:val="left"/>
        <w:rPr>
          <w:rFonts w:ascii="宋体" w:hAnsi="宋体" w:cs="宋体"/>
          <w:bCs/>
          <w:color w:val="auto"/>
          <w:sz w:val="22"/>
          <w:highlight w:val="none"/>
          <w:u w:val="single"/>
        </w:rPr>
      </w:pPr>
    </w:p>
    <w:p w14:paraId="330ECB37">
      <w:pPr>
        <w:tabs>
          <w:tab w:val="left" w:pos="1069"/>
          <w:tab w:val="left" w:pos="2352"/>
        </w:tabs>
        <w:spacing w:line="360" w:lineRule="exact"/>
        <w:jc w:val="left"/>
        <w:rPr>
          <w:rFonts w:ascii="宋体" w:hAnsi="宋体" w:cs="宋体"/>
          <w:bCs/>
          <w:color w:val="auto"/>
          <w:sz w:val="22"/>
          <w:highlight w:val="none"/>
          <w:u w:val="single"/>
        </w:rPr>
      </w:pPr>
      <w:r>
        <w:rPr>
          <w:rFonts w:hint="eastAsia" w:ascii="宋体" w:hAnsi="宋体" w:cs="宋体"/>
          <w:bCs/>
          <w:color w:val="auto"/>
          <w:sz w:val="22"/>
          <w:highlight w:val="none"/>
          <w:u w:val="single"/>
        </w:rPr>
        <w:t>备注：▲投标供应商必须按要求提供本声明，不提供按无效投标处理。</w:t>
      </w:r>
    </w:p>
    <w:p w14:paraId="78E566F6">
      <w:pPr>
        <w:tabs>
          <w:tab w:val="left" w:pos="1069"/>
          <w:tab w:val="left" w:pos="2352"/>
        </w:tabs>
        <w:spacing w:line="360" w:lineRule="exact"/>
        <w:jc w:val="left"/>
        <w:rPr>
          <w:rFonts w:ascii="宋体" w:hAnsi="宋体" w:cs="宋体"/>
          <w:b/>
          <w:bCs/>
          <w:color w:val="auto"/>
          <w:sz w:val="32"/>
          <w:szCs w:val="32"/>
          <w:highlight w:val="none"/>
        </w:rPr>
      </w:pPr>
    </w:p>
    <w:p w14:paraId="132A64AB">
      <w:pPr>
        <w:tabs>
          <w:tab w:val="left" w:pos="1069"/>
          <w:tab w:val="left" w:pos="2352"/>
        </w:tabs>
        <w:spacing w:line="360" w:lineRule="exact"/>
        <w:jc w:val="left"/>
        <w:rPr>
          <w:rFonts w:ascii="宋体" w:hAnsi="宋体" w:cs="宋体"/>
          <w:b/>
          <w:bCs/>
          <w:color w:val="auto"/>
          <w:sz w:val="32"/>
          <w:szCs w:val="32"/>
          <w:highlight w:val="none"/>
        </w:rPr>
      </w:pPr>
    </w:p>
    <w:p w14:paraId="5C844B3C">
      <w:pPr>
        <w:tabs>
          <w:tab w:val="left" w:pos="1069"/>
          <w:tab w:val="left" w:pos="2352"/>
        </w:tabs>
        <w:spacing w:line="360" w:lineRule="exact"/>
        <w:jc w:val="left"/>
        <w:rPr>
          <w:rFonts w:ascii="宋体" w:hAnsi="宋体" w:cs="宋体"/>
          <w:b/>
          <w:bCs/>
          <w:color w:val="auto"/>
          <w:sz w:val="32"/>
          <w:szCs w:val="32"/>
          <w:highlight w:val="none"/>
        </w:rPr>
      </w:pPr>
    </w:p>
    <w:p w14:paraId="65DB4FB9">
      <w:pPr>
        <w:tabs>
          <w:tab w:val="left" w:pos="1069"/>
          <w:tab w:val="left" w:pos="2352"/>
        </w:tabs>
        <w:spacing w:line="360" w:lineRule="exact"/>
        <w:jc w:val="left"/>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rPr>
        <w:t>附件</w:t>
      </w:r>
      <w:r>
        <w:rPr>
          <w:rFonts w:hint="eastAsia" w:ascii="宋体" w:hAnsi="宋体" w:cs="宋体"/>
          <w:b/>
          <w:bCs/>
          <w:color w:val="auto"/>
          <w:sz w:val="32"/>
          <w:szCs w:val="32"/>
          <w:highlight w:val="none"/>
          <w:lang w:val="en-US" w:eastAsia="zh-CN"/>
        </w:rPr>
        <w:t>六</w:t>
      </w:r>
    </w:p>
    <w:p w14:paraId="499060F8">
      <w:pPr>
        <w:tabs>
          <w:tab w:val="left" w:pos="1069"/>
          <w:tab w:val="left" w:pos="2352"/>
        </w:tabs>
        <w:jc w:val="center"/>
        <w:rPr>
          <w:rFonts w:ascii="宋体" w:hAnsi="宋体" w:cs="宋体"/>
          <w:color w:val="auto"/>
          <w:sz w:val="24"/>
          <w:highlight w:val="none"/>
        </w:rPr>
      </w:pPr>
      <w:bookmarkStart w:id="259" w:name="_Toc7010_WPSOffice_Level3"/>
      <w:r>
        <w:rPr>
          <w:rFonts w:hint="eastAsia" w:ascii="宋体" w:hAnsi="宋体" w:cs="宋体"/>
          <w:b/>
          <w:bCs/>
          <w:color w:val="auto"/>
          <w:sz w:val="32"/>
          <w:szCs w:val="32"/>
          <w:highlight w:val="none"/>
        </w:rPr>
        <w:t>法定代表人诚信投标承诺书</w:t>
      </w:r>
      <w:bookmarkEnd w:id="259"/>
    </w:p>
    <w:p w14:paraId="4B4E4A7A">
      <w:pPr>
        <w:tabs>
          <w:tab w:val="left" w:pos="1069"/>
          <w:tab w:val="left" w:pos="2352"/>
        </w:tabs>
        <w:spacing w:line="460" w:lineRule="atLeast"/>
        <w:jc w:val="left"/>
        <w:rPr>
          <w:rFonts w:ascii="宋体" w:hAnsi="宋体" w:cs="宋体"/>
          <w:color w:val="auto"/>
          <w:sz w:val="22"/>
          <w:highlight w:val="none"/>
        </w:rPr>
      </w:pPr>
      <w:r>
        <w:rPr>
          <w:rFonts w:hint="eastAsia" w:ascii="宋体" w:hAnsi="宋体" w:cs="宋体"/>
          <w:color w:val="auto"/>
          <w:sz w:val="22"/>
          <w:highlight w:val="none"/>
        </w:rPr>
        <w:t>本人以企业法定代表人的身份郑重承诺：</w:t>
      </w:r>
    </w:p>
    <w:p w14:paraId="18363839">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将遵循公开、公平、公正和诚信信用的原则参加</w:t>
      </w:r>
      <w:r>
        <w:rPr>
          <w:rFonts w:hint="eastAsia" w:ascii="宋体" w:hAnsi="宋体" w:cs="宋体"/>
          <w:color w:val="auto"/>
          <w:sz w:val="22"/>
          <w:highlight w:val="none"/>
          <w:u w:val="single"/>
          <w:lang w:eastAsia="zh-CN"/>
        </w:rPr>
        <w:t>2024年泰顺县彭溪镇峰文村牛塘垵简洋农田宜机化改造项目</w:t>
      </w:r>
      <w:r>
        <w:rPr>
          <w:rFonts w:hint="eastAsia" w:ascii="宋体" w:hAnsi="宋体" w:cs="宋体"/>
          <w:color w:val="auto"/>
          <w:sz w:val="22"/>
          <w:highlight w:val="none"/>
          <w:u w:val="single"/>
        </w:rPr>
        <w:t>（采购编号：</w:t>
      </w:r>
      <w:r>
        <w:rPr>
          <w:rFonts w:hint="eastAsia" w:ascii="宋体" w:hAnsi="宋体" w:cs="宋体"/>
          <w:color w:val="auto"/>
          <w:sz w:val="22"/>
          <w:highlight w:val="none"/>
          <w:u w:val="single"/>
          <w:lang w:eastAsia="zh-CN"/>
        </w:rPr>
        <w:t>TSCG202501003</w:t>
      </w:r>
      <w:r>
        <w:rPr>
          <w:rFonts w:hint="eastAsia" w:ascii="宋体" w:hAnsi="宋体" w:cs="宋体"/>
          <w:color w:val="auto"/>
          <w:sz w:val="22"/>
          <w:highlight w:val="none"/>
          <w:u w:val="single"/>
        </w:rPr>
        <w:t>）</w:t>
      </w:r>
      <w:r>
        <w:rPr>
          <w:rFonts w:hint="eastAsia" w:ascii="宋体" w:hAnsi="宋体" w:cs="宋体"/>
          <w:color w:val="auto"/>
          <w:sz w:val="22"/>
          <w:highlight w:val="none"/>
        </w:rPr>
        <w:t>的投标；</w:t>
      </w:r>
    </w:p>
    <w:p w14:paraId="20C0F25D">
      <w:pPr>
        <w:tabs>
          <w:tab w:val="left" w:pos="1069"/>
          <w:tab w:val="left" w:pos="2352"/>
        </w:tabs>
        <w:spacing w:line="460" w:lineRule="atLeast"/>
        <w:ind w:firstLine="446" w:firstLineChars="200"/>
        <w:jc w:val="left"/>
        <w:rPr>
          <w:rFonts w:ascii="宋体" w:hAnsi="宋体" w:cs="宋体"/>
          <w:color w:val="auto"/>
          <w:sz w:val="22"/>
          <w:highlight w:val="none"/>
          <w:u w:val="single"/>
        </w:rPr>
      </w:pPr>
      <w:r>
        <w:rPr>
          <w:rFonts w:hint="eastAsia" w:ascii="宋体" w:hAnsi="宋体" w:cs="宋体"/>
          <w:color w:val="auto"/>
          <w:sz w:val="22"/>
          <w:highlight w:val="none"/>
        </w:rPr>
        <w:t>一、杜绝以收取管理费等形式的一切挂靠、违法转包、分包行为；并选派有丰富经验、无不良行为记录的在项目管理人员、技术人员，严格按竞争性磋商文件、投标（响应）文件及合同等要求保证拟派人员的到岗率。</w:t>
      </w:r>
    </w:p>
    <w:p w14:paraId="7C13F627">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二、投标（响应）文件所提供的一切材料都是真实、有效、合法的。</w:t>
      </w:r>
    </w:p>
    <w:p w14:paraId="3B847A36">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三、不与其他投标人相互串通投标报价，不排挤其他投标人的公平竞争，不损害招标人或其他投标人的合法权益。</w:t>
      </w:r>
    </w:p>
    <w:p w14:paraId="500B74BB">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四、不与采购人或招标代理机构串通投标，不损害国家利益，社会公共利益或其他人的合法权益。</w:t>
      </w:r>
    </w:p>
    <w:p w14:paraId="633DF484">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五、不向采购人或者评审小组成员行贿以牟取中标(成交)。</w:t>
      </w:r>
    </w:p>
    <w:p w14:paraId="7E1B5170">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六、不以其他人名义投标或者以其他方式弄虚作假，骗取中标(成交)。</w:t>
      </w:r>
    </w:p>
    <w:p w14:paraId="240E6F74">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七、不在开标后进行虚假恶意投诉。</w:t>
      </w:r>
    </w:p>
    <w:p w14:paraId="20029C2B">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八、我单位没有被政府机关列入失信被执行人名单、重大税收违法案件当事人名单、政府采购严重违法失信行为记录名单及其他不符合《中华人民共和国政府采购法》第二十二条规定条件的情形：</w:t>
      </w:r>
    </w:p>
    <w:p w14:paraId="361733E8">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九、没有被各地、各级财政部门禁止参加政府采购活动，且在限制期限内：</w:t>
      </w:r>
    </w:p>
    <w:p w14:paraId="01041800">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十、参与本项目政府采购活动3年内没有重大违法记录情况。</w:t>
      </w:r>
    </w:p>
    <w:p w14:paraId="3859CDA8">
      <w:pPr>
        <w:tabs>
          <w:tab w:val="left" w:pos="1069"/>
          <w:tab w:val="left" w:pos="2352"/>
        </w:tabs>
        <w:spacing w:line="460" w:lineRule="atLeast"/>
        <w:ind w:firstLine="446" w:firstLineChars="200"/>
        <w:rPr>
          <w:rFonts w:ascii="宋体" w:hAnsi="宋体" w:cs="宋体"/>
          <w:color w:val="auto"/>
          <w:sz w:val="22"/>
          <w:highlight w:val="none"/>
        </w:rPr>
      </w:pPr>
      <w:r>
        <w:rPr>
          <w:rFonts w:hint="eastAsia" w:ascii="宋体" w:hAnsi="宋体" w:cs="宋体"/>
          <w:color w:val="auto"/>
          <w:sz w:val="22"/>
          <w:highlight w:val="none"/>
        </w:rPr>
        <w:t>本公司若有违反本承诺内容的行为，愿意承担法律责任，包括不限于：愿意接受相关行政主管部门作出的处罚；给采购人造成损失的，依法承担相应的赔偿责任。</w:t>
      </w:r>
    </w:p>
    <w:p w14:paraId="7F9E7264">
      <w:pPr>
        <w:tabs>
          <w:tab w:val="left" w:pos="1069"/>
          <w:tab w:val="left" w:pos="2352"/>
        </w:tabs>
        <w:spacing w:line="460" w:lineRule="atLeast"/>
        <w:ind w:right="1120" w:firstLine="3010" w:firstLineChars="1350"/>
        <w:rPr>
          <w:rFonts w:ascii="宋体" w:hAnsi="宋体" w:cs="宋体"/>
          <w:color w:val="auto"/>
          <w:sz w:val="22"/>
          <w:highlight w:val="none"/>
        </w:rPr>
      </w:pPr>
      <w:r>
        <w:rPr>
          <w:rFonts w:hint="eastAsia" w:ascii="宋体" w:hAnsi="宋体" w:cs="宋体"/>
          <w:b/>
          <w:bCs/>
          <w:color w:val="auto"/>
          <w:sz w:val="22"/>
          <w:highlight w:val="none"/>
        </w:rPr>
        <w:t>法定代表人（签字或签章）</w:t>
      </w:r>
      <w:r>
        <w:rPr>
          <w:rFonts w:hint="eastAsia" w:ascii="宋体" w:hAnsi="宋体" w:cs="宋体"/>
          <w:color w:val="auto"/>
          <w:sz w:val="22"/>
          <w:highlight w:val="none"/>
        </w:rPr>
        <w:t>：</w:t>
      </w:r>
    </w:p>
    <w:p w14:paraId="0D46A813">
      <w:pPr>
        <w:tabs>
          <w:tab w:val="left" w:pos="1069"/>
          <w:tab w:val="left" w:pos="2352"/>
        </w:tabs>
        <w:spacing w:line="460" w:lineRule="atLeast"/>
        <w:ind w:right="1120" w:firstLine="3010" w:firstLineChars="1350"/>
        <w:rPr>
          <w:rFonts w:ascii="宋体" w:hAnsi="宋体" w:cs="宋体"/>
          <w:color w:val="auto"/>
          <w:sz w:val="22"/>
          <w:highlight w:val="none"/>
        </w:rPr>
      </w:pPr>
      <w:r>
        <w:rPr>
          <w:rFonts w:hint="eastAsia" w:ascii="宋体" w:hAnsi="宋体" w:cs="宋体"/>
          <w:color w:val="auto"/>
          <w:sz w:val="22"/>
          <w:highlight w:val="none"/>
        </w:rPr>
        <w:t>投标供应商（盖章）</w:t>
      </w:r>
    </w:p>
    <w:p w14:paraId="1DA9B3E7">
      <w:pPr>
        <w:tabs>
          <w:tab w:val="left" w:pos="1069"/>
          <w:tab w:val="left" w:pos="2352"/>
        </w:tabs>
        <w:spacing w:line="460" w:lineRule="atLeast"/>
        <w:ind w:right="1120" w:firstLine="3010" w:firstLineChars="1350"/>
        <w:rPr>
          <w:rFonts w:ascii="宋体" w:hAnsi="宋体" w:cs="宋体"/>
          <w:color w:val="auto"/>
          <w:szCs w:val="21"/>
          <w:highlight w:val="none"/>
        </w:rPr>
      </w:pPr>
      <w:r>
        <w:rPr>
          <w:rFonts w:hint="eastAsia" w:ascii="宋体" w:hAnsi="宋体" w:cs="宋体"/>
          <w:color w:val="auto"/>
          <w:sz w:val="22"/>
          <w:highlight w:val="none"/>
        </w:rPr>
        <w:t>承诺书签署日期：年月日</w:t>
      </w:r>
    </w:p>
    <w:p w14:paraId="54E99A8B">
      <w:pPr>
        <w:tabs>
          <w:tab w:val="left" w:pos="1069"/>
          <w:tab w:val="left" w:pos="2352"/>
        </w:tabs>
        <w:spacing w:line="360" w:lineRule="exact"/>
        <w:jc w:val="left"/>
        <w:rPr>
          <w:rFonts w:ascii="宋体" w:hAnsi="宋体" w:cs="宋体"/>
          <w:bCs/>
          <w:color w:val="auto"/>
          <w:sz w:val="22"/>
          <w:highlight w:val="none"/>
          <w:u w:val="single"/>
        </w:rPr>
      </w:pPr>
    </w:p>
    <w:p w14:paraId="193631F8">
      <w:pPr>
        <w:tabs>
          <w:tab w:val="left" w:pos="1069"/>
          <w:tab w:val="left" w:pos="2352"/>
        </w:tabs>
        <w:spacing w:line="360" w:lineRule="exact"/>
        <w:jc w:val="left"/>
        <w:rPr>
          <w:rFonts w:ascii="宋体" w:hAnsi="宋体" w:cs="宋体"/>
          <w:color w:val="auto"/>
          <w:sz w:val="30"/>
          <w:highlight w:val="none"/>
        </w:rPr>
      </w:pPr>
      <w:r>
        <w:rPr>
          <w:rFonts w:hint="eastAsia" w:ascii="宋体" w:hAnsi="宋体" w:cs="宋体"/>
          <w:bCs/>
          <w:color w:val="auto"/>
          <w:sz w:val="22"/>
          <w:highlight w:val="none"/>
          <w:u w:val="single"/>
        </w:rPr>
        <w:t>备注：▲投标供应商必须提供本承诺书，不提供按无效投标处理。</w:t>
      </w:r>
    </w:p>
    <w:p w14:paraId="27D4D4C9">
      <w:pPr>
        <w:pStyle w:val="12"/>
        <w:tabs>
          <w:tab w:val="left" w:pos="1069"/>
          <w:tab w:val="left" w:pos="2352"/>
        </w:tabs>
        <w:spacing w:line="360" w:lineRule="exact"/>
        <w:jc w:val="center"/>
        <w:rPr>
          <w:rFonts w:hAnsi="宋体" w:cs="宋体"/>
          <w:color w:val="auto"/>
          <w:sz w:val="32"/>
          <w:highlight w:val="none"/>
        </w:rPr>
      </w:pPr>
    </w:p>
    <w:p w14:paraId="3EDA1DEE">
      <w:pPr>
        <w:tabs>
          <w:tab w:val="left" w:pos="1069"/>
          <w:tab w:val="left" w:pos="2352"/>
        </w:tabs>
        <w:spacing w:line="360" w:lineRule="exact"/>
        <w:jc w:val="left"/>
        <w:rPr>
          <w:rFonts w:ascii="宋体" w:hAnsi="宋体" w:cs="宋体"/>
          <w:color w:val="auto"/>
          <w:sz w:val="30"/>
          <w:highlight w:val="none"/>
        </w:rPr>
      </w:pPr>
    </w:p>
    <w:p w14:paraId="17F58820">
      <w:pPr>
        <w:tabs>
          <w:tab w:val="left" w:pos="2352"/>
        </w:tabs>
        <w:rPr>
          <w:color w:val="auto"/>
          <w:highlight w:val="none"/>
          <w:lang w:val="zh-CN"/>
        </w:rPr>
      </w:pPr>
    </w:p>
    <w:p w14:paraId="7C525180">
      <w:pPr>
        <w:pStyle w:val="12"/>
        <w:tabs>
          <w:tab w:val="left" w:pos="1069"/>
          <w:tab w:val="left" w:pos="2352"/>
        </w:tabs>
        <w:spacing w:line="360" w:lineRule="exact"/>
        <w:jc w:val="left"/>
        <w:rPr>
          <w:rFonts w:hint="eastAsia" w:hAnsi="宋体" w:eastAsia="宋体" w:cs="宋体"/>
          <w:b/>
          <w:bCs/>
          <w:color w:val="auto"/>
          <w:sz w:val="32"/>
          <w:highlight w:val="none"/>
          <w:lang w:eastAsia="zh-CN"/>
        </w:rPr>
      </w:pPr>
      <w:r>
        <w:rPr>
          <w:rFonts w:hint="eastAsia" w:hAnsi="宋体" w:cs="宋体"/>
          <w:b/>
          <w:bCs/>
          <w:color w:val="auto"/>
          <w:sz w:val="32"/>
          <w:highlight w:val="none"/>
          <w:lang w:val="zh-CN"/>
        </w:rPr>
        <w:t>附件</w:t>
      </w:r>
      <w:r>
        <w:rPr>
          <w:rFonts w:hint="eastAsia" w:hAnsi="宋体" w:cs="宋体"/>
          <w:b/>
          <w:bCs/>
          <w:color w:val="auto"/>
          <w:sz w:val="32"/>
          <w:highlight w:val="none"/>
          <w:lang w:val="en-US" w:eastAsia="zh-CN"/>
        </w:rPr>
        <w:t>七</w:t>
      </w:r>
    </w:p>
    <w:p w14:paraId="2E703B76">
      <w:pPr>
        <w:pStyle w:val="12"/>
        <w:tabs>
          <w:tab w:val="left" w:pos="1069"/>
          <w:tab w:val="left" w:pos="2352"/>
        </w:tabs>
        <w:spacing w:line="360" w:lineRule="exact"/>
        <w:jc w:val="center"/>
        <w:rPr>
          <w:rFonts w:hAnsi="宋体" w:cs="宋体"/>
          <w:b/>
          <w:bCs/>
          <w:color w:val="auto"/>
          <w:sz w:val="32"/>
          <w:highlight w:val="none"/>
          <w:lang w:val="zh-CN"/>
        </w:rPr>
      </w:pPr>
      <w:bookmarkStart w:id="260" w:name="_Toc18541_WPSOffice_Level3"/>
      <w:r>
        <w:rPr>
          <w:rFonts w:hint="eastAsia" w:hAnsi="宋体" w:cs="宋体"/>
          <w:b/>
          <w:bCs/>
          <w:color w:val="auto"/>
          <w:sz w:val="32"/>
          <w:highlight w:val="none"/>
          <w:lang w:val="zh-CN"/>
        </w:rPr>
        <w:t>（一）商务偏离表</w:t>
      </w:r>
      <w:bookmarkEnd w:id="260"/>
    </w:p>
    <w:p w14:paraId="19C72FB1">
      <w:pPr>
        <w:tabs>
          <w:tab w:val="left" w:pos="1069"/>
          <w:tab w:val="left" w:pos="2352"/>
        </w:tabs>
        <w:autoSpaceDE w:val="0"/>
        <w:autoSpaceDN w:val="0"/>
        <w:adjustRightInd w:val="0"/>
        <w:spacing w:line="360" w:lineRule="exact"/>
        <w:jc w:val="center"/>
        <w:rPr>
          <w:rFonts w:ascii="宋体" w:hAnsi="宋体" w:cs="宋体"/>
          <w:color w:val="auto"/>
          <w:sz w:val="32"/>
          <w:highlight w:val="none"/>
          <w:lang w:val="zh-CN"/>
        </w:rPr>
      </w:pPr>
    </w:p>
    <w:tbl>
      <w:tblPr>
        <w:tblStyle w:val="31"/>
        <w:tblW w:w="0" w:type="auto"/>
        <w:tblInd w:w="108" w:type="dxa"/>
        <w:tblLayout w:type="fixed"/>
        <w:tblCellMar>
          <w:top w:w="0" w:type="dxa"/>
          <w:left w:w="108" w:type="dxa"/>
          <w:bottom w:w="0" w:type="dxa"/>
          <w:right w:w="108" w:type="dxa"/>
        </w:tblCellMar>
      </w:tblPr>
      <w:tblGrid>
        <w:gridCol w:w="1080"/>
        <w:gridCol w:w="1620"/>
        <w:gridCol w:w="2220"/>
        <w:gridCol w:w="2220"/>
        <w:gridCol w:w="2295"/>
      </w:tblGrid>
      <w:tr w14:paraId="48A27940">
        <w:tblPrEx>
          <w:tblCellMar>
            <w:top w:w="0" w:type="dxa"/>
            <w:left w:w="108" w:type="dxa"/>
            <w:bottom w:w="0" w:type="dxa"/>
            <w:right w:w="108" w:type="dxa"/>
          </w:tblCellMar>
        </w:tblPrEx>
        <w:trPr>
          <w:trHeight w:val="936" w:hRule="atLeast"/>
        </w:trPr>
        <w:tc>
          <w:tcPr>
            <w:tcW w:w="1080" w:type="dxa"/>
            <w:tcBorders>
              <w:top w:val="single" w:color="auto" w:sz="6" w:space="0"/>
              <w:left w:val="single" w:color="auto" w:sz="6" w:space="0"/>
              <w:bottom w:val="single" w:color="auto" w:sz="6" w:space="0"/>
              <w:right w:val="single" w:color="auto" w:sz="6" w:space="0"/>
            </w:tcBorders>
            <w:vAlign w:val="center"/>
          </w:tcPr>
          <w:p w14:paraId="082AC287">
            <w:pPr>
              <w:tabs>
                <w:tab w:val="left" w:pos="1069"/>
                <w:tab w:val="left" w:pos="2352"/>
              </w:tabs>
              <w:autoSpaceDE w:val="0"/>
              <w:autoSpaceDN w:val="0"/>
              <w:adjustRightInd w:val="0"/>
              <w:spacing w:line="360" w:lineRule="exact"/>
              <w:rPr>
                <w:rFonts w:ascii="宋体" w:hAnsi="宋体" w:cs="宋体"/>
                <w:color w:val="auto"/>
                <w:sz w:val="24"/>
                <w:highlight w:val="none"/>
              </w:rPr>
            </w:pPr>
            <w:r>
              <w:rPr>
                <w:rFonts w:hint="eastAsia" w:ascii="宋体" w:hAnsi="宋体" w:cs="宋体"/>
                <w:color w:val="auto"/>
                <w:sz w:val="24"/>
                <w:highlight w:val="none"/>
              </w:rPr>
              <w:t>序号</w:t>
            </w:r>
          </w:p>
        </w:tc>
        <w:tc>
          <w:tcPr>
            <w:tcW w:w="1620" w:type="dxa"/>
            <w:tcBorders>
              <w:top w:val="single" w:color="auto" w:sz="6" w:space="0"/>
              <w:left w:val="single" w:color="auto" w:sz="6" w:space="0"/>
              <w:bottom w:val="single" w:color="auto" w:sz="6" w:space="0"/>
              <w:right w:val="single" w:color="auto" w:sz="6" w:space="0"/>
            </w:tcBorders>
            <w:vAlign w:val="center"/>
          </w:tcPr>
          <w:p w14:paraId="3CA1646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内容</w:t>
            </w:r>
          </w:p>
        </w:tc>
        <w:tc>
          <w:tcPr>
            <w:tcW w:w="2220" w:type="dxa"/>
            <w:tcBorders>
              <w:top w:val="single" w:color="auto" w:sz="6" w:space="0"/>
              <w:left w:val="single" w:color="auto" w:sz="6" w:space="0"/>
              <w:bottom w:val="single" w:color="auto" w:sz="6" w:space="0"/>
              <w:right w:val="single" w:color="auto" w:sz="6" w:space="0"/>
            </w:tcBorders>
            <w:vAlign w:val="center"/>
          </w:tcPr>
          <w:p w14:paraId="318E8472">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竞争性磋商文件规范要求</w:t>
            </w:r>
          </w:p>
        </w:tc>
        <w:tc>
          <w:tcPr>
            <w:tcW w:w="2220" w:type="dxa"/>
            <w:tcBorders>
              <w:top w:val="single" w:color="auto" w:sz="6" w:space="0"/>
              <w:left w:val="single" w:color="auto" w:sz="6" w:space="0"/>
              <w:bottom w:val="single" w:color="auto" w:sz="6" w:space="0"/>
              <w:right w:val="single" w:color="auto" w:sz="6" w:space="0"/>
            </w:tcBorders>
            <w:vAlign w:val="center"/>
          </w:tcPr>
          <w:p w14:paraId="542141B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投标（响应）文件</w:t>
            </w:r>
          </w:p>
          <w:p w14:paraId="0B92BBD4">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对应规范</w:t>
            </w:r>
          </w:p>
        </w:tc>
        <w:tc>
          <w:tcPr>
            <w:tcW w:w="2295" w:type="dxa"/>
            <w:tcBorders>
              <w:top w:val="single" w:color="auto" w:sz="6" w:space="0"/>
              <w:left w:val="single" w:color="auto" w:sz="6" w:space="0"/>
              <w:bottom w:val="single" w:color="auto" w:sz="6" w:space="0"/>
              <w:right w:val="single" w:color="auto" w:sz="6" w:space="0"/>
            </w:tcBorders>
            <w:vAlign w:val="center"/>
          </w:tcPr>
          <w:p w14:paraId="5660C0E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备注</w:t>
            </w:r>
          </w:p>
        </w:tc>
      </w:tr>
      <w:tr w14:paraId="76A96ED8">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1E887A1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538D5D8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B2DDBFD">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35C36E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615465C4">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010383D4">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3D039F4B">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74DB9F0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976A1C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DBF832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76CD47F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54491EAF">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743262E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78D2278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5A67E4DB">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AEEEB0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8E3312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71DC7F16">
        <w:tblPrEx>
          <w:tblCellMar>
            <w:top w:w="0" w:type="dxa"/>
            <w:left w:w="108" w:type="dxa"/>
            <w:bottom w:w="0" w:type="dxa"/>
            <w:right w:w="108" w:type="dxa"/>
          </w:tblCellMar>
        </w:tblPrEx>
        <w:trPr>
          <w:trHeight w:val="436" w:hRule="atLeast"/>
        </w:trPr>
        <w:tc>
          <w:tcPr>
            <w:tcW w:w="1080" w:type="dxa"/>
            <w:tcBorders>
              <w:top w:val="single" w:color="auto" w:sz="6" w:space="0"/>
              <w:left w:val="single" w:color="auto" w:sz="6" w:space="0"/>
              <w:bottom w:val="single" w:color="auto" w:sz="6" w:space="0"/>
              <w:right w:val="single" w:color="auto" w:sz="6" w:space="0"/>
            </w:tcBorders>
          </w:tcPr>
          <w:p w14:paraId="7C3B74B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431214E8">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F4FEE61">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3ADFA1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0B4507A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7C3AFAA2">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59809B2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3C0C458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362CD6D">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685F5A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0C89F903">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4F0AB4A9">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3B6FE63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75306BE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C0249C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8C33A4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6E61C8D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561D41B1">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60843B8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621127A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CBCE20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CD64F72">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7853368">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40B3149B">
        <w:tblPrEx>
          <w:tblCellMar>
            <w:top w:w="0" w:type="dxa"/>
            <w:left w:w="108" w:type="dxa"/>
            <w:bottom w:w="0" w:type="dxa"/>
            <w:right w:w="108" w:type="dxa"/>
          </w:tblCellMar>
        </w:tblPrEx>
        <w:trPr>
          <w:trHeight w:val="436" w:hRule="atLeast"/>
        </w:trPr>
        <w:tc>
          <w:tcPr>
            <w:tcW w:w="1080" w:type="dxa"/>
            <w:tcBorders>
              <w:top w:val="single" w:color="auto" w:sz="6" w:space="0"/>
              <w:left w:val="single" w:color="auto" w:sz="6" w:space="0"/>
              <w:bottom w:val="single" w:color="auto" w:sz="6" w:space="0"/>
              <w:right w:val="single" w:color="auto" w:sz="6" w:space="0"/>
            </w:tcBorders>
          </w:tcPr>
          <w:p w14:paraId="69C0EA28">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0BBF9C1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56D3124">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96DC007">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8292F41">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34500DD1">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50FAEC8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52BA2C5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1CB428E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79F031D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84ECCB2">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bl>
    <w:p w14:paraId="4DA8ADF3">
      <w:pPr>
        <w:tabs>
          <w:tab w:val="left" w:pos="1069"/>
          <w:tab w:val="left" w:pos="2352"/>
        </w:tabs>
        <w:autoSpaceDE w:val="0"/>
        <w:autoSpaceDN w:val="0"/>
        <w:adjustRightInd w:val="0"/>
        <w:spacing w:line="360" w:lineRule="exact"/>
        <w:rPr>
          <w:rFonts w:ascii="宋体" w:hAnsi="宋体" w:cs="宋体"/>
          <w:color w:val="auto"/>
          <w:sz w:val="24"/>
          <w:highlight w:val="none"/>
          <w:lang w:val="zh-CN"/>
        </w:rPr>
      </w:pPr>
      <w:r>
        <w:rPr>
          <w:rFonts w:hint="eastAsia" w:ascii="宋体" w:hAnsi="宋体" w:cs="宋体"/>
          <w:color w:val="auto"/>
          <w:sz w:val="24"/>
          <w:highlight w:val="none"/>
          <w:lang w:val="zh-CN"/>
        </w:rPr>
        <w:t>供应商盖章：</w:t>
      </w:r>
    </w:p>
    <w:p w14:paraId="2CE6CB42">
      <w:pPr>
        <w:tabs>
          <w:tab w:val="left" w:pos="1069"/>
          <w:tab w:val="left" w:pos="2352"/>
        </w:tabs>
        <w:autoSpaceDE w:val="0"/>
        <w:autoSpaceDN w:val="0"/>
        <w:adjustRightInd w:val="0"/>
        <w:spacing w:line="360" w:lineRule="exact"/>
        <w:rPr>
          <w:rFonts w:ascii="宋体" w:hAnsi="宋体" w:cs="宋体"/>
          <w:color w:val="auto"/>
          <w:sz w:val="32"/>
          <w:highlight w:val="none"/>
          <w:lang w:val="zh-CN"/>
        </w:rPr>
      </w:pPr>
    </w:p>
    <w:p w14:paraId="0DADBCB0">
      <w:pPr>
        <w:pStyle w:val="12"/>
        <w:tabs>
          <w:tab w:val="left" w:pos="1069"/>
          <w:tab w:val="left" w:pos="2352"/>
        </w:tabs>
        <w:spacing w:line="360" w:lineRule="exact"/>
        <w:jc w:val="center"/>
        <w:rPr>
          <w:rFonts w:hAnsi="宋体" w:cs="宋体"/>
          <w:b/>
          <w:bCs/>
          <w:color w:val="auto"/>
          <w:sz w:val="32"/>
          <w:highlight w:val="none"/>
          <w:lang w:val="zh-CN"/>
        </w:rPr>
      </w:pPr>
      <w:bookmarkStart w:id="261" w:name="_Toc4031_WPSOffice_Level3"/>
      <w:r>
        <w:rPr>
          <w:rFonts w:hint="eastAsia" w:hAnsi="宋体" w:cs="宋体"/>
          <w:b/>
          <w:bCs/>
          <w:color w:val="auto"/>
          <w:sz w:val="32"/>
          <w:highlight w:val="none"/>
          <w:lang w:val="zh-CN"/>
        </w:rPr>
        <w:t>（二）技术偏离表</w:t>
      </w:r>
      <w:bookmarkEnd w:id="261"/>
    </w:p>
    <w:tbl>
      <w:tblPr>
        <w:tblStyle w:val="31"/>
        <w:tblW w:w="0" w:type="auto"/>
        <w:tblInd w:w="108" w:type="dxa"/>
        <w:tblLayout w:type="fixed"/>
        <w:tblCellMar>
          <w:top w:w="0" w:type="dxa"/>
          <w:left w:w="108" w:type="dxa"/>
          <w:bottom w:w="0" w:type="dxa"/>
          <w:right w:w="108" w:type="dxa"/>
        </w:tblCellMar>
      </w:tblPr>
      <w:tblGrid>
        <w:gridCol w:w="1080"/>
        <w:gridCol w:w="1620"/>
        <w:gridCol w:w="2220"/>
        <w:gridCol w:w="2220"/>
        <w:gridCol w:w="2295"/>
      </w:tblGrid>
      <w:tr w14:paraId="36BE375E">
        <w:tblPrEx>
          <w:tblCellMar>
            <w:top w:w="0" w:type="dxa"/>
            <w:left w:w="108" w:type="dxa"/>
            <w:bottom w:w="0" w:type="dxa"/>
            <w:right w:w="108" w:type="dxa"/>
          </w:tblCellMar>
        </w:tblPrEx>
        <w:trPr>
          <w:trHeight w:val="918" w:hRule="atLeast"/>
        </w:trPr>
        <w:tc>
          <w:tcPr>
            <w:tcW w:w="1080" w:type="dxa"/>
            <w:tcBorders>
              <w:top w:val="single" w:color="auto" w:sz="6" w:space="0"/>
              <w:left w:val="single" w:color="auto" w:sz="6" w:space="0"/>
              <w:bottom w:val="single" w:color="auto" w:sz="6" w:space="0"/>
              <w:right w:val="single" w:color="auto" w:sz="6" w:space="0"/>
            </w:tcBorders>
            <w:vAlign w:val="center"/>
          </w:tcPr>
          <w:p w14:paraId="1A20AF7E">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序号</w:t>
            </w:r>
          </w:p>
        </w:tc>
        <w:tc>
          <w:tcPr>
            <w:tcW w:w="1620" w:type="dxa"/>
            <w:tcBorders>
              <w:top w:val="single" w:color="auto" w:sz="6" w:space="0"/>
              <w:left w:val="single" w:color="auto" w:sz="6" w:space="0"/>
              <w:bottom w:val="single" w:color="auto" w:sz="6" w:space="0"/>
              <w:right w:val="single" w:color="auto" w:sz="6" w:space="0"/>
            </w:tcBorders>
            <w:vAlign w:val="center"/>
          </w:tcPr>
          <w:p w14:paraId="2C358C0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内容</w:t>
            </w:r>
          </w:p>
        </w:tc>
        <w:tc>
          <w:tcPr>
            <w:tcW w:w="2220" w:type="dxa"/>
            <w:tcBorders>
              <w:top w:val="single" w:color="auto" w:sz="6" w:space="0"/>
              <w:left w:val="single" w:color="auto" w:sz="6" w:space="0"/>
              <w:bottom w:val="single" w:color="auto" w:sz="6" w:space="0"/>
              <w:right w:val="single" w:color="auto" w:sz="6" w:space="0"/>
            </w:tcBorders>
            <w:vAlign w:val="center"/>
          </w:tcPr>
          <w:p w14:paraId="0A6E4B29">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竞争性磋商文件规范要求</w:t>
            </w:r>
          </w:p>
        </w:tc>
        <w:tc>
          <w:tcPr>
            <w:tcW w:w="2220" w:type="dxa"/>
            <w:tcBorders>
              <w:top w:val="single" w:color="auto" w:sz="6" w:space="0"/>
              <w:left w:val="single" w:color="auto" w:sz="6" w:space="0"/>
              <w:bottom w:val="single" w:color="auto" w:sz="6" w:space="0"/>
              <w:right w:val="single" w:color="auto" w:sz="6" w:space="0"/>
            </w:tcBorders>
            <w:vAlign w:val="center"/>
          </w:tcPr>
          <w:p w14:paraId="67843A7C">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投标（响应）文件</w:t>
            </w:r>
          </w:p>
          <w:p w14:paraId="0A42ED1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对应规范</w:t>
            </w:r>
          </w:p>
        </w:tc>
        <w:tc>
          <w:tcPr>
            <w:tcW w:w="2295" w:type="dxa"/>
            <w:tcBorders>
              <w:top w:val="single" w:color="auto" w:sz="6" w:space="0"/>
              <w:left w:val="single" w:color="auto" w:sz="6" w:space="0"/>
              <w:bottom w:val="single" w:color="auto" w:sz="6" w:space="0"/>
              <w:right w:val="single" w:color="auto" w:sz="6" w:space="0"/>
            </w:tcBorders>
            <w:vAlign w:val="center"/>
          </w:tcPr>
          <w:p w14:paraId="5F37AD5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备注</w:t>
            </w:r>
          </w:p>
        </w:tc>
      </w:tr>
      <w:tr w14:paraId="2118361F">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5C86CC49">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29FECE3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5F9F68E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7D77ADB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08C46606">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56C0AAEB">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1FB51B9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4D611704">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1ECA239">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A83646C">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58B89F00">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066AB8C4">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29D1269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183F3AAE">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D168F28">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700EFED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85274B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49BCD85C">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4363CD4E">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3256598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12F8F3E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B013857">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22FB957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290FF34D">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3F040D7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3A8A9F94">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B510B2E">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6F994C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465FC0A8">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4B389B6E">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6B0227E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4B716291">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10E9EE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4E10F1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5C1E80C6">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2C0F4F8D">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719A65EA">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4B55A14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4F16C6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3CFC2D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780824EC">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736BD148">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6B2D1AA7">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1575C97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54E377C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8B5670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500F247">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3136C15A">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253DEF7A">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6AE93521">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B3AEC94">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698E708">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5AA7E49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bl>
    <w:p w14:paraId="0345630D">
      <w:pPr>
        <w:tabs>
          <w:tab w:val="left" w:pos="1069"/>
          <w:tab w:val="left" w:pos="2352"/>
        </w:tabs>
        <w:spacing w:line="360" w:lineRule="exact"/>
        <w:rPr>
          <w:rFonts w:ascii="宋体" w:hAnsi="宋体" w:cs="宋体"/>
          <w:color w:val="auto"/>
          <w:spacing w:val="20"/>
          <w:sz w:val="22"/>
          <w:highlight w:val="none"/>
        </w:rPr>
      </w:pPr>
      <w:r>
        <w:rPr>
          <w:rFonts w:hint="eastAsia" w:ascii="宋体" w:hAnsi="宋体" w:cs="宋体"/>
          <w:color w:val="auto"/>
          <w:sz w:val="22"/>
          <w:highlight w:val="none"/>
          <w:lang w:val="zh-CN"/>
        </w:rPr>
        <w:t>供应商盖章：</w:t>
      </w:r>
    </w:p>
    <w:p w14:paraId="0890703B">
      <w:pPr>
        <w:tabs>
          <w:tab w:val="left" w:pos="1069"/>
          <w:tab w:val="left" w:pos="2352"/>
        </w:tabs>
        <w:rPr>
          <w:rFonts w:ascii="宋体" w:hAnsi="宋体" w:cs="宋体"/>
          <w:color w:val="auto"/>
          <w:highlight w:val="none"/>
        </w:rPr>
      </w:pPr>
      <w:bookmarkStart w:id="262" w:name="_Toc30988_WPSOffice_Level2"/>
    </w:p>
    <w:p w14:paraId="1709A83F">
      <w:pPr>
        <w:tabs>
          <w:tab w:val="left" w:pos="1069"/>
          <w:tab w:val="left" w:pos="2352"/>
        </w:tabs>
        <w:rPr>
          <w:rFonts w:ascii="宋体" w:hAnsi="宋体" w:cs="宋体"/>
          <w:color w:val="auto"/>
          <w:highlight w:val="none"/>
        </w:rPr>
      </w:pPr>
    </w:p>
    <w:p w14:paraId="0ABCC7C9">
      <w:pPr>
        <w:tabs>
          <w:tab w:val="left" w:pos="1069"/>
          <w:tab w:val="left" w:pos="2352"/>
        </w:tabs>
        <w:rPr>
          <w:rFonts w:ascii="宋体" w:hAnsi="宋体" w:cs="宋体"/>
          <w:color w:val="auto"/>
          <w:highlight w:val="none"/>
        </w:rPr>
      </w:pPr>
      <w:r>
        <w:rPr>
          <w:rFonts w:hint="eastAsia" w:ascii="宋体" w:hAnsi="宋体" w:cs="宋体"/>
          <w:color w:val="auto"/>
          <w:highlight w:val="none"/>
        </w:rPr>
        <w:t>备注：表格可以延续</w:t>
      </w:r>
      <w:bookmarkEnd w:id="262"/>
    </w:p>
    <w:p w14:paraId="595C1933">
      <w:pPr>
        <w:pStyle w:val="12"/>
        <w:tabs>
          <w:tab w:val="left" w:pos="1069"/>
          <w:tab w:val="left" w:pos="2352"/>
        </w:tabs>
        <w:spacing w:line="360" w:lineRule="exact"/>
        <w:rPr>
          <w:rFonts w:hAnsi="宋体" w:cs="宋体"/>
          <w:color w:val="auto"/>
          <w:sz w:val="22"/>
          <w:highlight w:val="none"/>
        </w:rPr>
      </w:pPr>
    </w:p>
    <w:p w14:paraId="70700631">
      <w:pPr>
        <w:tabs>
          <w:tab w:val="left" w:pos="1069"/>
          <w:tab w:val="left" w:pos="2352"/>
        </w:tabs>
        <w:rPr>
          <w:rFonts w:ascii="宋体" w:hAnsi="宋体" w:cs="宋体"/>
          <w:b/>
          <w:bCs/>
          <w:color w:val="auto"/>
          <w:sz w:val="32"/>
          <w:szCs w:val="32"/>
          <w:highlight w:val="none"/>
        </w:rPr>
      </w:pPr>
    </w:p>
    <w:p w14:paraId="47E2AFEF">
      <w:pPr>
        <w:tabs>
          <w:tab w:val="left" w:pos="1069"/>
          <w:tab w:val="left" w:pos="2352"/>
        </w:tabs>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rPr>
        <w:t>附件</w:t>
      </w:r>
      <w:r>
        <w:rPr>
          <w:rFonts w:hint="eastAsia" w:ascii="宋体" w:hAnsi="宋体" w:cs="宋体"/>
          <w:b/>
          <w:bCs/>
          <w:color w:val="auto"/>
          <w:sz w:val="32"/>
          <w:szCs w:val="32"/>
          <w:highlight w:val="none"/>
          <w:lang w:val="en-US" w:eastAsia="zh-CN"/>
        </w:rPr>
        <w:t>八</w:t>
      </w:r>
    </w:p>
    <w:p w14:paraId="2F69294D">
      <w:pPr>
        <w:tabs>
          <w:tab w:val="left" w:pos="1069"/>
          <w:tab w:val="left" w:pos="2352"/>
        </w:tabs>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供应商项目服务人员汇总表</w:t>
      </w:r>
    </w:p>
    <w:p w14:paraId="20C7B587">
      <w:pPr>
        <w:tabs>
          <w:tab w:val="left" w:pos="1069"/>
          <w:tab w:val="left" w:pos="2352"/>
        </w:tabs>
        <w:spacing w:line="360" w:lineRule="auto"/>
        <w:rPr>
          <w:rFonts w:ascii="宋体" w:hAnsi="宋体" w:cs="宋体"/>
          <w:color w:val="auto"/>
          <w:sz w:val="22"/>
          <w:highlight w:val="none"/>
          <w:u w:val="single"/>
          <w:lang w:val="zh-CN"/>
        </w:rPr>
      </w:pPr>
      <w:r>
        <w:rPr>
          <w:rFonts w:hint="eastAsia" w:ascii="宋体" w:hAnsi="宋体" w:cs="宋体"/>
          <w:color w:val="auto"/>
          <w:sz w:val="22"/>
          <w:highlight w:val="none"/>
        </w:rPr>
        <w:t>项目名称：</w:t>
      </w:r>
      <w:r>
        <w:rPr>
          <w:rFonts w:hint="eastAsia" w:ascii="宋体" w:hAnsi="宋体" w:cs="宋体"/>
          <w:color w:val="auto"/>
          <w:sz w:val="22"/>
          <w:highlight w:val="none"/>
          <w:u w:val="single"/>
          <w:lang w:val="zh-CN"/>
        </w:rPr>
        <w:t>2024年泰顺县彭溪镇峰文村牛塘垵简洋农田宜机化改造项目</w:t>
      </w:r>
    </w:p>
    <w:p w14:paraId="7BCDB410">
      <w:pPr>
        <w:tabs>
          <w:tab w:val="left" w:pos="1069"/>
          <w:tab w:val="left" w:pos="2352"/>
        </w:tabs>
        <w:spacing w:line="360" w:lineRule="auto"/>
        <w:rPr>
          <w:rFonts w:ascii="宋体" w:hAnsi="宋体" w:cs="宋体"/>
          <w:bCs/>
          <w:color w:val="auto"/>
          <w:sz w:val="22"/>
          <w:highlight w:val="none"/>
        </w:rPr>
      </w:pPr>
      <w:r>
        <w:rPr>
          <w:rFonts w:hint="eastAsia" w:ascii="宋体" w:hAnsi="宋体" w:cs="宋体"/>
          <w:color w:val="auto"/>
          <w:sz w:val="22"/>
          <w:highlight w:val="none"/>
        </w:rPr>
        <w:t>采购编号：</w:t>
      </w:r>
      <w:r>
        <w:rPr>
          <w:rFonts w:hint="eastAsia" w:ascii="宋体" w:hAnsi="宋体" w:cs="宋体"/>
          <w:color w:val="auto"/>
          <w:sz w:val="22"/>
          <w:highlight w:val="none"/>
          <w:u w:val="single"/>
          <w:lang w:val="zh-CN"/>
        </w:rPr>
        <w:t>TSCG202501003</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520"/>
        <w:gridCol w:w="720"/>
        <w:gridCol w:w="720"/>
        <w:gridCol w:w="720"/>
        <w:gridCol w:w="1080"/>
        <w:gridCol w:w="1458"/>
        <w:gridCol w:w="1560"/>
      </w:tblGrid>
      <w:tr w14:paraId="3D2E4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828" w:type="dxa"/>
            <w:vAlign w:val="center"/>
          </w:tcPr>
          <w:p w14:paraId="6B3E0D25">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姓名</w:t>
            </w:r>
          </w:p>
        </w:tc>
        <w:tc>
          <w:tcPr>
            <w:tcW w:w="2520" w:type="dxa"/>
            <w:vAlign w:val="center"/>
          </w:tcPr>
          <w:p w14:paraId="051A8994">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本项目主要工作</w:t>
            </w:r>
          </w:p>
        </w:tc>
        <w:tc>
          <w:tcPr>
            <w:tcW w:w="720" w:type="dxa"/>
            <w:vAlign w:val="center"/>
          </w:tcPr>
          <w:p w14:paraId="3D43E5A3">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年龄</w:t>
            </w:r>
          </w:p>
        </w:tc>
        <w:tc>
          <w:tcPr>
            <w:tcW w:w="720" w:type="dxa"/>
            <w:vAlign w:val="center"/>
          </w:tcPr>
          <w:p w14:paraId="0BFA1F10">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性别</w:t>
            </w:r>
          </w:p>
        </w:tc>
        <w:tc>
          <w:tcPr>
            <w:tcW w:w="720" w:type="dxa"/>
            <w:vAlign w:val="center"/>
          </w:tcPr>
          <w:p w14:paraId="59769CB0">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专业</w:t>
            </w:r>
          </w:p>
        </w:tc>
        <w:tc>
          <w:tcPr>
            <w:tcW w:w="1080" w:type="dxa"/>
            <w:vAlign w:val="center"/>
          </w:tcPr>
          <w:p w14:paraId="325C6129">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专业</w:t>
            </w:r>
          </w:p>
          <w:p w14:paraId="4B3867E3">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年限</w:t>
            </w:r>
          </w:p>
        </w:tc>
        <w:tc>
          <w:tcPr>
            <w:tcW w:w="1458" w:type="dxa"/>
            <w:vAlign w:val="center"/>
          </w:tcPr>
          <w:p w14:paraId="291E34BC">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职务</w:t>
            </w:r>
          </w:p>
          <w:p w14:paraId="148BE740">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和职称/认证</w:t>
            </w:r>
          </w:p>
        </w:tc>
        <w:tc>
          <w:tcPr>
            <w:tcW w:w="1560" w:type="dxa"/>
            <w:vAlign w:val="center"/>
          </w:tcPr>
          <w:p w14:paraId="08DCE193">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备注</w:t>
            </w:r>
          </w:p>
        </w:tc>
      </w:tr>
      <w:tr w14:paraId="37C51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5B98C445">
            <w:pPr>
              <w:tabs>
                <w:tab w:val="left" w:pos="1069"/>
                <w:tab w:val="left" w:pos="2352"/>
              </w:tabs>
              <w:spacing w:line="360" w:lineRule="auto"/>
              <w:rPr>
                <w:rFonts w:ascii="宋体" w:hAnsi="宋体" w:cs="宋体"/>
                <w:color w:val="auto"/>
                <w:sz w:val="22"/>
                <w:highlight w:val="none"/>
              </w:rPr>
            </w:pPr>
          </w:p>
        </w:tc>
        <w:tc>
          <w:tcPr>
            <w:tcW w:w="2520" w:type="dxa"/>
            <w:vAlign w:val="center"/>
          </w:tcPr>
          <w:p w14:paraId="5A0DC21B">
            <w:pPr>
              <w:tabs>
                <w:tab w:val="left" w:pos="1069"/>
                <w:tab w:val="left" w:pos="2352"/>
              </w:tabs>
              <w:spacing w:line="360" w:lineRule="auto"/>
              <w:rPr>
                <w:rFonts w:ascii="宋体" w:hAnsi="宋体" w:cs="宋体"/>
                <w:color w:val="auto"/>
                <w:sz w:val="22"/>
                <w:highlight w:val="none"/>
              </w:rPr>
            </w:pPr>
          </w:p>
        </w:tc>
        <w:tc>
          <w:tcPr>
            <w:tcW w:w="720" w:type="dxa"/>
            <w:vAlign w:val="center"/>
          </w:tcPr>
          <w:p w14:paraId="0F5CEB3B">
            <w:pPr>
              <w:tabs>
                <w:tab w:val="left" w:pos="1069"/>
                <w:tab w:val="left" w:pos="2352"/>
              </w:tabs>
              <w:spacing w:line="360" w:lineRule="auto"/>
              <w:rPr>
                <w:rFonts w:ascii="宋体" w:hAnsi="宋体" w:cs="宋体"/>
                <w:color w:val="auto"/>
                <w:sz w:val="22"/>
                <w:highlight w:val="none"/>
              </w:rPr>
            </w:pPr>
          </w:p>
        </w:tc>
        <w:tc>
          <w:tcPr>
            <w:tcW w:w="720" w:type="dxa"/>
            <w:vAlign w:val="center"/>
          </w:tcPr>
          <w:p w14:paraId="643BED09">
            <w:pPr>
              <w:tabs>
                <w:tab w:val="left" w:pos="1069"/>
                <w:tab w:val="left" w:pos="2352"/>
              </w:tabs>
              <w:spacing w:line="360" w:lineRule="auto"/>
              <w:rPr>
                <w:rFonts w:ascii="宋体" w:hAnsi="宋体" w:cs="宋体"/>
                <w:color w:val="auto"/>
                <w:sz w:val="22"/>
                <w:highlight w:val="none"/>
              </w:rPr>
            </w:pPr>
          </w:p>
        </w:tc>
        <w:tc>
          <w:tcPr>
            <w:tcW w:w="720" w:type="dxa"/>
            <w:vAlign w:val="center"/>
          </w:tcPr>
          <w:p w14:paraId="65FBFC74">
            <w:pPr>
              <w:tabs>
                <w:tab w:val="left" w:pos="1069"/>
                <w:tab w:val="left" w:pos="2352"/>
              </w:tabs>
              <w:spacing w:line="360" w:lineRule="auto"/>
              <w:rPr>
                <w:rFonts w:ascii="宋体" w:hAnsi="宋体" w:cs="宋体"/>
                <w:color w:val="auto"/>
                <w:sz w:val="22"/>
                <w:highlight w:val="none"/>
              </w:rPr>
            </w:pPr>
          </w:p>
        </w:tc>
        <w:tc>
          <w:tcPr>
            <w:tcW w:w="1080" w:type="dxa"/>
            <w:vAlign w:val="center"/>
          </w:tcPr>
          <w:p w14:paraId="176B738C">
            <w:pPr>
              <w:tabs>
                <w:tab w:val="left" w:pos="1069"/>
                <w:tab w:val="left" w:pos="2352"/>
              </w:tabs>
              <w:spacing w:line="360" w:lineRule="auto"/>
              <w:rPr>
                <w:rFonts w:ascii="宋体" w:hAnsi="宋体" w:cs="宋体"/>
                <w:color w:val="auto"/>
                <w:sz w:val="22"/>
                <w:highlight w:val="none"/>
              </w:rPr>
            </w:pPr>
          </w:p>
        </w:tc>
        <w:tc>
          <w:tcPr>
            <w:tcW w:w="1458" w:type="dxa"/>
            <w:vAlign w:val="center"/>
          </w:tcPr>
          <w:p w14:paraId="2AE8914C">
            <w:pPr>
              <w:tabs>
                <w:tab w:val="left" w:pos="1069"/>
                <w:tab w:val="left" w:pos="2352"/>
              </w:tabs>
              <w:spacing w:line="360" w:lineRule="auto"/>
              <w:ind w:left="5250"/>
              <w:rPr>
                <w:rFonts w:ascii="宋体" w:hAnsi="宋体" w:cs="宋体"/>
                <w:color w:val="auto"/>
                <w:spacing w:val="12"/>
                <w:sz w:val="22"/>
                <w:highlight w:val="none"/>
              </w:rPr>
            </w:pPr>
          </w:p>
        </w:tc>
        <w:tc>
          <w:tcPr>
            <w:tcW w:w="1560" w:type="dxa"/>
            <w:vAlign w:val="center"/>
          </w:tcPr>
          <w:p w14:paraId="0F46113F">
            <w:pPr>
              <w:tabs>
                <w:tab w:val="left" w:pos="1069"/>
                <w:tab w:val="left" w:pos="2352"/>
              </w:tabs>
              <w:spacing w:line="360" w:lineRule="auto"/>
              <w:rPr>
                <w:rFonts w:ascii="宋体" w:hAnsi="宋体" w:cs="宋体"/>
                <w:color w:val="auto"/>
                <w:sz w:val="22"/>
                <w:highlight w:val="none"/>
              </w:rPr>
            </w:pPr>
          </w:p>
        </w:tc>
      </w:tr>
      <w:tr w14:paraId="2BC5F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772BED21">
            <w:pPr>
              <w:tabs>
                <w:tab w:val="left" w:pos="1069"/>
                <w:tab w:val="left" w:pos="2352"/>
              </w:tabs>
              <w:spacing w:line="360" w:lineRule="auto"/>
              <w:rPr>
                <w:rFonts w:ascii="宋体" w:hAnsi="宋体" w:cs="宋体"/>
                <w:color w:val="auto"/>
                <w:sz w:val="22"/>
                <w:highlight w:val="none"/>
              </w:rPr>
            </w:pPr>
          </w:p>
        </w:tc>
        <w:tc>
          <w:tcPr>
            <w:tcW w:w="2520" w:type="dxa"/>
            <w:vAlign w:val="center"/>
          </w:tcPr>
          <w:p w14:paraId="5CC37C78">
            <w:pPr>
              <w:tabs>
                <w:tab w:val="left" w:pos="1069"/>
                <w:tab w:val="left" w:pos="2352"/>
              </w:tabs>
              <w:spacing w:line="360" w:lineRule="auto"/>
              <w:rPr>
                <w:rFonts w:ascii="宋体" w:hAnsi="宋体" w:cs="宋体"/>
                <w:color w:val="auto"/>
                <w:sz w:val="22"/>
                <w:highlight w:val="none"/>
              </w:rPr>
            </w:pPr>
          </w:p>
        </w:tc>
        <w:tc>
          <w:tcPr>
            <w:tcW w:w="720" w:type="dxa"/>
            <w:vAlign w:val="center"/>
          </w:tcPr>
          <w:p w14:paraId="7C0F4784">
            <w:pPr>
              <w:tabs>
                <w:tab w:val="left" w:pos="1069"/>
                <w:tab w:val="left" w:pos="2352"/>
              </w:tabs>
              <w:spacing w:line="360" w:lineRule="auto"/>
              <w:rPr>
                <w:rFonts w:ascii="宋体" w:hAnsi="宋体" w:cs="宋体"/>
                <w:color w:val="auto"/>
                <w:sz w:val="22"/>
                <w:highlight w:val="none"/>
              </w:rPr>
            </w:pPr>
          </w:p>
        </w:tc>
        <w:tc>
          <w:tcPr>
            <w:tcW w:w="720" w:type="dxa"/>
            <w:vAlign w:val="center"/>
          </w:tcPr>
          <w:p w14:paraId="71803637">
            <w:pPr>
              <w:tabs>
                <w:tab w:val="left" w:pos="1069"/>
                <w:tab w:val="left" w:pos="2352"/>
              </w:tabs>
              <w:spacing w:line="360" w:lineRule="auto"/>
              <w:rPr>
                <w:rFonts w:ascii="宋体" w:hAnsi="宋体" w:cs="宋体"/>
                <w:color w:val="auto"/>
                <w:sz w:val="22"/>
                <w:highlight w:val="none"/>
              </w:rPr>
            </w:pPr>
          </w:p>
        </w:tc>
        <w:tc>
          <w:tcPr>
            <w:tcW w:w="720" w:type="dxa"/>
            <w:vAlign w:val="center"/>
          </w:tcPr>
          <w:p w14:paraId="7178BE29">
            <w:pPr>
              <w:tabs>
                <w:tab w:val="left" w:pos="1069"/>
                <w:tab w:val="left" w:pos="2352"/>
              </w:tabs>
              <w:spacing w:line="360" w:lineRule="auto"/>
              <w:rPr>
                <w:rFonts w:ascii="宋体" w:hAnsi="宋体" w:cs="宋体"/>
                <w:color w:val="auto"/>
                <w:sz w:val="22"/>
                <w:highlight w:val="none"/>
              </w:rPr>
            </w:pPr>
          </w:p>
        </w:tc>
        <w:tc>
          <w:tcPr>
            <w:tcW w:w="1080" w:type="dxa"/>
            <w:vAlign w:val="center"/>
          </w:tcPr>
          <w:p w14:paraId="7551FE49">
            <w:pPr>
              <w:tabs>
                <w:tab w:val="left" w:pos="1069"/>
                <w:tab w:val="left" w:pos="2352"/>
              </w:tabs>
              <w:spacing w:line="360" w:lineRule="auto"/>
              <w:rPr>
                <w:rFonts w:ascii="宋体" w:hAnsi="宋体" w:cs="宋体"/>
                <w:color w:val="auto"/>
                <w:sz w:val="22"/>
                <w:highlight w:val="none"/>
              </w:rPr>
            </w:pPr>
          </w:p>
        </w:tc>
        <w:tc>
          <w:tcPr>
            <w:tcW w:w="1458" w:type="dxa"/>
            <w:vAlign w:val="center"/>
          </w:tcPr>
          <w:p w14:paraId="59462AD2">
            <w:pPr>
              <w:tabs>
                <w:tab w:val="left" w:pos="1069"/>
                <w:tab w:val="left" w:pos="2352"/>
              </w:tabs>
              <w:spacing w:line="360" w:lineRule="auto"/>
              <w:rPr>
                <w:rFonts w:ascii="宋体" w:hAnsi="宋体" w:cs="宋体"/>
                <w:color w:val="auto"/>
                <w:sz w:val="22"/>
                <w:highlight w:val="none"/>
              </w:rPr>
            </w:pPr>
          </w:p>
        </w:tc>
        <w:tc>
          <w:tcPr>
            <w:tcW w:w="1560" w:type="dxa"/>
            <w:vAlign w:val="center"/>
          </w:tcPr>
          <w:p w14:paraId="7411F9F6">
            <w:pPr>
              <w:tabs>
                <w:tab w:val="left" w:pos="1069"/>
                <w:tab w:val="left" w:pos="2352"/>
              </w:tabs>
              <w:spacing w:line="360" w:lineRule="auto"/>
              <w:ind w:left="5250"/>
              <w:rPr>
                <w:rFonts w:ascii="宋体" w:hAnsi="宋体" w:cs="宋体"/>
                <w:color w:val="auto"/>
                <w:spacing w:val="12"/>
                <w:sz w:val="22"/>
                <w:highlight w:val="none"/>
              </w:rPr>
            </w:pPr>
          </w:p>
        </w:tc>
      </w:tr>
      <w:tr w14:paraId="40AE4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7F9547A1">
            <w:pPr>
              <w:tabs>
                <w:tab w:val="left" w:pos="1069"/>
                <w:tab w:val="left" w:pos="2352"/>
              </w:tabs>
              <w:spacing w:line="360" w:lineRule="auto"/>
              <w:rPr>
                <w:rFonts w:ascii="宋体" w:hAnsi="宋体" w:cs="宋体"/>
                <w:color w:val="auto"/>
                <w:sz w:val="22"/>
                <w:highlight w:val="none"/>
              </w:rPr>
            </w:pPr>
          </w:p>
        </w:tc>
        <w:tc>
          <w:tcPr>
            <w:tcW w:w="2520" w:type="dxa"/>
            <w:vAlign w:val="center"/>
          </w:tcPr>
          <w:p w14:paraId="247D1621">
            <w:pPr>
              <w:tabs>
                <w:tab w:val="left" w:pos="1069"/>
                <w:tab w:val="left" w:pos="2352"/>
              </w:tabs>
              <w:spacing w:line="360" w:lineRule="auto"/>
              <w:rPr>
                <w:rFonts w:ascii="宋体" w:hAnsi="宋体" w:cs="宋体"/>
                <w:color w:val="auto"/>
                <w:sz w:val="22"/>
                <w:highlight w:val="none"/>
              </w:rPr>
            </w:pPr>
          </w:p>
        </w:tc>
        <w:tc>
          <w:tcPr>
            <w:tcW w:w="720" w:type="dxa"/>
            <w:vAlign w:val="center"/>
          </w:tcPr>
          <w:p w14:paraId="0CDBD01A">
            <w:pPr>
              <w:tabs>
                <w:tab w:val="left" w:pos="1069"/>
                <w:tab w:val="left" w:pos="2352"/>
              </w:tabs>
              <w:spacing w:line="360" w:lineRule="auto"/>
              <w:rPr>
                <w:rFonts w:ascii="宋体" w:hAnsi="宋体" w:cs="宋体"/>
                <w:color w:val="auto"/>
                <w:sz w:val="22"/>
                <w:highlight w:val="none"/>
              </w:rPr>
            </w:pPr>
          </w:p>
        </w:tc>
        <w:tc>
          <w:tcPr>
            <w:tcW w:w="720" w:type="dxa"/>
            <w:vAlign w:val="center"/>
          </w:tcPr>
          <w:p w14:paraId="1F22F078">
            <w:pPr>
              <w:tabs>
                <w:tab w:val="left" w:pos="1069"/>
                <w:tab w:val="left" w:pos="2352"/>
              </w:tabs>
              <w:spacing w:line="360" w:lineRule="auto"/>
              <w:rPr>
                <w:rFonts w:ascii="宋体" w:hAnsi="宋体" w:cs="宋体"/>
                <w:color w:val="auto"/>
                <w:sz w:val="22"/>
                <w:highlight w:val="none"/>
              </w:rPr>
            </w:pPr>
          </w:p>
        </w:tc>
        <w:tc>
          <w:tcPr>
            <w:tcW w:w="720" w:type="dxa"/>
            <w:vAlign w:val="center"/>
          </w:tcPr>
          <w:p w14:paraId="7F00A98D">
            <w:pPr>
              <w:tabs>
                <w:tab w:val="left" w:pos="1069"/>
                <w:tab w:val="left" w:pos="2352"/>
              </w:tabs>
              <w:spacing w:line="360" w:lineRule="auto"/>
              <w:rPr>
                <w:rFonts w:ascii="宋体" w:hAnsi="宋体" w:cs="宋体"/>
                <w:color w:val="auto"/>
                <w:sz w:val="22"/>
                <w:highlight w:val="none"/>
              </w:rPr>
            </w:pPr>
          </w:p>
        </w:tc>
        <w:tc>
          <w:tcPr>
            <w:tcW w:w="1080" w:type="dxa"/>
            <w:vAlign w:val="center"/>
          </w:tcPr>
          <w:p w14:paraId="6CC4E622">
            <w:pPr>
              <w:tabs>
                <w:tab w:val="left" w:pos="1069"/>
                <w:tab w:val="left" w:pos="2352"/>
              </w:tabs>
              <w:spacing w:line="360" w:lineRule="auto"/>
              <w:rPr>
                <w:rFonts w:ascii="宋体" w:hAnsi="宋体" w:cs="宋体"/>
                <w:color w:val="auto"/>
                <w:sz w:val="22"/>
                <w:highlight w:val="none"/>
              </w:rPr>
            </w:pPr>
          </w:p>
        </w:tc>
        <w:tc>
          <w:tcPr>
            <w:tcW w:w="1458" w:type="dxa"/>
            <w:vAlign w:val="center"/>
          </w:tcPr>
          <w:p w14:paraId="10B4573B">
            <w:pPr>
              <w:tabs>
                <w:tab w:val="left" w:pos="1069"/>
                <w:tab w:val="left" w:pos="2352"/>
              </w:tabs>
              <w:spacing w:line="360" w:lineRule="auto"/>
              <w:rPr>
                <w:rFonts w:ascii="宋体" w:hAnsi="宋体" w:cs="宋体"/>
                <w:color w:val="auto"/>
                <w:sz w:val="22"/>
                <w:highlight w:val="none"/>
              </w:rPr>
            </w:pPr>
          </w:p>
        </w:tc>
        <w:tc>
          <w:tcPr>
            <w:tcW w:w="1560" w:type="dxa"/>
            <w:vAlign w:val="center"/>
          </w:tcPr>
          <w:p w14:paraId="54AF946D">
            <w:pPr>
              <w:tabs>
                <w:tab w:val="left" w:pos="1069"/>
                <w:tab w:val="left" w:pos="2352"/>
              </w:tabs>
              <w:spacing w:line="360" w:lineRule="auto"/>
              <w:rPr>
                <w:rFonts w:ascii="宋体" w:hAnsi="宋体" w:cs="宋体"/>
                <w:color w:val="auto"/>
                <w:sz w:val="22"/>
                <w:highlight w:val="none"/>
              </w:rPr>
            </w:pPr>
          </w:p>
        </w:tc>
      </w:tr>
      <w:tr w14:paraId="7D1B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41FE69D5">
            <w:pPr>
              <w:tabs>
                <w:tab w:val="left" w:pos="1069"/>
                <w:tab w:val="left" w:pos="2352"/>
              </w:tabs>
              <w:spacing w:line="360" w:lineRule="auto"/>
              <w:rPr>
                <w:rFonts w:ascii="宋体" w:hAnsi="宋体" w:cs="宋体"/>
                <w:color w:val="auto"/>
                <w:sz w:val="22"/>
                <w:highlight w:val="none"/>
              </w:rPr>
            </w:pPr>
          </w:p>
        </w:tc>
        <w:tc>
          <w:tcPr>
            <w:tcW w:w="2520" w:type="dxa"/>
            <w:vAlign w:val="center"/>
          </w:tcPr>
          <w:p w14:paraId="7E08B0CC">
            <w:pPr>
              <w:tabs>
                <w:tab w:val="left" w:pos="1069"/>
                <w:tab w:val="left" w:pos="2352"/>
              </w:tabs>
              <w:spacing w:line="360" w:lineRule="auto"/>
              <w:rPr>
                <w:rFonts w:ascii="宋体" w:hAnsi="宋体" w:cs="宋体"/>
                <w:color w:val="auto"/>
                <w:sz w:val="22"/>
                <w:highlight w:val="none"/>
              </w:rPr>
            </w:pPr>
          </w:p>
        </w:tc>
        <w:tc>
          <w:tcPr>
            <w:tcW w:w="720" w:type="dxa"/>
            <w:vAlign w:val="center"/>
          </w:tcPr>
          <w:p w14:paraId="77FBDE23">
            <w:pPr>
              <w:tabs>
                <w:tab w:val="left" w:pos="1069"/>
                <w:tab w:val="left" w:pos="2352"/>
              </w:tabs>
              <w:spacing w:line="360" w:lineRule="auto"/>
              <w:rPr>
                <w:rFonts w:ascii="宋体" w:hAnsi="宋体" w:cs="宋体"/>
                <w:color w:val="auto"/>
                <w:sz w:val="22"/>
                <w:highlight w:val="none"/>
              </w:rPr>
            </w:pPr>
          </w:p>
        </w:tc>
        <w:tc>
          <w:tcPr>
            <w:tcW w:w="720" w:type="dxa"/>
            <w:vAlign w:val="center"/>
          </w:tcPr>
          <w:p w14:paraId="674332ED">
            <w:pPr>
              <w:tabs>
                <w:tab w:val="left" w:pos="1069"/>
                <w:tab w:val="left" w:pos="2352"/>
              </w:tabs>
              <w:spacing w:line="360" w:lineRule="auto"/>
              <w:rPr>
                <w:rFonts w:ascii="宋体" w:hAnsi="宋体" w:cs="宋体"/>
                <w:color w:val="auto"/>
                <w:sz w:val="22"/>
                <w:highlight w:val="none"/>
              </w:rPr>
            </w:pPr>
          </w:p>
        </w:tc>
        <w:tc>
          <w:tcPr>
            <w:tcW w:w="720" w:type="dxa"/>
            <w:vAlign w:val="center"/>
          </w:tcPr>
          <w:p w14:paraId="66B4ADB0">
            <w:pPr>
              <w:tabs>
                <w:tab w:val="left" w:pos="1069"/>
                <w:tab w:val="left" w:pos="2352"/>
              </w:tabs>
              <w:spacing w:line="360" w:lineRule="auto"/>
              <w:rPr>
                <w:rFonts w:ascii="宋体" w:hAnsi="宋体" w:cs="宋体"/>
                <w:color w:val="auto"/>
                <w:sz w:val="22"/>
                <w:highlight w:val="none"/>
              </w:rPr>
            </w:pPr>
          </w:p>
        </w:tc>
        <w:tc>
          <w:tcPr>
            <w:tcW w:w="1080" w:type="dxa"/>
            <w:vAlign w:val="center"/>
          </w:tcPr>
          <w:p w14:paraId="4C2B8F89">
            <w:pPr>
              <w:tabs>
                <w:tab w:val="left" w:pos="1069"/>
                <w:tab w:val="left" w:pos="2352"/>
              </w:tabs>
              <w:spacing w:line="360" w:lineRule="auto"/>
              <w:rPr>
                <w:rFonts w:ascii="宋体" w:hAnsi="宋体" w:cs="宋体"/>
                <w:color w:val="auto"/>
                <w:sz w:val="22"/>
                <w:highlight w:val="none"/>
              </w:rPr>
            </w:pPr>
          </w:p>
        </w:tc>
        <w:tc>
          <w:tcPr>
            <w:tcW w:w="1458" w:type="dxa"/>
            <w:vAlign w:val="center"/>
          </w:tcPr>
          <w:p w14:paraId="6FEEF9C2">
            <w:pPr>
              <w:tabs>
                <w:tab w:val="left" w:pos="1069"/>
                <w:tab w:val="left" w:pos="2352"/>
              </w:tabs>
              <w:spacing w:line="360" w:lineRule="auto"/>
              <w:rPr>
                <w:rFonts w:ascii="宋体" w:hAnsi="宋体" w:cs="宋体"/>
                <w:color w:val="auto"/>
                <w:sz w:val="22"/>
                <w:highlight w:val="none"/>
              </w:rPr>
            </w:pPr>
          </w:p>
        </w:tc>
        <w:tc>
          <w:tcPr>
            <w:tcW w:w="1560" w:type="dxa"/>
            <w:vAlign w:val="center"/>
          </w:tcPr>
          <w:p w14:paraId="17FEB79D">
            <w:pPr>
              <w:tabs>
                <w:tab w:val="left" w:pos="1069"/>
                <w:tab w:val="left" w:pos="2352"/>
              </w:tabs>
              <w:spacing w:line="360" w:lineRule="auto"/>
              <w:rPr>
                <w:rFonts w:ascii="宋体" w:hAnsi="宋体" w:cs="宋体"/>
                <w:color w:val="auto"/>
                <w:sz w:val="22"/>
                <w:highlight w:val="none"/>
              </w:rPr>
            </w:pPr>
          </w:p>
        </w:tc>
      </w:tr>
      <w:tr w14:paraId="6178D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40F7C50A">
            <w:pPr>
              <w:tabs>
                <w:tab w:val="left" w:pos="1069"/>
                <w:tab w:val="left" w:pos="2352"/>
              </w:tabs>
              <w:spacing w:line="360" w:lineRule="auto"/>
              <w:rPr>
                <w:rFonts w:ascii="宋体" w:hAnsi="宋体" w:cs="宋体"/>
                <w:color w:val="auto"/>
                <w:sz w:val="22"/>
                <w:highlight w:val="none"/>
              </w:rPr>
            </w:pPr>
          </w:p>
        </w:tc>
        <w:tc>
          <w:tcPr>
            <w:tcW w:w="2520" w:type="dxa"/>
            <w:vAlign w:val="center"/>
          </w:tcPr>
          <w:p w14:paraId="4FD1DFF4">
            <w:pPr>
              <w:tabs>
                <w:tab w:val="left" w:pos="1069"/>
                <w:tab w:val="left" w:pos="2352"/>
              </w:tabs>
              <w:spacing w:line="360" w:lineRule="auto"/>
              <w:rPr>
                <w:rFonts w:ascii="宋体" w:hAnsi="宋体" w:cs="宋体"/>
                <w:color w:val="auto"/>
                <w:sz w:val="22"/>
                <w:highlight w:val="none"/>
              </w:rPr>
            </w:pPr>
          </w:p>
        </w:tc>
        <w:tc>
          <w:tcPr>
            <w:tcW w:w="720" w:type="dxa"/>
            <w:vAlign w:val="center"/>
          </w:tcPr>
          <w:p w14:paraId="4B007DAE">
            <w:pPr>
              <w:tabs>
                <w:tab w:val="left" w:pos="1069"/>
                <w:tab w:val="left" w:pos="2352"/>
              </w:tabs>
              <w:spacing w:line="360" w:lineRule="auto"/>
              <w:rPr>
                <w:rFonts w:ascii="宋体" w:hAnsi="宋体" w:cs="宋体"/>
                <w:color w:val="auto"/>
                <w:sz w:val="22"/>
                <w:highlight w:val="none"/>
              </w:rPr>
            </w:pPr>
          </w:p>
        </w:tc>
        <w:tc>
          <w:tcPr>
            <w:tcW w:w="720" w:type="dxa"/>
            <w:vAlign w:val="center"/>
          </w:tcPr>
          <w:p w14:paraId="5A2DCE2B">
            <w:pPr>
              <w:tabs>
                <w:tab w:val="left" w:pos="1069"/>
                <w:tab w:val="left" w:pos="2352"/>
              </w:tabs>
              <w:spacing w:line="360" w:lineRule="auto"/>
              <w:rPr>
                <w:rFonts w:ascii="宋体" w:hAnsi="宋体" w:cs="宋体"/>
                <w:color w:val="auto"/>
                <w:sz w:val="22"/>
                <w:highlight w:val="none"/>
              </w:rPr>
            </w:pPr>
          </w:p>
        </w:tc>
        <w:tc>
          <w:tcPr>
            <w:tcW w:w="720" w:type="dxa"/>
            <w:vAlign w:val="center"/>
          </w:tcPr>
          <w:p w14:paraId="757EF4EA">
            <w:pPr>
              <w:tabs>
                <w:tab w:val="left" w:pos="1069"/>
                <w:tab w:val="left" w:pos="2352"/>
              </w:tabs>
              <w:spacing w:line="360" w:lineRule="auto"/>
              <w:rPr>
                <w:rFonts w:ascii="宋体" w:hAnsi="宋体" w:cs="宋体"/>
                <w:color w:val="auto"/>
                <w:sz w:val="22"/>
                <w:highlight w:val="none"/>
              </w:rPr>
            </w:pPr>
          </w:p>
        </w:tc>
        <w:tc>
          <w:tcPr>
            <w:tcW w:w="1080" w:type="dxa"/>
            <w:vAlign w:val="center"/>
          </w:tcPr>
          <w:p w14:paraId="4E8E1460">
            <w:pPr>
              <w:tabs>
                <w:tab w:val="left" w:pos="1069"/>
                <w:tab w:val="left" w:pos="2352"/>
              </w:tabs>
              <w:spacing w:line="360" w:lineRule="auto"/>
              <w:rPr>
                <w:rFonts w:ascii="宋体" w:hAnsi="宋体" w:cs="宋体"/>
                <w:color w:val="auto"/>
                <w:sz w:val="22"/>
                <w:highlight w:val="none"/>
              </w:rPr>
            </w:pPr>
          </w:p>
        </w:tc>
        <w:tc>
          <w:tcPr>
            <w:tcW w:w="1458" w:type="dxa"/>
            <w:vAlign w:val="center"/>
          </w:tcPr>
          <w:p w14:paraId="43B827D4">
            <w:pPr>
              <w:tabs>
                <w:tab w:val="left" w:pos="1069"/>
                <w:tab w:val="left" w:pos="2352"/>
              </w:tabs>
              <w:spacing w:line="360" w:lineRule="auto"/>
              <w:rPr>
                <w:rFonts w:ascii="宋体" w:hAnsi="宋体" w:cs="宋体"/>
                <w:color w:val="auto"/>
                <w:sz w:val="22"/>
                <w:highlight w:val="none"/>
              </w:rPr>
            </w:pPr>
          </w:p>
        </w:tc>
        <w:tc>
          <w:tcPr>
            <w:tcW w:w="1560" w:type="dxa"/>
            <w:vAlign w:val="center"/>
          </w:tcPr>
          <w:p w14:paraId="25799FA1">
            <w:pPr>
              <w:tabs>
                <w:tab w:val="left" w:pos="1069"/>
                <w:tab w:val="left" w:pos="2352"/>
              </w:tabs>
              <w:spacing w:line="360" w:lineRule="auto"/>
              <w:rPr>
                <w:rFonts w:ascii="宋体" w:hAnsi="宋体" w:cs="宋体"/>
                <w:color w:val="auto"/>
                <w:sz w:val="22"/>
                <w:highlight w:val="none"/>
              </w:rPr>
            </w:pPr>
          </w:p>
        </w:tc>
      </w:tr>
      <w:tr w14:paraId="3B77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3B9F5127">
            <w:pPr>
              <w:tabs>
                <w:tab w:val="left" w:pos="1069"/>
                <w:tab w:val="left" w:pos="2352"/>
              </w:tabs>
              <w:spacing w:line="360" w:lineRule="auto"/>
              <w:rPr>
                <w:rFonts w:ascii="宋体" w:hAnsi="宋体" w:cs="宋体"/>
                <w:color w:val="auto"/>
                <w:sz w:val="22"/>
                <w:highlight w:val="none"/>
              </w:rPr>
            </w:pPr>
          </w:p>
        </w:tc>
        <w:tc>
          <w:tcPr>
            <w:tcW w:w="2520" w:type="dxa"/>
            <w:vAlign w:val="center"/>
          </w:tcPr>
          <w:p w14:paraId="31E9B42E">
            <w:pPr>
              <w:tabs>
                <w:tab w:val="left" w:pos="1069"/>
                <w:tab w:val="left" w:pos="2352"/>
              </w:tabs>
              <w:spacing w:line="360" w:lineRule="auto"/>
              <w:rPr>
                <w:rFonts w:ascii="宋体" w:hAnsi="宋体" w:cs="宋体"/>
                <w:color w:val="auto"/>
                <w:sz w:val="22"/>
                <w:highlight w:val="none"/>
              </w:rPr>
            </w:pPr>
          </w:p>
        </w:tc>
        <w:tc>
          <w:tcPr>
            <w:tcW w:w="720" w:type="dxa"/>
            <w:vAlign w:val="center"/>
          </w:tcPr>
          <w:p w14:paraId="3DBC5BE1">
            <w:pPr>
              <w:tabs>
                <w:tab w:val="left" w:pos="1069"/>
                <w:tab w:val="left" w:pos="2352"/>
              </w:tabs>
              <w:spacing w:line="360" w:lineRule="auto"/>
              <w:rPr>
                <w:rFonts w:ascii="宋体" w:hAnsi="宋体" w:cs="宋体"/>
                <w:color w:val="auto"/>
                <w:sz w:val="22"/>
                <w:highlight w:val="none"/>
              </w:rPr>
            </w:pPr>
          </w:p>
        </w:tc>
        <w:tc>
          <w:tcPr>
            <w:tcW w:w="720" w:type="dxa"/>
            <w:vAlign w:val="center"/>
          </w:tcPr>
          <w:p w14:paraId="1FCF690F">
            <w:pPr>
              <w:tabs>
                <w:tab w:val="left" w:pos="1069"/>
                <w:tab w:val="left" w:pos="2352"/>
              </w:tabs>
              <w:spacing w:line="360" w:lineRule="auto"/>
              <w:rPr>
                <w:rFonts w:ascii="宋体" w:hAnsi="宋体" w:cs="宋体"/>
                <w:color w:val="auto"/>
                <w:sz w:val="22"/>
                <w:highlight w:val="none"/>
              </w:rPr>
            </w:pPr>
          </w:p>
        </w:tc>
        <w:tc>
          <w:tcPr>
            <w:tcW w:w="720" w:type="dxa"/>
            <w:vAlign w:val="center"/>
          </w:tcPr>
          <w:p w14:paraId="3257EC11">
            <w:pPr>
              <w:tabs>
                <w:tab w:val="left" w:pos="1069"/>
                <w:tab w:val="left" w:pos="2352"/>
              </w:tabs>
              <w:spacing w:line="360" w:lineRule="auto"/>
              <w:rPr>
                <w:rFonts w:ascii="宋体" w:hAnsi="宋体" w:cs="宋体"/>
                <w:color w:val="auto"/>
                <w:sz w:val="22"/>
                <w:highlight w:val="none"/>
              </w:rPr>
            </w:pPr>
          </w:p>
        </w:tc>
        <w:tc>
          <w:tcPr>
            <w:tcW w:w="1080" w:type="dxa"/>
            <w:vAlign w:val="center"/>
          </w:tcPr>
          <w:p w14:paraId="5865A410">
            <w:pPr>
              <w:tabs>
                <w:tab w:val="left" w:pos="1069"/>
                <w:tab w:val="left" w:pos="2352"/>
              </w:tabs>
              <w:spacing w:line="360" w:lineRule="auto"/>
              <w:rPr>
                <w:rFonts w:ascii="宋体" w:hAnsi="宋体" w:cs="宋体"/>
                <w:color w:val="auto"/>
                <w:sz w:val="22"/>
                <w:highlight w:val="none"/>
              </w:rPr>
            </w:pPr>
          </w:p>
        </w:tc>
        <w:tc>
          <w:tcPr>
            <w:tcW w:w="1458" w:type="dxa"/>
            <w:vAlign w:val="center"/>
          </w:tcPr>
          <w:p w14:paraId="093D93E8">
            <w:pPr>
              <w:tabs>
                <w:tab w:val="left" w:pos="1069"/>
                <w:tab w:val="left" w:pos="2352"/>
              </w:tabs>
              <w:spacing w:line="360" w:lineRule="auto"/>
              <w:rPr>
                <w:rFonts w:ascii="宋体" w:hAnsi="宋体" w:cs="宋体"/>
                <w:color w:val="auto"/>
                <w:sz w:val="22"/>
                <w:highlight w:val="none"/>
              </w:rPr>
            </w:pPr>
          </w:p>
        </w:tc>
        <w:tc>
          <w:tcPr>
            <w:tcW w:w="1560" w:type="dxa"/>
            <w:vAlign w:val="center"/>
          </w:tcPr>
          <w:p w14:paraId="4928EDC1">
            <w:pPr>
              <w:tabs>
                <w:tab w:val="left" w:pos="1069"/>
                <w:tab w:val="left" w:pos="2352"/>
              </w:tabs>
              <w:spacing w:line="360" w:lineRule="auto"/>
              <w:rPr>
                <w:rFonts w:ascii="宋体" w:hAnsi="宋体" w:cs="宋体"/>
                <w:color w:val="auto"/>
                <w:sz w:val="22"/>
                <w:highlight w:val="none"/>
              </w:rPr>
            </w:pPr>
          </w:p>
        </w:tc>
      </w:tr>
      <w:tr w14:paraId="74BF7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0D0C18C2">
            <w:pPr>
              <w:tabs>
                <w:tab w:val="left" w:pos="1069"/>
                <w:tab w:val="left" w:pos="2352"/>
              </w:tabs>
              <w:spacing w:line="360" w:lineRule="auto"/>
              <w:rPr>
                <w:rFonts w:ascii="宋体" w:hAnsi="宋体" w:cs="宋体"/>
                <w:color w:val="auto"/>
                <w:sz w:val="22"/>
                <w:highlight w:val="none"/>
              </w:rPr>
            </w:pPr>
          </w:p>
        </w:tc>
        <w:tc>
          <w:tcPr>
            <w:tcW w:w="2520" w:type="dxa"/>
            <w:vAlign w:val="center"/>
          </w:tcPr>
          <w:p w14:paraId="613A8887">
            <w:pPr>
              <w:tabs>
                <w:tab w:val="left" w:pos="1069"/>
                <w:tab w:val="left" w:pos="2352"/>
              </w:tabs>
              <w:spacing w:line="360" w:lineRule="auto"/>
              <w:rPr>
                <w:rFonts w:ascii="宋体" w:hAnsi="宋体" w:cs="宋体"/>
                <w:color w:val="auto"/>
                <w:sz w:val="22"/>
                <w:highlight w:val="none"/>
              </w:rPr>
            </w:pPr>
          </w:p>
        </w:tc>
        <w:tc>
          <w:tcPr>
            <w:tcW w:w="720" w:type="dxa"/>
            <w:vAlign w:val="center"/>
          </w:tcPr>
          <w:p w14:paraId="4B47E64D">
            <w:pPr>
              <w:tabs>
                <w:tab w:val="left" w:pos="1069"/>
                <w:tab w:val="left" w:pos="2352"/>
              </w:tabs>
              <w:spacing w:line="360" w:lineRule="auto"/>
              <w:rPr>
                <w:rFonts w:ascii="宋体" w:hAnsi="宋体" w:cs="宋体"/>
                <w:color w:val="auto"/>
                <w:sz w:val="22"/>
                <w:highlight w:val="none"/>
              </w:rPr>
            </w:pPr>
          </w:p>
        </w:tc>
        <w:tc>
          <w:tcPr>
            <w:tcW w:w="720" w:type="dxa"/>
            <w:vAlign w:val="center"/>
          </w:tcPr>
          <w:p w14:paraId="30E1A94A">
            <w:pPr>
              <w:tabs>
                <w:tab w:val="left" w:pos="1069"/>
                <w:tab w:val="left" w:pos="2352"/>
              </w:tabs>
              <w:spacing w:line="360" w:lineRule="auto"/>
              <w:rPr>
                <w:rFonts w:ascii="宋体" w:hAnsi="宋体" w:cs="宋体"/>
                <w:color w:val="auto"/>
                <w:sz w:val="22"/>
                <w:highlight w:val="none"/>
              </w:rPr>
            </w:pPr>
          </w:p>
        </w:tc>
        <w:tc>
          <w:tcPr>
            <w:tcW w:w="720" w:type="dxa"/>
            <w:vAlign w:val="center"/>
          </w:tcPr>
          <w:p w14:paraId="5B7513F3">
            <w:pPr>
              <w:tabs>
                <w:tab w:val="left" w:pos="1069"/>
                <w:tab w:val="left" w:pos="2352"/>
              </w:tabs>
              <w:spacing w:line="360" w:lineRule="auto"/>
              <w:rPr>
                <w:rFonts w:ascii="宋体" w:hAnsi="宋体" w:cs="宋体"/>
                <w:color w:val="auto"/>
                <w:sz w:val="22"/>
                <w:highlight w:val="none"/>
              </w:rPr>
            </w:pPr>
          </w:p>
        </w:tc>
        <w:tc>
          <w:tcPr>
            <w:tcW w:w="1080" w:type="dxa"/>
            <w:vAlign w:val="center"/>
          </w:tcPr>
          <w:p w14:paraId="7492B889">
            <w:pPr>
              <w:tabs>
                <w:tab w:val="left" w:pos="1069"/>
                <w:tab w:val="left" w:pos="2352"/>
              </w:tabs>
              <w:spacing w:line="360" w:lineRule="auto"/>
              <w:rPr>
                <w:rFonts w:ascii="宋体" w:hAnsi="宋体" w:cs="宋体"/>
                <w:color w:val="auto"/>
                <w:sz w:val="22"/>
                <w:highlight w:val="none"/>
              </w:rPr>
            </w:pPr>
          </w:p>
        </w:tc>
        <w:tc>
          <w:tcPr>
            <w:tcW w:w="1458" w:type="dxa"/>
            <w:vAlign w:val="center"/>
          </w:tcPr>
          <w:p w14:paraId="7D6EEA19">
            <w:pPr>
              <w:tabs>
                <w:tab w:val="left" w:pos="1069"/>
                <w:tab w:val="left" w:pos="2352"/>
              </w:tabs>
              <w:spacing w:line="360" w:lineRule="auto"/>
              <w:rPr>
                <w:rFonts w:ascii="宋体" w:hAnsi="宋体" w:cs="宋体"/>
                <w:color w:val="auto"/>
                <w:sz w:val="22"/>
                <w:highlight w:val="none"/>
              </w:rPr>
            </w:pPr>
          </w:p>
        </w:tc>
        <w:tc>
          <w:tcPr>
            <w:tcW w:w="1560" w:type="dxa"/>
            <w:vAlign w:val="center"/>
          </w:tcPr>
          <w:p w14:paraId="77C07CA9">
            <w:pPr>
              <w:tabs>
                <w:tab w:val="left" w:pos="1069"/>
                <w:tab w:val="left" w:pos="2352"/>
              </w:tabs>
              <w:spacing w:line="360" w:lineRule="auto"/>
              <w:rPr>
                <w:rFonts w:ascii="宋体" w:hAnsi="宋体" w:cs="宋体"/>
                <w:color w:val="auto"/>
                <w:sz w:val="22"/>
                <w:highlight w:val="none"/>
              </w:rPr>
            </w:pPr>
          </w:p>
        </w:tc>
      </w:tr>
      <w:tr w14:paraId="0F272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63EFAE14">
            <w:pPr>
              <w:tabs>
                <w:tab w:val="left" w:pos="1069"/>
                <w:tab w:val="left" w:pos="2352"/>
              </w:tabs>
              <w:spacing w:line="360" w:lineRule="auto"/>
              <w:rPr>
                <w:rFonts w:ascii="宋体" w:hAnsi="宋体" w:cs="宋体"/>
                <w:color w:val="auto"/>
                <w:sz w:val="22"/>
                <w:highlight w:val="none"/>
              </w:rPr>
            </w:pPr>
          </w:p>
        </w:tc>
        <w:tc>
          <w:tcPr>
            <w:tcW w:w="2520" w:type="dxa"/>
            <w:vAlign w:val="center"/>
          </w:tcPr>
          <w:p w14:paraId="6CA6DD9B">
            <w:pPr>
              <w:tabs>
                <w:tab w:val="left" w:pos="1069"/>
                <w:tab w:val="left" w:pos="2352"/>
              </w:tabs>
              <w:spacing w:line="360" w:lineRule="auto"/>
              <w:rPr>
                <w:rFonts w:ascii="宋体" w:hAnsi="宋体" w:cs="宋体"/>
                <w:color w:val="auto"/>
                <w:sz w:val="22"/>
                <w:highlight w:val="none"/>
              </w:rPr>
            </w:pPr>
          </w:p>
        </w:tc>
        <w:tc>
          <w:tcPr>
            <w:tcW w:w="720" w:type="dxa"/>
            <w:vAlign w:val="center"/>
          </w:tcPr>
          <w:p w14:paraId="7982FF1F">
            <w:pPr>
              <w:tabs>
                <w:tab w:val="left" w:pos="1069"/>
                <w:tab w:val="left" w:pos="2352"/>
              </w:tabs>
              <w:spacing w:line="360" w:lineRule="auto"/>
              <w:rPr>
                <w:rFonts w:ascii="宋体" w:hAnsi="宋体" w:cs="宋体"/>
                <w:color w:val="auto"/>
                <w:sz w:val="22"/>
                <w:highlight w:val="none"/>
              </w:rPr>
            </w:pPr>
          </w:p>
        </w:tc>
        <w:tc>
          <w:tcPr>
            <w:tcW w:w="720" w:type="dxa"/>
            <w:vAlign w:val="center"/>
          </w:tcPr>
          <w:p w14:paraId="5ECAA211">
            <w:pPr>
              <w:tabs>
                <w:tab w:val="left" w:pos="1069"/>
                <w:tab w:val="left" w:pos="2352"/>
              </w:tabs>
              <w:spacing w:line="360" w:lineRule="auto"/>
              <w:rPr>
                <w:rFonts w:ascii="宋体" w:hAnsi="宋体" w:cs="宋体"/>
                <w:color w:val="auto"/>
                <w:sz w:val="22"/>
                <w:highlight w:val="none"/>
              </w:rPr>
            </w:pPr>
          </w:p>
        </w:tc>
        <w:tc>
          <w:tcPr>
            <w:tcW w:w="720" w:type="dxa"/>
            <w:vAlign w:val="center"/>
          </w:tcPr>
          <w:p w14:paraId="0BC61427">
            <w:pPr>
              <w:tabs>
                <w:tab w:val="left" w:pos="1069"/>
                <w:tab w:val="left" w:pos="2352"/>
              </w:tabs>
              <w:spacing w:line="360" w:lineRule="auto"/>
              <w:rPr>
                <w:rFonts w:ascii="宋体" w:hAnsi="宋体" w:cs="宋体"/>
                <w:color w:val="auto"/>
                <w:sz w:val="22"/>
                <w:highlight w:val="none"/>
              </w:rPr>
            </w:pPr>
          </w:p>
        </w:tc>
        <w:tc>
          <w:tcPr>
            <w:tcW w:w="1080" w:type="dxa"/>
            <w:vAlign w:val="center"/>
          </w:tcPr>
          <w:p w14:paraId="7B1C2982">
            <w:pPr>
              <w:tabs>
                <w:tab w:val="left" w:pos="1069"/>
                <w:tab w:val="left" w:pos="2352"/>
              </w:tabs>
              <w:spacing w:line="360" w:lineRule="auto"/>
              <w:rPr>
                <w:rFonts w:ascii="宋体" w:hAnsi="宋体" w:cs="宋体"/>
                <w:color w:val="auto"/>
                <w:sz w:val="22"/>
                <w:highlight w:val="none"/>
              </w:rPr>
            </w:pPr>
          </w:p>
        </w:tc>
        <w:tc>
          <w:tcPr>
            <w:tcW w:w="1458" w:type="dxa"/>
            <w:vAlign w:val="center"/>
          </w:tcPr>
          <w:p w14:paraId="3F1686C9">
            <w:pPr>
              <w:tabs>
                <w:tab w:val="left" w:pos="1069"/>
                <w:tab w:val="left" w:pos="2352"/>
              </w:tabs>
              <w:spacing w:line="360" w:lineRule="auto"/>
              <w:rPr>
                <w:rFonts w:ascii="宋体" w:hAnsi="宋体" w:cs="宋体"/>
                <w:color w:val="auto"/>
                <w:sz w:val="22"/>
                <w:highlight w:val="none"/>
              </w:rPr>
            </w:pPr>
          </w:p>
        </w:tc>
        <w:tc>
          <w:tcPr>
            <w:tcW w:w="1560" w:type="dxa"/>
            <w:vAlign w:val="center"/>
          </w:tcPr>
          <w:p w14:paraId="7145D10E">
            <w:pPr>
              <w:tabs>
                <w:tab w:val="left" w:pos="1069"/>
                <w:tab w:val="left" w:pos="2352"/>
              </w:tabs>
              <w:spacing w:line="360" w:lineRule="auto"/>
              <w:rPr>
                <w:rFonts w:ascii="宋体" w:hAnsi="宋体" w:cs="宋体"/>
                <w:color w:val="auto"/>
                <w:sz w:val="22"/>
                <w:highlight w:val="none"/>
              </w:rPr>
            </w:pPr>
          </w:p>
        </w:tc>
      </w:tr>
      <w:tr w14:paraId="20C3A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13914122">
            <w:pPr>
              <w:tabs>
                <w:tab w:val="left" w:pos="1069"/>
                <w:tab w:val="left" w:pos="2352"/>
              </w:tabs>
              <w:spacing w:line="360" w:lineRule="auto"/>
              <w:rPr>
                <w:rFonts w:ascii="宋体" w:hAnsi="宋体" w:cs="宋体"/>
                <w:color w:val="auto"/>
                <w:sz w:val="22"/>
                <w:highlight w:val="none"/>
              </w:rPr>
            </w:pPr>
          </w:p>
        </w:tc>
        <w:tc>
          <w:tcPr>
            <w:tcW w:w="2520" w:type="dxa"/>
            <w:vAlign w:val="center"/>
          </w:tcPr>
          <w:p w14:paraId="4C357AE3">
            <w:pPr>
              <w:tabs>
                <w:tab w:val="left" w:pos="1069"/>
                <w:tab w:val="left" w:pos="2352"/>
              </w:tabs>
              <w:spacing w:line="360" w:lineRule="auto"/>
              <w:rPr>
                <w:rFonts w:ascii="宋体" w:hAnsi="宋体" w:cs="宋体"/>
                <w:color w:val="auto"/>
                <w:sz w:val="22"/>
                <w:highlight w:val="none"/>
              </w:rPr>
            </w:pPr>
          </w:p>
        </w:tc>
        <w:tc>
          <w:tcPr>
            <w:tcW w:w="720" w:type="dxa"/>
            <w:vAlign w:val="center"/>
          </w:tcPr>
          <w:p w14:paraId="5D9EC9F1">
            <w:pPr>
              <w:tabs>
                <w:tab w:val="left" w:pos="1069"/>
                <w:tab w:val="left" w:pos="2352"/>
              </w:tabs>
              <w:spacing w:line="360" w:lineRule="auto"/>
              <w:rPr>
                <w:rFonts w:ascii="宋体" w:hAnsi="宋体" w:cs="宋体"/>
                <w:color w:val="auto"/>
                <w:sz w:val="22"/>
                <w:highlight w:val="none"/>
              </w:rPr>
            </w:pPr>
          </w:p>
        </w:tc>
        <w:tc>
          <w:tcPr>
            <w:tcW w:w="720" w:type="dxa"/>
            <w:vAlign w:val="center"/>
          </w:tcPr>
          <w:p w14:paraId="5D6E50BC">
            <w:pPr>
              <w:tabs>
                <w:tab w:val="left" w:pos="1069"/>
                <w:tab w:val="left" w:pos="2352"/>
              </w:tabs>
              <w:spacing w:line="360" w:lineRule="auto"/>
              <w:rPr>
                <w:rFonts w:ascii="宋体" w:hAnsi="宋体" w:cs="宋体"/>
                <w:color w:val="auto"/>
                <w:sz w:val="22"/>
                <w:highlight w:val="none"/>
              </w:rPr>
            </w:pPr>
          </w:p>
        </w:tc>
        <w:tc>
          <w:tcPr>
            <w:tcW w:w="720" w:type="dxa"/>
            <w:vAlign w:val="center"/>
          </w:tcPr>
          <w:p w14:paraId="7AABF470">
            <w:pPr>
              <w:tabs>
                <w:tab w:val="left" w:pos="1069"/>
                <w:tab w:val="left" w:pos="2352"/>
              </w:tabs>
              <w:spacing w:line="360" w:lineRule="auto"/>
              <w:rPr>
                <w:rFonts w:ascii="宋体" w:hAnsi="宋体" w:cs="宋体"/>
                <w:color w:val="auto"/>
                <w:sz w:val="22"/>
                <w:highlight w:val="none"/>
              </w:rPr>
            </w:pPr>
          </w:p>
        </w:tc>
        <w:tc>
          <w:tcPr>
            <w:tcW w:w="1080" w:type="dxa"/>
            <w:vAlign w:val="center"/>
          </w:tcPr>
          <w:p w14:paraId="01A84414">
            <w:pPr>
              <w:tabs>
                <w:tab w:val="left" w:pos="1069"/>
                <w:tab w:val="left" w:pos="2352"/>
              </w:tabs>
              <w:spacing w:line="360" w:lineRule="auto"/>
              <w:rPr>
                <w:rFonts w:ascii="宋体" w:hAnsi="宋体" w:cs="宋体"/>
                <w:color w:val="auto"/>
                <w:sz w:val="22"/>
                <w:highlight w:val="none"/>
              </w:rPr>
            </w:pPr>
          </w:p>
        </w:tc>
        <w:tc>
          <w:tcPr>
            <w:tcW w:w="1458" w:type="dxa"/>
            <w:vAlign w:val="center"/>
          </w:tcPr>
          <w:p w14:paraId="7EE91C33">
            <w:pPr>
              <w:tabs>
                <w:tab w:val="left" w:pos="1069"/>
                <w:tab w:val="left" w:pos="2352"/>
              </w:tabs>
              <w:spacing w:line="360" w:lineRule="auto"/>
              <w:rPr>
                <w:rFonts w:ascii="宋体" w:hAnsi="宋体" w:cs="宋体"/>
                <w:color w:val="auto"/>
                <w:sz w:val="22"/>
                <w:highlight w:val="none"/>
              </w:rPr>
            </w:pPr>
          </w:p>
        </w:tc>
        <w:tc>
          <w:tcPr>
            <w:tcW w:w="1560" w:type="dxa"/>
            <w:vAlign w:val="center"/>
          </w:tcPr>
          <w:p w14:paraId="6FC723E8">
            <w:pPr>
              <w:tabs>
                <w:tab w:val="left" w:pos="1069"/>
                <w:tab w:val="left" w:pos="2352"/>
              </w:tabs>
              <w:spacing w:line="360" w:lineRule="auto"/>
              <w:rPr>
                <w:rFonts w:ascii="宋体" w:hAnsi="宋体" w:cs="宋体"/>
                <w:color w:val="auto"/>
                <w:sz w:val="22"/>
                <w:highlight w:val="none"/>
              </w:rPr>
            </w:pPr>
          </w:p>
        </w:tc>
      </w:tr>
      <w:tr w14:paraId="17C6B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4E16BBA2">
            <w:pPr>
              <w:tabs>
                <w:tab w:val="left" w:pos="1069"/>
                <w:tab w:val="left" w:pos="2352"/>
              </w:tabs>
              <w:spacing w:line="360" w:lineRule="auto"/>
              <w:rPr>
                <w:rFonts w:ascii="宋体" w:hAnsi="宋体" w:cs="宋体"/>
                <w:color w:val="auto"/>
                <w:sz w:val="22"/>
                <w:highlight w:val="none"/>
              </w:rPr>
            </w:pPr>
          </w:p>
        </w:tc>
        <w:tc>
          <w:tcPr>
            <w:tcW w:w="2520" w:type="dxa"/>
            <w:vAlign w:val="center"/>
          </w:tcPr>
          <w:p w14:paraId="74E33110">
            <w:pPr>
              <w:tabs>
                <w:tab w:val="left" w:pos="1069"/>
                <w:tab w:val="left" w:pos="2352"/>
              </w:tabs>
              <w:spacing w:line="360" w:lineRule="auto"/>
              <w:rPr>
                <w:rFonts w:ascii="宋体" w:hAnsi="宋体" w:cs="宋体"/>
                <w:color w:val="auto"/>
                <w:sz w:val="22"/>
                <w:highlight w:val="none"/>
              </w:rPr>
            </w:pPr>
          </w:p>
        </w:tc>
        <w:tc>
          <w:tcPr>
            <w:tcW w:w="720" w:type="dxa"/>
            <w:vAlign w:val="center"/>
          </w:tcPr>
          <w:p w14:paraId="4F79C6FA">
            <w:pPr>
              <w:tabs>
                <w:tab w:val="left" w:pos="1069"/>
                <w:tab w:val="left" w:pos="2352"/>
              </w:tabs>
              <w:spacing w:line="360" w:lineRule="auto"/>
              <w:rPr>
                <w:rFonts w:ascii="宋体" w:hAnsi="宋体" w:cs="宋体"/>
                <w:color w:val="auto"/>
                <w:sz w:val="22"/>
                <w:highlight w:val="none"/>
              </w:rPr>
            </w:pPr>
          </w:p>
        </w:tc>
        <w:tc>
          <w:tcPr>
            <w:tcW w:w="720" w:type="dxa"/>
            <w:vAlign w:val="center"/>
          </w:tcPr>
          <w:p w14:paraId="37635EFC">
            <w:pPr>
              <w:tabs>
                <w:tab w:val="left" w:pos="1069"/>
                <w:tab w:val="left" w:pos="2352"/>
              </w:tabs>
              <w:spacing w:line="360" w:lineRule="auto"/>
              <w:rPr>
                <w:rFonts w:ascii="宋体" w:hAnsi="宋体" w:cs="宋体"/>
                <w:color w:val="auto"/>
                <w:sz w:val="22"/>
                <w:highlight w:val="none"/>
              </w:rPr>
            </w:pPr>
          </w:p>
        </w:tc>
        <w:tc>
          <w:tcPr>
            <w:tcW w:w="720" w:type="dxa"/>
            <w:vAlign w:val="center"/>
          </w:tcPr>
          <w:p w14:paraId="0BCF3677">
            <w:pPr>
              <w:tabs>
                <w:tab w:val="left" w:pos="1069"/>
                <w:tab w:val="left" w:pos="2352"/>
              </w:tabs>
              <w:spacing w:line="360" w:lineRule="auto"/>
              <w:rPr>
                <w:rFonts w:ascii="宋体" w:hAnsi="宋体" w:cs="宋体"/>
                <w:color w:val="auto"/>
                <w:sz w:val="22"/>
                <w:highlight w:val="none"/>
              </w:rPr>
            </w:pPr>
          </w:p>
        </w:tc>
        <w:tc>
          <w:tcPr>
            <w:tcW w:w="1080" w:type="dxa"/>
            <w:vAlign w:val="center"/>
          </w:tcPr>
          <w:p w14:paraId="1AA2A23E">
            <w:pPr>
              <w:tabs>
                <w:tab w:val="left" w:pos="1069"/>
                <w:tab w:val="left" w:pos="2352"/>
              </w:tabs>
              <w:spacing w:line="360" w:lineRule="auto"/>
              <w:rPr>
                <w:rFonts w:ascii="宋体" w:hAnsi="宋体" w:cs="宋体"/>
                <w:color w:val="auto"/>
                <w:sz w:val="22"/>
                <w:highlight w:val="none"/>
              </w:rPr>
            </w:pPr>
          </w:p>
        </w:tc>
        <w:tc>
          <w:tcPr>
            <w:tcW w:w="1458" w:type="dxa"/>
            <w:vAlign w:val="center"/>
          </w:tcPr>
          <w:p w14:paraId="478D9F6F">
            <w:pPr>
              <w:tabs>
                <w:tab w:val="left" w:pos="1069"/>
                <w:tab w:val="left" w:pos="2352"/>
              </w:tabs>
              <w:spacing w:line="360" w:lineRule="auto"/>
              <w:rPr>
                <w:rFonts w:ascii="宋体" w:hAnsi="宋体" w:cs="宋体"/>
                <w:color w:val="auto"/>
                <w:sz w:val="22"/>
                <w:highlight w:val="none"/>
              </w:rPr>
            </w:pPr>
          </w:p>
        </w:tc>
        <w:tc>
          <w:tcPr>
            <w:tcW w:w="1560" w:type="dxa"/>
            <w:vAlign w:val="center"/>
          </w:tcPr>
          <w:p w14:paraId="5F4A4E80">
            <w:pPr>
              <w:tabs>
                <w:tab w:val="left" w:pos="1069"/>
                <w:tab w:val="left" w:pos="2352"/>
              </w:tabs>
              <w:spacing w:line="360" w:lineRule="auto"/>
              <w:rPr>
                <w:rFonts w:ascii="宋体" w:hAnsi="宋体" w:cs="宋体"/>
                <w:color w:val="auto"/>
                <w:sz w:val="22"/>
                <w:highlight w:val="none"/>
              </w:rPr>
            </w:pPr>
          </w:p>
        </w:tc>
      </w:tr>
      <w:tr w14:paraId="60DA5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7CE86EA9">
            <w:pPr>
              <w:tabs>
                <w:tab w:val="left" w:pos="1069"/>
                <w:tab w:val="left" w:pos="2352"/>
              </w:tabs>
              <w:spacing w:line="360" w:lineRule="auto"/>
              <w:rPr>
                <w:rFonts w:ascii="宋体" w:hAnsi="宋体" w:cs="宋体"/>
                <w:color w:val="auto"/>
                <w:sz w:val="22"/>
                <w:highlight w:val="none"/>
              </w:rPr>
            </w:pPr>
          </w:p>
        </w:tc>
        <w:tc>
          <w:tcPr>
            <w:tcW w:w="2520" w:type="dxa"/>
            <w:vAlign w:val="center"/>
          </w:tcPr>
          <w:p w14:paraId="15EFE4F7">
            <w:pPr>
              <w:tabs>
                <w:tab w:val="left" w:pos="1069"/>
                <w:tab w:val="left" w:pos="2352"/>
              </w:tabs>
              <w:spacing w:line="360" w:lineRule="auto"/>
              <w:rPr>
                <w:rFonts w:ascii="宋体" w:hAnsi="宋体" w:cs="宋体"/>
                <w:color w:val="auto"/>
                <w:sz w:val="22"/>
                <w:highlight w:val="none"/>
              </w:rPr>
            </w:pPr>
          </w:p>
        </w:tc>
        <w:tc>
          <w:tcPr>
            <w:tcW w:w="720" w:type="dxa"/>
            <w:vAlign w:val="center"/>
          </w:tcPr>
          <w:p w14:paraId="675E65D5">
            <w:pPr>
              <w:tabs>
                <w:tab w:val="left" w:pos="1069"/>
                <w:tab w:val="left" w:pos="2352"/>
              </w:tabs>
              <w:spacing w:line="360" w:lineRule="auto"/>
              <w:rPr>
                <w:rFonts w:ascii="宋体" w:hAnsi="宋体" w:cs="宋体"/>
                <w:color w:val="auto"/>
                <w:sz w:val="22"/>
                <w:highlight w:val="none"/>
              </w:rPr>
            </w:pPr>
          </w:p>
        </w:tc>
        <w:tc>
          <w:tcPr>
            <w:tcW w:w="720" w:type="dxa"/>
            <w:vAlign w:val="center"/>
          </w:tcPr>
          <w:p w14:paraId="06E861AB">
            <w:pPr>
              <w:tabs>
                <w:tab w:val="left" w:pos="1069"/>
                <w:tab w:val="left" w:pos="2352"/>
              </w:tabs>
              <w:spacing w:line="360" w:lineRule="auto"/>
              <w:rPr>
                <w:rFonts w:ascii="宋体" w:hAnsi="宋体" w:cs="宋体"/>
                <w:color w:val="auto"/>
                <w:sz w:val="22"/>
                <w:highlight w:val="none"/>
              </w:rPr>
            </w:pPr>
          </w:p>
        </w:tc>
        <w:tc>
          <w:tcPr>
            <w:tcW w:w="720" w:type="dxa"/>
            <w:vAlign w:val="center"/>
          </w:tcPr>
          <w:p w14:paraId="2ADBF5E0">
            <w:pPr>
              <w:tabs>
                <w:tab w:val="left" w:pos="1069"/>
                <w:tab w:val="left" w:pos="2352"/>
              </w:tabs>
              <w:spacing w:line="360" w:lineRule="auto"/>
              <w:rPr>
                <w:rFonts w:ascii="宋体" w:hAnsi="宋体" w:cs="宋体"/>
                <w:color w:val="auto"/>
                <w:sz w:val="22"/>
                <w:highlight w:val="none"/>
              </w:rPr>
            </w:pPr>
          </w:p>
        </w:tc>
        <w:tc>
          <w:tcPr>
            <w:tcW w:w="1080" w:type="dxa"/>
            <w:vAlign w:val="center"/>
          </w:tcPr>
          <w:p w14:paraId="550FD73C">
            <w:pPr>
              <w:tabs>
                <w:tab w:val="left" w:pos="1069"/>
                <w:tab w:val="left" w:pos="2352"/>
              </w:tabs>
              <w:spacing w:line="360" w:lineRule="auto"/>
              <w:rPr>
                <w:rFonts w:ascii="宋体" w:hAnsi="宋体" w:cs="宋体"/>
                <w:color w:val="auto"/>
                <w:sz w:val="22"/>
                <w:highlight w:val="none"/>
              </w:rPr>
            </w:pPr>
          </w:p>
        </w:tc>
        <w:tc>
          <w:tcPr>
            <w:tcW w:w="1458" w:type="dxa"/>
            <w:vAlign w:val="center"/>
          </w:tcPr>
          <w:p w14:paraId="4C28134F">
            <w:pPr>
              <w:tabs>
                <w:tab w:val="left" w:pos="1069"/>
                <w:tab w:val="left" w:pos="2352"/>
              </w:tabs>
              <w:spacing w:line="360" w:lineRule="auto"/>
              <w:rPr>
                <w:rFonts w:ascii="宋体" w:hAnsi="宋体" w:cs="宋体"/>
                <w:color w:val="auto"/>
                <w:sz w:val="22"/>
                <w:highlight w:val="none"/>
              </w:rPr>
            </w:pPr>
          </w:p>
        </w:tc>
        <w:tc>
          <w:tcPr>
            <w:tcW w:w="1560" w:type="dxa"/>
            <w:vAlign w:val="center"/>
          </w:tcPr>
          <w:p w14:paraId="722E26C2">
            <w:pPr>
              <w:tabs>
                <w:tab w:val="left" w:pos="1069"/>
                <w:tab w:val="left" w:pos="2352"/>
              </w:tabs>
              <w:spacing w:line="360" w:lineRule="auto"/>
              <w:rPr>
                <w:rFonts w:ascii="宋体" w:hAnsi="宋体" w:cs="宋体"/>
                <w:color w:val="auto"/>
                <w:sz w:val="22"/>
                <w:highlight w:val="none"/>
              </w:rPr>
            </w:pPr>
          </w:p>
        </w:tc>
      </w:tr>
      <w:tr w14:paraId="1D7C0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66D6D443">
            <w:pPr>
              <w:tabs>
                <w:tab w:val="left" w:pos="1069"/>
                <w:tab w:val="left" w:pos="2352"/>
              </w:tabs>
              <w:spacing w:line="360" w:lineRule="auto"/>
              <w:rPr>
                <w:rFonts w:ascii="宋体" w:hAnsi="宋体" w:cs="宋体"/>
                <w:color w:val="auto"/>
                <w:sz w:val="22"/>
                <w:highlight w:val="none"/>
              </w:rPr>
            </w:pPr>
          </w:p>
        </w:tc>
        <w:tc>
          <w:tcPr>
            <w:tcW w:w="2520" w:type="dxa"/>
            <w:vAlign w:val="center"/>
          </w:tcPr>
          <w:p w14:paraId="422D368C">
            <w:pPr>
              <w:tabs>
                <w:tab w:val="left" w:pos="1069"/>
                <w:tab w:val="left" w:pos="2352"/>
              </w:tabs>
              <w:spacing w:line="360" w:lineRule="auto"/>
              <w:rPr>
                <w:rFonts w:ascii="宋体" w:hAnsi="宋体" w:cs="宋体"/>
                <w:color w:val="auto"/>
                <w:sz w:val="22"/>
                <w:highlight w:val="none"/>
              </w:rPr>
            </w:pPr>
          </w:p>
        </w:tc>
        <w:tc>
          <w:tcPr>
            <w:tcW w:w="720" w:type="dxa"/>
            <w:vAlign w:val="center"/>
          </w:tcPr>
          <w:p w14:paraId="0D39EB4D">
            <w:pPr>
              <w:tabs>
                <w:tab w:val="left" w:pos="1069"/>
                <w:tab w:val="left" w:pos="2352"/>
              </w:tabs>
              <w:spacing w:line="360" w:lineRule="auto"/>
              <w:rPr>
                <w:rFonts w:ascii="宋体" w:hAnsi="宋体" w:cs="宋体"/>
                <w:color w:val="auto"/>
                <w:sz w:val="22"/>
                <w:highlight w:val="none"/>
              </w:rPr>
            </w:pPr>
          </w:p>
        </w:tc>
        <w:tc>
          <w:tcPr>
            <w:tcW w:w="720" w:type="dxa"/>
            <w:vAlign w:val="center"/>
          </w:tcPr>
          <w:p w14:paraId="5B418DFF">
            <w:pPr>
              <w:tabs>
                <w:tab w:val="left" w:pos="1069"/>
                <w:tab w:val="left" w:pos="2352"/>
              </w:tabs>
              <w:spacing w:line="360" w:lineRule="auto"/>
              <w:rPr>
                <w:rFonts w:ascii="宋体" w:hAnsi="宋体" w:cs="宋体"/>
                <w:color w:val="auto"/>
                <w:sz w:val="22"/>
                <w:highlight w:val="none"/>
              </w:rPr>
            </w:pPr>
          </w:p>
        </w:tc>
        <w:tc>
          <w:tcPr>
            <w:tcW w:w="720" w:type="dxa"/>
            <w:vAlign w:val="center"/>
          </w:tcPr>
          <w:p w14:paraId="1521E374">
            <w:pPr>
              <w:tabs>
                <w:tab w:val="left" w:pos="1069"/>
                <w:tab w:val="left" w:pos="2352"/>
              </w:tabs>
              <w:spacing w:line="360" w:lineRule="auto"/>
              <w:rPr>
                <w:rFonts w:ascii="宋体" w:hAnsi="宋体" w:cs="宋体"/>
                <w:color w:val="auto"/>
                <w:sz w:val="22"/>
                <w:highlight w:val="none"/>
              </w:rPr>
            </w:pPr>
          </w:p>
        </w:tc>
        <w:tc>
          <w:tcPr>
            <w:tcW w:w="1080" w:type="dxa"/>
            <w:vAlign w:val="center"/>
          </w:tcPr>
          <w:p w14:paraId="6410C39E">
            <w:pPr>
              <w:tabs>
                <w:tab w:val="left" w:pos="1069"/>
                <w:tab w:val="left" w:pos="2352"/>
              </w:tabs>
              <w:spacing w:line="360" w:lineRule="auto"/>
              <w:rPr>
                <w:rFonts w:ascii="宋体" w:hAnsi="宋体" w:cs="宋体"/>
                <w:color w:val="auto"/>
                <w:sz w:val="22"/>
                <w:highlight w:val="none"/>
              </w:rPr>
            </w:pPr>
          </w:p>
        </w:tc>
        <w:tc>
          <w:tcPr>
            <w:tcW w:w="1458" w:type="dxa"/>
            <w:vAlign w:val="center"/>
          </w:tcPr>
          <w:p w14:paraId="0E7FB9B6">
            <w:pPr>
              <w:tabs>
                <w:tab w:val="left" w:pos="1069"/>
                <w:tab w:val="left" w:pos="2352"/>
              </w:tabs>
              <w:spacing w:line="360" w:lineRule="auto"/>
              <w:rPr>
                <w:rFonts w:ascii="宋体" w:hAnsi="宋体" w:cs="宋体"/>
                <w:color w:val="auto"/>
                <w:sz w:val="22"/>
                <w:highlight w:val="none"/>
              </w:rPr>
            </w:pPr>
          </w:p>
        </w:tc>
        <w:tc>
          <w:tcPr>
            <w:tcW w:w="1560" w:type="dxa"/>
            <w:vAlign w:val="center"/>
          </w:tcPr>
          <w:p w14:paraId="0FC452C2">
            <w:pPr>
              <w:tabs>
                <w:tab w:val="left" w:pos="1069"/>
                <w:tab w:val="left" w:pos="2352"/>
              </w:tabs>
              <w:spacing w:line="360" w:lineRule="auto"/>
              <w:rPr>
                <w:rFonts w:ascii="宋体" w:hAnsi="宋体" w:cs="宋体"/>
                <w:color w:val="auto"/>
                <w:sz w:val="22"/>
                <w:highlight w:val="none"/>
              </w:rPr>
            </w:pPr>
          </w:p>
        </w:tc>
      </w:tr>
      <w:tr w14:paraId="5FC9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5BD24B04">
            <w:pPr>
              <w:tabs>
                <w:tab w:val="left" w:pos="1069"/>
                <w:tab w:val="left" w:pos="2352"/>
              </w:tabs>
              <w:spacing w:line="360" w:lineRule="auto"/>
              <w:rPr>
                <w:rFonts w:ascii="宋体" w:hAnsi="宋体" w:cs="宋体"/>
                <w:color w:val="auto"/>
                <w:sz w:val="22"/>
                <w:highlight w:val="none"/>
              </w:rPr>
            </w:pPr>
          </w:p>
        </w:tc>
        <w:tc>
          <w:tcPr>
            <w:tcW w:w="2520" w:type="dxa"/>
            <w:vAlign w:val="center"/>
          </w:tcPr>
          <w:p w14:paraId="4ABE6275">
            <w:pPr>
              <w:tabs>
                <w:tab w:val="left" w:pos="1069"/>
                <w:tab w:val="left" w:pos="2352"/>
              </w:tabs>
              <w:spacing w:line="360" w:lineRule="auto"/>
              <w:rPr>
                <w:rFonts w:ascii="宋体" w:hAnsi="宋体" w:cs="宋体"/>
                <w:color w:val="auto"/>
                <w:sz w:val="22"/>
                <w:highlight w:val="none"/>
              </w:rPr>
            </w:pPr>
          </w:p>
        </w:tc>
        <w:tc>
          <w:tcPr>
            <w:tcW w:w="720" w:type="dxa"/>
            <w:vAlign w:val="center"/>
          </w:tcPr>
          <w:p w14:paraId="7155D062">
            <w:pPr>
              <w:tabs>
                <w:tab w:val="left" w:pos="1069"/>
                <w:tab w:val="left" w:pos="2352"/>
              </w:tabs>
              <w:spacing w:line="360" w:lineRule="auto"/>
              <w:rPr>
                <w:rFonts w:ascii="宋体" w:hAnsi="宋体" w:cs="宋体"/>
                <w:color w:val="auto"/>
                <w:sz w:val="22"/>
                <w:highlight w:val="none"/>
              </w:rPr>
            </w:pPr>
          </w:p>
        </w:tc>
        <w:tc>
          <w:tcPr>
            <w:tcW w:w="720" w:type="dxa"/>
            <w:vAlign w:val="center"/>
          </w:tcPr>
          <w:p w14:paraId="67BAFF60">
            <w:pPr>
              <w:tabs>
                <w:tab w:val="left" w:pos="1069"/>
                <w:tab w:val="left" w:pos="2352"/>
              </w:tabs>
              <w:spacing w:line="360" w:lineRule="auto"/>
              <w:rPr>
                <w:rFonts w:ascii="宋体" w:hAnsi="宋体" w:cs="宋体"/>
                <w:color w:val="auto"/>
                <w:sz w:val="22"/>
                <w:highlight w:val="none"/>
              </w:rPr>
            </w:pPr>
          </w:p>
        </w:tc>
        <w:tc>
          <w:tcPr>
            <w:tcW w:w="720" w:type="dxa"/>
            <w:vAlign w:val="center"/>
          </w:tcPr>
          <w:p w14:paraId="0CFA7078">
            <w:pPr>
              <w:tabs>
                <w:tab w:val="left" w:pos="1069"/>
                <w:tab w:val="left" w:pos="2352"/>
              </w:tabs>
              <w:spacing w:line="360" w:lineRule="auto"/>
              <w:rPr>
                <w:rFonts w:ascii="宋体" w:hAnsi="宋体" w:cs="宋体"/>
                <w:color w:val="auto"/>
                <w:sz w:val="22"/>
                <w:highlight w:val="none"/>
              </w:rPr>
            </w:pPr>
          </w:p>
        </w:tc>
        <w:tc>
          <w:tcPr>
            <w:tcW w:w="1080" w:type="dxa"/>
            <w:vAlign w:val="center"/>
          </w:tcPr>
          <w:p w14:paraId="2C50E425">
            <w:pPr>
              <w:tabs>
                <w:tab w:val="left" w:pos="1069"/>
                <w:tab w:val="left" w:pos="2352"/>
              </w:tabs>
              <w:spacing w:line="360" w:lineRule="auto"/>
              <w:rPr>
                <w:rFonts w:ascii="宋体" w:hAnsi="宋体" w:cs="宋体"/>
                <w:color w:val="auto"/>
                <w:sz w:val="22"/>
                <w:highlight w:val="none"/>
              </w:rPr>
            </w:pPr>
          </w:p>
        </w:tc>
        <w:tc>
          <w:tcPr>
            <w:tcW w:w="1458" w:type="dxa"/>
            <w:vAlign w:val="center"/>
          </w:tcPr>
          <w:p w14:paraId="39725770">
            <w:pPr>
              <w:tabs>
                <w:tab w:val="left" w:pos="1069"/>
                <w:tab w:val="left" w:pos="2352"/>
              </w:tabs>
              <w:spacing w:line="360" w:lineRule="auto"/>
              <w:rPr>
                <w:rFonts w:ascii="宋体" w:hAnsi="宋体" w:cs="宋体"/>
                <w:color w:val="auto"/>
                <w:sz w:val="22"/>
                <w:highlight w:val="none"/>
              </w:rPr>
            </w:pPr>
          </w:p>
        </w:tc>
        <w:tc>
          <w:tcPr>
            <w:tcW w:w="1560" w:type="dxa"/>
            <w:vAlign w:val="center"/>
          </w:tcPr>
          <w:p w14:paraId="1C3DEDCF">
            <w:pPr>
              <w:tabs>
                <w:tab w:val="left" w:pos="1069"/>
                <w:tab w:val="left" w:pos="2352"/>
              </w:tabs>
              <w:spacing w:line="360" w:lineRule="auto"/>
              <w:rPr>
                <w:rFonts w:ascii="宋体" w:hAnsi="宋体" w:cs="宋体"/>
                <w:color w:val="auto"/>
                <w:sz w:val="22"/>
                <w:highlight w:val="none"/>
              </w:rPr>
            </w:pPr>
          </w:p>
        </w:tc>
      </w:tr>
      <w:tr w14:paraId="0EADC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03DF96A2">
            <w:pPr>
              <w:tabs>
                <w:tab w:val="left" w:pos="1069"/>
                <w:tab w:val="left" w:pos="2352"/>
              </w:tabs>
              <w:spacing w:line="360" w:lineRule="auto"/>
              <w:rPr>
                <w:rFonts w:ascii="宋体" w:hAnsi="宋体" w:cs="宋体"/>
                <w:color w:val="auto"/>
                <w:sz w:val="22"/>
                <w:highlight w:val="none"/>
              </w:rPr>
            </w:pPr>
          </w:p>
        </w:tc>
        <w:tc>
          <w:tcPr>
            <w:tcW w:w="2520" w:type="dxa"/>
            <w:vAlign w:val="center"/>
          </w:tcPr>
          <w:p w14:paraId="41430223">
            <w:pPr>
              <w:tabs>
                <w:tab w:val="left" w:pos="1069"/>
                <w:tab w:val="left" w:pos="2352"/>
              </w:tabs>
              <w:spacing w:line="360" w:lineRule="auto"/>
              <w:rPr>
                <w:rFonts w:ascii="宋体" w:hAnsi="宋体" w:cs="宋体"/>
                <w:color w:val="auto"/>
                <w:sz w:val="22"/>
                <w:highlight w:val="none"/>
              </w:rPr>
            </w:pPr>
          </w:p>
        </w:tc>
        <w:tc>
          <w:tcPr>
            <w:tcW w:w="720" w:type="dxa"/>
            <w:vAlign w:val="center"/>
          </w:tcPr>
          <w:p w14:paraId="5BC01D89">
            <w:pPr>
              <w:tabs>
                <w:tab w:val="left" w:pos="1069"/>
                <w:tab w:val="left" w:pos="2352"/>
              </w:tabs>
              <w:spacing w:line="360" w:lineRule="auto"/>
              <w:rPr>
                <w:rFonts w:ascii="宋体" w:hAnsi="宋体" w:cs="宋体"/>
                <w:color w:val="auto"/>
                <w:sz w:val="22"/>
                <w:highlight w:val="none"/>
              </w:rPr>
            </w:pPr>
          </w:p>
        </w:tc>
        <w:tc>
          <w:tcPr>
            <w:tcW w:w="720" w:type="dxa"/>
            <w:vAlign w:val="center"/>
          </w:tcPr>
          <w:p w14:paraId="15E1FE08">
            <w:pPr>
              <w:tabs>
                <w:tab w:val="left" w:pos="1069"/>
                <w:tab w:val="left" w:pos="2352"/>
              </w:tabs>
              <w:spacing w:line="360" w:lineRule="auto"/>
              <w:rPr>
                <w:rFonts w:ascii="宋体" w:hAnsi="宋体" w:cs="宋体"/>
                <w:color w:val="auto"/>
                <w:sz w:val="22"/>
                <w:highlight w:val="none"/>
              </w:rPr>
            </w:pPr>
          </w:p>
        </w:tc>
        <w:tc>
          <w:tcPr>
            <w:tcW w:w="720" w:type="dxa"/>
            <w:vAlign w:val="center"/>
          </w:tcPr>
          <w:p w14:paraId="322E6083">
            <w:pPr>
              <w:tabs>
                <w:tab w:val="left" w:pos="1069"/>
                <w:tab w:val="left" w:pos="2352"/>
              </w:tabs>
              <w:spacing w:line="360" w:lineRule="auto"/>
              <w:rPr>
                <w:rFonts w:ascii="宋体" w:hAnsi="宋体" w:cs="宋体"/>
                <w:color w:val="auto"/>
                <w:sz w:val="22"/>
                <w:highlight w:val="none"/>
              </w:rPr>
            </w:pPr>
          </w:p>
        </w:tc>
        <w:tc>
          <w:tcPr>
            <w:tcW w:w="1080" w:type="dxa"/>
            <w:vAlign w:val="center"/>
          </w:tcPr>
          <w:p w14:paraId="67614A49">
            <w:pPr>
              <w:tabs>
                <w:tab w:val="left" w:pos="1069"/>
                <w:tab w:val="left" w:pos="2352"/>
              </w:tabs>
              <w:spacing w:line="360" w:lineRule="auto"/>
              <w:rPr>
                <w:rFonts w:ascii="宋体" w:hAnsi="宋体" w:cs="宋体"/>
                <w:color w:val="auto"/>
                <w:sz w:val="22"/>
                <w:highlight w:val="none"/>
              </w:rPr>
            </w:pPr>
          </w:p>
        </w:tc>
        <w:tc>
          <w:tcPr>
            <w:tcW w:w="1458" w:type="dxa"/>
            <w:vAlign w:val="center"/>
          </w:tcPr>
          <w:p w14:paraId="66DCB386">
            <w:pPr>
              <w:tabs>
                <w:tab w:val="left" w:pos="1069"/>
                <w:tab w:val="left" w:pos="2352"/>
              </w:tabs>
              <w:spacing w:line="360" w:lineRule="auto"/>
              <w:rPr>
                <w:rFonts w:ascii="宋体" w:hAnsi="宋体" w:cs="宋体"/>
                <w:color w:val="auto"/>
                <w:sz w:val="22"/>
                <w:highlight w:val="none"/>
              </w:rPr>
            </w:pPr>
          </w:p>
        </w:tc>
        <w:tc>
          <w:tcPr>
            <w:tcW w:w="1560" w:type="dxa"/>
            <w:vAlign w:val="center"/>
          </w:tcPr>
          <w:p w14:paraId="4644BF25">
            <w:pPr>
              <w:tabs>
                <w:tab w:val="left" w:pos="1069"/>
                <w:tab w:val="left" w:pos="2352"/>
              </w:tabs>
              <w:spacing w:line="360" w:lineRule="auto"/>
              <w:rPr>
                <w:rFonts w:ascii="宋体" w:hAnsi="宋体" w:cs="宋体"/>
                <w:color w:val="auto"/>
                <w:sz w:val="22"/>
                <w:highlight w:val="none"/>
              </w:rPr>
            </w:pPr>
          </w:p>
        </w:tc>
      </w:tr>
      <w:tr w14:paraId="35BB7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33F49708">
            <w:pPr>
              <w:tabs>
                <w:tab w:val="left" w:pos="1069"/>
                <w:tab w:val="left" w:pos="2352"/>
              </w:tabs>
              <w:spacing w:line="360" w:lineRule="auto"/>
              <w:rPr>
                <w:rFonts w:ascii="宋体" w:hAnsi="宋体" w:cs="宋体"/>
                <w:color w:val="auto"/>
                <w:sz w:val="22"/>
                <w:highlight w:val="none"/>
              </w:rPr>
            </w:pPr>
          </w:p>
        </w:tc>
        <w:tc>
          <w:tcPr>
            <w:tcW w:w="2520" w:type="dxa"/>
            <w:vAlign w:val="center"/>
          </w:tcPr>
          <w:p w14:paraId="5518E957">
            <w:pPr>
              <w:tabs>
                <w:tab w:val="left" w:pos="1069"/>
                <w:tab w:val="left" w:pos="2352"/>
              </w:tabs>
              <w:spacing w:line="360" w:lineRule="auto"/>
              <w:rPr>
                <w:rFonts w:ascii="宋体" w:hAnsi="宋体" w:cs="宋体"/>
                <w:color w:val="auto"/>
                <w:sz w:val="22"/>
                <w:highlight w:val="none"/>
              </w:rPr>
            </w:pPr>
          </w:p>
        </w:tc>
        <w:tc>
          <w:tcPr>
            <w:tcW w:w="720" w:type="dxa"/>
            <w:vAlign w:val="center"/>
          </w:tcPr>
          <w:p w14:paraId="1ABECABA">
            <w:pPr>
              <w:tabs>
                <w:tab w:val="left" w:pos="1069"/>
                <w:tab w:val="left" w:pos="2352"/>
              </w:tabs>
              <w:spacing w:line="360" w:lineRule="auto"/>
              <w:rPr>
                <w:rFonts w:ascii="宋体" w:hAnsi="宋体" w:cs="宋体"/>
                <w:color w:val="auto"/>
                <w:sz w:val="22"/>
                <w:highlight w:val="none"/>
              </w:rPr>
            </w:pPr>
          </w:p>
        </w:tc>
        <w:tc>
          <w:tcPr>
            <w:tcW w:w="720" w:type="dxa"/>
            <w:vAlign w:val="center"/>
          </w:tcPr>
          <w:p w14:paraId="2D94B5A0">
            <w:pPr>
              <w:tabs>
                <w:tab w:val="left" w:pos="1069"/>
                <w:tab w:val="left" w:pos="2352"/>
              </w:tabs>
              <w:spacing w:line="360" w:lineRule="auto"/>
              <w:rPr>
                <w:rFonts w:ascii="宋体" w:hAnsi="宋体" w:cs="宋体"/>
                <w:color w:val="auto"/>
                <w:sz w:val="22"/>
                <w:highlight w:val="none"/>
              </w:rPr>
            </w:pPr>
          </w:p>
        </w:tc>
        <w:tc>
          <w:tcPr>
            <w:tcW w:w="720" w:type="dxa"/>
            <w:vAlign w:val="center"/>
          </w:tcPr>
          <w:p w14:paraId="50BD6328">
            <w:pPr>
              <w:tabs>
                <w:tab w:val="left" w:pos="1069"/>
                <w:tab w:val="left" w:pos="2352"/>
              </w:tabs>
              <w:spacing w:line="360" w:lineRule="auto"/>
              <w:rPr>
                <w:rFonts w:ascii="宋体" w:hAnsi="宋体" w:cs="宋体"/>
                <w:color w:val="auto"/>
                <w:sz w:val="22"/>
                <w:highlight w:val="none"/>
              </w:rPr>
            </w:pPr>
          </w:p>
        </w:tc>
        <w:tc>
          <w:tcPr>
            <w:tcW w:w="1080" w:type="dxa"/>
            <w:vAlign w:val="center"/>
          </w:tcPr>
          <w:p w14:paraId="7CA2DA3C">
            <w:pPr>
              <w:tabs>
                <w:tab w:val="left" w:pos="1069"/>
                <w:tab w:val="left" w:pos="2352"/>
              </w:tabs>
              <w:spacing w:line="360" w:lineRule="auto"/>
              <w:rPr>
                <w:rFonts w:ascii="宋体" w:hAnsi="宋体" w:cs="宋体"/>
                <w:color w:val="auto"/>
                <w:sz w:val="22"/>
                <w:highlight w:val="none"/>
              </w:rPr>
            </w:pPr>
          </w:p>
        </w:tc>
        <w:tc>
          <w:tcPr>
            <w:tcW w:w="1458" w:type="dxa"/>
            <w:vAlign w:val="center"/>
          </w:tcPr>
          <w:p w14:paraId="163DCF78">
            <w:pPr>
              <w:tabs>
                <w:tab w:val="left" w:pos="1069"/>
                <w:tab w:val="left" w:pos="2352"/>
              </w:tabs>
              <w:spacing w:line="360" w:lineRule="auto"/>
              <w:rPr>
                <w:rFonts w:ascii="宋体" w:hAnsi="宋体" w:cs="宋体"/>
                <w:color w:val="auto"/>
                <w:sz w:val="22"/>
                <w:highlight w:val="none"/>
              </w:rPr>
            </w:pPr>
          </w:p>
        </w:tc>
        <w:tc>
          <w:tcPr>
            <w:tcW w:w="1560" w:type="dxa"/>
            <w:vAlign w:val="center"/>
          </w:tcPr>
          <w:p w14:paraId="7276DA87">
            <w:pPr>
              <w:tabs>
                <w:tab w:val="left" w:pos="1069"/>
                <w:tab w:val="left" w:pos="2352"/>
              </w:tabs>
              <w:spacing w:line="360" w:lineRule="auto"/>
              <w:rPr>
                <w:rFonts w:ascii="宋体" w:hAnsi="宋体" w:cs="宋体"/>
                <w:color w:val="auto"/>
                <w:sz w:val="22"/>
                <w:highlight w:val="none"/>
              </w:rPr>
            </w:pPr>
          </w:p>
        </w:tc>
      </w:tr>
    </w:tbl>
    <w:p w14:paraId="5A1CFA8A">
      <w:pPr>
        <w:tabs>
          <w:tab w:val="left" w:pos="1069"/>
          <w:tab w:val="left" w:pos="2352"/>
        </w:tabs>
        <w:spacing w:line="360" w:lineRule="exact"/>
        <w:ind w:left="985" w:hanging="981" w:hangingChars="440"/>
        <w:rPr>
          <w:rFonts w:ascii="宋体" w:hAnsi="宋体" w:cs="宋体"/>
          <w:color w:val="auto"/>
          <w:sz w:val="22"/>
          <w:highlight w:val="none"/>
        </w:rPr>
      </w:pPr>
      <w:r>
        <w:rPr>
          <w:rFonts w:hint="eastAsia" w:ascii="宋体" w:hAnsi="宋体" w:cs="宋体"/>
          <w:color w:val="auto"/>
          <w:sz w:val="22"/>
          <w:highlight w:val="none"/>
        </w:rPr>
        <w:t>注：  1. 项目负责人及其他服务人员均应列入；</w:t>
      </w:r>
    </w:p>
    <w:p w14:paraId="29CE15B7">
      <w:pPr>
        <w:tabs>
          <w:tab w:val="left" w:pos="1069"/>
          <w:tab w:val="left" w:pos="2352"/>
        </w:tabs>
        <w:spacing w:line="360" w:lineRule="exact"/>
        <w:ind w:left="727" w:leftChars="321" w:hanging="44" w:hangingChars="20"/>
        <w:rPr>
          <w:rFonts w:ascii="宋体" w:hAnsi="宋体" w:cs="宋体"/>
          <w:color w:val="auto"/>
          <w:sz w:val="22"/>
          <w:highlight w:val="none"/>
        </w:rPr>
      </w:pPr>
      <w:r>
        <w:rPr>
          <w:rFonts w:hint="eastAsia" w:ascii="宋体" w:hAnsi="宋体" w:cs="宋体"/>
          <w:color w:val="auto"/>
          <w:sz w:val="22"/>
          <w:highlight w:val="none"/>
        </w:rPr>
        <w:t>2. 列入本表人员如要更换，需经采购人同意，擅自更换或不到位属违约行为；</w:t>
      </w:r>
    </w:p>
    <w:p w14:paraId="06854957">
      <w:pPr>
        <w:tabs>
          <w:tab w:val="left" w:pos="1069"/>
          <w:tab w:val="left" w:pos="2352"/>
        </w:tabs>
        <w:spacing w:line="360" w:lineRule="exact"/>
        <w:ind w:left="727" w:leftChars="321" w:hanging="44" w:hangingChars="20"/>
        <w:rPr>
          <w:rFonts w:ascii="宋体" w:hAnsi="宋体" w:cs="宋体"/>
          <w:color w:val="auto"/>
          <w:sz w:val="22"/>
          <w:highlight w:val="none"/>
        </w:rPr>
      </w:pPr>
      <w:r>
        <w:rPr>
          <w:rFonts w:hint="eastAsia" w:ascii="宋体" w:hAnsi="宋体" w:cs="宋体"/>
          <w:color w:val="auto"/>
          <w:sz w:val="22"/>
          <w:highlight w:val="none"/>
        </w:rPr>
        <w:t>3. 职称证书、执业资格证书、职业水平证书等人员证件复印件附后（如有）。</w:t>
      </w:r>
    </w:p>
    <w:p w14:paraId="70A91E84">
      <w:pPr>
        <w:tabs>
          <w:tab w:val="left" w:pos="1069"/>
          <w:tab w:val="left" w:pos="2352"/>
        </w:tabs>
        <w:spacing w:line="360" w:lineRule="exact"/>
        <w:ind w:left="727" w:leftChars="321" w:hanging="44" w:hangingChars="20"/>
        <w:rPr>
          <w:rFonts w:ascii="宋体" w:hAnsi="宋体" w:cs="宋体"/>
          <w:color w:val="auto"/>
          <w:sz w:val="22"/>
          <w:highlight w:val="none"/>
        </w:rPr>
      </w:pPr>
      <w:r>
        <w:rPr>
          <w:rFonts w:hint="eastAsia" w:ascii="宋体" w:hAnsi="宋体" w:cs="宋体"/>
          <w:color w:val="auto"/>
          <w:sz w:val="22"/>
          <w:highlight w:val="none"/>
        </w:rPr>
        <w:t>4.表格可以延续。</w:t>
      </w:r>
    </w:p>
    <w:p w14:paraId="06F7AD01">
      <w:pPr>
        <w:pStyle w:val="12"/>
        <w:tabs>
          <w:tab w:val="left" w:pos="1069"/>
          <w:tab w:val="left" w:pos="2352"/>
        </w:tabs>
        <w:spacing w:line="440" w:lineRule="atLeast"/>
        <w:rPr>
          <w:rFonts w:hAnsi="宋体" w:cs="宋体"/>
          <w:color w:val="auto"/>
          <w:sz w:val="22"/>
          <w:szCs w:val="22"/>
          <w:highlight w:val="none"/>
        </w:rPr>
      </w:pPr>
      <w:r>
        <w:rPr>
          <w:rFonts w:hint="eastAsia" w:hAnsi="宋体" w:cs="宋体"/>
          <w:color w:val="auto"/>
          <w:sz w:val="22"/>
          <w:szCs w:val="22"/>
          <w:highlight w:val="none"/>
        </w:rPr>
        <w:t>供应商全称：（盖章）</w:t>
      </w:r>
    </w:p>
    <w:p w14:paraId="16AF0266">
      <w:pPr>
        <w:pStyle w:val="12"/>
        <w:tabs>
          <w:tab w:val="left" w:pos="1069"/>
          <w:tab w:val="left" w:pos="2352"/>
        </w:tabs>
        <w:spacing w:line="440" w:lineRule="atLeast"/>
        <w:rPr>
          <w:rFonts w:hAnsi="宋体" w:cs="宋体"/>
          <w:color w:val="auto"/>
          <w:sz w:val="22"/>
          <w:szCs w:val="22"/>
          <w:highlight w:val="none"/>
          <w:lang w:val="zh-CN"/>
        </w:rPr>
      </w:pPr>
      <w:r>
        <w:rPr>
          <w:rFonts w:hint="eastAsia" w:hAnsi="宋体" w:cs="宋体"/>
          <w:color w:val="auto"/>
          <w:sz w:val="22"/>
          <w:szCs w:val="22"/>
          <w:highlight w:val="none"/>
        </w:rPr>
        <w:t>法定代表人（签字或盖章）或</w:t>
      </w:r>
      <w:r>
        <w:rPr>
          <w:rFonts w:hint="eastAsia" w:hAnsi="宋体" w:cs="宋体"/>
          <w:color w:val="auto"/>
          <w:sz w:val="22"/>
          <w:szCs w:val="22"/>
          <w:highlight w:val="none"/>
          <w:lang w:val="zh-CN"/>
        </w:rPr>
        <w:t>授权代表（签字）：</w:t>
      </w:r>
    </w:p>
    <w:p w14:paraId="6246FF8C">
      <w:pPr>
        <w:pStyle w:val="12"/>
        <w:tabs>
          <w:tab w:val="left" w:pos="1069"/>
          <w:tab w:val="left" w:pos="2352"/>
        </w:tabs>
        <w:spacing w:line="360" w:lineRule="exact"/>
        <w:jc w:val="left"/>
        <w:rPr>
          <w:rFonts w:hAnsi="宋体" w:cs="宋体"/>
          <w:color w:val="auto"/>
          <w:sz w:val="22"/>
          <w:szCs w:val="22"/>
          <w:highlight w:val="none"/>
        </w:rPr>
      </w:pPr>
      <w:r>
        <w:rPr>
          <w:rFonts w:hint="eastAsia" w:hAnsi="宋体" w:cs="宋体"/>
          <w:color w:val="auto"/>
          <w:sz w:val="22"/>
          <w:szCs w:val="22"/>
          <w:highlight w:val="none"/>
        </w:rPr>
        <w:t>日期：</w:t>
      </w:r>
    </w:p>
    <w:p w14:paraId="7CB20329">
      <w:pPr>
        <w:tabs>
          <w:tab w:val="left" w:pos="1069"/>
          <w:tab w:val="left" w:pos="2352"/>
        </w:tabs>
        <w:spacing w:line="360" w:lineRule="exact"/>
        <w:jc w:val="left"/>
        <w:rPr>
          <w:rFonts w:ascii="宋体" w:hAnsi="宋体" w:cs="宋体"/>
          <w:color w:val="auto"/>
          <w:sz w:val="30"/>
          <w:highlight w:val="none"/>
        </w:rPr>
      </w:pPr>
    </w:p>
    <w:p w14:paraId="0D47F5E2">
      <w:pPr>
        <w:tabs>
          <w:tab w:val="left" w:pos="1069"/>
          <w:tab w:val="left" w:pos="2352"/>
        </w:tabs>
        <w:spacing w:line="360" w:lineRule="exact"/>
        <w:jc w:val="left"/>
        <w:rPr>
          <w:rFonts w:hint="eastAsia" w:ascii="宋体" w:hAnsi="宋体" w:cs="宋体"/>
          <w:b/>
          <w:bCs/>
          <w:color w:val="auto"/>
          <w:sz w:val="30"/>
          <w:highlight w:val="none"/>
          <w:lang w:val="en-US" w:eastAsia="zh-CN"/>
        </w:rPr>
      </w:pPr>
    </w:p>
    <w:p w14:paraId="746FC309">
      <w:pPr>
        <w:tabs>
          <w:tab w:val="left" w:pos="1069"/>
          <w:tab w:val="left" w:pos="2352"/>
        </w:tabs>
        <w:spacing w:line="360" w:lineRule="exact"/>
        <w:jc w:val="left"/>
        <w:rPr>
          <w:rFonts w:hint="default" w:ascii="宋体" w:hAnsi="宋体" w:eastAsia="宋体" w:cs="宋体"/>
          <w:b/>
          <w:bCs/>
          <w:color w:val="auto"/>
          <w:sz w:val="30"/>
          <w:highlight w:val="none"/>
          <w:lang w:val="en-US" w:eastAsia="zh-CN"/>
        </w:rPr>
      </w:pPr>
      <w:r>
        <w:rPr>
          <w:rFonts w:hint="eastAsia" w:ascii="宋体" w:hAnsi="宋体" w:cs="宋体"/>
          <w:b/>
          <w:bCs/>
          <w:color w:val="auto"/>
          <w:sz w:val="30"/>
          <w:highlight w:val="none"/>
          <w:lang w:val="en-US" w:eastAsia="zh-CN"/>
        </w:rPr>
        <w:t>附件九</w:t>
      </w:r>
    </w:p>
    <w:p w14:paraId="56C970A0">
      <w:pPr>
        <w:tabs>
          <w:tab w:val="left" w:pos="1069"/>
          <w:tab w:val="left" w:pos="2352"/>
        </w:tabs>
        <w:spacing w:line="360" w:lineRule="exact"/>
        <w:jc w:val="left"/>
        <w:rPr>
          <w:rFonts w:ascii="宋体" w:hAnsi="宋体" w:cs="宋体"/>
          <w:b/>
          <w:bCs/>
          <w:color w:val="auto"/>
          <w:sz w:val="30"/>
          <w:highlight w:val="none"/>
        </w:rPr>
      </w:pPr>
    </w:p>
    <w:p w14:paraId="75410B3D">
      <w:pPr>
        <w:pStyle w:val="60"/>
        <w:spacing w:line="400" w:lineRule="exact"/>
        <w:jc w:val="center"/>
        <w:rPr>
          <w:rFonts w:hint="eastAsia" w:ascii="宋体" w:hAnsi="宋体"/>
          <w:b/>
          <w:color w:val="auto"/>
          <w:sz w:val="32"/>
          <w:szCs w:val="32"/>
          <w:highlight w:val="none"/>
        </w:rPr>
      </w:pPr>
      <w:r>
        <w:rPr>
          <w:rFonts w:hint="eastAsia" w:ascii="宋体" w:hAnsi="宋体"/>
          <w:b/>
          <w:color w:val="auto"/>
          <w:sz w:val="32"/>
          <w:szCs w:val="32"/>
          <w:highlight w:val="none"/>
        </w:rPr>
        <w:t>联合</w:t>
      </w:r>
      <w:r>
        <w:rPr>
          <w:rFonts w:hint="eastAsia" w:ascii="宋体" w:hAnsi="宋体"/>
          <w:b/>
          <w:color w:val="auto"/>
          <w:sz w:val="32"/>
          <w:szCs w:val="32"/>
          <w:highlight w:val="none"/>
          <w:lang w:val="en-US" w:eastAsia="zh-CN"/>
        </w:rPr>
        <w:t>投标</w:t>
      </w:r>
      <w:r>
        <w:rPr>
          <w:rFonts w:hint="eastAsia" w:ascii="宋体" w:hAnsi="宋体"/>
          <w:b/>
          <w:color w:val="auto"/>
          <w:sz w:val="32"/>
          <w:szCs w:val="32"/>
          <w:highlight w:val="none"/>
        </w:rPr>
        <w:t>体协议书</w:t>
      </w:r>
    </w:p>
    <w:p w14:paraId="7802D61D">
      <w:pPr>
        <w:pStyle w:val="60"/>
        <w:spacing w:line="400" w:lineRule="exact"/>
        <w:jc w:val="center"/>
        <w:rPr>
          <w:rFonts w:hint="eastAsia" w:ascii="宋体" w:hAnsi="宋体"/>
          <w:color w:val="auto"/>
          <w:sz w:val="32"/>
          <w:szCs w:val="32"/>
          <w:highlight w:val="none"/>
        </w:rPr>
      </w:pPr>
    </w:p>
    <w:p w14:paraId="2740050F">
      <w:pPr>
        <w:widowControl/>
        <w:spacing w:before="100" w:beforeAutospacing="1" w:after="100" w:afterAutospacing="1" w:line="360" w:lineRule="auto"/>
        <w:jc w:val="left"/>
        <w:rPr>
          <w:rFonts w:hint="eastAsia" w:ascii="宋体" w:hAnsi="宋体"/>
          <w:color w:val="auto"/>
          <w:sz w:val="23"/>
          <w:szCs w:val="23"/>
          <w:highlight w:val="none"/>
          <w:u w:val="single"/>
          <w:lang w:val="en-US" w:eastAsia="zh-CN"/>
        </w:rPr>
      </w:pPr>
      <w:r>
        <w:rPr>
          <w:rFonts w:hint="eastAsia" w:ascii="宋体" w:hAnsi="宋体"/>
          <w:color w:val="auto"/>
          <w:sz w:val="23"/>
          <w:szCs w:val="23"/>
          <w:highlight w:val="none"/>
          <w:u w:val="single"/>
          <w:lang w:val="en-US" w:eastAsia="zh-CN"/>
        </w:rPr>
        <w:t xml:space="preserve">    </w:t>
      </w:r>
      <w:r>
        <w:rPr>
          <w:rFonts w:hint="eastAsia" w:ascii="宋体" w:hAnsi="宋体"/>
          <w:color w:val="auto"/>
          <w:kern w:val="0"/>
          <w:sz w:val="22"/>
          <w:highlight w:val="none"/>
          <w:u w:val="single"/>
        </w:rPr>
        <w:t xml:space="preserve">（所有成员单位名称）    </w:t>
      </w:r>
      <w:r>
        <w:rPr>
          <w:rFonts w:hint="eastAsia" w:ascii="宋体" w:hAnsi="宋体"/>
          <w:color w:val="auto"/>
          <w:kern w:val="0"/>
          <w:sz w:val="22"/>
          <w:highlight w:val="none"/>
        </w:rPr>
        <w:t>自愿组成联合体，参加</w:t>
      </w:r>
      <w:r>
        <w:rPr>
          <w:rFonts w:hint="eastAsia" w:ascii="宋体" w:hAnsi="宋体"/>
          <w:color w:val="auto"/>
          <w:kern w:val="0"/>
          <w:sz w:val="22"/>
          <w:highlight w:val="none"/>
          <w:u w:val="single"/>
          <w:lang w:eastAsia="zh-CN"/>
        </w:rPr>
        <w:t>2024年泰顺县彭溪镇峰文村牛塘垵简洋农田宜机化改造项目</w:t>
      </w:r>
      <w:r>
        <w:rPr>
          <w:rFonts w:hint="eastAsia" w:ascii="宋体" w:hAnsi="宋体"/>
          <w:color w:val="auto"/>
          <w:kern w:val="0"/>
          <w:sz w:val="22"/>
          <w:highlight w:val="none"/>
          <w:u w:val="single"/>
        </w:rPr>
        <w:t>（项目编号：</w:t>
      </w:r>
      <w:r>
        <w:rPr>
          <w:rFonts w:hint="eastAsia" w:ascii="宋体" w:hAnsi="宋体"/>
          <w:color w:val="auto"/>
          <w:kern w:val="0"/>
          <w:sz w:val="22"/>
          <w:highlight w:val="none"/>
          <w:u w:val="single"/>
          <w:lang w:eastAsia="zh-CN"/>
        </w:rPr>
        <w:t xml:space="preserve">TSCG202501003 </w:t>
      </w:r>
      <w:r>
        <w:rPr>
          <w:rFonts w:hint="eastAsia" w:ascii="宋体" w:hAnsi="宋体"/>
          <w:color w:val="auto"/>
          <w:kern w:val="0"/>
          <w:sz w:val="22"/>
          <w:highlight w:val="none"/>
          <w:u w:val="single"/>
        </w:rPr>
        <w:t>）项目</w:t>
      </w:r>
      <w:r>
        <w:rPr>
          <w:rFonts w:hint="eastAsia" w:ascii="宋体" w:hAnsi="宋体"/>
          <w:color w:val="auto"/>
          <w:kern w:val="0"/>
          <w:sz w:val="22"/>
          <w:highlight w:val="none"/>
        </w:rPr>
        <w:t>投标。现就有关事宜订立协议如下：</w:t>
      </w:r>
      <w:r>
        <w:rPr>
          <w:rFonts w:hint="eastAsia" w:ascii="宋体" w:hAnsi="宋体"/>
          <w:color w:val="auto"/>
          <w:kern w:val="0"/>
          <w:sz w:val="22"/>
          <w:highlight w:val="none"/>
        </w:rPr>
        <w:br w:type="textWrapping"/>
      </w:r>
      <w:r>
        <w:rPr>
          <w:rFonts w:hint="eastAsia" w:ascii="宋体" w:hAnsi="宋体"/>
          <w:color w:val="auto"/>
          <w:kern w:val="0"/>
          <w:sz w:val="22"/>
          <w:highlight w:val="none"/>
        </w:rPr>
        <w:t>1．</w:t>
      </w:r>
      <w:r>
        <w:rPr>
          <w:rFonts w:hint="eastAsia" w:ascii="宋体" w:hAnsi="宋体"/>
          <w:color w:val="auto"/>
          <w:kern w:val="0"/>
          <w:sz w:val="22"/>
          <w:highlight w:val="none"/>
          <w:u w:val="single"/>
        </w:rPr>
        <w:t xml:space="preserve">                 </w:t>
      </w:r>
      <w:r>
        <w:rPr>
          <w:rFonts w:hint="eastAsia" w:ascii="宋体" w:hAnsi="宋体"/>
          <w:color w:val="auto"/>
          <w:kern w:val="0"/>
          <w:sz w:val="22"/>
          <w:highlight w:val="none"/>
        </w:rPr>
        <w:t>为联合体牵头人，</w:t>
      </w:r>
      <w:r>
        <w:rPr>
          <w:rFonts w:hint="eastAsia" w:ascii="宋体" w:hAnsi="宋体"/>
          <w:color w:val="auto"/>
          <w:kern w:val="0"/>
          <w:sz w:val="22"/>
          <w:highlight w:val="none"/>
          <w:u w:val="single"/>
        </w:rPr>
        <w:t xml:space="preserve">              </w:t>
      </w:r>
      <w:r>
        <w:rPr>
          <w:rFonts w:hint="eastAsia" w:ascii="宋体" w:hAnsi="宋体"/>
          <w:color w:val="auto"/>
          <w:kern w:val="0"/>
          <w:sz w:val="22"/>
          <w:highlight w:val="none"/>
        </w:rPr>
        <w:t>为联合体成员；</w:t>
      </w:r>
      <w:r>
        <w:rPr>
          <w:rFonts w:hint="eastAsia" w:ascii="宋体" w:hAnsi="宋体"/>
          <w:color w:val="auto"/>
          <w:kern w:val="0"/>
          <w:sz w:val="22"/>
          <w:highlight w:val="none"/>
        </w:rPr>
        <w:br w:type="textWrapping"/>
      </w:r>
      <w:r>
        <w:rPr>
          <w:rFonts w:hint="eastAsia" w:ascii="宋体" w:hAnsi="宋体"/>
          <w:color w:val="auto"/>
          <w:kern w:val="0"/>
          <w:sz w:val="22"/>
          <w:highlight w:val="none"/>
        </w:rPr>
        <w:t>2．联合体内部有关事项规定如下：</w:t>
      </w:r>
      <w:r>
        <w:rPr>
          <w:rFonts w:hint="eastAsia" w:ascii="宋体" w:hAnsi="宋体"/>
          <w:color w:val="auto"/>
          <w:kern w:val="0"/>
          <w:sz w:val="22"/>
          <w:highlight w:val="none"/>
        </w:rPr>
        <w:br w:type="textWrapping"/>
      </w:r>
      <w:r>
        <w:rPr>
          <w:rFonts w:hint="eastAsia" w:ascii="宋体" w:hAnsi="宋体"/>
          <w:color w:val="auto"/>
          <w:kern w:val="0"/>
          <w:sz w:val="22"/>
          <w:highlight w:val="none"/>
        </w:rPr>
        <w:t>（1）联合体由牵头人负责与业主联系；</w:t>
      </w:r>
      <w:r>
        <w:rPr>
          <w:rFonts w:hint="eastAsia" w:ascii="宋体" w:hAnsi="宋体"/>
          <w:color w:val="auto"/>
          <w:kern w:val="0"/>
          <w:sz w:val="22"/>
          <w:highlight w:val="none"/>
        </w:rPr>
        <w:br w:type="textWrapping"/>
      </w:r>
      <w:r>
        <w:rPr>
          <w:rFonts w:hint="eastAsia" w:ascii="宋体" w:hAnsi="宋体"/>
          <w:color w:val="auto"/>
          <w:kern w:val="0"/>
          <w:sz w:val="22"/>
          <w:highlight w:val="none"/>
        </w:rPr>
        <w:t>（2）投标工作由联合体牵头人负责，由双方组成的投标小组具体实施</w:t>
      </w:r>
      <w:r>
        <w:rPr>
          <w:rFonts w:hint="eastAsia" w:ascii="宋体" w:hAnsi="宋体"/>
          <w:color w:val="auto"/>
          <w:kern w:val="0"/>
          <w:sz w:val="22"/>
          <w:highlight w:val="none"/>
          <w:lang w:eastAsia="zh-CN"/>
        </w:rPr>
        <w:t>，</w:t>
      </w:r>
      <w:r>
        <w:rPr>
          <w:rFonts w:hint="eastAsia" w:ascii="宋体" w:hAnsi="宋体"/>
          <w:color w:val="auto"/>
          <w:kern w:val="0"/>
          <w:sz w:val="22"/>
          <w:highlight w:val="none"/>
          <w:lang w:val="en-US" w:eastAsia="zh-CN"/>
        </w:rPr>
        <w:t>其中</w:t>
      </w:r>
      <w:r>
        <w:rPr>
          <w:rFonts w:hint="eastAsia" w:ascii="宋体" w:hAnsi="宋体"/>
          <w:color w:val="auto"/>
          <w:kern w:val="0"/>
          <w:sz w:val="22"/>
          <w:highlight w:val="none"/>
          <w:u w:val="single"/>
          <w:lang w:val="en-US" w:eastAsia="zh-CN"/>
        </w:rPr>
        <w:t xml:space="preserve">          </w:t>
      </w:r>
      <w:r>
        <w:rPr>
          <w:rFonts w:hint="eastAsia" w:ascii="宋体" w:hAnsi="宋体"/>
          <w:color w:val="auto"/>
          <w:kern w:val="0"/>
          <w:sz w:val="22"/>
          <w:highlight w:val="none"/>
          <w:lang w:val="en-US" w:eastAsia="zh-CN"/>
        </w:rPr>
        <w:t>负责运营部分，</w:t>
      </w:r>
      <w:r>
        <w:rPr>
          <w:rFonts w:hint="eastAsia" w:ascii="宋体" w:hAnsi="宋体"/>
          <w:color w:val="auto"/>
          <w:kern w:val="0"/>
          <w:sz w:val="22"/>
          <w:highlight w:val="none"/>
          <w:u w:val="single"/>
          <w:lang w:val="en-US" w:eastAsia="zh-CN"/>
        </w:rPr>
        <w:t xml:space="preserve">          </w:t>
      </w:r>
      <w:r>
        <w:rPr>
          <w:rFonts w:hint="eastAsia" w:ascii="宋体" w:hAnsi="宋体"/>
          <w:color w:val="auto"/>
          <w:kern w:val="0"/>
          <w:sz w:val="22"/>
          <w:highlight w:val="none"/>
          <w:lang w:val="en-US" w:eastAsia="zh-CN"/>
        </w:rPr>
        <w:t>负责宜机化改造部分</w:t>
      </w:r>
      <w:r>
        <w:rPr>
          <w:rFonts w:hint="eastAsia" w:ascii="宋体" w:hAnsi="宋体"/>
          <w:color w:val="auto"/>
          <w:kern w:val="0"/>
          <w:sz w:val="22"/>
          <w:highlight w:val="none"/>
        </w:rPr>
        <w:t>；</w:t>
      </w:r>
      <w:r>
        <w:rPr>
          <w:rFonts w:hint="eastAsia" w:ascii="宋体" w:hAnsi="宋体"/>
          <w:color w:val="auto"/>
          <w:kern w:val="0"/>
          <w:sz w:val="22"/>
          <w:highlight w:val="none"/>
        </w:rPr>
        <w:br w:type="textWrapping"/>
      </w:r>
      <w:r>
        <w:rPr>
          <w:rFonts w:hint="eastAsia" w:ascii="宋体" w:hAnsi="宋体"/>
          <w:color w:val="auto"/>
          <w:kern w:val="0"/>
          <w:sz w:val="22"/>
          <w:highlight w:val="none"/>
        </w:rPr>
        <w:t>（3）联合体将严格按照招标文件的各项要求，递交投标文件，切实执行一切合同文件，共同承担合同规定的一切义务和责任，同时按照内部职责的划分，承担自身所负的责任和风险；</w:t>
      </w:r>
      <w:r>
        <w:rPr>
          <w:rFonts w:hint="eastAsia" w:ascii="宋体" w:hAnsi="宋体"/>
          <w:color w:val="auto"/>
          <w:kern w:val="0"/>
          <w:sz w:val="22"/>
          <w:highlight w:val="none"/>
        </w:rPr>
        <w:br w:type="textWrapping"/>
      </w:r>
      <w:r>
        <w:rPr>
          <w:rFonts w:hint="eastAsia" w:ascii="宋体" w:hAnsi="宋体"/>
          <w:color w:val="auto"/>
          <w:kern w:val="0"/>
          <w:sz w:val="22"/>
          <w:highlight w:val="none"/>
        </w:rPr>
        <w:t xml:space="preserve">（4）联合体各成员单位内部的职责分工如下：                                     </w:t>
      </w:r>
      <w:r>
        <w:rPr>
          <w:rFonts w:hint="eastAsia" w:ascii="宋体" w:hAnsi="宋体"/>
          <w:color w:val="auto"/>
          <w:kern w:val="0"/>
          <w:sz w:val="22"/>
          <w:highlight w:val="none"/>
        </w:rPr>
        <w:br w:type="textWrapping"/>
      </w:r>
      <w:r>
        <w:rPr>
          <w:rFonts w:hint="eastAsia" w:ascii="宋体" w:hAnsi="宋体"/>
          <w:color w:val="auto"/>
          <w:kern w:val="0"/>
          <w:sz w:val="22"/>
          <w:highlight w:val="none"/>
        </w:rPr>
        <w:t>（5）投标工作和联合体在中标后工程实施过程中的有关费用按各自承担的工作量分摊。</w:t>
      </w:r>
      <w:r>
        <w:rPr>
          <w:rFonts w:hint="eastAsia" w:ascii="宋体" w:hAnsi="宋体"/>
          <w:color w:val="auto"/>
          <w:kern w:val="0"/>
          <w:sz w:val="22"/>
          <w:highlight w:val="none"/>
        </w:rPr>
        <w:br w:type="textWrapping"/>
      </w:r>
      <w:r>
        <w:rPr>
          <w:rFonts w:hint="eastAsia" w:ascii="宋体" w:hAnsi="宋体"/>
          <w:color w:val="auto"/>
          <w:kern w:val="0"/>
          <w:sz w:val="22"/>
          <w:highlight w:val="none"/>
        </w:rPr>
        <w:t>3．本协议书自签署之日起生效，合同履行完毕后自动失效。</w:t>
      </w:r>
      <w:r>
        <w:rPr>
          <w:rFonts w:hint="eastAsia" w:ascii="宋体" w:hAnsi="宋体"/>
          <w:color w:val="auto"/>
          <w:kern w:val="0"/>
          <w:sz w:val="22"/>
          <w:highlight w:val="none"/>
        </w:rPr>
        <w:br w:type="textWrapping"/>
      </w:r>
      <w:r>
        <w:rPr>
          <w:rFonts w:hint="eastAsia" w:ascii="宋体" w:hAnsi="宋体"/>
          <w:color w:val="auto"/>
          <w:kern w:val="0"/>
          <w:sz w:val="22"/>
          <w:highlight w:val="none"/>
        </w:rPr>
        <w:t>4．本协议书正本一式三份，送交业主一份，联合体成员各一份。</w:t>
      </w:r>
    </w:p>
    <w:p w14:paraId="74FAD5A1">
      <w:pPr>
        <w:widowControl/>
        <w:spacing w:before="100" w:beforeAutospacing="1" w:after="100" w:afterAutospacing="1" w:line="360" w:lineRule="auto"/>
        <w:jc w:val="left"/>
        <w:rPr>
          <w:rFonts w:hint="eastAsia" w:ascii="宋体" w:hAnsi="宋体"/>
          <w:color w:val="auto"/>
          <w:kern w:val="0"/>
          <w:sz w:val="22"/>
          <w:highlight w:val="none"/>
        </w:rPr>
      </w:pPr>
    </w:p>
    <w:p w14:paraId="0CC299CB">
      <w:pPr>
        <w:widowControl/>
        <w:spacing w:before="100" w:beforeAutospacing="1" w:after="100" w:afterAutospacing="1" w:line="360" w:lineRule="auto"/>
        <w:jc w:val="left"/>
        <w:rPr>
          <w:rFonts w:hint="eastAsia" w:ascii="宋体" w:hAnsi="宋体"/>
          <w:color w:val="auto"/>
          <w:kern w:val="0"/>
          <w:sz w:val="22"/>
          <w:highlight w:val="none"/>
        </w:rPr>
      </w:pPr>
      <w:r>
        <w:rPr>
          <w:rFonts w:hint="eastAsia" w:ascii="宋体" w:hAnsi="宋体"/>
          <w:color w:val="auto"/>
          <w:kern w:val="0"/>
          <w:sz w:val="22"/>
          <w:highlight w:val="none"/>
        </w:rPr>
        <w:t xml:space="preserve">联合体牵头人名称（盖公章）：            </w:t>
      </w:r>
      <w:r>
        <w:rPr>
          <w:rFonts w:hint="eastAsia" w:ascii="宋体" w:hAnsi="宋体"/>
          <w:color w:val="auto"/>
          <w:kern w:val="0"/>
          <w:sz w:val="22"/>
          <w:highlight w:val="none"/>
        </w:rPr>
        <w:br w:type="textWrapping"/>
      </w:r>
      <w:r>
        <w:rPr>
          <w:rFonts w:hint="eastAsia" w:ascii="宋体" w:hAnsi="宋体"/>
          <w:color w:val="auto"/>
          <w:kern w:val="0"/>
          <w:sz w:val="22"/>
          <w:highlight w:val="none"/>
        </w:rPr>
        <w:t>法定代表人（签字或盖章）：</w:t>
      </w:r>
    </w:p>
    <w:p w14:paraId="6645B5CA">
      <w:pPr>
        <w:spacing w:line="360" w:lineRule="auto"/>
        <w:jc w:val="left"/>
        <w:rPr>
          <w:rFonts w:hint="eastAsia" w:ascii="宋体" w:hAnsi="宋体"/>
          <w:color w:val="auto"/>
          <w:kern w:val="0"/>
          <w:sz w:val="22"/>
          <w:highlight w:val="none"/>
        </w:rPr>
      </w:pPr>
    </w:p>
    <w:p w14:paraId="08922410">
      <w:pPr>
        <w:widowControl/>
        <w:spacing w:before="100" w:beforeAutospacing="1" w:after="100" w:afterAutospacing="1" w:line="360" w:lineRule="auto"/>
        <w:jc w:val="left"/>
        <w:rPr>
          <w:rFonts w:hint="eastAsia" w:ascii="宋体" w:hAnsi="宋体"/>
          <w:color w:val="auto"/>
          <w:kern w:val="0"/>
          <w:sz w:val="22"/>
          <w:highlight w:val="none"/>
        </w:rPr>
      </w:pPr>
      <w:r>
        <w:rPr>
          <w:rFonts w:hint="eastAsia" w:ascii="宋体" w:hAnsi="宋体"/>
          <w:color w:val="auto"/>
          <w:kern w:val="0"/>
          <w:sz w:val="22"/>
          <w:highlight w:val="none"/>
        </w:rPr>
        <w:t xml:space="preserve">联合体成员名称（盖公章）：        </w:t>
      </w:r>
      <w:r>
        <w:rPr>
          <w:rFonts w:hint="eastAsia" w:ascii="宋体" w:hAnsi="宋体"/>
          <w:color w:val="auto"/>
          <w:kern w:val="0"/>
          <w:sz w:val="22"/>
          <w:highlight w:val="none"/>
        </w:rPr>
        <w:br w:type="textWrapping"/>
      </w:r>
      <w:r>
        <w:rPr>
          <w:rFonts w:hint="eastAsia" w:ascii="宋体" w:hAnsi="宋体"/>
          <w:color w:val="auto"/>
          <w:kern w:val="0"/>
          <w:sz w:val="22"/>
          <w:highlight w:val="none"/>
        </w:rPr>
        <w:t>法定代表人（签字或盖章）：</w:t>
      </w:r>
    </w:p>
    <w:p w14:paraId="2448AC6E">
      <w:pPr>
        <w:spacing w:line="360" w:lineRule="exact"/>
        <w:jc w:val="left"/>
        <w:rPr>
          <w:rFonts w:hint="eastAsia" w:ascii="宋体"/>
          <w:b/>
          <w:bCs/>
          <w:color w:val="auto"/>
          <w:sz w:val="30"/>
          <w:highlight w:val="none"/>
        </w:rPr>
      </w:pPr>
    </w:p>
    <w:p w14:paraId="067D147A">
      <w:pPr>
        <w:spacing w:line="360" w:lineRule="exact"/>
        <w:jc w:val="both"/>
        <w:rPr>
          <w:rFonts w:hint="eastAsia" w:ascii="宋体"/>
          <w:b/>
          <w:bCs/>
          <w:color w:val="auto"/>
          <w:sz w:val="24"/>
          <w:szCs w:val="24"/>
          <w:highlight w:val="none"/>
        </w:rPr>
      </w:pPr>
      <w:r>
        <w:rPr>
          <w:rFonts w:hint="eastAsia" w:ascii="宋体"/>
          <w:b/>
          <w:bCs/>
          <w:color w:val="auto"/>
          <w:sz w:val="24"/>
          <w:szCs w:val="24"/>
          <w:highlight w:val="none"/>
        </w:rPr>
        <w:t>注：</w:t>
      </w:r>
      <w:r>
        <w:rPr>
          <w:rFonts w:hint="eastAsia" w:ascii="宋体"/>
          <w:b/>
          <w:bCs/>
          <w:color w:val="auto"/>
          <w:sz w:val="24"/>
          <w:szCs w:val="24"/>
          <w:highlight w:val="none"/>
          <w:u w:val="single"/>
        </w:rPr>
        <w:t>此版为参考模式，可以删减，供应商应结合实际明确双方权利和义务</w:t>
      </w:r>
      <w:r>
        <w:rPr>
          <w:rFonts w:hint="eastAsia" w:ascii="宋体"/>
          <w:b/>
          <w:bCs/>
          <w:color w:val="auto"/>
          <w:sz w:val="24"/>
          <w:szCs w:val="24"/>
          <w:highlight w:val="none"/>
        </w:rPr>
        <w:t>。</w:t>
      </w:r>
    </w:p>
    <w:p w14:paraId="7AE6B14C">
      <w:pPr>
        <w:tabs>
          <w:tab w:val="left" w:pos="1069"/>
          <w:tab w:val="left" w:pos="2352"/>
        </w:tabs>
        <w:spacing w:line="360" w:lineRule="exact"/>
        <w:jc w:val="left"/>
        <w:rPr>
          <w:rFonts w:hint="eastAsia" w:ascii="宋体" w:hAnsi="宋体" w:cs="宋体"/>
          <w:b/>
          <w:bCs/>
          <w:color w:val="auto"/>
          <w:sz w:val="30"/>
          <w:highlight w:val="none"/>
        </w:rPr>
      </w:pPr>
    </w:p>
    <w:p w14:paraId="782D0E55">
      <w:pPr>
        <w:tabs>
          <w:tab w:val="left" w:pos="1069"/>
          <w:tab w:val="left" w:pos="2352"/>
        </w:tabs>
        <w:spacing w:line="360" w:lineRule="exact"/>
        <w:jc w:val="left"/>
        <w:rPr>
          <w:rFonts w:hint="eastAsia" w:ascii="宋体" w:hAnsi="宋体" w:cs="宋体"/>
          <w:b/>
          <w:bCs/>
          <w:color w:val="auto"/>
          <w:sz w:val="30"/>
          <w:highlight w:val="none"/>
        </w:rPr>
      </w:pPr>
    </w:p>
    <w:p w14:paraId="3336F118">
      <w:pPr>
        <w:tabs>
          <w:tab w:val="left" w:pos="1069"/>
          <w:tab w:val="left" w:pos="2352"/>
        </w:tabs>
        <w:spacing w:line="360" w:lineRule="exact"/>
        <w:jc w:val="left"/>
        <w:rPr>
          <w:rFonts w:ascii="宋体" w:hAnsi="宋体" w:cs="宋体"/>
          <w:b/>
          <w:bCs/>
          <w:color w:val="auto"/>
          <w:szCs w:val="21"/>
          <w:highlight w:val="none"/>
        </w:rPr>
      </w:pPr>
      <w:r>
        <w:rPr>
          <w:rFonts w:hint="eastAsia" w:ascii="宋体" w:hAnsi="宋体" w:cs="宋体"/>
          <w:b/>
          <w:bCs/>
          <w:color w:val="auto"/>
          <w:sz w:val="30"/>
          <w:highlight w:val="none"/>
        </w:rPr>
        <w:t>附件十</w:t>
      </w:r>
    </w:p>
    <w:p w14:paraId="0C1A9523">
      <w:pPr>
        <w:tabs>
          <w:tab w:val="left" w:pos="1069"/>
          <w:tab w:val="left" w:pos="2352"/>
        </w:tabs>
        <w:autoSpaceDE w:val="0"/>
        <w:autoSpaceDN w:val="0"/>
        <w:adjustRightInd w:val="0"/>
        <w:spacing w:line="500" w:lineRule="atLeast"/>
        <w:jc w:val="center"/>
        <w:rPr>
          <w:rFonts w:ascii="宋体" w:hAnsi="宋体" w:cs="宋体"/>
          <w:b/>
          <w:bCs/>
          <w:color w:val="auto"/>
          <w:sz w:val="32"/>
          <w:highlight w:val="none"/>
        </w:rPr>
      </w:pPr>
      <w:bookmarkStart w:id="263" w:name="_Toc28287_WPSOffice_Level3"/>
      <w:r>
        <w:rPr>
          <w:rFonts w:hint="eastAsia" w:ascii="宋体" w:hAnsi="宋体" w:cs="宋体"/>
          <w:b/>
          <w:bCs/>
          <w:color w:val="auto"/>
          <w:sz w:val="32"/>
          <w:highlight w:val="none"/>
        </w:rPr>
        <w:t>供应商项目业绩清单</w:t>
      </w:r>
      <w:bookmarkEnd w:id="263"/>
    </w:p>
    <w:p w14:paraId="5E1395B4">
      <w:pPr>
        <w:pStyle w:val="12"/>
        <w:tabs>
          <w:tab w:val="left" w:pos="1069"/>
          <w:tab w:val="left" w:pos="2352"/>
        </w:tabs>
        <w:spacing w:line="360" w:lineRule="exact"/>
        <w:jc w:val="center"/>
        <w:rPr>
          <w:rFonts w:hAnsi="宋体" w:cs="宋体"/>
          <w:color w:val="auto"/>
          <w:sz w:val="22"/>
          <w:highlight w:val="none"/>
        </w:rPr>
      </w:pPr>
    </w:p>
    <w:tbl>
      <w:tblPr>
        <w:tblStyle w:val="31"/>
        <w:tblW w:w="0" w:type="auto"/>
        <w:tblInd w:w="94"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756"/>
        <w:gridCol w:w="1153"/>
        <w:gridCol w:w="1154"/>
        <w:gridCol w:w="1154"/>
        <w:gridCol w:w="1154"/>
        <w:gridCol w:w="1154"/>
        <w:gridCol w:w="1154"/>
        <w:gridCol w:w="1154"/>
        <w:gridCol w:w="770"/>
      </w:tblGrid>
      <w:tr w14:paraId="7293688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56" w:type="dxa"/>
            <w:tcBorders>
              <w:top w:val="double" w:color="000000" w:sz="6" w:space="0"/>
            </w:tcBorders>
            <w:vAlign w:val="center"/>
          </w:tcPr>
          <w:p w14:paraId="4D31AA1B">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序号</w:t>
            </w:r>
          </w:p>
        </w:tc>
        <w:tc>
          <w:tcPr>
            <w:tcW w:w="1153" w:type="dxa"/>
            <w:tcBorders>
              <w:top w:val="double" w:color="000000" w:sz="6" w:space="0"/>
            </w:tcBorders>
            <w:vAlign w:val="center"/>
          </w:tcPr>
          <w:p w14:paraId="5468CA1F">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采购</w:t>
            </w:r>
          </w:p>
          <w:p w14:paraId="0047E702">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olor w:val="auto"/>
                <w:spacing w:val="20"/>
                <w:sz w:val="22"/>
                <w:highlight w:val="none"/>
              </w:rPr>
              <w:t>单位</w:t>
            </w:r>
          </w:p>
        </w:tc>
        <w:tc>
          <w:tcPr>
            <w:tcW w:w="1154" w:type="dxa"/>
            <w:tcBorders>
              <w:top w:val="double" w:color="000000" w:sz="6" w:space="0"/>
            </w:tcBorders>
            <w:vAlign w:val="center"/>
          </w:tcPr>
          <w:p w14:paraId="3CA5D87B">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项目</w:t>
            </w:r>
          </w:p>
          <w:p w14:paraId="3FAD4F88">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名称</w:t>
            </w:r>
          </w:p>
        </w:tc>
        <w:tc>
          <w:tcPr>
            <w:tcW w:w="1154" w:type="dxa"/>
            <w:tcBorders>
              <w:top w:val="double" w:color="000000" w:sz="6" w:space="0"/>
            </w:tcBorders>
            <w:vAlign w:val="center"/>
          </w:tcPr>
          <w:p w14:paraId="387398B8">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数量</w:t>
            </w:r>
          </w:p>
        </w:tc>
        <w:tc>
          <w:tcPr>
            <w:tcW w:w="1154" w:type="dxa"/>
            <w:tcBorders>
              <w:top w:val="double" w:color="000000" w:sz="6" w:space="0"/>
            </w:tcBorders>
            <w:vAlign w:val="center"/>
          </w:tcPr>
          <w:p w14:paraId="109B7E1A">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合同</w:t>
            </w:r>
          </w:p>
          <w:p w14:paraId="60E5F20C">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金额</w:t>
            </w:r>
          </w:p>
        </w:tc>
        <w:tc>
          <w:tcPr>
            <w:tcW w:w="1154" w:type="dxa"/>
            <w:tcBorders>
              <w:top w:val="double" w:color="000000" w:sz="6" w:space="0"/>
            </w:tcBorders>
            <w:vAlign w:val="center"/>
          </w:tcPr>
          <w:p w14:paraId="27A29651">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签约</w:t>
            </w:r>
          </w:p>
          <w:p w14:paraId="3641911D">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olor w:val="auto"/>
                <w:spacing w:val="20"/>
                <w:sz w:val="22"/>
                <w:highlight w:val="none"/>
              </w:rPr>
              <w:t>日期</w:t>
            </w:r>
          </w:p>
        </w:tc>
        <w:tc>
          <w:tcPr>
            <w:tcW w:w="1154" w:type="dxa"/>
            <w:tcBorders>
              <w:top w:val="double" w:color="000000" w:sz="6" w:space="0"/>
            </w:tcBorders>
            <w:vAlign w:val="center"/>
          </w:tcPr>
          <w:p w14:paraId="01DE8F70">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联系人</w:t>
            </w:r>
          </w:p>
        </w:tc>
        <w:tc>
          <w:tcPr>
            <w:tcW w:w="1154" w:type="dxa"/>
            <w:tcBorders>
              <w:top w:val="double" w:color="000000" w:sz="6" w:space="0"/>
            </w:tcBorders>
            <w:vAlign w:val="center"/>
          </w:tcPr>
          <w:p w14:paraId="3BB41258">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联系</w:t>
            </w:r>
          </w:p>
          <w:p w14:paraId="34E6544D">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电话</w:t>
            </w:r>
          </w:p>
        </w:tc>
        <w:tc>
          <w:tcPr>
            <w:tcW w:w="770" w:type="dxa"/>
            <w:tcBorders>
              <w:top w:val="double" w:color="000000" w:sz="6" w:space="0"/>
            </w:tcBorders>
            <w:vAlign w:val="center"/>
          </w:tcPr>
          <w:p w14:paraId="446F6AEB">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备注</w:t>
            </w:r>
          </w:p>
        </w:tc>
      </w:tr>
      <w:tr w14:paraId="50287CD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129FC32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DA0049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22FDC4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F1BA3F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EA4478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50B81C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9B04D9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DAB60E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568BF82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3F4D581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0C6FF3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B16CB1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7150B5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4795BB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48B7DB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544C4C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024B9D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2BB151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00F1E20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6A1B475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23756E4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5B4959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14E54E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77F51A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CC646A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85A347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2C9515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B9CAD5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7CF8A17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3B2A5F6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39F0E11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DCB80E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A0F7C5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2F1DD9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684CBE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793FE7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ED3C9A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ECC2C9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A3F6CD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78D603B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781B091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354116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31B22F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5B5393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B6D847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18E346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1C245D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9D0E7B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3D38403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7D4488D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71F2B08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25FB331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4D2244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AF8534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CCAB30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19D378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58CF59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5BFFEE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072B441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45B8DEEC">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3A617E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743B383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184842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B9E60B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5C802D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DD7267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2B12EF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4D97A4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F1B084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78BC476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1C3D79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3A1E80C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C17A2E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601C6A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0827F7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02EED3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4D6A68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3D695E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17C3B7E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6991365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209AF90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86E037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C2EA9A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083014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105F70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43B023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CDD245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547FE1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79BEAC5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215357E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09B805D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6BE5E06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D5041B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D18B6B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1338D3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4B909E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74656D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02C39D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629D7D4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266FDC0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4A008BD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4308BB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9383B0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62DFE3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8A9209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D98433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E3891D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D8E01B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09E8A81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2D4B545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06B5705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755748C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A471D8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22855C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F1F453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FD935C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A02784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14EAB2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7C390C2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591B81A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1BB664F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35CAA3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A9233F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24522F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37AB76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380F7C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1F3FEE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6EAC46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CCC9D9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0ED32AC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03F79ED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CB4B43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BA9E14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A34254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A27AAC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7AE1D1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4F21FB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CEF459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3B6C476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17D0744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707140E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C04BEA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BD1DBC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451979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5543DA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FB86B7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C21FF9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506714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8314B6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63F8113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33E6F9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1B08DAA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018328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1F9CA2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5F5F7D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C308D3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987C87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FCBAF7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083E6D3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35A4647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B056EF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221736E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8B2598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21B448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62B427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5135D5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508DEF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14DA02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4B15AD6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50E03E3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913028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01FBAD9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0CD13E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E1A09B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3E4B45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DBA1BA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9036A6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8D6338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6877A89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50A071E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2EB8CD9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6AD9035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52E607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3482DC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0924F2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A797DD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50898E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87DCD9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7EB7224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7A9886B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7191A9F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6EBD53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914A17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0200A6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2FC55A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FA9EFA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032F84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C62655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206C53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33FC1DC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Borders>
              <w:bottom w:val="double" w:color="000000" w:sz="6" w:space="0"/>
            </w:tcBorders>
          </w:tcPr>
          <w:p w14:paraId="031AD65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Borders>
              <w:bottom w:val="double" w:color="000000" w:sz="6" w:space="0"/>
            </w:tcBorders>
          </w:tcPr>
          <w:p w14:paraId="107E935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1E5CF57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79B08CA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10E8EB1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2CDD5C6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7FD4C6F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05A7BEA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Borders>
              <w:bottom w:val="double" w:color="000000" w:sz="6" w:space="0"/>
            </w:tcBorders>
          </w:tcPr>
          <w:p w14:paraId="62BDDA2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bl>
    <w:p w14:paraId="7FD38C9C">
      <w:pPr>
        <w:pStyle w:val="12"/>
        <w:tabs>
          <w:tab w:val="left" w:pos="1069"/>
          <w:tab w:val="left" w:pos="2352"/>
        </w:tabs>
        <w:spacing w:line="360" w:lineRule="exact"/>
        <w:rPr>
          <w:rFonts w:hAnsi="宋体" w:cs="宋体"/>
          <w:b/>
          <w:bCs/>
          <w:color w:val="auto"/>
          <w:sz w:val="32"/>
          <w:highlight w:val="none"/>
        </w:rPr>
      </w:pPr>
      <w:r>
        <w:rPr>
          <w:rFonts w:hint="eastAsia" w:hAnsi="宋体" w:cs="宋体"/>
          <w:color w:val="auto"/>
          <w:sz w:val="22"/>
          <w:highlight w:val="none"/>
        </w:rPr>
        <w:t>本表后附相关证明材料，证明材料以第七部分评审细则中的要求为准。</w:t>
      </w:r>
    </w:p>
    <w:p w14:paraId="371FF077">
      <w:pPr>
        <w:tabs>
          <w:tab w:val="left" w:pos="1069"/>
          <w:tab w:val="left" w:pos="2352"/>
        </w:tabs>
        <w:rPr>
          <w:rFonts w:ascii="宋体" w:hAnsi="宋体" w:cs="宋体"/>
          <w:color w:val="auto"/>
          <w:spacing w:val="20"/>
          <w:sz w:val="22"/>
          <w:highlight w:val="none"/>
        </w:rPr>
      </w:pPr>
    </w:p>
    <w:p w14:paraId="2041378A">
      <w:pPr>
        <w:tabs>
          <w:tab w:val="left" w:pos="1069"/>
          <w:tab w:val="left" w:pos="2352"/>
        </w:tabs>
        <w:rPr>
          <w:rFonts w:ascii="宋体" w:hAnsi="宋体" w:cs="宋体"/>
          <w:color w:val="auto"/>
          <w:sz w:val="36"/>
          <w:szCs w:val="36"/>
          <w:highlight w:val="none"/>
        </w:rPr>
      </w:pPr>
      <w:r>
        <w:rPr>
          <w:rFonts w:hint="eastAsia" w:ascii="宋体" w:hAnsi="宋体" w:cs="宋体"/>
          <w:color w:val="auto"/>
          <w:spacing w:val="20"/>
          <w:sz w:val="22"/>
          <w:highlight w:val="none"/>
        </w:rPr>
        <w:t>供应商盖章：</w:t>
      </w:r>
    </w:p>
    <w:p w14:paraId="01F93DAC">
      <w:pPr>
        <w:tabs>
          <w:tab w:val="left" w:pos="1069"/>
          <w:tab w:val="left" w:pos="2352"/>
        </w:tabs>
        <w:spacing w:line="400" w:lineRule="exact"/>
        <w:jc w:val="left"/>
        <w:rPr>
          <w:rFonts w:ascii="宋体" w:hAnsi="宋体" w:cs="宋体"/>
          <w:b/>
          <w:bCs/>
          <w:color w:val="auto"/>
          <w:sz w:val="30"/>
          <w:highlight w:val="none"/>
        </w:rPr>
      </w:pPr>
    </w:p>
    <w:p w14:paraId="6440C2FD">
      <w:pPr>
        <w:tabs>
          <w:tab w:val="left" w:pos="1069"/>
          <w:tab w:val="left" w:pos="2352"/>
        </w:tabs>
        <w:spacing w:line="400" w:lineRule="exact"/>
        <w:jc w:val="left"/>
        <w:rPr>
          <w:rFonts w:ascii="宋体" w:hAnsi="宋体" w:cs="宋体"/>
          <w:b/>
          <w:bCs/>
          <w:color w:val="auto"/>
          <w:sz w:val="30"/>
          <w:highlight w:val="none"/>
        </w:rPr>
      </w:pPr>
    </w:p>
    <w:p w14:paraId="26F9DBC9">
      <w:pPr>
        <w:tabs>
          <w:tab w:val="left" w:pos="1069"/>
          <w:tab w:val="left" w:pos="2352"/>
        </w:tabs>
        <w:spacing w:line="400" w:lineRule="exact"/>
        <w:jc w:val="left"/>
        <w:rPr>
          <w:rFonts w:ascii="宋体" w:hAnsi="宋体" w:cs="宋体"/>
          <w:b/>
          <w:bCs/>
          <w:color w:val="auto"/>
          <w:sz w:val="30"/>
          <w:highlight w:val="none"/>
        </w:rPr>
      </w:pPr>
    </w:p>
    <w:p w14:paraId="1FA03566">
      <w:pPr>
        <w:tabs>
          <w:tab w:val="left" w:pos="1069"/>
          <w:tab w:val="left" w:pos="2352"/>
        </w:tabs>
        <w:spacing w:line="400" w:lineRule="exact"/>
        <w:jc w:val="left"/>
        <w:rPr>
          <w:rFonts w:ascii="宋体" w:hAnsi="宋体" w:cs="宋体"/>
          <w:b/>
          <w:bCs/>
          <w:color w:val="auto"/>
          <w:sz w:val="30"/>
          <w:highlight w:val="none"/>
        </w:rPr>
      </w:pPr>
    </w:p>
    <w:p w14:paraId="643F966E">
      <w:pPr>
        <w:tabs>
          <w:tab w:val="left" w:pos="1069"/>
          <w:tab w:val="left" w:pos="2352"/>
        </w:tabs>
        <w:spacing w:line="400" w:lineRule="exact"/>
        <w:jc w:val="left"/>
        <w:rPr>
          <w:rFonts w:ascii="宋体" w:hAnsi="宋体" w:cs="宋体"/>
          <w:b/>
          <w:bCs/>
          <w:color w:val="auto"/>
          <w:sz w:val="30"/>
          <w:highlight w:val="none"/>
        </w:rPr>
      </w:pPr>
      <w:r>
        <w:rPr>
          <w:rFonts w:hint="eastAsia" w:ascii="宋体" w:hAnsi="宋体" w:cs="宋体"/>
          <w:b/>
          <w:bCs/>
          <w:color w:val="auto"/>
          <w:sz w:val="30"/>
          <w:highlight w:val="none"/>
        </w:rPr>
        <w:t>附件十一</w:t>
      </w:r>
    </w:p>
    <w:p w14:paraId="2CA14834">
      <w:pPr>
        <w:tabs>
          <w:tab w:val="left" w:pos="1069"/>
          <w:tab w:val="left" w:pos="2352"/>
        </w:tabs>
        <w:spacing w:line="420" w:lineRule="exact"/>
        <w:jc w:val="center"/>
        <w:rPr>
          <w:rFonts w:ascii="宋体" w:hAnsi="宋体" w:cs="宋体"/>
          <w:b/>
          <w:bCs/>
          <w:color w:val="auto"/>
          <w:sz w:val="30"/>
          <w:highlight w:val="none"/>
        </w:rPr>
      </w:pPr>
      <w:bookmarkStart w:id="264" w:name="_Toc31819"/>
      <w:r>
        <w:rPr>
          <w:rFonts w:hint="eastAsia" w:ascii="宋体" w:hAnsi="宋体" w:cs="宋体"/>
          <w:b/>
          <w:bCs/>
          <w:color w:val="auto"/>
          <w:sz w:val="30"/>
          <w:highlight w:val="none"/>
        </w:rPr>
        <w:t>政府采购活动现场确认声明书</w:t>
      </w:r>
      <w:bookmarkEnd w:id="264"/>
    </w:p>
    <w:p w14:paraId="18015EEE">
      <w:pPr>
        <w:pStyle w:val="47"/>
        <w:widowControl w:val="0"/>
        <w:tabs>
          <w:tab w:val="left" w:pos="1069"/>
          <w:tab w:val="left" w:pos="2352"/>
        </w:tabs>
        <w:snapToGrid w:val="0"/>
        <w:spacing w:line="420" w:lineRule="exact"/>
        <w:jc w:val="both"/>
        <w:rPr>
          <w:rFonts w:hAnsi="宋体" w:cs="宋体"/>
          <w:color w:val="auto"/>
          <w:kern w:val="0"/>
          <w:sz w:val="24"/>
          <w:szCs w:val="24"/>
          <w:highlight w:val="none"/>
          <w:u w:val="single"/>
        </w:rPr>
      </w:pPr>
    </w:p>
    <w:p w14:paraId="680FBE6F">
      <w:pPr>
        <w:pStyle w:val="47"/>
        <w:widowControl w:val="0"/>
        <w:tabs>
          <w:tab w:val="left" w:pos="1069"/>
          <w:tab w:val="left" w:pos="2352"/>
        </w:tabs>
        <w:snapToGrid w:val="0"/>
        <w:spacing w:line="400" w:lineRule="exact"/>
        <w:jc w:val="both"/>
        <w:rPr>
          <w:rFonts w:hAnsi="宋体" w:cs="宋体"/>
          <w:color w:val="auto"/>
          <w:kern w:val="0"/>
          <w:sz w:val="22"/>
          <w:szCs w:val="22"/>
          <w:highlight w:val="none"/>
        </w:rPr>
      </w:pPr>
      <w:r>
        <w:rPr>
          <w:rFonts w:hint="eastAsia" w:hAnsi="宋体" w:cs="宋体"/>
          <w:color w:val="auto"/>
          <w:kern w:val="0"/>
          <w:sz w:val="22"/>
          <w:szCs w:val="22"/>
          <w:highlight w:val="none"/>
          <w:u w:val="single"/>
        </w:rPr>
        <w:t>杭州华旗招标代理有限公司</w:t>
      </w:r>
      <w:r>
        <w:rPr>
          <w:rFonts w:hint="eastAsia" w:hAnsi="宋体" w:cs="宋体"/>
          <w:color w:val="auto"/>
          <w:kern w:val="0"/>
          <w:sz w:val="22"/>
          <w:szCs w:val="22"/>
          <w:highlight w:val="none"/>
        </w:rPr>
        <w:t>：</w:t>
      </w:r>
    </w:p>
    <w:p w14:paraId="4180337F">
      <w:pPr>
        <w:pStyle w:val="47"/>
        <w:widowControl w:val="0"/>
        <w:tabs>
          <w:tab w:val="left" w:pos="1069"/>
          <w:tab w:val="left" w:pos="2352"/>
        </w:tabs>
        <w:snapToGrid w:val="0"/>
        <w:spacing w:line="400" w:lineRule="exact"/>
        <w:ind w:firstLine="470" w:firstLineChars="200"/>
        <w:jc w:val="both"/>
        <w:rPr>
          <w:rFonts w:hAnsi="宋体" w:cs="宋体"/>
          <w:color w:val="auto"/>
          <w:spacing w:val="6"/>
          <w:sz w:val="22"/>
          <w:szCs w:val="22"/>
          <w:highlight w:val="none"/>
        </w:rPr>
      </w:pPr>
      <w:r>
        <w:rPr>
          <w:rFonts w:hint="eastAsia" w:hAnsi="宋体" w:cs="宋体"/>
          <w:color w:val="auto"/>
          <w:spacing w:val="6"/>
          <w:sz w:val="22"/>
          <w:szCs w:val="22"/>
          <w:highlight w:val="none"/>
        </w:rPr>
        <w:t>本人经由</w:t>
      </w:r>
      <w:r>
        <w:rPr>
          <w:rFonts w:hint="eastAsia" w:hAnsi="宋体" w:cs="宋体"/>
          <w:color w:val="auto"/>
          <w:spacing w:val="6"/>
          <w:sz w:val="22"/>
          <w:szCs w:val="22"/>
          <w:highlight w:val="none"/>
          <w:u w:val="single"/>
        </w:rPr>
        <w:t xml:space="preserve">   （供应商全称）     </w:t>
      </w:r>
      <w:r>
        <w:rPr>
          <w:rFonts w:hint="eastAsia" w:hAnsi="宋体" w:cs="宋体"/>
          <w:color w:val="auto"/>
          <w:spacing w:val="6"/>
          <w:sz w:val="22"/>
          <w:szCs w:val="22"/>
          <w:highlight w:val="none"/>
        </w:rPr>
        <w:t>负责人</w:t>
      </w:r>
      <w:r>
        <w:rPr>
          <w:rFonts w:hint="eastAsia" w:hAnsi="宋体" w:cs="宋体"/>
          <w:color w:val="auto"/>
          <w:spacing w:val="6"/>
          <w:sz w:val="22"/>
          <w:szCs w:val="22"/>
          <w:highlight w:val="none"/>
          <w:u w:val="single"/>
        </w:rPr>
        <w:t xml:space="preserve">   （法定代表人姓名）</w:t>
      </w:r>
      <w:r>
        <w:rPr>
          <w:rFonts w:hint="eastAsia" w:hAnsi="宋体" w:cs="宋体"/>
          <w:color w:val="auto"/>
          <w:spacing w:val="6"/>
          <w:sz w:val="22"/>
          <w:szCs w:val="22"/>
          <w:highlight w:val="none"/>
        </w:rPr>
        <w:t>合法授权参加</w:t>
      </w:r>
      <w:r>
        <w:rPr>
          <w:rFonts w:hint="eastAsia" w:hAnsi="宋体" w:cs="宋体"/>
          <w:color w:val="auto"/>
          <w:spacing w:val="6"/>
          <w:sz w:val="22"/>
          <w:szCs w:val="22"/>
          <w:highlight w:val="none"/>
          <w:u w:val="single"/>
        </w:rPr>
        <w:t xml:space="preserve">           </w:t>
      </w:r>
      <w:r>
        <w:rPr>
          <w:rFonts w:hint="eastAsia" w:hAnsi="宋体" w:cs="宋体"/>
          <w:color w:val="auto"/>
          <w:spacing w:val="6"/>
          <w:sz w:val="22"/>
          <w:szCs w:val="22"/>
          <w:highlight w:val="none"/>
          <w:u w:val="single"/>
          <w:lang w:eastAsia="zh-CN"/>
        </w:rPr>
        <w:t>2024年泰顺县彭溪镇峰文村牛塘垵简洋农田宜机化改造项目</w:t>
      </w:r>
      <w:r>
        <w:rPr>
          <w:rFonts w:hint="eastAsia" w:hAnsi="宋体" w:cs="宋体"/>
          <w:color w:val="auto"/>
          <w:spacing w:val="6"/>
          <w:sz w:val="22"/>
          <w:szCs w:val="22"/>
          <w:highlight w:val="none"/>
        </w:rPr>
        <w:t>（项目编号：</w:t>
      </w:r>
      <w:r>
        <w:rPr>
          <w:rFonts w:hint="eastAsia" w:hAnsi="宋体" w:cs="宋体"/>
          <w:color w:val="auto"/>
          <w:spacing w:val="6"/>
          <w:sz w:val="22"/>
          <w:szCs w:val="22"/>
          <w:highlight w:val="none"/>
          <w:u w:val="single"/>
        </w:rPr>
        <w:t xml:space="preserve"> </w:t>
      </w:r>
      <w:r>
        <w:rPr>
          <w:rFonts w:hint="eastAsia" w:hAnsi="宋体" w:cs="宋体"/>
          <w:color w:val="auto"/>
          <w:spacing w:val="6"/>
          <w:sz w:val="22"/>
          <w:szCs w:val="22"/>
          <w:highlight w:val="none"/>
          <w:u w:val="single"/>
          <w:lang w:eastAsia="zh-CN"/>
        </w:rPr>
        <w:t>TSCG202501003</w:t>
      </w:r>
      <w:r>
        <w:rPr>
          <w:rFonts w:hint="eastAsia" w:hAnsi="宋体" w:cs="宋体"/>
          <w:color w:val="auto"/>
          <w:spacing w:val="6"/>
          <w:sz w:val="22"/>
          <w:szCs w:val="22"/>
          <w:highlight w:val="none"/>
          <w:u w:val="single"/>
        </w:rPr>
        <w:t xml:space="preserve"> </w:t>
      </w:r>
      <w:r>
        <w:rPr>
          <w:rFonts w:hint="eastAsia" w:hAnsi="宋体" w:cs="宋体"/>
          <w:color w:val="auto"/>
          <w:spacing w:val="6"/>
          <w:sz w:val="22"/>
          <w:szCs w:val="22"/>
          <w:highlight w:val="none"/>
        </w:rPr>
        <w:t xml:space="preserve">）政府采购活动，经与本单位法人代表（负责人）联系确认，现就有关公平竞争事项郑重声明如下： </w:t>
      </w:r>
    </w:p>
    <w:p w14:paraId="17115401">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kern w:val="0"/>
          <w:sz w:val="22"/>
          <w:szCs w:val="22"/>
          <w:highlight w:val="none"/>
        </w:rPr>
        <w:t>一、本单位与采购人之间 □不存在利害关系 □存在下列利害关系</w:t>
      </w:r>
      <w:r>
        <w:rPr>
          <w:rFonts w:ascii="宋体" w:hAnsi="宋体" w:cs="宋体"/>
          <w:color w:val="auto"/>
          <w:kern w:val="0"/>
          <w:sz w:val="22"/>
          <w:szCs w:val="22"/>
          <w:highlight w:val="none"/>
          <w:u w:val="single"/>
        </w:rPr>
        <w:t xml:space="preserve">           </w:t>
      </w:r>
      <w:r>
        <w:rPr>
          <w:rFonts w:ascii="宋体" w:hAnsi="宋体" w:cs="宋体"/>
          <w:color w:val="auto"/>
          <w:kern w:val="0"/>
          <w:sz w:val="22"/>
          <w:szCs w:val="22"/>
          <w:highlight w:val="none"/>
        </w:rPr>
        <w:t>：</w:t>
      </w:r>
    </w:p>
    <w:p w14:paraId="53E6831A">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kern w:val="0"/>
          <w:sz w:val="22"/>
          <w:szCs w:val="22"/>
          <w:highlight w:val="none"/>
        </w:rPr>
        <w:t xml:space="preserve">  A.投资关系    B.行政隶属关系    C.业务指导关系</w:t>
      </w:r>
    </w:p>
    <w:p w14:paraId="0D719CA1">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kern w:val="0"/>
          <w:sz w:val="22"/>
          <w:szCs w:val="22"/>
          <w:highlight w:val="none"/>
        </w:rPr>
        <w:t xml:space="preserve">  D.其他可能</w:t>
      </w:r>
      <w:r>
        <w:rPr>
          <w:rFonts w:ascii="宋体" w:hAnsi="宋体" w:cs="宋体"/>
          <w:color w:val="auto"/>
          <w:sz w:val="22"/>
          <w:szCs w:val="22"/>
          <w:highlight w:val="none"/>
        </w:rPr>
        <w:t>影响采购公正的</w:t>
      </w:r>
      <w:r>
        <w:rPr>
          <w:rFonts w:ascii="宋体" w:hAnsi="宋体" w:cs="宋体"/>
          <w:color w:val="auto"/>
          <w:kern w:val="0"/>
          <w:sz w:val="22"/>
          <w:szCs w:val="22"/>
          <w:highlight w:val="none"/>
        </w:rPr>
        <w:t>利害关系</w:t>
      </w:r>
      <w:r>
        <w:rPr>
          <w:rFonts w:ascii="宋体" w:hAnsi="宋体" w:cs="宋体"/>
          <w:color w:val="auto"/>
          <w:kern w:val="0"/>
          <w:sz w:val="22"/>
          <w:szCs w:val="22"/>
          <w:highlight w:val="none"/>
          <w:u w:val="single"/>
        </w:rPr>
        <w:t xml:space="preserve">（如有，请如实说明）                 </w:t>
      </w:r>
      <w:r>
        <w:rPr>
          <w:rFonts w:ascii="宋体" w:hAnsi="宋体" w:cs="宋体"/>
          <w:color w:val="auto"/>
          <w:kern w:val="0"/>
          <w:sz w:val="22"/>
          <w:szCs w:val="22"/>
          <w:highlight w:val="none"/>
        </w:rPr>
        <w:t>。</w:t>
      </w:r>
    </w:p>
    <w:p w14:paraId="08D1A1B0">
      <w:pPr>
        <w:pStyle w:val="48"/>
        <w:widowControl/>
        <w:tabs>
          <w:tab w:val="left" w:pos="1069"/>
          <w:tab w:val="left" w:pos="2352"/>
        </w:tabs>
        <w:adjustRightInd w:val="0"/>
        <w:snapToGrid w:val="0"/>
        <w:spacing w:line="400" w:lineRule="exact"/>
        <w:ind w:firstLine="470" w:firstLineChars="200"/>
        <w:textAlignment w:val="baseline"/>
        <w:rPr>
          <w:rFonts w:hint="default" w:ascii="宋体" w:hAnsi="宋体" w:cs="宋体"/>
          <w:color w:val="auto"/>
          <w:kern w:val="0"/>
          <w:sz w:val="22"/>
          <w:szCs w:val="22"/>
          <w:highlight w:val="none"/>
        </w:rPr>
      </w:pPr>
      <w:r>
        <w:rPr>
          <w:rFonts w:ascii="宋体" w:hAnsi="宋体" w:cs="宋体"/>
          <w:color w:val="auto"/>
          <w:spacing w:val="6"/>
          <w:sz w:val="22"/>
          <w:szCs w:val="22"/>
          <w:highlight w:val="none"/>
        </w:rPr>
        <w:t>二、</w:t>
      </w:r>
      <w:r>
        <w:rPr>
          <w:rFonts w:ascii="宋体" w:hAnsi="宋体" w:cs="宋体"/>
          <w:color w:val="auto"/>
          <w:kern w:val="0"/>
          <w:sz w:val="22"/>
          <w:szCs w:val="22"/>
          <w:highlight w:val="none"/>
        </w:rPr>
        <w:t>现已清楚知道参加本项目采购活动的其他所有供应商名称，本单位 □与其他所有供应商之间均不存在利害关系 □与</w:t>
      </w:r>
      <w:r>
        <w:rPr>
          <w:rFonts w:ascii="宋体" w:hAnsi="宋体" w:cs="宋体"/>
          <w:color w:val="auto"/>
          <w:kern w:val="0"/>
          <w:sz w:val="22"/>
          <w:szCs w:val="22"/>
          <w:highlight w:val="none"/>
          <w:u w:val="single"/>
        </w:rPr>
        <w:t xml:space="preserve">           （供应商名称）</w:t>
      </w:r>
      <w:r>
        <w:rPr>
          <w:rFonts w:ascii="宋体" w:hAnsi="宋体" w:cs="宋体"/>
          <w:color w:val="auto"/>
          <w:kern w:val="0"/>
          <w:sz w:val="22"/>
          <w:szCs w:val="22"/>
          <w:highlight w:val="none"/>
        </w:rPr>
        <w:t>之间存在下列利害关系</w:t>
      </w:r>
      <w:r>
        <w:rPr>
          <w:rFonts w:ascii="宋体" w:hAnsi="宋体" w:cs="宋体"/>
          <w:color w:val="auto"/>
          <w:kern w:val="0"/>
          <w:sz w:val="22"/>
          <w:szCs w:val="22"/>
          <w:highlight w:val="none"/>
          <w:u w:val="single"/>
        </w:rPr>
        <w:t xml:space="preserve">          </w:t>
      </w:r>
      <w:r>
        <w:rPr>
          <w:rFonts w:ascii="宋体" w:hAnsi="宋体" w:cs="宋体"/>
          <w:color w:val="auto"/>
          <w:kern w:val="0"/>
          <w:sz w:val="22"/>
          <w:szCs w:val="22"/>
          <w:highlight w:val="none"/>
        </w:rPr>
        <w:t>：</w:t>
      </w:r>
    </w:p>
    <w:p w14:paraId="00C349D5">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kern w:val="0"/>
          <w:sz w:val="22"/>
          <w:szCs w:val="22"/>
          <w:highlight w:val="none"/>
        </w:rPr>
      </w:pPr>
      <w:r>
        <w:rPr>
          <w:rFonts w:hint="eastAsia" w:hAnsi="宋体" w:cs="宋体"/>
          <w:color w:val="auto"/>
          <w:kern w:val="0"/>
          <w:sz w:val="22"/>
          <w:szCs w:val="22"/>
          <w:highlight w:val="none"/>
        </w:rPr>
        <w:t xml:space="preserve">  A.法定代表人或负责人或实际控制人是同一人</w:t>
      </w:r>
    </w:p>
    <w:p w14:paraId="45EAA21B">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pacing w:val="6"/>
          <w:sz w:val="22"/>
          <w:szCs w:val="22"/>
          <w:highlight w:val="none"/>
        </w:rPr>
      </w:pPr>
      <w:r>
        <w:rPr>
          <w:rFonts w:hint="eastAsia" w:hAnsi="宋体" w:cs="宋体"/>
          <w:color w:val="auto"/>
          <w:kern w:val="0"/>
          <w:sz w:val="22"/>
          <w:szCs w:val="22"/>
          <w:highlight w:val="none"/>
        </w:rPr>
        <w:t xml:space="preserve">  B.法定代表人或负责人或实际控制人是夫妻关系</w:t>
      </w:r>
    </w:p>
    <w:p w14:paraId="61D42E18">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pacing w:val="6"/>
          <w:sz w:val="22"/>
          <w:szCs w:val="22"/>
          <w:highlight w:val="none"/>
        </w:rPr>
      </w:pPr>
      <w:r>
        <w:rPr>
          <w:rFonts w:hint="eastAsia" w:hAnsi="宋体" w:cs="宋体"/>
          <w:color w:val="auto"/>
          <w:kern w:val="0"/>
          <w:sz w:val="22"/>
          <w:szCs w:val="22"/>
          <w:highlight w:val="none"/>
        </w:rPr>
        <w:t xml:space="preserve">  C.法定代表人或负责人或实际控制人是直系血亲关系</w:t>
      </w:r>
    </w:p>
    <w:p w14:paraId="65D524A9">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pacing w:val="6"/>
          <w:sz w:val="22"/>
          <w:szCs w:val="22"/>
          <w:highlight w:val="none"/>
        </w:rPr>
      </w:pPr>
      <w:r>
        <w:rPr>
          <w:rFonts w:hint="eastAsia" w:hAnsi="宋体" w:cs="宋体"/>
          <w:color w:val="auto"/>
          <w:kern w:val="0"/>
          <w:sz w:val="22"/>
          <w:szCs w:val="22"/>
          <w:highlight w:val="none"/>
        </w:rPr>
        <w:t xml:space="preserve">  D.法定代表人或负责人或实际控制人存在三代以内旁系血亲关系</w:t>
      </w:r>
    </w:p>
    <w:p w14:paraId="0D9FF36D">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kern w:val="0"/>
          <w:sz w:val="22"/>
          <w:szCs w:val="22"/>
          <w:highlight w:val="none"/>
        </w:rPr>
      </w:pPr>
      <w:r>
        <w:rPr>
          <w:rFonts w:hint="eastAsia" w:hAnsi="宋体" w:cs="宋体"/>
          <w:color w:val="auto"/>
          <w:kern w:val="0"/>
          <w:sz w:val="22"/>
          <w:szCs w:val="22"/>
          <w:highlight w:val="none"/>
        </w:rPr>
        <w:t xml:space="preserve">  E.法定代表人或负责人或实际控制人存在近姻亲关系</w:t>
      </w:r>
    </w:p>
    <w:p w14:paraId="5D0D4C3D">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kern w:val="0"/>
          <w:sz w:val="22"/>
          <w:szCs w:val="22"/>
          <w:highlight w:val="none"/>
        </w:rPr>
      </w:pPr>
      <w:r>
        <w:rPr>
          <w:rFonts w:hint="eastAsia" w:hAnsi="宋体" w:cs="宋体"/>
          <w:color w:val="auto"/>
          <w:kern w:val="0"/>
          <w:sz w:val="22"/>
          <w:szCs w:val="22"/>
          <w:highlight w:val="none"/>
        </w:rPr>
        <w:t xml:space="preserve">  F.法定代表人或负责人或实际控制人存在股份控制或实际控制关系</w:t>
      </w:r>
    </w:p>
    <w:p w14:paraId="52D762FC">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kern w:val="0"/>
          <w:sz w:val="22"/>
          <w:szCs w:val="22"/>
          <w:highlight w:val="none"/>
        </w:rPr>
      </w:pPr>
      <w:r>
        <w:rPr>
          <w:rFonts w:hint="eastAsia" w:hAnsi="宋体" w:cs="宋体"/>
          <w:color w:val="auto"/>
          <w:kern w:val="0"/>
          <w:sz w:val="22"/>
          <w:szCs w:val="22"/>
          <w:highlight w:val="none"/>
        </w:rPr>
        <w:t xml:space="preserve">  G.存在共同直接或间接投资设立子公司、联营企业和合营企业情况</w:t>
      </w:r>
    </w:p>
    <w:p w14:paraId="56512257">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z w:val="22"/>
          <w:szCs w:val="22"/>
          <w:highlight w:val="none"/>
        </w:rPr>
      </w:pPr>
      <w:r>
        <w:rPr>
          <w:rFonts w:hint="eastAsia" w:hAnsi="宋体" w:cs="宋体"/>
          <w:color w:val="auto"/>
          <w:kern w:val="0"/>
          <w:sz w:val="22"/>
          <w:szCs w:val="22"/>
          <w:highlight w:val="none"/>
        </w:rPr>
        <w:t xml:space="preserve">  H.存在分级代理或代销关系、同一生产制造商关系、</w:t>
      </w:r>
      <w:r>
        <w:rPr>
          <w:rFonts w:hint="eastAsia" w:hAnsi="宋体" w:cs="宋体"/>
          <w:color w:val="auto"/>
          <w:sz w:val="22"/>
          <w:szCs w:val="22"/>
          <w:highlight w:val="none"/>
        </w:rPr>
        <w:t>管理关系、重要业务（占主营业务收入50%以上）或重要财务往来关系（如融资）等其他实质性控制关系</w:t>
      </w:r>
    </w:p>
    <w:p w14:paraId="05101391">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pacing w:val="6"/>
          <w:sz w:val="22"/>
          <w:szCs w:val="22"/>
          <w:highlight w:val="none"/>
        </w:rPr>
      </w:pPr>
      <w:r>
        <w:rPr>
          <w:rFonts w:hint="eastAsia" w:hAnsi="宋体" w:cs="宋体"/>
          <w:color w:val="auto"/>
          <w:sz w:val="22"/>
          <w:szCs w:val="22"/>
          <w:highlight w:val="none"/>
        </w:rPr>
        <w:t xml:space="preserve">  I</w:t>
      </w:r>
      <w:r>
        <w:rPr>
          <w:rFonts w:hint="eastAsia" w:hAnsi="宋体" w:cs="宋体"/>
          <w:color w:val="auto"/>
          <w:kern w:val="0"/>
          <w:sz w:val="22"/>
          <w:szCs w:val="22"/>
          <w:highlight w:val="none"/>
        </w:rPr>
        <w:t>.</w:t>
      </w:r>
      <w:r>
        <w:rPr>
          <w:rFonts w:hint="eastAsia" w:hAnsi="宋体" w:cs="宋体"/>
          <w:color w:val="auto"/>
          <w:sz w:val="22"/>
          <w:szCs w:val="22"/>
          <w:highlight w:val="none"/>
        </w:rPr>
        <w:t>其他利害关系情况</w:t>
      </w:r>
      <w:r>
        <w:rPr>
          <w:rFonts w:hint="eastAsia" w:hAnsi="宋体" w:cs="宋体"/>
          <w:color w:val="auto"/>
          <w:sz w:val="22"/>
          <w:szCs w:val="22"/>
          <w:highlight w:val="none"/>
          <w:u w:val="single"/>
        </w:rPr>
        <w:t xml:space="preserve">                              </w:t>
      </w:r>
      <w:r>
        <w:rPr>
          <w:rFonts w:hint="eastAsia" w:hAnsi="宋体" w:cs="宋体"/>
          <w:color w:val="auto"/>
          <w:kern w:val="0"/>
          <w:sz w:val="22"/>
          <w:szCs w:val="22"/>
          <w:highlight w:val="none"/>
        </w:rPr>
        <w:t>。</w:t>
      </w:r>
    </w:p>
    <w:p w14:paraId="4BCC75F8">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sz w:val="22"/>
          <w:szCs w:val="22"/>
          <w:highlight w:val="none"/>
        </w:rPr>
        <w:t>三、现已清楚知道并</w:t>
      </w:r>
      <w:r>
        <w:rPr>
          <w:rFonts w:ascii="宋体" w:hAnsi="宋体" w:cs="宋体"/>
          <w:color w:val="auto"/>
          <w:kern w:val="0"/>
          <w:sz w:val="22"/>
          <w:szCs w:val="22"/>
          <w:highlight w:val="none"/>
        </w:rPr>
        <w:t>严格遵守政府采购法律法规和现场纪律。</w:t>
      </w:r>
    </w:p>
    <w:p w14:paraId="3BE90C3D">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kern w:val="0"/>
          <w:sz w:val="22"/>
          <w:szCs w:val="22"/>
          <w:highlight w:val="none"/>
        </w:rPr>
        <w:t>四、我发现</w:t>
      </w:r>
      <w:r>
        <w:rPr>
          <w:rFonts w:ascii="宋体" w:hAnsi="宋体" w:cs="宋体"/>
          <w:color w:val="auto"/>
          <w:kern w:val="0"/>
          <w:sz w:val="22"/>
          <w:szCs w:val="22"/>
          <w:highlight w:val="none"/>
          <w:u w:val="single"/>
        </w:rPr>
        <w:t xml:space="preserve">            </w:t>
      </w:r>
      <w:r>
        <w:rPr>
          <w:rFonts w:ascii="宋体" w:hAnsi="宋体" w:cs="宋体"/>
          <w:color w:val="auto"/>
          <w:kern w:val="0"/>
          <w:sz w:val="22"/>
          <w:szCs w:val="22"/>
          <w:highlight w:val="none"/>
        </w:rPr>
        <w:t>供应商之间存在或可能存在上述第二条第</w:t>
      </w:r>
      <w:r>
        <w:rPr>
          <w:rFonts w:ascii="宋体" w:hAnsi="宋体" w:cs="宋体"/>
          <w:color w:val="auto"/>
          <w:kern w:val="0"/>
          <w:sz w:val="22"/>
          <w:szCs w:val="22"/>
          <w:highlight w:val="none"/>
          <w:u w:val="single"/>
        </w:rPr>
        <w:t xml:space="preserve">      </w:t>
      </w:r>
      <w:r>
        <w:rPr>
          <w:rFonts w:ascii="宋体" w:hAnsi="宋体" w:cs="宋体"/>
          <w:color w:val="auto"/>
          <w:kern w:val="0"/>
          <w:sz w:val="22"/>
          <w:szCs w:val="22"/>
          <w:highlight w:val="none"/>
        </w:rPr>
        <w:t>项利害关系。</w:t>
      </w:r>
    </w:p>
    <w:p w14:paraId="133D66C3">
      <w:pPr>
        <w:pStyle w:val="47"/>
        <w:widowControl w:val="0"/>
        <w:tabs>
          <w:tab w:val="left" w:pos="1069"/>
          <w:tab w:val="left" w:pos="2352"/>
        </w:tabs>
        <w:snapToGrid w:val="0"/>
        <w:spacing w:line="400" w:lineRule="exact"/>
        <w:ind w:firstLine="446" w:firstLineChars="200"/>
        <w:jc w:val="both"/>
        <w:rPr>
          <w:rFonts w:hAnsi="宋体" w:cs="宋体"/>
          <w:color w:val="auto"/>
          <w:sz w:val="22"/>
          <w:szCs w:val="22"/>
          <w:highlight w:val="none"/>
        </w:rPr>
      </w:pPr>
    </w:p>
    <w:p w14:paraId="77995C04">
      <w:pPr>
        <w:pStyle w:val="47"/>
        <w:widowControl w:val="0"/>
        <w:tabs>
          <w:tab w:val="left" w:pos="1069"/>
          <w:tab w:val="left" w:pos="2352"/>
        </w:tabs>
        <w:snapToGrid w:val="0"/>
        <w:spacing w:line="400" w:lineRule="exact"/>
        <w:ind w:firstLine="446" w:firstLineChars="200"/>
        <w:jc w:val="both"/>
        <w:rPr>
          <w:rFonts w:hAnsi="宋体" w:cs="宋体"/>
          <w:color w:val="auto"/>
          <w:sz w:val="22"/>
          <w:szCs w:val="22"/>
          <w:highlight w:val="none"/>
        </w:rPr>
      </w:pPr>
      <w:r>
        <w:rPr>
          <w:rFonts w:hint="eastAsia" w:hAnsi="宋体" w:cs="宋体"/>
          <w:color w:val="auto"/>
          <w:sz w:val="22"/>
          <w:szCs w:val="22"/>
          <w:highlight w:val="none"/>
        </w:rPr>
        <w:t xml:space="preserve">                                     供应商代表签名：</w:t>
      </w:r>
    </w:p>
    <w:p w14:paraId="2611D1A4">
      <w:pPr>
        <w:tabs>
          <w:tab w:val="left" w:pos="1069"/>
          <w:tab w:val="left" w:pos="2352"/>
        </w:tabs>
        <w:spacing w:before="317" w:beforeLines="100" w:after="317" w:afterLines="100" w:line="400" w:lineRule="exact"/>
        <w:ind w:left="4928" w:leftChars="2314" w:firstLine="892" w:firstLineChars="400"/>
        <w:rPr>
          <w:rFonts w:ascii="宋体" w:hAnsi="宋体" w:cs="宋体"/>
          <w:color w:val="auto"/>
          <w:sz w:val="22"/>
          <w:highlight w:val="none"/>
        </w:rPr>
      </w:pPr>
      <w:r>
        <w:rPr>
          <w:rFonts w:hint="eastAsia" w:ascii="宋体" w:hAnsi="宋体" w:cs="宋体"/>
          <w:color w:val="auto"/>
          <w:sz w:val="22"/>
          <w:highlight w:val="none"/>
        </w:rPr>
        <w:t>年  月  日</w:t>
      </w:r>
    </w:p>
    <w:p w14:paraId="2F30FC0F">
      <w:pPr>
        <w:pStyle w:val="7"/>
        <w:tabs>
          <w:tab w:val="left" w:pos="1069"/>
          <w:tab w:val="left" w:pos="2352"/>
        </w:tabs>
        <w:spacing w:line="400" w:lineRule="exact"/>
        <w:ind w:left="490" w:hanging="490"/>
        <w:rPr>
          <w:rFonts w:ascii="宋体" w:hAnsi="宋体" w:cs="宋体"/>
          <w:b/>
          <w:bCs/>
          <w:color w:val="auto"/>
          <w:szCs w:val="21"/>
          <w:highlight w:val="none"/>
        </w:rPr>
      </w:pPr>
    </w:p>
    <w:p w14:paraId="1A8D45CA">
      <w:pPr>
        <w:pStyle w:val="12"/>
        <w:tabs>
          <w:tab w:val="left" w:pos="1069"/>
          <w:tab w:val="left" w:pos="2352"/>
        </w:tabs>
        <w:spacing w:line="360" w:lineRule="exact"/>
        <w:jc w:val="left"/>
        <w:rPr>
          <w:rFonts w:hAnsi="宋体" w:cs="宋体"/>
          <w:b/>
          <w:color w:val="auto"/>
          <w:sz w:val="32"/>
          <w:szCs w:val="32"/>
          <w:highlight w:val="none"/>
          <w:lang w:val="zh-CN"/>
        </w:rPr>
      </w:pPr>
      <w:r>
        <w:rPr>
          <w:rFonts w:hint="eastAsia" w:hAnsi="宋体" w:cs="宋体"/>
          <w:color w:val="auto"/>
          <w:sz w:val="22"/>
          <w:szCs w:val="22"/>
          <w:highlight w:val="none"/>
        </w:rPr>
        <w:br w:type="page"/>
      </w:r>
      <w:bookmarkStart w:id="265" w:name="_Toc24860_WPSOffice_Level1"/>
      <w:r>
        <w:rPr>
          <w:rFonts w:hint="eastAsia" w:hAnsi="宋体" w:cs="宋体"/>
          <w:color w:val="auto"/>
          <w:sz w:val="22"/>
          <w:szCs w:val="22"/>
          <w:highlight w:val="none"/>
        </w:rPr>
        <w:t xml:space="preserve">                           </w:t>
      </w:r>
      <w:r>
        <w:rPr>
          <w:rFonts w:hint="eastAsia" w:hAnsi="宋体" w:cs="宋体"/>
          <w:b/>
          <w:color w:val="auto"/>
          <w:sz w:val="32"/>
          <w:szCs w:val="32"/>
          <w:highlight w:val="none"/>
          <w:lang w:val="zh-CN"/>
        </w:rPr>
        <w:t>第</w:t>
      </w:r>
      <w:r>
        <w:rPr>
          <w:rFonts w:hint="eastAsia" w:hAnsi="宋体" w:cs="宋体"/>
          <w:b/>
          <w:color w:val="auto"/>
          <w:sz w:val="32"/>
          <w:szCs w:val="32"/>
          <w:highlight w:val="none"/>
        </w:rPr>
        <w:t>七</w:t>
      </w:r>
      <w:r>
        <w:rPr>
          <w:rFonts w:hint="eastAsia" w:hAnsi="宋体" w:cs="宋体"/>
          <w:b/>
          <w:color w:val="auto"/>
          <w:sz w:val="32"/>
          <w:szCs w:val="32"/>
          <w:highlight w:val="none"/>
          <w:lang w:val="zh-CN"/>
        </w:rPr>
        <w:t>部分</w:t>
      </w:r>
      <w:bookmarkEnd w:id="265"/>
      <w:r>
        <w:rPr>
          <w:rFonts w:hint="eastAsia" w:hAnsi="宋体" w:cs="宋体"/>
          <w:b/>
          <w:color w:val="auto"/>
          <w:sz w:val="32"/>
          <w:szCs w:val="32"/>
          <w:highlight w:val="none"/>
        </w:rPr>
        <w:t>、</w:t>
      </w:r>
      <w:r>
        <w:rPr>
          <w:rFonts w:hint="eastAsia" w:hAnsi="宋体" w:cs="宋体"/>
          <w:b/>
          <w:color w:val="auto"/>
          <w:sz w:val="32"/>
          <w:szCs w:val="32"/>
          <w:highlight w:val="none"/>
          <w:lang w:val="zh-CN"/>
        </w:rPr>
        <w:t>评标办法</w:t>
      </w:r>
    </w:p>
    <w:p w14:paraId="279A301B">
      <w:pPr>
        <w:tabs>
          <w:tab w:val="left" w:pos="1069"/>
          <w:tab w:val="left" w:pos="2352"/>
        </w:tabs>
        <w:snapToGrid w:val="0"/>
        <w:spacing w:line="380" w:lineRule="exact"/>
        <w:ind w:firstLine="540"/>
        <w:rPr>
          <w:rFonts w:ascii="宋体" w:hAnsi="宋体" w:cs="宋体"/>
          <w:color w:val="auto"/>
          <w:sz w:val="22"/>
          <w:highlight w:val="none"/>
        </w:rPr>
      </w:pPr>
      <w:r>
        <w:rPr>
          <w:rFonts w:hint="eastAsia" w:ascii="宋体" w:hAnsi="宋体" w:cs="宋体"/>
          <w:color w:val="auto"/>
          <w:sz w:val="22"/>
          <w:highlight w:val="none"/>
        </w:rPr>
        <w:t>根据《中华人民共和国政府采购法》等有关政府采购法规，结合本次所要采购项目的实际，按照公平、公正、科学、择优的原则选择中标（成交）单位，特制定本评审办法。</w:t>
      </w:r>
    </w:p>
    <w:p w14:paraId="18143FB3">
      <w:pPr>
        <w:tabs>
          <w:tab w:val="left" w:pos="1069"/>
          <w:tab w:val="left" w:pos="2352"/>
        </w:tabs>
        <w:snapToGrid w:val="0"/>
        <w:spacing w:line="380" w:lineRule="exact"/>
        <w:ind w:firstLine="3846" w:firstLineChars="1725"/>
        <w:rPr>
          <w:rFonts w:ascii="宋体" w:hAnsi="宋体" w:cs="宋体"/>
          <w:b/>
          <w:color w:val="auto"/>
          <w:sz w:val="22"/>
          <w:highlight w:val="none"/>
        </w:rPr>
      </w:pPr>
      <w:bookmarkStart w:id="266" w:name="_Toc32552_WPSOffice_Level2"/>
      <w:r>
        <w:rPr>
          <w:rFonts w:hint="eastAsia" w:ascii="宋体" w:hAnsi="宋体" w:cs="宋体"/>
          <w:b/>
          <w:color w:val="auto"/>
          <w:sz w:val="22"/>
          <w:highlight w:val="none"/>
        </w:rPr>
        <w:t>一、总则</w:t>
      </w:r>
      <w:bookmarkEnd w:id="266"/>
    </w:p>
    <w:p w14:paraId="75676496">
      <w:pPr>
        <w:tabs>
          <w:tab w:val="left" w:pos="1069"/>
          <w:tab w:val="left" w:pos="2352"/>
        </w:tabs>
        <w:snapToGrid w:val="0"/>
        <w:spacing w:line="380" w:lineRule="exact"/>
        <w:ind w:firstLine="540"/>
        <w:rPr>
          <w:rFonts w:ascii="宋体" w:hAnsi="宋体" w:cs="宋体"/>
          <w:color w:val="auto"/>
          <w:sz w:val="22"/>
          <w:highlight w:val="none"/>
        </w:rPr>
      </w:pPr>
      <w:r>
        <w:rPr>
          <w:rFonts w:hint="eastAsia" w:ascii="宋体" w:hAnsi="宋体" w:cs="宋体"/>
          <w:color w:val="auto"/>
          <w:sz w:val="22"/>
          <w:highlight w:val="none"/>
        </w:rPr>
        <w:t>评审工作遵循公平、公正、民主、科学的原则和诚实、信誉、效率的服务原则。本着科学、严谨的态度，认真进行评审。择优选定提供服务单位，最大限度的保护当事人权益，严格按照竞争性磋商文件的商务、技术要求，对投标（响应）文件进行综合评定，提出优选方案，编写评审报告。评审小组必须严格遵守保密规定，不得泄漏评审的有关情况，不得索贿受贿，不得接受吃请和礼品，不得参加影响公正评审的有关活动。对未中标（成交）单位，评审小组不作任何解释。供应商不得以任何方式干扰采购工作的进行，一经发现其投标（响应）文件将被拒绝。</w:t>
      </w:r>
    </w:p>
    <w:p w14:paraId="6ED9CF84">
      <w:pPr>
        <w:tabs>
          <w:tab w:val="left" w:pos="1069"/>
          <w:tab w:val="left" w:pos="2352"/>
        </w:tabs>
        <w:snapToGrid w:val="0"/>
        <w:spacing w:line="380" w:lineRule="exact"/>
        <w:ind w:firstLine="3846" w:firstLineChars="1725"/>
        <w:rPr>
          <w:rFonts w:ascii="宋体" w:hAnsi="宋体" w:cs="宋体"/>
          <w:color w:val="auto"/>
          <w:sz w:val="22"/>
          <w:highlight w:val="none"/>
        </w:rPr>
      </w:pPr>
      <w:bookmarkStart w:id="267" w:name="_Toc15399_WPSOffice_Level2"/>
      <w:r>
        <w:rPr>
          <w:rFonts w:hint="eastAsia" w:ascii="宋体" w:hAnsi="宋体" w:cs="宋体"/>
          <w:b/>
          <w:color w:val="auto"/>
          <w:sz w:val="22"/>
          <w:highlight w:val="none"/>
        </w:rPr>
        <w:t>二、评审组织</w:t>
      </w:r>
      <w:bookmarkEnd w:id="267"/>
    </w:p>
    <w:p w14:paraId="7B289710">
      <w:pPr>
        <w:tabs>
          <w:tab w:val="left" w:pos="1069"/>
          <w:tab w:val="left" w:pos="2352"/>
        </w:tabs>
        <w:snapToGrid w:val="0"/>
        <w:spacing w:line="380" w:lineRule="exact"/>
        <w:ind w:firstLine="540"/>
        <w:rPr>
          <w:rFonts w:ascii="宋体" w:hAnsi="宋体" w:cs="宋体"/>
          <w:color w:val="auto"/>
          <w:sz w:val="22"/>
          <w:highlight w:val="none"/>
        </w:rPr>
      </w:pPr>
      <w:r>
        <w:rPr>
          <w:rFonts w:hint="eastAsia" w:ascii="宋体" w:hAnsi="宋体" w:cs="宋体"/>
          <w:color w:val="auto"/>
          <w:sz w:val="22"/>
          <w:highlight w:val="none"/>
        </w:rPr>
        <w:t>评审工作由采购人依法组建的评审小组负责，评审小组由采购人代表以及评审专家库中随机抽取的有关技术、经济专家共同组成。评审全过程由采购管理部门全程监督。</w:t>
      </w:r>
    </w:p>
    <w:p w14:paraId="36C5CAC6">
      <w:pPr>
        <w:tabs>
          <w:tab w:val="left" w:pos="1069"/>
          <w:tab w:val="left" w:pos="2352"/>
        </w:tabs>
        <w:snapToGrid w:val="0"/>
        <w:spacing w:line="380" w:lineRule="exact"/>
        <w:ind w:firstLine="1774" w:firstLineChars="796"/>
        <w:rPr>
          <w:rFonts w:ascii="宋体" w:hAnsi="宋体" w:cs="宋体"/>
          <w:color w:val="auto"/>
          <w:sz w:val="22"/>
          <w:highlight w:val="none"/>
        </w:rPr>
      </w:pPr>
      <w:bookmarkStart w:id="268" w:name="_Toc7010_WPSOffice_Level2"/>
      <w:r>
        <w:rPr>
          <w:rFonts w:hint="eastAsia" w:ascii="宋体" w:hAnsi="宋体" w:cs="宋体"/>
          <w:b/>
          <w:color w:val="auto"/>
          <w:sz w:val="22"/>
          <w:highlight w:val="none"/>
        </w:rPr>
        <w:t>三、投标（响应）文件递交截止、磋商程序、磋商原则和方式</w:t>
      </w:r>
      <w:bookmarkEnd w:id="268"/>
    </w:p>
    <w:p w14:paraId="3082D8F0">
      <w:pPr>
        <w:pStyle w:val="12"/>
        <w:tabs>
          <w:tab w:val="left" w:pos="1069"/>
          <w:tab w:val="left" w:pos="2352"/>
        </w:tabs>
        <w:adjustRightInd w:val="0"/>
        <w:snapToGrid w:val="0"/>
        <w:spacing w:line="380" w:lineRule="exact"/>
        <w:ind w:firstLine="446" w:firstLineChars="200"/>
        <w:rPr>
          <w:rFonts w:hAnsi="宋体" w:cs="宋体"/>
          <w:b/>
          <w:color w:val="auto"/>
          <w:sz w:val="22"/>
          <w:highlight w:val="none"/>
        </w:rPr>
      </w:pPr>
      <w:r>
        <w:rPr>
          <w:rFonts w:hint="eastAsia" w:hAnsi="宋体" w:cs="宋体"/>
          <w:color w:val="auto"/>
          <w:sz w:val="22"/>
          <w:highlight w:val="none"/>
        </w:rPr>
        <w:t>1、投标（响应）文件递交截止</w:t>
      </w:r>
    </w:p>
    <w:p w14:paraId="7F606BEB">
      <w:pPr>
        <w:pStyle w:val="12"/>
        <w:tabs>
          <w:tab w:val="left" w:pos="1069"/>
          <w:tab w:val="left" w:pos="2352"/>
        </w:tabs>
        <w:adjustRightInd w:val="0"/>
        <w:snapToGrid w:val="0"/>
        <w:spacing w:line="380" w:lineRule="exact"/>
        <w:ind w:firstLine="446" w:firstLineChars="200"/>
        <w:rPr>
          <w:rFonts w:hAnsi="宋体" w:cs="宋体"/>
          <w:b/>
          <w:color w:val="auto"/>
          <w:sz w:val="22"/>
          <w:highlight w:val="none"/>
        </w:rPr>
      </w:pPr>
      <w:r>
        <w:rPr>
          <w:rFonts w:hint="eastAsia" w:hAnsi="宋体" w:cs="宋体"/>
          <w:color w:val="auto"/>
          <w:sz w:val="22"/>
          <w:highlight w:val="none"/>
        </w:rPr>
        <w:t>投标供应商须按竞争性磋商文件规定的时间在线递交投标（响应）文件。</w:t>
      </w:r>
    </w:p>
    <w:p w14:paraId="45264967">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2、本次采购是根据竞争性磋商采购方式进行，各供应商首次报价不公开。</w:t>
      </w:r>
    </w:p>
    <w:p w14:paraId="161DC0DB">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2.1 如评审小组认为竞争性磋商文件能够详细列明采购标的的技术、服务要求的，评审结束后，评审小组可以直接对供应商进行打分评价。</w:t>
      </w:r>
    </w:p>
    <w:p w14:paraId="3D89EF22">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2.2如评审小组认为需要修改竞争性磋商文件的，在磋商过程中，评审小组可以根据竞争性磋商文件和磋商情况实质性变动采购需求中的技术、服务要求以及合同草案条款，但不得变动竞争性磋商文件中的其他内容。实质性变动的内容，须经采购人代表确认。</w:t>
      </w:r>
    </w:p>
    <w:p w14:paraId="472842EE">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对竞争性磋商文件作出的实质性变动是竞争性磋商文件的有效组成部分，评审小组应当及时以书面形式同时通知所有参加磋商的供应商。</w:t>
      </w:r>
    </w:p>
    <w:p w14:paraId="36542438">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供应商应当按照竞争性磋商文件的变动情况和评审小组的要求重新提交投标（响应）文件，并由其法定代表人或授权代表签字或者加盖公章。由授权代表签字的，应当附法定代表人授权书。供应商为自然人的，应当由本人签字并附身份证明。</w:t>
      </w:r>
    </w:p>
    <w:p w14:paraId="6AFACFB8">
      <w:pPr>
        <w:tabs>
          <w:tab w:val="left" w:pos="1069"/>
          <w:tab w:val="left" w:pos="2352"/>
        </w:tabs>
        <w:adjustRightInd w:val="0"/>
        <w:spacing w:line="380" w:lineRule="exact"/>
        <w:ind w:firstLine="420"/>
        <w:rPr>
          <w:rFonts w:ascii="宋体" w:hAnsi="宋体" w:cs="宋体"/>
          <w:color w:val="auto"/>
          <w:sz w:val="22"/>
          <w:highlight w:val="none"/>
        </w:rPr>
      </w:pPr>
      <w:r>
        <w:rPr>
          <w:rFonts w:hint="eastAsia" w:ascii="宋体" w:hAnsi="宋体" w:cs="宋体"/>
          <w:color w:val="auto"/>
          <w:sz w:val="22"/>
          <w:highlight w:val="none"/>
        </w:rPr>
        <w:t>已提交投标（响应）文件的供应商，在提交最终报价之前，可以根据磋商情况退出磋商。</w:t>
      </w:r>
    </w:p>
    <w:p w14:paraId="3E385625">
      <w:pPr>
        <w:pStyle w:val="12"/>
        <w:tabs>
          <w:tab w:val="left" w:pos="1069"/>
          <w:tab w:val="left" w:pos="2352"/>
        </w:tabs>
        <w:adjustRightInd w:val="0"/>
        <w:snapToGrid w:val="0"/>
        <w:spacing w:line="380" w:lineRule="exact"/>
        <w:ind w:firstLine="450"/>
        <w:rPr>
          <w:rFonts w:hAnsi="宋体" w:cs="宋体"/>
          <w:color w:val="auto"/>
          <w:sz w:val="22"/>
          <w:highlight w:val="none"/>
        </w:rPr>
      </w:pPr>
      <w:r>
        <w:rPr>
          <w:rFonts w:hint="eastAsia" w:hAnsi="宋体" w:cs="宋体"/>
          <w:color w:val="auto"/>
          <w:sz w:val="22"/>
          <w:highlight w:val="none"/>
        </w:rPr>
        <w:t>2.3 磋商的顺序，按供应商签到的逆顺序进行。开展磋商，评审小组所有成员集中与单一供应商（供应商的法定代表人或法定代表人授权代表须在线参加）分别进行磋商，并要求供应商提交最终报价。在竞争性磋商文件未做任何调整的情况下，参与磋商的供应商如有出现最终报价超过投标（响应）文件中报价的，则该供应商的报价按无效处理。</w:t>
      </w:r>
    </w:p>
    <w:p w14:paraId="7CE9E477">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3、评审原则和方法</w:t>
      </w:r>
    </w:p>
    <w:p w14:paraId="73EC8E7C">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3.1 评审小组负责审查投标（响应）文件是否符合竞争性磋商文件的要求，并作出评价。评审小组认为必要时，可向供应商进行质疑。评审小组有权决定全部或部分供应商投标（响应）文件无效。</w:t>
      </w:r>
    </w:p>
    <w:p w14:paraId="41647F0C">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3.2 评审小组将综合分析合格供应商的各项指标，而不是以单项指标的优劣评选出成交的供应商。</w:t>
      </w:r>
    </w:p>
    <w:p w14:paraId="3A57A3AB">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3.3 经磋商确定最终采购需求和提交最终报价的供应商后，由评审小组采用综合评分法对提交最终报价的供应商的投标（响应）文件和最终报价进行综合评分。如竞争性磋商文件所列采购内容明确不需要修改的或供应商投标（响应）文件清楚明确不需要澄清的，可以不进行磋商环节，直接要求供应商进行最终报价，进行综合评分。</w:t>
      </w:r>
    </w:p>
    <w:p w14:paraId="59CAF642">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本次评审采用综合评分法，评审小组根据竞争性磋商文件制定的评审办法对供应商进行评审排序，将综合得分第一的供应商向采购人推荐其为中标（成交）供应商。</w:t>
      </w:r>
    </w:p>
    <w:p w14:paraId="47C03C85">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4、投标（响应）文件的澄清</w:t>
      </w:r>
    </w:p>
    <w:p w14:paraId="3A5B9D88">
      <w:pPr>
        <w:pStyle w:val="12"/>
        <w:tabs>
          <w:tab w:val="left" w:pos="1069"/>
          <w:tab w:val="left" w:pos="2352"/>
        </w:tabs>
        <w:adjustRightInd w:val="0"/>
        <w:snapToGrid w:val="0"/>
        <w:spacing w:line="380" w:lineRule="exact"/>
        <w:ind w:firstLine="223" w:firstLineChars="100"/>
        <w:rPr>
          <w:rFonts w:hAnsi="宋体" w:cs="宋体"/>
          <w:b/>
          <w:color w:val="auto"/>
          <w:sz w:val="22"/>
          <w:highlight w:val="none"/>
        </w:rPr>
      </w:pPr>
      <w:r>
        <w:rPr>
          <w:rFonts w:hint="eastAsia" w:hAnsi="宋体" w:cs="宋体"/>
          <w:color w:val="auto"/>
          <w:sz w:val="22"/>
          <w:highlight w:val="none"/>
        </w:rPr>
        <w:t>为有利于对投标（响应）文件的评议，必要时采购人可要求供应商对投标（响应）文件进行澄清，并作出答复。答复须有供应商授权代表签字并作为投标（响应）文件内容的一部分。</w:t>
      </w:r>
    </w:p>
    <w:p w14:paraId="1CBDD638">
      <w:pPr>
        <w:tabs>
          <w:tab w:val="left" w:pos="1069"/>
          <w:tab w:val="left" w:pos="2352"/>
        </w:tabs>
        <w:rPr>
          <w:color w:val="auto"/>
          <w:highlight w:val="none"/>
        </w:rPr>
      </w:pPr>
      <w:bookmarkStart w:id="269" w:name="_Toc28287_WPSOffice_Level2"/>
    </w:p>
    <w:p w14:paraId="1BB29362">
      <w:pPr>
        <w:pStyle w:val="12"/>
        <w:numPr>
          <w:ilvl w:val="0"/>
          <w:numId w:val="8"/>
        </w:numPr>
        <w:tabs>
          <w:tab w:val="left" w:pos="1069"/>
          <w:tab w:val="left" w:pos="2352"/>
        </w:tabs>
        <w:adjustRightInd w:val="0"/>
        <w:snapToGrid w:val="0"/>
        <w:spacing w:line="380" w:lineRule="exact"/>
        <w:ind w:firstLine="446" w:firstLineChars="200"/>
        <w:jc w:val="center"/>
        <w:rPr>
          <w:rFonts w:hAnsi="宋体" w:cs="宋体"/>
          <w:b/>
          <w:bCs/>
          <w:color w:val="auto"/>
          <w:sz w:val="22"/>
          <w:highlight w:val="none"/>
        </w:rPr>
      </w:pPr>
      <w:r>
        <w:rPr>
          <w:rFonts w:hint="eastAsia" w:hAnsi="宋体" w:cs="宋体"/>
          <w:b/>
          <w:bCs/>
          <w:color w:val="auto"/>
          <w:sz w:val="22"/>
          <w:highlight w:val="none"/>
        </w:rPr>
        <w:t>评审细则</w:t>
      </w:r>
      <w:bookmarkEnd w:id="269"/>
      <w:bookmarkStart w:id="270" w:name="_Toc20707_WPSOffice_Level3"/>
    </w:p>
    <w:bookmarkEnd w:id="270"/>
    <w:p w14:paraId="2FC60264">
      <w:pPr>
        <w:adjustRightInd w:val="0"/>
        <w:snapToGrid w:val="0"/>
        <w:spacing w:line="400" w:lineRule="exact"/>
        <w:ind w:firstLine="223" w:firstLineChars="100"/>
        <w:rPr>
          <w:rFonts w:ascii="宋体" w:hAnsi="宋体"/>
          <w:b/>
          <w:bCs/>
          <w:color w:val="auto"/>
          <w:sz w:val="22"/>
          <w:highlight w:val="none"/>
        </w:rPr>
      </w:pPr>
      <w:r>
        <w:rPr>
          <w:rFonts w:hint="eastAsia" w:ascii="宋体" w:hAnsi="宋体"/>
          <w:b/>
          <w:bCs/>
          <w:color w:val="auto"/>
          <w:sz w:val="22"/>
          <w:highlight w:val="none"/>
        </w:rPr>
        <w:t>（一）报价评分（</w:t>
      </w:r>
      <w:r>
        <w:rPr>
          <w:rFonts w:hint="eastAsia" w:ascii="宋体" w:hAnsi="宋体"/>
          <w:b/>
          <w:bCs/>
          <w:color w:val="auto"/>
          <w:sz w:val="22"/>
          <w:highlight w:val="none"/>
          <w:lang w:val="en-US" w:eastAsia="zh-CN"/>
        </w:rPr>
        <w:t>3</w:t>
      </w:r>
      <w:r>
        <w:rPr>
          <w:rFonts w:hint="eastAsia" w:ascii="宋体" w:hAnsi="宋体"/>
          <w:b/>
          <w:bCs/>
          <w:color w:val="auto"/>
          <w:sz w:val="22"/>
          <w:highlight w:val="none"/>
        </w:rPr>
        <w:t>0分）</w:t>
      </w:r>
    </w:p>
    <w:p w14:paraId="71550FB9">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1.每亩年租金收益</w:t>
      </w:r>
    </w:p>
    <w:p w14:paraId="459E6D02">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以满足竞争性磋商文件要求且最终报价最低的有效供应商的价格为磋商基准价，满分为</w:t>
      </w:r>
      <w:r>
        <w:rPr>
          <w:rFonts w:hint="eastAsia" w:hAnsi="宋体" w:cs="Arial"/>
          <w:color w:val="auto"/>
          <w:sz w:val="22"/>
          <w:szCs w:val="22"/>
          <w:highlight w:val="none"/>
          <w:lang w:val="en-US" w:eastAsia="zh-CN"/>
        </w:rPr>
        <w:t>15</w:t>
      </w:r>
      <w:r>
        <w:rPr>
          <w:rFonts w:hint="eastAsia" w:ascii="宋体" w:hAnsi="宋体" w:eastAsia="宋体" w:cs="Arial"/>
          <w:color w:val="auto"/>
          <w:sz w:val="22"/>
          <w:szCs w:val="22"/>
          <w:highlight w:val="none"/>
          <w:lang w:val="en-US" w:eastAsia="zh-CN"/>
        </w:rPr>
        <w:t>分。</w:t>
      </w:r>
    </w:p>
    <w:p w14:paraId="7B8C0E2D">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每亩年租金收益报价得分=（投标报价/评标基准价）×</w:t>
      </w:r>
      <w:r>
        <w:rPr>
          <w:rFonts w:hint="eastAsia" w:hAnsi="宋体" w:cs="Arial"/>
          <w:color w:val="auto"/>
          <w:sz w:val="22"/>
          <w:szCs w:val="22"/>
          <w:highlight w:val="none"/>
          <w:lang w:val="en-US" w:eastAsia="zh-CN"/>
        </w:rPr>
        <w:t>15</w:t>
      </w:r>
      <w:r>
        <w:rPr>
          <w:rFonts w:hint="eastAsia" w:ascii="宋体" w:hAnsi="宋体" w:eastAsia="宋体" w:cs="Arial"/>
          <w:color w:val="auto"/>
          <w:sz w:val="22"/>
          <w:szCs w:val="22"/>
          <w:highlight w:val="none"/>
          <w:lang w:val="en-US" w:eastAsia="zh-CN"/>
        </w:rPr>
        <w:t>%×100；</w:t>
      </w:r>
    </w:p>
    <w:p w14:paraId="3B0B60B2">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2.</w:t>
      </w:r>
      <w:r>
        <w:rPr>
          <w:rFonts w:hint="eastAsia" w:hAnsi="宋体" w:cs="Arial"/>
          <w:color w:val="auto"/>
          <w:sz w:val="22"/>
          <w:szCs w:val="22"/>
          <w:highlight w:val="none"/>
          <w:lang w:val="en-US" w:eastAsia="zh-CN"/>
        </w:rPr>
        <w:t>改造</w:t>
      </w:r>
      <w:r>
        <w:rPr>
          <w:rFonts w:hint="eastAsia" w:ascii="宋体" w:hAnsi="宋体" w:eastAsia="宋体" w:cs="Arial"/>
          <w:color w:val="auto"/>
          <w:sz w:val="22"/>
          <w:szCs w:val="22"/>
          <w:highlight w:val="none"/>
          <w:lang w:val="en-US" w:eastAsia="zh-CN"/>
        </w:rPr>
        <w:t>部分下浮率</w:t>
      </w:r>
    </w:p>
    <w:p w14:paraId="30166EE9">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以满足竞争性磋商文件要求且最终报价（1-下浮率%）最低的有效供应商的价格为磋商基准价，满分为</w:t>
      </w:r>
      <w:r>
        <w:rPr>
          <w:rFonts w:hint="eastAsia" w:hAnsi="宋体" w:cs="Arial"/>
          <w:color w:val="auto"/>
          <w:sz w:val="22"/>
          <w:szCs w:val="22"/>
          <w:highlight w:val="none"/>
          <w:lang w:val="en-US" w:eastAsia="zh-CN"/>
        </w:rPr>
        <w:t>15</w:t>
      </w:r>
      <w:r>
        <w:rPr>
          <w:rFonts w:hint="eastAsia" w:ascii="宋体" w:hAnsi="宋体" w:eastAsia="宋体" w:cs="Arial"/>
          <w:color w:val="auto"/>
          <w:sz w:val="22"/>
          <w:szCs w:val="22"/>
          <w:highlight w:val="none"/>
          <w:lang w:val="en-US" w:eastAsia="zh-CN"/>
        </w:rPr>
        <w:t>分。</w:t>
      </w:r>
    </w:p>
    <w:p w14:paraId="79BC7221">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hAnsi="宋体" w:cs="Arial"/>
          <w:color w:val="auto"/>
          <w:sz w:val="22"/>
          <w:szCs w:val="22"/>
          <w:highlight w:val="none"/>
          <w:lang w:val="en-US" w:eastAsia="zh-CN"/>
        </w:rPr>
        <w:t>改造</w:t>
      </w:r>
      <w:r>
        <w:rPr>
          <w:rFonts w:hint="eastAsia" w:ascii="宋体" w:hAnsi="宋体" w:eastAsia="宋体" w:cs="Arial"/>
          <w:color w:val="auto"/>
          <w:sz w:val="22"/>
          <w:szCs w:val="22"/>
          <w:highlight w:val="none"/>
          <w:lang w:val="en-US" w:eastAsia="zh-CN"/>
        </w:rPr>
        <w:t>实施部分下浮率报价得分=（评标基准价/（1-下浮率%））×</w:t>
      </w:r>
      <w:r>
        <w:rPr>
          <w:rFonts w:hint="eastAsia" w:hAnsi="宋体" w:cs="Arial"/>
          <w:color w:val="auto"/>
          <w:sz w:val="22"/>
          <w:szCs w:val="22"/>
          <w:highlight w:val="none"/>
          <w:lang w:val="en-US" w:eastAsia="zh-CN"/>
        </w:rPr>
        <w:t>15</w:t>
      </w:r>
      <w:r>
        <w:rPr>
          <w:rFonts w:hint="eastAsia" w:ascii="宋体" w:hAnsi="宋体" w:eastAsia="宋体" w:cs="Arial"/>
          <w:color w:val="auto"/>
          <w:sz w:val="22"/>
          <w:szCs w:val="22"/>
          <w:highlight w:val="none"/>
          <w:lang w:val="en-US" w:eastAsia="zh-CN"/>
        </w:rPr>
        <w:t>%×100。</w:t>
      </w:r>
    </w:p>
    <w:p w14:paraId="7058397C">
      <w:pPr>
        <w:pStyle w:val="12"/>
        <w:adjustRightInd w:val="0"/>
        <w:snapToGrid w:val="0"/>
        <w:spacing w:line="380" w:lineRule="exact"/>
        <w:ind w:firstLine="450"/>
        <w:rPr>
          <w:rFonts w:hAnsi="宋体" w:cs="Arial"/>
          <w:color w:val="auto"/>
          <w:sz w:val="22"/>
          <w:highlight w:val="none"/>
          <w:u w:val="single"/>
        </w:rPr>
      </w:pPr>
      <w:r>
        <w:rPr>
          <w:rFonts w:hint="eastAsia" w:ascii="宋体" w:hAnsi="宋体" w:eastAsia="宋体" w:cs="Arial"/>
          <w:color w:val="auto"/>
          <w:sz w:val="22"/>
          <w:szCs w:val="22"/>
          <w:highlight w:val="none"/>
          <w:lang w:val="en-US" w:eastAsia="zh-CN"/>
        </w:rPr>
        <w:t>3.</w:t>
      </w:r>
      <w:r>
        <w:rPr>
          <w:rFonts w:hint="eastAsia" w:ascii="宋体" w:hAnsi="宋体" w:eastAsia="宋体" w:cs="Arial"/>
          <w:color w:val="auto"/>
          <w:sz w:val="22"/>
          <w:szCs w:val="22"/>
          <w:highlight w:val="none"/>
        </w:rPr>
        <w:t>本项目参照《政府采购促进中小企业发展管理办法》（财库﹝2020﹞46 号）；财政部、司法部《关于政府采购支持监狱企业发展有关问题的通知》（财库〔2014〕68号）；《关于进一步加大政府采购支持中小</w:t>
      </w:r>
      <w:r>
        <w:rPr>
          <w:rFonts w:hint="eastAsia" w:hAnsi="宋体" w:cs="Arial"/>
          <w:color w:val="auto"/>
          <w:sz w:val="22"/>
          <w:szCs w:val="22"/>
          <w:highlight w:val="none"/>
        </w:rPr>
        <w:t>企业力度的通知》（财库〔2022〕19号）；《浙江省财政厅关于进一步发挥政府采购政策 功能全力推动经济稳进提质的通知》（浙财采监〔2022〕3号）；《关于进一步加大政府采购 支持中小企业力度 助力扎实稳住经济 的通知》（浙财采监〔2022〕8号）的规定：对小微企业（含监狱企业、残疾人福利性单位）投标产品给予10%的评标价格扣除。（说明：标价格折扣计算以元人民币为单位，保留两位小数，第三位四舍五入进位。）</w:t>
      </w:r>
      <w:r>
        <w:rPr>
          <w:rFonts w:hint="eastAsia" w:hAnsi="宋体" w:cs="宋体"/>
          <w:color w:val="auto"/>
          <w:sz w:val="22"/>
          <w:highlight w:val="none"/>
        </w:rPr>
        <w:t>。</w:t>
      </w:r>
    </w:p>
    <w:p w14:paraId="61AE3B7B">
      <w:pPr>
        <w:adjustRightInd w:val="0"/>
        <w:snapToGrid w:val="0"/>
        <w:spacing w:line="400" w:lineRule="exact"/>
        <w:ind w:firstLine="223" w:firstLineChars="100"/>
        <w:rPr>
          <w:rFonts w:ascii="宋体" w:hAnsi="宋体"/>
          <w:b/>
          <w:bCs/>
          <w:color w:val="auto"/>
          <w:sz w:val="22"/>
          <w:highlight w:val="none"/>
        </w:rPr>
      </w:pPr>
      <w:r>
        <w:rPr>
          <w:rFonts w:hint="eastAsia" w:ascii="宋体" w:hAnsi="宋体"/>
          <w:b/>
          <w:bCs/>
          <w:color w:val="auto"/>
          <w:sz w:val="22"/>
          <w:highlight w:val="none"/>
        </w:rPr>
        <w:t>（二）</w:t>
      </w:r>
      <w:r>
        <w:rPr>
          <w:rFonts w:hint="eastAsia" w:ascii="宋体" w:hAnsi="宋体"/>
          <w:b/>
          <w:bCs/>
          <w:color w:val="auto"/>
          <w:sz w:val="22"/>
          <w:highlight w:val="none"/>
          <w:lang w:val="en-US" w:eastAsia="zh-CN"/>
        </w:rPr>
        <w:t>商务技术</w:t>
      </w:r>
      <w:r>
        <w:rPr>
          <w:rFonts w:hint="eastAsia" w:ascii="宋体" w:hAnsi="宋体"/>
          <w:b/>
          <w:bCs/>
          <w:color w:val="auto"/>
          <w:sz w:val="22"/>
          <w:highlight w:val="none"/>
        </w:rPr>
        <w:t>评分（</w:t>
      </w:r>
      <w:r>
        <w:rPr>
          <w:rFonts w:hint="eastAsia" w:ascii="宋体" w:hAnsi="宋体"/>
          <w:b/>
          <w:bCs/>
          <w:color w:val="auto"/>
          <w:sz w:val="22"/>
          <w:highlight w:val="none"/>
          <w:lang w:val="en-US" w:eastAsia="zh-CN"/>
        </w:rPr>
        <w:t>7</w:t>
      </w:r>
      <w:r>
        <w:rPr>
          <w:rFonts w:hint="eastAsia" w:ascii="宋体" w:hAnsi="宋体"/>
          <w:b/>
          <w:bCs/>
          <w:color w:val="auto"/>
          <w:sz w:val="22"/>
          <w:highlight w:val="none"/>
        </w:rPr>
        <w:t>0分）</w:t>
      </w:r>
    </w:p>
    <w:tbl>
      <w:tblPr>
        <w:tblStyle w:val="32"/>
        <w:tblpPr w:leftFromText="180" w:rightFromText="180" w:vertAnchor="text" w:horzAnchor="page" w:tblpX="1586" w:tblpY="626"/>
        <w:tblOverlap w:val="never"/>
        <w:tblW w:w="95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321"/>
        <w:gridCol w:w="6461"/>
        <w:gridCol w:w="1097"/>
      </w:tblGrid>
      <w:tr w14:paraId="33CD4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666" w:type="dxa"/>
            <w:vAlign w:val="center"/>
          </w:tcPr>
          <w:p w14:paraId="06DD5CC9">
            <w:pPr>
              <w:keepNext w:val="0"/>
              <w:keepLines w:val="0"/>
              <w:pageBreakBefore w:val="0"/>
              <w:widowControl/>
              <w:kinsoku/>
              <w:wordWrap/>
              <w:overflowPunct/>
              <w:topLinePunct w:val="0"/>
              <w:autoSpaceDE/>
              <w:autoSpaceDN/>
              <w:bidi w:val="0"/>
              <w:adjustRightInd/>
              <w:snapToGrid w:val="0"/>
              <w:spacing w:line="340" w:lineRule="exact"/>
              <w:jc w:val="center"/>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序号</w:t>
            </w:r>
          </w:p>
        </w:tc>
        <w:tc>
          <w:tcPr>
            <w:tcW w:w="1321" w:type="dxa"/>
            <w:vAlign w:val="center"/>
          </w:tcPr>
          <w:p w14:paraId="5BCCAB11">
            <w:pPr>
              <w:keepNext w:val="0"/>
              <w:keepLines w:val="0"/>
              <w:pageBreakBefore w:val="0"/>
              <w:widowControl/>
              <w:kinsoku/>
              <w:wordWrap/>
              <w:overflowPunct/>
              <w:topLinePunct w:val="0"/>
              <w:autoSpaceDE/>
              <w:autoSpaceDN/>
              <w:bidi w:val="0"/>
              <w:adjustRightInd/>
              <w:snapToGrid w:val="0"/>
              <w:spacing w:line="340" w:lineRule="exact"/>
              <w:jc w:val="center"/>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评审内容</w:t>
            </w:r>
          </w:p>
        </w:tc>
        <w:tc>
          <w:tcPr>
            <w:tcW w:w="6461" w:type="dxa"/>
            <w:vAlign w:val="center"/>
          </w:tcPr>
          <w:p w14:paraId="28E43C49">
            <w:pPr>
              <w:keepNext w:val="0"/>
              <w:keepLines w:val="0"/>
              <w:pageBreakBefore w:val="0"/>
              <w:widowControl/>
              <w:kinsoku/>
              <w:wordWrap/>
              <w:overflowPunct/>
              <w:topLinePunct w:val="0"/>
              <w:autoSpaceDE/>
              <w:autoSpaceDN/>
              <w:bidi w:val="0"/>
              <w:adjustRightInd/>
              <w:snapToGrid w:val="0"/>
              <w:spacing w:line="340" w:lineRule="exact"/>
              <w:ind w:firstLine="446" w:firstLineChars="200"/>
              <w:jc w:val="center"/>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评分标准</w:t>
            </w:r>
          </w:p>
        </w:tc>
        <w:tc>
          <w:tcPr>
            <w:tcW w:w="1097" w:type="dxa"/>
            <w:vAlign w:val="center"/>
          </w:tcPr>
          <w:p w14:paraId="4FEAE717">
            <w:pPr>
              <w:keepNext w:val="0"/>
              <w:keepLines w:val="0"/>
              <w:pageBreakBefore w:val="0"/>
              <w:widowControl/>
              <w:kinsoku/>
              <w:wordWrap/>
              <w:overflowPunct/>
              <w:topLinePunct w:val="0"/>
              <w:autoSpaceDE/>
              <w:autoSpaceDN/>
              <w:bidi w:val="0"/>
              <w:adjustRightInd/>
              <w:snapToGrid w:val="0"/>
              <w:spacing w:line="340" w:lineRule="exact"/>
              <w:jc w:val="center"/>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分值</w:t>
            </w:r>
          </w:p>
        </w:tc>
      </w:tr>
      <w:tr w14:paraId="67A91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666" w:type="dxa"/>
            <w:vAlign w:val="center"/>
          </w:tcPr>
          <w:p w14:paraId="61F56B0C">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bCs w:val="0"/>
                <w:color w:val="auto"/>
                <w:kern w:val="0"/>
                <w:sz w:val="22"/>
                <w:szCs w:val="22"/>
                <w:highlight w:val="none"/>
                <w:lang w:val="en-US" w:eastAsia="zh-CN"/>
              </w:rPr>
            </w:pPr>
          </w:p>
        </w:tc>
        <w:tc>
          <w:tcPr>
            <w:tcW w:w="1321" w:type="dxa"/>
            <w:vAlign w:val="center"/>
          </w:tcPr>
          <w:p w14:paraId="202B529A">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bCs w:val="0"/>
                <w:color w:val="auto"/>
                <w:kern w:val="0"/>
                <w:sz w:val="22"/>
                <w:szCs w:val="22"/>
                <w:highlight w:val="none"/>
                <w:lang w:val="en-US" w:eastAsia="zh-CN"/>
              </w:rPr>
            </w:pPr>
          </w:p>
        </w:tc>
        <w:tc>
          <w:tcPr>
            <w:tcW w:w="6461" w:type="dxa"/>
            <w:vAlign w:val="center"/>
          </w:tcPr>
          <w:p w14:paraId="362C9949">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left"/>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（一）项目运营部分的评分（35分）</w:t>
            </w:r>
          </w:p>
        </w:tc>
        <w:tc>
          <w:tcPr>
            <w:tcW w:w="1097" w:type="dxa"/>
            <w:vAlign w:val="center"/>
          </w:tcPr>
          <w:p w14:paraId="4B30CE02">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bCs w:val="0"/>
                <w:color w:val="auto"/>
                <w:kern w:val="0"/>
                <w:sz w:val="22"/>
                <w:szCs w:val="22"/>
                <w:highlight w:val="none"/>
                <w:lang w:val="en-US" w:eastAsia="zh-CN"/>
              </w:rPr>
            </w:pPr>
          </w:p>
        </w:tc>
      </w:tr>
      <w:tr w14:paraId="4746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666" w:type="dxa"/>
            <w:vAlign w:val="center"/>
          </w:tcPr>
          <w:p w14:paraId="6A1774DD">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Align w:val="center"/>
          </w:tcPr>
          <w:p w14:paraId="3ABA462E">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类似项目业绩</w:t>
            </w:r>
          </w:p>
        </w:tc>
        <w:tc>
          <w:tcPr>
            <w:tcW w:w="6461" w:type="dxa"/>
            <w:vAlign w:val="center"/>
          </w:tcPr>
          <w:p w14:paraId="1C4D2FE5">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根据投标人承接过的类似项目业绩进行打分，每个业绩得1分，最高得2分。（提供业绩合同扫描件并加盖公章，否则不得分）</w:t>
            </w:r>
          </w:p>
        </w:tc>
        <w:tc>
          <w:tcPr>
            <w:tcW w:w="1097" w:type="dxa"/>
            <w:vAlign w:val="center"/>
          </w:tcPr>
          <w:p w14:paraId="1BE56579">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0-2分</w:t>
            </w:r>
          </w:p>
        </w:tc>
      </w:tr>
      <w:tr w14:paraId="1E84E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666" w:type="dxa"/>
            <w:vAlign w:val="center"/>
          </w:tcPr>
          <w:p w14:paraId="3CC16871">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46A7C6CE">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拟投入设备情况</w:t>
            </w:r>
          </w:p>
        </w:tc>
        <w:tc>
          <w:tcPr>
            <w:tcW w:w="6461" w:type="dxa"/>
            <w:shd w:val="clear" w:color="auto" w:fill="auto"/>
            <w:vAlign w:val="center"/>
          </w:tcPr>
          <w:p w14:paraId="407CD0E2">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zh-CN" w:eastAsia="zh-CN"/>
              </w:rPr>
            </w:pPr>
            <w:r>
              <w:rPr>
                <w:rFonts w:hint="eastAsia" w:ascii="宋体" w:hAnsi="宋体" w:eastAsia="宋体" w:cs="宋体"/>
                <w:b w:val="0"/>
                <w:bCs/>
                <w:color w:val="auto"/>
                <w:kern w:val="0"/>
                <w:sz w:val="22"/>
                <w:szCs w:val="22"/>
                <w:highlight w:val="none"/>
                <w:lang w:val="zh-CN" w:eastAsia="zh-CN"/>
              </w:rPr>
              <w:t>根据投标人拟投入的设备的齐全性、充足性，由评委综合</w:t>
            </w:r>
            <w:r>
              <w:rPr>
                <w:rFonts w:hint="eastAsia" w:ascii="宋体" w:hAnsi="宋体" w:eastAsia="宋体" w:cs="宋体"/>
                <w:b w:val="0"/>
                <w:bCs/>
                <w:color w:val="auto"/>
                <w:kern w:val="0"/>
                <w:sz w:val="22"/>
                <w:szCs w:val="22"/>
                <w:highlight w:val="none"/>
                <w:lang w:val="en-US" w:eastAsia="zh-CN"/>
              </w:rPr>
              <w:t>评分，在</w:t>
            </w:r>
            <w:r>
              <w:rPr>
                <w:rFonts w:hint="eastAsia" w:ascii="宋体" w:hAnsi="宋体" w:eastAsia="宋体" w:cs="宋体"/>
                <w:b w:val="0"/>
                <w:bCs/>
                <w:color w:val="auto"/>
                <w:kern w:val="0"/>
                <w:sz w:val="22"/>
                <w:szCs w:val="22"/>
                <w:highlight w:val="none"/>
                <w:lang w:val="zh-CN" w:eastAsia="zh-CN"/>
              </w:rPr>
              <w:t>分值范围内打分。</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分值：3，2，1，0）</w:t>
            </w:r>
          </w:p>
          <w:p w14:paraId="510CBCC3">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zh-CN" w:eastAsia="zh-CN"/>
              </w:rPr>
              <w:t>（</w:t>
            </w:r>
            <w:r>
              <w:rPr>
                <w:rFonts w:hint="eastAsia" w:ascii="宋体" w:hAnsi="宋体" w:eastAsia="宋体" w:cs="宋体"/>
                <w:b w:val="0"/>
                <w:bCs/>
                <w:color w:val="auto"/>
                <w:kern w:val="0"/>
                <w:sz w:val="22"/>
                <w:szCs w:val="22"/>
                <w:highlight w:val="none"/>
                <w:lang w:val="en-US" w:eastAsia="zh-CN"/>
              </w:rPr>
              <w:t>设备自有的：</w:t>
            </w:r>
            <w:r>
              <w:rPr>
                <w:rFonts w:hint="eastAsia" w:ascii="宋体" w:hAnsi="宋体" w:eastAsia="宋体" w:cs="宋体"/>
                <w:b w:val="0"/>
                <w:bCs/>
                <w:color w:val="auto"/>
                <w:kern w:val="0"/>
                <w:sz w:val="22"/>
                <w:szCs w:val="22"/>
                <w:highlight w:val="none"/>
                <w:lang w:val="zh-CN" w:eastAsia="zh-CN"/>
              </w:rPr>
              <w:t>投标人需提供设备</w:t>
            </w:r>
            <w:r>
              <w:rPr>
                <w:rFonts w:hint="eastAsia" w:ascii="宋体" w:hAnsi="宋体" w:eastAsia="宋体" w:cs="宋体"/>
                <w:b w:val="0"/>
                <w:bCs/>
                <w:color w:val="auto"/>
                <w:kern w:val="0"/>
                <w:sz w:val="22"/>
                <w:szCs w:val="22"/>
                <w:highlight w:val="none"/>
                <w:lang w:val="en-US" w:eastAsia="zh-CN"/>
              </w:rPr>
              <w:t>企业购买</w:t>
            </w:r>
            <w:r>
              <w:rPr>
                <w:rFonts w:hint="eastAsia" w:ascii="宋体" w:hAnsi="宋体" w:eastAsia="宋体" w:cs="宋体"/>
                <w:b w:val="0"/>
                <w:bCs/>
                <w:color w:val="auto"/>
                <w:kern w:val="0"/>
                <w:sz w:val="22"/>
                <w:szCs w:val="22"/>
                <w:highlight w:val="none"/>
                <w:lang w:val="zh-CN" w:eastAsia="zh-CN"/>
              </w:rPr>
              <w:t>发票扫描件，</w:t>
            </w:r>
            <w:r>
              <w:rPr>
                <w:rFonts w:hint="eastAsia" w:ascii="宋体" w:hAnsi="宋体" w:eastAsia="宋体" w:cs="宋体"/>
                <w:b w:val="0"/>
                <w:bCs/>
                <w:color w:val="auto"/>
                <w:kern w:val="0"/>
                <w:sz w:val="22"/>
                <w:szCs w:val="22"/>
                <w:highlight w:val="none"/>
                <w:lang w:val="en-US" w:eastAsia="zh-CN"/>
              </w:rPr>
              <w:t>设备租赁的：</w:t>
            </w:r>
            <w:r>
              <w:rPr>
                <w:rFonts w:hint="eastAsia" w:ascii="宋体" w:hAnsi="宋体" w:eastAsia="宋体" w:cs="宋体"/>
                <w:b w:val="0"/>
                <w:bCs/>
                <w:color w:val="auto"/>
                <w:kern w:val="0"/>
                <w:sz w:val="22"/>
                <w:szCs w:val="22"/>
                <w:highlight w:val="none"/>
                <w:lang w:val="zh-CN" w:eastAsia="zh-CN"/>
              </w:rPr>
              <w:t>投标人需提供设备</w:t>
            </w:r>
            <w:r>
              <w:rPr>
                <w:rFonts w:hint="eastAsia" w:ascii="宋体" w:hAnsi="宋体" w:eastAsia="宋体" w:cs="宋体"/>
                <w:b w:val="0"/>
                <w:bCs/>
                <w:color w:val="auto"/>
                <w:kern w:val="0"/>
                <w:sz w:val="22"/>
                <w:szCs w:val="22"/>
                <w:highlight w:val="none"/>
                <w:lang w:val="en-US" w:eastAsia="zh-CN"/>
              </w:rPr>
              <w:t>租赁合同</w:t>
            </w:r>
            <w:r>
              <w:rPr>
                <w:rFonts w:hint="eastAsia" w:ascii="宋体" w:hAnsi="宋体" w:eastAsia="宋体" w:cs="宋体"/>
                <w:b w:val="0"/>
                <w:bCs/>
                <w:color w:val="auto"/>
                <w:kern w:val="0"/>
                <w:sz w:val="22"/>
                <w:szCs w:val="22"/>
                <w:highlight w:val="none"/>
                <w:lang w:val="zh-CN" w:eastAsia="zh-CN"/>
              </w:rPr>
              <w:t>扫描件否则不得分。）</w:t>
            </w:r>
          </w:p>
        </w:tc>
        <w:tc>
          <w:tcPr>
            <w:tcW w:w="1097" w:type="dxa"/>
            <w:shd w:val="clear" w:color="auto" w:fill="auto"/>
            <w:vAlign w:val="center"/>
          </w:tcPr>
          <w:p w14:paraId="2D5C5D30">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3</w:t>
            </w:r>
            <w:r>
              <w:rPr>
                <w:rFonts w:hint="eastAsia" w:ascii="宋体" w:hAnsi="宋体" w:eastAsia="宋体" w:cs="宋体"/>
                <w:b w:val="0"/>
                <w:bCs/>
                <w:color w:val="auto"/>
                <w:kern w:val="0"/>
                <w:sz w:val="22"/>
                <w:szCs w:val="22"/>
                <w:highlight w:val="none"/>
                <w:lang w:val="en-US" w:eastAsia="zh-CN"/>
              </w:rPr>
              <w:t>分</w:t>
            </w:r>
          </w:p>
        </w:tc>
      </w:tr>
      <w:tr w14:paraId="78E0D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666" w:type="dxa"/>
            <w:vAlign w:val="center"/>
          </w:tcPr>
          <w:p w14:paraId="3749C536">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Align w:val="center"/>
          </w:tcPr>
          <w:p w14:paraId="7A770AA7">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对项目的理解及重难点</w:t>
            </w:r>
          </w:p>
        </w:tc>
        <w:tc>
          <w:tcPr>
            <w:tcW w:w="6461" w:type="dxa"/>
            <w:vAlign w:val="center"/>
          </w:tcPr>
          <w:p w14:paraId="17190118">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投标人本项目的现状了解、需求的理解程度，是否全面、透彻，以及针对本项目的重点、难点进行分析及提出相应解决措施，由评委在分值范围内打分。（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1447E135">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2860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666" w:type="dxa"/>
            <w:vMerge w:val="restart"/>
            <w:vAlign w:val="center"/>
          </w:tcPr>
          <w:p w14:paraId="7CF99FA0">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Merge w:val="restart"/>
            <w:vAlign w:val="center"/>
          </w:tcPr>
          <w:p w14:paraId="11B402CB">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实施方案</w:t>
            </w:r>
          </w:p>
          <w:p w14:paraId="26E51246">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6461" w:type="dxa"/>
            <w:vAlign w:val="center"/>
          </w:tcPr>
          <w:p w14:paraId="6BB80BFB">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总体项目运营管理思路、方向等，根据方案合理性、科学性、可行性，是否贴合项目需求综合打分。（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01033913">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48BE0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666" w:type="dxa"/>
            <w:vMerge w:val="continue"/>
            <w:vAlign w:val="center"/>
          </w:tcPr>
          <w:p w14:paraId="7BC0B96E">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Merge w:val="continue"/>
            <w:vAlign w:val="center"/>
          </w:tcPr>
          <w:p w14:paraId="27B528BC">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left"/>
              <w:textAlignment w:val="auto"/>
              <w:rPr>
                <w:rFonts w:hint="eastAsia" w:ascii="宋体" w:hAnsi="宋体" w:eastAsia="宋体" w:cs="宋体"/>
                <w:b w:val="0"/>
                <w:bCs/>
                <w:color w:val="auto"/>
                <w:kern w:val="0"/>
                <w:sz w:val="22"/>
                <w:szCs w:val="22"/>
                <w:highlight w:val="none"/>
                <w:lang w:val="en-US" w:eastAsia="zh-CN"/>
              </w:rPr>
            </w:pPr>
          </w:p>
        </w:tc>
        <w:tc>
          <w:tcPr>
            <w:tcW w:w="6461" w:type="dxa"/>
            <w:vAlign w:val="center"/>
          </w:tcPr>
          <w:p w14:paraId="12034A93">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改造后运营、耕种方案，根据方案合理性、科学性、可行性，是否贴合项目需求综合打分。（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51602A06">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11EE7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66" w:type="dxa"/>
            <w:vMerge w:val="continue"/>
            <w:vAlign w:val="center"/>
          </w:tcPr>
          <w:p w14:paraId="6477223B">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Merge w:val="continue"/>
            <w:vAlign w:val="center"/>
          </w:tcPr>
          <w:p w14:paraId="149CCE94">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left"/>
              <w:textAlignment w:val="auto"/>
              <w:rPr>
                <w:rFonts w:hint="eastAsia" w:ascii="宋体" w:hAnsi="宋体" w:eastAsia="宋体" w:cs="宋体"/>
                <w:b w:val="0"/>
                <w:bCs/>
                <w:color w:val="auto"/>
                <w:kern w:val="0"/>
                <w:sz w:val="22"/>
                <w:szCs w:val="22"/>
                <w:highlight w:val="none"/>
                <w:lang w:val="en-US" w:eastAsia="zh-CN"/>
              </w:rPr>
            </w:pPr>
          </w:p>
        </w:tc>
        <w:tc>
          <w:tcPr>
            <w:tcW w:w="6461" w:type="dxa"/>
            <w:shd w:val="clear" w:color="auto" w:fill="auto"/>
            <w:vAlign w:val="center"/>
          </w:tcPr>
          <w:p w14:paraId="3822C70D">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年收益保障承诺等，根据方案合理性、科学性、可行性，是否贴合项目需求综合打分。（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shd w:val="clear" w:color="auto" w:fill="auto"/>
            <w:vAlign w:val="center"/>
          </w:tcPr>
          <w:p w14:paraId="6988CF62">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12DD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666" w:type="dxa"/>
            <w:shd w:val="clear" w:color="auto" w:fill="auto"/>
            <w:vAlign w:val="center"/>
          </w:tcPr>
          <w:p w14:paraId="1F8E4355">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Align w:val="center"/>
          </w:tcPr>
          <w:p w14:paraId="6E375F9C">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投标人陈述和答辩</w:t>
            </w:r>
          </w:p>
        </w:tc>
        <w:tc>
          <w:tcPr>
            <w:tcW w:w="6461" w:type="dxa"/>
            <w:shd w:val="clear" w:color="auto" w:fill="auto"/>
            <w:vAlign w:val="center"/>
          </w:tcPr>
          <w:p w14:paraId="472379A0">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投标人针对运营方案内容进行综合性陈述、讲解（限时10分钟），并应对专家的提问，根据其讲解内容合理性、科学性、可行性，是否贴合项目需求综合打分。（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r>
              <w:rPr>
                <w:rFonts w:hint="eastAsia" w:ascii="宋体" w:hAnsi="宋体" w:eastAsia="宋体" w:cs="宋体"/>
                <w:b w:val="0"/>
                <w:bCs/>
                <w:color w:val="auto"/>
                <w:kern w:val="0"/>
                <w:sz w:val="22"/>
                <w:szCs w:val="22"/>
                <w:highlight w:val="none"/>
                <w:lang w:val="en-US" w:eastAsia="zh-CN"/>
              </w:rPr>
              <w:br w:type="textWrapping"/>
            </w:r>
            <w:r>
              <w:rPr>
                <w:rFonts w:hint="eastAsia" w:ascii="宋体" w:hAnsi="宋体" w:eastAsia="宋体" w:cs="宋体"/>
                <w:b w:val="0"/>
                <w:bCs/>
                <w:color w:val="auto"/>
                <w:kern w:val="0"/>
                <w:sz w:val="22"/>
                <w:szCs w:val="22"/>
                <w:highlight w:val="none"/>
                <w:lang w:val="en-US" w:eastAsia="zh-CN"/>
              </w:rPr>
              <w:t>注：需到本项目评标现场[泰顺县公共资源交易中心5楼评标室（温州市泰顺县罗阳镇新城大道123号）]进行现场讲解，须提供法定代表人授权书，否则不得分。</w:t>
            </w:r>
          </w:p>
        </w:tc>
        <w:tc>
          <w:tcPr>
            <w:tcW w:w="1097" w:type="dxa"/>
            <w:shd w:val="clear" w:color="auto" w:fill="auto"/>
            <w:vAlign w:val="center"/>
          </w:tcPr>
          <w:p w14:paraId="6EF8EC01">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0B8A0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66" w:type="dxa"/>
            <w:shd w:val="clear" w:color="auto" w:fill="auto"/>
            <w:vAlign w:val="center"/>
          </w:tcPr>
          <w:p w14:paraId="6E171DDA">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3B0CAF41">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cs="宋体"/>
                <w:b w:val="0"/>
                <w:bCs/>
                <w:color w:val="auto"/>
                <w:kern w:val="0"/>
                <w:sz w:val="22"/>
                <w:szCs w:val="22"/>
                <w:highlight w:val="none"/>
                <w:lang w:val="en-US" w:eastAsia="zh-CN"/>
              </w:rPr>
              <w:t>服务承诺</w:t>
            </w:r>
          </w:p>
        </w:tc>
        <w:tc>
          <w:tcPr>
            <w:tcW w:w="6461" w:type="dxa"/>
            <w:shd w:val="clear" w:color="auto" w:fill="auto"/>
            <w:vAlign w:val="center"/>
          </w:tcPr>
          <w:p w14:paraId="26FA71B5">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投标供应商针对本项目服务承诺</w:t>
            </w:r>
            <w:r>
              <w:rPr>
                <w:rFonts w:hint="eastAsia" w:ascii="宋体" w:hAnsi="宋体" w:cs="宋体"/>
                <w:b w:val="0"/>
                <w:bCs/>
                <w:color w:val="auto"/>
                <w:kern w:val="0"/>
                <w:sz w:val="22"/>
                <w:szCs w:val="22"/>
                <w:highlight w:val="none"/>
                <w:lang w:val="en-US" w:eastAsia="zh-CN"/>
              </w:rPr>
              <w:t>，针对</w:t>
            </w:r>
            <w:r>
              <w:rPr>
                <w:rFonts w:hint="eastAsia" w:ascii="宋体" w:hAnsi="宋体" w:eastAsia="宋体" w:cs="宋体"/>
                <w:b w:val="0"/>
                <w:bCs/>
                <w:color w:val="auto"/>
                <w:kern w:val="0"/>
                <w:sz w:val="22"/>
                <w:szCs w:val="22"/>
                <w:highlight w:val="none"/>
                <w:lang w:val="en-US" w:eastAsia="zh-CN"/>
              </w:rPr>
              <w:t>方案</w:t>
            </w:r>
            <w:r>
              <w:rPr>
                <w:rFonts w:hint="eastAsia" w:ascii="宋体" w:hAnsi="宋体" w:cs="宋体"/>
                <w:b w:val="0"/>
                <w:bCs/>
                <w:color w:val="auto"/>
                <w:kern w:val="0"/>
                <w:sz w:val="22"/>
                <w:szCs w:val="22"/>
                <w:highlight w:val="none"/>
                <w:lang w:val="en-US" w:eastAsia="zh-CN"/>
              </w:rPr>
              <w:t>是否</w:t>
            </w:r>
            <w:r>
              <w:rPr>
                <w:rFonts w:hint="eastAsia" w:ascii="宋体" w:hAnsi="宋体" w:eastAsia="宋体" w:cs="宋体"/>
                <w:b w:val="0"/>
                <w:bCs/>
                <w:color w:val="auto"/>
                <w:kern w:val="0"/>
                <w:sz w:val="22"/>
                <w:szCs w:val="22"/>
                <w:highlight w:val="none"/>
                <w:lang w:val="en-US" w:eastAsia="zh-CN"/>
              </w:rPr>
              <w:t>完善合理、</w:t>
            </w:r>
            <w:r>
              <w:rPr>
                <w:rFonts w:hint="eastAsia" w:ascii="宋体" w:hAnsi="宋体" w:cs="宋体"/>
                <w:b w:val="0"/>
                <w:bCs/>
                <w:color w:val="auto"/>
                <w:kern w:val="0"/>
                <w:sz w:val="22"/>
                <w:szCs w:val="22"/>
                <w:highlight w:val="none"/>
                <w:lang w:val="en-US" w:eastAsia="zh-CN"/>
              </w:rPr>
              <w:t>有</w:t>
            </w:r>
            <w:r>
              <w:rPr>
                <w:rFonts w:hint="eastAsia" w:ascii="宋体" w:hAnsi="宋体" w:eastAsia="宋体" w:cs="宋体"/>
                <w:b w:val="0"/>
                <w:bCs/>
                <w:color w:val="auto"/>
                <w:kern w:val="0"/>
                <w:sz w:val="22"/>
                <w:szCs w:val="22"/>
                <w:highlight w:val="none"/>
                <w:lang w:val="en-US" w:eastAsia="zh-CN"/>
              </w:rPr>
              <w:t>针对性强、切实可行</w:t>
            </w:r>
            <w:r>
              <w:rPr>
                <w:rFonts w:hint="eastAsia" w:ascii="宋体" w:hAnsi="宋体" w:cs="宋体"/>
                <w:b w:val="0"/>
                <w:bCs/>
                <w:color w:val="auto"/>
                <w:kern w:val="0"/>
                <w:sz w:val="22"/>
                <w:szCs w:val="22"/>
                <w:highlight w:val="none"/>
                <w:lang w:val="en-US" w:eastAsia="zh-CN"/>
              </w:rPr>
              <w:t>，贴合项目需求情况综合打分</w:t>
            </w:r>
            <w:r>
              <w:rPr>
                <w:rFonts w:hint="eastAsia" w:ascii="宋体" w:hAnsi="宋体" w:eastAsia="宋体" w:cs="宋体"/>
                <w:b w:val="0"/>
                <w:bCs/>
                <w:color w:val="auto"/>
                <w:kern w:val="0"/>
                <w:sz w:val="22"/>
                <w:szCs w:val="22"/>
                <w:highlight w:val="none"/>
                <w:lang w:val="en-US" w:eastAsia="zh-CN"/>
              </w:rPr>
              <w:t>。（评分分值：5,4，3，2，1，0）</w:t>
            </w:r>
          </w:p>
        </w:tc>
        <w:tc>
          <w:tcPr>
            <w:tcW w:w="1097" w:type="dxa"/>
            <w:shd w:val="clear" w:color="auto" w:fill="auto"/>
            <w:vAlign w:val="center"/>
          </w:tcPr>
          <w:p w14:paraId="14470EA9">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cs="宋体"/>
                <w:b w:val="0"/>
                <w:bCs/>
                <w:color w:val="auto"/>
                <w:kern w:val="0"/>
                <w:sz w:val="22"/>
                <w:szCs w:val="22"/>
                <w:highlight w:val="none"/>
                <w:lang w:val="en-US" w:eastAsia="zh-CN"/>
              </w:rPr>
              <w:t>0-5分</w:t>
            </w:r>
          </w:p>
        </w:tc>
      </w:tr>
      <w:tr w14:paraId="3DDF1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66" w:type="dxa"/>
            <w:vAlign w:val="center"/>
          </w:tcPr>
          <w:p w14:paraId="59A1C8B9">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Align w:val="center"/>
          </w:tcPr>
          <w:p w14:paraId="35524116">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p>
        </w:tc>
        <w:tc>
          <w:tcPr>
            <w:tcW w:w="6461" w:type="dxa"/>
            <w:vAlign w:val="center"/>
          </w:tcPr>
          <w:p w14:paraId="67074CE9">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（二）</w:t>
            </w:r>
            <w:r>
              <w:rPr>
                <w:rFonts w:hint="eastAsia" w:ascii="宋体" w:hAnsi="宋体" w:cs="宋体"/>
                <w:b/>
                <w:bCs w:val="0"/>
                <w:color w:val="auto"/>
                <w:kern w:val="0"/>
                <w:sz w:val="22"/>
                <w:szCs w:val="22"/>
                <w:highlight w:val="none"/>
                <w:lang w:val="en-US" w:eastAsia="zh-CN"/>
              </w:rPr>
              <w:t>改造</w:t>
            </w:r>
            <w:r>
              <w:rPr>
                <w:rFonts w:hint="eastAsia" w:ascii="宋体" w:hAnsi="宋体" w:eastAsia="宋体" w:cs="宋体"/>
                <w:b/>
                <w:bCs w:val="0"/>
                <w:color w:val="auto"/>
                <w:kern w:val="0"/>
                <w:sz w:val="22"/>
                <w:szCs w:val="22"/>
                <w:highlight w:val="none"/>
                <w:lang w:val="en-US" w:eastAsia="zh-CN"/>
              </w:rPr>
              <w:t>实施部分的评分（35分）</w:t>
            </w:r>
          </w:p>
        </w:tc>
        <w:tc>
          <w:tcPr>
            <w:tcW w:w="1097" w:type="dxa"/>
            <w:vAlign w:val="center"/>
          </w:tcPr>
          <w:p w14:paraId="68F49AFC">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p>
        </w:tc>
      </w:tr>
      <w:tr w14:paraId="166F4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5" w:hRule="atLeast"/>
        </w:trPr>
        <w:tc>
          <w:tcPr>
            <w:tcW w:w="666" w:type="dxa"/>
            <w:vAlign w:val="center"/>
          </w:tcPr>
          <w:p w14:paraId="7572614B">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22DAD6CB">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default"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项目负责人及项目</w:t>
            </w:r>
            <w:r>
              <w:rPr>
                <w:rFonts w:hint="eastAsia" w:ascii="宋体" w:hAnsi="宋体" w:cs="宋体"/>
                <w:b w:val="0"/>
                <w:bCs/>
                <w:color w:val="auto"/>
                <w:kern w:val="0"/>
                <w:sz w:val="22"/>
                <w:szCs w:val="22"/>
                <w:highlight w:val="none"/>
                <w:lang w:val="en-US" w:eastAsia="zh-CN"/>
              </w:rPr>
              <w:t>组成人员</w:t>
            </w:r>
          </w:p>
        </w:tc>
        <w:tc>
          <w:tcPr>
            <w:tcW w:w="6461" w:type="dxa"/>
            <w:shd w:val="clear" w:color="auto" w:fill="auto"/>
            <w:vAlign w:val="center"/>
          </w:tcPr>
          <w:p w14:paraId="5E6CC6D0">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default"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拟派建设项目负责人具有注册在投标人单位的注册土木工程师(水利水电工程)或注册建造师[水利水电工程</w:t>
            </w:r>
            <w:r>
              <w:rPr>
                <w:rFonts w:hint="eastAsia" w:ascii="宋体" w:hAnsi="宋体" w:cs="宋体"/>
                <w:b w:val="0"/>
                <w:bCs/>
                <w:color w:val="auto"/>
                <w:kern w:val="0"/>
                <w:sz w:val="22"/>
                <w:szCs w:val="22"/>
                <w:highlight w:val="none"/>
                <w:lang w:val="en-US" w:eastAsia="zh-CN"/>
              </w:rPr>
              <w:t>（或市政工程</w:t>
            </w:r>
            <w:r>
              <w:rPr>
                <w:rFonts w:hint="eastAsia" w:ascii="宋体" w:hAnsi="宋体" w:eastAsia="宋体" w:cs="宋体"/>
                <w:b w:val="0"/>
                <w:bCs/>
                <w:color w:val="auto"/>
                <w:kern w:val="0"/>
                <w:sz w:val="22"/>
                <w:szCs w:val="22"/>
                <w:highlight w:val="none"/>
                <w:lang w:val="en-US" w:eastAsia="zh-CN"/>
              </w:rPr>
              <w:t>）二级及以上]执业资格的得</w:t>
            </w:r>
            <w:r>
              <w:rPr>
                <w:rFonts w:hint="eastAsia" w:ascii="宋体" w:hAnsi="宋体" w:cs="宋体"/>
                <w:b w:val="0"/>
                <w:bCs/>
                <w:color w:val="auto"/>
                <w:kern w:val="0"/>
                <w:sz w:val="22"/>
                <w:szCs w:val="22"/>
                <w:highlight w:val="none"/>
                <w:lang w:val="en-US" w:eastAsia="zh-CN"/>
              </w:rPr>
              <w:t>3.5</w:t>
            </w:r>
            <w:r>
              <w:rPr>
                <w:rFonts w:hint="eastAsia" w:ascii="宋体" w:hAnsi="宋体" w:eastAsia="宋体" w:cs="宋体"/>
                <w:b w:val="0"/>
                <w:bCs/>
                <w:color w:val="auto"/>
                <w:kern w:val="0"/>
                <w:sz w:val="22"/>
                <w:szCs w:val="22"/>
                <w:highlight w:val="none"/>
                <w:lang w:val="en-US" w:eastAsia="zh-CN"/>
              </w:rPr>
              <w:t>分；具有安全生产考核B证的得</w:t>
            </w:r>
            <w:r>
              <w:rPr>
                <w:rFonts w:hint="eastAsia" w:ascii="宋体" w:hAnsi="宋体" w:cs="宋体"/>
                <w:b w:val="0"/>
                <w:bCs/>
                <w:color w:val="auto"/>
                <w:kern w:val="0"/>
                <w:sz w:val="22"/>
                <w:szCs w:val="22"/>
                <w:highlight w:val="none"/>
                <w:lang w:val="en-US" w:eastAsia="zh-CN"/>
              </w:rPr>
              <w:t>3.5</w:t>
            </w:r>
            <w:r>
              <w:rPr>
                <w:rFonts w:hint="eastAsia" w:ascii="宋体" w:hAnsi="宋体" w:eastAsia="宋体" w:cs="宋体"/>
                <w:b w:val="0"/>
                <w:bCs/>
                <w:color w:val="auto"/>
                <w:kern w:val="0"/>
                <w:sz w:val="22"/>
                <w:szCs w:val="22"/>
                <w:highlight w:val="none"/>
                <w:lang w:val="en-US" w:eastAsia="zh-CN"/>
              </w:rPr>
              <w:t>分；（0-</w:t>
            </w:r>
            <w:r>
              <w:rPr>
                <w:rFonts w:hint="eastAsia" w:ascii="宋体" w:hAnsi="宋体" w:cs="宋体"/>
                <w:b w:val="0"/>
                <w:bCs/>
                <w:color w:val="auto"/>
                <w:kern w:val="0"/>
                <w:sz w:val="22"/>
                <w:szCs w:val="22"/>
                <w:highlight w:val="none"/>
                <w:lang w:val="en-US" w:eastAsia="zh-CN"/>
              </w:rPr>
              <w:t>7</w:t>
            </w:r>
            <w:r>
              <w:rPr>
                <w:rFonts w:hint="eastAsia" w:ascii="宋体" w:hAnsi="宋体" w:eastAsia="宋体" w:cs="宋体"/>
                <w:b w:val="0"/>
                <w:bCs/>
                <w:color w:val="auto"/>
                <w:kern w:val="0"/>
                <w:sz w:val="22"/>
                <w:szCs w:val="22"/>
                <w:highlight w:val="none"/>
                <w:lang w:val="en-US" w:eastAsia="zh-CN"/>
              </w:rPr>
              <w:t>分）</w:t>
            </w:r>
            <w:r>
              <w:rPr>
                <w:rFonts w:hint="eastAsia" w:ascii="宋体" w:hAnsi="宋体" w:eastAsia="宋体" w:cs="宋体"/>
                <w:b w:val="0"/>
                <w:bCs/>
                <w:color w:val="auto"/>
                <w:kern w:val="0"/>
                <w:sz w:val="22"/>
                <w:szCs w:val="22"/>
                <w:highlight w:val="none"/>
                <w:lang w:val="en-US" w:eastAsia="zh-CN"/>
              </w:rPr>
              <w:br w:type="textWrapping"/>
            </w:r>
            <w:r>
              <w:rPr>
                <w:rFonts w:hint="eastAsia" w:ascii="宋体" w:hAnsi="宋体" w:cs="宋体"/>
                <w:b w:val="0"/>
                <w:bCs/>
                <w:color w:val="auto"/>
                <w:kern w:val="0"/>
                <w:sz w:val="22"/>
                <w:szCs w:val="22"/>
                <w:highlight w:val="none"/>
                <w:lang w:val="en-US" w:eastAsia="zh-CN"/>
              </w:rPr>
              <w:t>项目组成员中具有施工员、材料员、质检员的，每具有一个得1分，最高的3分。</w:t>
            </w:r>
          </w:p>
          <w:p w14:paraId="4A75B1D2">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注：以上人员均需提供对应的证书原件扫描件或复印件、社保缴纳证明，否则不得分。</w:t>
            </w:r>
          </w:p>
        </w:tc>
        <w:tc>
          <w:tcPr>
            <w:tcW w:w="1097" w:type="dxa"/>
            <w:shd w:val="clear" w:color="auto" w:fill="auto"/>
            <w:vAlign w:val="center"/>
          </w:tcPr>
          <w:p w14:paraId="3589805C">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10</w:t>
            </w:r>
            <w:r>
              <w:rPr>
                <w:rFonts w:hint="eastAsia" w:ascii="宋体" w:hAnsi="宋体" w:eastAsia="宋体" w:cs="宋体"/>
                <w:b w:val="0"/>
                <w:bCs/>
                <w:color w:val="auto"/>
                <w:kern w:val="0"/>
                <w:sz w:val="22"/>
                <w:szCs w:val="22"/>
                <w:highlight w:val="none"/>
                <w:lang w:val="en-US" w:eastAsia="zh-CN"/>
              </w:rPr>
              <w:t>分</w:t>
            </w:r>
          </w:p>
        </w:tc>
      </w:tr>
      <w:tr w14:paraId="46D9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vAlign w:val="center"/>
          </w:tcPr>
          <w:p w14:paraId="608BFDCB">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71BE8705">
            <w:pPr>
              <w:keepNext w:val="0"/>
              <w:keepLines w:val="0"/>
              <w:pageBreakBefore w:val="0"/>
              <w:widowControl/>
              <w:kinsoku/>
              <w:wordWrap/>
              <w:overflowPunct/>
              <w:topLinePunct w:val="0"/>
              <w:autoSpaceDE/>
              <w:autoSpaceDN/>
              <w:bidi w:val="0"/>
              <w:adjustRightInd/>
              <w:snapToGrid w:val="0"/>
              <w:spacing w:line="300" w:lineRule="exact"/>
              <w:jc w:val="both"/>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各专业工种的配置和劳动力的投入</w:t>
            </w:r>
          </w:p>
        </w:tc>
        <w:tc>
          <w:tcPr>
            <w:tcW w:w="6461" w:type="dxa"/>
            <w:shd w:val="clear" w:color="auto" w:fill="auto"/>
            <w:vAlign w:val="center"/>
          </w:tcPr>
          <w:p w14:paraId="2C287468">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对各专业工种的配置和劳动力的投入（专业工种的配置、劳动力的投入、保障等）。（</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shd w:val="clear" w:color="auto" w:fill="auto"/>
            <w:vAlign w:val="center"/>
          </w:tcPr>
          <w:p w14:paraId="41432FEF">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0-5分</w:t>
            </w:r>
          </w:p>
        </w:tc>
      </w:tr>
      <w:tr w14:paraId="3C795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vAlign w:val="center"/>
          </w:tcPr>
          <w:p w14:paraId="714308C3">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47B613BB">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施工实施方案</w:t>
            </w:r>
          </w:p>
        </w:tc>
        <w:tc>
          <w:tcPr>
            <w:tcW w:w="6461" w:type="dxa"/>
            <w:shd w:val="clear" w:color="auto" w:fill="auto"/>
            <w:vAlign w:val="center"/>
          </w:tcPr>
          <w:p w14:paraId="16DC0BAF">
            <w:pPr>
              <w:keepNext w:val="0"/>
              <w:keepLines w:val="0"/>
              <w:pageBreakBefore w:val="0"/>
              <w:widowControl/>
              <w:kinsoku/>
              <w:wordWrap/>
              <w:overflowPunct/>
              <w:topLinePunct w:val="0"/>
              <w:autoSpaceDE/>
              <w:autoSpaceDN/>
              <w:bidi w:val="0"/>
              <w:adjustRightInd/>
              <w:snapToGrid w:val="0"/>
              <w:spacing w:line="300" w:lineRule="exact"/>
              <w:jc w:val="both"/>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项目施工实施方案，根据方案合理性、科学性、可行性，是否贴合项目需求综合打分。（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shd w:val="clear" w:color="auto" w:fill="auto"/>
            <w:vAlign w:val="center"/>
          </w:tcPr>
          <w:p w14:paraId="4D38E8EF">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0-5分</w:t>
            </w:r>
          </w:p>
        </w:tc>
      </w:tr>
      <w:tr w14:paraId="0D1F7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vAlign w:val="center"/>
          </w:tcPr>
          <w:p w14:paraId="0287F27A">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320209F3">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进度计划</w:t>
            </w:r>
          </w:p>
        </w:tc>
        <w:tc>
          <w:tcPr>
            <w:tcW w:w="6461" w:type="dxa"/>
            <w:shd w:val="clear" w:color="auto" w:fill="auto"/>
          </w:tcPr>
          <w:p w14:paraId="40C1A6C2">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对施工进度控制（项目整体工期安排、施工阶段的工期分解、工作任务的合理安排、施工进度的控制方法、月周进度分析与优化改进等）。（</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2026712F">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0-5分</w:t>
            </w:r>
          </w:p>
        </w:tc>
      </w:tr>
      <w:tr w14:paraId="3C6E5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tcPr>
          <w:p w14:paraId="2AA88A24">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70A6F36D">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设备和检验仪器的投入</w:t>
            </w:r>
          </w:p>
        </w:tc>
        <w:tc>
          <w:tcPr>
            <w:tcW w:w="6461" w:type="dxa"/>
            <w:shd w:val="clear" w:color="auto" w:fill="auto"/>
            <w:vAlign w:val="center"/>
          </w:tcPr>
          <w:p w14:paraId="029CBE3A">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对施工设备和检验仪器的投入（贴合项目所需的设备、检验仪器的先进性、合理性）（</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0A2D2D19">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164DA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tcPr>
          <w:p w14:paraId="22D9B485">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7141D376">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关键部位和关键施工方案</w:t>
            </w:r>
          </w:p>
        </w:tc>
        <w:tc>
          <w:tcPr>
            <w:tcW w:w="6461" w:type="dxa"/>
            <w:shd w:val="clear" w:color="auto" w:fill="auto"/>
            <w:vAlign w:val="center"/>
          </w:tcPr>
          <w:p w14:paraId="5B7DD39E">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w:t>
            </w:r>
            <w:r>
              <w:rPr>
                <w:rFonts w:hint="eastAsia" w:ascii="宋体" w:hAnsi="宋体" w:cs="宋体"/>
                <w:b w:val="0"/>
                <w:bCs/>
                <w:color w:val="auto"/>
                <w:kern w:val="0"/>
                <w:sz w:val="22"/>
                <w:szCs w:val="22"/>
                <w:highlight w:val="none"/>
                <w:lang w:val="en-US" w:eastAsia="zh-CN"/>
              </w:rPr>
              <w:t>项目</w:t>
            </w:r>
            <w:r>
              <w:rPr>
                <w:rFonts w:hint="eastAsia" w:ascii="宋体" w:hAnsi="宋体" w:eastAsia="宋体" w:cs="宋体"/>
                <w:b w:val="0"/>
                <w:bCs/>
                <w:color w:val="auto"/>
                <w:kern w:val="0"/>
                <w:sz w:val="22"/>
                <w:szCs w:val="22"/>
                <w:highlight w:val="none"/>
                <w:lang w:val="en-US" w:eastAsia="zh-CN"/>
              </w:rPr>
              <w:t>的关键部位和关键施工方案（</w:t>
            </w:r>
            <w:r>
              <w:rPr>
                <w:rFonts w:hint="eastAsia" w:ascii="宋体" w:hAnsi="宋体" w:eastAsia="宋体" w:cs="宋体"/>
                <w:b w:val="0"/>
                <w:bCs/>
                <w:color w:val="auto"/>
                <w:kern w:val="0"/>
                <w:sz w:val="22"/>
                <w:szCs w:val="22"/>
                <w:highlight w:val="none"/>
                <w:lang w:val="en-US" w:eastAsia="en-US"/>
              </w:rPr>
              <w:t>项目重点难点分析及合理化建议，施工关键技术方案可行性、合理性。</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576795AD">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0-5分</w:t>
            </w:r>
          </w:p>
        </w:tc>
      </w:tr>
    </w:tbl>
    <w:p w14:paraId="27EA530E">
      <w:pPr>
        <w:rPr>
          <w:rFonts w:hint="eastAsia"/>
          <w:color w:val="auto"/>
          <w:highlight w:val="none"/>
          <w:lang w:val="en-US" w:eastAsia="zh-CN"/>
        </w:rPr>
      </w:pPr>
    </w:p>
    <w:p w14:paraId="58FA1622">
      <w:pPr>
        <w:keepNext w:val="0"/>
        <w:keepLines w:val="0"/>
        <w:suppressLineNumbers w:val="0"/>
        <w:spacing w:before="0" w:beforeAutospacing="0" w:after="0" w:afterAutospacing="0" w:line="240" w:lineRule="auto"/>
        <w:ind w:left="0" w:right="0" w:firstLine="486" w:firstLineChars="200"/>
        <w:jc w:val="left"/>
        <w:rPr>
          <w:rFonts w:cs="宋体"/>
          <w:b/>
          <w:bCs/>
          <w:color w:val="auto"/>
          <w:sz w:val="24"/>
          <w:szCs w:val="24"/>
          <w:highlight w:val="none"/>
          <w:u w:val="single"/>
        </w:rPr>
      </w:pPr>
      <w:bookmarkStart w:id="271" w:name="_Toc18541_WPSOffice_Level2"/>
      <w:r>
        <w:rPr>
          <w:rFonts w:hint="eastAsia" w:ascii="宋体" w:hAnsi="宋体" w:eastAsia="宋体" w:cs="宋体"/>
          <w:b/>
          <w:bCs/>
          <w:color w:val="auto"/>
          <w:sz w:val="24"/>
          <w:szCs w:val="24"/>
          <w:highlight w:val="none"/>
          <w:u w:val="single"/>
          <w:lang w:val="en-US" w:eastAsia="zh-CN"/>
        </w:rPr>
        <w:t>注：如投标人为联合体的，联合体任一成员具备即可得分。</w:t>
      </w:r>
    </w:p>
    <w:p w14:paraId="201BACEA">
      <w:pPr>
        <w:pStyle w:val="12"/>
        <w:tabs>
          <w:tab w:val="left" w:pos="1069"/>
          <w:tab w:val="left" w:pos="2352"/>
        </w:tabs>
        <w:adjustRightInd w:val="0"/>
        <w:snapToGrid w:val="0"/>
        <w:spacing w:line="420" w:lineRule="exact"/>
        <w:ind w:left="335"/>
        <w:jc w:val="center"/>
        <w:rPr>
          <w:rFonts w:hint="eastAsia" w:hAnsi="宋体" w:cs="宋体"/>
          <w:b/>
          <w:bCs/>
          <w:color w:val="auto"/>
          <w:sz w:val="22"/>
          <w:szCs w:val="22"/>
          <w:highlight w:val="none"/>
        </w:rPr>
      </w:pPr>
    </w:p>
    <w:p w14:paraId="2979A587">
      <w:pPr>
        <w:pStyle w:val="12"/>
        <w:tabs>
          <w:tab w:val="left" w:pos="1069"/>
          <w:tab w:val="left" w:pos="2352"/>
        </w:tabs>
        <w:adjustRightInd w:val="0"/>
        <w:snapToGrid w:val="0"/>
        <w:spacing w:line="420" w:lineRule="exact"/>
        <w:ind w:left="335"/>
        <w:jc w:val="center"/>
        <w:rPr>
          <w:rFonts w:hAnsi="宋体" w:cs="宋体"/>
          <w:b/>
          <w:bCs/>
          <w:color w:val="auto"/>
          <w:sz w:val="22"/>
          <w:szCs w:val="22"/>
          <w:highlight w:val="none"/>
        </w:rPr>
      </w:pPr>
      <w:r>
        <w:rPr>
          <w:rFonts w:hint="eastAsia" w:hAnsi="宋体" w:cs="宋体"/>
          <w:b/>
          <w:bCs/>
          <w:color w:val="auto"/>
          <w:sz w:val="22"/>
          <w:szCs w:val="22"/>
          <w:highlight w:val="none"/>
        </w:rPr>
        <w:t>五、说明</w:t>
      </w:r>
      <w:bookmarkEnd w:id="271"/>
    </w:p>
    <w:p w14:paraId="183AF3B3">
      <w:pPr>
        <w:pStyle w:val="12"/>
        <w:tabs>
          <w:tab w:val="left" w:pos="1069"/>
          <w:tab w:val="left" w:pos="2352"/>
        </w:tabs>
        <w:adjustRightInd w:val="0"/>
        <w:snapToGrid w:val="0"/>
        <w:spacing w:line="440" w:lineRule="atLeast"/>
        <w:rPr>
          <w:rFonts w:hAnsi="宋体" w:cs="宋体"/>
          <w:color w:val="auto"/>
          <w:sz w:val="22"/>
          <w:highlight w:val="none"/>
        </w:rPr>
      </w:pPr>
      <w:r>
        <w:rPr>
          <w:rFonts w:hint="eastAsia" w:hAnsi="宋体" w:cs="宋体"/>
          <w:color w:val="auto"/>
          <w:sz w:val="22"/>
          <w:highlight w:val="none"/>
        </w:rPr>
        <w:t>1、每个供应商最终得分=商务技术分值（所有评审小组成员打分的算术平均值）＋报价分值。</w:t>
      </w:r>
    </w:p>
    <w:p w14:paraId="2506E76D">
      <w:pPr>
        <w:pStyle w:val="12"/>
        <w:tabs>
          <w:tab w:val="left" w:pos="1069"/>
          <w:tab w:val="left" w:pos="2352"/>
        </w:tabs>
        <w:adjustRightInd w:val="0"/>
        <w:snapToGrid w:val="0"/>
        <w:spacing w:line="440" w:lineRule="atLeast"/>
        <w:rPr>
          <w:rFonts w:hAnsi="宋体" w:cs="宋体"/>
          <w:color w:val="auto"/>
          <w:sz w:val="22"/>
          <w:highlight w:val="none"/>
        </w:rPr>
      </w:pPr>
      <w:r>
        <w:rPr>
          <w:rFonts w:hint="eastAsia" w:hAnsi="宋体" w:cs="宋体"/>
          <w:color w:val="auto"/>
          <w:sz w:val="22"/>
          <w:highlight w:val="none"/>
        </w:rPr>
        <w:t>2、评审小组推荐综合得分第一名的供应商为中标（成交）供应商，如果得分相同的，按投标报价由低到高顺序排列，得分且报价均相同的，按商务技术得分由高到低排列。</w:t>
      </w:r>
    </w:p>
    <w:p w14:paraId="32ABDDFE">
      <w:pPr>
        <w:pStyle w:val="12"/>
        <w:tabs>
          <w:tab w:val="left" w:pos="1069"/>
          <w:tab w:val="left" w:pos="2352"/>
        </w:tabs>
        <w:adjustRightInd w:val="0"/>
        <w:snapToGrid w:val="0"/>
        <w:spacing w:line="440" w:lineRule="atLeast"/>
        <w:rPr>
          <w:rFonts w:hAnsi="宋体" w:cs="宋体"/>
          <w:color w:val="auto"/>
          <w:sz w:val="22"/>
          <w:highlight w:val="none"/>
        </w:rPr>
      </w:pPr>
      <w:r>
        <w:rPr>
          <w:rFonts w:hint="eastAsia" w:hAnsi="宋体" w:cs="宋体"/>
          <w:color w:val="auto"/>
          <w:sz w:val="22"/>
          <w:highlight w:val="none"/>
        </w:rPr>
        <w:t>3、所有分值计算保留小数点后二位，小数点后三位四舍五入。</w:t>
      </w:r>
    </w:p>
    <w:p w14:paraId="68169FF6">
      <w:pPr>
        <w:pStyle w:val="12"/>
        <w:tabs>
          <w:tab w:val="left" w:pos="1069"/>
          <w:tab w:val="left" w:pos="2352"/>
        </w:tabs>
        <w:adjustRightInd w:val="0"/>
        <w:snapToGrid w:val="0"/>
        <w:spacing w:line="440" w:lineRule="atLeast"/>
        <w:rPr>
          <w:color w:val="auto"/>
          <w:highlight w:val="none"/>
        </w:rPr>
      </w:pPr>
      <w:r>
        <w:rPr>
          <w:rFonts w:hint="eastAsia" w:hAnsi="宋体" w:cs="宋体"/>
          <w:color w:val="auto"/>
          <w:sz w:val="22"/>
          <w:highlight w:val="none"/>
        </w:rPr>
        <w:t>参见本竞争性磋商文件第三部分：“供应商须知”中的相关内容，未尽事宜按有关法律规定处理。</w:t>
      </w:r>
    </w:p>
    <w:p w14:paraId="07959AB7">
      <w:pPr>
        <w:pStyle w:val="12"/>
        <w:tabs>
          <w:tab w:val="left" w:pos="1069"/>
          <w:tab w:val="left" w:pos="2352"/>
        </w:tabs>
        <w:adjustRightInd w:val="0"/>
        <w:snapToGrid w:val="0"/>
        <w:spacing w:line="440" w:lineRule="atLeast"/>
        <w:rPr>
          <w:color w:val="auto"/>
          <w:highlight w:val="none"/>
        </w:rPr>
      </w:pPr>
    </w:p>
    <w:sectPr>
      <w:headerReference r:id="rId14" w:type="first"/>
      <w:footerReference r:id="rId16" w:type="first"/>
      <w:headerReference r:id="rId13" w:type="default"/>
      <w:footerReference r:id="rId15" w:type="default"/>
      <w:pgSz w:w="11906" w:h="16838"/>
      <w:pgMar w:top="1440" w:right="1247" w:bottom="1440" w:left="1247" w:header="851" w:footer="992" w:gutter="0"/>
      <w:pgNumType w:fmt="decimal"/>
      <w:cols w:space="720" w:num="1"/>
      <w:titlePg/>
      <w:docGrid w:type="linesAndChars" w:linePitch="317" w:charSpace="8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entury Gothic">
    <w:panose1 w:val="020B0502020202020204"/>
    <w:charset w:val="00"/>
    <w:family w:val="swiss"/>
    <w:pitch w:val="default"/>
    <w:sig w:usb0="00000287" w:usb1="00000000" w:usb2="00000000" w:usb3="00000000" w:csb0="2000009F" w:csb1="DFD70000"/>
  </w:font>
  <w:font w:name="长城仿宋">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Arial (W1)">
    <w:altName w:val="Arial"/>
    <w:panose1 w:val="00000000000000000000"/>
    <w:charset w:val="00"/>
    <w:family w:val="auto"/>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Wingdings 2">
    <w:panose1 w:val="05020102010507070707"/>
    <w:charset w:val="02"/>
    <w:family w:val="roman"/>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A8D82">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811F7">
    <w:pPr>
      <w:pStyle w:val="1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7A7051">
                          <w:pPr>
                            <w:pStyle w:val="15"/>
                          </w:pPr>
                          <w:r>
                            <w:fldChar w:fldCharType="begin"/>
                          </w:r>
                          <w:r>
                            <w:instrText xml:space="preserve"> PAGE  \* MERGEFORMAT </w:instrText>
                          </w:r>
                          <w:r>
                            <w:fldChar w:fldCharType="separate"/>
                          </w:r>
                          <w:r>
                            <w:t>140</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vrIMkBAACZAwAADgAAAGRycy9lMm9Eb2MueG1srVPNjtMwEL4j8Q6W&#10;79RptU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qi+sgyQEAAJkDAAAOAAAAAAAAAAEAIAAAAB4BAABkcnMvZTJvRG9j&#10;LnhtbFBLBQYAAAAABgAGAFkBAABZBQAAAAA=&#10;">
              <v:fill on="f" focussize="0,0"/>
              <v:stroke on="f"/>
              <v:imagedata o:title=""/>
              <o:lock v:ext="edit" aspectratio="f"/>
              <v:textbox inset="0mm,0mm,0mm,0mm" style="mso-fit-shape-to-text:t;">
                <w:txbxContent>
                  <w:p w14:paraId="1C7A7051">
                    <w:pPr>
                      <w:pStyle w:val="15"/>
                    </w:pPr>
                    <w:r>
                      <w:fldChar w:fldCharType="begin"/>
                    </w:r>
                    <w:r>
                      <w:instrText xml:space="preserve"> PAGE  \* MERGEFORMAT </w:instrText>
                    </w:r>
                    <w:r>
                      <w:fldChar w:fldCharType="separate"/>
                    </w:r>
                    <w:r>
                      <w:t>140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9911">
    <w:pPr>
      <w:pStyle w:val="15"/>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5F42C0">
                          <w:pPr>
                            <w:pStyle w:val="1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75F42C0">
                    <w:pPr>
                      <w:pStyle w:val="15"/>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C71F8">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8639E0">
                          <w:pPr>
                            <w:pStyle w:val="15"/>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A8639E0">
                    <w:pPr>
                      <w:pStyle w:val="15"/>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002EC">
    <w:pPr>
      <w:pStyle w:val="15"/>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715984">
                          <w:pPr>
                            <w:pStyle w:val="15"/>
                          </w:pPr>
                          <w:r>
                            <w:fldChar w:fldCharType="begin"/>
                          </w:r>
                          <w:r>
                            <w:instrText xml:space="preserve"> PAGE  \* MERGEFORMAT </w:instrText>
                          </w:r>
                          <w:r>
                            <w:fldChar w:fldCharType="separate"/>
                          </w:r>
                          <w:r>
                            <w:t>140</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G6cPckBAACb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SLm7CixHGLE7/8/HH59efy+ztB&#10;HzaoD1Bj3n3AzDS88wMmz35AZ9Y9qGjzFxURjGN7z9f2yiERkR+tV+t1hSGBsfmC+OzheYiQ3ktv&#10;STYaGnF+pa389BHSmDqn5GrO32ljygyN+8eBmNnDMveRY7bSsB8mQXvfnlFPj6NvqMNNp8R8cNjZ&#10;vCWzEWdjPxvHEPWhQ2rLwgvC7TEhicItVxhhp8I4s6Ju2q+8FI/vJevhn9r+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Qbpw9yQEAAJsDAAAOAAAAAAAAAAEAIAAAAB4BAABkcnMvZTJvRG9j&#10;LnhtbFBLBQYAAAAABgAGAFkBAABZBQAAAAA=&#10;">
              <v:fill on="f" focussize="0,0"/>
              <v:stroke on="f"/>
              <v:imagedata o:title=""/>
              <o:lock v:ext="edit" aspectratio="f"/>
              <v:textbox inset="0mm,0mm,0mm,0mm" style="mso-fit-shape-to-text:t;">
                <w:txbxContent>
                  <w:p w14:paraId="7E715984">
                    <w:pPr>
                      <w:pStyle w:val="15"/>
                    </w:pPr>
                    <w:r>
                      <w:fldChar w:fldCharType="begin"/>
                    </w:r>
                    <w:r>
                      <w:instrText xml:space="preserve"> PAGE  \* MERGEFORMAT </w:instrText>
                    </w:r>
                    <w:r>
                      <w:fldChar w:fldCharType="separate"/>
                    </w:r>
                    <w:r>
                      <w:t>140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E88B0">
    <w:pPr>
      <w:pStyle w:val="15"/>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7CA7E6">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4D7CA7E6">
                    <w:pPr>
                      <w:pStyle w:val="15"/>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8E6EB2A">
                          <w:pPr>
                            <w:pStyle w:val="15"/>
                          </w:pPr>
                          <w:r>
                            <w:rPr>
                              <w:rFonts w:hint="eastAsia"/>
                            </w:rPr>
                            <w:t>1</w:t>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D7/mSCxgEAAJwDAAAOAAAAAAAAAAEAIAAAAB4BAABkcnMvZTJvRG9jLnht&#10;bFBLBQYAAAAABgAGAFkBAABWBQAAAAA=&#10;">
              <v:fill on="f" focussize="0,0"/>
              <v:stroke on="f"/>
              <v:imagedata o:title=""/>
              <o:lock v:ext="edit" aspectratio="f"/>
              <v:textbox inset="0mm,0mm,0mm,0mm" style="mso-fit-shape-to-text:t;">
                <w:txbxContent>
                  <w:p w14:paraId="38E6EB2A">
                    <w:pPr>
                      <w:pStyle w:val="15"/>
                    </w:pPr>
                    <w:r>
                      <w:rPr>
                        <w:rFonts w:hint="eastAsia"/>
                      </w:rPr>
                      <w:t>1</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2A3BB">
    <w:pPr>
      <w:pStyle w:val="1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FF11E0">
                          <w:pPr>
                            <w:pStyle w:val="15"/>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7FF11E0">
                    <w:pPr>
                      <w:pStyle w:val="15"/>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10C25">
    <w:pPr>
      <w:pStyle w:val="15"/>
      <w:tabs>
        <w:tab w:val="left" w:pos="4620"/>
        <w:tab w:val="clear" w:pos="4153"/>
      </w:tabs>
      <w:jc w:val="center"/>
      <w:rPr>
        <w:rFonts w:ascii="宋体"/>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91DDD7">
                          <w:pPr>
                            <w:pStyle w:val="15"/>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991DDD7">
                    <w:pPr>
                      <w:pStyle w:val="15"/>
                    </w:pPr>
                    <w:r>
                      <w:fldChar w:fldCharType="begin"/>
                    </w:r>
                    <w:r>
                      <w:instrText xml:space="preserve"> PAGE  \* MERGEFORMAT </w:instrText>
                    </w:r>
                    <w:r>
                      <w:fldChar w:fldCharType="separate"/>
                    </w:r>
                    <w:r>
                      <w:t>27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8166E">
    <w:pPr>
      <w:pStyle w:val="17"/>
      <w:pBdr>
        <w:top w:val="none" w:color="auto" w:sz="0" w:space="0"/>
        <w:left w:val="none" w:color="auto" w:sz="0" w:space="0"/>
        <w:bottom w:val="none" w:color="auto" w:sz="0" w:space="0"/>
        <w:right w:val="none" w:color="auto" w:sz="0" w:space="0"/>
      </w:pBdr>
      <w:rPr>
        <w:u w:val="single"/>
      </w:rPr>
    </w:pPr>
    <w:r>
      <w:rPr>
        <w:u w:val="single"/>
      </w:rPr>
      <w:drawing>
        <wp:inline distT="0" distB="0" distL="114300" distR="114300">
          <wp:extent cx="325755" cy="273050"/>
          <wp:effectExtent l="0" t="0" r="7620" b="3175"/>
          <wp:docPr id="6"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公司标志"/>
                  <pic:cNvPicPr>
                    <a:picLocks noChangeAspect="1"/>
                  </pic:cNvPicPr>
                </pic:nvPicPr>
                <pic:blipFill>
                  <a:blip r:embed="rId1"/>
                  <a:stretch>
                    <a:fillRect/>
                  </a:stretch>
                </pic:blipFill>
                <pic:spPr>
                  <a:xfrm>
                    <a:off x="0" y="0"/>
                    <a:ext cx="325755" cy="273050"/>
                  </a:xfrm>
                  <a:prstGeom prst="rect">
                    <a:avLst/>
                  </a:prstGeom>
                  <a:noFill/>
                  <a:ln>
                    <a:noFill/>
                  </a:ln>
                </pic:spPr>
              </pic:pic>
            </a:graphicData>
          </a:graphic>
        </wp:inline>
      </w:drawing>
    </w:r>
    <w:r>
      <w:rPr>
        <w:rFonts w:hint="eastAsia"/>
        <w:b/>
        <w:sz w:val="15"/>
        <w:szCs w:val="15"/>
        <w:u w:val="single"/>
      </w:rPr>
      <w:t>杭州华旗招标代理有限公司</w:t>
    </w:r>
    <w:r>
      <w:rPr>
        <w:rFonts w:hint="eastAsia"/>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2DD13">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E8535">
    <w:pPr>
      <w:pStyle w:val="17"/>
    </w:pPr>
    <w:r>
      <w:rPr>
        <w:sz w:val="16"/>
        <w:szCs w:val="16"/>
        <w:u w:val="single"/>
      </w:rPr>
      <w:drawing>
        <wp:inline distT="0" distB="0" distL="114300" distR="114300">
          <wp:extent cx="325755" cy="273050"/>
          <wp:effectExtent l="0" t="0" r="7620" b="3175"/>
          <wp:docPr id="5"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公司标志"/>
                  <pic:cNvPicPr>
                    <a:picLocks noChangeAspect="1"/>
                  </pic:cNvPicPr>
                </pic:nvPicPr>
                <pic:blipFill>
                  <a:blip r:embed="rId1"/>
                  <a:stretch>
                    <a:fillRect/>
                  </a:stretch>
                </pic:blipFill>
                <pic:spPr>
                  <a:xfrm>
                    <a:off x="0" y="0"/>
                    <a:ext cx="325755" cy="273050"/>
                  </a:xfrm>
                  <a:prstGeom prst="rect">
                    <a:avLst/>
                  </a:prstGeom>
                  <a:noFill/>
                  <a:ln>
                    <a:noFill/>
                  </a:ln>
                </pic:spPr>
              </pic:pic>
            </a:graphicData>
          </a:graphic>
        </wp:inline>
      </w:drawing>
    </w:r>
    <w:r>
      <w:rPr>
        <w:rFonts w:hint="eastAsia"/>
        <w:b/>
        <w:sz w:val="16"/>
        <w:szCs w:val="16"/>
        <w:u w:val="single"/>
      </w:rPr>
      <w:t>杭州华旗招标代理有限公司</w:t>
    </w:r>
    <w:r>
      <w:rPr>
        <w:rFonts w:hint="eastAsia"/>
        <w:u w:val="single"/>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40D4B">
    <w:pPr>
      <w:pStyle w:val="17"/>
      <w:rPr>
        <w:rFonts w:ascii="宋体"/>
        <w:b/>
      </w:rPr>
    </w:pPr>
    <w:r>
      <w:rPr>
        <w:rFonts w:hint="eastAsia" w:ascii="宋体"/>
        <w:b/>
      </w:rPr>
      <mc:AlternateContent>
        <mc:Choice Requires="wps">
          <w:drawing>
            <wp:anchor distT="0" distB="0" distL="114300" distR="114300" simplePos="0" relativeHeight="251659264" behindDoc="0" locked="0" layoutInCell="1" allowOverlap="1">
              <wp:simplePos x="0" y="0"/>
              <wp:positionH relativeFrom="column">
                <wp:posOffset>-12700</wp:posOffset>
              </wp:positionH>
              <wp:positionV relativeFrom="paragraph">
                <wp:posOffset>160655</wp:posOffset>
              </wp:positionV>
              <wp:extent cx="5826125" cy="15240"/>
              <wp:effectExtent l="0" t="4445" r="3175" b="5715"/>
              <wp:wrapNone/>
              <wp:docPr id="10" name="直接连接符 10"/>
              <wp:cNvGraphicFramePr/>
              <a:graphic xmlns:a="http://schemas.openxmlformats.org/drawingml/2006/main">
                <a:graphicData uri="http://schemas.microsoft.com/office/word/2010/wordprocessingShape">
                  <wps:wsp>
                    <wps:cNvCnPr/>
                    <wps:spPr>
                      <a:xfrm>
                        <a:off x="0" y="0"/>
                        <a:ext cx="5826125" cy="1524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pt;margin-top:12.65pt;height:1.2pt;width:458.75pt;z-index:251659264;mso-width-relative:page;mso-height-relative:page;" filled="f" stroked="t" coordsize="21600,21600" o:gfxdata="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6JpONcAAAAIAQAADwAAAAAAAAABACAAAAAiAAAAZHJzL2Rvd25yZXYueG1sUEsBAhQAFAAA&#10;AAgAh07iQIxpB9/wAQAA3gMAAA4AAAAAAAAAAQAgAAAAJgEAAGRycy9lMm9Eb2MueG1sUEsFBgAA&#10;AAAGAAYAWQEAAIgFAAAAAA==&#10;">
              <v:fill on="f" focussize="0,0"/>
              <v:stroke color="#000000" joinstyle="round"/>
              <v:imagedata o:title=""/>
              <o:lock v:ext="edit" aspectratio="f"/>
            </v:line>
          </w:pict>
        </mc:Fallback>
      </mc:AlternateContent>
    </w:r>
    <w:r>
      <w:rPr>
        <w:rFonts w:hint="eastAsia" w:ascii="宋体"/>
        <w:b/>
      </w:rPr>
      <w:t>泰顺县政府采购</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F10EE">
    <w:pPr>
      <w:pStyle w:val="17"/>
      <w:rPr>
        <w:u w:val="single"/>
      </w:rPr>
    </w:pPr>
    <w:r>
      <w:rPr>
        <w:u w:val="single"/>
      </w:rPr>
      <w:drawing>
        <wp:inline distT="0" distB="0" distL="114300" distR="114300">
          <wp:extent cx="325755" cy="273050"/>
          <wp:effectExtent l="0" t="0" r="7620" b="3175"/>
          <wp:docPr id="7"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公司标志"/>
                  <pic:cNvPicPr>
                    <a:picLocks noChangeAspect="1"/>
                  </pic:cNvPicPr>
                </pic:nvPicPr>
                <pic:blipFill>
                  <a:blip r:embed="rId1"/>
                  <a:stretch>
                    <a:fillRect/>
                  </a:stretch>
                </pic:blipFill>
                <pic:spPr>
                  <a:xfrm>
                    <a:off x="0" y="0"/>
                    <a:ext cx="325755" cy="273050"/>
                  </a:xfrm>
                  <a:prstGeom prst="rect">
                    <a:avLst/>
                  </a:prstGeom>
                  <a:noFill/>
                  <a:ln>
                    <a:noFill/>
                  </a:ln>
                </pic:spPr>
              </pic:pic>
            </a:graphicData>
          </a:graphic>
        </wp:inline>
      </w:drawing>
    </w:r>
    <w:r>
      <w:rPr>
        <w:rFonts w:hint="eastAsia"/>
        <w:b/>
        <w:u w:val="single"/>
      </w:rPr>
      <w:t>杭州华旗招标代理有限公司</w:t>
    </w:r>
    <w:r>
      <w:rPr>
        <w:rFonts w:hint="eastAsia"/>
        <w:u w:val="single"/>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50FCD">
    <w:pPr>
      <w:pStyle w:val="17"/>
      <w:pBdr>
        <w:top w:val="none" w:color="auto" w:sz="0" w:space="0"/>
        <w:left w:val="none" w:color="auto" w:sz="0" w:space="0"/>
        <w:bottom w:val="none" w:color="auto" w:sz="0" w:space="0"/>
        <w:right w:val="none" w:color="auto" w:sz="0" w:space="0"/>
      </w:pBdr>
      <w:rPr>
        <w:rFonts w:ascii="宋体"/>
        <w:u w:val="single"/>
      </w:rPr>
    </w:pPr>
    <w:r>
      <w:rPr>
        <w:u w:val="single"/>
      </w:rPr>
      <w:drawing>
        <wp:inline distT="0" distB="0" distL="114300" distR="114300">
          <wp:extent cx="345440" cy="288925"/>
          <wp:effectExtent l="0" t="0" r="6985" b="6350"/>
          <wp:docPr id="8"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公司标志"/>
                  <pic:cNvPicPr>
                    <a:picLocks noChangeAspect="1"/>
                  </pic:cNvPicPr>
                </pic:nvPicPr>
                <pic:blipFill>
                  <a:blip r:embed="rId1"/>
                  <a:stretch>
                    <a:fillRect/>
                  </a:stretch>
                </pic:blipFill>
                <pic:spPr>
                  <a:xfrm>
                    <a:off x="0" y="0"/>
                    <a:ext cx="345440" cy="288925"/>
                  </a:xfrm>
                  <a:prstGeom prst="rect">
                    <a:avLst/>
                  </a:prstGeom>
                  <a:noFill/>
                  <a:ln>
                    <a:noFill/>
                  </a:ln>
                </pic:spPr>
              </pic:pic>
            </a:graphicData>
          </a:graphic>
        </wp:inline>
      </w:drawing>
    </w:r>
    <w:r>
      <w:rPr>
        <w:rFonts w:hint="eastAsia"/>
        <w:b/>
        <w:sz w:val="15"/>
        <w:szCs w:val="15"/>
        <w:u w:val="single"/>
      </w:rPr>
      <w:t>杭州华旗招标代理有限公司</w:t>
    </w:r>
    <w:r>
      <w:rPr>
        <w:rFonts w:hint="eastAsia"/>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374CF"/>
    <w:multiLevelType w:val="singleLevel"/>
    <w:tmpl w:val="DDC374CF"/>
    <w:lvl w:ilvl="0" w:tentative="0">
      <w:start w:val="1"/>
      <w:numFmt w:val="decimal"/>
      <w:lvlText w:val="%1."/>
      <w:lvlJc w:val="left"/>
      <w:pPr>
        <w:ind w:left="425" w:hanging="425"/>
      </w:pPr>
      <w:rPr>
        <w:rFonts w:hint="default"/>
      </w:rPr>
    </w:lvl>
  </w:abstractNum>
  <w:abstractNum w:abstractNumId="1">
    <w:nsid w:val="FBB0A722"/>
    <w:multiLevelType w:val="singleLevel"/>
    <w:tmpl w:val="FBB0A722"/>
    <w:lvl w:ilvl="0" w:tentative="0">
      <w:start w:val="4"/>
      <w:numFmt w:val="chineseCounting"/>
      <w:suff w:val="nothing"/>
      <w:lvlText w:val="%1、"/>
      <w:lvlJc w:val="left"/>
      <w:rPr>
        <w:rFonts w:hint="eastAsia"/>
      </w:rPr>
    </w:lvl>
  </w:abstractNum>
  <w:abstractNum w:abstractNumId="2">
    <w:nsid w:val="00000000"/>
    <w:multiLevelType w:val="singleLevel"/>
    <w:tmpl w:val="00000000"/>
    <w:lvl w:ilvl="0" w:tentative="0">
      <w:start w:val="1"/>
      <w:numFmt w:val="decimal"/>
      <w:lvlText w:val="%1."/>
      <w:lvlJc w:val="left"/>
      <w:pPr>
        <w:ind w:left="425" w:hanging="425"/>
      </w:pPr>
      <w:rPr>
        <w:rFonts w:hint="default"/>
      </w:rPr>
    </w:lvl>
  </w:abstractNum>
  <w:abstractNum w:abstractNumId="3">
    <w:nsid w:val="00000002"/>
    <w:multiLevelType w:val="singleLevel"/>
    <w:tmpl w:val="00000002"/>
    <w:lvl w:ilvl="0" w:tentative="0">
      <w:start w:val="1"/>
      <w:numFmt w:val="decimal"/>
      <w:suff w:val="space"/>
      <w:lvlText w:val="%1."/>
      <w:lvlJc w:val="left"/>
    </w:lvl>
  </w:abstractNum>
  <w:abstractNum w:abstractNumId="4">
    <w:nsid w:val="00000016"/>
    <w:multiLevelType w:val="multilevel"/>
    <w:tmpl w:val="00000016"/>
    <w:lvl w:ilvl="0" w:tentative="0">
      <w:start w:val="1"/>
      <w:numFmt w:val="decimal"/>
      <w:lvlText w:val="%1."/>
      <w:lvlJc w:val="left"/>
      <w:pPr>
        <w:tabs>
          <w:tab w:val="left" w:pos="720"/>
        </w:tabs>
        <w:ind w:left="720" w:hanging="720"/>
      </w:pPr>
      <w:rPr>
        <w:rFonts w:hint="default" w:cs="Times New Roman"/>
      </w:rPr>
    </w:lvl>
    <w:lvl w:ilvl="1" w:tentative="0">
      <w:start w:val="1"/>
      <w:numFmt w:val="decimal"/>
      <w:lvlText w:val="%2."/>
      <w:lvlJc w:val="left"/>
      <w:pPr>
        <w:tabs>
          <w:tab w:val="left" w:pos="720"/>
        </w:tabs>
        <w:ind w:left="720" w:hanging="720"/>
      </w:pPr>
      <w:rPr>
        <w:rFonts w:hint="default" w:ascii="Arial (W1)" w:hAnsi="Arial (W1)" w:cs="Times New Roman"/>
        <w:b/>
        <w:i w:val="0"/>
        <w:sz w:val="28"/>
      </w:rPr>
    </w:lvl>
    <w:lvl w:ilvl="2" w:tentative="0">
      <w:start w:val="1"/>
      <w:numFmt w:val="decimal"/>
      <w:lvlText w:val="%1.%3."/>
      <w:lvlJc w:val="left"/>
      <w:pPr>
        <w:tabs>
          <w:tab w:val="left" w:pos="720"/>
        </w:tabs>
        <w:ind w:left="720" w:hanging="720"/>
      </w:pPr>
      <w:rPr>
        <w:rFonts w:hint="default" w:cs="Times New Roman"/>
      </w:rPr>
    </w:lvl>
    <w:lvl w:ilvl="3" w:tentative="0">
      <w:start w:val="1"/>
      <w:numFmt w:val="decimal"/>
      <w:lvlText w:val="%1.%3.%4."/>
      <w:lvlJc w:val="left"/>
      <w:pPr>
        <w:tabs>
          <w:tab w:val="left" w:pos="1728"/>
        </w:tabs>
        <w:ind w:left="1728" w:hanging="648"/>
      </w:pPr>
      <w:rPr>
        <w:rFonts w:hint="default" w:cs="Times New Roman"/>
      </w:rPr>
    </w:lvl>
    <w:lvl w:ilvl="4" w:tentative="0">
      <w:start w:val="1"/>
      <w:numFmt w:val="decimal"/>
      <w:lvlText w:val="%1.%2.%3.%4.%5."/>
      <w:lvlJc w:val="left"/>
      <w:pPr>
        <w:tabs>
          <w:tab w:val="left" w:pos="2520"/>
        </w:tabs>
        <w:ind w:left="2232" w:hanging="792"/>
      </w:pPr>
      <w:rPr>
        <w:rFonts w:hint="default" w:cs="Times New Roman"/>
      </w:rPr>
    </w:lvl>
    <w:lvl w:ilvl="5" w:tentative="0">
      <w:start w:val="1"/>
      <w:numFmt w:val="decimal"/>
      <w:lvlText w:val="%1.%2.%3.%4.%5.%6."/>
      <w:lvlJc w:val="left"/>
      <w:pPr>
        <w:tabs>
          <w:tab w:val="left" w:pos="3240"/>
        </w:tabs>
        <w:ind w:left="2736" w:hanging="936"/>
      </w:pPr>
      <w:rPr>
        <w:rFonts w:hint="default" w:cs="Times New Roman"/>
      </w:rPr>
    </w:lvl>
    <w:lvl w:ilvl="6" w:tentative="0">
      <w:start w:val="1"/>
      <w:numFmt w:val="decimal"/>
      <w:lvlText w:val="%1.%2.%3.%4.%5.%6.%7."/>
      <w:lvlJc w:val="left"/>
      <w:pPr>
        <w:tabs>
          <w:tab w:val="left" w:pos="3600"/>
        </w:tabs>
        <w:ind w:left="3240" w:hanging="1080"/>
      </w:pPr>
      <w:rPr>
        <w:rFonts w:hint="default" w:cs="Times New Roman"/>
      </w:rPr>
    </w:lvl>
    <w:lvl w:ilvl="7" w:tentative="0">
      <w:start w:val="1"/>
      <w:numFmt w:val="decimal"/>
      <w:lvlText w:val="%1.%2.%3.%4.%5.%6.%7.%8."/>
      <w:lvlJc w:val="left"/>
      <w:pPr>
        <w:tabs>
          <w:tab w:val="left" w:pos="4320"/>
        </w:tabs>
        <w:ind w:left="3744" w:hanging="1224"/>
      </w:pPr>
      <w:rPr>
        <w:rFonts w:hint="default" w:cs="Times New Roman"/>
      </w:rPr>
    </w:lvl>
    <w:lvl w:ilvl="8" w:tentative="0">
      <w:start w:val="1"/>
      <w:numFmt w:val="decimal"/>
      <w:lvlText w:val="%1.%2.%3.%4.%5.%6.%7.%8.%9."/>
      <w:lvlJc w:val="left"/>
      <w:pPr>
        <w:tabs>
          <w:tab w:val="left" w:pos="5040"/>
        </w:tabs>
        <w:ind w:left="4320" w:hanging="1440"/>
      </w:pPr>
      <w:rPr>
        <w:rFonts w:hint="default" w:cs="Times New Roman"/>
      </w:rPr>
    </w:lvl>
  </w:abstractNum>
  <w:abstractNum w:abstractNumId="5">
    <w:nsid w:val="19AD446A"/>
    <w:multiLevelType w:val="multilevel"/>
    <w:tmpl w:val="19AD446A"/>
    <w:lvl w:ilvl="0" w:tentative="0">
      <w:start w:val="1"/>
      <w:numFmt w:val="decimal"/>
      <w:lvlText w:val="%1."/>
      <w:lvlJc w:val="left"/>
      <w:pPr>
        <w:ind w:left="704" w:hanging="420"/>
      </w:pPr>
      <w:rPr>
        <w:rFonts w:hint="default"/>
      </w:rPr>
    </w:lvl>
    <w:lvl w:ilvl="1" w:tentative="0">
      <w:start w:val="1"/>
      <w:numFmt w:val="decimal"/>
      <w:isLgl/>
      <w:lvlText w:val="%1.%2"/>
      <w:lvlJc w:val="left"/>
      <w:pPr>
        <w:ind w:left="1060" w:hanging="720"/>
      </w:pPr>
      <w:rPr>
        <w:rFonts w:hint="default"/>
      </w:rPr>
    </w:lvl>
    <w:lvl w:ilvl="2" w:tentative="0">
      <w:start w:val="1"/>
      <w:numFmt w:val="decimal"/>
      <w:isLgl/>
      <w:lvlText w:val="%1.%2.%3"/>
      <w:lvlJc w:val="left"/>
      <w:pPr>
        <w:ind w:left="1542" w:hanging="720"/>
      </w:pPr>
      <w:rPr>
        <w:rFonts w:hint="default"/>
      </w:rPr>
    </w:lvl>
    <w:lvl w:ilvl="3" w:tentative="0">
      <w:start w:val="1"/>
      <w:numFmt w:val="decimal"/>
      <w:isLgl/>
      <w:lvlText w:val="%1.%2.%3.%4"/>
      <w:lvlJc w:val="left"/>
      <w:pPr>
        <w:ind w:left="2384" w:hanging="1080"/>
      </w:pPr>
      <w:rPr>
        <w:rFonts w:hint="default"/>
      </w:rPr>
    </w:lvl>
    <w:lvl w:ilvl="4" w:tentative="0">
      <w:start w:val="1"/>
      <w:numFmt w:val="decimal"/>
      <w:isLgl/>
      <w:lvlText w:val="%1.%2.%3.%4.%5"/>
      <w:lvlJc w:val="left"/>
      <w:pPr>
        <w:ind w:left="3226" w:hanging="1440"/>
      </w:pPr>
      <w:rPr>
        <w:rFonts w:hint="default"/>
      </w:rPr>
    </w:lvl>
    <w:lvl w:ilvl="5" w:tentative="0">
      <w:start w:val="1"/>
      <w:numFmt w:val="decimal"/>
      <w:isLgl/>
      <w:lvlText w:val="%1.%2.%3.%4.%5.%6"/>
      <w:lvlJc w:val="left"/>
      <w:pPr>
        <w:ind w:left="3708" w:hanging="1440"/>
      </w:pPr>
      <w:rPr>
        <w:rFonts w:hint="default"/>
      </w:rPr>
    </w:lvl>
    <w:lvl w:ilvl="6" w:tentative="0">
      <w:start w:val="1"/>
      <w:numFmt w:val="decimal"/>
      <w:isLgl/>
      <w:lvlText w:val="%1.%2.%3.%4.%5.%6.%7"/>
      <w:lvlJc w:val="left"/>
      <w:pPr>
        <w:ind w:left="4550" w:hanging="1800"/>
      </w:pPr>
      <w:rPr>
        <w:rFonts w:hint="default"/>
      </w:rPr>
    </w:lvl>
    <w:lvl w:ilvl="7" w:tentative="0">
      <w:start w:val="1"/>
      <w:numFmt w:val="decimal"/>
      <w:isLgl/>
      <w:lvlText w:val="%1.%2.%3.%4.%5.%6.%7.%8"/>
      <w:lvlJc w:val="left"/>
      <w:pPr>
        <w:ind w:left="5392" w:hanging="2160"/>
      </w:pPr>
      <w:rPr>
        <w:rFonts w:hint="default"/>
      </w:rPr>
    </w:lvl>
    <w:lvl w:ilvl="8" w:tentative="0">
      <w:start w:val="1"/>
      <w:numFmt w:val="decimal"/>
      <w:isLgl/>
      <w:lvlText w:val="%1.%2.%3.%4.%5.%6.%7.%8.%9"/>
      <w:lvlJc w:val="left"/>
      <w:pPr>
        <w:ind w:left="5874" w:hanging="2160"/>
      </w:pPr>
      <w:rPr>
        <w:rFonts w:hint="default"/>
      </w:rPr>
    </w:lvl>
  </w:abstractNum>
  <w:abstractNum w:abstractNumId="6">
    <w:nsid w:val="599289D4"/>
    <w:multiLevelType w:val="singleLevel"/>
    <w:tmpl w:val="599289D4"/>
    <w:lvl w:ilvl="0" w:tentative="0">
      <w:start w:val="1"/>
      <w:numFmt w:val="decimal"/>
      <w:lvlText w:val="%1."/>
      <w:lvlJc w:val="left"/>
      <w:pPr>
        <w:ind w:left="425" w:hanging="425"/>
      </w:pPr>
      <w:rPr>
        <w:rFonts w:hint="default"/>
      </w:rPr>
    </w:lvl>
  </w:abstractNum>
  <w:abstractNum w:abstractNumId="7">
    <w:nsid w:val="599289EC"/>
    <w:multiLevelType w:val="singleLevel"/>
    <w:tmpl w:val="599289EC"/>
    <w:lvl w:ilvl="0" w:tentative="0">
      <w:start w:val="1"/>
      <w:numFmt w:val="decimal"/>
      <w:lvlText w:val="%1."/>
      <w:lvlJc w:val="left"/>
      <w:pPr>
        <w:ind w:left="425" w:hanging="425"/>
      </w:pPr>
      <w:rPr>
        <w:rFonts w:hint="default" w:cs="Times New Roman"/>
      </w:rPr>
    </w:lvl>
  </w:abstractNum>
  <w:abstractNum w:abstractNumId="8">
    <w:nsid w:val="61BD0F6F"/>
    <w:multiLevelType w:val="singleLevel"/>
    <w:tmpl w:val="61BD0F6F"/>
    <w:lvl w:ilvl="0" w:tentative="0">
      <w:start w:val="1"/>
      <w:numFmt w:val="decimal"/>
      <w:suff w:val="nothing"/>
      <w:lvlText w:val="（%1）"/>
      <w:lvlJc w:val="left"/>
    </w:lvl>
  </w:abstractNum>
  <w:num w:numId="1">
    <w:abstractNumId w:val="4"/>
  </w:num>
  <w:num w:numId="2">
    <w:abstractNumId w:val="6"/>
  </w:num>
  <w:num w:numId="3">
    <w:abstractNumId w:val="7"/>
  </w:num>
  <w:num w:numId="4">
    <w:abstractNumId w:val="0"/>
  </w:num>
  <w:num w:numId="5">
    <w:abstractNumId w:val="8"/>
  </w:num>
  <w:num w:numId="6">
    <w:abstractNumId w:val="3"/>
  </w:num>
  <w:num w:numId="7">
    <w:abstractNumId w:val="5"/>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dit="forms" w:formatting="1" w:enforcement="1" w:cryptProviderType="rsaFull" w:cryptAlgorithmClass="hash" w:cryptAlgorithmType="typeAny" w:cryptAlgorithmSid="4" w:cryptSpinCount="0" w:hash="0/+Y8AIwU7f3S7b2NDugUsZhZlM=" w:salt="QZfrqx6dEYALhA3NyhB05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lNjk0ZGYzYzk1OTZiYzA2NTYwZTg1ODY0OGMwOGEifQ=="/>
    <w:docVar w:name="KSO_WPS_MARK_KEY" w:val="168545c4-e179-4adb-bf81-7de5d557aace"/>
  </w:docVars>
  <w:rsids>
    <w:rsidRoot w:val="004F60FC"/>
    <w:rsid w:val="00023435"/>
    <w:rsid w:val="00091417"/>
    <w:rsid w:val="000C043C"/>
    <w:rsid w:val="00106D69"/>
    <w:rsid w:val="00146EF4"/>
    <w:rsid w:val="001514AB"/>
    <w:rsid w:val="00160D18"/>
    <w:rsid w:val="001D49DD"/>
    <w:rsid w:val="00297DC5"/>
    <w:rsid w:val="002A5492"/>
    <w:rsid w:val="002D48AB"/>
    <w:rsid w:val="00336283"/>
    <w:rsid w:val="003569F9"/>
    <w:rsid w:val="00370326"/>
    <w:rsid w:val="00372055"/>
    <w:rsid w:val="00391E34"/>
    <w:rsid w:val="00397E18"/>
    <w:rsid w:val="0045081A"/>
    <w:rsid w:val="004619BD"/>
    <w:rsid w:val="004674B6"/>
    <w:rsid w:val="00497A01"/>
    <w:rsid w:val="004C0569"/>
    <w:rsid w:val="004F60FC"/>
    <w:rsid w:val="00525FF1"/>
    <w:rsid w:val="00570F07"/>
    <w:rsid w:val="005D37D9"/>
    <w:rsid w:val="005E4E2E"/>
    <w:rsid w:val="00607FC1"/>
    <w:rsid w:val="006609EF"/>
    <w:rsid w:val="00661709"/>
    <w:rsid w:val="0066330D"/>
    <w:rsid w:val="00666584"/>
    <w:rsid w:val="006A39CC"/>
    <w:rsid w:val="006F7683"/>
    <w:rsid w:val="00751F34"/>
    <w:rsid w:val="007B4B7A"/>
    <w:rsid w:val="00805943"/>
    <w:rsid w:val="00880BD5"/>
    <w:rsid w:val="008817D8"/>
    <w:rsid w:val="008E57EA"/>
    <w:rsid w:val="00922C79"/>
    <w:rsid w:val="009434B7"/>
    <w:rsid w:val="009513F3"/>
    <w:rsid w:val="00A54CAA"/>
    <w:rsid w:val="00A56D88"/>
    <w:rsid w:val="00B22860"/>
    <w:rsid w:val="00B459C4"/>
    <w:rsid w:val="00B932F4"/>
    <w:rsid w:val="00BA57B7"/>
    <w:rsid w:val="00BF2E34"/>
    <w:rsid w:val="00C053D9"/>
    <w:rsid w:val="00C257AC"/>
    <w:rsid w:val="00C43C0A"/>
    <w:rsid w:val="00C5319B"/>
    <w:rsid w:val="00D408FA"/>
    <w:rsid w:val="00D7119F"/>
    <w:rsid w:val="00D8776A"/>
    <w:rsid w:val="00E2309A"/>
    <w:rsid w:val="00F1629E"/>
    <w:rsid w:val="00FA6280"/>
    <w:rsid w:val="00FD7DD1"/>
    <w:rsid w:val="01252761"/>
    <w:rsid w:val="013F26F3"/>
    <w:rsid w:val="01501794"/>
    <w:rsid w:val="015109B1"/>
    <w:rsid w:val="01603061"/>
    <w:rsid w:val="017D59D9"/>
    <w:rsid w:val="01AD62C5"/>
    <w:rsid w:val="01B17394"/>
    <w:rsid w:val="022E07BF"/>
    <w:rsid w:val="0284231A"/>
    <w:rsid w:val="0284372F"/>
    <w:rsid w:val="03147BC1"/>
    <w:rsid w:val="033E696D"/>
    <w:rsid w:val="03CD1A9F"/>
    <w:rsid w:val="03D35307"/>
    <w:rsid w:val="03EA7172"/>
    <w:rsid w:val="04041B26"/>
    <w:rsid w:val="04296BE6"/>
    <w:rsid w:val="042C5CD9"/>
    <w:rsid w:val="04737A9F"/>
    <w:rsid w:val="048670A4"/>
    <w:rsid w:val="04E46D57"/>
    <w:rsid w:val="04F53C1B"/>
    <w:rsid w:val="04FA3D18"/>
    <w:rsid w:val="051C746F"/>
    <w:rsid w:val="05627961"/>
    <w:rsid w:val="05A25C1A"/>
    <w:rsid w:val="05FD04C7"/>
    <w:rsid w:val="0612468B"/>
    <w:rsid w:val="061C0B3E"/>
    <w:rsid w:val="061C75AE"/>
    <w:rsid w:val="06350F42"/>
    <w:rsid w:val="064A7DA1"/>
    <w:rsid w:val="06874187"/>
    <w:rsid w:val="06AC1C03"/>
    <w:rsid w:val="06C0552D"/>
    <w:rsid w:val="06CE194A"/>
    <w:rsid w:val="06E24909"/>
    <w:rsid w:val="07264835"/>
    <w:rsid w:val="075F6EB2"/>
    <w:rsid w:val="076B1244"/>
    <w:rsid w:val="07A23F20"/>
    <w:rsid w:val="07A64EC2"/>
    <w:rsid w:val="07DB2D71"/>
    <w:rsid w:val="07E55732"/>
    <w:rsid w:val="081E6628"/>
    <w:rsid w:val="0854720E"/>
    <w:rsid w:val="08803584"/>
    <w:rsid w:val="09093274"/>
    <w:rsid w:val="09261C95"/>
    <w:rsid w:val="09291FBE"/>
    <w:rsid w:val="096E430B"/>
    <w:rsid w:val="097025FB"/>
    <w:rsid w:val="097C674F"/>
    <w:rsid w:val="098D5F59"/>
    <w:rsid w:val="09A17DBA"/>
    <w:rsid w:val="09BC05EC"/>
    <w:rsid w:val="09BC2D71"/>
    <w:rsid w:val="09C3783A"/>
    <w:rsid w:val="09C5110F"/>
    <w:rsid w:val="09E35CE4"/>
    <w:rsid w:val="0A0472E9"/>
    <w:rsid w:val="0A311FC2"/>
    <w:rsid w:val="0A405A8E"/>
    <w:rsid w:val="0A7B4627"/>
    <w:rsid w:val="0AA51080"/>
    <w:rsid w:val="0AA61249"/>
    <w:rsid w:val="0AC6281A"/>
    <w:rsid w:val="0AE25D0A"/>
    <w:rsid w:val="0B8C09BB"/>
    <w:rsid w:val="0B8E5FB8"/>
    <w:rsid w:val="0B976B42"/>
    <w:rsid w:val="0BAE21B6"/>
    <w:rsid w:val="0BB7585C"/>
    <w:rsid w:val="0BC139CB"/>
    <w:rsid w:val="0BE12DDB"/>
    <w:rsid w:val="0C033BE7"/>
    <w:rsid w:val="0C1267C6"/>
    <w:rsid w:val="0C225961"/>
    <w:rsid w:val="0C235C6D"/>
    <w:rsid w:val="0C252478"/>
    <w:rsid w:val="0C48260B"/>
    <w:rsid w:val="0CC44B30"/>
    <w:rsid w:val="0CC51EAD"/>
    <w:rsid w:val="0CD71C25"/>
    <w:rsid w:val="0D500D26"/>
    <w:rsid w:val="0D786F20"/>
    <w:rsid w:val="0D87771C"/>
    <w:rsid w:val="0DA27AF9"/>
    <w:rsid w:val="0DB53DE2"/>
    <w:rsid w:val="0E234421"/>
    <w:rsid w:val="0E336A63"/>
    <w:rsid w:val="0E34728C"/>
    <w:rsid w:val="0E3A5799"/>
    <w:rsid w:val="0E981627"/>
    <w:rsid w:val="0ECF60BE"/>
    <w:rsid w:val="0EF4695B"/>
    <w:rsid w:val="0F041CA9"/>
    <w:rsid w:val="0F1A5440"/>
    <w:rsid w:val="0F657030"/>
    <w:rsid w:val="0FAA6DAA"/>
    <w:rsid w:val="0FBE7A18"/>
    <w:rsid w:val="0FC52E37"/>
    <w:rsid w:val="0FFA37D6"/>
    <w:rsid w:val="101040B3"/>
    <w:rsid w:val="10577F93"/>
    <w:rsid w:val="106A6D88"/>
    <w:rsid w:val="10B1077E"/>
    <w:rsid w:val="10E36DA6"/>
    <w:rsid w:val="111A3546"/>
    <w:rsid w:val="11515BFC"/>
    <w:rsid w:val="11567578"/>
    <w:rsid w:val="120B1F5E"/>
    <w:rsid w:val="12474AB9"/>
    <w:rsid w:val="12745F08"/>
    <w:rsid w:val="1286080A"/>
    <w:rsid w:val="12A3059B"/>
    <w:rsid w:val="12A62B99"/>
    <w:rsid w:val="12DB3C9D"/>
    <w:rsid w:val="130B7EEE"/>
    <w:rsid w:val="130C2083"/>
    <w:rsid w:val="136A29F0"/>
    <w:rsid w:val="13A90D64"/>
    <w:rsid w:val="13B013CC"/>
    <w:rsid w:val="13E45553"/>
    <w:rsid w:val="13F31483"/>
    <w:rsid w:val="142360B8"/>
    <w:rsid w:val="1444190A"/>
    <w:rsid w:val="14AE19F3"/>
    <w:rsid w:val="14B9556B"/>
    <w:rsid w:val="14CE5BFB"/>
    <w:rsid w:val="15111121"/>
    <w:rsid w:val="151412DC"/>
    <w:rsid w:val="156C2EC6"/>
    <w:rsid w:val="15851759"/>
    <w:rsid w:val="15AF5961"/>
    <w:rsid w:val="15B83EB6"/>
    <w:rsid w:val="15C83095"/>
    <w:rsid w:val="15D80567"/>
    <w:rsid w:val="1604441D"/>
    <w:rsid w:val="161C6052"/>
    <w:rsid w:val="16351E52"/>
    <w:rsid w:val="163A4125"/>
    <w:rsid w:val="16426B29"/>
    <w:rsid w:val="165E3157"/>
    <w:rsid w:val="16704DB8"/>
    <w:rsid w:val="167E3D1D"/>
    <w:rsid w:val="16E1530E"/>
    <w:rsid w:val="171F2164"/>
    <w:rsid w:val="176C33CC"/>
    <w:rsid w:val="177978A3"/>
    <w:rsid w:val="17806E60"/>
    <w:rsid w:val="17B472A4"/>
    <w:rsid w:val="17C10B62"/>
    <w:rsid w:val="17DD2889"/>
    <w:rsid w:val="17F124E3"/>
    <w:rsid w:val="18496D4A"/>
    <w:rsid w:val="18630427"/>
    <w:rsid w:val="18644328"/>
    <w:rsid w:val="188E5849"/>
    <w:rsid w:val="18AC463D"/>
    <w:rsid w:val="18B1461F"/>
    <w:rsid w:val="18D25736"/>
    <w:rsid w:val="18E43DAA"/>
    <w:rsid w:val="19250257"/>
    <w:rsid w:val="193C65B7"/>
    <w:rsid w:val="194F1722"/>
    <w:rsid w:val="19532350"/>
    <w:rsid w:val="198C189C"/>
    <w:rsid w:val="1A400DC5"/>
    <w:rsid w:val="1A6B7B1F"/>
    <w:rsid w:val="1A7B2CA8"/>
    <w:rsid w:val="1AF23DA0"/>
    <w:rsid w:val="1B084740"/>
    <w:rsid w:val="1B287A01"/>
    <w:rsid w:val="1B3306B6"/>
    <w:rsid w:val="1B444EB1"/>
    <w:rsid w:val="1B532C20"/>
    <w:rsid w:val="1B8847D2"/>
    <w:rsid w:val="1BBA4792"/>
    <w:rsid w:val="1BBF7512"/>
    <w:rsid w:val="1BE54039"/>
    <w:rsid w:val="1BEA36B0"/>
    <w:rsid w:val="1BFC0E69"/>
    <w:rsid w:val="1C15318E"/>
    <w:rsid w:val="1C33621A"/>
    <w:rsid w:val="1C3539AC"/>
    <w:rsid w:val="1C36331D"/>
    <w:rsid w:val="1C8F393E"/>
    <w:rsid w:val="1CDB3C3A"/>
    <w:rsid w:val="1CE17267"/>
    <w:rsid w:val="1D1D1605"/>
    <w:rsid w:val="1D657B93"/>
    <w:rsid w:val="1D707EA3"/>
    <w:rsid w:val="1D813BCE"/>
    <w:rsid w:val="1D8D4321"/>
    <w:rsid w:val="1DBB0E8E"/>
    <w:rsid w:val="1E195356"/>
    <w:rsid w:val="1E262D52"/>
    <w:rsid w:val="1E3D5D47"/>
    <w:rsid w:val="1E895ABA"/>
    <w:rsid w:val="1E975C04"/>
    <w:rsid w:val="1EBF44D0"/>
    <w:rsid w:val="1EF57228"/>
    <w:rsid w:val="1F126CF5"/>
    <w:rsid w:val="1F147105"/>
    <w:rsid w:val="1F1E3555"/>
    <w:rsid w:val="1F7D23EA"/>
    <w:rsid w:val="1F8E2FE5"/>
    <w:rsid w:val="20234D5E"/>
    <w:rsid w:val="203B617F"/>
    <w:rsid w:val="2068045B"/>
    <w:rsid w:val="206967F2"/>
    <w:rsid w:val="208C08C0"/>
    <w:rsid w:val="208D3647"/>
    <w:rsid w:val="20C462AC"/>
    <w:rsid w:val="20FB29C9"/>
    <w:rsid w:val="2107515C"/>
    <w:rsid w:val="21315848"/>
    <w:rsid w:val="21336F8E"/>
    <w:rsid w:val="217A07CC"/>
    <w:rsid w:val="217C14B7"/>
    <w:rsid w:val="21B707B2"/>
    <w:rsid w:val="21D91EF7"/>
    <w:rsid w:val="2206289A"/>
    <w:rsid w:val="22097D0C"/>
    <w:rsid w:val="224202FD"/>
    <w:rsid w:val="2253136D"/>
    <w:rsid w:val="225B7F85"/>
    <w:rsid w:val="22692BBC"/>
    <w:rsid w:val="227B5C0F"/>
    <w:rsid w:val="22800419"/>
    <w:rsid w:val="22C36646"/>
    <w:rsid w:val="22CD6F6E"/>
    <w:rsid w:val="236B4BD9"/>
    <w:rsid w:val="23757D31"/>
    <w:rsid w:val="23A75A11"/>
    <w:rsid w:val="23E40A13"/>
    <w:rsid w:val="23E966D4"/>
    <w:rsid w:val="23F156E1"/>
    <w:rsid w:val="23FF6476"/>
    <w:rsid w:val="240E4ED4"/>
    <w:rsid w:val="24137605"/>
    <w:rsid w:val="244D0E6E"/>
    <w:rsid w:val="246D11AD"/>
    <w:rsid w:val="247022A7"/>
    <w:rsid w:val="247500F5"/>
    <w:rsid w:val="24855912"/>
    <w:rsid w:val="24F66C50"/>
    <w:rsid w:val="24FE3614"/>
    <w:rsid w:val="25085783"/>
    <w:rsid w:val="251E5786"/>
    <w:rsid w:val="25277F29"/>
    <w:rsid w:val="257822C4"/>
    <w:rsid w:val="25D64EA3"/>
    <w:rsid w:val="261A5207"/>
    <w:rsid w:val="2635037A"/>
    <w:rsid w:val="26492DAF"/>
    <w:rsid w:val="26B22F8E"/>
    <w:rsid w:val="26BD7328"/>
    <w:rsid w:val="26CD1C32"/>
    <w:rsid w:val="26F858C0"/>
    <w:rsid w:val="275B780F"/>
    <w:rsid w:val="27927355"/>
    <w:rsid w:val="279B7D4A"/>
    <w:rsid w:val="27A3338F"/>
    <w:rsid w:val="27AB6C82"/>
    <w:rsid w:val="27D35027"/>
    <w:rsid w:val="28137B19"/>
    <w:rsid w:val="282E6701"/>
    <w:rsid w:val="28666CF2"/>
    <w:rsid w:val="28757E8C"/>
    <w:rsid w:val="28D162D3"/>
    <w:rsid w:val="28DB23E5"/>
    <w:rsid w:val="28DE3068"/>
    <w:rsid w:val="28DE620D"/>
    <w:rsid w:val="28EE502A"/>
    <w:rsid w:val="291F0CCF"/>
    <w:rsid w:val="29220551"/>
    <w:rsid w:val="29313C6C"/>
    <w:rsid w:val="2935593C"/>
    <w:rsid w:val="29F556C0"/>
    <w:rsid w:val="2A0C44BE"/>
    <w:rsid w:val="2A2D2A30"/>
    <w:rsid w:val="2A5F2835"/>
    <w:rsid w:val="2A871192"/>
    <w:rsid w:val="2A9B2FB4"/>
    <w:rsid w:val="2AAD7DB1"/>
    <w:rsid w:val="2AC450FA"/>
    <w:rsid w:val="2B102DA4"/>
    <w:rsid w:val="2B4C2F63"/>
    <w:rsid w:val="2BFB4597"/>
    <w:rsid w:val="2C0103B8"/>
    <w:rsid w:val="2C1135F0"/>
    <w:rsid w:val="2C763FA1"/>
    <w:rsid w:val="2C8D5567"/>
    <w:rsid w:val="2CB0408E"/>
    <w:rsid w:val="2CB63A29"/>
    <w:rsid w:val="2CB9652E"/>
    <w:rsid w:val="2CDC1FAF"/>
    <w:rsid w:val="2D03015C"/>
    <w:rsid w:val="2DC25921"/>
    <w:rsid w:val="2E2C4970"/>
    <w:rsid w:val="2E594D43"/>
    <w:rsid w:val="2E767AAC"/>
    <w:rsid w:val="2EE4719A"/>
    <w:rsid w:val="2F051B36"/>
    <w:rsid w:val="2F457D2B"/>
    <w:rsid w:val="2F766742"/>
    <w:rsid w:val="2F973648"/>
    <w:rsid w:val="2FC75471"/>
    <w:rsid w:val="30087837"/>
    <w:rsid w:val="3079410F"/>
    <w:rsid w:val="30835E66"/>
    <w:rsid w:val="30913CD1"/>
    <w:rsid w:val="30AB659C"/>
    <w:rsid w:val="30B75796"/>
    <w:rsid w:val="30DB40E5"/>
    <w:rsid w:val="31194D72"/>
    <w:rsid w:val="311E58BA"/>
    <w:rsid w:val="312276EF"/>
    <w:rsid w:val="312F63AB"/>
    <w:rsid w:val="313E73BD"/>
    <w:rsid w:val="315C4809"/>
    <w:rsid w:val="315F792B"/>
    <w:rsid w:val="319C46DB"/>
    <w:rsid w:val="31AA06AE"/>
    <w:rsid w:val="31F369F1"/>
    <w:rsid w:val="322D42B2"/>
    <w:rsid w:val="323F0A11"/>
    <w:rsid w:val="325356C8"/>
    <w:rsid w:val="32673AB6"/>
    <w:rsid w:val="32877501"/>
    <w:rsid w:val="32BE7A74"/>
    <w:rsid w:val="32CC4AB4"/>
    <w:rsid w:val="32D83CEC"/>
    <w:rsid w:val="332F6B0C"/>
    <w:rsid w:val="333472C1"/>
    <w:rsid w:val="334B7E1E"/>
    <w:rsid w:val="335635C0"/>
    <w:rsid w:val="33793792"/>
    <w:rsid w:val="33CF1B00"/>
    <w:rsid w:val="340071A3"/>
    <w:rsid w:val="34032E1B"/>
    <w:rsid w:val="340F2862"/>
    <w:rsid w:val="342622AD"/>
    <w:rsid w:val="344C4197"/>
    <w:rsid w:val="344D7F0F"/>
    <w:rsid w:val="34853B4C"/>
    <w:rsid w:val="349027AE"/>
    <w:rsid w:val="349E4639"/>
    <w:rsid w:val="34CF157B"/>
    <w:rsid w:val="353E6CD0"/>
    <w:rsid w:val="35623844"/>
    <w:rsid w:val="357F23AC"/>
    <w:rsid w:val="35977526"/>
    <w:rsid w:val="35B2271F"/>
    <w:rsid w:val="35BA15D4"/>
    <w:rsid w:val="35E00751"/>
    <w:rsid w:val="35E14DB3"/>
    <w:rsid w:val="35E46651"/>
    <w:rsid w:val="35E8584B"/>
    <w:rsid w:val="364C4FDC"/>
    <w:rsid w:val="36525CC9"/>
    <w:rsid w:val="36657792"/>
    <w:rsid w:val="368436BA"/>
    <w:rsid w:val="370F669F"/>
    <w:rsid w:val="371B59EE"/>
    <w:rsid w:val="371D7C1F"/>
    <w:rsid w:val="371E4495"/>
    <w:rsid w:val="37272639"/>
    <w:rsid w:val="372904E3"/>
    <w:rsid w:val="37395589"/>
    <w:rsid w:val="375546D0"/>
    <w:rsid w:val="375559C6"/>
    <w:rsid w:val="37611EA9"/>
    <w:rsid w:val="3776366D"/>
    <w:rsid w:val="37983B97"/>
    <w:rsid w:val="379F6F0D"/>
    <w:rsid w:val="37C4673A"/>
    <w:rsid w:val="37CD5F06"/>
    <w:rsid w:val="37D14649"/>
    <w:rsid w:val="37EB595D"/>
    <w:rsid w:val="37F54B45"/>
    <w:rsid w:val="38080D1C"/>
    <w:rsid w:val="3838253A"/>
    <w:rsid w:val="38CD349A"/>
    <w:rsid w:val="39111E53"/>
    <w:rsid w:val="39382F3B"/>
    <w:rsid w:val="394915ED"/>
    <w:rsid w:val="3976376D"/>
    <w:rsid w:val="397B7E11"/>
    <w:rsid w:val="398845E4"/>
    <w:rsid w:val="399D36E6"/>
    <w:rsid w:val="39B747A8"/>
    <w:rsid w:val="39DB63D0"/>
    <w:rsid w:val="39E80A65"/>
    <w:rsid w:val="3A2C0D8D"/>
    <w:rsid w:val="3A3633B4"/>
    <w:rsid w:val="3A4B7A64"/>
    <w:rsid w:val="3A5054D8"/>
    <w:rsid w:val="3A6E132D"/>
    <w:rsid w:val="3AAD06CB"/>
    <w:rsid w:val="3AAF0B8D"/>
    <w:rsid w:val="3AE34E80"/>
    <w:rsid w:val="3AF3727C"/>
    <w:rsid w:val="3AFC3044"/>
    <w:rsid w:val="3B0262E5"/>
    <w:rsid w:val="3B0C350F"/>
    <w:rsid w:val="3B255825"/>
    <w:rsid w:val="3B4C05F7"/>
    <w:rsid w:val="3B8B3E2A"/>
    <w:rsid w:val="3B974891"/>
    <w:rsid w:val="3BC24658"/>
    <w:rsid w:val="3BE227C7"/>
    <w:rsid w:val="3C1A7270"/>
    <w:rsid w:val="3C51154D"/>
    <w:rsid w:val="3C9E75C5"/>
    <w:rsid w:val="3D2B1331"/>
    <w:rsid w:val="3D3274D5"/>
    <w:rsid w:val="3D3D4FC4"/>
    <w:rsid w:val="3D5C3DFE"/>
    <w:rsid w:val="3D813435"/>
    <w:rsid w:val="3D813F9B"/>
    <w:rsid w:val="3DD5259D"/>
    <w:rsid w:val="3E2D7CCF"/>
    <w:rsid w:val="3E9E7CE5"/>
    <w:rsid w:val="3EA3354D"/>
    <w:rsid w:val="3EF573A8"/>
    <w:rsid w:val="3F0D3C94"/>
    <w:rsid w:val="3F1D08FE"/>
    <w:rsid w:val="3F676329"/>
    <w:rsid w:val="3FA22F1E"/>
    <w:rsid w:val="3FD67B1B"/>
    <w:rsid w:val="3FF17D12"/>
    <w:rsid w:val="403C5A07"/>
    <w:rsid w:val="4057639D"/>
    <w:rsid w:val="406D6C50"/>
    <w:rsid w:val="408C1318"/>
    <w:rsid w:val="412A7199"/>
    <w:rsid w:val="412D1108"/>
    <w:rsid w:val="416E7E42"/>
    <w:rsid w:val="41765DD5"/>
    <w:rsid w:val="419542A7"/>
    <w:rsid w:val="41D85E01"/>
    <w:rsid w:val="41FE2A4F"/>
    <w:rsid w:val="42100EF9"/>
    <w:rsid w:val="42186000"/>
    <w:rsid w:val="422C0DC4"/>
    <w:rsid w:val="423673C6"/>
    <w:rsid w:val="42926202"/>
    <w:rsid w:val="434B43BD"/>
    <w:rsid w:val="435D13AE"/>
    <w:rsid w:val="43761230"/>
    <w:rsid w:val="43A3069B"/>
    <w:rsid w:val="43A463DC"/>
    <w:rsid w:val="43AB6D30"/>
    <w:rsid w:val="43CD3B5E"/>
    <w:rsid w:val="43FE180D"/>
    <w:rsid w:val="443A3EFD"/>
    <w:rsid w:val="443D58AA"/>
    <w:rsid w:val="44896D41"/>
    <w:rsid w:val="44904AEE"/>
    <w:rsid w:val="449B00DA"/>
    <w:rsid w:val="44C67F95"/>
    <w:rsid w:val="44F01788"/>
    <w:rsid w:val="4509478F"/>
    <w:rsid w:val="456606D9"/>
    <w:rsid w:val="45860F7B"/>
    <w:rsid w:val="45AD3DE6"/>
    <w:rsid w:val="45CC3389"/>
    <w:rsid w:val="45F5336E"/>
    <w:rsid w:val="46014823"/>
    <w:rsid w:val="460A7490"/>
    <w:rsid w:val="460D5750"/>
    <w:rsid w:val="46152F39"/>
    <w:rsid w:val="46593066"/>
    <w:rsid w:val="468666D7"/>
    <w:rsid w:val="46D44F79"/>
    <w:rsid w:val="471E192F"/>
    <w:rsid w:val="472C05E5"/>
    <w:rsid w:val="47BC2F72"/>
    <w:rsid w:val="47C94FE0"/>
    <w:rsid w:val="47E27ECC"/>
    <w:rsid w:val="47F6649C"/>
    <w:rsid w:val="48260317"/>
    <w:rsid w:val="483A4CFE"/>
    <w:rsid w:val="48444225"/>
    <w:rsid w:val="4858746F"/>
    <w:rsid w:val="488A4131"/>
    <w:rsid w:val="48A30A78"/>
    <w:rsid w:val="48A8695E"/>
    <w:rsid w:val="48C37C50"/>
    <w:rsid w:val="48C4659A"/>
    <w:rsid w:val="4915390D"/>
    <w:rsid w:val="49225ED0"/>
    <w:rsid w:val="492D3843"/>
    <w:rsid w:val="493A685C"/>
    <w:rsid w:val="497B25B3"/>
    <w:rsid w:val="49803CD2"/>
    <w:rsid w:val="49816239"/>
    <w:rsid w:val="499C16AC"/>
    <w:rsid w:val="49A42872"/>
    <w:rsid w:val="49A54A42"/>
    <w:rsid w:val="49BC6825"/>
    <w:rsid w:val="49C042F2"/>
    <w:rsid w:val="49D373CD"/>
    <w:rsid w:val="49D43520"/>
    <w:rsid w:val="49F106F9"/>
    <w:rsid w:val="4A0B01F8"/>
    <w:rsid w:val="4A807BAD"/>
    <w:rsid w:val="4B0A52C1"/>
    <w:rsid w:val="4B0C3288"/>
    <w:rsid w:val="4B791462"/>
    <w:rsid w:val="4B9C55AC"/>
    <w:rsid w:val="4BDE0D7D"/>
    <w:rsid w:val="4BF67334"/>
    <w:rsid w:val="4C297F74"/>
    <w:rsid w:val="4C2A37F0"/>
    <w:rsid w:val="4C39104D"/>
    <w:rsid w:val="4C520360"/>
    <w:rsid w:val="4C60482B"/>
    <w:rsid w:val="4C967B61"/>
    <w:rsid w:val="4CAC76B6"/>
    <w:rsid w:val="4CB026EC"/>
    <w:rsid w:val="4CE500FB"/>
    <w:rsid w:val="4D065F7A"/>
    <w:rsid w:val="4D151ABA"/>
    <w:rsid w:val="4D1D44CA"/>
    <w:rsid w:val="4D605492"/>
    <w:rsid w:val="4D64638C"/>
    <w:rsid w:val="4D666E75"/>
    <w:rsid w:val="4D96270F"/>
    <w:rsid w:val="4DE437CE"/>
    <w:rsid w:val="4E2D4BE1"/>
    <w:rsid w:val="4E30647F"/>
    <w:rsid w:val="4E434DB0"/>
    <w:rsid w:val="4EA2615B"/>
    <w:rsid w:val="4EA70518"/>
    <w:rsid w:val="4EB41737"/>
    <w:rsid w:val="4EBB56AA"/>
    <w:rsid w:val="4EC20C7A"/>
    <w:rsid w:val="4ECF7C99"/>
    <w:rsid w:val="4ED03E2A"/>
    <w:rsid w:val="4EE47AAA"/>
    <w:rsid w:val="4F1B4F2C"/>
    <w:rsid w:val="4F4C553B"/>
    <w:rsid w:val="4F5675D7"/>
    <w:rsid w:val="4F801E7D"/>
    <w:rsid w:val="4FB503C8"/>
    <w:rsid w:val="4FCC21D8"/>
    <w:rsid w:val="4FEA67E9"/>
    <w:rsid w:val="50387033"/>
    <w:rsid w:val="50777615"/>
    <w:rsid w:val="508605D9"/>
    <w:rsid w:val="50F86551"/>
    <w:rsid w:val="519235A2"/>
    <w:rsid w:val="51F30EBB"/>
    <w:rsid w:val="523F39FE"/>
    <w:rsid w:val="52447207"/>
    <w:rsid w:val="52470AB7"/>
    <w:rsid w:val="527305F3"/>
    <w:rsid w:val="529220D7"/>
    <w:rsid w:val="5293435A"/>
    <w:rsid w:val="532A6EE5"/>
    <w:rsid w:val="536D4938"/>
    <w:rsid w:val="53C95D85"/>
    <w:rsid w:val="53E867BD"/>
    <w:rsid w:val="53EC14F6"/>
    <w:rsid w:val="540B32CF"/>
    <w:rsid w:val="541E5346"/>
    <w:rsid w:val="541F146B"/>
    <w:rsid w:val="549D39F9"/>
    <w:rsid w:val="54B575D6"/>
    <w:rsid w:val="54E87AB4"/>
    <w:rsid w:val="55313209"/>
    <w:rsid w:val="554538AF"/>
    <w:rsid w:val="55DE0103"/>
    <w:rsid w:val="564A438F"/>
    <w:rsid w:val="565E3CEB"/>
    <w:rsid w:val="567970CB"/>
    <w:rsid w:val="568A207F"/>
    <w:rsid w:val="56981361"/>
    <w:rsid w:val="56AC1CAB"/>
    <w:rsid w:val="56CF0295"/>
    <w:rsid w:val="56D24578"/>
    <w:rsid w:val="56D848CE"/>
    <w:rsid w:val="56F860FB"/>
    <w:rsid w:val="56FD67D8"/>
    <w:rsid w:val="57415546"/>
    <w:rsid w:val="5747701F"/>
    <w:rsid w:val="5755618C"/>
    <w:rsid w:val="575C565C"/>
    <w:rsid w:val="578A2142"/>
    <w:rsid w:val="5792050E"/>
    <w:rsid w:val="57A203EE"/>
    <w:rsid w:val="57A30576"/>
    <w:rsid w:val="58086B27"/>
    <w:rsid w:val="581642B8"/>
    <w:rsid w:val="58490869"/>
    <w:rsid w:val="58543536"/>
    <w:rsid w:val="58550FBC"/>
    <w:rsid w:val="586438F5"/>
    <w:rsid w:val="58892DB2"/>
    <w:rsid w:val="58B2640F"/>
    <w:rsid w:val="59060509"/>
    <w:rsid w:val="59121AF0"/>
    <w:rsid w:val="591D33F7"/>
    <w:rsid w:val="59394D32"/>
    <w:rsid w:val="593B4656"/>
    <w:rsid w:val="59C65D64"/>
    <w:rsid w:val="59CF47E5"/>
    <w:rsid w:val="5A186745"/>
    <w:rsid w:val="5A1E20C2"/>
    <w:rsid w:val="5A214A41"/>
    <w:rsid w:val="5A2261B3"/>
    <w:rsid w:val="5A4B3692"/>
    <w:rsid w:val="5A774440"/>
    <w:rsid w:val="5AB50F7C"/>
    <w:rsid w:val="5AE01DBC"/>
    <w:rsid w:val="5B0F5A6C"/>
    <w:rsid w:val="5B3351F8"/>
    <w:rsid w:val="5B5211E4"/>
    <w:rsid w:val="5BC254C5"/>
    <w:rsid w:val="5BFB7CFF"/>
    <w:rsid w:val="5C0A1FAF"/>
    <w:rsid w:val="5C367357"/>
    <w:rsid w:val="5C415E64"/>
    <w:rsid w:val="5CC52615"/>
    <w:rsid w:val="5CD13DCB"/>
    <w:rsid w:val="5CF87471"/>
    <w:rsid w:val="5D030065"/>
    <w:rsid w:val="5D04165A"/>
    <w:rsid w:val="5D1F031D"/>
    <w:rsid w:val="5D7677B9"/>
    <w:rsid w:val="5D832FF6"/>
    <w:rsid w:val="5DCB1D21"/>
    <w:rsid w:val="5DEA7287"/>
    <w:rsid w:val="5E2356B9"/>
    <w:rsid w:val="5E6E3076"/>
    <w:rsid w:val="5E800D5D"/>
    <w:rsid w:val="5ECB022A"/>
    <w:rsid w:val="5EDB55D1"/>
    <w:rsid w:val="5EF35A4E"/>
    <w:rsid w:val="5F1D035A"/>
    <w:rsid w:val="5F3D3E70"/>
    <w:rsid w:val="5F5801E1"/>
    <w:rsid w:val="5F8236F2"/>
    <w:rsid w:val="5F9621E9"/>
    <w:rsid w:val="5FA171DD"/>
    <w:rsid w:val="5FC37153"/>
    <w:rsid w:val="5FCB2568"/>
    <w:rsid w:val="60561BAC"/>
    <w:rsid w:val="6057789C"/>
    <w:rsid w:val="605F3DF4"/>
    <w:rsid w:val="60695F4D"/>
    <w:rsid w:val="6092669C"/>
    <w:rsid w:val="60C43183"/>
    <w:rsid w:val="60C72C73"/>
    <w:rsid w:val="60CF254A"/>
    <w:rsid w:val="60ED35FB"/>
    <w:rsid w:val="61044DE8"/>
    <w:rsid w:val="61056E3D"/>
    <w:rsid w:val="612E1D3E"/>
    <w:rsid w:val="6168780F"/>
    <w:rsid w:val="61965765"/>
    <w:rsid w:val="61AF49EB"/>
    <w:rsid w:val="61E65824"/>
    <w:rsid w:val="61E744FB"/>
    <w:rsid w:val="61FB4DCE"/>
    <w:rsid w:val="62066613"/>
    <w:rsid w:val="62093E87"/>
    <w:rsid w:val="621F4BCC"/>
    <w:rsid w:val="6245462F"/>
    <w:rsid w:val="625078CE"/>
    <w:rsid w:val="62683FE2"/>
    <w:rsid w:val="627666FF"/>
    <w:rsid w:val="629E17B2"/>
    <w:rsid w:val="62C15295"/>
    <w:rsid w:val="62C335F7"/>
    <w:rsid w:val="632E1990"/>
    <w:rsid w:val="632E24D2"/>
    <w:rsid w:val="632E6FDA"/>
    <w:rsid w:val="634B7B8C"/>
    <w:rsid w:val="63AA090A"/>
    <w:rsid w:val="63BE6338"/>
    <w:rsid w:val="63D3192F"/>
    <w:rsid w:val="642C601E"/>
    <w:rsid w:val="643402DA"/>
    <w:rsid w:val="64416899"/>
    <w:rsid w:val="64437351"/>
    <w:rsid w:val="6450297C"/>
    <w:rsid w:val="64754165"/>
    <w:rsid w:val="64986E00"/>
    <w:rsid w:val="64D67929"/>
    <w:rsid w:val="64F0086B"/>
    <w:rsid w:val="65100493"/>
    <w:rsid w:val="654B11D8"/>
    <w:rsid w:val="654E1DF4"/>
    <w:rsid w:val="65913A56"/>
    <w:rsid w:val="65B15EE7"/>
    <w:rsid w:val="66115BC0"/>
    <w:rsid w:val="66145D69"/>
    <w:rsid w:val="663931FF"/>
    <w:rsid w:val="66407527"/>
    <w:rsid w:val="6646256E"/>
    <w:rsid w:val="6681625A"/>
    <w:rsid w:val="6692162D"/>
    <w:rsid w:val="66FA459A"/>
    <w:rsid w:val="67BF46A4"/>
    <w:rsid w:val="67C779FD"/>
    <w:rsid w:val="67E83F23"/>
    <w:rsid w:val="67F51A9C"/>
    <w:rsid w:val="67FE4FE1"/>
    <w:rsid w:val="683C0C0E"/>
    <w:rsid w:val="68677C8E"/>
    <w:rsid w:val="68AC0371"/>
    <w:rsid w:val="68B61BDB"/>
    <w:rsid w:val="68C10F6E"/>
    <w:rsid w:val="68DF2431"/>
    <w:rsid w:val="68E64F9F"/>
    <w:rsid w:val="69072F07"/>
    <w:rsid w:val="6918607C"/>
    <w:rsid w:val="69261DCB"/>
    <w:rsid w:val="69BE2739"/>
    <w:rsid w:val="69EC27BC"/>
    <w:rsid w:val="69F91590"/>
    <w:rsid w:val="6A204DBF"/>
    <w:rsid w:val="6A271F9E"/>
    <w:rsid w:val="6A274783"/>
    <w:rsid w:val="6A32108F"/>
    <w:rsid w:val="6A5E0AD5"/>
    <w:rsid w:val="6A72211A"/>
    <w:rsid w:val="6A8103F8"/>
    <w:rsid w:val="6AFF300A"/>
    <w:rsid w:val="6B613DF2"/>
    <w:rsid w:val="6B846F4B"/>
    <w:rsid w:val="6BAC3D4E"/>
    <w:rsid w:val="6BB66C96"/>
    <w:rsid w:val="6BEE2725"/>
    <w:rsid w:val="6BF94827"/>
    <w:rsid w:val="6C1D7B8D"/>
    <w:rsid w:val="6C2151E3"/>
    <w:rsid w:val="6C9358D9"/>
    <w:rsid w:val="6C9F6913"/>
    <w:rsid w:val="6CC063CB"/>
    <w:rsid w:val="6D21296A"/>
    <w:rsid w:val="6D457B24"/>
    <w:rsid w:val="6D485395"/>
    <w:rsid w:val="6D5017F5"/>
    <w:rsid w:val="6D6E4E90"/>
    <w:rsid w:val="6D82064E"/>
    <w:rsid w:val="6DAC6876"/>
    <w:rsid w:val="6DAD10F8"/>
    <w:rsid w:val="6E072901"/>
    <w:rsid w:val="6E775C2D"/>
    <w:rsid w:val="6ED4751D"/>
    <w:rsid w:val="6EDB3780"/>
    <w:rsid w:val="6EFC378C"/>
    <w:rsid w:val="6F3C2A7E"/>
    <w:rsid w:val="6F444F7F"/>
    <w:rsid w:val="6F716B70"/>
    <w:rsid w:val="6FA40449"/>
    <w:rsid w:val="6FBA447B"/>
    <w:rsid w:val="6FF9096F"/>
    <w:rsid w:val="706B3D8C"/>
    <w:rsid w:val="707B3132"/>
    <w:rsid w:val="7091588B"/>
    <w:rsid w:val="709E4C26"/>
    <w:rsid w:val="70A8536B"/>
    <w:rsid w:val="70CA75FC"/>
    <w:rsid w:val="70DA4E8F"/>
    <w:rsid w:val="70FB2DB2"/>
    <w:rsid w:val="714A1482"/>
    <w:rsid w:val="715E0A8A"/>
    <w:rsid w:val="715E7C7F"/>
    <w:rsid w:val="71762861"/>
    <w:rsid w:val="71B64C39"/>
    <w:rsid w:val="71BA368C"/>
    <w:rsid w:val="71D05A63"/>
    <w:rsid w:val="71E008AF"/>
    <w:rsid w:val="71F36CE7"/>
    <w:rsid w:val="727677D4"/>
    <w:rsid w:val="727677E6"/>
    <w:rsid w:val="72B411AF"/>
    <w:rsid w:val="72D37256"/>
    <w:rsid w:val="72EF49C6"/>
    <w:rsid w:val="73076EFF"/>
    <w:rsid w:val="7339597B"/>
    <w:rsid w:val="7357515C"/>
    <w:rsid w:val="738B06D8"/>
    <w:rsid w:val="73DB4760"/>
    <w:rsid w:val="73E57241"/>
    <w:rsid w:val="73F6757F"/>
    <w:rsid w:val="74085625"/>
    <w:rsid w:val="7459689C"/>
    <w:rsid w:val="74702755"/>
    <w:rsid w:val="74846CE6"/>
    <w:rsid w:val="74C90551"/>
    <w:rsid w:val="74D72C53"/>
    <w:rsid w:val="74DF6860"/>
    <w:rsid w:val="752547F0"/>
    <w:rsid w:val="75744556"/>
    <w:rsid w:val="758437FF"/>
    <w:rsid w:val="75A629FF"/>
    <w:rsid w:val="75B1647F"/>
    <w:rsid w:val="75B25E4D"/>
    <w:rsid w:val="75F901D7"/>
    <w:rsid w:val="76321DFF"/>
    <w:rsid w:val="764D41DD"/>
    <w:rsid w:val="764E434F"/>
    <w:rsid w:val="76541506"/>
    <w:rsid w:val="765A60A3"/>
    <w:rsid w:val="767A5FEE"/>
    <w:rsid w:val="76805ECB"/>
    <w:rsid w:val="76AC5B92"/>
    <w:rsid w:val="76E45CE3"/>
    <w:rsid w:val="76EA6C22"/>
    <w:rsid w:val="771C242B"/>
    <w:rsid w:val="776963DA"/>
    <w:rsid w:val="77BE726F"/>
    <w:rsid w:val="77D9388F"/>
    <w:rsid w:val="78526E6F"/>
    <w:rsid w:val="78697121"/>
    <w:rsid w:val="78A02C0B"/>
    <w:rsid w:val="78B100F5"/>
    <w:rsid w:val="78D62C4F"/>
    <w:rsid w:val="78F11143"/>
    <w:rsid w:val="7939364C"/>
    <w:rsid w:val="79E37743"/>
    <w:rsid w:val="79E63D12"/>
    <w:rsid w:val="79F11174"/>
    <w:rsid w:val="79F74C03"/>
    <w:rsid w:val="7A044682"/>
    <w:rsid w:val="7A07271E"/>
    <w:rsid w:val="7A715CD2"/>
    <w:rsid w:val="7A7F056E"/>
    <w:rsid w:val="7A841CDD"/>
    <w:rsid w:val="7ACA1666"/>
    <w:rsid w:val="7AD80D2C"/>
    <w:rsid w:val="7AEA15E0"/>
    <w:rsid w:val="7B174F34"/>
    <w:rsid w:val="7B281F2B"/>
    <w:rsid w:val="7B2B0141"/>
    <w:rsid w:val="7B3439E5"/>
    <w:rsid w:val="7B4B52C9"/>
    <w:rsid w:val="7B5555AF"/>
    <w:rsid w:val="7B560A24"/>
    <w:rsid w:val="7B6320B7"/>
    <w:rsid w:val="7B8051F7"/>
    <w:rsid w:val="7BD26F5F"/>
    <w:rsid w:val="7C326AC2"/>
    <w:rsid w:val="7C781F8D"/>
    <w:rsid w:val="7C815F74"/>
    <w:rsid w:val="7C8F243F"/>
    <w:rsid w:val="7C914409"/>
    <w:rsid w:val="7CA13F21"/>
    <w:rsid w:val="7CAD4B23"/>
    <w:rsid w:val="7CB15CE7"/>
    <w:rsid w:val="7CBF66A9"/>
    <w:rsid w:val="7CD67B7C"/>
    <w:rsid w:val="7D2F72CC"/>
    <w:rsid w:val="7D897AFB"/>
    <w:rsid w:val="7DD553BF"/>
    <w:rsid w:val="7E0635C9"/>
    <w:rsid w:val="7E2A4B05"/>
    <w:rsid w:val="7E3C7C54"/>
    <w:rsid w:val="7E5526A6"/>
    <w:rsid w:val="7E8565A7"/>
    <w:rsid w:val="7E912EDE"/>
    <w:rsid w:val="7EC43DB0"/>
    <w:rsid w:val="7EF6537D"/>
    <w:rsid w:val="7F34107C"/>
    <w:rsid w:val="7F456D20"/>
    <w:rsid w:val="7F4B40EF"/>
    <w:rsid w:val="7F6A60A9"/>
    <w:rsid w:val="7F7818B1"/>
    <w:rsid w:val="7F904EA3"/>
    <w:rsid w:val="7FB5275B"/>
    <w:rsid w:val="7FC1726E"/>
    <w:rsid w:val="7FCA040F"/>
    <w:rsid w:val="7FCD619B"/>
    <w:rsid w:val="7FE50AE2"/>
    <w:rsid w:val="7FFD4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name="toc 1"/>
    <w:lsdException w:qFormat="1" w:unhideWhenUsed="0" w:uiPriority="0" w:semiHidden="0" w:name="toc 2"/>
    <w:lsdException w:unhideWhenUsed="0" w:uiPriority="0" w:semiHidden="0" w:name="toc 3"/>
    <w:lsdException w:qFormat="1" w:unhideWhenUsed="0" w:uiPriority="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spacing w:beforeLines="50" w:afterLines="50" w:line="360" w:lineRule="auto"/>
      <w:outlineLvl w:val="0"/>
    </w:pPr>
    <w:rPr>
      <w:rFonts w:ascii="仿宋_GB2312" w:eastAsia="仿宋_GB2312"/>
      <w:b/>
      <w:bCs/>
      <w:sz w:val="32"/>
      <w:szCs w:val="32"/>
    </w:rPr>
  </w:style>
  <w:style w:type="paragraph" w:styleId="3">
    <w:name w:val="heading 2"/>
    <w:basedOn w:val="1"/>
    <w:next w:val="1"/>
    <w:qFormat/>
    <w:uiPriority w:val="0"/>
    <w:pPr>
      <w:widowControl/>
      <w:spacing w:before="100" w:beforeAutospacing="1" w:after="100" w:afterAutospacing="1"/>
      <w:jc w:val="left"/>
      <w:outlineLvl w:val="1"/>
    </w:pPr>
    <w:rPr>
      <w:rFonts w:eastAsia="等线"/>
      <w:kern w:val="0"/>
      <w:sz w:val="36"/>
      <w:szCs w:val="36"/>
    </w:rPr>
  </w:style>
  <w:style w:type="paragraph" w:styleId="4">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5">
    <w:name w:val="table of authorities"/>
    <w:basedOn w:val="1"/>
    <w:next w:val="1"/>
    <w:semiHidden/>
    <w:unhideWhenUsed/>
    <w:qFormat/>
    <w:uiPriority w:val="99"/>
    <w:pPr>
      <w:ind w:left="420" w:leftChars="200"/>
    </w:pPr>
  </w:style>
  <w:style w:type="paragraph" w:styleId="6">
    <w:name w:val="Normal Indent"/>
    <w:basedOn w:val="1"/>
    <w:next w:val="7"/>
    <w:qFormat/>
    <w:uiPriority w:val="99"/>
    <w:pPr>
      <w:ind w:firstLine="420"/>
    </w:pPr>
    <w:rPr>
      <w:szCs w:val="20"/>
    </w:rPr>
  </w:style>
  <w:style w:type="paragraph" w:styleId="7">
    <w:name w:val="Body Text Indent"/>
    <w:basedOn w:val="1"/>
    <w:next w:val="1"/>
    <w:qFormat/>
    <w:uiPriority w:val="0"/>
    <w:pPr>
      <w:ind w:left="480" w:hanging="480" w:hangingChars="200"/>
    </w:pPr>
    <w:rPr>
      <w:sz w:val="24"/>
    </w:rPr>
  </w:style>
  <w:style w:type="paragraph" w:styleId="8">
    <w:name w:val="annotation text"/>
    <w:basedOn w:val="1"/>
    <w:link w:val="53"/>
    <w:qFormat/>
    <w:uiPriority w:val="0"/>
    <w:pPr>
      <w:jc w:val="left"/>
    </w:pPr>
  </w:style>
  <w:style w:type="paragraph" w:styleId="9">
    <w:name w:val="Body Text"/>
    <w:basedOn w:val="1"/>
    <w:next w:val="10"/>
    <w:qFormat/>
    <w:uiPriority w:val="99"/>
    <w:rPr>
      <w:kern w:val="0"/>
      <w:sz w:val="20"/>
      <w:szCs w:val="20"/>
    </w:rPr>
  </w:style>
  <w:style w:type="paragraph" w:styleId="10">
    <w:name w:val="Body Text First Indent"/>
    <w:basedOn w:val="9"/>
    <w:qFormat/>
    <w:uiPriority w:val="0"/>
    <w:pPr>
      <w:spacing w:line="312" w:lineRule="auto"/>
      <w:ind w:firstLine="420"/>
    </w:pPr>
    <w:rPr>
      <w:szCs w:val="24"/>
    </w:rPr>
  </w:style>
  <w:style w:type="paragraph" w:styleId="11">
    <w:name w:val="Block Text"/>
    <w:basedOn w:val="1"/>
    <w:qFormat/>
    <w:uiPriority w:val="0"/>
    <w:pPr>
      <w:adjustRightInd w:val="0"/>
      <w:spacing w:line="300" w:lineRule="auto"/>
      <w:ind w:left="958" w:right="-120" w:rightChars="-120"/>
      <w:jc w:val="left"/>
    </w:pPr>
    <w:rPr>
      <w:rFonts w:ascii="宋体" w:hAnsi="宋体"/>
      <w:sz w:val="28"/>
    </w:rPr>
  </w:style>
  <w:style w:type="paragraph" w:styleId="12">
    <w:name w:val="Plain Text"/>
    <w:basedOn w:val="1"/>
    <w:next w:val="1"/>
    <w:qFormat/>
    <w:uiPriority w:val="0"/>
    <w:rPr>
      <w:rFonts w:ascii="宋体" w:hAnsi="Courier New"/>
      <w:kern w:val="0"/>
      <w:szCs w:val="21"/>
    </w:rPr>
  </w:style>
  <w:style w:type="paragraph" w:styleId="13">
    <w:name w:val="Body Text Indent 2"/>
    <w:basedOn w:val="1"/>
    <w:qFormat/>
    <w:uiPriority w:val="99"/>
    <w:pPr>
      <w:widowControl/>
      <w:spacing w:line="480" w:lineRule="atLeast"/>
      <w:ind w:firstLine="480"/>
    </w:pPr>
    <w:rPr>
      <w:kern w:val="0"/>
      <w:sz w:val="20"/>
      <w:szCs w:val="20"/>
    </w:rPr>
  </w:style>
  <w:style w:type="paragraph" w:styleId="14">
    <w:name w:val="Balloon Text"/>
    <w:basedOn w:val="1"/>
    <w:link w:val="52"/>
    <w:qFormat/>
    <w:uiPriority w:val="0"/>
    <w:rPr>
      <w:sz w:val="18"/>
      <w:szCs w:val="18"/>
    </w:rPr>
  </w:style>
  <w:style w:type="paragraph" w:styleId="15">
    <w:name w:val="footer"/>
    <w:basedOn w:val="1"/>
    <w:qFormat/>
    <w:uiPriority w:val="99"/>
    <w:pPr>
      <w:tabs>
        <w:tab w:val="center" w:pos="4153"/>
        <w:tab w:val="right" w:pos="8306"/>
      </w:tabs>
      <w:snapToGrid w:val="0"/>
      <w:jc w:val="left"/>
    </w:pPr>
    <w:rPr>
      <w:kern w:val="0"/>
      <w:sz w:val="18"/>
      <w:szCs w:val="18"/>
    </w:rPr>
  </w:style>
  <w:style w:type="paragraph" w:styleId="16">
    <w:name w:val="envelope return"/>
    <w:basedOn w:val="1"/>
    <w:qFormat/>
    <w:uiPriority w:val="99"/>
    <w:pPr>
      <w:snapToGrid w:val="0"/>
    </w:pPr>
    <w:rPr>
      <w:rFonts w:ascii="Arial" w:hAnsi="Arial"/>
    </w:rPr>
  </w:style>
  <w:style w:type="paragraph" w:styleId="1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kern w:val="0"/>
      <w:sz w:val="18"/>
      <w:szCs w:val="18"/>
    </w:rPr>
  </w:style>
  <w:style w:type="paragraph" w:styleId="18">
    <w:name w:val="toc 1"/>
    <w:basedOn w:val="19"/>
    <w:next w:val="1"/>
    <w:semiHidden/>
    <w:unhideWhenUsed/>
    <w:qFormat/>
    <w:uiPriority w:val="39"/>
  </w:style>
  <w:style w:type="paragraph" w:styleId="19">
    <w:name w:val="index 1"/>
    <w:basedOn w:val="1"/>
    <w:next w:val="1"/>
    <w:qFormat/>
    <w:uiPriority w:val="0"/>
    <w:pPr>
      <w:spacing w:line="220" w:lineRule="exact"/>
      <w:jc w:val="center"/>
    </w:pPr>
    <w:rPr>
      <w:rFonts w:ascii="仿宋_GB2312" w:eastAsia="仿宋_GB2312"/>
      <w:szCs w:val="21"/>
    </w:rPr>
  </w:style>
  <w:style w:type="paragraph" w:styleId="20">
    <w:name w:val="toc 4"/>
    <w:basedOn w:val="1"/>
    <w:next w:val="1"/>
    <w:semiHidden/>
    <w:qFormat/>
    <w:uiPriority w:val="0"/>
    <w:pPr>
      <w:ind w:left="1260" w:leftChars="600"/>
    </w:pPr>
  </w:style>
  <w:style w:type="paragraph" w:styleId="21">
    <w:name w:val="Subtitle"/>
    <w:basedOn w:val="1"/>
    <w:next w:val="1"/>
    <w:qFormat/>
    <w:uiPriority w:val="11"/>
    <w:pPr>
      <w:widowControl/>
      <w:adjustRightInd w:val="0"/>
      <w:snapToGrid w:val="0"/>
      <w:spacing w:before="240" w:after="60" w:line="312" w:lineRule="auto"/>
      <w:jc w:val="center"/>
      <w:outlineLvl w:val="1"/>
    </w:pPr>
    <w:rPr>
      <w:rFonts w:ascii="Cambria" w:hAnsi="Cambria"/>
      <w:bCs/>
      <w:kern w:val="28"/>
      <w:sz w:val="32"/>
      <w:szCs w:val="32"/>
    </w:rPr>
  </w:style>
  <w:style w:type="paragraph" w:styleId="22">
    <w:name w:val="toc 6"/>
    <w:basedOn w:val="1"/>
    <w:next w:val="1"/>
    <w:qFormat/>
    <w:uiPriority w:val="0"/>
    <w:pPr>
      <w:ind w:left="1050"/>
      <w:jc w:val="left"/>
    </w:pPr>
    <w:rPr>
      <w:rFonts w:ascii="Century Gothic" w:hAnsi="Century Gothic"/>
      <w:sz w:val="18"/>
      <w:szCs w:val="18"/>
    </w:rPr>
  </w:style>
  <w:style w:type="paragraph" w:styleId="23">
    <w:name w:val="Body Text Indent 3"/>
    <w:basedOn w:val="1"/>
    <w:qFormat/>
    <w:uiPriority w:val="0"/>
    <w:pPr>
      <w:spacing w:after="120"/>
      <w:ind w:left="420" w:leftChars="200"/>
    </w:pPr>
    <w:rPr>
      <w:rFonts w:ascii="仿宋_GB2312" w:hAnsi="宋体" w:eastAsia="仿宋_GB2312"/>
      <w:color w:val="000000"/>
      <w:kern w:val="0"/>
      <w:sz w:val="24"/>
    </w:rPr>
  </w:style>
  <w:style w:type="paragraph" w:styleId="24">
    <w:name w:val="table of figures"/>
    <w:basedOn w:val="1"/>
    <w:next w:val="1"/>
    <w:unhideWhenUsed/>
    <w:qFormat/>
    <w:uiPriority w:val="99"/>
    <w:pPr>
      <w:ind w:left="200" w:leftChars="200" w:hanging="200" w:hangingChars="200"/>
    </w:pPr>
  </w:style>
  <w:style w:type="paragraph" w:styleId="25">
    <w:name w:val="toc 2"/>
    <w:basedOn w:val="1"/>
    <w:next w:val="1"/>
    <w:qFormat/>
    <w:uiPriority w:val="0"/>
    <w:pPr>
      <w:ind w:left="420" w:leftChars="200"/>
    </w:pPr>
    <w:rPr>
      <w:szCs w:val="24"/>
    </w:rPr>
  </w:style>
  <w:style w:type="paragraph" w:styleId="26">
    <w:name w:val="Body Text 2"/>
    <w:basedOn w:val="1"/>
    <w:qFormat/>
    <w:uiPriority w:val="0"/>
    <w:pPr>
      <w:ind w:right="-512" w:rightChars="-244"/>
    </w:pPr>
    <w:rPr>
      <w:rFonts w:ascii="宋体"/>
      <w:sz w:val="24"/>
    </w:rPr>
  </w:style>
  <w:style w:type="paragraph" w:styleId="27">
    <w:name w:val="Normal (Web)"/>
    <w:basedOn w:val="1"/>
    <w:qFormat/>
    <w:uiPriority w:val="0"/>
    <w:pPr>
      <w:widowControl/>
      <w:spacing w:afterLines="50"/>
      <w:jc w:val="left"/>
    </w:pPr>
    <w:rPr>
      <w:rFonts w:ascii="长城仿宋" w:hAnsi="长城仿宋" w:eastAsia="Arial Unicode MS"/>
      <w:sz w:val="24"/>
    </w:rPr>
  </w:style>
  <w:style w:type="paragraph" w:styleId="28">
    <w:name w:val="Title"/>
    <w:basedOn w:val="1"/>
    <w:next w:val="1"/>
    <w:qFormat/>
    <w:uiPriority w:val="0"/>
    <w:pPr>
      <w:spacing w:before="240" w:after="60"/>
      <w:jc w:val="center"/>
      <w:outlineLvl w:val="0"/>
    </w:pPr>
    <w:rPr>
      <w:rFonts w:ascii="Arial" w:hAnsi="Arial"/>
      <w:sz w:val="32"/>
      <w:szCs w:val="32"/>
    </w:rPr>
  </w:style>
  <w:style w:type="paragraph" w:styleId="29">
    <w:name w:val="annotation subject"/>
    <w:basedOn w:val="8"/>
    <w:next w:val="8"/>
    <w:link w:val="54"/>
    <w:qFormat/>
    <w:uiPriority w:val="0"/>
    <w:rPr>
      <w:b/>
      <w:bCs/>
    </w:rPr>
  </w:style>
  <w:style w:type="paragraph" w:styleId="30">
    <w:name w:val="Body Text First Indent 2"/>
    <w:basedOn w:val="7"/>
    <w:next w:val="1"/>
    <w:qFormat/>
    <w:uiPriority w:val="0"/>
    <w:pPr>
      <w:spacing w:after="120"/>
      <w:ind w:left="420" w:leftChars="200" w:firstLine="420"/>
    </w:pPr>
    <w:rPr>
      <w:rFonts w:cs="宋体"/>
      <w:sz w:val="21"/>
      <w:szCs w:val="21"/>
    </w:rPr>
  </w:style>
  <w:style w:type="table" w:styleId="32">
    <w:name w:val="Table Grid"/>
    <w:basedOn w:val="3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Strong"/>
    <w:qFormat/>
    <w:uiPriority w:val="22"/>
    <w:rPr>
      <w:b/>
      <w:bCs/>
    </w:rPr>
  </w:style>
  <w:style w:type="character" w:styleId="35">
    <w:name w:val="page number"/>
    <w:basedOn w:val="33"/>
    <w:qFormat/>
    <w:uiPriority w:val="0"/>
    <w:rPr>
      <w:rFonts w:cs="Times New Roman"/>
    </w:rPr>
  </w:style>
  <w:style w:type="character" w:styleId="36">
    <w:name w:val="Hyperlink"/>
    <w:qFormat/>
    <w:uiPriority w:val="0"/>
    <w:rPr>
      <w:color w:val="0000FF"/>
      <w:u w:val="single"/>
    </w:rPr>
  </w:style>
  <w:style w:type="character" w:styleId="37">
    <w:name w:val="annotation reference"/>
    <w:basedOn w:val="33"/>
    <w:qFormat/>
    <w:uiPriority w:val="0"/>
    <w:rPr>
      <w:sz w:val="21"/>
      <w:szCs w:val="21"/>
    </w:rPr>
  </w:style>
  <w:style w:type="paragraph" w:customStyle="1" w:styleId="38">
    <w:name w:val="[Normal]"/>
    <w:qFormat/>
    <w:uiPriority w:val="0"/>
    <w:rPr>
      <w:rFonts w:ascii="宋体" w:hAnsi="宋体" w:eastAsia="宋体" w:cs="Times New Roman"/>
      <w:sz w:val="24"/>
      <w:lang w:val="en-US" w:eastAsia="en-US" w:bidi="ar-SA"/>
    </w:rPr>
  </w:style>
  <w:style w:type="paragraph" w:customStyle="1" w:styleId="39">
    <w:name w:val="表格文字"/>
    <w:basedOn w:val="40"/>
    <w:next w:val="9"/>
    <w:qFormat/>
    <w:uiPriority w:val="99"/>
    <w:pPr>
      <w:adjustRightInd w:val="0"/>
      <w:spacing w:line="420" w:lineRule="atLeast"/>
      <w:jc w:val="left"/>
      <w:textAlignment w:val="baseline"/>
    </w:pPr>
    <w:rPr>
      <w:szCs w:val="24"/>
    </w:rPr>
  </w:style>
  <w:style w:type="paragraph" w:customStyle="1" w:styleId="40">
    <w:name w:val="表格文字（两侧对齐）"/>
    <w:basedOn w:val="1"/>
    <w:qFormat/>
    <w:uiPriority w:val="0"/>
    <w:pPr>
      <w:snapToGrid w:val="0"/>
    </w:pPr>
    <w:rPr>
      <w:sz w:val="20"/>
    </w:rPr>
  </w:style>
  <w:style w:type="paragraph" w:customStyle="1" w:styleId="41">
    <w:name w:val="Normal Indent1"/>
    <w:basedOn w:val="1"/>
    <w:qFormat/>
    <w:uiPriority w:val="0"/>
    <w:pPr>
      <w:ind w:firstLine="420" w:firstLineChars="200"/>
    </w:pPr>
  </w:style>
  <w:style w:type="paragraph" w:customStyle="1" w:styleId="42">
    <w:name w:val="Plain Text1"/>
    <w:basedOn w:val="1"/>
    <w:qFormat/>
    <w:uiPriority w:val="0"/>
    <w:rPr>
      <w:rFonts w:ascii="宋体" w:hAnsi="Courier New"/>
      <w:szCs w:val="20"/>
    </w:rPr>
  </w:style>
  <w:style w:type="paragraph" w:customStyle="1" w:styleId="43">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44">
    <w:name w:val="正文2"/>
    <w:basedOn w:val="1"/>
    <w:next w:val="18"/>
    <w:qFormat/>
    <w:uiPriority w:val="0"/>
    <w:pPr>
      <w:spacing w:before="156" w:line="360" w:lineRule="auto"/>
      <w:ind w:firstLine="510" w:firstLineChars="200"/>
    </w:pPr>
    <w:rPr>
      <w:sz w:val="24"/>
      <w:szCs w:val="20"/>
    </w:rPr>
  </w:style>
  <w:style w:type="paragraph" w:customStyle="1" w:styleId="45">
    <w:name w:val="列出段落1"/>
    <w:basedOn w:val="1"/>
    <w:qFormat/>
    <w:uiPriority w:val="34"/>
    <w:pPr>
      <w:ind w:firstLine="420" w:firstLineChars="200"/>
    </w:pPr>
  </w:style>
  <w:style w:type="paragraph" w:customStyle="1" w:styleId="46">
    <w:name w:val="l正文"/>
    <w:basedOn w:val="1"/>
    <w:qFormat/>
    <w:uiPriority w:val="0"/>
    <w:pPr>
      <w:spacing w:line="300" w:lineRule="auto"/>
      <w:ind w:firstLine="200" w:firstLineChars="200"/>
      <w:jc w:val="left"/>
    </w:pPr>
    <w:rPr>
      <w:rFonts w:ascii="楷体_GB2312" w:hAnsi="Times" w:eastAsia="楷体_GB2312" w:cs="等线"/>
      <w:sz w:val="24"/>
    </w:rPr>
  </w:style>
  <w:style w:type="paragraph" w:customStyle="1" w:styleId="47">
    <w:name w:val="纯文本1"/>
    <w:basedOn w:val="48"/>
    <w:qFormat/>
    <w:uiPriority w:val="0"/>
    <w:pPr>
      <w:widowControl/>
      <w:jc w:val="left"/>
    </w:pPr>
    <w:rPr>
      <w:rFonts w:hint="default" w:ascii="宋体" w:hAnsi="Courier New"/>
    </w:rPr>
  </w:style>
  <w:style w:type="paragraph" w:customStyle="1" w:styleId="48">
    <w:name w:val="正文1"/>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49">
    <w:name w:val="章正文"/>
    <w:basedOn w:val="1"/>
    <w:qFormat/>
    <w:locked/>
    <w:uiPriority w:val="99"/>
    <w:pPr>
      <w:spacing w:beforeLines="50" w:after="120" w:line="300" w:lineRule="auto"/>
      <w:ind w:firstLine="480"/>
    </w:pPr>
    <w:rPr>
      <w:rFonts w:ascii="Helvetica" w:hAnsi="Helvetica"/>
      <w:kern w:val="0"/>
    </w:rPr>
  </w:style>
  <w:style w:type="character" w:customStyle="1" w:styleId="50">
    <w:name w:val="font21"/>
    <w:basedOn w:val="33"/>
    <w:qFormat/>
    <w:uiPriority w:val="0"/>
    <w:rPr>
      <w:rFonts w:hint="eastAsia" w:ascii="宋体" w:hAnsi="宋体" w:eastAsia="宋体" w:cs="宋体"/>
      <w:color w:val="000000"/>
      <w:sz w:val="21"/>
      <w:szCs w:val="21"/>
      <w:u w:val="none"/>
    </w:rPr>
  </w:style>
  <w:style w:type="character" w:customStyle="1" w:styleId="51">
    <w:name w:val="font31"/>
    <w:basedOn w:val="33"/>
    <w:qFormat/>
    <w:uiPriority w:val="0"/>
    <w:rPr>
      <w:rFonts w:hint="eastAsia" w:ascii="宋体" w:hAnsi="宋体" w:eastAsia="宋体" w:cs="宋体"/>
      <w:color w:val="000000"/>
      <w:sz w:val="24"/>
      <w:szCs w:val="24"/>
      <w:u w:val="none"/>
    </w:rPr>
  </w:style>
  <w:style w:type="character" w:customStyle="1" w:styleId="52">
    <w:name w:val="批注框文本 Char"/>
    <w:basedOn w:val="33"/>
    <w:link w:val="14"/>
    <w:qFormat/>
    <w:uiPriority w:val="0"/>
    <w:rPr>
      <w:rFonts w:ascii="Times New Roman" w:hAnsi="Times New Roman" w:eastAsia="宋体" w:cs="Times New Roman"/>
      <w:kern w:val="2"/>
      <w:sz w:val="18"/>
      <w:szCs w:val="18"/>
    </w:rPr>
  </w:style>
  <w:style w:type="character" w:customStyle="1" w:styleId="53">
    <w:name w:val="批注文字 Char"/>
    <w:basedOn w:val="33"/>
    <w:link w:val="8"/>
    <w:qFormat/>
    <w:uiPriority w:val="0"/>
    <w:rPr>
      <w:rFonts w:ascii="Times New Roman" w:hAnsi="Times New Roman" w:eastAsia="宋体" w:cs="Times New Roman"/>
      <w:kern w:val="2"/>
      <w:sz w:val="21"/>
      <w:szCs w:val="22"/>
    </w:rPr>
  </w:style>
  <w:style w:type="character" w:customStyle="1" w:styleId="54">
    <w:name w:val="批注主题 Char"/>
    <w:basedOn w:val="53"/>
    <w:link w:val="29"/>
    <w:qFormat/>
    <w:uiPriority w:val="0"/>
    <w:rPr>
      <w:rFonts w:ascii="Times New Roman" w:hAnsi="Times New Roman" w:eastAsia="宋体" w:cs="Times New Roman"/>
      <w:b/>
      <w:bCs/>
      <w:kern w:val="2"/>
      <w:sz w:val="21"/>
      <w:szCs w:val="22"/>
    </w:rPr>
  </w:style>
  <w:style w:type="paragraph" w:styleId="55">
    <w:name w:val="List Paragraph"/>
    <w:basedOn w:val="1"/>
    <w:qFormat/>
    <w:uiPriority w:val="34"/>
    <w:pPr>
      <w:ind w:firstLine="420" w:firstLineChars="200"/>
    </w:pPr>
  </w:style>
  <w:style w:type="paragraph" w:customStyle="1" w:styleId="56">
    <w:name w:val="正文C"/>
    <w:basedOn w:val="1"/>
    <w:qFormat/>
    <w:uiPriority w:val="0"/>
    <w:pPr>
      <w:spacing w:line="360" w:lineRule="auto"/>
      <w:ind w:firstLine="480" w:firstLineChars="200"/>
    </w:pPr>
    <w:rPr>
      <w:sz w:val="24"/>
      <w:szCs w:val="24"/>
    </w:rPr>
  </w:style>
  <w:style w:type="paragraph" w:customStyle="1" w:styleId="57">
    <w:name w:val="段"/>
    <w:qFormat/>
    <w:uiPriority w:val="0"/>
    <w:pPr>
      <w:autoSpaceDE w:val="0"/>
      <w:autoSpaceDN w:val="0"/>
      <w:spacing w:after="200" w:line="252" w:lineRule="auto"/>
      <w:ind w:firstLine="200" w:firstLineChars="200"/>
      <w:jc w:val="both"/>
    </w:pPr>
    <w:rPr>
      <w:rFonts w:ascii="宋体" w:hAnsi="Calibri" w:eastAsia="宋体" w:cs="Times New Roman"/>
      <w:sz w:val="22"/>
      <w:szCs w:val="22"/>
      <w:lang w:val="en-US" w:eastAsia="zh-CN" w:bidi="ar-SA"/>
    </w:rPr>
  </w:style>
  <w:style w:type="paragraph" w:customStyle="1" w:styleId="58">
    <w:name w:val="Table Text"/>
    <w:basedOn w:val="1"/>
    <w:semiHidden/>
    <w:qFormat/>
    <w:uiPriority w:val="0"/>
    <w:pPr>
      <w:widowControl/>
      <w:kinsoku w:val="0"/>
      <w:autoSpaceDE w:val="0"/>
      <w:autoSpaceDN w:val="0"/>
      <w:adjustRightInd w:val="0"/>
      <w:snapToGrid w:val="0"/>
      <w:jc w:val="left"/>
      <w:textAlignment w:val="baseline"/>
    </w:pPr>
    <w:rPr>
      <w:rFonts w:ascii="微软雅黑" w:hAnsi="微软雅黑" w:eastAsia="微软雅黑" w:cs="微软雅黑"/>
      <w:snapToGrid w:val="0"/>
      <w:color w:val="000000"/>
      <w:kern w:val="0"/>
      <w:sz w:val="24"/>
      <w:szCs w:val="24"/>
      <w:lang w:eastAsia="en-US"/>
    </w:rPr>
  </w:style>
  <w:style w:type="paragraph" w:customStyle="1" w:styleId="59">
    <w:name w:val="2级"/>
    <w:basedOn w:val="1"/>
    <w:qFormat/>
    <w:uiPriority w:val="0"/>
    <w:pPr>
      <w:spacing w:line="360" w:lineRule="auto"/>
      <w:outlineLvl w:val="1"/>
    </w:pPr>
    <w:rPr>
      <w:b/>
    </w:rPr>
  </w:style>
  <w:style w:type="paragraph" w:customStyle="1" w:styleId="60">
    <w:name w:val="正文文本1"/>
    <w:basedOn w:val="1"/>
    <w:qFormat/>
    <w:uiPriority w:val="0"/>
    <w:rPr>
      <w:rFonts w:ascii="Times New Roman" w:hAnsi="Times New Roman" w:eastAsia="宋体"/>
      <w:kern w:val="0"/>
      <w:sz w:val="20"/>
      <w:szCs w:val="20"/>
      <w:lang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65</Pages>
  <Words>8778</Words>
  <Characters>9868</Characters>
  <Lines>245</Lines>
  <Paragraphs>69</Paragraphs>
  <TotalTime>0</TotalTime>
  <ScaleCrop>false</ScaleCrop>
  <LinksUpToDate>false</LinksUpToDate>
  <CharactersWithSpaces>10167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2022-06-09T03:54:00Z</dcterms:created>
  <dc:creator>huawei</dc:creator>
  <cp:lastModifiedBy>huawei</cp:lastModifiedBy>
  <cp:lastPrinted>2022-12-09T03:11:00Z</cp:lastPrinted>
  <dcterms:modified xsi:type="dcterms:W3CDTF">2025-01-14T09:32:42Z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A49092101F3945008C6F30E59ACE3F0D_13</vt:lpwstr>
  </property>
  <property fmtid="{D5CDD505-2E9C-101B-9397-08002B2CF9AE}" pid="4" name="KSOTemplateDocerSaveRecord">
    <vt:lpwstr>eyJoZGlkIjoiZGZlNjk0ZGYzYzk1OTZiYzA2NTYwZTg1ODY0OGMwOGEifQ==</vt:lpwstr>
  </property>
</Properties>
</file>