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9C76A">
      <w:pPr>
        <w:tabs>
          <w:tab w:val="left" w:pos="1069"/>
          <w:tab w:val="left" w:pos="2352"/>
        </w:tabs>
        <w:jc w:val="center"/>
        <w:rPr>
          <w:rFonts w:hint="eastAsia" w:ascii="宋体" w:hAnsi="宋体" w:cs="宋体"/>
          <w:b/>
          <w:bCs/>
          <w:color w:val="auto"/>
          <w:spacing w:val="100"/>
          <w:sz w:val="72"/>
          <w:szCs w:val="72"/>
          <w:highlight w:val="none"/>
        </w:rPr>
      </w:pPr>
      <w:bookmarkStart w:id="94" w:name="_GoBack"/>
      <w:bookmarkEnd w:id="94"/>
    </w:p>
    <w:p w14:paraId="1805275C">
      <w:pPr>
        <w:tabs>
          <w:tab w:val="left" w:pos="1069"/>
          <w:tab w:val="left" w:pos="2352"/>
        </w:tabs>
        <w:jc w:val="center"/>
        <w:rPr>
          <w:rFonts w:ascii="宋体" w:hAnsi="宋体" w:cs="宋体"/>
          <w:b/>
          <w:bCs/>
          <w:color w:val="auto"/>
          <w:spacing w:val="100"/>
          <w:sz w:val="72"/>
          <w:szCs w:val="72"/>
          <w:highlight w:val="none"/>
        </w:rPr>
      </w:pPr>
      <w:r>
        <w:rPr>
          <w:rFonts w:hint="eastAsia" w:ascii="宋体" w:hAnsi="宋体" w:cs="宋体"/>
          <w:b/>
          <w:bCs/>
          <w:color w:val="auto"/>
          <w:spacing w:val="100"/>
          <w:sz w:val="72"/>
          <w:szCs w:val="72"/>
          <w:highlight w:val="none"/>
        </w:rPr>
        <w:t>泰顺县政府采购</w:t>
      </w:r>
    </w:p>
    <w:p w14:paraId="622B6AED">
      <w:pPr>
        <w:tabs>
          <w:tab w:val="left" w:pos="1069"/>
          <w:tab w:val="left" w:pos="2352"/>
        </w:tabs>
        <w:jc w:val="center"/>
        <w:rPr>
          <w:rFonts w:ascii="宋体" w:hAnsi="宋体" w:cs="宋体"/>
          <w:b/>
          <w:bCs/>
          <w:color w:val="auto"/>
          <w:kern w:val="0"/>
          <w:szCs w:val="24"/>
          <w:highlight w:val="none"/>
        </w:rPr>
      </w:pPr>
    </w:p>
    <w:p w14:paraId="54BD0215">
      <w:pPr>
        <w:pStyle w:val="31"/>
        <w:tabs>
          <w:tab w:val="left" w:pos="1069"/>
          <w:tab w:val="left" w:pos="2352"/>
        </w:tabs>
        <w:rPr>
          <w:rFonts w:ascii="宋体" w:hAnsi="宋体" w:cs="宋体"/>
          <w:color w:val="auto"/>
          <w:highlight w:val="none"/>
        </w:rPr>
      </w:pPr>
    </w:p>
    <w:p w14:paraId="6BE9374E">
      <w:pPr>
        <w:tabs>
          <w:tab w:val="left" w:pos="1069"/>
          <w:tab w:val="left" w:pos="2352"/>
        </w:tabs>
        <w:jc w:val="center"/>
        <w:rPr>
          <w:rFonts w:ascii="宋体" w:hAnsi="宋体" w:cs="宋体"/>
          <w:b/>
          <w:bCs/>
          <w:color w:val="auto"/>
          <w:kern w:val="0"/>
          <w:szCs w:val="24"/>
          <w:highlight w:val="none"/>
        </w:rPr>
      </w:pPr>
    </w:p>
    <w:p w14:paraId="0267A5E1">
      <w:pPr>
        <w:tabs>
          <w:tab w:val="left" w:pos="1069"/>
          <w:tab w:val="left" w:pos="2352"/>
        </w:tabs>
        <w:jc w:val="center"/>
        <w:rPr>
          <w:rFonts w:ascii="宋体" w:hAnsi="宋体" w:cs="宋体"/>
          <w:b/>
          <w:bCs/>
          <w:color w:val="auto"/>
          <w:kern w:val="0"/>
          <w:szCs w:val="24"/>
          <w:highlight w:val="none"/>
        </w:rPr>
      </w:pPr>
    </w:p>
    <w:p w14:paraId="114D4717">
      <w:pPr>
        <w:pStyle w:val="8"/>
        <w:tabs>
          <w:tab w:val="left" w:pos="1069"/>
          <w:tab w:val="left" w:pos="2352"/>
        </w:tabs>
        <w:rPr>
          <w:rFonts w:ascii="宋体" w:hAnsi="宋体" w:cs="宋体"/>
          <w:b/>
          <w:color w:val="auto"/>
          <w:szCs w:val="24"/>
          <w:highlight w:val="none"/>
        </w:rPr>
      </w:pPr>
    </w:p>
    <w:p w14:paraId="02D23F72">
      <w:pPr>
        <w:pStyle w:val="8"/>
        <w:tabs>
          <w:tab w:val="left" w:pos="1069"/>
          <w:tab w:val="left" w:pos="2352"/>
        </w:tabs>
        <w:rPr>
          <w:rFonts w:ascii="宋体" w:hAnsi="宋体" w:cs="宋体"/>
          <w:b/>
          <w:color w:val="auto"/>
          <w:szCs w:val="24"/>
          <w:highlight w:val="none"/>
        </w:rPr>
      </w:pPr>
    </w:p>
    <w:p w14:paraId="16046492">
      <w:pPr>
        <w:pStyle w:val="8"/>
        <w:tabs>
          <w:tab w:val="left" w:pos="1069"/>
          <w:tab w:val="left" w:pos="2352"/>
        </w:tabs>
        <w:rPr>
          <w:rFonts w:ascii="宋体" w:hAnsi="宋体" w:cs="宋体"/>
          <w:b/>
          <w:color w:val="auto"/>
          <w:szCs w:val="24"/>
          <w:highlight w:val="none"/>
        </w:rPr>
      </w:pPr>
    </w:p>
    <w:p w14:paraId="40052BA9">
      <w:pPr>
        <w:pStyle w:val="8"/>
        <w:tabs>
          <w:tab w:val="left" w:pos="1069"/>
          <w:tab w:val="left" w:pos="2352"/>
        </w:tabs>
        <w:rPr>
          <w:rFonts w:ascii="宋体" w:hAnsi="宋体" w:cs="宋体"/>
          <w:b/>
          <w:color w:val="auto"/>
          <w:szCs w:val="24"/>
          <w:highlight w:val="none"/>
        </w:rPr>
      </w:pPr>
    </w:p>
    <w:p w14:paraId="5DB59168">
      <w:pPr>
        <w:tabs>
          <w:tab w:val="left" w:pos="1069"/>
          <w:tab w:val="left" w:pos="2352"/>
        </w:tabs>
        <w:spacing w:line="900" w:lineRule="exact"/>
        <w:jc w:val="center"/>
        <w:rPr>
          <w:rFonts w:ascii="宋体" w:hAnsi="宋体" w:cs="宋体"/>
          <w:b/>
          <w:bCs/>
          <w:color w:val="auto"/>
          <w:spacing w:val="140"/>
          <w:sz w:val="72"/>
          <w:szCs w:val="72"/>
          <w:highlight w:val="none"/>
        </w:rPr>
      </w:pPr>
      <w:r>
        <w:rPr>
          <w:rFonts w:hint="eastAsia" w:ascii="宋体" w:hAnsi="宋体" w:cs="宋体"/>
          <w:b/>
          <w:bCs/>
          <w:color w:val="auto"/>
          <w:spacing w:val="140"/>
          <w:sz w:val="72"/>
          <w:szCs w:val="72"/>
          <w:highlight w:val="none"/>
        </w:rPr>
        <w:t>竞争性磋商文件</w:t>
      </w:r>
    </w:p>
    <w:p w14:paraId="583A3140">
      <w:pPr>
        <w:tabs>
          <w:tab w:val="left" w:pos="1069"/>
          <w:tab w:val="left" w:pos="2352"/>
        </w:tabs>
        <w:jc w:val="center"/>
        <w:rPr>
          <w:rFonts w:ascii="宋体" w:hAnsi="宋体" w:cs="宋体"/>
          <w:b/>
          <w:color w:val="auto"/>
          <w:sz w:val="36"/>
          <w:szCs w:val="36"/>
          <w:highlight w:val="none"/>
        </w:rPr>
      </w:pPr>
    </w:p>
    <w:p w14:paraId="75065702">
      <w:pPr>
        <w:tabs>
          <w:tab w:val="left" w:pos="1069"/>
          <w:tab w:val="left" w:pos="2352"/>
        </w:tabs>
        <w:jc w:val="center"/>
        <w:rPr>
          <w:rFonts w:ascii="宋体" w:hAnsi="宋体" w:cs="宋体"/>
          <w:b/>
          <w:color w:val="auto"/>
          <w:sz w:val="36"/>
          <w:szCs w:val="36"/>
          <w:highlight w:val="none"/>
        </w:rPr>
      </w:pPr>
      <w:r>
        <w:rPr>
          <w:rFonts w:hint="eastAsia" w:ascii="宋体" w:hAnsi="宋体" w:cs="宋体"/>
          <w:b/>
          <w:color w:val="auto"/>
          <w:sz w:val="36"/>
          <w:szCs w:val="36"/>
          <w:highlight w:val="none"/>
        </w:rPr>
        <w:t>（线上电子招投标）</w:t>
      </w:r>
    </w:p>
    <w:p w14:paraId="088C42D4">
      <w:pPr>
        <w:pStyle w:val="19"/>
        <w:tabs>
          <w:tab w:val="left" w:pos="2352"/>
        </w:tabs>
        <w:ind w:left="856" w:hanging="428"/>
        <w:rPr>
          <w:color w:val="auto"/>
          <w:highlight w:val="none"/>
        </w:rPr>
      </w:pPr>
    </w:p>
    <w:tbl>
      <w:tblPr>
        <w:tblStyle w:val="26"/>
        <w:tblpPr w:leftFromText="180" w:rightFromText="180" w:vertAnchor="text" w:tblpXSpec="right" w:tblpY="1"/>
        <w:tblOverlap w:val="never"/>
        <w:tblW w:w="0" w:type="auto"/>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590"/>
        <w:gridCol w:w="6574"/>
      </w:tblGrid>
      <w:tr w14:paraId="5060832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69776D66">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采购编号</w:t>
            </w:r>
          </w:p>
        </w:tc>
        <w:tc>
          <w:tcPr>
            <w:tcW w:w="6574" w:type="dxa"/>
            <w:vAlign w:val="center"/>
          </w:tcPr>
          <w:p w14:paraId="67A9BF91">
            <w:pPr>
              <w:tabs>
                <w:tab w:val="left" w:pos="1069"/>
                <w:tab w:val="left" w:pos="2139"/>
                <w:tab w:val="left" w:pos="2352"/>
              </w:tabs>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lang w:eastAsia="zh-CN"/>
              </w:rPr>
              <w:t>TSCG202409011</w:t>
            </w:r>
          </w:p>
        </w:tc>
      </w:tr>
      <w:tr w14:paraId="2AC02AFD">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590E867C">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项目名称</w:t>
            </w:r>
          </w:p>
        </w:tc>
        <w:tc>
          <w:tcPr>
            <w:tcW w:w="6574" w:type="dxa"/>
            <w:vAlign w:val="center"/>
          </w:tcPr>
          <w:p w14:paraId="663BBBBD">
            <w:pPr>
              <w:tabs>
                <w:tab w:val="left" w:pos="1069"/>
                <w:tab w:val="left" w:pos="2139"/>
                <w:tab w:val="left" w:pos="2352"/>
              </w:tabs>
              <w:rPr>
                <w:rFonts w:ascii="宋体" w:hAnsi="宋体" w:cs="宋体"/>
                <w:b/>
                <w:color w:val="auto"/>
                <w:sz w:val="30"/>
                <w:szCs w:val="30"/>
                <w:highlight w:val="none"/>
              </w:rPr>
            </w:pPr>
            <w:r>
              <w:rPr>
                <w:rFonts w:hint="eastAsia" w:ascii="宋体" w:hAnsi="宋体" w:cs="宋体"/>
                <w:b/>
                <w:bCs/>
                <w:color w:val="auto"/>
                <w:sz w:val="30"/>
                <w:szCs w:val="30"/>
                <w:highlight w:val="none"/>
              </w:rPr>
              <w:t>2024年泰顺县森林资源动态监测与评价</w:t>
            </w:r>
          </w:p>
        </w:tc>
      </w:tr>
      <w:tr w14:paraId="4340F4D4">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026A358B">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采购方式</w:t>
            </w:r>
          </w:p>
        </w:tc>
        <w:tc>
          <w:tcPr>
            <w:tcW w:w="6574" w:type="dxa"/>
            <w:vAlign w:val="center"/>
          </w:tcPr>
          <w:p w14:paraId="4BC472B3">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竞争性磋商</w:t>
            </w:r>
          </w:p>
        </w:tc>
      </w:tr>
      <w:tr w14:paraId="5F570B8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59978CB1">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采购单位</w:t>
            </w:r>
          </w:p>
        </w:tc>
        <w:tc>
          <w:tcPr>
            <w:tcW w:w="6574" w:type="dxa"/>
            <w:vAlign w:val="center"/>
          </w:tcPr>
          <w:p w14:paraId="0BEA266D">
            <w:pPr>
              <w:tabs>
                <w:tab w:val="left" w:pos="1069"/>
                <w:tab w:val="left" w:pos="2139"/>
                <w:tab w:val="left" w:pos="2352"/>
              </w:tabs>
              <w:snapToGrid w:val="0"/>
              <w:spacing w:line="500" w:lineRule="atLeast"/>
              <w:rPr>
                <w:rFonts w:ascii="宋体" w:hAnsi="宋体" w:cs="宋体"/>
                <w:b/>
                <w:color w:val="auto"/>
                <w:sz w:val="30"/>
                <w:szCs w:val="30"/>
                <w:highlight w:val="none"/>
              </w:rPr>
            </w:pPr>
            <w:r>
              <w:rPr>
                <w:rFonts w:hint="eastAsia" w:ascii="宋体" w:hAnsi="宋体" w:cs="宋体"/>
                <w:b/>
                <w:color w:val="auto"/>
                <w:sz w:val="30"/>
                <w:szCs w:val="30"/>
                <w:highlight w:val="none"/>
              </w:rPr>
              <w:t>泰顺县自然资源和规划局</w:t>
            </w:r>
          </w:p>
        </w:tc>
      </w:tr>
      <w:tr w14:paraId="6320325F">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7EF71157">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招标代理机构</w:t>
            </w:r>
          </w:p>
        </w:tc>
        <w:tc>
          <w:tcPr>
            <w:tcW w:w="6574" w:type="dxa"/>
            <w:vAlign w:val="center"/>
          </w:tcPr>
          <w:p w14:paraId="2CBBF719">
            <w:pPr>
              <w:tabs>
                <w:tab w:val="left" w:pos="1069"/>
                <w:tab w:val="left" w:pos="2139"/>
                <w:tab w:val="left" w:pos="2352"/>
              </w:tabs>
              <w:rPr>
                <w:rFonts w:ascii="宋体" w:hAnsi="宋体" w:cs="宋体"/>
                <w:b/>
                <w:color w:val="auto"/>
                <w:sz w:val="30"/>
                <w:szCs w:val="30"/>
                <w:highlight w:val="none"/>
              </w:rPr>
            </w:pPr>
            <w:r>
              <w:rPr>
                <w:rFonts w:hint="eastAsia" w:ascii="宋体" w:hAnsi="宋体" w:cs="宋体"/>
                <w:b/>
                <w:color w:val="auto"/>
                <w:sz w:val="30"/>
                <w:szCs w:val="30"/>
                <w:highlight w:val="none"/>
              </w:rPr>
              <w:t>杭州华旗招标代理有限公司</w:t>
            </w:r>
          </w:p>
        </w:tc>
      </w:tr>
      <w:tr w14:paraId="645CCEAB">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590" w:type="dxa"/>
            <w:vAlign w:val="center"/>
          </w:tcPr>
          <w:p w14:paraId="3DB5B9A0">
            <w:pPr>
              <w:tabs>
                <w:tab w:val="left" w:pos="1069"/>
                <w:tab w:val="left" w:pos="2139"/>
                <w:tab w:val="left" w:pos="2352"/>
              </w:tabs>
              <w:rPr>
                <w:rFonts w:ascii="宋体" w:hAnsi="宋体" w:cs="宋体"/>
                <w:b/>
                <w:bCs/>
                <w:color w:val="auto"/>
                <w:sz w:val="28"/>
                <w:szCs w:val="28"/>
                <w:highlight w:val="none"/>
              </w:rPr>
            </w:pPr>
            <w:r>
              <w:rPr>
                <w:rFonts w:hint="eastAsia" w:ascii="宋体" w:hAnsi="宋体" w:cs="宋体"/>
                <w:b/>
                <w:color w:val="auto"/>
                <w:sz w:val="30"/>
                <w:szCs w:val="30"/>
                <w:highlight w:val="none"/>
              </w:rPr>
              <w:t>监督及备案机构</w:t>
            </w:r>
          </w:p>
        </w:tc>
        <w:tc>
          <w:tcPr>
            <w:tcW w:w="6574" w:type="dxa"/>
            <w:vAlign w:val="center"/>
          </w:tcPr>
          <w:p w14:paraId="0DF4278B">
            <w:pPr>
              <w:tabs>
                <w:tab w:val="left" w:pos="1069"/>
                <w:tab w:val="left" w:pos="2139"/>
                <w:tab w:val="left" w:pos="2352"/>
              </w:tabs>
              <w:rPr>
                <w:rFonts w:ascii="宋体" w:hAnsi="宋体" w:cs="宋体"/>
                <w:b/>
                <w:bCs/>
                <w:color w:val="auto"/>
                <w:sz w:val="28"/>
                <w:szCs w:val="28"/>
                <w:highlight w:val="none"/>
              </w:rPr>
            </w:pPr>
            <w:bookmarkStart w:id="0" w:name="B20_同级政府采购监督管理部门"/>
            <w:r>
              <w:rPr>
                <w:rFonts w:hint="eastAsia" w:ascii="宋体" w:hAnsi="宋体" w:cs="宋体"/>
                <w:b/>
                <w:color w:val="auto"/>
                <w:sz w:val="30"/>
                <w:szCs w:val="30"/>
                <w:highlight w:val="none"/>
              </w:rPr>
              <w:t>泰顺县</w:t>
            </w:r>
            <w:bookmarkEnd w:id="0"/>
            <w:r>
              <w:rPr>
                <w:rFonts w:hint="eastAsia" w:ascii="宋体" w:hAnsi="宋体" w:cs="宋体"/>
                <w:b/>
                <w:color w:val="auto"/>
                <w:sz w:val="30"/>
                <w:szCs w:val="30"/>
                <w:highlight w:val="none"/>
              </w:rPr>
              <w:t>财政局</w:t>
            </w:r>
          </w:p>
        </w:tc>
      </w:tr>
    </w:tbl>
    <w:p w14:paraId="7E5F8BA6">
      <w:pPr>
        <w:tabs>
          <w:tab w:val="left" w:pos="1069"/>
          <w:tab w:val="left" w:pos="2352"/>
        </w:tabs>
        <w:autoSpaceDE w:val="0"/>
        <w:autoSpaceDN w:val="0"/>
        <w:adjustRightInd w:val="0"/>
        <w:spacing w:line="440" w:lineRule="atLeast"/>
        <w:jc w:val="center"/>
        <w:rPr>
          <w:rFonts w:ascii="宋体" w:hAnsi="宋体" w:cs="宋体"/>
          <w:b/>
          <w:color w:val="auto"/>
          <w:sz w:val="30"/>
          <w:szCs w:val="30"/>
          <w:highlight w:val="none"/>
        </w:rPr>
      </w:pPr>
    </w:p>
    <w:p w14:paraId="6EAB7A6C">
      <w:pPr>
        <w:tabs>
          <w:tab w:val="left" w:pos="1069"/>
          <w:tab w:val="left" w:pos="2352"/>
          <w:tab w:val="left" w:pos="3850"/>
        </w:tabs>
        <w:autoSpaceDE w:val="0"/>
        <w:autoSpaceDN w:val="0"/>
        <w:adjustRightInd w:val="0"/>
        <w:spacing w:line="440" w:lineRule="atLeast"/>
        <w:jc w:val="center"/>
        <w:rPr>
          <w:rFonts w:ascii="宋体" w:hAnsi="宋体" w:cs="宋体"/>
          <w:color w:val="auto"/>
          <w:highlight w:val="none"/>
        </w:rPr>
        <w:sectPr>
          <w:headerReference r:id="rId5" w:type="first"/>
          <w:headerReference r:id="rId3" w:type="default"/>
          <w:headerReference r:id="rId4" w:type="even"/>
          <w:footerReference r:id="rId6" w:type="even"/>
          <w:pgSz w:w="11906" w:h="16838"/>
          <w:pgMar w:top="1440" w:right="1247" w:bottom="1440" w:left="1247" w:header="851" w:footer="992" w:gutter="0"/>
          <w:pgNumType w:fmt="numberInDash"/>
          <w:cols w:space="720" w:num="1"/>
          <w:titlePg/>
          <w:docGrid w:type="linesAndChars" w:linePitch="317" w:charSpace="800"/>
        </w:sectPr>
      </w:pPr>
      <w:r>
        <w:rPr>
          <w:rFonts w:hint="eastAsia" w:ascii="宋体" w:hAnsi="宋体" w:cs="宋体"/>
          <w:b/>
          <w:color w:val="auto"/>
          <w:sz w:val="30"/>
          <w:szCs w:val="30"/>
          <w:highlight w:val="none"/>
        </w:rPr>
        <w:t>二○二四年</w:t>
      </w:r>
      <w:r>
        <w:rPr>
          <w:rFonts w:hint="eastAsia" w:ascii="宋体" w:hAnsi="宋体" w:cs="宋体"/>
          <w:b/>
          <w:color w:val="auto"/>
          <w:sz w:val="30"/>
          <w:szCs w:val="30"/>
          <w:highlight w:val="none"/>
          <w:lang w:val="en-US" w:eastAsia="zh-CN"/>
        </w:rPr>
        <w:t>九</w:t>
      </w:r>
      <w:r>
        <w:rPr>
          <w:rFonts w:hint="eastAsia" w:ascii="宋体" w:hAnsi="宋体" w:cs="宋体"/>
          <w:b/>
          <w:color w:val="auto"/>
          <w:sz w:val="30"/>
          <w:szCs w:val="30"/>
          <w:highlight w:val="none"/>
        </w:rPr>
        <w:t>月</w:t>
      </w:r>
    </w:p>
    <w:p w14:paraId="24385394">
      <w:pPr>
        <w:tabs>
          <w:tab w:val="left" w:pos="1069"/>
          <w:tab w:val="left" w:pos="1080"/>
          <w:tab w:val="left" w:pos="2352"/>
        </w:tabs>
        <w:autoSpaceDE w:val="0"/>
        <w:autoSpaceDN w:val="0"/>
        <w:adjustRightInd w:val="0"/>
        <w:spacing w:line="500" w:lineRule="atLeast"/>
        <w:textAlignment w:val="baseline"/>
        <w:rPr>
          <w:rFonts w:ascii="宋体" w:hAnsi="宋体" w:cs="宋体"/>
          <w:b/>
          <w:bCs/>
          <w:color w:val="auto"/>
          <w:sz w:val="32"/>
          <w:szCs w:val="32"/>
          <w:highlight w:val="none"/>
          <w:lang w:val="zh-CN"/>
        </w:rPr>
      </w:pPr>
      <w:bookmarkStart w:id="1" w:name="_Toc6035_WPSOffice_Level1"/>
    </w:p>
    <w:p w14:paraId="0A9DA15A">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p>
    <w:p w14:paraId="6D71F2E3">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竞争性磋商文件目录</w:t>
      </w:r>
    </w:p>
    <w:p w14:paraId="31B7BC67">
      <w:pPr>
        <w:tabs>
          <w:tab w:val="left" w:pos="1069"/>
          <w:tab w:val="left" w:pos="1080"/>
          <w:tab w:val="left" w:pos="2352"/>
        </w:tabs>
        <w:autoSpaceDE w:val="0"/>
        <w:autoSpaceDN w:val="0"/>
        <w:adjustRightInd w:val="0"/>
        <w:spacing w:line="500" w:lineRule="atLeast"/>
        <w:textAlignment w:val="baseline"/>
        <w:rPr>
          <w:rFonts w:ascii="宋体" w:hAnsi="宋体" w:cs="宋体"/>
          <w:color w:val="auto"/>
          <w:sz w:val="28"/>
          <w:szCs w:val="28"/>
          <w:highlight w:val="none"/>
        </w:rPr>
      </w:pPr>
    </w:p>
    <w:p w14:paraId="05D90E7A">
      <w:pPr>
        <w:tabs>
          <w:tab w:val="left" w:pos="1069"/>
          <w:tab w:val="left" w:pos="1080"/>
          <w:tab w:val="left" w:pos="2352"/>
        </w:tabs>
        <w:autoSpaceDE w:val="0"/>
        <w:autoSpaceDN w:val="0"/>
        <w:adjustRightInd w:val="0"/>
        <w:spacing w:line="500" w:lineRule="atLeas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采购公告..................................................2</w:t>
      </w:r>
    </w:p>
    <w:p w14:paraId="66734408">
      <w:pPr>
        <w:tabs>
          <w:tab w:val="left" w:pos="1069"/>
          <w:tab w:val="left" w:pos="1080"/>
          <w:tab w:val="left" w:pos="2352"/>
        </w:tabs>
        <w:autoSpaceDE w:val="0"/>
        <w:autoSpaceDN w:val="0"/>
        <w:adjustRightInd w:val="0"/>
        <w:spacing w:line="800" w:lineRule="exact"/>
        <w:textAlignment w:val="baseline"/>
        <w:rPr>
          <w:rFonts w:ascii="宋体" w:hAnsi="宋体" w:cs="宋体"/>
          <w:b/>
          <w:bCs/>
          <w:color w:val="auto"/>
          <w:sz w:val="32"/>
          <w:szCs w:val="32"/>
          <w:highlight w:val="none"/>
        </w:rPr>
      </w:pPr>
      <w:r>
        <w:rPr>
          <w:rFonts w:hint="eastAsia" w:ascii="宋体" w:hAnsi="宋体" w:cs="宋体"/>
          <w:color w:val="auto"/>
          <w:sz w:val="28"/>
          <w:szCs w:val="28"/>
          <w:highlight w:val="none"/>
        </w:rPr>
        <w:t>第一部分、投标邀请函（投标须知前附表）.....................5</w:t>
      </w:r>
    </w:p>
    <w:p w14:paraId="58E3D93C">
      <w:pPr>
        <w:tabs>
          <w:tab w:val="left" w:pos="1069"/>
          <w:tab w:val="left" w:pos="1080"/>
          <w:tab w:val="left" w:pos="2352"/>
        </w:tabs>
        <w:autoSpaceDE w:val="0"/>
        <w:autoSpaceDN w:val="0"/>
        <w:adjustRightInd w:val="0"/>
        <w:spacing w:line="800" w:lineRule="exac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第二部分、采购内容及要求...................................9</w:t>
      </w:r>
    </w:p>
    <w:p w14:paraId="34AE4494">
      <w:pPr>
        <w:tabs>
          <w:tab w:val="left" w:pos="1069"/>
          <w:tab w:val="left" w:pos="1080"/>
          <w:tab w:val="left" w:pos="2352"/>
        </w:tabs>
        <w:autoSpaceDE w:val="0"/>
        <w:autoSpaceDN w:val="0"/>
        <w:adjustRightInd w:val="0"/>
        <w:spacing w:line="800" w:lineRule="exac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第三部分、供应商须知......................................12</w:t>
      </w:r>
    </w:p>
    <w:p w14:paraId="4491293F">
      <w:pPr>
        <w:tabs>
          <w:tab w:val="left" w:pos="1069"/>
          <w:tab w:val="left" w:pos="1080"/>
          <w:tab w:val="left" w:pos="2352"/>
        </w:tabs>
        <w:autoSpaceDE w:val="0"/>
        <w:autoSpaceDN w:val="0"/>
        <w:adjustRightInd w:val="0"/>
        <w:spacing w:line="800" w:lineRule="exac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第四部分、政府采购政策功能相关说明........................21</w:t>
      </w:r>
    </w:p>
    <w:p w14:paraId="1B638E88">
      <w:pPr>
        <w:tabs>
          <w:tab w:val="left" w:pos="1069"/>
          <w:tab w:val="left" w:pos="1080"/>
          <w:tab w:val="left" w:pos="2352"/>
        </w:tabs>
        <w:autoSpaceDE w:val="0"/>
        <w:autoSpaceDN w:val="0"/>
        <w:adjustRightInd w:val="0"/>
        <w:spacing w:line="800" w:lineRule="exac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第五部分、合同格式........................................26</w:t>
      </w:r>
    </w:p>
    <w:p w14:paraId="1C8EF6F7">
      <w:pPr>
        <w:tabs>
          <w:tab w:val="left" w:pos="1069"/>
          <w:tab w:val="left" w:pos="1080"/>
          <w:tab w:val="left" w:pos="2352"/>
        </w:tabs>
        <w:autoSpaceDE w:val="0"/>
        <w:autoSpaceDN w:val="0"/>
        <w:adjustRightInd w:val="0"/>
        <w:spacing w:line="800" w:lineRule="exac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第六部分、投标（响应）文件格式...........................30第七部分、评标办法........................................45</w:t>
      </w:r>
    </w:p>
    <w:p w14:paraId="4A2E4ECC">
      <w:pPr>
        <w:pStyle w:val="17"/>
        <w:tabs>
          <w:tab w:val="left" w:pos="2352"/>
        </w:tabs>
        <w:rPr>
          <w:color w:val="auto"/>
          <w:highlight w:val="none"/>
        </w:rPr>
      </w:pPr>
    </w:p>
    <w:p w14:paraId="71F73494">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14:paraId="77F79CC8">
      <w:pPr>
        <w:tabs>
          <w:tab w:val="left" w:pos="1069"/>
          <w:tab w:val="left" w:pos="1080"/>
          <w:tab w:val="left" w:pos="2352"/>
        </w:tabs>
        <w:autoSpaceDE w:val="0"/>
        <w:autoSpaceDN w:val="0"/>
        <w:adjustRightInd w:val="0"/>
        <w:spacing w:line="360" w:lineRule="auto"/>
        <w:textAlignment w:val="baseline"/>
        <w:rPr>
          <w:rFonts w:ascii="宋体" w:hAnsi="宋体" w:cs="宋体"/>
          <w:b/>
          <w:bCs/>
          <w:color w:val="auto"/>
          <w:sz w:val="24"/>
          <w:szCs w:val="24"/>
          <w:highlight w:val="none"/>
          <w:u w:val="single"/>
        </w:rPr>
      </w:pPr>
      <w:r>
        <w:rPr>
          <w:rFonts w:hint="eastAsia" w:ascii="宋体" w:hAnsi="宋体" w:cs="宋体"/>
          <w:color w:val="auto"/>
          <w:sz w:val="28"/>
          <w:szCs w:val="28"/>
          <w:highlight w:val="none"/>
        </w:rPr>
        <w:t xml:space="preserve">  </w:t>
      </w:r>
      <w:r>
        <w:rPr>
          <w:rFonts w:hint="eastAsia" w:ascii="宋体" w:hAnsi="宋体" w:cs="宋体"/>
          <w:b/>
          <w:bCs/>
          <w:color w:val="auto"/>
          <w:sz w:val="24"/>
          <w:szCs w:val="24"/>
          <w:highlight w:val="none"/>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14:paraId="41DB4366">
      <w:pPr>
        <w:tabs>
          <w:tab w:val="left" w:pos="1069"/>
          <w:tab w:val="left" w:pos="1080"/>
          <w:tab w:val="left" w:pos="2352"/>
        </w:tabs>
        <w:autoSpaceDE w:val="0"/>
        <w:autoSpaceDN w:val="0"/>
        <w:adjustRightInd w:val="0"/>
        <w:spacing w:line="360" w:lineRule="auto"/>
        <w:textAlignment w:val="baseline"/>
        <w:rPr>
          <w:rFonts w:ascii="宋体" w:hAnsi="宋体" w:cs="宋体"/>
          <w:color w:val="auto"/>
          <w:sz w:val="28"/>
          <w:szCs w:val="28"/>
          <w:highlight w:val="none"/>
        </w:rPr>
      </w:pPr>
    </w:p>
    <w:p w14:paraId="542D371C">
      <w:pPr>
        <w:pStyle w:val="17"/>
        <w:tabs>
          <w:tab w:val="left" w:pos="2352"/>
        </w:tabs>
        <w:rPr>
          <w:color w:val="auto"/>
          <w:highlight w:val="none"/>
        </w:rPr>
      </w:pPr>
    </w:p>
    <w:p w14:paraId="2D0AAD8C">
      <w:pPr>
        <w:pStyle w:val="17"/>
        <w:tabs>
          <w:tab w:val="left" w:pos="2352"/>
        </w:tabs>
        <w:rPr>
          <w:color w:val="auto"/>
          <w:highlight w:val="none"/>
        </w:rPr>
      </w:pPr>
    </w:p>
    <w:p w14:paraId="50C8EB45">
      <w:pPr>
        <w:pStyle w:val="2"/>
        <w:widowControl/>
        <w:spacing w:line="225" w:lineRule="atLeast"/>
        <w:jc w:val="center"/>
        <w:rPr>
          <w:rFonts w:ascii="宋体" w:hAnsi="宋体" w:eastAsia="宋体" w:cs="宋体"/>
          <w:color w:val="auto"/>
          <w:sz w:val="28"/>
          <w:szCs w:val="28"/>
          <w:highlight w:val="none"/>
        </w:rPr>
      </w:pPr>
      <w:r>
        <w:rPr>
          <w:rFonts w:hint="eastAsia" w:ascii="宋体" w:hAnsi="宋体" w:eastAsia="宋体" w:cs="宋体"/>
          <w:color w:val="auto"/>
          <w:sz w:val="22"/>
          <w:szCs w:val="22"/>
          <w:highlight w:val="none"/>
          <w:shd w:val="clear" w:color="auto" w:fill="FFFFFF"/>
        </w:rPr>
        <w:t xml:space="preserve"> </w:t>
      </w:r>
      <w:r>
        <w:rPr>
          <w:rFonts w:hint="eastAsia" w:ascii="宋体" w:hAnsi="宋体" w:eastAsia="宋体" w:cs="宋体"/>
          <w:color w:val="auto"/>
          <w:sz w:val="28"/>
          <w:szCs w:val="28"/>
          <w:highlight w:val="none"/>
        </w:rPr>
        <w:t>关于2024年泰顺县森林资源动态监测与评价的竞争性磋商公告</w:t>
      </w:r>
    </w:p>
    <w:tbl>
      <w:tblPr>
        <w:tblStyle w:val="27"/>
        <w:tblpPr w:leftFromText="180" w:rightFromText="180" w:vertAnchor="text" w:tblpX="-132" w:tblpY="15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9D8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000" w:type="pct"/>
          </w:tcPr>
          <w:p w14:paraId="3129194F">
            <w:pPr>
              <w:pStyle w:val="21"/>
              <w:spacing w:before="38" w:after="156"/>
              <w:rPr>
                <w:color w:val="auto"/>
                <w:szCs w:val="24"/>
                <w:highlight w:val="none"/>
              </w:rPr>
            </w:pPr>
            <w:r>
              <w:rPr>
                <w:rFonts w:ascii="仿宋" w:hAnsi="仿宋" w:eastAsia="仿宋" w:cs="仿宋"/>
                <w:color w:val="auto"/>
                <w:szCs w:val="24"/>
                <w:highlight w:val="none"/>
              </w:rPr>
              <w:t>项目概况</w:t>
            </w:r>
            <w:r>
              <w:rPr>
                <w:rFonts w:hint="eastAsia" w:ascii="仿宋" w:hAnsi="仿宋" w:eastAsia="仿宋" w:cs="仿宋"/>
                <w:color w:val="auto"/>
                <w:szCs w:val="24"/>
                <w:highlight w:val="none"/>
              </w:rPr>
              <w:t>                                                    </w:t>
            </w:r>
          </w:p>
          <w:p w14:paraId="74BDA9A2">
            <w:pPr>
              <w:pStyle w:val="21"/>
              <w:spacing w:after="156"/>
              <w:ind w:firstLine="480" w:firstLineChars="200"/>
              <w:rPr>
                <w:rFonts w:ascii="宋体" w:hAnsi="宋体" w:eastAsia="宋体" w:cs="宋体"/>
                <w:color w:val="auto"/>
                <w:sz w:val="22"/>
                <w:highlight w:val="none"/>
                <w:shd w:val="clear" w:color="auto" w:fill="FFFFFF"/>
              </w:rPr>
            </w:pPr>
            <w:r>
              <w:rPr>
                <w:rFonts w:hint="eastAsia" w:ascii="仿宋" w:hAnsi="仿宋" w:eastAsia="仿宋" w:cs="仿宋"/>
                <w:color w:val="auto"/>
                <w:szCs w:val="24"/>
                <w:highlight w:val="none"/>
              </w:rPr>
              <w:t>    2024年泰顺县森林资源动态监测与评价采购项目的潜在供应商应在政采云平台http://zfcg.czt.zj.gov.cn/ 获取（下载）采购文件，并于</w:t>
            </w:r>
            <w:r>
              <w:rPr>
                <w:rFonts w:hint="eastAsia" w:ascii="仿宋" w:hAnsi="仿宋" w:eastAsia="仿宋" w:cs="仿宋"/>
                <w:color w:val="auto"/>
                <w:szCs w:val="24"/>
                <w:highlight w:val="none"/>
                <w:lang w:eastAsia="zh-CN"/>
              </w:rPr>
              <w:t>2024年10月16日</w:t>
            </w:r>
            <w:r>
              <w:rPr>
                <w:rFonts w:hint="eastAsia" w:ascii="仿宋" w:hAnsi="仿宋" w:eastAsia="仿宋" w:cs="仿宋"/>
                <w:color w:val="auto"/>
                <w:szCs w:val="24"/>
                <w:highlight w:val="none"/>
              </w:rPr>
              <w:t xml:space="preserve"> 09:00 （北京时间）前提交（上传）响应文件。       </w:t>
            </w:r>
          </w:p>
        </w:tc>
      </w:tr>
    </w:tbl>
    <w:p w14:paraId="6D8E985B">
      <w:pPr>
        <w:pStyle w:val="21"/>
        <w:spacing w:before="38" w:after="156"/>
        <w:rPr>
          <w:color w:val="auto"/>
          <w:szCs w:val="24"/>
          <w:highlight w:val="none"/>
        </w:rPr>
      </w:pPr>
      <w:r>
        <w:rPr>
          <w:rFonts w:hint="eastAsia" w:ascii="仿宋" w:hAnsi="仿宋" w:eastAsia="仿宋" w:cs="仿宋"/>
          <w:color w:val="auto"/>
          <w:szCs w:val="24"/>
          <w:highlight w:val="none"/>
        </w:rPr>
        <w:t xml:space="preserve">                     </w:t>
      </w:r>
    </w:p>
    <w:p w14:paraId="24B35E4A">
      <w:pPr>
        <w:pStyle w:val="21"/>
        <w:spacing w:before="128" w:after="156" w:line="225" w:lineRule="atLeast"/>
        <w:jc w:val="both"/>
        <w:rPr>
          <w:rFonts w:ascii="黑体" w:hAnsi="宋体" w:eastAsia="黑体" w:cs="黑体"/>
          <w:color w:val="auto"/>
          <w:szCs w:val="24"/>
          <w:highlight w:val="none"/>
        </w:rPr>
      </w:pPr>
      <w:r>
        <w:rPr>
          <w:rStyle w:val="29"/>
          <w:rFonts w:ascii="黑体" w:hAnsi="宋体" w:eastAsia="黑体" w:cs="黑体"/>
          <w:color w:val="auto"/>
          <w:szCs w:val="24"/>
          <w:highlight w:val="none"/>
        </w:rPr>
        <w:t>一、项目基本情况</w:t>
      </w:r>
    </w:p>
    <w:p w14:paraId="39E2424F">
      <w:pPr>
        <w:pStyle w:val="21"/>
        <w:spacing w:before="38" w:after="156" w:line="150" w:lineRule="atLeast"/>
        <w:rPr>
          <w:color w:val="auto"/>
          <w:szCs w:val="24"/>
          <w:highlight w:val="none"/>
        </w:rPr>
      </w:pPr>
      <w:r>
        <w:rPr>
          <w:rFonts w:hint="eastAsia" w:ascii="仿宋" w:hAnsi="仿宋" w:eastAsia="仿宋" w:cs="仿宋"/>
          <w:color w:val="auto"/>
          <w:szCs w:val="24"/>
          <w:highlight w:val="none"/>
        </w:rPr>
        <w:t>    项目编号：</w:t>
      </w:r>
      <w:r>
        <w:rPr>
          <w:rFonts w:hint="eastAsia" w:ascii="仿宋" w:hAnsi="仿宋" w:eastAsia="仿宋" w:cs="仿宋"/>
          <w:color w:val="auto"/>
          <w:szCs w:val="24"/>
          <w:highlight w:val="none"/>
          <w:lang w:eastAsia="zh-CN"/>
        </w:rPr>
        <w:t>TSCG202409011</w:t>
      </w:r>
      <w:r>
        <w:rPr>
          <w:rFonts w:hint="eastAsia" w:ascii="仿宋" w:hAnsi="仿宋" w:eastAsia="仿宋" w:cs="仿宋"/>
          <w:color w:val="auto"/>
          <w:szCs w:val="24"/>
          <w:highlight w:val="none"/>
        </w:rPr>
        <w:t> </w:t>
      </w:r>
    </w:p>
    <w:p w14:paraId="70096683">
      <w:pPr>
        <w:pStyle w:val="21"/>
        <w:spacing w:before="38" w:after="156" w:line="150" w:lineRule="atLeast"/>
        <w:rPr>
          <w:color w:val="auto"/>
          <w:szCs w:val="24"/>
          <w:highlight w:val="none"/>
        </w:rPr>
      </w:pPr>
      <w:r>
        <w:rPr>
          <w:rFonts w:hint="eastAsia" w:ascii="仿宋" w:hAnsi="仿宋" w:eastAsia="仿宋" w:cs="仿宋"/>
          <w:color w:val="auto"/>
          <w:szCs w:val="24"/>
          <w:highlight w:val="none"/>
        </w:rPr>
        <w:t>    项目名称：2024年泰顺县森林资源动态监测与评价 </w:t>
      </w:r>
    </w:p>
    <w:p w14:paraId="66D6C013">
      <w:pPr>
        <w:pStyle w:val="21"/>
        <w:spacing w:before="38" w:after="156" w:line="150" w:lineRule="atLeast"/>
        <w:rPr>
          <w:color w:val="auto"/>
          <w:szCs w:val="24"/>
          <w:highlight w:val="none"/>
        </w:rPr>
      </w:pPr>
      <w:r>
        <w:rPr>
          <w:rFonts w:hint="eastAsia" w:ascii="仿宋" w:hAnsi="仿宋" w:eastAsia="仿宋" w:cs="仿宋"/>
          <w:color w:val="auto"/>
          <w:szCs w:val="24"/>
          <w:highlight w:val="none"/>
        </w:rPr>
        <w:t>    采购方式：竞争性磋商 </w:t>
      </w:r>
    </w:p>
    <w:p w14:paraId="71D45E32">
      <w:pPr>
        <w:pStyle w:val="21"/>
        <w:spacing w:before="38" w:after="156" w:line="150" w:lineRule="atLeast"/>
        <w:rPr>
          <w:color w:val="auto"/>
          <w:szCs w:val="24"/>
          <w:highlight w:val="none"/>
        </w:rPr>
      </w:pPr>
      <w:r>
        <w:rPr>
          <w:rFonts w:hint="eastAsia" w:ascii="仿宋" w:hAnsi="仿宋" w:eastAsia="仿宋" w:cs="仿宋"/>
          <w:color w:val="auto"/>
          <w:szCs w:val="24"/>
          <w:highlight w:val="none"/>
        </w:rPr>
        <w:t>    预算金额（元）：500000  </w:t>
      </w:r>
    </w:p>
    <w:p w14:paraId="71EA27F4">
      <w:pPr>
        <w:pStyle w:val="21"/>
        <w:spacing w:before="38" w:after="156" w:line="150" w:lineRule="atLeast"/>
        <w:rPr>
          <w:color w:val="auto"/>
          <w:szCs w:val="24"/>
          <w:highlight w:val="none"/>
        </w:rPr>
      </w:pPr>
      <w:r>
        <w:rPr>
          <w:rFonts w:hint="eastAsia" w:ascii="仿宋" w:hAnsi="仿宋" w:eastAsia="仿宋" w:cs="仿宋"/>
          <w:color w:val="auto"/>
          <w:szCs w:val="24"/>
          <w:highlight w:val="none"/>
        </w:rPr>
        <w:t>    最高限价（元）：500000  </w:t>
      </w:r>
    </w:p>
    <w:p w14:paraId="057C83AF">
      <w:pPr>
        <w:pStyle w:val="21"/>
        <w:spacing w:before="38" w:after="156" w:line="150" w:lineRule="atLeast"/>
        <w:rPr>
          <w:color w:val="auto"/>
          <w:szCs w:val="24"/>
          <w:highlight w:val="none"/>
        </w:rPr>
      </w:pPr>
      <w:r>
        <w:rPr>
          <w:rFonts w:hint="eastAsia" w:ascii="仿宋" w:hAnsi="仿宋" w:eastAsia="仿宋" w:cs="仿宋"/>
          <w:color w:val="auto"/>
          <w:szCs w:val="24"/>
          <w:highlight w:val="none"/>
        </w:rPr>
        <w:t>    采购需求：</w:t>
      </w:r>
    </w:p>
    <w:p w14:paraId="2FA401B8">
      <w:pPr>
        <w:widowControl/>
        <w:spacing w:line="150" w:lineRule="atLeast"/>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         </w:t>
      </w:r>
      <w:r>
        <w:rPr>
          <w:rFonts w:hint="eastAsia" w:ascii="仿宋" w:hAnsi="仿宋" w:eastAsia="仿宋" w:cs="仿宋"/>
          <w:color w:val="auto"/>
          <w:kern w:val="0"/>
          <w:sz w:val="24"/>
          <w:szCs w:val="24"/>
          <w:highlight w:val="none"/>
          <w:lang w:bidi="ar"/>
        </w:rPr>
        <w:br w:type="textWrapping"/>
      </w:r>
      <w:r>
        <w:rPr>
          <w:rFonts w:hint="eastAsia" w:ascii="仿宋" w:hAnsi="仿宋" w:eastAsia="仿宋" w:cs="仿宋"/>
          <w:color w:val="auto"/>
          <w:kern w:val="0"/>
          <w:sz w:val="24"/>
          <w:szCs w:val="24"/>
          <w:highlight w:val="none"/>
          <w:lang w:bidi="ar"/>
        </w:rPr>
        <w:t>   数量：不限       </w:t>
      </w:r>
    </w:p>
    <w:p w14:paraId="0F04B436">
      <w:pPr>
        <w:pStyle w:val="21"/>
        <w:spacing w:before="38" w:after="156" w:line="150" w:lineRule="atLeast"/>
        <w:rPr>
          <w:color w:val="auto"/>
          <w:szCs w:val="24"/>
          <w:highlight w:val="none"/>
        </w:rPr>
      </w:pPr>
      <w:r>
        <w:rPr>
          <w:rFonts w:hint="eastAsia" w:ascii="仿宋" w:hAnsi="仿宋" w:eastAsia="仿宋" w:cs="仿宋"/>
          <w:color w:val="auto"/>
          <w:szCs w:val="24"/>
          <w:highlight w:val="none"/>
        </w:rPr>
        <w:t>   预算金额（元）：500000 </w:t>
      </w:r>
    </w:p>
    <w:p w14:paraId="0F0CE54E">
      <w:pPr>
        <w:pStyle w:val="21"/>
        <w:spacing w:before="38" w:after="156" w:line="150" w:lineRule="atLeast"/>
        <w:rPr>
          <w:color w:val="auto"/>
          <w:szCs w:val="24"/>
          <w:highlight w:val="none"/>
        </w:rPr>
      </w:pPr>
      <w:r>
        <w:rPr>
          <w:rFonts w:hint="eastAsia" w:ascii="仿宋" w:hAnsi="仿宋" w:eastAsia="仿宋" w:cs="仿宋"/>
          <w:color w:val="auto"/>
          <w:szCs w:val="24"/>
          <w:highlight w:val="none"/>
        </w:rPr>
        <w:t>   单位：项 </w:t>
      </w:r>
    </w:p>
    <w:p w14:paraId="1BDB704D">
      <w:pPr>
        <w:pStyle w:val="21"/>
        <w:spacing w:before="38" w:after="156" w:line="150" w:lineRule="atLeast"/>
        <w:rPr>
          <w:color w:val="auto"/>
          <w:szCs w:val="24"/>
          <w:highlight w:val="none"/>
        </w:rPr>
      </w:pPr>
      <w:r>
        <w:rPr>
          <w:rFonts w:hint="eastAsia" w:ascii="仿宋" w:hAnsi="仿宋" w:eastAsia="仿宋" w:cs="仿宋"/>
          <w:color w:val="auto"/>
          <w:szCs w:val="24"/>
          <w:highlight w:val="none"/>
        </w:rPr>
        <w:t>   简要规格描述：2024年泰顺县森林资源动态监测与评价 </w:t>
      </w:r>
    </w:p>
    <w:p w14:paraId="49066934">
      <w:pPr>
        <w:pStyle w:val="21"/>
        <w:spacing w:before="38" w:after="156" w:line="150" w:lineRule="atLeast"/>
        <w:rPr>
          <w:color w:val="auto"/>
          <w:szCs w:val="24"/>
          <w:highlight w:val="none"/>
        </w:rPr>
      </w:pPr>
      <w:r>
        <w:rPr>
          <w:rFonts w:hint="eastAsia" w:ascii="仿宋" w:hAnsi="仿宋" w:eastAsia="仿宋" w:cs="仿宋"/>
          <w:color w:val="auto"/>
          <w:szCs w:val="24"/>
          <w:highlight w:val="none"/>
        </w:rPr>
        <w:t>   备注： </w:t>
      </w:r>
    </w:p>
    <w:p w14:paraId="080B17DF">
      <w:pPr>
        <w:pStyle w:val="21"/>
        <w:spacing w:before="38" w:after="156" w:line="150" w:lineRule="atLeast"/>
        <w:rPr>
          <w:color w:val="auto"/>
          <w:szCs w:val="24"/>
          <w:highlight w:val="none"/>
        </w:rPr>
      </w:pPr>
      <w:r>
        <w:rPr>
          <w:rFonts w:hint="eastAsia" w:ascii="仿宋" w:hAnsi="仿宋" w:eastAsia="仿宋" w:cs="仿宋"/>
          <w:color w:val="auto"/>
          <w:szCs w:val="24"/>
          <w:highlight w:val="none"/>
        </w:rPr>
        <w:t>    合同履约期限：标项 1，按采购文件规定。  </w:t>
      </w:r>
    </w:p>
    <w:p w14:paraId="3C5EE5D8">
      <w:pPr>
        <w:pStyle w:val="21"/>
        <w:spacing w:before="38" w:after="156" w:line="150" w:lineRule="atLeast"/>
        <w:rPr>
          <w:color w:val="auto"/>
          <w:szCs w:val="24"/>
          <w:highlight w:val="none"/>
        </w:rPr>
      </w:pPr>
      <w:r>
        <w:rPr>
          <w:rFonts w:hint="eastAsia" w:ascii="仿宋" w:hAnsi="仿宋" w:eastAsia="仿宋" w:cs="仿宋"/>
          <w:color w:val="auto"/>
          <w:szCs w:val="24"/>
          <w:highlight w:val="none"/>
        </w:rPr>
        <w:t>    本项目（否）接受联合体投标。  </w:t>
      </w:r>
    </w:p>
    <w:p w14:paraId="5CCF5A1C">
      <w:pPr>
        <w:pStyle w:val="21"/>
        <w:spacing w:before="128" w:after="156" w:line="225" w:lineRule="atLeast"/>
        <w:jc w:val="both"/>
        <w:rPr>
          <w:rFonts w:ascii="黑体" w:hAnsi="宋体" w:eastAsia="黑体" w:cs="黑体"/>
          <w:color w:val="auto"/>
          <w:szCs w:val="24"/>
          <w:highlight w:val="none"/>
        </w:rPr>
      </w:pPr>
      <w:r>
        <w:rPr>
          <w:rStyle w:val="29"/>
          <w:rFonts w:ascii="黑体" w:hAnsi="宋体" w:eastAsia="黑体" w:cs="黑体"/>
          <w:color w:val="auto"/>
          <w:szCs w:val="24"/>
          <w:highlight w:val="none"/>
        </w:rPr>
        <w:t>二、申请人的资格要求：</w:t>
      </w:r>
    </w:p>
    <w:p w14:paraId="2D87FF00">
      <w:pPr>
        <w:pStyle w:val="21"/>
        <w:spacing w:before="38" w:after="156" w:line="150" w:lineRule="atLeast"/>
        <w:rPr>
          <w:color w:val="auto"/>
          <w:szCs w:val="24"/>
          <w:highlight w:val="none"/>
        </w:rPr>
      </w:pPr>
      <w:r>
        <w:rPr>
          <w:rFonts w:hint="eastAsia" w:ascii="仿宋" w:hAnsi="仿宋" w:eastAsia="仿宋" w:cs="仿宋"/>
          <w:color w:val="auto"/>
          <w:szCs w:val="24"/>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2F5EA1BA">
      <w:pPr>
        <w:pStyle w:val="21"/>
        <w:spacing w:before="38" w:after="156" w:line="150" w:lineRule="atLeast"/>
        <w:rPr>
          <w:color w:val="auto"/>
          <w:szCs w:val="24"/>
          <w:highlight w:val="none"/>
        </w:rPr>
      </w:pPr>
      <w:r>
        <w:rPr>
          <w:rFonts w:hint="eastAsia" w:ascii="仿宋" w:hAnsi="仿宋" w:eastAsia="仿宋" w:cs="仿宋"/>
          <w:color w:val="auto"/>
          <w:szCs w:val="24"/>
          <w:highlight w:val="none"/>
        </w:rPr>
        <w:t>    2.落实政府采购政策需满足的资格要求：标项1：</w:t>
      </w:r>
      <w:r>
        <w:rPr>
          <w:rFonts w:hint="eastAsia" w:ascii="仿宋" w:hAnsi="仿宋" w:eastAsia="仿宋" w:cs="仿宋"/>
          <w:color w:val="auto"/>
          <w:szCs w:val="24"/>
          <w:highlight w:val="none"/>
          <w:lang w:val="en-US" w:eastAsia="zh-CN"/>
        </w:rPr>
        <w:t>本项目专门面向中小企业采购，</w:t>
      </w:r>
      <w:r>
        <w:rPr>
          <w:rFonts w:hint="eastAsia" w:ascii="仿宋" w:hAnsi="仿宋" w:eastAsia="仿宋" w:cs="仿宋"/>
          <w:color w:val="auto"/>
          <w:szCs w:val="24"/>
          <w:highlight w:val="none"/>
        </w:rPr>
        <w:t>供应商</w:t>
      </w:r>
      <w:r>
        <w:rPr>
          <w:rFonts w:hint="eastAsia" w:ascii="仿宋" w:hAnsi="仿宋" w:eastAsia="仿宋" w:cs="仿宋"/>
          <w:color w:val="auto"/>
          <w:szCs w:val="24"/>
          <w:highlight w:val="none"/>
          <w:lang w:val="en-US" w:eastAsia="zh-CN"/>
        </w:rPr>
        <w:t>须</w:t>
      </w:r>
      <w:r>
        <w:rPr>
          <w:rFonts w:hint="eastAsia" w:ascii="仿宋" w:hAnsi="仿宋" w:eastAsia="仿宋" w:cs="仿宋"/>
          <w:color w:val="auto"/>
          <w:szCs w:val="24"/>
          <w:highlight w:val="none"/>
        </w:rPr>
        <w:t>为中小企业。 </w:t>
      </w:r>
    </w:p>
    <w:p w14:paraId="22F0819C">
      <w:pPr>
        <w:pStyle w:val="21"/>
        <w:spacing w:before="38" w:after="156" w:line="150" w:lineRule="atLeast"/>
        <w:rPr>
          <w:color w:val="auto"/>
          <w:szCs w:val="24"/>
          <w:highlight w:val="none"/>
        </w:rPr>
      </w:pPr>
      <w:r>
        <w:rPr>
          <w:rFonts w:hint="eastAsia" w:ascii="仿宋" w:hAnsi="仿宋" w:eastAsia="仿宋" w:cs="仿宋"/>
          <w:color w:val="auto"/>
          <w:szCs w:val="24"/>
          <w:highlight w:val="none"/>
        </w:rPr>
        <w:t>    3.本项目的特定资格要求：无 </w:t>
      </w:r>
    </w:p>
    <w:p w14:paraId="717D02C1">
      <w:pPr>
        <w:pStyle w:val="21"/>
        <w:spacing w:before="128" w:after="156" w:line="225" w:lineRule="atLeast"/>
        <w:jc w:val="both"/>
        <w:rPr>
          <w:rFonts w:ascii="黑体" w:hAnsi="宋体" w:eastAsia="黑体" w:cs="黑体"/>
          <w:color w:val="auto"/>
          <w:szCs w:val="24"/>
          <w:highlight w:val="none"/>
        </w:rPr>
      </w:pPr>
      <w:r>
        <w:rPr>
          <w:rStyle w:val="29"/>
          <w:rFonts w:ascii="黑体" w:hAnsi="宋体" w:eastAsia="黑体" w:cs="黑体"/>
          <w:color w:val="auto"/>
          <w:szCs w:val="24"/>
          <w:highlight w:val="none"/>
        </w:rPr>
        <w:t>三、获取（下载）采购文件</w:t>
      </w:r>
    </w:p>
    <w:p w14:paraId="1B745509">
      <w:pPr>
        <w:pStyle w:val="21"/>
        <w:spacing w:before="38" w:after="156" w:line="150" w:lineRule="atLeast"/>
        <w:rPr>
          <w:color w:val="auto"/>
          <w:szCs w:val="24"/>
          <w:highlight w:val="none"/>
        </w:rPr>
      </w:pPr>
      <w:r>
        <w:rPr>
          <w:rFonts w:hint="eastAsia" w:ascii="仿宋" w:hAnsi="仿宋" w:eastAsia="仿宋" w:cs="仿宋"/>
          <w:color w:val="auto"/>
          <w:szCs w:val="24"/>
          <w:highlight w:val="none"/>
        </w:rPr>
        <w:t>    时间：/至</w:t>
      </w:r>
      <w:r>
        <w:rPr>
          <w:rFonts w:hint="eastAsia" w:ascii="仿宋" w:hAnsi="仿宋" w:eastAsia="仿宋" w:cs="仿宋"/>
          <w:color w:val="auto"/>
          <w:szCs w:val="24"/>
          <w:highlight w:val="none"/>
          <w:lang w:eastAsia="zh-CN"/>
        </w:rPr>
        <w:t>2024年10月16日</w:t>
      </w:r>
      <w:r>
        <w:rPr>
          <w:rFonts w:hint="eastAsia" w:ascii="仿宋" w:hAnsi="仿宋" w:eastAsia="仿宋" w:cs="仿宋"/>
          <w:color w:val="auto"/>
          <w:szCs w:val="24"/>
          <w:highlight w:val="none"/>
        </w:rPr>
        <w:t>，每天上午00:00至12:00，下午12:00至23:59（北京时间，线上获取法定节假日均可，线下获取文件法定节假日除外）</w:t>
      </w:r>
    </w:p>
    <w:p w14:paraId="2ABAB892">
      <w:pPr>
        <w:pStyle w:val="21"/>
        <w:spacing w:before="38" w:after="156" w:line="150" w:lineRule="atLeast"/>
        <w:rPr>
          <w:color w:val="auto"/>
          <w:szCs w:val="24"/>
          <w:highlight w:val="none"/>
        </w:rPr>
      </w:pPr>
      <w:r>
        <w:rPr>
          <w:rFonts w:hint="eastAsia" w:ascii="仿宋" w:hAnsi="仿宋" w:eastAsia="仿宋" w:cs="仿宋"/>
          <w:color w:val="auto"/>
          <w:szCs w:val="24"/>
          <w:highlight w:val="none"/>
        </w:rPr>
        <w:t>    地点（网址）：政采云平台http://zfcg.czt.zj.gov.cn/  </w:t>
      </w:r>
    </w:p>
    <w:p w14:paraId="0CA3A778">
      <w:pPr>
        <w:pStyle w:val="21"/>
        <w:spacing w:before="38" w:after="156" w:line="150" w:lineRule="atLeast"/>
        <w:rPr>
          <w:color w:val="auto"/>
          <w:szCs w:val="24"/>
          <w:highlight w:val="none"/>
        </w:rPr>
      </w:pPr>
      <w:r>
        <w:rPr>
          <w:rFonts w:hint="eastAsia" w:ascii="仿宋" w:hAnsi="仿宋" w:eastAsia="仿宋" w:cs="仿宋"/>
          <w:color w:val="auto"/>
          <w:szCs w:val="24"/>
          <w:highlight w:val="none"/>
        </w:rPr>
        <w:t>    方式：供应商登录政采云平台http://zfcg.czt.zj.gov.cn/ 在线申请获取采购文件（进入“项目采购”应用，在获取采购文件菜单中选择项目，申请获取采购文件） </w:t>
      </w:r>
    </w:p>
    <w:p w14:paraId="2538C201">
      <w:pPr>
        <w:pStyle w:val="21"/>
        <w:spacing w:before="38" w:after="156" w:line="150" w:lineRule="atLeast"/>
        <w:rPr>
          <w:color w:val="auto"/>
          <w:szCs w:val="24"/>
          <w:highlight w:val="none"/>
        </w:rPr>
      </w:pPr>
      <w:r>
        <w:rPr>
          <w:rFonts w:hint="eastAsia" w:ascii="仿宋" w:hAnsi="仿宋" w:eastAsia="仿宋" w:cs="仿宋"/>
          <w:color w:val="auto"/>
          <w:szCs w:val="24"/>
          <w:highlight w:val="none"/>
        </w:rPr>
        <w:t>    售价（元）：0 </w:t>
      </w:r>
    </w:p>
    <w:p w14:paraId="4A5DE8E3">
      <w:pPr>
        <w:pStyle w:val="21"/>
        <w:spacing w:before="128" w:after="156" w:line="225" w:lineRule="atLeast"/>
        <w:jc w:val="both"/>
        <w:rPr>
          <w:rFonts w:ascii="黑体" w:hAnsi="宋体" w:eastAsia="黑体" w:cs="黑体"/>
          <w:color w:val="auto"/>
          <w:szCs w:val="24"/>
          <w:highlight w:val="none"/>
        </w:rPr>
      </w:pPr>
      <w:r>
        <w:rPr>
          <w:rStyle w:val="29"/>
          <w:rFonts w:ascii="黑体" w:hAnsi="宋体" w:eastAsia="黑体" w:cs="黑体"/>
          <w:color w:val="auto"/>
          <w:szCs w:val="24"/>
          <w:highlight w:val="none"/>
        </w:rPr>
        <w:t>四、响应文件提交（上传）</w:t>
      </w:r>
      <w:r>
        <w:rPr>
          <w:rFonts w:ascii="黑体" w:hAnsi="宋体" w:eastAsia="黑体" w:cs="黑体"/>
          <w:color w:val="auto"/>
          <w:szCs w:val="24"/>
          <w:highlight w:val="none"/>
        </w:rPr>
        <w:t> </w:t>
      </w:r>
    </w:p>
    <w:p w14:paraId="2A1C03A9">
      <w:pPr>
        <w:pStyle w:val="21"/>
        <w:spacing w:before="38" w:after="156" w:line="150" w:lineRule="atLeast"/>
        <w:rPr>
          <w:color w:val="auto"/>
          <w:szCs w:val="24"/>
          <w:highlight w:val="none"/>
        </w:rPr>
      </w:pPr>
      <w:r>
        <w:rPr>
          <w:rFonts w:hint="eastAsia" w:ascii="仿宋" w:hAnsi="仿宋" w:eastAsia="仿宋" w:cs="仿宋"/>
          <w:color w:val="auto"/>
          <w:szCs w:val="24"/>
          <w:highlight w:val="none"/>
        </w:rPr>
        <w:t>    截止时间：</w:t>
      </w:r>
      <w:r>
        <w:rPr>
          <w:rFonts w:hint="eastAsia" w:ascii="仿宋" w:hAnsi="仿宋" w:eastAsia="仿宋" w:cs="仿宋"/>
          <w:color w:val="auto"/>
          <w:szCs w:val="24"/>
          <w:highlight w:val="none"/>
          <w:lang w:eastAsia="zh-CN"/>
        </w:rPr>
        <w:t>2024年10月16日</w:t>
      </w:r>
      <w:r>
        <w:rPr>
          <w:rFonts w:hint="eastAsia" w:ascii="仿宋" w:hAnsi="仿宋" w:eastAsia="仿宋" w:cs="仿宋"/>
          <w:color w:val="auto"/>
          <w:szCs w:val="24"/>
          <w:highlight w:val="none"/>
        </w:rPr>
        <w:t xml:space="preserve"> 09:00 （北京时间）</w:t>
      </w:r>
    </w:p>
    <w:p w14:paraId="04AF64D8">
      <w:pPr>
        <w:pStyle w:val="21"/>
        <w:spacing w:before="38" w:after="156" w:line="150" w:lineRule="atLeast"/>
        <w:rPr>
          <w:color w:val="auto"/>
          <w:szCs w:val="24"/>
          <w:highlight w:val="none"/>
        </w:rPr>
      </w:pPr>
      <w:r>
        <w:rPr>
          <w:rFonts w:hint="eastAsia" w:ascii="仿宋" w:hAnsi="仿宋" w:eastAsia="仿宋" w:cs="仿宋"/>
          <w:color w:val="auto"/>
          <w:szCs w:val="24"/>
          <w:highlight w:val="none"/>
        </w:rPr>
        <w:t>    地点（网址）：“政府采购云平台（http://zfcg.czt.zj.gov.cn/）”在线递交 </w:t>
      </w:r>
    </w:p>
    <w:p w14:paraId="60A1FBC0">
      <w:pPr>
        <w:pStyle w:val="21"/>
        <w:spacing w:before="128" w:after="156" w:line="225" w:lineRule="atLeast"/>
        <w:jc w:val="both"/>
        <w:rPr>
          <w:rFonts w:ascii="黑体" w:hAnsi="宋体" w:eastAsia="黑体" w:cs="黑体"/>
          <w:color w:val="auto"/>
          <w:szCs w:val="24"/>
          <w:highlight w:val="none"/>
        </w:rPr>
      </w:pPr>
      <w:r>
        <w:rPr>
          <w:rStyle w:val="29"/>
          <w:rFonts w:ascii="黑体" w:hAnsi="宋体" w:eastAsia="黑体" w:cs="黑体"/>
          <w:color w:val="auto"/>
          <w:szCs w:val="24"/>
          <w:highlight w:val="none"/>
        </w:rPr>
        <w:t>五、响应文件开启</w:t>
      </w:r>
      <w:r>
        <w:rPr>
          <w:rFonts w:ascii="黑体" w:hAnsi="宋体" w:eastAsia="黑体" w:cs="黑体"/>
          <w:color w:val="auto"/>
          <w:szCs w:val="24"/>
          <w:highlight w:val="none"/>
        </w:rPr>
        <w:t> </w:t>
      </w:r>
    </w:p>
    <w:p w14:paraId="6E9D1391">
      <w:pPr>
        <w:pStyle w:val="21"/>
        <w:spacing w:before="38" w:after="156" w:line="150" w:lineRule="atLeast"/>
        <w:rPr>
          <w:color w:val="auto"/>
          <w:szCs w:val="24"/>
          <w:highlight w:val="none"/>
        </w:rPr>
      </w:pPr>
      <w:r>
        <w:rPr>
          <w:rFonts w:hint="eastAsia" w:ascii="仿宋" w:hAnsi="仿宋" w:eastAsia="仿宋" w:cs="仿宋"/>
          <w:color w:val="auto"/>
          <w:szCs w:val="24"/>
          <w:highlight w:val="none"/>
        </w:rPr>
        <w:t>    开启时间：</w:t>
      </w:r>
      <w:r>
        <w:rPr>
          <w:rFonts w:hint="eastAsia" w:ascii="仿宋" w:hAnsi="仿宋" w:eastAsia="仿宋" w:cs="仿宋"/>
          <w:color w:val="auto"/>
          <w:szCs w:val="24"/>
          <w:highlight w:val="none"/>
          <w:lang w:eastAsia="zh-CN"/>
        </w:rPr>
        <w:t>2024年10月16日</w:t>
      </w:r>
      <w:r>
        <w:rPr>
          <w:rFonts w:hint="eastAsia" w:ascii="仿宋" w:hAnsi="仿宋" w:eastAsia="仿宋" w:cs="仿宋"/>
          <w:color w:val="auto"/>
          <w:szCs w:val="24"/>
          <w:highlight w:val="none"/>
        </w:rPr>
        <w:t xml:space="preserve"> 09:00 （北京时间）</w:t>
      </w:r>
    </w:p>
    <w:p w14:paraId="373CF287">
      <w:pPr>
        <w:pStyle w:val="21"/>
        <w:spacing w:before="38" w:after="156" w:line="150" w:lineRule="atLeast"/>
        <w:rPr>
          <w:color w:val="auto"/>
          <w:szCs w:val="24"/>
          <w:highlight w:val="none"/>
        </w:rPr>
      </w:pPr>
      <w:r>
        <w:rPr>
          <w:rFonts w:hint="eastAsia" w:ascii="仿宋" w:hAnsi="仿宋" w:eastAsia="仿宋" w:cs="仿宋"/>
          <w:color w:val="auto"/>
          <w:szCs w:val="24"/>
          <w:highlight w:val="none"/>
        </w:rPr>
        <w:t>    地点（网址）：“政府采购云平台（http://zfcg.czt.zj.gov.cn/）”在线开标 </w:t>
      </w:r>
    </w:p>
    <w:p w14:paraId="15363BE3">
      <w:pPr>
        <w:pStyle w:val="21"/>
        <w:spacing w:before="128" w:after="156" w:line="225" w:lineRule="atLeast"/>
        <w:jc w:val="both"/>
        <w:rPr>
          <w:rFonts w:ascii="黑体" w:hAnsi="宋体" w:eastAsia="黑体" w:cs="黑体"/>
          <w:color w:val="auto"/>
          <w:szCs w:val="24"/>
          <w:highlight w:val="none"/>
        </w:rPr>
      </w:pPr>
      <w:r>
        <w:rPr>
          <w:rStyle w:val="29"/>
          <w:rFonts w:ascii="黑体" w:hAnsi="宋体" w:eastAsia="黑体" w:cs="黑体"/>
          <w:color w:val="auto"/>
          <w:szCs w:val="24"/>
          <w:highlight w:val="none"/>
        </w:rPr>
        <w:t>六、公告期限</w:t>
      </w:r>
    </w:p>
    <w:p w14:paraId="39A98287">
      <w:pPr>
        <w:pStyle w:val="21"/>
        <w:spacing w:before="38" w:after="156"/>
        <w:rPr>
          <w:color w:val="auto"/>
          <w:szCs w:val="24"/>
          <w:highlight w:val="none"/>
        </w:rPr>
      </w:pPr>
      <w:r>
        <w:rPr>
          <w:rFonts w:hint="eastAsia" w:ascii="仿宋" w:hAnsi="仿宋" w:eastAsia="仿宋" w:cs="仿宋"/>
          <w:color w:val="auto"/>
          <w:szCs w:val="24"/>
          <w:highlight w:val="none"/>
        </w:rPr>
        <w:t>    自本公告发布之日起3个工作日。</w:t>
      </w:r>
    </w:p>
    <w:p w14:paraId="5B9034D1">
      <w:pPr>
        <w:pStyle w:val="21"/>
        <w:spacing w:before="128" w:after="156" w:line="225" w:lineRule="atLeast"/>
        <w:jc w:val="both"/>
        <w:rPr>
          <w:rFonts w:ascii="黑体" w:hAnsi="宋体" w:eastAsia="黑体" w:cs="黑体"/>
          <w:color w:val="auto"/>
          <w:szCs w:val="24"/>
          <w:highlight w:val="none"/>
        </w:rPr>
      </w:pPr>
      <w:r>
        <w:rPr>
          <w:rStyle w:val="29"/>
          <w:rFonts w:ascii="黑体" w:hAnsi="宋体" w:eastAsia="黑体" w:cs="黑体"/>
          <w:color w:val="auto"/>
          <w:szCs w:val="24"/>
          <w:highlight w:val="none"/>
        </w:rPr>
        <w:t>七、其他补充事宜</w:t>
      </w:r>
      <w:r>
        <w:rPr>
          <w:rFonts w:ascii="黑体" w:hAnsi="宋体" w:eastAsia="黑体" w:cs="黑体"/>
          <w:color w:val="auto"/>
          <w:szCs w:val="24"/>
          <w:highlight w:val="none"/>
        </w:rPr>
        <w:t> </w:t>
      </w:r>
    </w:p>
    <w:p w14:paraId="632E1CD1">
      <w:pPr>
        <w:pStyle w:val="21"/>
        <w:spacing w:before="128" w:after="156" w:line="150" w:lineRule="atLeast"/>
        <w:ind w:firstLine="420"/>
        <w:jc w:val="both"/>
        <w:rPr>
          <w:rFonts w:ascii="黑体" w:hAnsi="宋体" w:eastAsia="黑体" w:cs="黑体"/>
          <w:color w:val="auto"/>
          <w:szCs w:val="24"/>
          <w:highlight w:val="none"/>
        </w:rPr>
      </w:pPr>
      <w:r>
        <w:rPr>
          <w:rFonts w:hint="eastAsia" w:ascii="仿宋" w:hAnsi="仿宋" w:eastAsia="仿宋" w:cs="仿宋"/>
          <w:color w:val="auto"/>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270246B">
      <w:pPr>
        <w:pStyle w:val="21"/>
        <w:spacing w:before="128" w:after="156" w:line="150" w:lineRule="atLeast"/>
        <w:ind w:firstLine="420"/>
        <w:jc w:val="both"/>
        <w:rPr>
          <w:rFonts w:ascii="仿宋" w:hAnsi="仿宋" w:eastAsia="仿宋" w:cs="仿宋"/>
          <w:color w:val="auto"/>
          <w:szCs w:val="24"/>
          <w:highlight w:val="none"/>
        </w:rPr>
      </w:pPr>
      <w:r>
        <w:rPr>
          <w:rFonts w:hint="eastAsia" w:ascii="仿宋" w:hAnsi="仿宋" w:eastAsia="仿宋" w:cs="仿宋"/>
          <w:color w:val="auto"/>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3D1CD97">
      <w:pPr>
        <w:pStyle w:val="21"/>
        <w:spacing w:before="128" w:after="156" w:line="150" w:lineRule="atLeast"/>
        <w:ind w:firstLine="420"/>
        <w:jc w:val="both"/>
        <w:rPr>
          <w:rFonts w:ascii="仿宋" w:hAnsi="仿宋" w:eastAsia="仿宋" w:cs="仿宋"/>
          <w:color w:val="auto"/>
          <w:szCs w:val="24"/>
          <w:highlight w:val="none"/>
        </w:rPr>
      </w:pPr>
      <w:r>
        <w:rPr>
          <w:rFonts w:hint="eastAsia" w:ascii="仿宋" w:hAnsi="仿宋" w:eastAsia="仿宋" w:cs="仿宋"/>
          <w:color w:val="auto"/>
          <w:szCs w:val="24"/>
          <w:highlight w:val="none"/>
        </w:rPr>
        <w:t>3.其他事项：/</w:t>
      </w:r>
    </w:p>
    <w:p w14:paraId="120A05E7">
      <w:pPr>
        <w:pStyle w:val="21"/>
        <w:shd w:val="clear" w:color="auto" w:fill="FFFFFF"/>
        <w:spacing w:before="128" w:after="156" w:line="240" w:lineRule="atLeast"/>
        <w:jc w:val="both"/>
        <w:rPr>
          <w:rFonts w:ascii="宋体" w:hAnsi="宋体" w:eastAsia="宋体" w:cs="宋体"/>
          <w:color w:val="auto"/>
          <w:sz w:val="22"/>
          <w:highlight w:val="none"/>
        </w:rPr>
      </w:pPr>
      <w:r>
        <w:rPr>
          <w:rStyle w:val="29"/>
          <w:rFonts w:hint="eastAsia" w:ascii="宋体" w:hAnsi="宋体" w:eastAsia="宋体" w:cs="宋体"/>
          <w:color w:val="auto"/>
          <w:sz w:val="22"/>
          <w:highlight w:val="none"/>
          <w:shd w:val="clear" w:color="auto" w:fill="FFFFFF"/>
        </w:rPr>
        <w:t>八、凡对本次招标提出询问、质疑、投诉，请按以下方式联系</w:t>
      </w:r>
    </w:p>
    <w:p w14:paraId="47406127">
      <w:pPr>
        <w:pStyle w:val="21"/>
        <w:spacing w:before="38" w:after="156" w:line="150" w:lineRule="atLeast"/>
        <w:rPr>
          <w:rFonts w:ascii="仿宋" w:hAnsi="仿宋" w:eastAsia="仿宋" w:cs="仿宋"/>
          <w:color w:val="auto"/>
          <w:szCs w:val="24"/>
          <w:highlight w:val="none"/>
        </w:rPr>
      </w:pPr>
      <w:r>
        <w:rPr>
          <w:rFonts w:hint="eastAsia" w:ascii="宋体" w:hAnsi="宋体" w:eastAsia="宋体" w:cs="宋体"/>
          <w:color w:val="auto"/>
          <w:sz w:val="22"/>
          <w:highlight w:val="none"/>
          <w:shd w:val="clear" w:color="auto" w:fill="FFFFFF"/>
        </w:rPr>
        <w:t xml:space="preserve">  </w:t>
      </w:r>
      <w:r>
        <w:rPr>
          <w:rFonts w:hint="eastAsia" w:ascii="仿宋" w:hAnsi="仿宋" w:eastAsia="仿宋" w:cs="仿宋"/>
          <w:color w:val="auto"/>
          <w:szCs w:val="24"/>
          <w:highlight w:val="none"/>
        </w:rPr>
        <w:t>  1.采购人信息</w:t>
      </w:r>
    </w:p>
    <w:p w14:paraId="236CC8C8">
      <w:pPr>
        <w:pStyle w:val="21"/>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名    称：泰顺县自然资源和规划局 </w:t>
      </w:r>
    </w:p>
    <w:p w14:paraId="511CF2BD">
      <w:pPr>
        <w:pStyle w:val="21"/>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地    址：温州市泰顺县罗阳镇常青路25号 </w:t>
      </w:r>
    </w:p>
    <w:p w14:paraId="379FB23B">
      <w:pPr>
        <w:pStyle w:val="21"/>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传    真： </w:t>
      </w:r>
    </w:p>
    <w:p w14:paraId="011DF900">
      <w:pPr>
        <w:pStyle w:val="21"/>
        <w:spacing w:before="38" w:after="156" w:line="150" w:lineRule="atLeast"/>
        <w:ind w:firstLine="373"/>
        <w:rPr>
          <w:rFonts w:ascii="仿宋" w:hAnsi="仿宋" w:eastAsia="仿宋" w:cs="仿宋"/>
          <w:color w:val="auto"/>
          <w:szCs w:val="24"/>
          <w:highlight w:val="none"/>
        </w:rPr>
      </w:pPr>
      <w:r>
        <w:rPr>
          <w:rFonts w:hint="eastAsia" w:ascii="仿宋" w:hAnsi="仿宋" w:eastAsia="仿宋" w:cs="仿宋"/>
          <w:color w:val="auto"/>
          <w:szCs w:val="24"/>
          <w:highlight w:val="none"/>
        </w:rPr>
        <w:t>项目联系人（询问）：林先生 </w:t>
      </w:r>
    </w:p>
    <w:p w14:paraId="735B7273">
      <w:pPr>
        <w:pStyle w:val="21"/>
        <w:spacing w:before="38" w:after="156" w:line="150" w:lineRule="atLeast"/>
        <w:ind w:firstLine="373"/>
        <w:rPr>
          <w:rFonts w:ascii="仿宋" w:hAnsi="仿宋" w:eastAsia="仿宋" w:cs="仿宋"/>
          <w:color w:val="auto"/>
          <w:szCs w:val="24"/>
          <w:highlight w:val="none"/>
        </w:rPr>
      </w:pPr>
      <w:r>
        <w:rPr>
          <w:rFonts w:hint="eastAsia" w:ascii="仿宋" w:hAnsi="仿宋" w:eastAsia="仿宋" w:cs="仿宋"/>
          <w:color w:val="auto"/>
          <w:szCs w:val="24"/>
          <w:highlight w:val="none"/>
        </w:rPr>
        <w:t>项目联系方式（询问）：0577-67582404</w:t>
      </w:r>
    </w:p>
    <w:p w14:paraId="40E147AD">
      <w:pPr>
        <w:pStyle w:val="21"/>
        <w:spacing w:before="38" w:after="156" w:line="150" w:lineRule="atLeast"/>
        <w:ind w:firstLine="373"/>
        <w:rPr>
          <w:rFonts w:ascii="仿宋" w:hAnsi="仿宋" w:eastAsia="仿宋" w:cs="仿宋"/>
          <w:color w:val="auto"/>
          <w:szCs w:val="24"/>
          <w:highlight w:val="none"/>
        </w:rPr>
      </w:pPr>
      <w:r>
        <w:rPr>
          <w:rFonts w:hint="eastAsia" w:ascii="仿宋" w:hAnsi="仿宋" w:eastAsia="仿宋" w:cs="仿宋"/>
          <w:color w:val="auto"/>
          <w:szCs w:val="24"/>
          <w:highlight w:val="none"/>
        </w:rPr>
        <w:t>质疑联系人：徐先生   </w:t>
      </w:r>
    </w:p>
    <w:p w14:paraId="165E517F">
      <w:pPr>
        <w:pStyle w:val="21"/>
        <w:spacing w:before="38" w:after="156" w:line="150" w:lineRule="atLeast"/>
        <w:ind w:firstLine="373"/>
        <w:rPr>
          <w:rFonts w:ascii="仿宋" w:hAnsi="仿宋" w:eastAsia="仿宋" w:cs="仿宋"/>
          <w:color w:val="auto"/>
          <w:szCs w:val="24"/>
          <w:highlight w:val="none"/>
        </w:rPr>
      </w:pPr>
      <w:r>
        <w:rPr>
          <w:rFonts w:hint="eastAsia" w:ascii="仿宋" w:hAnsi="仿宋" w:eastAsia="仿宋" w:cs="仿宋"/>
          <w:color w:val="auto"/>
          <w:szCs w:val="24"/>
          <w:highlight w:val="none"/>
        </w:rPr>
        <w:t>质疑联系方式：0577-67593464 </w:t>
      </w:r>
    </w:p>
    <w:p w14:paraId="21BE3F3D">
      <w:pPr>
        <w:pStyle w:val="21"/>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w:t>
      </w:r>
      <w:r>
        <w:rPr>
          <w:rFonts w:hint="eastAsia" w:ascii="仿宋" w:hAnsi="仿宋" w:eastAsia="仿宋" w:cs="仿宋"/>
          <w:color w:val="auto"/>
          <w:szCs w:val="24"/>
          <w:highlight w:val="none"/>
        </w:rPr>
        <w:br w:type="textWrapping"/>
      </w:r>
      <w:r>
        <w:rPr>
          <w:rFonts w:hint="eastAsia" w:ascii="仿宋" w:hAnsi="仿宋" w:eastAsia="仿宋" w:cs="仿宋"/>
          <w:color w:val="auto"/>
          <w:szCs w:val="24"/>
          <w:highlight w:val="none"/>
        </w:rPr>
        <w:t>    2.采购代理机构信息</w:t>
      </w:r>
    </w:p>
    <w:p w14:paraId="16B1183D">
      <w:pPr>
        <w:pStyle w:val="21"/>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名    称：杭州华旗招标代理有限公司 </w:t>
      </w:r>
    </w:p>
    <w:p w14:paraId="0A168865">
      <w:pPr>
        <w:pStyle w:val="21"/>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地    址：温州市泰顺县罗阳镇湖滨花苑B8幢401 </w:t>
      </w:r>
    </w:p>
    <w:p w14:paraId="24D3C0C8">
      <w:pPr>
        <w:pStyle w:val="21"/>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传    真：  </w:t>
      </w:r>
    </w:p>
    <w:p w14:paraId="65B8CCDF">
      <w:pPr>
        <w:pStyle w:val="21"/>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项目联系人（询问）：翁爱霜 </w:t>
      </w:r>
    </w:p>
    <w:p w14:paraId="6550D5FC">
      <w:pPr>
        <w:pStyle w:val="21"/>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项目联系方式（询问）：17858065131 </w:t>
      </w:r>
    </w:p>
    <w:p w14:paraId="170A521C">
      <w:pPr>
        <w:pStyle w:val="21"/>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质疑联系人：苏红 </w:t>
      </w:r>
    </w:p>
    <w:p w14:paraId="398F6564">
      <w:pPr>
        <w:pStyle w:val="21"/>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质疑联系方式：15888799321 </w:t>
      </w:r>
    </w:p>
    <w:p w14:paraId="15161C10">
      <w:pPr>
        <w:pStyle w:val="21"/>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w:t>
      </w:r>
      <w:r>
        <w:rPr>
          <w:rFonts w:hint="eastAsia" w:ascii="仿宋" w:hAnsi="仿宋" w:eastAsia="仿宋" w:cs="仿宋"/>
          <w:color w:val="auto"/>
          <w:szCs w:val="24"/>
          <w:highlight w:val="none"/>
        </w:rPr>
        <w:br w:type="textWrapping"/>
      </w:r>
      <w:r>
        <w:rPr>
          <w:rFonts w:hint="eastAsia" w:ascii="仿宋" w:hAnsi="仿宋" w:eastAsia="仿宋" w:cs="仿宋"/>
          <w:color w:val="auto"/>
          <w:szCs w:val="24"/>
          <w:highlight w:val="none"/>
        </w:rPr>
        <w:t>    3.同级政府采购监督管理部门</w:t>
      </w:r>
    </w:p>
    <w:p w14:paraId="67D313A7">
      <w:pPr>
        <w:pStyle w:val="21"/>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名    称：泰顺县财政局 </w:t>
      </w:r>
    </w:p>
    <w:p w14:paraId="264E0B58">
      <w:pPr>
        <w:pStyle w:val="21"/>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地    址：温州市泰顺县罗阳镇公园路48号 </w:t>
      </w:r>
    </w:p>
    <w:p w14:paraId="7D41BEDF">
      <w:pPr>
        <w:pStyle w:val="21"/>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传    真：/ </w:t>
      </w:r>
    </w:p>
    <w:p w14:paraId="1AF26886">
      <w:pPr>
        <w:pStyle w:val="21"/>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联系人 ：董女士 </w:t>
      </w:r>
    </w:p>
    <w:p w14:paraId="70362248">
      <w:pPr>
        <w:pStyle w:val="21"/>
        <w:spacing w:before="38" w:after="156" w:line="150" w:lineRule="atLeast"/>
        <w:rPr>
          <w:rFonts w:ascii="仿宋" w:hAnsi="仿宋" w:eastAsia="仿宋" w:cs="仿宋"/>
          <w:color w:val="auto"/>
          <w:szCs w:val="24"/>
          <w:highlight w:val="none"/>
        </w:rPr>
      </w:pPr>
      <w:r>
        <w:rPr>
          <w:rFonts w:hint="eastAsia" w:ascii="仿宋" w:hAnsi="仿宋" w:eastAsia="仿宋" w:cs="仿宋"/>
          <w:color w:val="auto"/>
          <w:szCs w:val="24"/>
          <w:highlight w:val="none"/>
        </w:rPr>
        <w:t>    监督投诉电话：0577-67588502</w:t>
      </w:r>
    </w:p>
    <w:p w14:paraId="5A1463E9">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13D1EEF7">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7A1C4BD2">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53BE05A6">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01BDDCCF">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4D7FFA1E">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03979670">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7DEB9A27">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p>
    <w:p w14:paraId="591456D5">
      <w:pPr>
        <w:tabs>
          <w:tab w:val="left" w:pos="1069"/>
          <w:tab w:val="left" w:pos="1080"/>
          <w:tab w:val="left" w:pos="2352"/>
        </w:tabs>
        <w:autoSpaceDE w:val="0"/>
        <w:autoSpaceDN w:val="0"/>
        <w:adjustRightInd w:val="0"/>
        <w:spacing w:line="50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第一部分、投标邀请函（投标须知前附表）</w:t>
      </w:r>
      <w:bookmarkEnd w:id="1"/>
    </w:p>
    <w:tbl>
      <w:tblPr>
        <w:tblStyle w:val="26"/>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600"/>
        <w:gridCol w:w="7619"/>
      </w:tblGrid>
      <w:tr w14:paraId="2658BF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4" w:hRule="atLeast"/>
          <w:jc w:val="center"/>
        </w:trPr>
        <w:tc>
          <w:tcPr>
            <w:tcW w:w="952" w:type="dxa"/>
            <w:tcBorders>
              <w:top w:val="single" w:color="auto" w:sz="12" w:space="0"/>
            </w:tcBorders>
            <w:vAlign w:val="center"/>
          </w:tcPr>
          <w:p w14:paraId="2BFA395B">
            <w:pPr>
              <w:tabs>
                <w:tab w:val="left" w:pos="1069"/>
                <w:tab w:val="left" w:pos="2352"/>
              </w:tabs>
              <w:spacing w:line="400" w:lineRule="atLeast"/>
              <w:jc w:val="right"/>
              <w:rPr>
                <w:rFonts w:ascii="宋体" w:hAnsi="宋体" w:cs="宋体"/>
                <w:color w:val="auto"/>
                <w:sz w:val="22"/>
                <w:highlight w:val="none"/>
              </w:rPr>
            </w:pPr>
            <w:r>
              <w:rPr>
                <w:rFonts w:hint="eastAsia" w:ascii="宋体" w:hAnsi="宋体" w:cs="宋体"/>
                <w:color w:val="auto"/>
                <w:sz w:val="22"/>
                <w:highlight w:val="none"/>
              </w:rPr>
              <w:t>项号</w:t>
            </w:r>
          </w:p>
        </w:tc>
        <w:tc>
          <w:tcPr>
            <w:tcW w:w="1600" w:type="dxa"/>
            <w:tcBorders>
              <w:top w:val="single" w:color="auto" w:sz="12" w:space="0"/>
            </w:tcBorders>
            <w:vAlign w:val="center"/>
          </w:tcPr>
          <w:p w14:paraId="2108045A">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内容</w:t>
            </w:r>
          </w:p>
        </w:tc>
        <w:tc>
          <w:tcPr>
            <w:tcW w:w="7619" w:type="dxa"/>
            <w:tcBorders>
              <w:top w:val="single" w:color="auto" w:sz="12" w:space="0"/>
            </w:tcBorders>
            <w:vAlign w:val="center"/>
          </w:tcPr>
          <w:p w14:paraId="6252B646">
            <w:pPr>
              <w:tabs>
                <w:tab w:val="left" w:pos="1069"/>
                <w:tab w:val="left" w:pos="2352"/>
              </w:tabs>
              <w:spacing w:line="400" w:lineRule="atLeast"/>
              <w:jc w:val="center"/>
              <w:rPr>
                <w:rFonts w:ascii="宋体" w:hAnsi="宋体" w:cs="宋体"/>
                <w:color w:val="auto"/>
                <w:sz w:val="22"/>
                <w:highlight w:val="none"/>
              </w:rPr>
            </w:pPr>
            <w:r>
              <w:rPr>
                <w:rFonts w:hint="eastAsia" w:ascii="宋体" w:hAnsi="宋体" w:cs="宋体"/>
                <w:color w:val="auto"/>
                <w:sz w:val="22"/>
                <w:highlight w:val="none"/>
              </w:rPr>
              <w:t>说明与要求</w:t>
            </w:r>
          </w:p>
        </w:tc>
      </w:tr>
      <w:tr w14:paraId="692ECF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50028108">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2E3D0EB8">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项目名称</w:t>
            </w:r>
          </w:p>
        </w:tc>
        <w:tc>
          <w:tcPr>
            <w:tcW w:w="7619" w:type="dxa"/>
            <w:vAlign w:val="center"/>
          </w:tcPr>
          <w:p w14:paraId="2EA5DD80">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rPr>
              <w:t>2024年泰顺县森林资源动态监测与评价</w:t>
            </w:r>
          </w:p>
        </w:tc>
      </w:tr>
      <w:tr w14:paraId="51FA2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7160D6C7">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7036422">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项目编号</w:t>
            </w:r>
          </w:p>
        </w:tc>
        <w:tc>
          <w:tcPr>
            <w:tcW w:w="7619" w:type="dxa"/>
            <w:vAlign w:val="center"/>
          </w:tcPr>
          <w:p w14:paraId="71D694FD">
            <w:pPr>
              <w:tabs>
                <w:tab w:val="left" w:pos="1069"/>
                <w:tab w:val="left" w:pos="2352"/>
              </w:tabs>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TSCG202409011</w:t>
            </w:r>
          </w:p>
        </w:tc>
      </w:tr>
      <w:tr w14:paraId="3A14A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52C148F3">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58D712AD">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资金来源</w:t>
            </w:r>
          </w:p>
        </w:tc>
        <w:tc>
          <w:tcPr>
            <w:tcW w:w="7619" w:type="dxa"/>
            <w:vAlign w:val="center"/>
          </w:tcPr>
          <w:p w14:paraId="2D07A50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财政性资金</w:t>
            </w:r>
          </w:p>
        </w:tc>
      </w:tr>
      <w:tr w14:paraId="2AD1E3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13D8B71D">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457743D">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采购方式</w:t>
            </w:r>
          </w:p>
        </w:tc>
        <w:tc>
          <w:tcPr>
            <w:tcW w:w="7619" w:type="dxa"/>
            <w:vAlign w:val="center"/>
          </w:tcPr>
          <w:p w14:paraId="0DD9B97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竞争性磋商</w:t>
            </w:r>
          </w:p>
        </w:tc>
      </w:tr>
      <w:tr w14:paraId="4F011E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2AE44C37">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FE9AAA7">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采购预算</w:t>
            </w:r>
          </w:p>
          <w:p w14:paraId="437C31B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（最高限价）</w:t>
            </w:r>
          </w:p>
        </w:tc>
        <w:tc>
          <w:tcPr>
            <w:tcW w:w="7619" w:type="dxa"/>
            <w:vAlign w:val="center"/>
          </w:tcPr>
          <w:p w14:paraId="189D2160">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rPr>
              <w:t>50万元</w:t>
            </w:r>
          </w:p>
        </w:tc>
      </w:tr>
      <w:tr w14:paraId="0465E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4885B7F0">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39E02035">
            <w:pPr>
              <w:tabs>
                <w:tab w:val="left" w:pos="1069"/>
              </w:tabs>
              <w:adjustRightInd w:val="0"/>
              <w:jc w:val="center"/>
              <w:rPr>
                <w:rFonts w:ascii="宋体" w:hAnsi="宋体" w:cs="宋体"/>
                <w:color w:val="auto"/>
                <w:sz w:val="22"/>
                <w:highlight w:val="none"/>
              </w:rPr>
            </w:pPr>
            <w:r>
              <w:rPr>
                <w:rFonts w:hint="eastAsia" w:ascii="宋体" w:hAnsi="宋体" w:cs="宋体"/>
                <w:color w:val="auto"/>
                <w:sz w:val="22"/>
                <w:highlight w:val="none"/>
              </w:rPr>
              <w:t>采购人</w:t>
            </w:r>
          </w:p>
        </w:tc>
        <w:tc>
          <w:tcPr>
            <w:tcW w:w="7619" w:type="dxa"/>
            <w:vAlign w:val="center"/>
          </w:tcPr>
          <w:p w14:paraId="3B5212CC">
            <w:pPr>
              <w:tabs>
                <w:tab w:val="left" w:pos="1069"/>
              </w:tabs>
              <w:adjustRightInd w:val="0"/>
              <w:jc w:val="left"/>
              <w:rPr>
                <w:rFonts w:ascii="宋体" w:hAnsi="宋体" w:cs="宋体"/>
                <w:color w:val="auto"/>
                <w:sz w:val="22"/>
                <w:highlight w:val="none"/>
              </w:rPr>
            </w:pPr>
            <w:r>
              <w:rPr>
                <w:rFonts w:hint="eastAsia" w:ascii="宋体" w:hAnsi="宋体" w:cs="宋体"/>
                <w:color w:val="auto"/>
                <w:sz w:val="22"/>
                <w:highlight w:val="none"/>
              </w:rPr>
              <w:t>详见采购公告</w:t>
            </w:r>
          </w:p>
        </w:tc>
      </w:tr>
      <w:tr w14:paraId="72F20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64E10F9">
            <w:pPr>
              <w:widowControl/>
              <w:numPr>
                <w:ilvl w:val="0"/>
                <w:numId w:val="1"/>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vAlign w:val="center"/>
          </w:tcPr>
          <w:p w14:paraId="58A3F41D">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招标代理机构</w:t>
            </w:r>
          </w:p>
        </w:tc>
        <w:tc>
          <w:tcPr>
            <w:tcW w:w="7619" w:type="dxa"/>
            <w:vAlign w:val="center"/>
          </w:tcPr>
          <w:p w14:paraId="5604BC0D">
            <w:pPr>
              <w:tabs>
                <w:tab w:val="left" w:pos="1069"/>
                <w:tab w:val="left" w:pos="2352"/>
              </w:tabs>
              <w:adjustRightInd w:val="0"/>
              <w:jc w:val="left"/>
              <w:rPr>
                <w:rFonts w:ascii="宋体" w:hAnsi="宋体" w:cs="宋体"/>
                <w:color w:val="auto"/>
                <w:sz w:val="22"/>
                <w:highlight w:val="none"/>
              </w:rPr>
            </w:pPr>
            <w:r>
              <w:rPr>
                <w:rFonts w:hint="eastAsia" w:ascii="宋体" w:hAnsi="宋体" w:cs="宋体"/>
                <w:color w:val="auto"/>
                <w:sz w:val="22"/>
                <w:highlight w:val="none"/>
              </w:rPr>
              <w:t>详见采购公告</w:t>
            </w:r>
          </w:p>
        </w:tc>
      </w:tr>
      <w:tr w14:paraId="69FC99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67C90EBD">
            <w:pPr>
              <w:widowControl/>
              <w:numPr>
                <w:ilvl w:val="0"/>
                <w:numId w:val="1"/>
              </w:numPr>
              <w:tabs>
                <w:tab w:val="left" w:pos="420"/>
                <w:tab w:val="left" w:pos="1069"/>
                <w:tab w:val="left" w:pos="2352"/>
                <w:tab w:val="clear" w:pos="720"/>
              </w:tabs>
              <w:ind w:left="420" w:right="105" w:hanging="420"/>
              <w:jc w:val="right"/>
              <w:rPr>
                <w:rFonts w:ascii="宋体" w:hAnsi="宋体" w:cs="宋体"/>
                <w:color w:val="auto"/>
                <w:sz w:val="22"/>
                <w:highlight w:val="none"/>
              </w:rPr>
            </w:pPr>
          </w:p>
        </w:tc>
        <w:tc>
          <w:tcPr>
            <w:tcW w:w="1600" w:type="dxa"/>
            <w:vAlign w:val="center"/>
          </w:tcPr>
          <w:p w14:paraId="2519FC33">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评标办法</w:t>
            </w:r>
          </w:p>
        </w:tc>
        <w:tc>
          <w:tcPr>
            <w:tcW w:w="7619" w:type="dxa"/>
            <w:vAlign w:val="center"/>
          </w:tcPr>
          <w:p w14:paraId="304CAF94">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综合评分法</w:t>
            </w:r>
          </w:p>
        </w:tc>
      </w:tr>
      <w:tr w14:paraId="18A7A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952" w:type="dxa"/>
            <w:vAlign w:val="center"/>
          </w:tcPr>
          <w:p w14:paraId="2E58A725">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82F5981">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招标内容</w:t>
            </w:r>
          </w:p>
        </w:tc>
        <w:tc>
          <w:tcPr>
            <w:tcW w:w="7619" w:type="dxa"/>
            <w:vAlign w:val="center"/>
          </w:tcPr>
          <w:p w14:paraId="532419BF">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具体内容见竞争性磋商文件。</w:t>
            </w:r>
          </w:p>
        </w:tc>
      </w:tr>
      <w:tr w14:paraId="0D8B5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0AFD26A1">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D7F5E0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投标供应商</w:t>
            </w:r>
          </w:p>
          <w:p w14:paraId="7FD267C7">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资格要求</w:t>
            </w:r>
          </w:p>
        </w:tc>
        <w:tc>
          <w:tcPr>
            <w:tcW w:w="7619" w:type="dxa"/>
            <w:vAlign w:val="center"/>
          </w:tcPr>
          <w:p w14:paraId="5966549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详见采购公告</w:t>
            </w:r>
          </w:p>
        </w:tc>
      </w:tr>
      <w:tr w14:paraId="06C10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2226AFC4">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3E64946B">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踏勘现场</w:t>
            </w:r>
          </w:p>
        </w:tc>
        <w:tc>
          <w:tcPr>
            <w:tcW w:w="7619" w:type="dxa"/>
            <w:vAlign w:val="center"/>
          </w:tcPr>
          <w:p w14:paraId="40E00A41">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position w:val="2"/>
                <w:sz w:val="15"/>
                <w:highlight w:val="none"/>
              </w:rPr>
              <w:instrText xml:space="preserve">√</w:instrText>
            </w:r>
            <w:r>
              <w:rPr>
                <w:rFonts w:hint="eastAsia" w:ascii="宋体" w:hAnsi="宋体" w:cs="宋体"/>
                <w:color w:val="auto"/>
                <w:sz w:val="22"/>
                <w:highlight w:val="none"/>
              </w:rPr>
              <w:instrText xml:space="preserve">)</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不组织</w:t>
            </w:r>
          </w:p>
          <w:p w14:paraId="0B8B5471">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组织</w:t>
            </w:r>
          </w:p>
        </w:tc>
      </w:tr>
      <w:tr w14:paraId="3D168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952" w:type="dxa"/>
            <w:vAlign w:val="center"/>
          </w:tcPr>
          <w:p w14:paraId="627D8FA8">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1FF25AE">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是否允许递交备选投标方案</w:t>
            </w:r>
          </w:p>
        </w:tc>
        <w:tc>
          <w:tcPr>
            <w:tcW w:w="7619" w:type="dxa"/>
            <w:vAlign w:val="center"/>
          </w:tcPr>
          <w:p w14:paraId="51BE86C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fldChar w:fldCharType="begin"/>
            </w:r>
            <w:r>
              <w:rPr>
                <w:rFonts w:hint="eastAsia" w:ascii="宋体" w:hAnsi="宋体" w:cs="宋体"/>
                <w:color w:val="auto"/>
                <w:sz w:val="22"/>
                <w:highlight w:val="none"/>
              </w:rPr>
              <w:instrText xml:space="preserve"> eq \o\ac(□,√)</w:instrText>
            </w:r>
            <w:r>
              <w:rPr>
                <w:rFonts w:hint="eastAsia" w:ascii="宋体" w:hAnsi="宋体" w:cs="宋体"/>
                <w:color w:val="auto"/>
                <w:sz w:val="22"/>
                <w:highlight w:val="none"/>
              </w:rPr>
              <w:fldChar w:fldCharType="end"/>
            </w:r>
            <w:r>
              <w:rPr>
                <w:rFonts w:hint="eastAsia" w:ascii="宋体" w:hAnsi="宋体" w:cs="宋体"/>
                <w:color w:val="auto"/>
                <w:sz w:val="22"/>
                <w:highlight w:val="none"/>
              </w:rPr>
              <w:t>不允许</w:t>
            </w:r>
          </w:p>
          <w:p w14:paraId="16D4292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□允许</w:t>
            </w:r>
          </w:p>
        </w:tc>
      </w:tr>
      <w:tr w14:paraId="0E59E9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952" w:type="dxa"/>
            <w:vAlign w:val="center"/>
          </w:tcPr>
          <w:p w14:paraId="7CEE9C29">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1FC1697">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投标货币</w:t>
            </w:r>
          </w:p>
        </w:tc>
        <w:tc>
          <w:tcPr>
            <w:tcW w:w="7619" w:type="dxa"/>
            <w:vAlign w:val="center"/>
          </w:tcPr>
          <w:p w14:paraId="26788D91">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人民币</w:t>
            </w:r>
          </w:p>
        </w:tc>
      </w:tr>
      <w:tr w14:paraId="02911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952" w:type="dxa"/>
            <w:vAlign w:val="center"/>
          </w:tcPr>
          <w:p w14:paraId="4457E24F">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27AE98E7">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投标语言</w:t>
            </w:r>
          </w:p>
        </w:tc>
        <w:tc>
          <w:tcPr>
            <w:tcW w:w="7619" w:type="dxa"/>
            <w:vAlign w:val="center"/>
          </w:tcPr>
          <w:p w14:paraId="403B8BC1">
            <w:pPr>
              <w:tabs>
                <w:tab w:val="left" w:pos="1069"/>
                <w:tab w:val="left" w:pos="2352"/>
              </w:tabs>
              <w:adjustRightInd w:val="0"/>
              <w:rPr>
                <w:rFonts w:ascii="宋体" w:hAnsi="宋体" w:cs="宋体"/>
                <w:color w:val="auto"/>
                <w:sz w:val="22"/>
                <w:highlight w:val="none"/>
              </w:rPr>
            </w:pPr>
            <w:r>
              <w:rPr>
                <w:rFonts w:hint="eastAsia" w:ascii="宋体" w:hAnsi="宋体" w:cs="宋体"/>
                <w:color w:val="auto"/>
                <w:sz w:val="22"/>
                <w:highlight w:val="none"/>
              </w:rPr>
              <w:t>中文</w:t>
            </w:r>
          </w:p>
        </w:tc>
      </w:tr>
      <w:tr w14:paraId="7F483E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952" w:type="dxa"/>
            <w:vAlign w:val="center"/>
          </w:tcPr>
          <w:p w14:paraId="11D314F1">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30B6C83">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说明</w:t>
            </w:r>
          </w:p>
        </w:tc>
        <w:tc>
          <w:tcPr>
            <w:tcW w:w="7619" w:type="dxa"/>
            <w:vAlign w:val="center"/>
          </w:tcPr>
          <w:p w14:paraId="0967E166">
            <w:pPr>
              <w:tabs>
                <w:tab w:val="left" w:pos="1069"/>
                <w:tab w:val="left" w:pos="2352"/>
              </w:tabs>
              <w:autoSpaceDE w:val="0"/>
              <w:autoSpaceDN w:val="0"/>
              <w:adjustRightInd w:val="0"/>
              <w:jc w:val="left"/>
              <w:rPr>
                <w:rFonts w:ascii="宋体" w:hAnsi="宋体" w:cs="宋体"/>
                <w:color w:val="auto"/>
                <w:sz w:val="22"/>
                <w:highlight w:val="none"/>
                <w:lang w:val="zh-CN"/>
              </w:rPr>
            </w:pPr>
            <w:r>
              <w:rPr>
                <w:rFonts w:hint="eastAsia" w:ascii="宋体" w:hAnsi="宋体" w:cs="宋体"/>
                <w:color w:val="auto"/>
                <w:sz w:val="22"/>
                <w:highlight w:val="none"/>
                <w:lang w:val="zh-CN"/>
              </w:rPr>
              <w:t>1、</w:t>
            </w:r>
            <w:r>
              <w:rPr>
                <w:rFonts w:hint="eastAsia" w:ascii="宋体" w:hAnsi="宋体" w:cs="宋体"/>
                <w:b/>
                <w:bCs/>
                <w:color w:val="auto"/>
                <w:sz w:val="22"/>
                <w:highlight w:val="none"/>
                <w:lang w:val="zh-CN"/>
              </w:rPr>
              <w:t>投标文件组成：</w:t>
            </w:r>
            <w:r>
              <w:rPr>
                <w:rFonts w:hint="eastAsia" w:ascii="宋体" w:hAnsi="宋体" w:cs="宋体"/>
                <w:color w:val="auto"/>
                <w:sz w:val="22"/>
                <w:highlight w:val="none"/>
                <w:lang w:val="zh-CN"/>
              </w:rPr>
              <w:t>《资格文件》及《商务技术文件》和《报价文件》。</w:t>
            </w:r>
          </w:p>
          <w:p w14:paraId="172D398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b/>
                <w:bCs/>
                <w:color w:val="auto"/>
                <w:sz w:val="22"/>
                <w:highlight w:val="none"/>
              </w:rPr>
              <w:t>投标文件编制：</w:t>
            </w:r>
            <w:r>
              <w:rPr>
                <w:rFonts w:hint="eastAsia" w:ascii="宋体" w:hAnsi="宋体" w:cs="宋体"/>
                <w:color w:val="auto"/>
                <w:sz w:val="22"/>
                <w:highlight w:val="none"/>
              </w:rPr>
              <w:t>供应商应先安装“政采云电子交易客户端”，并按照本采购文件和“政府采购云平台”的要求，通过“政采云电子交易客户端”编制并加密投标文件。</w:t>
            </w:r>
          </w:p>
          <w:p w14:paraId="053E5754">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b/>
                <w:bCs/>
                <w:color w:val="auto"/>
                <w:sz w:val="22"/>
                <w:highlight w:val="none"/>
              </w:rPr>
              <w:t>投标文件的签章：</w:t>
            </w:r>
            <w:r>
              <w:rPr>
                <w:rFonts w:hint="eastAsia" w:ascii="宋体" w:hAnsi="宋体" w:cs="宋体"/>
                <w:color w:val="auto"/>
                <w:sz w:val="22"/>
                <w:highlight w:val="none"/>
              </w:rPr>
              <w:t>电子签章。</w:t>
            </w:r>
          </w:p>
          <w:p w14:paraId="1DA7EF87">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rPr>
              <w:t>4、</w:t>
            </w:r>
            <w:r>
              <w:rPr>
                <w:rFonts w:hint="eastAsia" w:ascii="宋体" w:hAnsi="宋体" w:cs="宋体"/>
                <w:b/>
                <w:bCs/>
                <w:color w:val="auto"/>
                <w:sz w:val="22"/>
                <w:highlight w:val="none"/>
              </w:rPr>
              <w:t>投标文件的形式：</w:t>
            </w:r>
            <w:r>
              <w:rPr>
                <w:rFonts w:hint="eastAsia" w:ascii="宋体" w:hAnsi="宋体" w:cs="宋体"/>
                <w:color w:val="auto"/>
                <w:sz w:val="22"/>
                <w:highlight w:val="none"/>
              </w:rPr>
              <w:t>☑电子投标文件（“</w:t>
            </w:r>
            <w:r>
              <w:rPr>
                <w:rFonts w:hint="eastAsia" w:ascii="宋体" w:hAnsi="宋体" w:cs="宋体"/>
                <w:color w:val="auto"/>
                <w:sz w:val="22"/>
                <w:highlight w:val="none"/>
                <w:lang w:bidi="ar"/>
              </w:rPr>
              <w:t>电子加密投标文件”，在投标文件编制完成后生成）；</w:t>
            </w:r>
          </w:p>
          <w:p w14:paraId="57C0F198">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“电子加密投标文件”是指通过“政采云电子交易客户端”完成投标文件编制后生成并加密的数据电文形式的投标文件。</w:t>
            </w:r>
          </w:p>
          <w:p w14:paraId="06BECCB1">
            <w:pPr>
              <w:tabs>
                <w:tab w:val="left" w:pos="1069"/>
                <w:tab w:val="left" w:pos="2352"/>
              </w:tabs>
              <w:autoSpaceDE w:val="0"/>
              <w:autoSpaceDN w:val="0"/>
              <w:adjustRightInd w:val="0"/>
              <w:jc w:val="left"/>
              <w:rPr>
                <w:rFonts w:ascii="宋体" w:hAnsi="宋体" w:cs="宋体"/>
                <w:color w:val="auto"/>
                <w:sz w:val="22"/>
                <w:highlight w:val="none"/>
                <w:lang w:bidi="ar"/>
              </w:rPr>
            </w:pPr>
            <w:r>
              <w:rPr>
                <w:rFonts w:hint="eastAsia" w:ascii="宋体" w:hAnsi="宋体" w:cs="宋体"/>
                <w:b/>
                <w:bCs/>
                <w:color w:val="auto"/>
                <w:sz w:val="22"/>
                <w:highlight w:val="none"/>
                <w:lang w:bidi="ar"/>
              </w:rPr>
              <w:t>5、投标文件份数：</w:t>
            </w:r>
            <w:r>
              <w:rPr>
                <w:rFonts w:hint="eastAsia" w:ascii="宋体" w:hAnsi="宋体" w:cs="宋体"/>
                <w:color w:val="auto"/>
                <w:sz w:val="22"/>
                <w:highlight w:val="none"/>
                <w:lang w:bidi="ar"/>
              </w:rPr>
              <w:t>“电子加密投标文件”：在线上传递交。</w:t>
            </w:r>
          </w:p>
          <w:p w14:paraId="1A624F4F">
            <w:pPr>
              <w:tabs>
                <w:tab w:val="left" w:pos="1069"/>
                <w:tab w:val="left" w:pos="2352"/>
              </w:tabs>
              <w:rPr>
                <w:rFonts w:ascii="宋体" w:hAnsi="宋体" w:cs="宋体"/>
                <w:b/>
                <w:bCs/>
                <w:color w:val="auto"/>
                <w:sz w:val="22"/>
                <w:highlight w:val="none"/>
                <w:lang w:bidi="ar"/>
              </w:rPr>
            </w:pPr>
            <w:r>
              <w:rPr>
                <w:rFonts w:hint="eastAsia" w:ascii="宋体" w:hAnsi="宋体" w:cs="宋体"/>
                <w:color w:val="auto"/>
                <w:sz w:val="22"/>
                <w:highlight w:val="none"/>
                <w:lang w:bidi="ar"/>
              </w:rPr>
              <w:t>6、</w:t>
            </w:r>
            <w:r>
              <w:rPr>
                <w:rFonts w:hint="eastAsia" w:ascii="宋体" w:hAnsi="宋体" w:cs="宋体"/>
                <w:b/>
                <w:bCs/>
                <w:color w:val="auto"/>
                <w:sz w:val="22"/>
                <w:highlight w:val="none"/>
                <w:lang w:bidi="ar"/>
              </w:rPr>
              <w:t>投标文件的上传和递交：</w:t>
            </w:r>
          </w:p>
          <w:p w14:paraId="5F9C1215">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“电子加密投标文件”的上传、递交：</w:t>
            </w:r>
          </w:p>
          <w:p w14:paraId="501378D6">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a.供应商应在投标截止时间前将“电子加密投标文件”成功上传递交至“政府采购云平台”，否则投标无效。</w:t>
            </w:r>
          </w:p>
          <w:p w14:paraId="75451FB9">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b.“电子加密投标文件”成功上传递交后，供应商可自行打印投标文件接收回执。</w:t>
            </w:r>
          </w:p>
          <w:p w14:paraId="67743D8D">
            <w:pPr>
              <w:tabs>
                <w:tab w:val="left" w:pos="1069"/>
                <w:tab w:val="left" w:pos="2352"/>
              </w:tabs>
              <w:rPr>
                <w:rFonts w:ascii="宋体" w:hAnsi="宋体" w:cs="宋体"/>
                <w:b/>
                <w:bCs/>
                <w:color w:val="auto"/>
                <w:sz w:val="22"/>
                <w:highlight w:val="none"/>
                <w:lang w:bidi="ar"/>
              </w:rPr>
            </w:pPr>
            <w:r>
              <w:rPr>
                <w:rFonts w:hint="eastAsia" w:ascii="宋体" w:hAnsi="宋体" w:cs="宋体"/>
                <w:b/>
                <w:bCs/>
                <w:color w:val="auto"/>
                <w:sz w:val="22"/>
                <w:highlight w:val="none"/>
                <w:lang w:bidi="ar"/>
              </w:rPr>
              <w:t>7、电子加密投标文件的解密和异常情况处理：</w:t>
            </w:r>
          </w:p>
          <w:p w14:paraId="74601F95">
            <w:pPr>
              <w:tabs>
                <w:tab w:val="left" w:pos="1069"/>
                <w:tab w:val="left" w:pos="2352"/>
              </w:tabs>
              <w:autoSpaceDE w:val="0"/>
              <w:autoSpaceDN w:val="0"/>
              <w:adjustRightInd w:val="0"/>
              <w:jc w:val="left"/>
              <w:rPr>
                <w:rFonts w:ascii="宋体" w:hAnsi="宋体" w:cs="宋体"/>
                <w:color w:val="auto"/>
                <w:sz w:val="22"/>
                <w:highlight w:val="none"/>
                <w:lang w:bidi="ar"/>
              </w:rPr>
            </w:pPr>
            <w:r>
              <w:rPr>
                <w:rFonts w:hint="eastAsia" w:ascii="宋体" w:hAnsi="宋体" w:cs="宋体"/>
                <w:color w:val="auto"/>
                <w:sz w:val="22"/>
                <w:highlight w:val="none"/>
                <w:lang w:bidi="ar"/>
              </w:rPr>
              <w:t>（1）开标后，采购组织机构将向各供应商发出“电子加密投标文件”的解密通知，各供应商代表应当在接到解密通知后30分钟内自行完成“电子加密投标文件”的在线解密。</w:t>
            </w:r>
          </w:p>
          <w:p w14:paraId="4A32461F">
            <w:pPr>
              <w:tabs>
                <w:tab w:val="left" w:pos="1069"/>
                <w:tab w:val="left" w:pos="2352"/>
              </w:tabs>
              <w:autoSpaceDE w:val="0"/>
              <w:autoSpaceDN w:val="0"/>
              <w:adjustRightInd w:val="0"/>
              <w:jc w:val="left"/>
              <w:rPr>
                <w:rFonts w:ascii="宋体" w:hAnsi="宋体" w:cs="宋体"/>
                <w:color w:val="auto"/>
                <w:sz w:val="22"/>
                <w:highlight w:val="none"/>
                <w:lang w:bidi="ar"/>
              </w:rPr>
            </w:pPr>
            <w:r>
              <w:rPr>
                <w:rFonts w:hint="eastAsia" w:ascii="宋体" w:hAnsi="宋体" w:cs="宋体"/>
                <w:color w:val="auto"/>
                <w:sz w:val="22"/>
                <w:highlight w:val="none"/>
                <w:lang w:bidi="ar"/>
              </w:rPr>
              <w:t>（2）</w:t>
            </w:r>
            <w:r>
              <w:rPr>
                <w:rStyle w:val="29"/>
                <w:rFonts w:hint="eastAsia" w:ascii="宋体" w:hAnsi="宋体" w:cs="宋体"/>
                <w:b w:val="0"/>
                <w:color w:val="auto"/>
                <w:sz w:val="22"/>
                <w:highlight w:val="none"/>
              </w:rPr>
              <w:t>通过“政府采购云平台”上传递交的“电子加密投标文件”无法按时解密的，其投标无效。</w:t>
            </w:r>
          </w:p>
          <w:p w14:paraId="4B931429">
            <w:pPr>
              <w:tabs>
                <w:tab w:val="left" w:pos="1069"/>
                <w:tab w:val="left" w:pos="2352"/>
              </w:tabs>
              <w:snapToGrid w:val="0"/>
              <w:rPr>
                <w:rFonts w:ascii="宋体" w:hAnsi="宋体" w:cs="宋体"/>
                <w:color w:val="auto"/>
                <w:sz w:val="22"/>
                <w:highlight w:val="none"/>
                <w:lang w:bidi="ar"/>
              </w:rPr>
            </w:pPr>
            <w:r>
              <w:rPr>
                <w:rFonts w:hint="eastAsia" w:ascii="宋体" w:hAnsi="宋体" w:cs="宋体"/>
                <w:b/>
                <w:bCs/>
                <w:color w:val="auto"/>
                <w:sz w:val="22"/>
                <w:highlight w:val="none"/>
                <w:lang w:bidi="ar"/>
              </w:rPr>
              <w:t>8、</w:t>
            </w:r>
            <w:r>
              <w:rPr>
                <w:rFonts w:hint="eastAsia" w:ascii="宋体" w:hAnsi="宋体" w:cs="宋体"/>
                <w:color w:val="auto"/>
                <w:sz w:val="22"/>
                <w:highlight w:val="none"/>
                <w:lang w:bidi="ar"/>
              </w:rPr>
              <w:t>投标截止后，在投标有效期内，供应商不能撤销投标文件。</w:t>
            </w:r>
          </w:p>
          <w:p w14:paraId="20B45A9F">
            <w:pPr>
              <w:tabs>
                <w:tab w:val="left" w:pos="1069"/>
                <w:tab w:val="left" w:pos="2352"/>
              </w:tabs>
              <w:snapToGrid w:val="0"/>
              <w:rPr>
                <w:rFonts w:ascii="宋体" w:hAnsi="宋体" w:cs="宋体"/>
                <w:color w:val="auto"/>
                <w:sz w:val="22"/>
                <w:highlight w:val="none"/>
                <w:lang w:bidi="ar"/>
              </w:rPr>
            </w:pPr>
            <w:r>
              <w:rPr>
                <w:rFonts w:hint="eastAsia" w:ascii="宋体" w:hAnsi="宋体" w:cs="宋体"/>
                <w:color w:val="auto"/>
                <w:sz w:val="22"/>
                <w:highlight w:val="none"/>
                <w:lang w:bidi="ar"/>
              </w:rPr>
              <w:t>9、存在下列行为的，招标代理机构将其失信行为上报政府采购主管部门，由主管部门按有关规定对其违法失信行为记录进行公开：</w:t>
            </w:r>
          </w:p>
          <w:p w14:paraId="048D5B16">
            <w:pPr>
              <w:tabs>
                <w:tab w:val="left" w:pos="1069"/>
                <w:tab w:val="left" w:pos="2352"/>
              </w:tabs>
              <w:snapToGrid w:val="0"/>
              <w:rPr>
                <w:rFonts w:ascii="宋体" w:hAnsi="宋体" w:cs="宋体"/>
                <w:color w:val="auto"/>
                <w:sz w:val="22"/>
                <w:highlight w:val="none"/>
                <w:lang w:bidi="ar"/>
              </w:rPr>
            </w:pPr>
            <w:r>
              <w:rPr>
                <w:rFonts w:hint="eastAsia" w:ascii="宋体" w:hAnsi="宋体" w:cs="宋体"/>
                <w:color w:val="auto"/>
                <w:sz w:val="22"/>
                <w:highlight w:val="none"/>
                <w:lang w:bidi="ar"/>
              </w:rPr>
              <w:t>（1）中标或者成交后，拒绝签订政府采购合同的；</w:t>
            </w:r>
          </w:p>
          <w:p w14:paraId="46CF1FC2">
            <w:pPr>
              <w:tabs>
                <w:tab w:val="left" w:pos="1069"/>
                <w:tab w:val="left" w:pos="2352"/>
              </w:tabs>
              <w:rPr>
                <w:rFonts w:ascii="宋体" w:hAnsi="宋体" w:cs="宋体"/>
                <w:color w:val="auto"/>
                <w:sz w:val="22"/>
                <w:highlight w:val="none"/>
                <w:lang w:bidi="ar"/>
              </w:rPr>
            </w:pPr>
            <w:r>
              <w:rPr>
                <w:rFonts w:hint="eastAsia" w:ascii="宋体" w:hAnsi="宋体" w:cs="宋体"/>
                <w:color w:val="auto"/>
                <w:sz w:val="22"/>
                <w:highlight w:val="none"/>
                <w:lang w:bidi="ar"/>
              </w:rPr>
              <w:t>（2）投标有效期内撤销投标文件的</w:t>
            </w:r>
          </w:p>
          <w:p w14:paraId="652DC144">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lang w:bidi="ar"/>
              </w:rPr>
              <w:t>10、</w:t>
            </w:r>
            <w:r>
              <w:rPr>
                <w:rFonts w:hint="eastAsia" w:ascii="宋体" w:hAnsi="宋体" w:cs="宋体"/>
                <w:b/>
                <w:bCs/>
                <w:color w:val="auto"/>
                <w:sz w:val="22"/>
                <w:highlight w:val="none"/>
                <w:u w:val="single"/>
                <w:lang w:bidi="ar"/>
              </w:rPr>
              <w:t>中标后，中标（成交）供应商须提供4份纸质投标文件至招标代理机构处作为纸质存档</w:t>
            </w:r>
            <w:r>
              <w:rPr>
                <w:rFonts w:hint="eastAsia" w:ascii="宋体" w:hAnsi="宋体" w:cs="宋体"/>
                <w:b/>
                <w:bCs/>
                <w:color w:val="auto"/>
                <w:sz w:val="22"/>
                <w:highlight w:val="none"/>
                <w:u w:val="single"/>
                <w:lang w:eastAsia="zh-CN" w:bidi="ar"/>
              </w:rPr>
              <w:t>（</w:t>
            </w:r>
            <w:r>
              <w:rPr>
                <w:rFonts w:hint="eastAsia" w:ascii="宋体" w:hAnsi="宋体" w:cs="宋体"/>
                <w:b/>
                <w:bCs/>
                <w:color w:val="auto"/>
                <w:sz w:val="22"/>
                <w:highlight w:val="none"/>
                <w:u w:val="single"/>
                <w:lang w:val="en-US" w:eastAsia="zh-CN" w:bidi="ar"/>
              </w:rPr>
              <w:t>邮寄地址详见公告</w:t>
            </w:r>
            <w:r>
              <w:rPr>
                <w:rFonts w:hint="eastAsia" w:ascii="宋体" w:hAnsi="宋体" w:cs="宋体"/>
                <w:b/>
                <w:bCs/>
                <w:color w:val="auto"/>
                <w:sz w:val="22"/>
                <w:highlight w:val="none"/>
                <w:u w:val="single"/>
                <w:lang w:eastAsia="zh-CN" w:bidi="ar"/>
              </w:rPr>
              <w:t>）</w:t>
            </w:r>
            <w:r>
              <w:rPr>
                <w:rFonts w:hint="eastAsia" w:ascii="宋体" w:hAnsi="宋体" w:cs="宋体"/>
                <w:b/>
                <w:bCs/>
                <w:color w:val="auto"/>
                <w:sz w:val="22"/>
                <w:highlight w:val="none"/>
                <w:u w:val="single"/>
                <w:lang w:bidi="ar"/>
              </w:rPr>
              <w:t>。</w:t>
            </w:r>
          </w:p>
        </w:tc>
      </w:tr>
      <w:tr w14:paraId="15D58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952" w:type="dxa"/>
            <w:vAlign w:val="center"/>
          </w:tcPr>
          <w:p w14:paraId="75CD9F30">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8616BB2">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投标样品</w:t>
            </w:r>
          </w:p>
        </w:tc>
        <w:tc>
          <w:tcPr>
            <w:tcW w:w="7619" w:type="dxa"/>
            <w:vAlign w:val="center"/>
          </w:tcPr>
          <w:p w14:paraId="4AA1D3B5">
            <w:pPr>
              <w:tabs>
                <w:tab w:val="left" w:pos="1069"/>
                <w:tab w:val="left" w:pos="2352"/>
              </w:tabs>
              <w:adjustRightInd w:val="0"/>
              <w:snapToGrid w:val="0"/>
              <w:rPr>
                <w:rFonts w:ascii="宋体" w:hAnsi="宋体" w:cs="宋体"/>
                <w:color w:val="auto"/>
                <w:kern w:val="0"/>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position w:val="2"/>
                <w:sz w:val="15"/>
                <w:highlight w:val="none"/>
              </w:rPr>
              <w:instrText xml:space="preserve">√</w:instrText>
            </w:r>
            <w:r>
              <w:rPr>
                <w:rFonts w:hint="eastAsia" w:ascii="宋体" w:hAnsi="宋体" w:cs="宋体"/>
                <w:b/>
                <w:bCs/>
                <w:color w:val="auto"/>
                <w:kern w:val="0"/>
                <w:sz w:val="22"/>
                <w:highlight w:val="none"/>
              </w:rPr>
              <w:instrText xml:space="preserve">)</w:instrText>
            </w:r>
            <w:r>
              <w:rPr>
                <w:rFonts w:hint="eastAsia" w:ascii="宋体" w:hAnsi="宋体" w:cs="宋体"/>
                <w:b/>
                <w:bCs/>
                <w:color w:val="auto"/>
                <w:kern w:val="0"/>
                <w:sz w:val="22"/>
                <w:highlight w:val="none"/>
              </w:rPr>
              <w:fldChar w:fldCharType="end"/>
            </w:r>
            <w:r>
              <w:rPr>
                <w:rFonts w:hint="eastAsia" w:ascii="宋体" w:hAnsi="宋体" w:cs="宋体"/>
                <w:color w:val="auto"/>
                <w:kern w:val="0"/>
                <w:sz w:val="22"/>
                <w:highlight w:val="none"/>
              </w:rPr>
              <w:t xml:space="preserve">不需要  </w:t>
            </w:r>
          </w:p>
          <w:p w14:paraId="145C9948">
            <w:pPr>
              <w:tabs>
                <w:tab w:val="left" w:pos="1069"/>
                <w:tab w:val="left" w:pos="2352"/>
              </w:tabs>
              <w:adjustRightInd w:val="0"/>
              <w:snapToGrid w:val="0"/>
              <w:rPr>
                <w:rFonts w:ascii="宋体" w:hAnsi="宋体" w:cs="宋体"/>
                <w:color w:val="auto"/>
                <w:sz w:val="22"/>
                <w:highlight w:val="none"/>
              </w:rPr>
            </w:pPr>
            <w:r>
              <w:rPr>
                <w:rFonts w:hint="eastAsia" w:ascii="宋体" w:hAnsi="宋体" w:cs="宋体"/>
                <w:color w:val="auto"/>
                <w:kern w:val="0"/>
                <w:sz w:val="22"/>
                <w:highlight w:val="none"/>
              </w:rPr>
              <w:t>□需要</w:t>
            </w:r>
          </w:p>
        </w:tc>
      </w:tr>
      <w:tr w14:paraId="051AC5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77" w:hRule="atLeast"/>
          <w:jc w:val="center"/>
        </w:trPr>
        <w:tc>
          <w:tcPr>
            <w:tcW w:w="952" w:type="dxa"/>
            <w:vAlign w:val="center"/>
          </w:tcPr>
          <w:p w14:paraId="62DEB9FF">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5FB7CE1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投标保证金</w:t>
            </w:r>
          </w:p>
        </w:tc>
        <w:tc>
          <w:tcPr>
            <w:tcW w:w="7619" w:type="dxa"/>
            <w:vAlign w:val="center"/>
          </w:tcPr>
          <w:p w14:paraId="7A8215FE">
            <w:pPr>
              <w:tabs>
                <w:tab w:val="left" w:pos="1069"/>
                <w:tab w:val="left" w:pos="2352"/>
              </w:tabs>
              <w:adjustRightInd w:val="0"/>
              <w:snapToGrid w:val="0"/>
              <w:rPr>
                <w:rFonts w:ascii="宋体" w:hAnsi="宋体" w:cs="宋体"/>
                <w:color w:val="auto"/>
                <w:kern w:val="0"/>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sz w:val="22"/>
                <w:highlight w:val="none"/>
              </w:rPr>
              <w:fldChar w:fldCharType="end"/>
            </w:r>
            <w:r>
              <w:rPr>
                <w:rFonts w:hint="eastAsia" w:ascii="宋体" w:hAnsi="宋体" w:cs="宋体"/>
                <w:color w:val="auto"/>
                <w:kern w:val="0"/>
                <w:sz w:val="22"/>
                <w:highlight w:val="none"/>
              </w:rPr>
              <w:t xml:space="preserve">不需要  </w:t>
            </w:r>
          </w:p>
          <w:p w14:paraId="089CE3C6">
            <w:pPr>
              <w:tabs>
                <w:tab w:val="left" w:pos="1069"/>
                <w:tab w:val="left" w:pos="2352"/>
              </w:tabs>
              <w:adjustRightInd w:val="0"/>
              <w:snapToGrid w:val="0"/>
              <w:rPr>
                <w:rFonts w:ascii="宋体" w:hAnsi="宋体" w:cs="宋体"/>
                <w:color w:val="auto"/>
                <w:sz w:val="22"/>
                <w:highlight w:val="none"/>
              </w:rPr>
            </w:pPr>
            <w:r>
              <w:rPr>
                <w:rFonts w:hint="eastAsia" w:ascii="宋体" w:hAnsi="宋体" w:cs="宋体"/>
                <w:color w:val="auto"/>
                <w:kern w:val="0"/>
                <w:sz w:val="22"/>
                <w:highlight w:val="none"/>
              </w:rPr>
              <w:t>□需要</w:t>
            </w:r>
          </w:p>
        </w:tc>
      </w:tr>
      <w:tr w14:paraId="1E9DC5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952" w:type="dxa"/>
            <w:vAlign w:val="center"/>
          </w:tcPr>
          <w:p w14:paraId="70E86060">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A221C46">
            <w:pPr>
              <w:tabs>
                <w:tab w:val="left" w:pos="1069"/>
                <w:tab w:val="left" w:pos="2352"/>
              </w:tabs>
              <w:adjustRightInd w:val="0"/>
              <w:jc w:val="center"/>
              <w:rPr>
                <w:rFonts w:ascii="宋体" w:hAnsi="宋体" w:cs="宋体"/>
                <w:color w:val="auto"/>
                <w:sz w:val="22"/>
                <w:highlight w:val="none"/>
              </w:rPr>
            </w:pPr>
            <w:r>
              <w:rPr>
                <w:rFonts w:hint="eastAsia" w:ascii="宋体" w:hAnsi="宋体" w:cs="宋体"/>
                <w:color w:val="auto"/>
                <w:sz w:val="22"/>
                <w:highlight w:val="none"/>
              </w:rPr>
              <w:t>履约担保</w:t>
            </w:r>
          </w:p>
        </w:tc>
        <w:tc>
          <w:tcPr>
            <w:tcW w:w="7619" w:type="dxa"/>
            <w:vAlign w:val="center"/>
          </w:tcPr>
          <w:p w14:paraId="5334CAD6">
            <w:pPr>
              <w:tabs>
                <w:tab w:val="left" w:pos="1069"/>
                <w:tab w:val="left" w:pos="2352"/>
              </w:tabs>
              <w:rPr>
                <w:rFonts w:ascii="宋体" w:hAnsi="宋体" w:cs="宋体"/>
                <w:color w:val="auto"/>
                <w:sz w:val="22"/>
                <w:highlight w:val="none"/>
              </w:rPr>
            </w:pPr>
            <w:r>
              <w:rPr>
                <w:rFonts w:hint="eastAsia" w:ascii="宋体" w:hAnsi="宋体" w:cs="宋体"/>
                <w:b/>
                <w:bCs/>
                <w:color w:val="auto"/>
                <w:kern w:val="0"/>
                <w:sz w:val="22"/>
                <w:highlight w:val="none"/>
              </w:rPr>
              <w:fldChar w:fldCharType="begin"/>
            </w:r>
            <w:r>
              <w:rPr>
                <w:rFonts w:hint="eastAsia" w:ascii="宋体" w:hAnsi="宋体" w:cs="宋体"/>
                <w:b/>
                <w:bCs/>
                <w:color w:val="auto"/>
                <w:kern w:val="0"/>
                <w:sz w:val="22"/>
                <w:highlight w:val="none"/>
              </w:rPr>
              <w:instrText xml:space="preserve"> eq \o\ac(□,</w:instrText>
            </w:r>
            <w:r>
              <w:rPr>
                <w:rFonts w:hint="eastAsia" w:ascii="宋体" w:hAnsi="宋体" w:cs="宋体"/>
                <w:b/>
                <w:bCs/>
                <w:color w:val="auto"/>
                <w:kern w:val="0"/>
                <w:position w:val="2"/>
                <w:sz w:val="15"/>
                <w:highlight w:val="none"/>
              </w:rPr>
              <w:instrText xml:space="preserve">√</w:instrText>
            </w:r>
            <w:r>
              <w:rPr>
                <w:rFonts w:hint="eastAsia" w:ascii="宋体" w:hAnsi="宋体" w:cs="宋体"/>
                <w:b/>
                <w:bCs/>
                <w:color w:val="auto"/>
                <w:kern w:val="0"/>
                <w:sz w:val="22"/>
                <w:highlight w:val="none"/>
              </w:rPr>
              <w:instrText xml:space="preserve">)</w:instrText>
            </w:r>
            <w:r>
              <w:rPr>
                <w:rFonts w:hint="eastAsia" w:ascii="宋体" w:hAnsi="宋体" w:cs="宋体"/>
                <w:b/>
                <w:bCs/>
                <w:color w:val="auto"/>
                <w:kern w:val="0"/>
                <w:sz w:val="22"/>
                <w:highlight w:val="none"/>
              </w:rPr>
              <w:fldChar w:fldCharType="end"/>
            </w:r>
            <w:r>
              <w:rPr>
                <w:rFonts w:hint="eastAsia" w:ascii="宋体" w:hAnsi="宋体" w:cs="宋体"/>
                <w:color w:val="auto"/>
                <w:sz w:val="22"/>
                <w:highlight w:val="none"/>
              </w:rPr>
              <w:t xml:space="preserve">不需要  </w:t>
            </w:r>
          </w:p>
          <w:p w14:paraId="5AD918B1">
            <w:pPr>
              <w:tabs>
                <w:tab w:val="left" w:pos="1069"/>
                <w:tab w:val="left" w:pos="2352"/>
              </w:tabs>
              <w:rPr>
                <w:rFonts w:ascii="宋体" w:hAnsi="宋体" w:cs="宋体"/>
                <w:color w:val="auto"/>
                <w:sz w:val="22"/>
                <w:highlight w:val="none"/>
              </w:rPr>
            </w:pPr>
            <w:r>
              <w:rPr>
                <w:rFonts w:hint="eastAsia" w:ascii="宋体" w:hAnsi="宋体" w:cs="宋体"/>
                <w:color w:val="auto"/>
                <w:kern w:val="0"/>
                <w:sz w:val="22"/>
                <w:highlight w:val="none"/>
              </w:rPr>
              <w:sym w:font="Wingdings 2" w:char="00A3"/>
            </w:r>
            <w:r>
              <w:rPr>
                <w:rFonts w:hint="eastAsia" w:ascii="宋体" w:hAnsi="宋体" w:cs="宋体"/>
                <w:color w:val="auto"/>
                <w:kern w:val="0"/>
                <w:sz w:val="22"/>
                <w:highlight w:val="none"/>
              </w:rPr>
              <w:t>需要</w:t>
            </w:r>
          </w:p>
        </w:tc>
      </w:tr>
      <w:tr w14:paraId="4A9C84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18" w:hRule="atLeast"/>
          <w:jc w:val="center"/>
        </w:trPr>
        <w:tc>
          <w:tcPr>
            <w:tcW w:w="952" w:type="dxa"/>
            <w:vAlign w:val="center"/>
          </w:tcPr>
          <w:p w14:paraId="4E10B076">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4B619B3">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竞争性磋商文件发售时间及获取方式</w:t>
            </w:r>
          </w:p>
        </w:tc>
        <w:tc>
          <w:tcPr>
            <w:tcW w:w="7619" w:type="dxa"/>
            <w:vAlign w:val="center"/>
          </w:tcPr>
          <w:p w14:paraId="66A3288F">
            <w:pPr>
              <w:tabs>
                <w:tab w:val="left" w:pos="1069"/>
                <w:tab w:val="left" w:pos="2352"/>
              </w:tabs>
              <w:jc w:val="left"/>
              <w:rPr>
                <w:rFonts w:ascii="宋体" w:hAnsi="宋体" w:cs="宋体"/>
                <w:color w:val="auto"/>
                <w:sz w:val="22"/>
                <w:highlight w:val="none"/>
                <w:lang w:bidi="ar"/>
              </w:rPr>
            </w:pPr>
            <w:r>
              <w:rPr>
                <w:rFonts w:hint="eastAsia" w:ascii="宋体" w:hAnsi="宋体" w:cs="宋体"/>
                <w:color w:val="auto"/>
                <w:sz w:val="22"/>
                <w:highlight w:val="none"/>
                <w:lang w:bidi="ar"/>
              </w:rPr>
              <w:t>登录浙江省政府采购网（网址：</w:t>
            </w:r>
            <w:r>
              <w:rPr>
                <w:rFonts w:hint="eastAsia" w:ascii="宋体" w:hAnsi="宋体" w:cs="宋体"/>
                <w:color w:val="auto"/>
                <w:sz w:val="22"/>
                <w:highlight w:val="none"/>
                <w:lang w:bidi="ar"/>
              </w:rPr>
              <w:fldChar w:fldCharType="begin"/>
            </w:r>
            <w:r>
              <w:rPr>
                <w:rFonts w:hint="eastAsia" w:ascii="宋体" w:hAnsi="宋体" w:cs="宋体"/>
                <w:color w:val="auto"/>
                <w:sz w:val="22"/>
                <w:highlight w:val="none"/>
                <w:lang w:bidi="ar"/>
              </w:rPr>
              <w:instrText xml:space="preserve"> HYPERLINK "http://www.zjzfcg.gov.cn）查找本项目并获取采购文件，获取采购文件时应填写正确的电子邮箱。" </w:instrText>
            </w:r>
            <w:r>
              <w:rPr>
                <w:rFonts w:hint="eastAsia" w:ascii="宋体" w:hAnsi="宋体" w:cs="宋体"/>
                <w:color w:val="auto"/>
                <w:sz w:val="22"/>
                <w:highlight w:val="none"/>
                <w:lang w:bidi="ar"/>
              </w:rPr>
              <w:fldChar w:fldCharType="separate"/>
            </w:r>
            <w:r>
              <w:rPr>
                <w:rFonts w:hint="eastAsia" w:ascii="宋体" w:hAnsi="宋体" w:cs="宋体"/>
                <w:color w:val="auto"/>
                <w:sz w:val="22"/>
                <w:highlight w:val="none"/>
                <w:lang w:bidi="ar"/>
              </w:rPr>
              <w:t>http://zfcg.czt.zj.gov.cn/）查找本项目并获取采购文件，获取采购文件时应填写正确的电子邮箱（开标时若有文件传输均发至此邮箱）。</w:t>
            </w:r>
          </w:p>
          <w:p w14:paraId="50EBEF3D">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lang w:bidi="ar"/>
              </w:rPr>
              <w:fldChar w:fldCharType="end"/>
            </w:r>
            <w:r>
              <w:rPr>
                <w:rFonts w:hint="eastAsia" w:ascii="宋体" w:hAnsi="宋体" w:cs="宋体"/>
                <w:color w:val="auto"/>
                <w:sz w:val="22"/>
                <w:highlight w:val="none"/>
                <w:lang w:bidi="ar"/>
              </w:rPr>
              <w:t>采购文件获取截止时间：本项目开标时间。</w:t>
            </w:r>
          </w:p>
        </w:tc>
      </w:tr>
      <w:tr w14:paraId="4DD0F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952" w:type="dxa"/>
            <w:vAlign w:val="center"/>
          </w:tcPr>
          <w:p w14:paraId="2AFF7C0F">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51106EF">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投标文件递交截止时间及地点</w:t>
            </w:r>
          </w:p>
        </w:tc>
        <w:tc>
          <w:tcPr>
            <w:tcW w:w="7619" w:type="dxa"/>
            <w:vAlign w:val="center"/>
          </w:tcPr>
          <w:p w14:paraId="7401CA63">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lang w:eastAsia="zh-CN"/>
              </w:rPr>
              <w:t>2024年10月16日</w:t>
            </w:r>
            <w:r>
              <w:rPr>
                <w:rFonts w:hint="eastAsia" w:ascii="宋体" w:hAnsi="宋体" w:cs="宋体"/>
                <w:color w:val="auto"/>
                <w:sz w:val="22"/>
                <w:highlight w:val="none"/>
              </w:rPr>
              <w:t xml:space="preserve"> 09:00(北京时间)</w:t>
            </w:r>
          </w:p>
          <w:p w14:paraId="43BF9F17">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投标文件递交地点：“政府采购云平台（http://zfcg.czt.zj.gov.cn/）”在线递交</w:t>
            </w:r>
          </w:p>
        </w:tc>
      </w:tr>
      <w:tr w14:paraId="0510C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196A857A">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79226DD6">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开标时间</w:t>
            </w:r>
          </w:p>
          <w:p w14:paraId="20FC07CA">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开标地点</w:t>
            </w:r>
          </w:p>
        </w:tc>
        <w:tc>
          <w:tcPr>
            <w:tcW w:w="7619" w:type="dxa"/>
            <w:vAlign w:val="center"/>
          </w:tcPr>
          <w:p w14:paraId="450A12F2">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开标时间：</w:t>
            </w:r>
            <w:r>
              <w:rPr>
                <w:rFonts w:hint="eastAsia" w:ascii="宋体" w:hAnsi="宋体" w:cs="宋体"/>
                <w:color w:val="auto"/>
                <w:sz w:val="22"/>
                <w:highlight w:val="none"/>
                <w:lang w:eastAsia="zh-CN"/>
              </w:rPr>
              <w:t>2024年10月16日</w:t>
            </w:r>
            <w:r>
              <w:rPr>
                <w:rFonts w:hint="eastAsia" w:ascii="宋体" w:hAnsi="宋体" w:cs="宋体"/>
                <w:color w:val="auto"/>
                <w:sz w:val="22"/>
                <w:highlight w:val="none"/>
              </w:rPr>
              <w:t xml:space="preserve"> 09:00 (北京时间)</w:t>
            </w:r>
          </w:p>
          <w:p w14:paraId="3ABBBFD4">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开标地点：“政府采购云平台（http://zfcg.czt.zj.gov.cn/）”在线开标</w:t>
            </w:r>
          </w:p>
        </w:tc>
      </w:tr>
      <w:tr w14:paraId="23708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952" w:type="dxa"/>
            <w:vAlign w:val="center"/>
          </w:tcPr>
          <w:p w14:paraId="0BE17251">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48C4B1E">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评审地点</w:t>
            </w:r>
          </w:p>
        </w:tc>
        <w:tc>
          <w:tcPr>
            <w:tcW w:w="7619" w:type="dxa"/>
            <w:vAlign w:val="center"/>
          </w:tcPr>
          <w:p w14:paraId="58003BA0">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泰顺县公共资源交易中心五楼评标室1（温州市泰顺县罗阳镇新城大道123号）</w:t>
            </w:r>
          </w:p>
        </w:tc>
      </w:tr>
      <w:tr w14:paraId="75AFD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952" w:type="dxa"/>
            <w:vAlign w:val="center"/>
          </w:tcPr>
          <w:p w14:paraId="2C672D8A">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F267068">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开标程序</w:t>
            </w:r>
          </w:p>
        </w:tc>
        <w:tc>
          <w:tcPr>
            <w:tcW w:w="7619" w:type="dxa"/>
            <w:vAlign w:val="center"/>
          </w:tcPr>
          <w:p w14:paraId="53C6BA29">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（一）开标准备</w:t>
            </w:r>
          </w:p>
          <w:p w14:paraId="5F460443">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68DBC182">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2.若磋商供应商在规定时间内无法解密或解密失败的，其投标无效。</w:t>
            </w:r>
          </w:p>
          <w:p w14:paraId="3435A7C6">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3.所有二次报价询标流程，均在线上完成，请各供应商务必不要离开电脑太久，并留意手机短信。（请提前检查“政采云”内，关于‘项目采购’的岗位权限是否已勾选上。如有问题，请致电400-881-7190）。</w:t>
            </w:r>
          </w:p>
          <w:p w14:paraId="0DCC2535">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（二）电子招投标开标及评审程序</w:t>
            </w:r>
          </w:p>
          <w:p w14:paraId="57470E47">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磋商会由采购代理机构主持，磋商响应截止时间后，供应商登录政采云平台，用“项目采购-开标评标”功能对电子响应文件进行在线解密，各供应商代表在收到解密通知后30分钟内自行完成“电子加密投标文件”的在线解密。</w:t>
            </w:r>
          </w:p>
          <w:p w14:paraId="5DBDDF80">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2.投标文件解密结束，开启响应文件，磋商小组对资格和商务技术响应文件进行评审；</w:t>
            </w:r>
          </w:p>
          <w:p w14:paraId="20519378">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3.供应商按签到的前后顺序决定磋商的顺序，就价格、服务等认为需要磋商的内容进行磋商，供应商逐家回答磋商小组的提问，响应人作出最终承诺和最终报价。</w:t>
            </w:r>
          </w:p>
          <w:p w14:paraId="29628F88">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5.在系统上公开资格和</w:t>
            </w:r>
            <w:r>
              <w:rPr>
                <w:rFonts w:hint="eastAsia" w:hAnsi="宋体" w:cs="宋体"/>
                <w:color w:val="auto"/>
                <w:sz w:val="22"/>
                <w:highlight w:val="none"/>
              </w:rPr>
              <w:t>商务技术评分</w:t>
            </w:r>
            <w:r>
              <w:rPr>
                <w:rFonts w:hint="eastAsia" w:ascii="宋体" w:hAnsi="宋体" w:cs="宋体"/>
                <w:color w:val="auto"/>
                <w:sz w:val="22"/>
                <w:highlight w:val="none"/>
              </w:rPr>
              <w:t>评审结果；</w:t>
            </w:r>
          </w:p>
          <w:p w14:paraId="04182B58">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6.在系统上录入最终报价情况；</w:t>
            </w:r>
          </w:p>
          <w:p w14:paraId="5D97D9DA">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7.磋商小组对报价情况进行评审；</w:t>
            </w:r>
          </w:p>
          <w:p w14:paraId="71A65CCB">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8.在系统上公布评审结果。</w:t>
            </w:r>
          </w:p>
          <w:p w14:paraId="436BC15A">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特别说明：政采云公司如对电子化开标及评审程序有调整的，按调整后的程序操作。</w:t>
            </w:r>
          </w:p>
        </w:tc>
      </w:tr>
      <w:tr w14:paraId="35125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24645C3A">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6E3D8DCE">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评审小组的</w:t>
            </w:r>
          </w:p>
          <w:p w14:paraId="5CB2DDB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组建</w:t>
            </w:r>
          </w:p>
        </w:tc>
        <w:tc>
          <w:tcPr>
            <w:tcW w:w="7619" w:type="dxa"/>
            <w:vAlign w:val="center"/>
          </w:tcPr>
          <w:p w14:paraId="5514722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评审小组构成：由采购人代表以及有关技术、经济等方面的专家组成，成员为3人及以上单数，其中技术、经济类专家不得少于总人数的2/3；评标专家确定方式：按相关规定从专家库中抽取。</w:t>
            </w:r>
          </w:p>
        </w:tc>
      </w:tr>
      <w:tr w14:paraId="4CDA7C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749FBE01">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09AEBCD">
            <w:pPr>
              <w:adjustRightInd w:val="0"/>
              <w:jc w:val="center"/>
              <w:rPr>
                <w:rFonts w:ascii="宋体" w:hAnsi="宋体" w:cs="宋体"/>
                <w:color w:val="auto"/>
                <w:sz w:val="22"/>
                <w:highlight w:val="none"/>
              </w:rPr>
            </w:pPr>
            <w:r>
              <w:rPr>
                <w:rFonts w:hint="eastAsia" w:ascii="宋体" w:hAnsi="宋体" w:cs="宋体"/>
                <w:color w:val="auto"/>
                <w:sz w:val="22"/>
                <w:highlight w:val="none"/>
              </w:rPr>
              <w:t>政府采购</w:t>
            </w:r>
          </w:p>
          <w:p w14:paraId="151E9B62">
            <w:pPr>
              <w:adjustRightInd w:val="0"/>
              <w:jc w:val="center"/>
              <w:rPr>
                <w:rFonts w:ascii="宋体" w:hAnsi="宋体" w:cs="宋体"/>
                <w:color w:val="auto"/>
                <w:sz w:val="22"/>
                <w:highlight w:val="none"/>
              </w:rPr>
            </w:pPr>
            <w:r>
              <w:rPr>
                <w:rFonts w:hint="eastAsia" w:ascii="宋体" w:hAnsi="宋体" w:cs="宋体"/>
                <w:color w:val="auto"/>
                <w:sz w:val="22"/>
                <w:highlight w:val="none"/>
              </w:rPr>
              <w:t>扶持政策</w:t>
            </w:r>
          </w:p>
        </w:tc>
        <w:tc>
          <w:tcPr>
            <w:tcW w:w="7619" w:type="dxa"/>
            <w:vAlign w:val="center"/>
          </w:tcPr>
          <w:p w14:paraId="3C3A99CF">
            <w:pPr>
              <w:rPr>
                <w:rFonts w:ascii="宋体" w:hAnsi="宋体" w:cs="宋体"/>
                <w:color w:val="auto"/>
                <w:sz w:val="22"/>
                <w:highlight w:val="none"/>
              </w:rPr>
            </w:pPr>
            <w:r>
              <w:rPr>
                <w:rFonts w:hint="eastAsia" w:ascii="宋体" w:hAnsi="宋体" w:cs="宋体"/>
                <w:color w:val="auto"/>
                <w:sz w:val="22"/>
                <w:highlight w:val="none"/>
              </w:rPr>
              <w:t>1、本项目专门面向中小企业采购，不再执行价格评审优惠的扶持政策。</w:t>
            </w:r>
          </w:p>
          <w:p w14:paraId="19238525">
            <w:pPr>
              <w:rPr>
                <w:rFonts w:ascii="宋体" w:hAnsi="宋体" w:cs="宋体"/>
                <w:color w:val="auto"/>
                <w:sz w:val="22"/>
                <w:highlight w:val="none"/>
              </w:rPr>
            </w:pPr>
            <w:r>
              <w:rPr>
                <w:rFonts w:hint="eastAsia" w:ascii="宋体" w:hAnsi="宋体" w:cs="宋体"/>
                <w:color w:val="auto"/>
                <w:sz w:val="22"/>
                <w:highlight w:val="none"/>
              </w:rPr>
              <w:t>2、对节能、环保产品优先采购。</w:t>
            </w:r>
          </w:p>
        </w:tc>
      </w:tr>
      <w:tr w14:paraId="143156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952" w:type="dxa"/>
            <w:vAlign w:val="center"/>
          </w:tcPr>
          <w:p w14:paraId="279DE991">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05FB458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供应商信用查询</w:t>
            </w:r>
          </w:p>
        </w:tc>
        <w:tc>
          <w:tcPr>
            <w:tcW w:w="7619" w:type="dxa"/>
            <w:vAlign w:val="center"/>
          </w:tcPr>
          <w:p w14:paraId="2E3A700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w:t>
            </w:r>
          </w:p>
          <w:p w14:paraId="592C40E8">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2、投标供应商信用信息查询截止时点：本项目投标截止时间前。</w:t>
            </w:r>
          </w:p>
          <w:p w14:paraId="531A306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3、投标供应商信用信息查询记录和证据留存的具体方式：网页截图打印；</w:t>
            </w:r>
          </w:p>
          <w:p w14:paraId="73D47B4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4、信用信息的使用规则：信用中国”被列入失信被执行人名单、重大税收违法案件当事人名单的供应商，或“中国政府采购网”具有严重违法失信行为信息记录的供应商，其投标做无效投标处理；</w:t>
            </w:r>
          </w:p>
        </w:tc>
      </w:tr>
      <w:tr w14:paraId="1476A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3290DAA6">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49DFDD5E">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合同备案</w:t>
            </w:r>
          </w:p>
        </w:tc>
        <w:tc>
          <w:tcPr>
            <w:tcW w:w="7619" w:type="dxa"/>
            <w:vAlign w:val="center"/>
          </w:tcPr>
          <w:p w14:paraId="69A5CB91">
            <w:pPr>
              <w:numPr>
                <w:ilvl w:val="0"/>
                <w:numId w:val="2"/>
              </w:num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中标（成交）供应商须在发出中标（成交）通知书之日起30日历天内与</w:t>
            </w:r>
          </w:p>
          <w:p w14:paraId="3C9E40F1">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采购人签订合同。</w:t>
            </w:r>
          </w:p>
          <w:p w14:paraId="3EEF3960">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2、中标（成交）供应商与采购人签订合同后，2日历天内将合同原件交招标代理机构备案。</w:t>
            </w:r>
          </w:p>
          <w:p w14:paraId="3F5C88D8">
            <w:pPr>
              <w:numPr>
                <w:ilvl w:val="0"/>
                <w:numId w:val="3"/>
              </w:num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本项目政府采购合同按规定在浙江政府采购网（http://zfcg.czt.zj.gov.cn/）予以公告。</w:t>
            </w:r>
          </w:p>
        </w:tc>
      </w:tr>
      <w:tr w14:paraId="43D26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73CA1406">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15362ECF">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合同履约管理</w:t>
            </w:r>
          </w:p>
        </w:tc>
        <w:tc>
          <w:tcPr>
            <w:tcW w:w="7619" w:type="dxa"/>
            <w:vAlign w:val="center"/>
          </w:tcPr>
          <w:p w14:paraId="67218224">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合同签订后，采购人依法加强对合同履约进行管理，并在中标（成交）单位供货（或服务）、项目验收等重要关节，如实填写《合同验收报告》（表附合同条款中），并及时向同级财政部门报告验收过程中遇到的问题。</w:t>
            </w:r>
          </w:p>
        </w:tc>
      </w:tr>
      <w:tr w14:paraId="427C1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952" w:type="dxa"/>
            <w:vAlign w:val="center"/>
          </w:tcPr>
          <w:p w14:paraId="378DEB08">
            <w:pPr>
              <w:widowControl/>
              <w:numPr>
                <w:ilvl w:val="0"/>
                <w:numId w:val="1"/>
              </w:numPr>
              <w:tabs>
                <w:tab w:val="left" w:pos="420"/>
                <w:tab w:val="left" w:pos="1069"/>
                <w:tab w:val="left" w:pos="2352"/>
                <w:tab w:val="clear" w:pos="720"/>
              </w:tabs>
              <w:ind w:left="420" w:hanging="420"/>
              <w:jc w:val="right"/>
              <w:rPr>
                <w:rFonts w:ascii="宋体" w:hAnsi="宋体" w:cs="宋体"/>
                <w:color w:val="auto"/>
                <w:sz w:val="22"/>
                <w:highlight w:val="none"/>
              </w:rPr>
            </w:pPr>
          </w:p>
        </w:tc>
        <w:tc>
          <w:tcPr>
            <w:tcW w:w="1600" w:type="dxa"/>
            <w:vAlign w:val="center"/>
          </w:tcPr>
          <w:p w14:paraId="58523962">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免责声明</w:t>
            </w:r>
          </w:p>
        </w:tc>
        <w:tc>
          <w:tcPr>
            <w:tcW w:w="7619" w:type="dxa"/>
            <w:vAlign w:val="center"/>
          </w:tcPr>
          <w:p w14:paraId="30185211">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1、投标供应商自行承担投标过程中产生的费用。无论何种因素导致采购项目延期开标、废标（流标）、投标供应商未成交、项目终止采购的，采购人与代理机构均不承担供应商投标费用。</w:t>
            </w:r>
          </w:p>
          <w:p w14:paraId="74C0CDA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2、投标供应商在投标、合同履行过程中必须做好安全保障工作，不因项目实施而危及自身及第三方人员、财产安全。若发生任何安全事故，由中标（成交）供应商自行承担一切责任并赔偿损失。</w:t>
            </w:r>
          </w:p>
        </w:tc>
      </w:tr>
    </w:tbl>
    <w:p w14:paraId="240B2C9A">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bookmarkStart w:id="2" w:name="_Toc758_WPSOffice_Level1"/>
    </w:p>
    <w:p w14:paraId="5B5C2095">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t>第二部分、采购内容</w:t>
      </w:r>
      <w:bookmarkEnd w:id="2"/>
    </w:p>
    <w:p w14:paraId="38AC65DD">
      <w:pPr>
        <w:pStyle w:val="5"/>
        <w:spacing w:line="400" w:lineRule="exact"/>
        <w:rPr>
          <w:rFonts w:ascii="宋体" w:hAnsi="宋体" w:cs="宋体"/>
          <w:b/>
          <w:bCs/>
          <w:color w:val="auto"/>
          <w:sz w:val="22"/>
          <w:szCs w:val="22"/>
          <w:highlight w:val="none"/>
        </w:rPr>
      </w:pPr>
      <w:bookmarkStart w:id="3" w:name="_Toc5493_WPSOffice_Level1"/>
      <w:r>
        <w:rPr>
          <w:rFonts w:hint="eastAsia" w:ascii="宋体" w:hAnsi="宋体" w:cs="宋体"/>
          <w:b/>
          <w:bCs/>
          <w:color w:val="auto"/>
          <w:sz w:val="22"/>
          <w:szCs w:val="22"/>
          <w:highlight w:val="none"/>
        </w:rPr>
        <w:t>一、项目简介</w:t>
      </w:r>
    </w:p>
    <w:p w14:paraId="7B68A275">
      <w:pPr>
        <w:pStyle w:val="5"/>
        <w:spacing w:line="400" w:lineRule="exact"/>
        <w:rPr>
          <w:rFonts w:ascii="宋体" w:hAnsi="宋体" w:cs="宋体"/>
          <w:color w:val="auto"/>
          <w:sz w:val="22"/>
          <w:szCs w:val="22"/>
          <w:highlight w:val="none"/>
        </w:rPr>
      </w:pPr>
      <w:bookmarkStart w:id="4" w:name="_Toc24980"/>
      <w:r>
        <w:rPr>
          <w:rFonts w:hint="eastAsia" w:ascii="宋体" w:hAnsi="宋体" w:cs="宋体"/>
          <w:color w:val="auto"/>
          <w:sz w:val="22"/>
          <w:szCs w:val="22"/>
          <w:highlight w:val="none"/>
        </w:rPr>
        <w:t>根据</w:t>
      </w:r>
      <w:bookmarkEnd w:id="4"/>
      <w:r>
        <w:rPr>
          <w:rFonts w:hint="eastAsia" w:asciiTheme="minorEastAsia" w:hAnsiTheme="minorEastAsia" w:eastAsiaTheme="minorEastAsia" w:cstheme="minorEastAsia"/>
          <w:color w:val="auto"/>
          <w:sz w:val="22"/>
          <w:szCs w:val="22"/>
          <w:highlight w:val="none"/>
          <w:shd w:val="clear" w:color="auto" w:fill="auto"/>
          <w:lang w:val="en-US" w:eastAsia="zh-CN"/>
        </w:rPr>
        <w:t>《浙江省</w:t>
      </w:r>
      <w:r>
        <w:rPr>
          <w:rFonts w:hint="eastAsia" w:asciiTheme="minorEastAsia" w:hAnsiTheme="minorEastAsia" w:eastAsiaTheme="minorEastAsia" w:cstheme="minorEastAsia"/>
          <w:color w:val="auto"/>
          <w:sz w:val="22"/>
          <w:szCs w:val="22"/>
          <w:highlight w:val="none"/>
          <w:shd w:val="clear" w:color="auto" w:fill="auto"/>
          <w:lang w:eastAsia="zh-CN"/>
        </w:rPr>
        <w:t>自然资源厅</w:t>
      </w:r>
      <w:r>
        <w:rPr>
          <w:rFonts w:hint="eastAsia" w:asciiTheme="minorEastAsia" w:hAnsiTheme="minorEastAsia" w:eastAsiaTheme="minorEastAsia" w:cstheme="minorEastAsia"/>
          <w:color w:val="auto"/>
          <w:sz w:val="22"/>
          <w:szCs w:val="22"/>
          <w:highlight w:val="none"/>
          <w:shd w:val="clear" w:color="auto" w:fill="auto"/>
          <w:lang w:val="en-US" w:eastAsia="zh-CN"/>
        </w:rPr>
        <w:t xml:space="preserve"> 浙江省林业局关于开展全省森林草原湿地普查工作的通知》（浙</w:t>
      </w:r>
      <w:r>
        <w:rPr>
          <w:rFonts w:hint="eastAsia" w:asciiTheme="minorEastAsia" w:hAnsiTheme="minorEastAsia" w:eastAsiaTheme="minorEastAsia" w:cstheme="minorEastAsia"/>
          <w:b w:val="0"/>
          <w:i w:val="0"/>
          <w:caps w:val="0"/>
          <w:color w:val="auto"/>
          <w:spacing w:val="0"/>
          <w:sz w:val="22"/>
          <w:szCs w:val="22"/>
          <w:highlight w:val="none"/>
          <w:shd w:val="clear" w:color="auto" w:fill="auto"/>
        </w:rPr>
        <w:t>自然资发</w:t>
      </w:r>
      <w:r>
        <w:rPr>
          <w:rFonts w:hint="eastAsia" w:asciiTheme="minorEastAsia" w:hAnsiTheme="minorEastAsia" w:eastAsiaTheme="minorEastAsia" w:cstheme="minorEastAsia"/>
          <w:color w:val="auto"/>
          <w:sz w:val="22"/>
          <w:szCs w:val="22"/>
          <w:highlight w:val="none"/>
          <w:lang w:val="en-US" w:eastAsia="zh-CN"/>
        </w:rPr>
        <w:t>〔2024〕</w:t>
      </w:r>
      <w:r>
        <w:rPr>
          <w:rFonts w:hint="eastAsia" w:asciiTheme="minorEastAsia" w:hAnsiTheme="minorEastAsia" w:eastAsiaTheme="minorEastAsia" w:cstheme="minorEastAsia"/>
          <w:b w:val="0"/>
          <w:i w:val="0"/>
          <w:caps w:val="0"/>
          <w:color w:val="auto"/>
          <w:spacing w:val="0"/>
          <w:sz w:val="22"/>
          <w:szCs w:val="22"/>
          <w:highlight w:val="none"/>
          <w:shd w:val="clear" w:color="auto" w:fill="auto"/>
          <w:lang w:val="en-US" w:eastAsia="zh-CN"/>
        </w:rPr>
        <w:t>4</w:t>
      </w:r>
      <w:r>
        <w:rPr>
          <w:rFonts w:hint="eastAsia" w:asciiTheme="minorEastAsia" w:hAnsiTheme="minorEastAsia" w:eastAsiaTheme="minorEastAsia" w:cstheme="minorEastAsia"/>
          <w:b w:val="0"/>
          <w:i w:val="0"/>
          <w:caps w:val="0"/>
          <w:color w:val="auto"/>
          <w:spacing w:val="0"/>
          <w:sz w:val="22"/>
          <w:szCs w:val="22"/>
          <w:highlight w:val="none"/>
          <w:shd w:val="clear" w:color="auto" w:fill="auto"/>
        </w:rPr>
        <w:t>号</w:t>
      </w:r>
      <w:r>
        <w:rPr>
          <w:rFonts w:hint="eastAsia" w:asciiTheme="minorEastAsia" w:hAnsiTheme="minorEastAsia" w:eastAsiaTheme="minorEastAsia" w:cstheme="minorEastAsia"/>
          <w:color w:val="auto"/>
          <w:sz w:val="22"/>
          <w:szCs w:val="22"/>
          <w:highlight w:val="none"/>
          <w:shd w:val="clear" w:color="auto" w:fill="auto"/>
          <w:lang w:val="en-US" w:eastAsia="zh-CN"/>
        </w:rPr>
        <w:t>）</w:t>
      </w:r>
      <w:r>
        <w:rPr>
          <w:rFonts w:hint="eastAsia" w:ascii="宋体" w:hAnsi="宋体" w:cs="宋体"/>
          <w:color w:val="auto"/>
          <w:sz w:val="22"/>
          <w:szCs w:val="22"/>
          <w:highlight w:val="none"/>
        </w:rPr>
        <w:t>文件精神，结合泰顺县实际，开展2024年泰顺县森林、草地、湿地调查监测工作，全面及时掌握全县林草湿资源年度变化情况。</w:t>
      </w:r>
    </w:p>
    <w:p w14:paraId="1AEA704D">
      <w:pPr>
        <w:pStyle w:val="5"/>
        <w:spacing w:line="400" w:lineRule="exact"/>
        <w:rPr>
          <w:rFonts w:ascii="宋体" w:hAnsi="宋体" w:cs="宋体"/>
          <w:color w:val="auto"/>
          <w:sz w:val="22"/>
          <w:szCs w:val="22"/>
          <w:highlight w:val="none"/>
        </w:rPr>
      </w:pPr>
      <w:r>
        <w:rPr>
          <w:rFonts w:hint="eastAsia" w:ascii="宋体" w:hAnsi="宋体" w:cs="宋体"/>
          <w:b/>
          <w:bCs/>
          <w:color w:val="auto"/>
          <w:sz w:val="22"/>
          <w:szCs w:val="22"/>
          <w:highlight w:val="none"/>
        </w:rPr>
        <w:t>二、项目目的</w:t>
      </w:r>
    </w:p>
    <w:p w14:paraId="416CF42E">
      <w:pPr>
        <w:pStyle w:val="5"/>
        <w:spacing w:line="400" w:lineRule="exact"/>
        <w:rPr>
          <w:rFonts w:ascii="宋体" w:hAnsi="宋体" w:cs="宋体"/>
          <w:color w:val="auto"/>
          <w:sz w:val="22"/>
          <w:szCs w:val="22"/>
          <w:highlight w:val="none"/>
        </w:rPr>
      </w:pPr>
      <w:bookmarkStart w:id="5" w:name="_Toc26706"/>
      <w:bookmarkStart w:id="6" w:name="_Toc65394761"/>
      <w:r>
        <w:rPr>
          <w:rFonts w:hint="eastAsia" w:ascii="宋体" w:hAnsi="宋体" w:cs="宋体"/>
          <w:color w:val="auto"/>
          <w:sz w:val="22"/>
          <w:szCs w:val="22"/>
          <w:highlight w:val="none"/>
        </w:rPr>
        <w:t>按照自然资源部与国家林业和草原局统一部署，在自然资源统一调查监测体系框架下，依据《国土空间调查监测、规划和用途管制用地用海分类指南》，以</w:t>
      </w:r>
      <w:r>
        <w:rPr>
          <w:rFonts w:hint="eastAsia" w:ascii="宋体" w:hAnsi="宋体" w:cs="宋体"/>
          <w:color w:val="auto"/>
          <w:sz w:val="22"/>
          <w:highlight w:val="none"/>
        </w:rPr>
        <w:t>2023年林草资源数据和2023年国土变更调查成果</w:t>
      </w:r>
      <w:r>
        <w:rPr>
          <w:rFonts w:hint="eastAsia" w:ascii="宋体" w:hAnsi="宋体" w:cs="宋体"/>
          <w:color w:val="auto"/>
          <w:sz w:val="22"/>
          <w:szCs w:val="22"/>
          <w:highlight w:val="none"/>
        </w:rPr>
        <w:t>为底图，开展年度调查监测，掌握全区森林、草地、湿地资源现状和变化情况，科学评价森林、草地、湿地资源质量和生态状况，同步支撑年度国土变更调查，为科学开展森林、草地、湿地生态系统保护修复、监督管理、林长制督查考核、实施碳达峰碳中和战略、实现高质量森林浙江、打造林业现代化先行省提供决策支撑，为生态文明建设目标评价考核提供科学依据。</w:t>
      </w:r>
      <w:bookmarkEnd w:id="5"/>
    </w:p>
    <w:bookmarkEnd w:id="6"/>
    <w:p w14:paraId="09C61D56">
      <w:pPr>
        <w:pStyle w:val="5"/>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三、工作内容</w:t>
      </w:r>
    </w:p>
    <w:p w14:paraId="0F3AAFBA">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（一）具体工作内容</w:t>
      </w:r>
    </w:p>
    <w:p w14:paraId="17EA7F06">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1.林草湿变化图斑调查更新</w:t>
      </w:r>
    </w:p>
    <w:p w14:paraId="1F497CE7">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以2023年林草资源数据和2023年国土变更调查成果为本底，利用遥感变化图斑，采用现地核实的方法，核实年度内建设项目使用林地、草地、湿地，以及造林更新、林木采伐等森林经营活动引起的地类、林分及其管理属性变化情况。重点查清林地、草地、湿地范围内出现的建设用地、耕地、伐区，补充林地和新增森林情况。</w:t>
      </w:r>
    </w:p>
    <w:p w14:paraId="2D430C67">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开展植被覆盖核实更新，以2023年林草资源数据为本底，利用下发的遥感变化图斑、生产经营档案资料，采用现地核实的方法，对林地、草地、湿地图斑范围外的乔木林、竹林、灌木林进行调查核实，对发生变化的更新植被覆盖因子。</w:t>
      </w:r>
    </w:p>
    <w:p w14:paraId="5DAECF59">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以2023年林草资源数据为本底，对蓄积连续生长自然变化的乔木林、疏林图斑，利用生长模型进行蓄积模型更新；以年度更新后图斑为基础，利用森林植被碳储量计量模型，完成林草资源数据小班生物量、碳储量测算，形成2023年林草资源数据生物量、碳储量成果数据。</w:t>
      </w:r>
    </w:p>
    <w:p w14:paraId="68E1C191">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2.公益林、天然林、国有林等专题数据更新</w:t>
      </w:r>
    </w:p>
    <w:p w14:paraId="007C45E5">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一是开展2023年省级以上公益林优化成果完善；二是对征占用林地涉及省级以上公益林变更调整以及其他取得公益林变更调整同意批复的，做好调出、补入地块的落图更新工作，并对2023年省级以上公益林成果完善工作中剔除和补回的公益林做好落图工作；三是对纳入停伐补助的天然商品林、国有森林资源相关成果等其他专题数据做好变化图斑的核实更新。</w:t>
      </w:r>
    </w:p>
    <w:p w14:paraId="408F8276">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3.森林督查图斑核实更新</w:t>
      </w:r>
    </w:p>
    <w:p w14:paraId="03CF050C">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以下发的森林督查图斑为线索，结合森林经营档案等有关资料开展图斑现地核实，核实图斑区域破坏森林资源的情况，确定变化原因，建立森林督查数据库，同时根据森林督查图斑核实结果做好落图更新工作。</w:t>
      </w:r>
    </w:p>
    <w:p w14:paraId="072EB30C">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5.其他技术支撑</w:t>
      </w:r>
    </w:p>
    <w:p w14:paraId="6A9D873B">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项目实施过程中根据国家林草局、省林业局工作方案做好相应技术服务工作，主要包括数据库调整和报送、统计表生成和报送以及其它相关要求。</w:t>
      </w:r>
    </w:p>
    <w:p w14:paraId="0FA7A3F7">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四、项目成果质量验收</w:t>
      </w:r>
    </w:p>
    <w:p w14:paraId="6B01D720">
      <w:pPr>
        <w:spacing w:line="400" w:lineRule="exact"/>
        <w:rPr>
          <w:rFonts w:ascii="宋体" w:hAnsi="宋体" w:cs="宋体"/>
          <w:color w:val="auto"/>
          <w:sz w:val="22"/>
          <w:highlight w:val="none"/>
        </w:rPr>
      </w:pPr>
      <w:r>
        <w:rPr>
          <w:rFonts w:hint="eastAsia" w:ascii="宋体" w:hAnsi="宋体" w:cs="宋体"/>
          <w:color w:val="auto"/>
          <w:sz w:val="22"/>
          <w:highlight w:val="none"/>
        </w:rPr>
        <w:t>项目成果必须通过县级自查、市级审查、省级审核和国家级复查四级检查和验收。</w:t>
      </w:r>
    </w:p>
    <w:p w14:paraId="7673992C">
      <w:pPr>
        <w:pStyle w:val="5"/>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五、分项限价</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26"/>
        <w:gridCol w:w="5136"/>
        <w:gridCol w:w="1811"/>
        <w:gridCol w:w="843"/>
      </w:tblGrid>
      <w:tr w14:paraId="1DC5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6" w:type="pct"/>
            <w:vAlign w:val="center"/>
          </w:tcPr>
          <w:p w14:paraId="280F722D">
            <w:pPr>
              <w:spacing w:line="360" w:lineRule="auto"/>
              <w:jc w:val="center"/>
              <w:rPr>
                <w:rFonts w:ascii="宋体" w:hAnsi="宋体" w:cs="宋体"/>
                <w:b/>
                <w:bCs/>
                <w:color w:val="auto"/>
                <w:sz w:val="22"/>
                <w:highlight w:val="none"/>
              </w:rPr>
            </w:pPr>
            <w:r>
              <w:rPr>
                <w:rFonts w:hint="eastAsia" w:ascii="宋体" w:hAnsi="宋体" w:cs="宋体"/>
                <w:b/>
                <w:bCs/>
                <w:color w:val="auto"/>
                <w:sz w:val="22"/>
                <w:highlight w:val="none"/>
              </w:rPr>
              <w:t>序号</w:t>
            </w:r>
          </w:p>
        </w:tc>
        <w:tc>
          <w:tcPr>
            <w:tcW w:w="3088" w:type="pct"/>
            <w:vAlign w:val="center"/>
          </w:tcPr>
          <w:p w14:paraId="4944E394">
            <w:pPr>
              <w:spacing w:line="360" w:lineRule="auto"/>
              <w:jc w:val="center"/>
              <w:rPr>
                <w:rFonts w:ascii="宋体" w:hAnsi="宋体" w:cs="宋体"/>
                <w:b/>
                <w:bCs/>
                <w:color w:val="auto"/>
                <w:sz w:val="22"/>
                <w:highlight w:val="none"/>
              </w:rPr>
            </w:pPr>
            <w:r>
              <w:rPr>
                <w:rFonts w:hint="eastAsia" w:ascii="宋体" w:hAnsi="宋体" w:cs="宋体"/>
                <w:b/>
                <w:bCs/>
                <w:color w:val="auto"/>
                <w:sz w:val="22"/>
                <w:highlight w:val="none"/>
              </w:rPr>
              <w:t>工作内容</w:t>
            </w:r>
          </w:p>
        </w:tc>
        <w:tc>
          <w:tcPr>
            <w:tcW w:w="1089" w:type="pct"/>
            <w:vAlign w:val="center"/>
          </w:tcPr>
          <w:p w14:paraId="047869D8">
            <w:pPr>
              <w:spacing w:line="360" w:lineRule="auto"/>
              <w:jc w:val="center"/>
              <w:rPr>
                <w:rFonts w:ascii="宋体" w:hAnsi="宋体" w:cs="宋体"/>
                <w:b/>
                <w:bCs/>
                <w:color w:val="auto"/>
                <w:sz w:val="22"/>
                <w:highlight w:val="none"/>
              </w:rPr>
            </w:pPr>
            <w:r>
              <w:rPr>
                <w:rFonts w:hint="eastAsia" w:ascii="宋体" w:hAnsi="宋体" w:cs="宋体"/>
                <w:b/>
                <w:bCs/>
                <w:color w:val="auto"/>
                <w:sz w:val="22"/>
                <w:highlight w:val="none"/>
              </w:rPr>
              <w:t>分项限价（元）</w:t>
            </w:r>
          </w:p>
        </w:tc>
        <w:tc>
          <w:tcPr>
            <w:tcW w:w="507" w:type="pct"/>
            <w:vAlign w:val="center"/>
          </w:tcPr>
          <w:p w14:paraId="1444D833">
            <w:pPr>
              <w:spacing w:line="360" w:lineRule="auto"/>
              <w:jc w:val="center"/>
              <w:rPr>
                <w:rFonts w:ascii="宋体" w:hAnsi="宋体" w:cs="宋体"/>
                <w:b/>
                <w:bCs/>
                <w:color w:val="auto"/>
                <w:sz w:val="22"/>
                <w:highlight w:val="none"/>
              </w:rPr>
            </w:pPr>
            <w:r>
              <w:rPr>
                <w:rFonts w:hint="eastAsia" w:ascii="宋体" w:hAnsi="宋体" w:cs="宋体"/>
                <w:b/>
                <w:bCs/>
                <w:color w:val="auto"/>
                <w:sz w:val="22"/>
                <w:highlight w:val="none"/>
              </w:rPr>
              <w:t>合计</w:t>
            </w:r>
          </w:p>
        </w:tc>
      </w:tr>
      <w:tr w14:paraId="23D6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6" w:type="pct"/>
            <w:vAlign w:val="center"/>
          </w:tcPr>
          <w:p w14:paraId="4AF84A68">
            <w:pPr>
              <w:spacing w:line="360" w:lineRule="auto"/>
              <w:jc w:val="center"/>
              <w:rPr>
                <w:rFonts w:ascii="宋体" w:hAnsi="宋体" w:cs="宋体"/>
                <w:color w:val="auto"/>
                <w:sz w:val="22"/>
                <w:highlight w:val="none"/>
              </w:rPr>
            </w:pPr>
            <w:r>
              <w:rPr>
                <w:rFonts w:hint="eastAsia" w:ascii="宋体" w:hAnsi="宋体" w:cs="宋体"/>
                <w:color w:val="auto"/>
                <w:sz w:val="22"/>
                <w:highlight w:val="none"/>
              </w:rPr>
              <w:t>1</w:t>
            </w:r>
          </w:p>
        </w:tc>
        <w:tc>
          <w:tcPr>
            <w:tcW w:w="5136" w:type="dxa"/>
            <w:vAlign w:val="center"/>
          </w:tcPr>
          <w:p w14:paraId="00708EDC">
            <w:pPr>
              <w:spacing w:line="400" w:lineRule="exact"/>
              <w:ind w:firstLine="440" w:firstLineChars="200"/>
              <w:rPr>
                <w:rFonts w:hint="default" w:ascii="宋体" w:hAnsi="宋体" w:eastAsia="宋体" w:cs="宋体"/>
                <w:color w:val="auto"/>
                <w:sz w:val="22"/>
                <w:highlight w:val="none"/>
                <w:lang w:val="en-US" w:eastAsia="zh-CN"/>
              </w:rPr>
            </w:pPr>
            <w:r>
              <w:rPr>
                <w:rFonts w:hint="eastAsia" w:ascii="宋体" w:hAnsi="宋体" w:cs="宋体"/>
                <w:color w:val="auto"/>
                <w:sz w:val="22"/>
                <w:highlight w:val="none"/>
              </w:rPr>
              <w:t>森林督查图斑现状外业调查</w:t>
            </w:r>
            <w:r>
              <w:rPr>
                <w:rFonts w:hint="eastAsia" w:ascii="宋体" w:hAnsi="宋体" w:cs="宋体"/>
                <w:color w:val="auto"/>
                <w:sz w:val="22"/>
                <w:highlight w:val="none"/>
                <w:lang w:val="en-US" w:eastAsia="zh-CN"/>
              </w:rPr>
              <w:t>和内业上报</w:t>
            </w:r>
          </w:p>
        </w:tc>
        <w:tc>
          <w:tcPr>
            <w:tcW w:w="1811" w:type="dxa"/>
            <w:vAlign w:val="center"/>
          </w:tcPr>
          <w:p w14:paraId="1AD04840">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lang w:val="en-US" w:eastAsia="zh-CN"/>
              </w:rPr>
              <w:t>5</w:t>
            </w:r>
            <w:r>
              <w:rPr>
                <w:rFonts w:hint="eastAsia" w:ascii="宋体" w:hAnsi="宋体" w:cs="宋体"/>
                <w:color w:val="auto"/>
                <w:sz w:val="22"/>
                <w:highlight w:val="none"/>
              </w:rPr>
              <w:t>万</w:t>
            </w:r>
          </w:p>
        </w:tc>
        <w:tc>
          <w:tcPr>
            <w:tcW w:w="507" w:type="pct"/>
            <w:vMerge w:val="restart"/>
            <w:vAlign w:val="center"/>
          </w:tcPr>
          <w:p w14:paraId="03605D84">
            <w:pPr>
              <w:spacing w:line="360" w:lineRule="auto"/>
              <w:jc w:val="center"/>
              <w:rPr>
                <w:rFonts w:ascii="宋体" w:hAnsi="宋体" w:cs="宋体"/>
                <w:color w:val="auto"/>
                <w:sz w:val="22"/>
                <w:highlight w:val="none"/>
              </w:rPr>
            </w:pPr>
            <w:r>
              <w:rPr>
                <w:rFonts w:hint="eastAsia" w:ascii="宋体" w:hAnsi="宋体" w:cs="宋体"/>
                <w:color w:val="auto"/>
                <w:sz w:val="22"/>
                <w:highlight w:val="none"/>
              </w:rPr>
              <w:t>50万元</w:t>
            </w:r>
          </w:p>
        </w:tc>
      </w:tr>
      <w:tr w14:paraId="2A52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6" w:type="pct"/>
            <w:vAlign w:val="center"/>
          </w:tcPr>
          <w:p w14:paraId="6BEC535A">
            <w:pPr>
              <w:spacing w:line="360" w:lineRule="auto"/>
              <w:jc w:val="center"/>
              <w:rPr>
                <w:rFonts w:ascii="宋体" w:hAnsi="宋体" w:cs="宋体"/>
                <w:color w:val="auto"/>
                <w:sz w:val="22"/>
                <w:highlight w:val="none"/>
              </w:rPr>
            </w:pPr>
            <w:r>
              <w:rPr>
                <w:rFonts w:hint="eastAsia" w:ascii="宋体" w:hAnsi="宋体" w:cs="宋体"/>
                <w:color w:val="auto"/>
                <w:sz w:val="22"/>
                <w:highlight w:val="none"/>
              </w:rPr>
              <w:t>2</w:t>
            </w:r>
          </w:p>
        </w:tc>
        <w:tc>
          <w:tcPr>
            <w:tcW w:w="5136" w:type="dxa"/>
            <w:vAlign w:val="center"/>
          </w:tcPr>
          <w:p w14:paraId="6A296D29">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林地、草地、湿地变化图斑现状外业核实</w:t>
            </w:r>
          </w:p>
        </w:tc>
        <w:tc>
          <w:tcPr>
            <w:tcW w:w="1811" w:type="dxa"/>
            <w:vAlign w:val="center"/>
          </w:tcPr>
          <w:p w14:paraId="622C52B7">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lang w:val="en-US" w:eastAsia="zh-CN"/>
              </w:rPr>
              <w:t>25</w:t>
            </w:r>
            <w:r>
              <w:rPr>
                <w:rFonts w:hint="eastAsia" w:ascii="宋体" w:hAnsi="宋体" w:cs="宋体"/>
                <w:color w:val="auto"/>
                <w:sz w:val="22"/>
                <w:highlight w:val="none"/>
              </w:rPr>
              <w:t>万</w:t>
            </w:r>
          </w:p>
        </w:tc>
        <w:tc>
          <w:tcPr>
            <w:tcW w:w="507" w:type="pct"/>
            <w:vMerge w:val="continue"/>
            <w:vAlign w:val="center"/>
          </w:tcPr>
          <w:p w14:paraId="1D5FFC8B">
            <w:pPr>
              <w:spacing w:line="360" w:lineRule="auto"/>
              <w:jc w:val="center"/>
              <w:rPr>
                <w:rFonts w:ascii="宋体" w:hAnsi="宋体" w:cs="宋体"/>
                <w:color w:val="auto"/>
                <w:sz w:val="22"/>
                <w:highlight w:val="none"/>
              </w:rPr>
            </w:pPr>
          </w:p>
        </w:tc>
      </w:tr>
      <w:tr w14:paraId="7DD58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6" w:type="pct"/>
            <w:vAlign w:val="center"/>
          </w:tcPr>
          <w:p w14:paraId="65B04F09">
            <w:pPr>
              <w:spacing w:line="360" w:lineRule="auto"/>
              <w:jc w:val="center"/>
              <w:rPr>
                <w:rFonts w:ascii="宋体" w:hAnsi="宋体" w:cs="宋体"/>
                <w:color w:val="auto"/>
                <w:sz w:val="22"/>
                <w:highlight w:val="none"/>
              </w:rPr>
            </w:pPr>
            <w:r>
              <w:rPr>
                <w:rFonts w:hint="eastAsia" w:ascii="宋体" w:hAnsi="宋体" w:cs="宋体"/>
                <w:color w:val="auto"/>
                <w:sz w:val="22"/>
                <w:highlight w:val="none"/>
              </w:rPr>
              <w:t>3</w:t>
            </w:r>
          </w:p>
        </w:tc>
        <w:tc>
          <w:tcPr>
            <w:tcW w:w="5136" w:type="dxa"/>
            <w:vAlign w:val="center"/>
          </w:tcPr>
          <w:p w14:paraId="5CDD05BB">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公益林、天然林、国有林等专题数据核实更新</w:t>
            </w:r>
          </w:p>
        </w:tc>
        <w:tc>
          <w:tcPr>
            <w:tcW w:w="1811" w:type="dxa"/>
            <w:vAlign w:val="center"/>
          </w:tcPr>
          <w:p w14:paraId="3CF91ED5">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5万</w:t>
            </w:r>
          </w:p>
        </w:tc>
        <w:tc>
          <w:tcPr>
            <w:tcW w:w="507" w:type="pct"/>
            <w:vMerge w:val="continue"/>
            <w:vAlign w:val="center"/>
          </w:tcPr>
          <w:p w14:paraId="5EA9EEF3">
            <w:pPr>
              <w:spacing w:line="360" w:lineRule="auto"/>
              <w:jc w:val="center"/>
              <w:rPr>
                <w:rFonts w:ascii="宋体" w:hAnsi="宋体" w:cs="宋体"/>
                <w:color w:val="auto"/>
                <w:sz w:val="22"/>
                <w:highlight w:val="none"/>
              </w:rPr>
            </w:pPr>
          </w:p>
        </w:tc>
      </w:tr>
      <w:tr w14:paraId="1797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6" w:type="pct"/>
            <w:vAlign w:val="center"/>
          </w:tcPr>
          <w:p w14:paraId="305935B0">
            <w:pPr>
              <w:spacing w:line="360" w:lineRule="auto"/>
              <w:jc w:val="center"/>
              <w:rPr>
                <w:rFonts w:ascii="宋体" w:hAnsi="宋体" w:cs="宋体"/>
                <w:color w:val="auto"/>
                <w:sz w:val="22"/>
                <w:highlight w:val="none"/>
              </w:rPr>
            </w:pPr>
            <w:r>
              <w:rPr>
                <w:rFonts w:hint="eastAsia" w:ascii="宋体" w:hAnsi="宋体" w:cs="宋体"/>
                <w:color w:val="auto"/>
                <w:sz w:val="22"/>
                <w:highlight w:val="none"/>
              </w:rPr>
              <w:t>4</w:t>
            </w:r>
          </w:p>
        </w:tc>
        <w:tc>
          <w:tcPr>
            <w:tcW w:w="5136" w:type="dxa"/>
            <w:vAlign w:val="center"/>
          </w:tcPr>
          <w:p w14:paraId="753AA1E9">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林草湿变化图斑年度更新落图</w:t>
            </w:r>
          </w:p>
        </w:tc>
        <w:tc>
          <w:tcPr>
            <w:tcW w:w="1811" w:type="dxa"/>
            <w:vAlign w:val="center"/>
          </w:tcPr>
          <w:p w14:paraId="5D0CC14A">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10万</w:t>
            </w:r>
          </w:p>
        </w:tc>
        <w:tc>
          <w:tcPr>
            <w:tcW w:w="507" w:type="pct"/>
            <w:vMerge w:val="continue"/>
            <w:vAlign w:val="center"/>
          </w:tcPr>
          <w:p w14:paraId="277FE444">
            <w:pPr>
              <w:spacing w:line="360" w:lineRule="auto"/>
              <w:jc w:val="center"/>
              <w:rPr>
                <w:rFonts w:ascii="宋体" w:hAnsi="宋体" w:cs="宋体"/>
                <w:color w:val="auto"/>
                <w:sz w:val="22"/>
                <w:highlight w:val="none"/>
              </w:rPr>
            </w:pPr>
          </w:p>
        </w:tc>
      </w:tr>
      <w:tr w14:paraId="609E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16" w:type="pct"/>
            <w:vAlign w:val="center"/>
          </w:tcPr>
          <w:p w14:paraId="4F26EAFB">
            <w:pPr>
              <w:spacing w:line="360" w:lineRule="auto"/>
              <w:jc w:val="center"/>
              <w:rPr>
                <w:rFonts w:ascii="宋体" w:hAnsi="宋体" w:cs="宋体"/>
                <w:color w:val="auto"/>
                <w:sz w:val="22"/>
                <w:highlight w:val="none"/>
              </w:rPr>
            </w:pPr>
            <w:r>
              <w:rPr>
                <w:rFonts w:hint="eastAsia" w:ascii="宋体" w:hAnsi="宋体" w:cs="宋体"/>
                <w:color w:val="auto"/>
                <w:sz w:val="22"/>
                <w:highlight w:val="none"/>
              </w:rPr>
              <w:t>5</w:t>
            </w:r>
          </w:p>
        </w:tc>
        <w:tc>
          <w:tcPr>
            <w:tcW w:w="5136" w:type="dxa"/>
            <w:vAlign w:val="center"/>
          </w:tcPr>
          <w:p w14:paraId="4325D8C7">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统计报表、数据库、自查成果表、成果报告编制</w:t>
            </w:r>
          </w:p>
        </w:tc>
        <w:tc>
          <w:tcPr>
            <w:tcW w:w="1811" w:type="dxa"/>
            <w:vAlign w:val="center"/>
          </w:tcPr>
          <w:p w14:paraId="3E648699">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5万</w:t>
            </w:r>
          </w:p>
        </w:tc>
        <w:tc>
          <w:tcPr>
            <w:tcW w:w="507" w:type="pct"/>
            <w:vMerge w:val="continue"/>
            <w:vAlign w:val="center"/>
          </w:tcPr>
          <w:p w14:paraId="46AA7D09">
            <w:pPr>
              <w:spacing w:line="360" w:lineRule="auto"/>
              <w:jc w:val="center"/>
              <w:rPr>
                <w:rFonts w:ascii="宋体" w:hAnsi="宋体" w:cs="宋体"/>
                <w:color w:val="auto"/>
                <w:sz w:val="22"/>
                <w:highlight w:val="none"/>
              </w:rPr>
            </w:pPr>
          </w:p>
        </w:tc>
      </w:tr>
    </w:tbl>
    <w:p w14:paraId="3640EA6A">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六、项目成果</w:t>
      </w:r>
    </w:p>
    <w:p w14:paraId="2FB6C684">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1.数据库</w:t>
      </w:r>
    </w:p>
    <w:p w14:paraId="6DE85929">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林草湿资源现状数据库、林草湿资源变化数据库、森林专题数据库、草地专题数据库、湿地专题数据库、不一致图斑数据库、公益林数据库。</w:t>
      </w:r>
    </w:p>
    <w:p w14:paraId="4997EB21">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2.统计报表</w:t>
      </w:r>
    </w:p>
    <w:p w14:paraId="5222285F">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包括各类资源种类、数量、质量、结构、分布等现状及年度变化统计表等。</w:t>
      </w:r>
    </w:p>
    <w:p w14:paraId="376DC6CF">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3.成果报告</w:t>
      </w:r>
    </w:p>
    <w:p w14:paraId="30EFB1D2">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年度森林资源更新成果报告。</w:t>
      </w:r>
    </w:p>
    <w:p w14:paraId="76982059">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4.其他成果</w:t>
      </w:r>
    </w:p>
    <w:p w14:paraId="701BF845">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县级自查成果表。</w:t>
      </w:r>
    </w:p>
    <w:p w14:paraId="67106AB0">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5.上述成果的纸质版的份数按照采购方要求提供，并提供成果电子版1套（成果报告文本为doc格式，附表为Excel格式，图件为jpg、pdf格式，矢量数据为shape、gdb等格式）。</w:t>
      </w:r>
    </w:p>
    <w:p w14:paraId="650466C6">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七、服务要求</w:t>
      </w:r>
    </w:p>
    <w:p w14:paraId="4884CAC9">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1、服务响应：未经采购人许可，本项目投入人员不得擅自更换，工作期间，要求在12小时内响应采购人提出的疑问并及时提交解释说明或修改意见。</w:t>
      </w:r>
    </w:p>
    <w:p w14:paraId="5CD90E55">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2、项目负责人须全过程参与项目及各阶段项目成果的交流、汇报等工作。</w:t>
      </w:r>
    </w:p>
    <w:p w14:paraId="4FBD2C69">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3、质保期及售后服务</w:t>
      </w:r>
    </w:p>
    <w:p w14:paraId="7E9048D4">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(1)质保期：项目完工后，自项目验收合格之日起不少于1年的质保期。</w:t>
      </w:r>
    </w:p>
    <w:p w14:paraId="47D26126">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(2)质保期内中标供应商须按照招标采购单位要求提供技术支持等服务。</w:t>
      </w:r>
    </w:p>
    <w:p w14:paraId="0151BE7B">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(3)响应时间要求：提供7×24小时电话技术咨询支持，在收到用户通知后，30分钟内须响应，必要时按采购人需要到达现场。</w:t>
      </w:r>
    </w:p>
    <w:p w14:paraId="275E9101">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(4)问题解决时间要求：一般问题在8小时内解决，严重问题要求及时提出招标采购单位可接受的解决方案和服务承诺。</w:t>
      </w:r>
    </w:p>
    <w:p w14:paraId="0A76D324">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4、其他</w:t>
      </w:r>
    </w:p>
    <w:p w14:paraId="6FD6A7C7">
      <w:pPr>
        <w:pStyle w:val="5"/>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项目过程保密及数据保密：在项目实施过程中运行过程中（包括合同解除、终止后），中标方必须对采购人提供的任何数据及文档有保密的责任和义务。不得以任何理由留存，不得转让和使用本项目的成果。否则，中标单位应承担由此产生的一切法律和经济责任。在投标书中应对该项内容提交书面承诺书，作为签订项目保密合同的依据，并作为合同密不可分的一部分。</w:t>
      </w:r>
    </w:p>
    <w:p w14:paraId="0F5A395B">
      <w:pPr>
        <w:pStyle w:val="5"/>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(2)严格遵守《中华人民共和国档案法》、《保密法》保密规定及相关规章制度。档案整理和加工工作须在采购人指定的场所内进行，确保档案数据的安全。</w:t>
      </w:r>
    </w:p>
    <w:p w14:paraId="7A841AD5">
      <w:pPr>
        <w:pStyle w:val="5"/>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(3)版权与保密：本项目所有数据的版权属采购人所有，未经同意，中标方不得自行删除、复制、修改、转移数据，亦不得以任何形式向第三方提供；采购人提供的任何业务资料，中标方需认真保管、严格保密，并在使用完毕后及时归还。</w:t>
      </w:r>
    </w:p>
    <w:p w14:paraId="64A2B582">
      <w:pPr>
        <w:pStyle w:val="5"/>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(4)保密期限：永久。</w:t>
      </w:r>
    </w:p>
    <w:p w14:paraId="58B1C83D">
      <w:pPr>
        <w:pStyle w:val="5"/>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八、技术规范标准</w:t>
      </w:r>
    </w:p>
    <w:p w14:paraId="4D363DF0">
      <w:pPr>
        <w:pStyle w:val="6"/>
        <w:spacing w:line="400" w:lineRule="exact"/>
        <w:ind w:left="440" w:hanging="440"/>
        <w:rPr>
          <w:rFonts w:ascii="宋体" w:hAnsi="宋体" w:cs="宋体"/>
          <w:color w:val="auto"/>
          <w:sz w:val="22"/>
          <w:highlight w:val="none"/>
        </w:rPr>
      </w:pPr>
      <w:r>
        <w:rPr>
          <w:rFonts w:hint="eastAsia" w:ascii="宋体" w:hAnsi="宋体" w:cs="宋体"/>
          <w:color w:val="auto"/>
          <w:sz w:val="22"/>
          <w:highlight w:val="none"/>
        </w:rPr>
        <w:t xml:space="preserve">    1、《中华人民共和国湿地保护法》；</w:t>
      </w:r>
    </w:p>
    <w:p w14:paraId="2B57BEC8">
      <w:pPr>
        <w:pStyle w:val="5"/>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1、《森林资源规划设计调查技术规程》（DB23/T1250-2008）；</w:t>
      </w:r>
    </w:p>
    <w:p w14:paraId="3882B7AA">
      <w:pPr>
        <w:pStyle w:val="5"/>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2、《浙江省森林资源规划设计调查技术操作细则》（2014年）；</w:t>
      </w:r>
    </w:p>
    <w:p w14:paraId="48DAC25A">
      <w:pPr>
        <w:pStyle w:val="5"/>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3、浙江省林业林业局关于印发《2022年浙江省森林、草地、湿地图斑调查监测操作细则》和《浙江省省级以上公益林优化成果完善和年度监测技术规定》的通知（浙林字函〔2022〕220号）；</w:t>
      </w:r>
    </w:p>
    <w:p w14:paraId="21738C78">
      <w:pPr>
        <w:pStyle w:val="5"/>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4、《国家级公益林区划界定办法》（林资发〔2017〕34号）；</w:t>
      </w:r>
    </w:p>
    <w:p w14:paraId="769DECEA">
      <w:pPr>
        <w:pStyle w:val="5"/>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5、浙江省林业局关于印发《浙江省省级公益林变更调整管理办法》的通知（浙林资〔2018〕98号）；</w:t>
      </w:r>
    </w:p>
    <w:p w14:paraId="2A17B972">
      <w:pPr>
        <w:pStyle w:val="5"/>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6、浙江省林业局浙江省财政厅关于印发浙江省国家级公益林变更实施细则的通知（浙林资〔2019〕47号）；</w:t>
      </w:r>
    </w:p>
    <w:p w14:paraId="4D1E92F5">
      <w:pPr>
        <w:pStyle w:val="6"/>
        <w:spacing w:line="400" w:lineRule="exact"/>
        <w:ind w:left="479" w:leftChars="228" w:firstLine="0" w:firstLineChars="0"/>
        <w:rPr>
          <w:rFonts w:ascii="宋体" w:hAnsi="宋体" w:cs="宋体"/>
          <w:color w:val="auto"/>
          <w:sz w:val="22"/>
          <w:highlight w:val="none"/>
        </w:rPr>
      </w:pPr>
      <w:r>
        <w:rPr>
          <w:rFonts w:hint="eastAsia" w:ascii="宋体" w:hAnsi="宋体" w:cs="宋体"/>
          <w:color w:val="auto"/>
          <w:sz w:val="22"/>
          <w:highlight w:val="none"/>
        </w:rPr>
        <w:t>7、省级重要湿地和一般湿地生态监测技术规程；</w:t>
      </w:r>
    </w:p>
    <w:p w14:paraId="56C8F604">
      <w:pPr>
        <w:pStyle w:val="5"/>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8、2024年全国森林、草原、湿地调查监测技术规程。</w:t>
      </w:r>
    </w:p>
    <w:p w14:paraId="67B894BE">
      <w:pPr>
        <w:pStyle w:val="5"/>
        <w:spacing w:line="40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九、工期要求</w:t>
      </w:r>
    </w:p>
    <w:p w14:paraId="7344D347">
      <w:pPr>
        <w:pStyle w:val="5"/>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成果于2024年12月底提交（具体时间根据省林业厅要求作相应调整）。</w:t>
      </w:r>
    </w:p>
    <w:p w14:paraId="3D9AEDB6">
      <w:pPr>
        <w:snapToGrid w:val="0"/>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十、验收</w:t>
      </w:r>
    </w:p>
    <w:p w14:paraId="6A468A35">
      <w:pPr>
        <w:tabs>
          <w:tab w:val="left" w:pos="1069"/>
        </w:tabs>
        <w:snapToGrid w:val="0"/>
        <w:spacing w:line="400" w:lineRule="exact"/>
        <w:ind w:firstLine="541" w:firstLineChars="246"/>
        <w:rPr>
          <w:rFonts w:ascii="宋体" w:hAnsi="宋体" w:cs="宋体"/>
          <w:b/>
          <w:color w:val="auto"/>
          <w:sz w:val="22"/>
          <w:highlight w:val="none"/>
        </w:rPr>
      </w:pPr>
      <w:r>
        <w:rPr>
          <w:rFonts w:hint="eastAsia" w:ascii="宋体" w:hAnsi="宋体" w:cs="宋体"/>
          <w:color w:val="auto"/>
          <w:sz w:val="22"/>
          <w:highlight w:val="none"/>
        </w:rPr>
        <w:t>1.验收按有关的规定、规范进行；2.验收标准：按省市县文件规范要求；3.所需费用由中标方承担</w:t>
      </w:r>
      <w:r>
        <w:rPr>
          <w:rFonts w:hint="eastAsia" w:ascii="宋体" w:hAnsi="宋体" w:cs="宋体"/>
          <w:bCs/>
          <w:color w:val="auto"/>
          <w:sz w:val="22"/>
          <w:highlight w:val="none"/>
        </w:rPr>
        <w:t>。</w:t>
      </w:r>
    </w:p>
    <w:p w14:paraId="3DD51C42">
      <w:pPr>
        <w:snapToGrid w:val="0"/>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十一、付款方式</w:t>
      </w:r>
    </w:p>
    <w:p w14:paraId="5D2180D5">
      <w:pPr>
        <w:tabs>
          <w:tab w:val="left" w:pos="1069"/>
          <w:tab w:val="left" w:pos="2352"/>
        </w:tabs>
        <w:spacing w:line="400" w:lineRule="exact"/>
        <w:ind w:firstLine="440" w:firstLineChars="200"/>
        <w:jc w:val="left"/>
        <w:rPr>
          <w:rFonts w:ascii="宋体" w:hAnsi="宋体" w:cs="宋体"/>
          <w:color w:val="auto"/>
          <w:sz w:val="22"/>
          <w:highlight w:val="none"/>
        </w:rPr>
      </w:pPr>
      <w:r>
        <w:rPr>
          <w:rFonts w:hint="eastAsia" w:ascii="宋体" w:hAnsi="宋体" w:cs="宋体"/>
          <w:bCs/>
          <w:color w:val="auto"/>
          <w:sz w:val="22"/>
          <w:highlight w:val="none"/>
        </w:rPr>
        <w:t>根据《保障中小企业款项支付条例》、省财政厅《关于坚决打赢疫情防控阻击战进一步做</w:t>
      </w:r>
      <w:r>
        <w:rPr>
          <w:rFonts w:hint="eastAsia" w:ascii="宋体" w:hAnsi="宋体" w:cs="宋体"/>
          <w:color w:val="auto"/>
          <w:sz w:val="22"/>
          <w:highlight w:val="none"/>
        </w:rPr>
        <w:t>好政府采购资金支持企业发展工作的通知》（浙财采监〔2020〕33号）、（6）《浙江省财政厅关于进一步发挥政府采购政策 功能全力推动经济稳进提质的通知》（浙财采监〔2022〕3号）、《关于进一步加大政府采购 支持中小企业力度 助力扎实稳住经济 的通知》（浙财采监〔2022〕8号）要求，制定如下付款方式：</w:t>
      </w:r>
    </w:p>
    <w:p w14:paraId="783B7047">
      <w:pPr>
        <w:spacing w:line="40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1.合同生效且具备支付条件后，采购人预付合同总价的40%。</w:t>
      </w:r>
    </w:p>
    <w:p w14:paraId="76D9845E">
      <w:pPr>
        <w:spacing w:line="400" w:lineRule="exact"/>
        <w:ind w:firstLine="440" w:firstLineChars="200"/>
        <w:rPr>
          <w:rFonts w:ascii="宋体" w:hAnsi="宋体" w:cs="宋体"/>
          <w:bCs/>
          <w:color w:val="auto"/>
          <w:sz w:val="22"/>
          <w:highlight w:val="none"/>
        </w:rPr>
      </w:pPr>
      <w:r>
        <w:rPr>
          <w:rFonts w:hint="eastAsia" w:ascii="宋体" w:hAnsi="宋体" w:cs="宋体"/>
          <w:bCs/>
          <w:color w:val="auto"/>
          <w:sz w:val="22"/>
          <w:highlight w:val="none"/>
        </w:rPr>
        <w:t>2.通过采购人验收后，采购人支付合同总价的60%。</w:t>
      </w:r>
    </w:p>
    <w:p w14:paraId="4D017F17">
      <w:pPr>
        <w:spacing w:line="400" w:lineRule="exact"/>
        <w:ind w:firstLine="440" w:firstLineChars="200"/>
        <w:rPr>
          <w:rFonts w:ascii="宋体" w:hAnsi="宋体" w:cs="宋体"/>
          <w:color w:val="auto"/>
          <w:sz w:val="22"/>
          <w:highlight w:val="none"/>
        </w:rPr>
      </w:pPr>
      <w:r>
        <w:rPr>
          <w:rFonts w:hint="eastAsia" w:ascii="宋体" w:hAnsi="宋体" w:cs="宋体"/>
          <w:bCs/>
          <w:color w:val="auto"/>
          <w:sz w:val="22"/>
          <w:highlight w:val="none"/>
        </w:rPr>
        <w:t>若中标供应商明确表示无需预付款或者主动要求降低预付款比例的，采购人可不适用前述规定。注： 中标供应商在接到采购人通知后的7个工作日内将增值税发票送达采购人</w:t>
      </w:r>
      <w:r>
        <w:rPr>
          <w:rFonts w:hint="eastAsia" w:ascii="宋体" w:hAnsi="宋体" w:cs="宋体"/>
          <w:color w:val="auto"/>
          <w:sz w:val="22"/>
          <w:highlight w:val="none"/>
        </w:rPr>
        <w:t>。</w:t>
      </w:r>
    </w:p>
    <w:p w14:paraId="2B269E8C">
      <w:pPr>
        <w:pStyle w:val="32"/>
        <w:snapToGrid w:val="0"/>
        <w:spacing w:line="400" w:lineRule="exact"/>
        <w:ind w:firstLine="0" w:firstLineChars="0"/>
        <w:rPr>
          <w:rFonts w:ascii="宋体" w:hAnsi="宋体" w:cs="宋体"/>
          <w:color w:val="auto"/>
          <w:sz w:val="22"/>
          <w:highlight w:val="none"/>
        </w:rPr>
        <w:sectPr>
          <w:footerReference r:id="rId7" w:type="default"/>
          <w:pgSz w:w="11906" w:h="16838"/>
          <w:pgMar w:top="1440" w:right="1800" w:bottom="1440" w:left="1800" w:header="851" w:footer="992" w:gutter="0"/>
          <w:pgNumType w:start="1"/>
          <w:cols w:space="720" w:num="1"/>
          <w:docGrid w:type="lines" w:linePitch="312" w:charSpace="0"/>
        </w:sectPr>
      </w:pPr>
    </w:p>
    <w:p w14:paraId="2258E196">
      <w:pPr>
        <w:spacing w:line="400" w:lineRule="exact"/>
        <w:rPr>
          <w:rFonts w:ascii="宋体" w:hAnsi="宋体" w:cs="宋体"/>
          <w:color w:val="auto"/>
          <w:sz w:val="22"/>
          <w:highlight w:val="none"/>
        </w:rPr>
      </w:pPr>
    </w:p>
    <w:p w14:paraId="7AC89061">
      <w:pPr>
        <w:tabs>
          <w:tab w:val="left" w:pos="1069"/>
          <w:tab w:val="left" w:pos="2352"/>
        </w:tabs>
        <w:autoSpaceDE w:val="0"/>
        <w:autoSpaceDN w:val="0"/>
        <w:adjustRightInd w:val="0"/>
        <w:snapToGrid w:val="0"/>
        <w:spacing w:line="400" w:lineRule="exact"/>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val="zh-CN"/>
        </w:rPr>
        <w:t>三部分</w:t>
      </w:r>
      <w:r>
        <w:rPr>
          <w:rFonts w:hint="eastAsia" w:ascii="宋体" w:hAnsi="宋体" w:cs="宋体"/>
          <w:b/>
          <w:color w:val="auto"/>
          <w:sz w:val="32"/>
          <w:szCs w:val="32"/>
          <w:highlight w:val="none"/>
        </w:rPr>
        <w:t>、</w:t>
      </w:r>
      <w:r>
        <w:rPr>
          <w:rFonts w:hint="eastAsia" w:ascii="宋体" w:hAnsi="宋体" w:cs="宋体"/>
          <w:b/>
          <w:color w:val="auto"/>
          <w:sz w:val="32"/>
          <w:szCs w:val="32"/>
          <w:highlight w:val="none"/>
          <w:lang w:val="zh-CN"/>
        </w:rPr>
        <w:t>供应商须知</w:t>
      </w:r>
      <w:bookmarkEnd w:id="3"/>
    </w:p>
    <w:p w14:paraId="5D593B35">
      <w:pPr>
        <w:tabs>
          <w:tab w:val="left" w:pos="1069"/>
          <w:tab w:val="left" w:pos="2352"/>
        </w:tabs>
        <w:autoSpaceDE w:val="0"/>
        <w:autoSpaceDN w:val="0"/>
        <w:adjustRightInd w:val="0"/>
        <w:spacing w:line="450" w:lineRule="atLeast"/>
        <w:ind w:firstLine="446" w:firstLineChars="200"/>
        <w:rPr>
          <w:rFonts w:ascii="宋体" w:hAnsi="宋体" w:cs="宋体"/>
          <w:b/>
          <w:color w:val="auto"/>
          <w:sz w:val="22"/>
          <w:highlight w:val="none"/>
          <w:lang w:val="zh-CN"/>
        </w:rPr>
      </w:pPr>
      <w:bookmarkStart w:id="7" w:name="_Toc9317_WPSOffice_Level2"/>
      <w:r>
        <w:rPr>
          <w:rFonts w:hint="eastAsia" w:ascii="宋体" w:hAnsi="宋体" w:cs="宋体"/>
          <w:b/>
          <w:color w:val="auto"/>
          <w:sz w:val="22"/>
          <w:highlight w:val="none"/>
          <w:lang w:val="zh-CN"/>
        </w:rPr>
        <w:t>一、说明</w:t>
      </w:r>
      <w:bookmarkEnd w:id="7"/>
    </w:p>
    <w:p w14:paraId="59D27AFE">
      <w:pPr>
        <w:tabs>
          <w:tab w:val="left" w:pos="1069"/>
          <w:tab w:val="left" w:pos="2352"/>
        </w:tabs>
        <w:adjustRightInd w:val="0"/>
        <w:spacing w:line="400" w:lineRule="atLeast"/>
        <w:ind w:firstLine="436" w:firstLineChars="196"/>
        <w:rPr>
          <w:rFonts w:ascii="宋体" w:hAnsi="宋体" w:cs="宋体"/>
          <w:color w:val="auto"/>
          <w:sz w:val="22"/>
          <w:highlight w:val="none"/>
          <w:lang w:val="zh-CN"/>
        </w:rPr>
      </w:pPr>
      <w:r>
        <w:rPr>
          <w:rFonts w:hint="eastAsia" w:ascii="宋体" w:hAnsi="宋体" w:cs="宋体"/>
          <w:color w:val="auto"/>
          <w:sz w:val="22"/>
          <w:highlight w:val="none"/>
        </w:rPr>
        <w:t>1.</w:t>
      </w:r>
      <w:r>
        <w:rPr>
          <w:rFonts w:hint="eastAsia" w:ascii="宋体" w:hAnsi="宋体" w:cs="宋体"/>
          <w:color w:val="auto"/>
          <w:sz w:val="22"/>
          <w:highlight w:val="none"/>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4E8D7868">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bCs/>
          <w:color w:val="auto"/>
          <w:sz w:val="22"/>
          <w:highlight w:val="none"/>
        </w:rPr>
        <w:t>供应商必须对所投标项全部内容进行报价</w:t>
      </w:r>
      <w:r>
        <w:rPr>
          <w:rFonts w:hint="eastAsia" w:ascii="宋体" w:hAnsi="宋体" w:cs="宋体"/>
          <w:color w:val="auto"/>
          <w:sz w:val="22"/>
          <w:highlight w:val="none"/>
        </w:rPr>
        <w:t>，只对部分内容进行报价的供应商将按无效投标处理。</w:t>
      </w:r>
    </w:p>
    <w:p w14:paraId="60E2758A">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3.无论投标过程中的作法和结果如何，供应商自行承担投标活动中所发生的全部费用；采购人有权选择供应商的供货和服务范围。</w:t>
      </w:r>
    </w:p>
    <w:p w14:paraId="7ADE6E8D">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4.安全管理</w:t>
      </w:r>
    </w:p>
    <w:p w14:paraId="2A071F37">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14:paraId="33C66251">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5.知识产权</w:t>
      </w:r>
    </w:p>
    <w:p w14:paraId="2523132E">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5.1供应商应保证，采购人在中华人民共和国使用货物或服务的任何一部分时，免受第三方提出侵犯其专利权、商标权或其它知识产权的起诉。</w:t>
      </w:r>
    </w:p>
    <w:p w14:paraId="4534677A">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5.2投标人应对采购人在使用该服务时所涉及到的专利权负责，不损害采购人的利益。</w:t>
      </w:r>
    </w:p>
    <w:p w14:paraId="571223EA">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5.3报价应包括所有应支付的对专利权和版权、设计或其他知识产权而需要向其他方支付的版税。</w:t>
      </w:r>
    </w:p>
    <w:p w14:paraId="3A352CB5">
      <w:pPr>
        <w:tabs>
          <w:tab w:val="left" w:pos="1069"/>
          <w:tab w:val="left" w:pos="2352"/>
        </w:tabs>
        <w:adjustRightInd w:val="0"/>
        <w:spacing w:line="400" w:lineRule="atLeast"/>
        <w:ind w:firstLine="436" w:firstLineChars="196"/>
        <w:rPr>
          <w:rFonts w:ascii="宋体" w:hAnsi="宋体" w:cs="宋体"/>
          <w:color w:val="auto"/>
          <w:sz w:val="22"/>
          <w:highlight w:val="none"/>
        </w:rPr>
      </w:pPr>
      <w:r>
        <w:rPr>
          <w:rFonts w:hint="eastAsia" w:ascii="宋体" w:hAnsi="宋体" w:cs="宋体"/>
          <w:color w:val="auto"/>
          <w:sz w:val="22"/>
          <w:highlight w:val="none"/>
        </w:rPr>
        <w:t>5.4投标人提供的服务中如使用其他公司的相关专利，应在标书中出示相关授权，如未出示但使用了其他公司的专利，导致供应商中标(成交)而引起相关诉讼，由投标人承担。</w:t>
      </w:r>
    </w:p>
    <w:p w14:paraId="7BCFAB98">
      <w:pPr>
        <w:tabs>
          <w:tab w:val="left" w:pos="1069"/>
          <w:tab w:val="left" w:pos="2352"/>
        </w:tabs>
        <w:adjustRightInd w:val="0"/>
        <w:spacing w:line="400" w:lineRule="atLeast"/>
        <w:ind w:firstLine="436" w:firstLineChars="196"/>
        <w:rPr>
          <w:rFonts w:ascii="宋体" w:hAnsi="宋体" w:cs="宋体"/>
          <w:color w:val="auto"/>
          <w:sz w:val="22"/>
          <w:highlight w:val="none"/>
          <w:lang w:val="zh-CN"/>
        </w:rPr>
      </w:pPr>
      <w:r>
        <w:rPr>
          <w:rFonts w:hint="eastAsia" w:ascii="宋体" w:hAnsi="宋体" w:cs="宋体"/>
          <w:color w:val="auto"/>
          <w:sz w:val="22"/>
          <w:highlight w:val="none"/>
        </w:rPr>
        <w:t>6.</w:t>
      </w:r>
      <w:r>
        <w:rPr>
          <w:rFonts w:hint="eastAsia" w:ascii="宋体" w:hAnsi="宋体" w:cs="宋体"/>
          <w:color w:val="auto"/>
          <w:sz w:val="22"/>
          <w:highlight w:val="none"/>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4D541458">
      <w:pPr>
        <w:tabs>
          <w:tab w:val="left" w:pos="1069"/>
          <w:tab w:val="left" w:pos="2352"/>
        </w:tabs>
        <w:adjustRightInd w:val="0"/>
        <w:spacing w:line="400" w:lineRule="atLeast"/>
        <w:ind w:firstLine="436" w:firstLineChars="196"/>
        <w:rPr>
          <w:rFonts w:ascii="宋体" w:hAnsi="宋体" w:cs="宋体"/>
          <w:color w:val="auto"/>
          <w:sz w:val="22"/>
          <w:highlight w:val="none"/>
          <w:lang w:val="zh-CN"/>
        </w:rPr>
      </w:pPr>
      <w:r>
        <w:rPr>
          <w:rFonts w:hint="eastAsia" w:ascii="宋体" w:hAnsi="宋体" w:cs="宋体"/>
          <w:color w:val="auto"/>
          <w:sz w:val="22"/>
          <w:highlight w:val="none"/>
        </w:rPr>
        <w:t>7.</w:t>
      </w:r>
      <w:r>
        <w:rPr>
          <w:rFonts w:hint="eastAsia" w:ascii="宋体" w:hAnsi="宋体" w:cs="宋体"/>
          <w:color w:val="auto"/>
          <w:sz w:val="22"/>
          <w:highlight w:val="none"/>
          <w:lang w:val="zh-CN"/>
        </w:rPr>
        <w:t>为采购项目提供整体设计、规范编制或者项目管理、监理、检测等服务的供应商，不得再参加该采购项目的其他采购活动。</w:t>
      </w:r>
    </w:p>
    <w:p w14:paraId="1CC45C98">
      <w:pPr>
        <w:tabs>
          <w:tab w:val="left" w:pos="1069"/>
          <w:tab w:val="left" w:pos="2352"/>
        </w:tabs>
        <w:autoSpaceDE w:val="0"/>
        <w:autoSpaceDN w:val="0"/>
        <w:adjustRightInd w:val="0"/>
        <w:spacing w:line="400" w:lineRule="atLeast"/>
        <w:ind w:firstLine="446" w:firstLineChars="200"/>
        <w:textAlignment w:val="bottom"/>
        <w:rPr>
          <w:rFonts w:ascii="宋体" w:hAnsi="宋体" w:cs="宋体"/>
          <w:b/>
          <w:color w:val="auto"/>
          <w:sz w:val="22"/>
          <w:highlight w:val="none"/>
        </w:rPr>
      </w:pPr>
      <w:r>
        <w:rPr>
          <w:rFonts w:hint="eastAsia" w:ascii="宋体" w:hAnsi="宋体" w:cs="宋体"/>
          <w:color w:val="auto"/>
          <w:sz w:val="22"/>
          <w:highlight w:val="none"/>
        </w:rPr>
        <w:t>8</w:t>
      </w:r>
      <w:r>
        <w:rPr>
          <w:rFonts w:hint="eastAsia" w:ascii="宋体" w:hAnsi="宋体" w:cs="宋体"/>
          <w:color w:val="auto"/>
          <w:sz w:val="22"/>
          <w:highlight w:val="none"/>
          <w:lang w:val="zh-CN"/>
        </w:rPr>
        <w:t>.</w:t>
      </w:r>
      <w:r>
        <w:rPr>
          <w:rFonts w:hint="eastAsia" w:ascii="宋体" w:hAnsi="宋体" w:cs="宋体"/>
          <w:b/>
          <w:color w:val="auto"/>
          <w:sz w:val="22"/>
          <w:highlight w:val="none"/>
        </w:rPr>
        <w:t>▲供应商须具有良好的商业信誉：</w:t>
      </w:r>
    </w:p>
    <w:p w14:paraId="1EAC5E08">
      <w:pPr>
        <w:tabs>
          <w:tab w:val="left" w:pos="2352"/>
        </w:tabs>
        <w:autoSpaceDE w:val="0"/>
        <w:autoSpaceDN w:val="0"/>
        <w:adjustRightInd w:val="0"/>
        <w:spacing w:line="400" w:lineRule="atLeast"/>
        <w:ind w:firstLine="446" w:firstLineChars="200"/>
        <w:textAlignment w:val="bottom"/>
        <w:rPr>
          <w:rFonts w:ascii="宋体"/>
          <w:b/>
          <w:color w:val="auto"/>
          <w:sz w:val="22"/>
          <w:highlight w:val="none"/>
          <w:u w:val="single"/>
        </w:rPr>
      </w:pPr>
      <w:r>
        <w:rPr>
          <w:rFonts w:ascii="宋体" w:hAnsi="宋体"/>
          <w:b/>
          <w:color w:val="auto"/>
          <w:sz w:val="22"/>
          <w:highlight w:val="none"/>
          <w:u w:val="single"/>
        </w:rPr>
        <w:t>1</w:t>
      </w:r>
      <w:r>
        <w:rPr>
          <w:rFonts w:hint="eastAsia" w:ascii="宋体" w:hAnsi="宋体"/>
          <w:b/>
          <w:color w:val="auto"/>
          <w:sz w:val="22"/>
          <w:highlight w:val="none"/>
          <w:u w:val="single"/>
        </w:rPr>
        <w:t>）供应商在国家企业信用信息公示系统网：（http://www.gsxt.gov.cn/index.html）无严重违法企业记录。</w:t>
      </w:r>
    </w:p>
    <w:p w14:paraId="116CE0B0">
      <w:pPr>
        <w:tabs>
          <w:tab w:val="left" w:pos="2352"/>
        </w:tabs>
        <w:autoSpaceDE w:val="0"/>
        <w:autoSpaceDN w:val="0"/>
        <w:adjustRightInd w:val="0"/>
        <w:spacing w:line="400" w:lineRule="atLeast"/>
        <w:ind w:firstLine="446" w:firstLineChars="200"/>
        <w:textAlignment w:val="bottom"/>
        <w:rPr>
          <w:rFonts w:ascii="宋体"/>
          <w:b/>
          <w:color w:val="auto"/>
          <w:sz w:val="22"/>
          <w:highlight w:val="none"/>
          <w:u w:val="single"/>
        </w:rPr>
      </w:pPr>
      <w:r>
        <w:rPr>
          <w:rFonts w:ascii="宋体" w:hAnsi="宋体"/>
          <w:b/>
          <w:color w:val="auto"/>
          <w:sz w:val="22"/>
          <w:highlight w:val="none"/>
          <w:u w:val="single"/>
        </w:rPr>
        <w:t>2</w:t>
      </w:r>
      <w:r>
        <w:rPr>
          <w:rFonts w:hint="eastAsia" w:ascii="宋体" w:hAnsi="宋体"/>
          <w:b/>
          <w:color w:val="auto"/>
          <w:sz w:val="22"/>
          <w:highlight w:val="none"/>
          <w:u w:val="single"/>
        </w:rPr>
        <w:t>）供应商在中国执行信息公开网（http://zxgk.court.gov.cn/）无失信信息记录。</w:t>
      </w:r>
    </w:p>
    <w:p w14:paraId="0391FB56">
      <w:pPr>
        <w:tabs>
          <w:tab w:val="left" w:pos="1069"/>
          <w:tab w:val="left" w:pos="2352"/>
        </w:tabs>
        <w:autoSpaceDE w:val="0"/>
        <w:autoSpaceDN w:val="0"/>
        <w:adjustRightInd w:val="0"/>
        <w:spacing w:line="400" w:lineRule="atLeast"/>
        <w:ind w:firstLine="446" w:firstLineChars="200"/>
        <w:textAlignment w:val="bottom"/>
        <w:rPr>
          <w:rFonts w:ascii="宋体" w:hAnsi="宋体" w:cs="宋体"/>
          <w:b/>
          <w:color w:val="auto"/>
          <w:sz w:val="22"/>
          <w:highlight w:val="none"/>
          <w:u w:val="single"/>
        </w:rPr>
      </w:pPr>
      <w:r>
        <w:rPr>
          <w:rFonts w:ascii="宋体" w:hAnsi="宋体"/>
          <w:b/>
          <w:color w:val="auto"/>
          <w:sz w:val="22"/>
          <w:highlight w:val="none"/>
          <w:u w:val="single"/>
        </w:rPr>
        <w:t>3</w:t>
      </w:r>
      <w:r>
        <w:rPr>
          <w:rFonts w:hint="eastAsia" w:ascii="宋体" w:hAnsi="宋体"/>
          <w:b/>
          <w:color w:val="auto"/>
          <w:sz w:val="22"/>
          <w:highlight w:val="none"/>
          <w:u w:val="single"/>
        </w:rPr>
        <w:t>）供应商在中国政府采购网（</w:t>
      </w:r>
      <w:r>
        <w:rPr>
          <w:rFonts w:ascii="宋体" w:hAnsi="宋体"/>
          <w:b/>
          <w:color w:val="auto"/>
          <w:sz w:val="22"/>
          <w:highlight w:val="none"/>
          <w:u w:val="single"/>
        </w:rPr>
        <w:t>http://www.ccgp.gov.cn/cr/list</w:t>
      </w:r>
      <w:r>
        <w:rPr>
          <w:rFonts w:hint="eastAsia" w:ascii="宋体" w:hAnsi="宋体"/>
          <w:b/>
          <w:color w:val="auto"/>
          <w:sz w:val="22"/>
          <w:highlight w:val="none"/>
          <w:u w:val="single"/>
        </w:rPr>
        <w:t>）无严重违法行为记录</w:t>
      </w:r>
      <w:r>
        <w:rPr>
          <w:rFonts w:hint="eastAsia" w:ascii="宋体" w:hAnsi="宋体" w:cs="宋体"/>
          <w:b/>
          <w:color w:val="auto"/>
          <w:sz w:val="22"/>
          <w:highlight w:val="none"/>
          <w:u w:val="single"/>
        </w:rPr>
        <w:t>。</w:t>
      </w:r>
    </w:p>
    <w:p w14:paraId="0454F599">
      <w:pPr>
        <w:widowControl/>
        <w:tabs>
          <w:tab w:val="left" w:pos="1069"/>
          <w:tab w:val="left" w:pos="2352"/>
        </w:tabs>
        <w:snapToGrid w:val="0"/>
        <w:spacing w:line="400" w:lineRule="atLeast"/>
        <w:ind w:firstLine="446" w:firstLineChars="200"/>
        <w:jc w:val="left"/>
        <w:rPr>
          <w:rFonts w:ascii="宋体" w:hAnsi="宋体" w:cs="宋体"/>
          <w:b/>
          <w:color w:val="auto"/>
          <w:sz w:val="22"/>
          <w:highlight w:val="none"/>
          <w:u w:val="single"/>
        </w:rPr>
      </w:pPr>
      <w:r>
        <w:rPr>
          <w:rFonts w:hint="eastAsia" w:ascii="宋体" w:hAnsi="宋体" w:cs="宋体"/>
          <w:b/>
          <w:color w:val="auto"/>
          <w:sz w:val="22"/>
          <w:highlight w:val="none"/>
          <w:u w:val="single"/>
        </w:rPr>
        <w:t>4）未被各级财政部门列入政府采购黑名单或被各级财政部门禁止参加政府采购项目投标。</w:t>
      </w:r>
      <w:r>
        <w:rPr>
          <w:rFonts w:hint="eastAsia" w:ascii="宋体" w:hAnsi="宋体" w:cs="宋体"/>
          <w:color w:val="auto"/>
          <w:sz w:val="22"/>
          <w:highlight w:val="none"/>
        </w:rPr>
        <w:t>▲</w:t>
      </w:r>
      <w:r>
        <w:rPr>
          <w:rFonts w:hint="eastAsia" w:ascii="宋体" w:hAnsi="宋体" w:cs="宋体"/>
          <w:b/>
          <w:color w:val="auto"/>
          <w:sz w:val="22"/>
          <w:highlight w:val="none"/>
          <w:u w:val="single"/>
        </w:rPr>
        <w:t>如供应商有上述情形并参与本项目投标的，一经查实，其投标做无效投标处理。</w:t>
      </w:r>
    </w:p>
    <w:p w14:paraId="4D9941E0">
      <w:pPr>
        <w:widowControl/>
        <w:tabs>
          <w:tab w:val="left" w:pos="1069"/>
          <w:tab w:val="left" w:pos="2352"/>
        </w:tabs>
        <w:snapToGrid w:val="0"/>
        <w:spacing w:line="380" w:lineRule="exact"/>
        <w:ind w:firstLine="446" w:firstLineChars="200"/>
        <w:rPr>
          <w:rFonts w:ascii="宋体" w:hAnsi="宋体" w:cs="宋体"/>
          <w:color w:val="auto"/>
          <w:sz w:val="22"/>
          <w:highlight w:val="none"/>
          <w:u w:val="single"/>
        </w:rPr>
      </w:pPr>
      <w:r>
        <w:rPr>
          <w:rFonts w:hint="eastAsia" w:ascii="宋体" w:hAnsi="宋体" w:cs="宋体"/>
          <w:b/>
          <w:color w:val="auto"/>
          <w:sz w:val="22"/>
          <w:highlight w:val="none"/>
        </w:rPr>
        <w:t>9.</w:t>
      </w:r>
      <w:r>
        <w:rPr>
          <w:rFonts w:hint="eastAsia" w:ascii="宋体" w:hAnsi="宋体" w:cs="宋体"/>
          <w:color w:val="auto"/>
          <w:sz w:val="22"/>
          <w:highlight w:val="none"/>
          <w:u w:val="single"/>
        </w:rPr>
        <w:t>本项目采用资格后审，符合资格要求的供应商均可在本公告附件下载竞争性磋商文件，并按竞争性磋商文件规定的时间、地点递交投标（响应）文件（竞争性磋商文件下载网址：浙江政府采购网（http://zfcg.czt.zj.gov.cn/）,竞争性磋商文件如有补充更正均见浙江政府采购网http://zfcg.czt.zj.gov.cn//。供应商须在投标截止前自行查看是否有补充、更正文件，并按补充、更正文件要求投标，否则责任自负。</w:t>
      </w:r>
    </w:p>
    <w:p w14:paraId="315378B2">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rPr>
        <w:t>10</w:t>
      </w:r>
      <w:r>
        <w:rPr>
          <w:rFonts w:hint="eastAsia" w:ascii="宋体" w:hAnsi="宋体" w:cs="宋体"/>
          <w:color w:val="auto"/>
          <w:sz w:val="22"/>
          <w:highlight w:val="none"/>
          <w:lang w:val="zh-CN"/>
        </w:rPr>
        <w:t>.▲本项目采用竞争性磋商采购方式进行采购，在磋商过程中，评审小组可以根据竞争性磋商文件和磋商情况实质性变动采购需求中的技术、服务要求以及合同草案条款，但不得变动竞争性磋商文件中的其他内容。已提交投标（响应）文件的供应商，在提交最终报价之前，可以根据磋商情况退出磋商。</w:t>
      </w:r>
    </w:p>
    <w:p w14:paraId="54A3B987">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lang w:val="zh-CN"/>
        </w:rPr>
      </w:pPr>
      <w:bookmarkStart w:id="8" w:name="_Toc6226_WPSOffice_Level2"/>
      <w:r>
        <w:rPr>
          <w:rFonts w:hint="eastAsia" w:ascii="宋体" w:hAnsi="宋体" w:cs="宋体"/>
          <w:b/>
          <w:color w:val="auto"/>
          <w:sz w:val="22"/>
          <w:highlight w:val="none"/>
        </w:rPr>
        <w:t>二</w:t>
      </w:r>
      <w:r>
        <w:rPr>
          <w:rFonts w:hint="eastAsia" w:ascii="宋体" w:hAnsi="宋体" w:cs="宋体"/>
          <w:b/>
          <w:color w:val="auto"/>
          <w:sz w:val="22"/>
          <w:highlight w:val="none"/>
          <w:lang w:val="zh-CN"/>
        </w:rPr>
        <w:t>、竞争性磋商文件</w:t>
      </w:r>
      <w:bookmarkEnd w:id="8"/>
    </w:p>
    <w:p w14:paraId="514B8023">
      <w:pPr>
        <w:tabs>
          <w:tab w:val="left" w:pos="1069"/>
          <w:tab w:val="left" w:pos="2352"/>
        </w:tabs>
        <w:spacing w:line="400" w:lineRule="atLeast"/>
        <w:ind w:firstLine="446" w:firstLineChars="200"/>
        <w:rPr>
          <w:rFonts w:ascii="宋体" w:hAnsi="宋体" w:cs="宋体"/>
          <w:color w:val="auto"/>
          <w:sz w:val="22"/>
          <w:highlight w:val="none"/>
        </w:rPr>
      </w:pPr>
      <w:bookmarkStart w:id="9" w:name="_Toc24610_WPSOffice_Level3"/>
      <w:r>
        <w:rPr>
          <w:rFonts w:hint="eastAsia" w:ascii="宋体" w:hAnsi="宋体" w:cs="宋体"/>
          <w:color w:val="auto"/>
          <w:sz w:val="22"/>
          <w:highlight w:val="none"/>
          <w:lang w:val="zh-CN"/>
        </w:rPr>
        <w:t>1.竞争性磋商文件</w:t>
      </w:r>
      <w:bookmarkEnd w:id="9"/>
    </w:p>
    <w:p w14:paraId="258B84D3">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竞争性磋商文件的发放</w:t>
      </w:r>
    </w:p>
    <w:p w14:paraId="7E6620DD">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本项目投标供应商直接</w:t>
      </w:r>
      <w:r>
        <w:rPr>
          <w:rFonts w:hint="eastAsia" w:ascii="宋体" w:hAnsi="宋体" w:cs="宋体"/>
          <w:color w:val="auto"/>
          <w:sz w:val="22"/>
          <w:highlight w:val="none"/>
        </w:rPr>
        <w:t>在</w:t>
      </w:r>
      <w:r>
        <w:rPr>
          <w:rFonts w:hint="eastAsia" w:ascii="宋体" w:hAnsi="宋体" w:cs="宋体"/>
          <w:color w:val="auto"/>
          <w:sz w:val="22"/>
          <w:highlight w:val="none"/>
          <w:lang w:val="zh-CN"/>
        </w:rPr>
        <w:t>网上</w:t>
      </w:r>
      <w:r>
        <w:rPr>
          <w:rFonts w:hint="eastAsia" w:ascii="宋体" w:hAnsi="宋体" w:cs="宋体"/>
          <w:color w:val="auto"/>
          <w:sz w:val="22"/>
          <w:highlight w:val="none"/>
        </w:rPr>
        <w:t>下载</w:t>
      </w:r>
      <w:r>
        <w:rPr>
          <w:rFonts w:hint="eastAsia" w:ascii="宋体" w:hAnsi="宋体" w:cs="宋体"/>
          <w:color w:val="auto"/>
          <w:sz w:val="22"/>
          <w:highlight w:val="none"/>
          <w:lang w:val="zh-CN"/>
        </w:rPr>
        <w:t>竞争性磋商文件。</w:t>
      </w:r>
    </w:p>
    <w:p w14:paraId="23337320">
      <w:pPr>
        <w:tabs>
          <w:tab w:val="left" w:pos="1069"/>
          <w:tab w:val="left" w:pos="2352"/>
        </w:tabs>
        <w:autoSpaceDE w:val="0"/>
        <w:autoSpaceDN w:val="0"/>
        <w:adjustRightInd w:val="0"/>
        <w:spacing w:line="400" w:lineRule="atLeast"/>
        <w:ind w:firstLine="446" w:firstLineChars="200"/>
        <w:textAlignment w:val="bottom"/>
        <w:outlineLvl w:val="1"/>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竞争性磋商文件约束力</w:t>
      </w:r>
    </w:p>
    <w:p w14:paraId="54BD7CE5">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u w:val="single"/>
          <w:lang w:val="zh-CN"/>
        </w:rPr>
      </w:pPr>
      <w:r>
        <w:rPr>
          <w:rFonts w:hint="eastAsia" w:ascii="宋体" w:hAnsi="宋体" w:cs="宋体"/>
          <w:b/>
          <w:color w:val="auto"/>
          <w:sz w:val="22"/>
          <w:highlight w:val="none"/>
          <w:u w:val="single"/>
          <w:lang w:val="zh-CN"/>
        </w:rPr>
        <w:t>供应商</w:t>
      </w:r>
      <w:r>
        <w:rPr>
          <w:rFonts w:hint="eastAsia" w:ascii="宋体" w:hAnsi="宋体" w:cs="宋体"/>
          <w:b/>
          <w:color w:val="auto"/>
          <w:sz w:val="22"/>
          <w:highlight w:val="none"/>
          <w:u w:val="single"/>
        </w:rPr>
        <w:t>一旦获取了本项目竞争性磋商文件，在质疑期内未提出质疑，并参加投标，即被认为接受了本竞争性磋商文件中所有条款和规定。</w:t>
      </w:r>
    </w:p>
    <w:p w14:paraId="5D47950A">
      <w:pPr>
        <w:tabs>
          <w:tab w:val="left" w:pos="1069"/>
          <w:tab w:val="left" w:pos="2352"/>
        </w:tabs>
        <w:autoSpaceDE w:val="0"/>
        <w:autoSpaceDN w:val="0"/>
        <w:adjustRightInd w:val="0"/>
        <w:spacing w:line="400" w:lineRule="atLeast"/>
        <w:ind w:firstLine="669" w:firstLineChars="300"/>
        <w:rPr>
          <w:rFonts w:ascii="宋体" w:hAnsi="宋体" w:cs="宋体"/>
          <w:color w:val="auto"/>
          <w:sz w:val="22"/>
          <w:highlight w:val="none"/>
          <w:lang w:val="zh-CN"/>
        </w:rPr>
      </w:pPr>
      <w:bookmarkStart w:id="10" w:name="_Toc9317_WPSOffice_Level3"/>
      <w:r>
        <w:rPr>
          <w:rFonts w:hint="eastAsia" w:ascii="宋体" w:hAnsi="宋体" w:cs="宋体"/>
          <w:color w:val="auto"/>
          <w:sz w:val="22"/>
          <w:highlight w:val="none"/>
          <w:lang w:val="zh-CN"/>
        </w:rPr>
        <w:t>2.竞争性磋商文件的澄清</w:t>
      </w:r>
      <w:bookmarkEnd w:id="10"/>
    </w:p>
    <w:p w14:paraId="650E62A5">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6BD898CF">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bookmarkStart w:id="11" w:name="_Toc6226_WPSOffice_Level3"/>
      <w:r>
        <w:rPr>
          <w:rFonts w:hint="eastAsia" w:ascii="宋体" w:hAnsi="宋体" w:cs="宋体"/>
          <w:color w:val="auto"/>
          <w:sz w:val="22"/>
          <w:highlight w:val="none"/>
          <w:lang w:val="zh-CN"/>
        </w:rPr>
        <w:t>3.竞争性磋商文件的修改</w:t>
      </w:r>
      <w:bookmarkEnd w:id="11"/>
    </w:p>
    <w:p w14:paraId="67E1ABCC">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3.1</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在投标截止时间前，采购人或采购机构有权修改竞争性磋商文件，并通知供应商。补充文件作为竞争性磋商文件的补充和组成部分，对所有供应商均有约束力。</w:t>
      </w:r>
    </w:p>
    <w:p w14:paraId="516F82D1">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lang w:val="zh-CN"/>
        </w:rPr>
      </w:pPr>
      <w:r>
        <w:rPr>
          <w:rFonts w:hint="eastAsia" w:ascii="宋体" w:hAnsi="宋体" w:cs="宋体"/>
          <w:color w:val="auto"/>
          <w:sz w:val="22"/>
          <w:highlight w:val="none"/>
          <w:lang w:val="zh-CN"/>
        </w:rPr>
        <w:t>3.2</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为使供应商有足够的时间按竞争性磋商文件要求修正投标（响应）文件，采购人按相关规定推迟投标截止时间和开标时间，并将此变更通知放至相关网站公示。</w:t>
      </w:r>
    </w:p>
    <w:p w14:paraId="6A0724FC">
      <w:pPr>
        <w:tabs>
          <w:tab w:val="left" w:pos="1069"/>
          <w:tab w:val="left" w:pos="2352"/>
        </w:tabs>
        <w:autoSpaceDE w:val="0"/>
        <w:autoSpaceDN w:val="0"/>
        <w:adjustRightInd w:val="0"/>
        <w:spacing w:line="400" w:lineRule="atLeast"/>
        <w:ind w:firstLine="446" w:firstLineChars="200"/>
        <w:rPr>
          <w:rFonts w:ascii="宋体" w:hAnsi="宋体" w:cs="宋体"/>
          <w:b/>
          <w:color w:val="auto"/>
          <w:sz w:val="22"/>
          <w:highlight w:val="none"/>
          <w:lang w:val="zh-CN"/>
        </w:rPr>
      </w:pPr>
      <w:bookmarkStart w:id="12" w:name="_Toc4378_WPSOffice_Level2"/>
      <w:r>
        <w:rPr>
          <w:rFonts w:hint="eastAsia" w:ascii="宋体" w:hAnsi="宋体" w:cs="宋体"/>
          <w:b/>
          <w:color w:val="auto"/>
          <w:sz w:val="22"/>
          <w:highlight w:val="none"/>
        </w:rPr>
        <w:t>三</w:t>
      </w:r>
      <w:r>
        <w:rPr>
          <w:rFonts w:hint="eastAsia" w:ascii="宋体" w:hAnsi="宋体" w:cs="宋体"/>
          <w:b/>
          <w:color w:val="auto"/>
          <w:sz w:val="22"/>
          <w:highlight w:val="none"/>
          <w:lang w:val="zh-CN"/>
        </w:rPr>
        <w:t>、</w:t>
      </w:r>
      <w:bookmarkEnd w:id="12"/>
      <w:r>
        <w:rPr>
          <w:rFonts w:hint="eastAsia" w:ascii="宋体" w:hAnsi="宋体" w:cs="宋体"/>
          <w:b/>
          <w:color w:val="auto"/>
          <w:sz w:val="22"/>
          <w:highlight w:val="none"/>
          <w:lang w:val="zh-CN"/>
        </w:rPr>
        <w:t>投标（响应）文件</w:t>
      </w:r>
    </w:p>
    <w:p w14:paraId="4BB8F0C5">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1.投标（响应）文件</w:t>
      </w:r>
    </w:p>
    <w:p w14:paraId="2218990C">
      <w:pPr>
        <w:tabs>
          <w:tab w:val="left" w:pos="1069"/>
          <w:tab w:val="left" w:pos="2352"/>
        </w:tabs>
        <w:autoSpaceDE w:val="0"/>
        <w:autoSpaceDN w:val="0"/>
        <w:adjustRightInd w:val="0"/>
        <w:spacing w:line="40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1.1</w:t>
      </w:r>
      <w:r>
        <w:rPr>
          <w:rFonts w:hint="eastAsia" w:ascii="宋体" w:hAnsi="宋体" w:cs="宋体"/>
          <w:color w:val="auto"/>
          <w:sz w:val="22"/>
          <w:highlight w:val="none"/>
        </w:rPr>
        <w:t xml:space="preserve"> 供应商应仔细阅读竞争性磋商文件中的所有内容，按照竞争性磋商文件要求，详细编制投标（响应）文件。并对竞争性磋商文件的要求做出实质上响应。实质上响应的报价应该是与竞争性磋商文件要求没有重大偏离的投标（响应）文件。未实质上响应的投标（响应）文件将被拒绝，但允许供应商在基本满足采购要求的前提下出现的微小差异。</w:t>
      </w:r>
    </w:p>
    <w:p w14:paraId="1435B989">
      <w:pPr>
        <w:tabs>
          <w:tab w:val="left" w:pos="1069"/>
          <w:tab w:val="left" w:pos="2352"/>
        </w:tabs>
        <w:autoSpaceDE w:val="0"/>
        <w:autoSpaceDN w:val="0"/>
        <w:adjustRightInd w:val="0"/>
        <w:spacing w:line="40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lang w:val="zh-CN"/>
        </w:rPr>
        <w:t>1.2</w:t>
      </w:r>
      <w:r>
        <w:rPr>
          <w:rFonts w:hint="eastAsia" w:ascii="宋体" w:hAnsi="宋体" w:cs="宋体"/>
          <w:color w:val="auto"/>
          <w:sz w:val="22"/>
          <w:highlight w:val="none"/>
        </w:rPr>
        <w:t xml:space="preserve"> 供应商必须按竞争性磋商文件的要求提供相关技术参数、资料，包括采用的计量单位，并保证投标（响应）文件的正确性和真实性。投标（响应）文件全部内容应保持一致，否则可能导致不利于其投标的评定甚至被拒绝。技术和商务如有偏离均应填写偏离表。</w:t>
      </w:r>
    </w:p>
    <w:p w14:paraId="1684DBE1">
      <w:pPr>
        <w:tabs>
          <w:tab w:val="left" w:pos="1069"/>
          <w:tab w:val="left" w:pos="2352"/>
        </w:tabs>
        <w:autoSpaceDE w:val="0"/>
        <w:autoSpaceDN w:val="0"/>
        <w:adjustRightIn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1.3</w:t>
      </w:r>
      <w:r>
        <w:rPr>
          <w:rFonts w:hint="eastAsia" w:ascii="宋体" w:hAnsi="宋体" w:cs="宋体"/>
          <w:color w:val="auto"/>
          <w:sz w:val="22"/>
          <w:highlight w:val="none"/>
        </w:rPr>
        <w:t xml:space="preserve"> </w:t>
      </w:r>
      <w:r>
        <w:rPr>
          <w:rFonts w:hint="eastAsia" w:ascii="宋体" w:hAnsi="宋体" w:cs="宋体"/>
          <w:color w:val="auto"/>
          <w:sz w:val="22"/>
          <w:highlight w:val="none"/>
          <w:lang w:val="zh-CN"/>
        </w:rPr>
        <w:t>供应商应仔细阅读竞争性磋商文件中的所有内容，按照竞争性磋商文件要求，详细编制投标（响应）文件，所有文件资料必须是针对本次投标。不按竞争性磋商文件的要求提供的投标（响应）文件可能导致被拒绝。</w:t>
      </w:r>
    </w:p>
    <w:p w14:paraId="5106F7B5">
      <w:pPr>
        <w:tabs>
          <w:tab w:val="left" w:pos="1069"/>
          <w:tab w:val="left" w:pos="2352"/>
        </w:tabs>
        <w:autoSpaceDE w:val="0"/>
        <w:autoSpaceDN w:val="0"/>
        <w:adjustRightInd w:val="0"/>
        <w:snapToGrid w:val="0"/>
        <w:spacing w:line="400" w:lineRule="atLeas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2.投标（响应）文件的组成</w:t>
      </w:r>
    </w:p>
    <w:p w14:paraId="6495B994">
      <w:pPr>
        <w:tabs>
          <w:tab w:val="left" w:pos="1069"/>
          <w:tab w:val="left" w:pos="2352"/>
        </w:tabs>
        <w:autoSpaceDE w:val="0"/>
        <w:autoSpaceDN w:val="0"/>
        <w:adjustRightInd w:val="0"/>
        <w:snapToGrid w:val="0"/>
        <w:spacing w:line="400" w:lineRule="atLeast"/>
        <w:ind w:firstLine="446" w:firstLineChars="200"/>
        <w:rPr>
          <w:rFonts w:ascii="宋体" w:hAnsi="宋体" w:cs="宋体"/>
          <w:b/>
          <w:bCs/>
          <w:color w:val="auto"/>
          <w:sz w:val="22"/>
          <w:highlight w:val="none"/>
          <w:u w:val="single"/>
          <w:lang w:val="zh-CN"/>
        </w:rPr>
      </w:pPr>
      <w:r>
        <w:rPr>
          <w:rFonts w:hint="eastAsia" w:ascii="宋体" w:hAnsi="宋体" w:cs="宋体"/>
          <w:b/>
          <w:bCs/>
          <w:color w:val="auto"/>
          <w:sz w:val="22"/>
          <w:highlight w:val="none"/>
          <w:u w:val="single"/>
        </w:rPr>
        <w:t>投标文件由《资格文件》《商务技术文件》《报价文件》三部分组成。</w:t>
      </w:r>
    </w:p>
    <w:p w14:paraId="60FAACF6">
      <w:pPr>
        <w:tabs>
          <w:tab w:val="left" w:pos="1069"/>
          <w:tab w:val="left" w:pos="2352"/>
        </w:tabs>
        <w:autoSpaceDE w:val="0"/>
        <w:autoSpaceDN w:val="0"/>
        <w:adjustRightInd w:val="0"/>
        <w:snapToGrid w:val="0"/>
        <w:spacing w:line="400" w:lineRule="atLeast"/>
        <w:ind w:firstLine="446" w:firstLineChars="200"/>
        <w:rPr>
          <w:rFonts w:ascii="宋体" w:hAnsi="宋体" w:cs="宋体"/>
          <w:b/>
          <w:color w:val="auto"/>
          <w:sz w:val="22"/>
          <w:highlight w:val="none"/>
          <w:lang w:val="zh-CN"/>
        </w:rPr>
      </w:pPr>
      <w:r>
        <w:rPr>
          <w:rFonts w:hint="eastAsia" w:ascii="宋体" w:hAnsi="宋体" w:cs="宋体"/>
          <w:color w:val="auto"/>
          <w:sz w:val="22"/>
          <w:highlight w:val="none"/>
          <w:lang w:val="zh-CN"/>
        </w:rPr>
        <w:t>2.1</w:t>
      </w:r>
      <w:r>
        <w:rPr>
          <w:rFonts w:hint="eastAsia" w:ascii="宋体" w:hAnsi="宋体" w:cs="宋体"/>
          <w:color w:val="auto"/>
          <w:sz w:val="22"/>
          <w:highlight w:val="none"/>
        </w:rPr>
        <w:t xml:space="preserve"> </w:t>
      </w:r>
      <w:r>
        <w:rPr>
          <w:rFonts w:hint="eastAsia" w:ascii="宋体" w:hAnsi="宋体" w:cs="宋体"/>
          <w:b/>
          <w:bCs/>
          <w:color w:val="auto"/>
          <w:sz w:val="22"/>
          <w:highlight w:val="none"/>
        </w:rPr>
        <w:t>《报价文件》</w:t>
      </w:r>
      <w:r>
        <w:rPr>
          <w:rFonts w:hint="eastAsia" w:ascii="宋体" w:hAnsi="宋体" w:cs="宋体"/>
          <w:b/>
          <w:bCs/>
          <w:color w:val="auto"/>
          <w:sz w:val="22"/>
          <w:highlight w:val="none"/>
          <w:lang w:val="zh-CN"/>
        </w:rPr>
        <w:t>组成</w:t>
      </w:r>
    </w:p>
    <w:tbl>
      <w:tblPr>
        <w:tblStyle w:val="26"/>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7EE7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14:paraId="3347DFD3">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bookmarkStart w:id="13" w:name="_Toc132122113"/>
            <w:bookmarkStart w:id="14" w:name="_Toc132122410"/>
            <w:r>
              <w:rPr>
                <w:rFonts w:hint="eastAsia" w:ascii="宋体" w:hAnsi="宋体" w:cs="宋体"/>
                <w:color w:val="auto"/>
                <w:sz w:val="22"/>
                <w:highlight w:val="none"/>
                <w:lang w:val="zh-CN"/>
              </w:rPr>
              <w:t>序号</w:t>
            </w:r>
          </w:p>
        </w:tc>
        <w:tc>
          <w:tcPr>
            <w:tcW w:w="8736" w:type="dxa"/>
          </w:tcPr>
          <w:p w14:paraId="57D0E60F">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w:t>
            </w:r>
            <w:r>
              <w:rPr>
                <w:rFonts w:hint="eastAsia" w:ascii="宋体" w:hAnsi="宋体" w:cs="宋体"/>
                <w:color w:val="auto"/>
                <w:sz w:val="22"/>
                <w:highlight w:val="none"/>
              </w:rPr>
              <w:t>1-2</w:t>
            </w:r>
            <w:r>
              <w:rPr>
                <w:rFonts w:hint="eastAsia" w:ascii="宋体" w:hAnsi="宋体" w:cs="宋体"/>
                <w:color w:val="auto"/>
                <w:sz w:val="22"/>
                <w:highlight w:val="none"/>
                <w:lang w:val="zh-CN"/>
              </w:rPr>
              <w:t>项供应商必须提供，否则不能通过符合性审查的，责任自负）</w:t>
            </w:r>
          </w:p>
        </w:tc>
      </w:tr>
      <w:tr w14:paraId="4033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6B48F7A7">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36" w:type="dxa"/>
          </w:tcPr>
          <w:p w14:paraId="51F62001">
            <w:pPr>
              <w:tabs>
                <w:tab w:val="left" w:pos="1069"/>
                <w:tab w:val="left" w:pos="2352"/>
              </w:tabs>
              <w:autoSpaceDE w:val="0"/>
              <w:autoSpaceDN w:val="0"/>
              <w:adjustRightInd w:val="0"/>
              <w:spacing w:line="430" w:lineRule="atLeast"/>
              <w:textAlignment w:val="bottom"/>
              <w:rPr>
                <w:rFonts w:ascii="宋体" w:hAnsi="宋体" w:cs="宋体"/>
                <w:color w:val="auto"/>
                <w:sz w:val="22"/>
                <w:highlight w:val="none"/>
              </w:rPr>
            </w:pPr>
            <w:r>
              <w:rPr>
                <w:rFonts w:hint="eastAsia" w:ascii="宋体" w:hAnsi="宋体" w:cs="宋体"/>
                <w:color w:val="auto"/>
                <w:sz w:val="22"/>
                <w:highlight w:val="none"/>
              </w:rPr>
              <w:t>开标（报价）一览表（附件一）</w:t>
            </w:r>
          </w:p>
        </w:tc>
      </w:tr>
      <w:tr w14:paraId="7E87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27B21D19">
            <w:pPr>
              <w:numPr>
                <w:ilvl w:val="0"/>
                <w:numId w:val="4"/>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36" w:type="dxa"/>
          </w:tcPr>
          <w:p w14:paraId="26C07992">
            <w:pPr>
              <w:tabs>
                <w:tab w:val="left" w:pos="1069"/>
                <w:tab w:val="left" w:pos="2352"/>
              </w:tabs>
              <w:autoSpaceDE w:val="0"/>
              <w:autoSpaceDN w:val="0"/>
              <w:adjustRightInd w:val="0"/>
              <w:spacing w:line="430" w:lineRule="atLeast"/>
              <w:textAlignment w:val="bottom"/>
              <w:rPr>
                <w:rFonts w:ascii="宋体" w:hAnsi="宋体" w:cs="宋体"/>
                <w:color w:val="auto"/>
                <w:sz w:val="22"/>
                <w:highlight w:val="none"/>
              </w:rPr>
            </w:pPr>
            <w:r>
              <w:rPr>
                <w:rFonts w:hint="eastAsia" w:ascii="宋体" w:hAnsi="宋体" w:cs="宋体"/>
                <w:color w:val="auto"/>
                <w:sz w:val="22"/>
                <w:highlight w:val="none"/>
              </w:rPr>
              <w:t>投标分项报价表（附件二）</w:t>
            </w:r>
          </w:p>
        </w:tc>
      </w:tr>
      <w:bookmarkEnd w:id="13"/>
      <w:bookmarkEnd w:id="14"/>
    </w:tbl>
    <w:p w14:paraId="5585166E">
      <w:pPr>
        <w:tabs>
          <w:tab w:val="left" w:pos="1069"/>
          <w:tab w:val="left" w:pos="2352"/>
        </w:tabs>
        <w:autoSpaceDE w:val="0"/>
        <w:autoSpaceDN w:val="0"/>
        <w:adjustRightInd w:val="0"/>
        <w:snapToGrid w:val="0"/>
        <w:spacing w:line="43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2.2 </w:t>
      </w:r>
      <w:r>
        <w:rPr>
          <w:rFonts w:hint="eastAsia" w:ascii="宋体" w:hAnsi="宋体" w:cs="宋体"/>
          <w:b/>
          <w:bCs/>
          <w:color w:val="auto"/>
          <w:sz w:val="22"/>
          <w:highlight w:val="none"/>
        </w:rPr>
        <w:t>《资格文件》组成</w:t>
      </w:r>
    </w:p>
    <w:tbl>
      <w:tblPr>
        <w:tblStyle w:val="26"/>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17D5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B6A4266">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8747" w:type="dxa"/>
          </w:tcPr>
          <w:p w14:paraId="4F9E5555">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w:t>
            </w:r>
            <w:r>
              <w:rPr>
                <w:rFonts w:hint="eastAsia" w:ascii="宋体" w:hAnsi="宋体" w:cs="宋体"/>
                <w:color w:val="auto"/>
                <w:sz w:val="22"/>
                <w:highlight w:val="none"/>
              </w:rPr>
              <w:t>下列项</w:t>
            </w:r>
            <w:r>
              <w:rPr>
                <w:rFonts w:hint="eastAsia" w:ascii="宋体" w:hAnsi="宋体" w:cs="宋体"/>
                <w:color w:val="auto"/>
                <w:sz w:val="22"/>
                <w:highlight w:val="none"/>
                <w:lang w:val="zh-CN"/>
              </w:rPr>
              <w:t>供应商必须提供，否则不能通过符合性审查的，责任自负）</w:t>
            </w:r>
          </w:p>
        </w:tc>
      </w:tr>
      <w:tr w14:paraId="05E7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5B0F4A68">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475E79E2">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rPr>
              <w:t>供应商的营业执照、税务登记证（如为多证合一仅需提供营业执照）</w:t>
            </w:r>
          </w:p>
        </w:tc>
      </w:tr>
      <w:tr w14:paraId="0B5FE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1EE01F57">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718B6D18">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4"/>
                <w:szCs w:val="24"/>
                <w:highlight w:val="none"/>
              </w:rPr>
              <w:t>符合参加政府采购活动应当具备的一般条件的承诺函（附件三）</w:t>
            </w:r>
          </w:p>
        </w:tc>
      </w:tr>
      <w:tr w14:paraId="36F23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01FD6602">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323353D2">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供应商“信用中国”(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rPr>
              <w:t>www.creditchina.gov.cn</w:t>
            </w:r>
            <w:r>
              <w:rPr>
                <w:rFonts w:hint="eastAsia" w:ascii="宋体" w:hAnsi="宋体" w:cs="宋体"/>
                <w:color w:val="auto"/>
                <w:sz w:val="22"/>
                <w:highlight w:val="none"/>
              </w:rPr>
              <w:fldChar w:fldCharType="end"/>
            </w:r>
            <w:r>
              <w:rPr>
                <w:rFonts w:hint="eastAsia" w:ascii="宋体" w:hAnsi="宋体" w:cs="宋体"/>
                <w:color w:val="auto"/>
                <w:sz w:val="22"/>
                <w:highlight w:val="none"/>
              </w:rPr>
              <w:t>)；“中国政府采购网”（http://www.ccgp.gov.cn/）信用记录网页截图（招标公告发布之日至投标截止时间前均可）</w:t>
            </w:r>
          </w:p>
        </w:tc>
      </w:tr>
      <w:tr w14:paraId="27CB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1BE3896A">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0A0F8C6D">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中小企业（含监狱企业、残疾人福利性单位）提供以下相关的证明材料：</w:t>
            </w:r>
          </w:p>
          <w:p w14:paraId="48C2F8DF">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（1）中小企业</w:t>
            </w:r>
          </w:p>
          <w:p w14:paraId="6F05CB80">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中小企业声明函（原件，加盖供应商公章，格式见招标文件第四部分附件1）</w:t>
            </w:r>
          </w:p>
          <w:p w14:paraId="189CA0E0">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2645C16A">
            <w:pPr>
              <w:tabs>
                <w:tab w:val="left" w:pos="1069"/>
                <w:tab w:val="left" w:pos="2352"/>
              </w:tabs>
              <w:autoSpaceDE w:val="0"/>
              <w:autoSpaceDN w:val="0"/>
              <w:adjustRightInd w:val="0"/>
              <w:spacing w:line="260" w:lineRule="exact"/>
              <w:textAlignment w:val="bottom"/>
              <w:rPr>
                <w:rFonts w:hint="eastAsia" w:ascii="宋体" w:hAnsi="宋体" w:eastAsia="宋体" w:cs="宋体"/>
                <w:color w:val="auto"/>
                <w:sz w:val="22"/>
                <w:highlight w:val="none"/>
                <w:lang w:eastAsia="zh-CN"/>
              </w:rPr>
            </w:pPr>
            <w:r>
              <w:rPr>
                <w:rFonts w:hint="eastAsia" w:ascii="宋体" w:hAnsi="宋体" w:cs="Arial"/>
                <w:color w:val="auto"/>
                <w:sz w:val="22"/>
                <w:highlight w:val="none"/>
              </w:rPr>
              <w:t>（3）残疾人福利性单位声明函（原件，加盖供应商公章，格式见招标文件第四部分附件2）。在政府采购活动中，残疾人福利性单位视同小型、微型企业，享受评审中价格扣除政策。</w:t>
            </w:r>
          </w:p>
        </w:tc>
      </w:tr>
      <w:tr w14:paraId="7C69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62DDD40B">
            <w:pPr>
              <w:numPr>
                <w:ilvl w:val="0"/>
                <w:numId w:val="5"/>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57DDCB55">
            <w:pPr>
              <w:tabs>
                <w:tab w:val="left" w:pos="1069"/>
                <w:tab w:val="left" w:pos="2352"/>
              </w:tabs>
              <w:autoSpaceDE w:val="0"/>
              <w:autoSpaceDN w:val="0"/>
              <w:adjustRightInd w:val="0"/>
              <w:spacing w:line="260" w:lineRule="exact"/>
              <w:textAlignment w:val="bottom"/>
              <w:rPr>
                <w:rFonts w:ascii="宋体" w:hAnsi="宋体" w:cs="宋体"/>
                <w:color w:val="auto"/>
                <w:sz w:val="22"/>
                <w:highlight w:val="none"/>
              </w:rPr>
            </w:pPr>
            <w:r>
              <w:rPr>
                <w:rFonts w:hint="eastAsia" w:ascii="宋体" w:hAnsi="宋体" w:cs="宋体"/>
                <w:color w:val="auto"/>
                <w:sz w:val="22"/>
                <w:highlight w:val="none"/>
              </w:rPr>
              <w:t>法定代表人授权书（附件四）</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若法定代表人直接参与的无需提供此项</w:t>
            </w:r>
            <w:r>
              <w:rPr>
                <w:rFonts w:hint="eastAsia" w:ascii="宋体" w:hAnsi="宋体" w:cs="宋体"/>
                <w:color w:val="auto"/>
                <w:sz w:val="22"/>
                <w:highlight w:val="none"/>
                <w:lang w:eastAsia="zh-CN"/>
              </w:rPr>
              <w:t>）</w:t>
            </w:r>
          </w:p>
        </w:tc>
      </w:tr>
    </w:tbl>
    <w:p w14:paraId="6A83E36A">
      <w:pPr>
        <w:tabs>
          <w:tab w:val="left" w:pos="1069"/>
          <w:tab w:val="left" w:pos="2352"/>
        </w:tabs>
        <w:autoSpaceDE w:val="0"/>
        <w:autoSpaceDN w:val="0"/>
        <w:adjustRightInd w:val="0"/>
        <w:snapToGrid w:val="0"/>
        <w:spacing w:line="430" w:lineRule="atLeas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 xml:space="preserve">2.3 </w:t>
      </w:r>
      <w:r>
        <w:rPr>
          <w:rFonts w:hint="eastAsia" w:ascii="宋体" w:hAnsi="宋体" w:cs="宋体"/>
          <w:b/>
          <w:bCs/>
          <w:color w:val="auto"/>
          <w:sz w:val="22"/>
          <w:highlight w:val="none"/>
        </w:rPr>
        <w:t>《商务技术文件》组成</w:t>
      </w:r>
    </w:p>
    <w:tbl>
      <w:tblPr>
        <w:tblStyle w:val="26"/>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4CF2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E0AD416">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8747" w:type="dxa"/>
          </w:tcPr>
          <w:p w14:paraId="6D2C741D">
            <w:p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r>
              <w:rPr>
                <w:rFonts w:hint="eastAsia" w:ascii="宋体" w:hAnsi="宋体" w:cs="宋体"/>
                <w:color w:val="auto"/>
                <w:sz w:val="22"/>
                <w:highlight w:val="none"/>
                <w:lang w:val="zh-CN"/>
              </w:rPr>
              <w:t>内容（▲序号1</w:t>
            </w:r>
            <w:r>
              <w:rPr>
                <w:rFonts w:hint="eastAsia" w:ascii="宋体" w:hAnsi="宋体" w:cs="宋体"/>
                <w:color w:val="auto"/>
                <w:sz w:val="22"/>
                <w:highlight w:val="none"/>
              </w:rPr>
              <w:t>-6</w:t>
            </w:r>
            <w:r>
              <w:rPr>
                <w:rFonts w:hint="eastAsia" w:ascii="宋体" w:hAnsi="宋体" w:cs="宋体"/>
                <w:color w:val="auto"/>
                <w:sz w:val="22"/>
                <w:highlight w:val="none"/>
                <w:lang w:val="zh-CN"/>
              </w:rPr>
              <w:t>项供应商必须提供，否则不能通过符合性审查的，责任自负）</w:t>
            </w:r>
          </w:p>
        </w:tc>
      </w:tr>
      <w:tr w14:paraId="4843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73" w:type="dxa"/>
          </w:tcPr>
          <w:p w14:paraId="6D9DA61D">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7B19884C">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报价函（附件六）</w:t>
            </w:r>
          </w:p>
        </w:tc>
      </w:tr>
      <w:tr w14:paraId="6EDF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064E7B3">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55124098">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lang w:val="zh-CN"/>
              </w:rPr>
            </w:pPr>
            <w:r>
              <w:rPr>
                <w:rFonts w:hint="eastAsia" w:ascii="宋体" w:hAnsi="宋体" w:cs="宋体"/>
                <w:b/>
                <w:bCs/>
                <w:color w:val="auto"/>
                <w:sz w:val="22"/>
                <w:highlight w:val="none"/>
              </w:rPr>
              <w:t>供应商参与政府采购活动投标资格声明（附件七）</w:t>
            </w:r>
          </w:p>
        </w:tc>
      </w:tr>
      <w:tr w14:paraId="7E62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543E82E">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31AFA051">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法定代表人诚信投标承诺书（附件八）</w:t>
            </w:r>
          </w:p>
        </w:tc>
      </w:tr>
      <w:tr w14:paraId="3E53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41D2FD2">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492BB7DD">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商务偏离表（附件九（一））、技术偏离表（附件九（二））</w:t>
            </w:r>
          </w:p>
        </w:tc>
      </w:tr>
      <w:tr w14:paraId="25FB0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8DBD2F0">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308F6664">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b/>
                <w:bCs/>
                <w:color w:val="auto"/>
                <w:sz w:val="22"/>
                <w:highlight w:val="none"/>
              </w:rPr>
              <w:t>技术方案</w:t>
            </w:r>
          </w:p>
        </w:tc>
      </w:tr>
      <w:tr w14:paraId="4E5C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7EBDAC6">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6871AC00">
            <w:pPr>
              <w:tabs>
                <w:tab w:val="left" w:pos="1069"/>
                <w:tab w:val="left" w:pos="2352"/>
              </w:tabs>
              <w:autoSpaceDE w:val="0"/>
              <w:autoSpaceDN w:val="0"/>
              <w:adjustRightInd w:val="0"/>
              <w:snapToGrid w:val="0"/>
              <w:spacing w:line="430" w:lineRule="atLeast"/>
              <w:rPr>
                <w:rFonts w:ascii="宋体" w:hAnsi="宋体" w:cs="宋体"/>
                <w:b/>
                <w:bCs/>
                <w:color w:val="auto"/>
                <w:sz w:val="22"/>
                <w:highlight w:val="none"/>
              </w:rPr>
            </w:pPr>
            <w:r>
              <w:rPr>
                <w:rFonts w:hint="eastAsia" w:ascii="宋体" w:hAnsi="宋体" w:cs="宋体"/>
                <w:b/>
                <w:bCs/>
                <w:color w:val="auto"/>
                <w:sz w:val="22"/>
                <w:highlight w:val="none"/>
              </w:rPr>
              <w:t>供应商项目服务人员汇总表（附件十）；</w:t>
            </w:r>
          </w:p>
        </w:tc>
      </w:tr>
      <w:tr w14:paraId="1216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102B6310">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61E08762">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项目理解、质量关键点分析 、质量保证措施、服务承诺等</w:t>
            </w:r>
          </w:p>
        </w:tc>
      </w:tr>
      <w:tr w14:paraId="360E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F294A4C">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0AB79A88">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距离采购人最近的服务机构的详细介绍、服务机构总负责人，电话，地址，技术力量配置等；</w:t>
            </w:r>
          </w:p>
        </w:tc>
      </w:tr>
      <w:tr w14:paraId="7860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AC1CE77">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0F3F611F">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供应商质量体系认证证书、供应商环境体系认证证书、供应商职业健康体系认证证书（（如有则提供）</w:t>
            </w:r>
          </w:p>
        </w:tc>
      </w:tr>
      <w:tr w14:paraId="5413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B333A71">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0BD75B44">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供应商项目业绩清单，如有（附件十）</w:t>
            </w:r>
          </w:p>
        </w:tc>
      </w:tr>
      <w:tr w14:paraId="765D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42F6BF3">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vAlign w:val="center"/>
          </w:tcPr>
          <w:p w14:paraId="3ABE2587">
            <w:pPr>
              <w:tabs>
                <w:tab w:val="left" w:pos="1069"/>
                <w:tab w:val="left" w:pos="2352"/>
              </w:tabs>
              <w:autoSpaceDE w:val="0"/>
              <w:autoSpaceDN w:val="0"/>
              <w:adjustRightInd w:val="0"/>
              <w:snapToGrid w:val="0"/>
              <w:spacing w:line="430" w:lineRule="atLeast"/>
              <w:jc w:val="left"/>
              <w:rPr>
                <w:rFonts w:ascii="宋体" w:hAnsi="宋体" w:cs="宋体"/>
                <w:color w:val="auto"/>
                <w:sz w:val="22"/>
                <w:highlight w:val="none"/>
              </w:rPr>
            </w:pPr>
            <w:r>
              <w:rPr>
                <w:rFonts w:hint="eastAsia" w:ascii="宋体" w:hAnsi="宋体" w:cs="宋体"/>
                <w:color w:val="auto"/>
                <w:sz w:val="22"/>
                <w:highlight w:val="none"/>
              </w:rPr>
              <w:t>供应商具有的其它相关资质证书（如有则提供）</w:t>
            </w:r>
          </w:p>
        </w:tc>
      </w:tr>
      <w:tr w14:paraId="0F7C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0346881">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27751066">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根据竞争性磋商文件中的采购内容与技术要求、评标细则，需要提供的其它文件和资料。</w:t>
            </w:r>
          </w:p>
        </w:tc>
      </w:tr>
      <w:tr w14:paraId="09C3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99A09C9">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6E607B66">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其它供应商须说明的资料（如有则提供）</w:t>
            </w:r>
          </w:p>
        </w:tc>
      </w:tr>
      <w:tr w14:paraId="34DA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882373C">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58581207">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供应商应编制目录索引，注明项目所在投标文件页码。</w:t>
            </w:r>
          </w:p>
        </w:tc>
      </w:tr>
      <w:tr w14:paraId="4E67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F6974BA">
            <w:pPr>
              <w:numPr>
                <w:ilvl w:val="0"/>
                <w:numId w:val="6"/>
              </w:numPr>
              <w:tabs>
                <w:tab w:val="left" w:pos="1069"/>
                <w:tab w:val="left" w:pos="2352"/>
              </w:tabs>
              <w:autoSpaceDE w:val="0"/>
              <w:autoSpaceDN w:val="0"/>
              <w:adjustRightInd w:val="0"/>
              <w:snapToGrid w:val="0"/>
              <w:spacing w:line="430" w:lineRule="atLeast"/>
              <w:rPr>
                <w:rFonts w:ascii="宋体" w:hAnsi="宋体" w:cs="宋体"/>
                <w:color w:val="auto"/>
                <w:sz w:val="22"/>
                <w:highlight w:val="none"/>
                <w:lang w:val="zh-CN"/>
              </w:rPr>
            </w:pPr>
          </w:p>
        </w:tc>
        <w:tc>
          <w:tcPr>
            <w:tcW w:w="8747" w:type="dxa"/>
          </w:tcPr>
          <w:p w14:paraId="467D1189">
            <w:pPr>
              <w:tabs>
                <w:tab w:val="left" w:pos="1069"/>
                <w:tab w:val="left" w:pos="2352"/>
              </w:tabs>
              <w:autoSpaceDE w:val="0"/>
              <w:autoSpaceDN w:val="0"/>
              <w:adjustRightInd w:val="0"/>
              <w:snapToGrid w:val="0"/>
              <w:spacing w:line="430" w:lineRule="atLeast"/>
              <w:rPr>
                <w:rFonts w:ascii="宋体" w:hAnsi="宋体" w:cs="宋体"/>
                <w:color w:val="auto"/>
                <w:sz w:val="22"/>
                <w:highlight w:val="none"/>
              </w:rPr>
            </w:pPr>
            <w:r>
              <w:rPr>
                <w:rFonts w:hint="eastAsia" w:ascii="宋体" w:hAnsi="宋体" w:cs="宋体"/>
                <w:color w:val="auto"/>
                <w:sz w:val="22"/>
                <w:highlight w:val="none"/>
              </w:rPr>
              <w:t>政府采购活动现场确认声明书（附件十一）</w:t>
            </w:r>
          </w:p>
        </w:tc>
      </w:tr>
    </w:tbl>
    <w:p w14:paraId="1CFD1E1D">
      <w:pPr>
        <w:tabs>
          <w:tab w:val="left" w:pos="1069"/>
          <w:tab w:val="left" w:pos="2352"/>
        </w:tabs>
        <w:rPr>
          <w:rFonts w:ascii="宋体" w:hAnsi="宋体" w:cs="宋体"/>
          <w:color w:val="auto"/>
          <w:highlight w:val="none"/>
        </w:rPr>
      </w:pPr>
    </w:p>
    <w:p w14:paraId="3C1F6280">
      <w:pPr>
        <w:tabs>
          <w:tab w:val="left" w:pos="1069"/>
          <w:tab w:val="left" w:pos="2352"/>
        </w:tabs>
        <w:autoSpaceDE w:val="0"/>
        <w:autoSpaceDN w:val="0"/>
        <w:adjustRightInd w:val="0"/>
        <w:snapToGrid w:val="0"/>
        <w:spacing w:line="400" w:lineRule="exact"/>
        <w:textAlignment w:val="bottom"/>
        <w:rPr>
          <w:rFonts w:ascii="宋体" w:hAnsi="宋体" w:cs="宋体"/>
          <w:color w:val="auto"/>
          <w:sz w:val="22"/>
          <w:highlight w:val="none"/>
        </w:rPr>
      </w:pPr>
      <w:r>
        <w:rPr>
          <w:rFonts w:hint="eastAsia" w:ascii="宋体" w:hAnsi="宋体" w:cs="宋体"/>
          <w:color w:val="auto"/>
          <w:sz w:val="22"/>
          <w:highlight w:val="none"/>
        </w:rPr>
        <w:t>3.投标内容填写说明</w:t>
      </w:r>
    </w:p>
    <w:p w14:paraId="7E748E18">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供应商应按照（上表）所列出的内容及格式组成投标文件。</w:t>
      </w:r>
    </w:p>
    <w:p w14:paraId="554D3B22">
      <w:pPr>
        <w:tabs>
          <w:tab w:val="left" w:pos="1069"/>
          <w:tab w:val="left" w:pos="2352"/>
        </w:tabs>
        <w:autoSpaceDE w:val="0"/>
        <w:autoSpaceDN w:val="0"/>
        <w:adjustRightInd w:val="0"/>
        <w:snapToGrid w:val="0"/>
        <w:spacing w:line="400" w:lineRule="exact"/>
        <w:textAlignment w:val="bottom"/>
        <w:rPr>
          <w:rFonts w:ascii="宋体" w:hAnsi="宋体" w:cs="宋体"/>
          <w:color w:val="auto"/>
          <w:sz w:val="22"/>
          <w:highlight w:val="none"/>
        </w:rPr>
      </w:pPr>
      <w:bookmarkStart w:id="15" w:name="_Toc132122115"/>
      <w:bookmarkStart w:id="16" w:name="_Toc132122412"/>
      <w:r>
        <w:rPr>
          <w:rFonts w:hint="eastAsia" w:ascii="宋体" w:hAnsi="宋体" w:cs="宋体"/>
          <w:color w:val="auto"/>
          <w:sz w:val="22"/>
          <w:highlight w:val="none"/>
        </w:rPr>
        <w:t>4.投标报价</w:t>
      </w:r>
      <w:bookmarkEnd w:id="15"/>
      <w:bookmarkEnd w:id="16"/>
    </w:p>
    <w:p w14:paraId="33201E7D">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4.1 供应商应按竞争性磋商文件中《开标（报价）一览表》填写投标报价。</w:t>
      </w:r>
    </w:p>
    <w:p w14:paraId="57DBDBB8">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u w:val="single"/>
        </w:rPr>
      </w:pPr>
      <w:r>
        <w:rPr>
          <w:rFonts w:hint="eastAsia" w:ascii="宋体" w:hAnsi="宋体" w:cs="宋体"/>
          <w:color w:val="auto"/>
          <w:sz w:val="22"/>
          <w:highlight w:val="none"/>
        </w:rPr>
        <w:t>4.2 供应商应在各自技术和商务占优势的基础上并充分考虑本项目的重要性，提供对采购人最优惠的报价。</w:t>
      </w:r>
    </w:p>
    <w:p w14:paraId="22C2E123">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5.采购人要求分类报价是为了方便评标，但在任何情况下不限制采购人以其认为最合适的条款签订合同的权利。</w:t>
      </w:r>
    </w:p>
    <w:p w14:paraId="5436A4F2">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bookmarkStart w:id="17" w:name="_Toc132122414"/>
      <w:bookmarkStart w:id="18" w:name="_Toc132122117"/>
      <w:r>
        <w:rPr>
          <w:rFonts w:hint="eastAsia" w:ascii="宋体" w:hAnsi="宋体" w:cs="宋体"/>
          <w:color w:val="auto"/>
          <w:sz w:val="22"/>
          <w:highlight w:val="none"/>
        </w:rPr>
        <w:t>6.投标（响应）文件的有效期</w:t>
      </w:r>
      <w:bookmarkEnd w:id="17"/>
      <w:bookmarkEnd w:id="18"/>
    </w:p>
    <w:p w14:paraId="6270B7D1">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6.1 自报价截止时间起90天内，投标（响应）文件应保持有效。有效期短于这个规定期限的报价将被拒绝。</w:t>
      </w:r>
    </w:p>
    <w:p w14:paraId="587AB508">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6.2 在特殊情况下，采购人可与供应商协商延长投标（响应）文件的有效期，这种要求和答复均应以书面形式进行。</w:t>
      </w:r>
    </w:p>
    <w:p w14:paraId="0D1B5387">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6.3 供应商可拒绝接受延期要求，同意延长有效期的供应商不能修改投标（响应）文件。</w:t>
      </w:r>
    </w:p>
    <w:p w14:paraId="5C64A58E">
      <w:pPr>
        <w:pStyle w:val="33"/>
        <w:tabs>
          <w:tab w:val="left" w:pos="1069"/>
          <w:tab w:val="left" w:pos="2352"/>
        </w:tabs>
        <w:adjustRightInd w:val="0"/>
        <w:snapToGrid w:val="0"/>
        <w:spacing w:line="400" w:lineRule="atLeast"/>
        <w:outlineLvl w:val="0"/>
        <w:rPr>
          <w:rFonts w:hAnsi="宋体" w:cs="宋体"/>
          <w:b/>
          <w:bCs/>
          <w:color w:val="auto"/>
          <w:sz w:val="22"/>
          <w:szCs w:val="22"/>
          <w:highlight w:val="none"/>
        </w:rPr>
      </w:pPr>
      <w:bookmarkStart w:id="19" w:name="_Toc132123440"/>
      <w:bookmarkStart w:id="20" w:name="_Toc132655777"/>
      <w:bookmarkStart w:id="21" w:name="_Toc132124595"/>
      <w:bookmarkStart w:id="22" w:name="_Toc132125575"/>
      <w:bookmarkStart w:id="23" w:name="_Toc132125152"/>
      <w:bookmarkStart w:id="24" w:name="_Toc132122120"/>
      <w:bookmarkStart w:id="25" w:name="_Toc132125038"/>
      <w:bookmarkStart w:id="26" w:name="_Toc132123635"/>
      <w:bookmarkStart w:id="27" w:name="_Toc132125984"/>
      <w:bookmarkStart w:id="28" w:name="_Toc132123882"/>
      <w:bookmarkStart w:id="29" w:name="_Toc132125096"/>
      <w:bookmarkStart w:id="30" w:name="_Toc132123839"/>
      <w:bookmarkStart w:id="31" w:name="_Toc132122417"/>
      <w:bookmarkStart w:id="32" w:name="_Toc132126155"/>
      <w:bookmarkStart w:id="33" w:name="_Toc132123548"/>
      <w:r>
        <w:rPr>
          <w:rFonts w:hint="eastAsia" w:hAnsi="宋体" w:cs="宋体"/>
          <w:b/>
          <w:bCs/>
          <w:color w:val="auto"/>
          <w:sz w:val="22"/>
          <w:highlight w:val="none"/>
        </w:rPr>
        <w:t>四、</w:t>
      </w:r>
      <w:r>
        <w:rPr>
          <w:rFonts w:hint="eastAsia" w:hAnsi="宋体" w:cs="宋体"/>
          <w:b/>
          <w:bCs/>
          <w:color w:val="auto"/>
          <w:sz w:val="22"/>
          <w:szCs w:val="22"/>
          <w:highlight w:val="none"/>
        </w:rPr>
        <w:t>投标文件</w:t>
      </w:r>
    </w:p>
    <w:p w14:paraId="64562CA0">
      <w:pPr>
        <w:pStyle w:val="33"/>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1. 投标文件的上传、递交：见《投标邀请函（投标须知前附表）》。</w:t>
      </w:r>
    </w:p>
    <w:p w14:paraId="18A6C3B7">
      <w:pPr>
        <w:pStyle w:val="33"/>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2.“电子加密投标文件”解密和异常情况处理：见《投标邀请函（投标须知前附表）》。</w:t>
      </w:r>
    </w:p>
    <w:p w14:paraId="62D5FF93">
      <w:pPr>
        <w:pStyle w:val="33"/>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3.投标文件的补充、修改或撤回</w:t>
      </w:r>
    </w:p>
    <w:p w14:paraId="02B53939">
      <w:pPr>
        <w:pStyle w:val="33"/>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5DF589FF">
      <w:pPr>
        <w:pStyle w:val="33"/>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3.2投标截止时间后，供应商不得撤回、修改《投标文件》。</w:t>
      </w:r>
    </w:p>
    <w:p w14:paraId="290ABE46">
      <w:pPr>
        <w:pStyle w:val="33"/>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4.投标文件的备选方案</w:t>
      </w:r>
    </w:p>
    <w:p w14:paraId="0DE306D7">
      <w:pPr>
        <w:pStyle w:val="33"/>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4.1供应商不得递交任何的投标备选（替代）方案，否则其投标文件将作无效标处理。</w:t>
      </w:r>
    </w:p>
    <w:p w14:paraId="158D3C49">
      <w:pPr>
        <w:pStyle w:val="33"/>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5. 投标截止期</w:t>
      </w:r>
    </w:p>
    <w:p w14:paraId="1E505B47">
      <w:pPr>
        <w:pStyle w:val="33"/>
        <w:tabs>
          <w:tab w:val="left" w:pos="1069"/>
          <w:tab w:val="left" w:pos="2352"/>
        </w:tabs>
        <w:adjustRightInd w:val="0"/>
        <w:snapToGrid w:val="0"/>
        <w:spacing w:line="400" w:lineRule="atLeast"/>
        <w:ind w:firstLine="436" w:firstLineChars="196"/>
        <w:rPr>
          <w:rFonts w:hAnsi="宋体" w:cs="宋体"/>
          <w:color w:val="auto"/>
          <w:sz w:val="22"/>
          <w:szCs w:val="22"/>
          <w:highlight w:val="none"/>
        </w:rPr>
      </w:pPr>
      <w:r>
        <w:rPr>
          <w:rFonts w:hint="eastAsia" w:hAnsi="宋体" w:cs="宋体"/>
          <w:color w:val="auto"/>
          <w:sz w:val="22"/>
          <w:szCs w:val="22"/>
          <w:highlight w:val="none"/>
        </w:rPr>
        <w:t>5.1供应商应按前附表中规定的时间、地点将投标文件递交给采购人，采购人将拒绝接受逾期送达的投标文件。</w:t>
      </w:r>
    </w:p>
    <w:p w14:paraId="190861FC">
      <w:pPr>
        <w:pStyle w:val="10"/>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14:paraId="1484E7D8">
      <w:pPr>
        <w:pStyle w:val="10"/>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34" w:name="_Toc15003_WPSOffice_Level2"/>
      <w:bookmarkStart w:id="35" w:name="_Toc493530207"/>
      <w:r>
        <w:rPr>
          <w:rFonts w:hint="eastAsia" w:hAnsi="宋体" w:cs="宋体"/>
          <w:b/>
          <w:bCs/>
          <w:color w:val="auto"/>
          <w:sz w:val="22"/>
          <w:highlight w:val="none"/>
        </w:rPr>
        <w:t>五、开标和评标</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CF6D1D7">
      <w:pPr>
        <w:pStyle w:val="10"/>
        <w:tabs>
          <w:tab w:val="left" w:pos="1069"/>
          <w:tab w:val="left" w:pos="2352"/>
        </w:tabs>
        <w:snapToGrid w:val="0"/>
        <w:spacing w:line="440" w:lineRule="exact"/>
        <w:ind w:firstLine="436" w:firstLineChars="196"/>
        <w:rPr>
          <w:rFonts w:hAnsi="宋体" w:cs="宋体"/>
          <w:color w:val="auto"/>
          <w:sz w:val="22"/>
          <w:szCs w:val="22"/>
          <w:highlight w:val="none"/>
        </w:rPr>
      </w:pPr>
      <w:r>
        <w:rPr>
          <w:rFonts w:hint="eastAsia" w:hAnsi="宋体" w:cs="宋体"/>
          <w:color w:val="auto"/>
          <w:sz w:val="22"/>
          <w:szCs w:val="22"/>
          <w:highlight w:val="none"/>
        </w:rPr>
        <w:t>（一）开标准备</w:t>
      </w:r>
    </w:p>
    <w:p w14:paraId="38584FC7">
      <w:pPr>
        <w:tabs>
          <w:tab w:val="left" w:pos="1069"/>
          <w:tab w:val="left" w:pos="2352"/>
        </w:tabs>
        <w:snapToGrid w:val="0"/>
        <w:spacing w:line="440" w:lineRule="exact"/>
        <w:ind w:firstLine="446" w:firstLineChars="200"/>
        <w:jc w:val="left"/>
        <w:rPr>
          <w:rFonts w:ascii="宋体" w:hAnsi="宋体" w:cs="宋体"/>
          <w:b/>
          <w:color w:val="auto"/>
          <w:kern w:val="0"/>
          <w:sz w:val="22"/>
          <w:highlight w:val="none"/>
        </w:rPr>
      </w:pPr>
      <w:r>
        <w:rPr>
          <w:rFonts w:hint="eastAsia" w:ascii="宋体" w:hAnsi="宋体" w:cs="宋体"/>
          <w:b/>
          <w:color w:val="auto"/>
          <w:sz w:val="22"/>
          <w:highlight w:val="none"/>
        </w:rPr>
        <w:t>1.采购组织机构原则上采用电子评标，按照响应文件规定的时间通过“政府采购云平台”组织开标、开启响应文件，所有供应商均应当准时在线参加。</w:t>
      </w:r>
      <w:r>
        <w:rPr>
          <w:rFonts w:hint="eastAsia" w:ascii="宋体" w:hAnsi="宋体" w:cs="宋体"/>
          <w:b/>
          <w:color w:val="auto"/>
          <w:kern w:val="0"/>
          <w:sz w:val="22"/>
          <w:highlight w:val="none"/>
        </w:rPr>
        <w:t>供应商如不参加磋商大会的，视同认可磋商结果，事后不得对采购相关人员、磋商过程和磋商结果提出异议，同时供应商因未在线参加磋商而导致响应文件无法按时解密等一切后果由供应商自己承担。</w:t>
      </w:r>
    </w:p>
    <w:p w14:paraId="4EFE36FB">
      <w:pPr>
        <w:pStyle w:val="34"/>
        <w:tabs>
          <w:tab w:val="left" w:pos="1069"/>
          <w:tab w:val="left" w:pos="2352"/>
        </w:tabs>
        <w:spacing w:before="0" w:line="440" w:lineRule="exact"/>
        <w:ind w:left="0" w:firstLine="446" w:firstLineChars="200"/>
        <w:contextualSpacing/>
        <w:rPr>
          <w:rFonts w:ascii="宋体" w:hAnsi="宋体" w:cs="宋体"/>
          <w:color w:val="auto"/>
          <w:sz w:val="22"/>
          <w:szCs w:val="22"/>
          <w:highlight w:val="none"/>
        </w:rPr>
      </w:pPr>
      <w:r>
        <w:rPr>
          <w:rFonts w:hint="eastAsia" w:ascii="宋体" w:hAnsi="宋体" w:cs="宋体"/>
          <w:color w:val="auto"/>
          <w:sz w:val="22"/>
          <w:szCs w:val="22"/>
          <w:highlight w:val="none"/>
        </w:rPr>
        <w:t>2.若磋商供应商在规定时间内无法解密或解密失败的，其投标无效。</w:t>
      </w:r>
    </w:p>
    <w:p w14:paraId="2554B76F">
      <w:pPr>
        <w:tabs>
          <w:tab w:val="left" w:pos="1069"/>
          <w:tab w:val="left" w:pos="2352"/>
        </w:tabs>
        <w:snapToGrid w:val="0"/>
        <w:spacing w:line="440" w:lineRule="exact"/>
        <w:ind w:firstLine="446" w:firstLineChars="200"/>
        <w:jc w:val="left"/>
        <w:rPr>
          <w:rFonts w:ascii="宋体" w:hAnsi="宋体" w:cs="宋体"/>
          <w:b/>
          <w:bCs/>
          <w:color w:val="auto"/>
          <w:sz w:val="22"/>
          <w:highlight w:val="none"/>
        </w:rPr>
      </w:pPr>
      <w:r>
        <w:rPr>
          <w:rFonts w:hint="eastAsia" w:ascii="宋体" w:hAnsi="宋体" w:cs="宋体"/>
          <w:b/>
          <w:bCs/>
          <w:color w:val="auto"/>
          <w:sz w:val="22"/>
          <w:highlight w:val="none"/>
          <w:shd w:val="clear" w:color="auto" w:fill="FFFFFF"/>
        </w:rPr>
        <w:t>3.所有二次报价询标流程，均在线上完成，请各供应商务必不要离开电脑太久，并留意手机短信。（请提前检查“政采云”内，关于‘项目采购’的岗位权限是否已勾选上。如有问题，请致电400-881-7190）</w:t>
      </w:r>
    </w:p>
    <w:p w14:paraId="6F75D1C0">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hint="eastAsia" w:ascii="宋体" w:hAnsi="宋体" w:cs="宋体"/>
          <w:bCs/>
          <w:color w:val="auto"/>
          <w:sz w:val="22"/>
          <w:highlight w:val="none"/>
        </w:rPr>
        <w:t>（二）电子招投标开标及评审程序</w:t>
      </w:r>
    </w:p>
    <w:p w14:paraId="309DBABD">
      <w:pPr>
        <w:tabs>
          <w:tab w:val="left" w:pos="1069"/>
          <w:tab w:val="left" w:pos="2352"/>
        </w:tabs>
        <w:spacing w:line="440" w:lineRule="exact"/>
        <w:ind w:firstLine="446" w:firstLineChars="200"/>
        <w:rPr>
          <w:rFonts w:ascii="宋体" w:hAnsi="宋体" w:cs="宋体"/>
          <w:color w:val="auto"/>
          <w:sz w:val="22"/>
          <w:highlight w:val="none"/>
        </w:rPr>
      </w:pPr>
      <w:r>
        <w:rPr>
          <w:rFonts w:hint="eastAsia" w:ascii="宋体" w:hAnsi="宋体" w:cs="宋体"/>
          <w:bCs/>
          <w:color w:val="auto"/>
          <w:sz w:val="22"/>
          <w:highlight w:val="none"/>
        </w:rPr>
        <w:t>1.磋商会由采购代理机构主持，磋商响应截止时间后，供应商登录政采云平台，用“项目采购-开标评标”功能对电子响应文件进行在线解密，</w:t>
      </w:r>
      <w:r>
        <w:rPr>
          <w:rFonts w:hint="eastAsia" w:ascii="宋体" w:hAnsi="宋体" w:cs="宋体"/>
          <w:color w:val="auto"/>
          <w:sz w:val="22"/>
          <w:highlight w:val="none"/>
        </w:rPr>
        <w:t>各供应商代表在收到解密通知后30分钟内自行完成“电子加密投标文件”的在线解密。</w:t>
      </w:r>
    </w:p>
    <w:p w14:paraId="4075ED6E">
      <w:pPr>
        <w:tabs>
          <w:tab w:val="left" w:pos="1069"/>
          <w:tab w:val="left" w:pos="2352"/>
        </w:tabs>
        <w:spacing w:line="440" w:lineRule="exact"/>
        <w:ind w:firstLine="446" w:firstLineChars="200"/>
        <w:jc w:val="left"/>
        <w:rPr>
          <w:rFonts w:ascii="宋体" w:hAnsi="宋体" w:cs="宋体"/>
          <w:bCs/>
          <w:color w:val="auto"/>
          <w:sz w:val="22"/>
          <w:highlight w:val="none"/>
        </w:rPr>
      </w:pPr>
      <w:r>
        <w:rPr>
          <w:rFonts w:hint="eastAsia" w:ascii="宋体" w:hAnsi="宋体" w:cs="宋体"/>
          <w:color w:val="auto"/>
          <w:kern w:val="0"/>
          <w:sz w:val="22"/>
          <w:highlight w:val="none"/>
        </w:rPr>
        <w:t>2.投标文件解密结束，</w:t>
      </w:r>
      <w:r>
        <w:rPr>
          <w:rFonts w:hint="eastAsia" w:ascii="宋体" w:hAnsi="宋体" w:cs="宋体"/>
          <w:bCs/>
          <w:color w:val="auto"/>
          <w:sz w:val="22"/>
          <w:highlight w:val="none"/>
        </w:rPr>
        <w:t>开启响应文件，磋商小组对资格和商务技术响应文件进行评审；</w:t>
      </w:r>
    </w:p>
    <w:p w14:paraId="4561AA8B">
      <w:pPr>
        <w:tabs>
          <w:tab w:val="left" w:pos="1069"/>
          <w:tab w:val="left" w:pos="2352"/>
        </w:tabs>
        <w:spacing w:line="44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3.供应商按签到的前后顺序决定磋商的顺序，就价格、服务等认为需要磋商的内容进行磋商，</w:t>
      </w:r>
      <w:r>
        <w:rPr>
          <w:rFonts w:hint="eastAsia" w:ascii="宋体" w:hAnsi="宋体" w:cs="宋体"/>
          <w:color w:val="auto"/>
          <w:sz w:val="22"/>
          <w:highlight w:val="none"/>
        </w:rPr>
        <w:t>供应商逐家回答磋商小组的提问，</w:t>
      </w:r>
      <w:r>
        <w:rPr>
          <w:rFonts w:hint="eastAsia" w:ascii="宋体" w:hAnsi="宋体" w:cs="宋体"/>
          <w:bCs/>
          <w:color w:val="auto"/>
          <w:sz w:val="22"/>
          <w:highlight w:val="none"/>
        </w:rPr>
        <w:t>响应人作出最终承诺和最终报价（</w:t>
      </w:r>
      <w:r>
        <w:rPr>
          <w:rFonts w:hint="eastAsia" w:ascii="宋体" w:hAnsi="宋体" w:cs="宋体"/>
          <w:b/>
          <w:color w:val="auto"/>
          <w:sz w:val="22"/>
          <w:highlight w:val="none"/>
          <w:u w:val="single"/>
        </w:rPr>
        <w:t>超过时间未递交最终报价的，以首次报价为准</w:t>
      </w:r>
      <w:r>
        <w:rPr>
          <w:rFonts w:hint="eastAsia" w:ascii="宋体" w:hAnsi="宋体" w:cs="宋体"/>
          <w:bCs/>
          <w:color w:val="auto"/>
          <w:sz w:val="22"/>
          <w:highlight w:val="none"/>
        </w:rPr>
        <w:t>）。</w:t>
      </w:r>
    </w:p>
    <w:p w14:paraId="1B37AF23">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ascii="宋体" w:hAnsi="宋体" w:cs="宋体"/>
          <w:bCs/>
          <w:color w:val="auto"/>
          <w:sz w:val="22"/>
          <w:highlight w:val="none"/>
        </w:rPr>
        <w:t>4</w:t>
      </w:r>
      <w:r>
        <w:rPr>
          <w:rFonts w:hint="eastAsia" w:ascii="宋体" w:hAnsi="宋体" w:cs="宋体"/>
          <w:bCs/>
          <w:color w:val="auto"/>
          <w:sz w:val="22"/>
          <w:highlight w:val="none"/>
        </w:rPr>
        <w:t>.在系统上公开资格和商务技术评审结果；</w:t>
      </w:r>
    </w:p>
    <w:p w14:paraId="58E0086E">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ascii="宋体" w:hAnsi="宋体" w:cs="宋体"/>
          <w:bCs/>
          <w:color w:val="auto"/>
          <w:sz w:val="22"/>
          <w:highlight w:val="none"/>
        </w:rPr>
        <w:t>5</w:t>
      </w:r>
      <w:r>
        <w:rPr>
          <w:rFonts w:hint="eastAsia" w:ascii="宋体" w:hAnsi="宋体" w:cs="宋体"/>
          <w:bCs/>
          <w:color w:val="auto"/>
          <w:sz w:val="22"/>
          <w:highlight w:val="none"/>
        </w:rPr>
        <w:t>.在系统上录入最终报价情况；</w:t>
      </w:r>
    </w:p>
    <w:p w14:paraId="048164FA">
      <w:pPr>
        <w:tabs>
          <w:tab w:val="left" w:pos="1069"/>
          <w:tab w:val="left" w:pos="2352"/>
        </w:tabs>
        <w:snapToGrid w:val="0"/>
        <w:spacing w:line="440" w:lineRule="exact"/>
        <w:ind w:firstLine="446" w:firstLineChars="200"/>
        <w:jc w:val="left"/>
        <w:rPr>
          <w:rFonts w:ascii="宋体" w:hAnsi="宋体" w:cs="宋体"/>
          <w:bCs/>
          <w:color w:val="auto"/>
          <w:sz w:val="22"/>
          <w:highlight w:val="none"/>
        </w:rPr>
      </w:pPr>
      <w:r>
        <w:rPr>
          <w:rFonts w:ascii="宋体" w:hAnsi="宋体" w:cs="宋体"/>
          <w:bCs/>
          <w:color w:val="auto"/>
          <w:sz w:val="22"/>
          <w:highlight w:val="none"/>
        </w:rPr>
        <w:t>6</w:t>
      </w:r>
      <w:r>
        <w:rPr>
          <w:rFonts w:hint="eastAsia" w:ascii="宋体" w:hAnsi="宋体" w:cs="宋体"/>
          <w:bCs/>
          <w:color w:val="auto"/>
          <w:sz w:val="22"/>
          <w:highlight w:val="none"/>
        </w:rPr>
        <w:t>.磋商小组对报价情况进行评审；</w:t>
      </w:r>
    </w:p>
    <w:p w14:paraId="5D0211B0">
      <w:pPr>
        <w:tabs>
          <w:tab w:val="left" w:pos="1069"/>
          <w:tab w:val="left" w:pos="2352"/>
        </w:tabs>
        <w:snapToGrid w:val="0"/>
        <w:spacing w:line="440" w:lineRule="exact"/>
        <w:ind w:firstLine="446" w:firstLineChars="200"/>
        <w:jc w:val="left"/>
        <w:rPr>
          <w:rFonts w:ascii="宋体" w:hAnsi="宋体" w:cs="宋体"/>
          <w:color w:val="auto"/>
          <w:sz w:val="22"/>
          <w:highlight w:val="none"/>
        </w:rPr>
      </w:pPr>
      <w:r>
        <w:rPr>
          <w:rFonts w:ascii="宋体" w:hAnsi="宋体" w:cs="宋体"/>
          <w:bCs/>
          <w:color w:val="auto"/>
          <w:sz w:val="22"/>
          <w:highlight w:val="none"/>
        </w:rPr>
        <w:t>7</w:t>
      </w:r>
      <w:r>
        <w:rPr>
          <w:rFonts w:hint="eastAsia" w:ascii="宋体" w:hAnsi="宋体" w:cs="宋体"/>
          <w:bCs/>
          <w:color w:val="auto"/>
          <w:sz w:val="22"/>
          <w:highlight w:val="none"/>
        </w:rPr>
        <w:t>.在系统上公布评审结果。</w:t>
      </w:r>
    </w:p>
    <w:p w14:paraId="3E4F9BC6">
      <w:pPr>
        <w:pStyle w:val="10"/>
        <w:tabs>
          <w:tab w:val="left" w:pos="1069"/>
          <w:tab w:val="left" w:pos="2352"/>
        </w:tabs>
        <w:adjustRightInd w:val="0"/>
        <w:spacing w:line="400" w:lineRule="exact"/>
        <w:ind w:firstLine="446" w:firstLineChars="200"/>
        <w:rPr>
          <w:rFonts w:hAnsi="宋体" w:cs="宋体"/>
          <w:b/>
          <w:bCs/>
          <w:color w:val="auto"/>
          <w:sz w:val="22"/>
          <w:szCs w:val="22"/>
          <w:highlight w:val="none"/>
        </w:rPr>
      </w:pPr>
      <w:r>
        <w:rPr>
          <w:rFonts w:hint="eastAsia" w:hAnsi="宋体" w:cs="宋体"/>
          <w:b/>
          <w:bCs/>
          <w:color w:val="auto"/>
          <w:sz w:val="22"/>
          <w:szCs w:val="22"/>
          <w:highlight w:val="none"/>
        </w:rPr>
        <w:t>特别说明：政采云公司如对电子化开标及评审程序有调整的，按调整后的程序操作。</w:t>
      </w:r>
    </w:p>
    <w:p w14:paraId="02F7B73B">
      <w:pPr>
        <w:tabs>
          <w:tab w:val="left" w:pos="1069"/>
          <w:tab w:val="left" w:pos="2352"/>
        </w:tabs>
        <w:adjustRightInd w:val="0"/>
        <w:snapToGrid w:val="0"/>
        <w:spacing w:line="400" w:lineRule="atLeast"/>
        <w:ind w:firstLine="438" w:firstLineChars="197"/>
        <w:rPr>
          <w:rFonts w:ascii="宋体" w:hAnsi="宋体" w:cs="宋体"/>
          <w:color w:val="auto"/>
          <w:highlight w:val="none"/>
        </w:rPr>
      </w:pPr>
      <w:r>
        <w:rPr>
          <w:rFonts w:hint="eastAsia" w:ascii="宋体" w:hAnsi="宋体" w:cs="宋体"/>
          <w:color w:val="auto"/>
          <w:sz w:val="22"/>
          <w:highlight w:val="none"/>
        </w:rPr>
        <w:t>▲</w:t>
      </w:r>
      <w:r>
        <w:rPr>
          <w:rFonts w:hint="eastAsia" w:ascii="宋体" w:hAnsi="宋体" w:cs="宋体"/>
          <w:b/>
          <w:bCs/>
          <w:color w:val="auto"/>
          <w:sz w:val="22"/>
          <w:highlight w:val="none"/>
        </w:rPr>
        <w:t>供应商政采云系统填写报价和电子投标文件（开标（报价）一览表）中填写不一致的，以电子投标文件（开标（报价）一览表）为准，如果不接受调整价格的做废标处理。</w:t>
      </w:r>
    </w:p>
    <w:p w14:paraId="220C5993">
      <w:pPr>
        <w:pStyle w:val="10"/>
        <w:tabs>
          <w:tab w:val="left" w:pos="1069"/>
          <w:tab w:val="left" w:pos="2352"/>
        </w:tabs>
        <w:adjustRightInd w:val="0"/>
        <w:spacing w:line="400" w:lineRule="exact"/>
        <w:ind w:firstLine="446" w:firstLineChars="200"/>
        <w:rPr>
          <w:rFonts w:hAnsi="宋体" w:cs="宋体"/>
          <w:b/>
          <w:bCs/>
          <w:color w:val="auto"/>
          <w:sz w:val="22"/>
          <w:szCs w:val="22"/>
          <w:highlight w:val="none"/>
        </w:rPr>
      </w:pPr>
    </w:p>
    <w:p w14:paraId="10341F3D">
      <w:pPr>
        <w:pStyle w:val="10"/>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2.评标</w:t>
      </w:r>
    </w:p>
    <w:p w14:paraId="152CBBD2">
      <w:pPr>
        <w:pStyle w:val="10"/>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2.1 评标由采购人依法组建的评审小组负责，并独立履行下列职责：</w:t>
      </w:r>
    </w:p>
    <w:p w14:paraId="349CFD4C">
      <w:pPr>
        <w:tabs>
          <w:tab w:val="left" w:pos="1069"/>
          <w:tab w:val="left" w:pos="2352"/>
        </w:tabs>
        <w:spacing w:line="400" w:lineRule="exact"/>
        <w:ind w:firstLine="436" w:firstLineChars="196"/>
        <w:rPr>
          <w:rFonts w:ascii="宋体" w:hAnsi="宋体" w:cs="宋体"/>
          <w:color w:val="auto"/>
          <w:sz w:val="22"/>
          <w:highlight w:val="none"/>
        </w:rPr>
      </w:pPr>
      <w:bookmarkStart w:id="36" w:name="_Toc2500_WPSOffice_Level3"/>
      <w:r>
        <w:rPr>
          <w:rFonts w:hint="eastAsia" w:ascii="宋体" w:hAnsi="宋体" w:cs="宋体"/>
          <w:color w:val="auto"/>
          <w:sz w:val="22"/>
          <w:highlight w:val="none"/>
        </w:rPr>
        <w:t>1）审查投标（响应）文件是否符合竞争性磋商文件要求，并作出评价；</w:t>
      </w:r>
      <w:bookmarkEnd w:id="36"/>
    </w:p>
    <w:p w14:paraId="01A57D36">
      <w:pPr>
        <w:tabs>
          <w:tab w:val="left" w:pos="1069"/>
          <w:tab w:val="left" w:pos="2352"/>
        </w:tabs>
        <w:spacing w:line="400" w:lineRule="exact"/>
        <w:ind w:firstLine="446" w:firstLineChars="200"/>
        <w:rPr>
          <w:rFonts w:ascii="宋体" w:hAnsi="宋体" w:cs="宋体"/>
          <w:color w:val="auto"/>
          <w:sz w:val="22"/>
          <w:highlight w:val="none"/>
        </w:rPr>
      </w:pPr>
      <w:bookmarkStart w:id="37" w:name="_Toc20806_WPSOffice_Level3"/>
      <w:r>
        <w:rPr>
          <w:rFonts w:hint="eastAsia" w:ascii="宋体" w:hAnsi="宋体" w:cs="宋体"/>
          <w:color w:val="auto"/>
          <w:sz w:val="22"/>
          <w:highlight w:val="none"/>
        </w:rPr>
        <w:t>2）要求供应商对投标（响应）文件有关事项作出解释或者澄清；</w:t>
      </w:r>
      <w:bookmarkEnd w:id="37"/>
    </w:p>
    <w:p w14:paraId="79592E09">
      <w:pPr>
        <w:tabs>
          <w:tab w:val="left" w:pos="1069"/>
          <w:tab w:val="left" w:pos="2352"/>
        </w:tabs>
        <w:spacing w:line="400" w:lineRule="exact"/>
        <w:ind w:firstLine="446" w:firstLineChars="200"/>
        <w:rPr>
          <w:rFonts w:ascii="宋体" w:hAnsi="宋体" w:cs="宋体"/>
          <w:color w:val="auto"/>
          <w:sz w:val="22"/>
          <w:highlight w:val="none"/>
        </w:rPr>
      </w:pPr>
      <w:bookmarkStart w:id="38" w:name="_Toc12689_WPSOffice_Level3"/>
      <w:r>
        <w:rPr>
          <w:rFonts w:hint="eastAsia" w:ascii="宋体" w:hAnsi="宋体" w:cs="宋体"/>
          <w:color w:val="auto"/>
          <w:sz w:val="22"/>
          <w:highlight w:val="none"/>
        </w:rPr>
        <w:t>3）按照竞争性磋商文件确定的评标办法直接确定中标（成交）供应商；</w:t>
      </w:r>
      <w:bookmarkEnd w:id="38"/>
    </w:p>
    <w:p w14:paraId="1A1CC9CC">
      <w:pPr>
        <w:pStyle w:val="10"/>
        <w:tabs>
          <w:tab w:val="left" w:pos="1069"/>
          <w:tab w:val="left" w:pos="2352"/>
        </w:tabs>
        <w:adjustRightInd w:val="0"/>
        <w:spacing w:line="400" w:lineRule="exact"/>
        <w:ind w:firstLine="436" w:firstLineChars="196"/>
        <w:rPr>
          <w:rFonts w:hAnsi="宋体" w:cs="宋体"/>
          <w:b/>
          <w:bCs/>
          <w:color w:val="auto"/>
          <w:sz w:val="22"/>
          <w:highlight w:val="none"/>
        </w:rPr>
      </w:pPr>
      <w:bookmarkStart w:id="39" w:name="_Toc20017_WPSOffice_Level3"/>
      <w:r>
        <w:rPr>
          <w:rFonts w:hint="eastAsia" w:hAnsi="宋体" w:cs="宋体"/>
          <w:color w:val="auto"/>
          <w:sz w:val="22"/>
          <w:highlight w:val="none"/>
        </w:rPr>
        <w:t>4）向采购人或者有关部门报告非法干预评标工作的行为。</w:t>
      </w:r>
      <w:bookmarkEnd w:id="39"/>
    </w:p>
    <w:p w14:paraId="5D74344E">
      <w:pPr>
        <w:tabs>
          <w:tab w:val="left" w:pos="1069"/>
          <w:tab w:val="left" w:pos="2352"/>
        </w:tabs>
        <w:spacing w:line="400" w:lineRule="exact"/>
        <w:ind w:firstLine="436" w:firstLineChars="196"/>
        <w:rPr>
          <w:rFonts w:ascii="宋体" w:hAnsi="宋体" w:cs="宋体"/>
          <w:color w:val="auto"/>
          <w:sz w:val="22"/>
          <w:highlight w:val="none"/>
        </w:rPr>
      </w:pPr>
      <w:r>
        <w:rPr>
          <w:rFonts w:hint="eastAsia" w:ascii="宋体" w:hAnsi="宋体" w:cs="宋体"/>
          <w:color w:val="auto"/>
          <w:sz w:val="22"/>
          <w:highlight w:val="none"/>
        </w:rPr>
        <w:t>2.2 评标应当遵循下列工作程序：</w:t>
      </w:r>
    </w:p>
    <w:p w14:paraId="2D5962DF">
      <w:pPr>
        <w:tabs>
          <w:tab w:val="left" w:pos="1069"/>
          <w:tab w:val="left" w:pos="2352"/>
        </w:tabs>
        <w:spacing w:line="400" w:lineRule="exact"/>
        <w:rPr>
          <w:rFonts w:ascii="宋体" w:hAnsi="宋体" w:cs="宋体"/>
          <w:color w:val="auto"/>
          <w:sz w:val="22"/>
          <w:highlight w:val="none"/>
        </w:rPr>
      </w:pPr>
      <w:r>
        <w:rPr>
          <w:rFonts w:hint="eastAsia" w:ascii="宋体" w:hAnsi="宋体" w:cs="宋体"/>
          <w:color w:val="auto"/>
          <w:sz w:val="22"/>
          <w:highlight w:val="none"/>
        </w:rPr>
        <w:t xml:space="preserve">    1）投标（响应）文件初审。初审分为资格性检查和符合性检查。</w:t>
      </w:r>
    </w:p>
    <w:p w14:paraId="00751BC6">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（1)资格性检查。由采购人代表或招标代理机构对供应商资格进行审查。依据法律法规和竞争性磋商文件的规定，对投标（响应）文件中的资格证明文件等进行审查，以确定供应商是否具备投标资格。</w:t>
      </w:r>
    </w:p>
    <w:p w14:paraId="4D35898F">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（2)符合性检查。评审小组依据竞争性磋商文件的规定，从投标（响应）文件的有效性、完整性和对竞争性磋商文件的响应程度进行审查，以确定是否对竞争性磋商文件的实质性要求作出响应。</w:t>
      </w:r>
    </w:p>
    <w:p w14:paraId="23E94DD5">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2）评审小组可以根据供应商投标（响应）文件情况，经采购人确认，调整竞争性磋商文件及采购方案，在统一采购要求的基础上，要求所有有效供应商重新修正投标（响应）文件及进行多轮次报价。</w:t>
      </w:r>
    </w:p>
    <w:p w14:paraId="2B8EB6B4">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3）评价。按竞争性磋商文件中规定的评标方法和标准，对资格性检查和符合性检查合格的投标（响应）文件进行商务和技术评估，综合评价。</w:t>
      </w:r>
    </w:p>
    <w:p w14:paraId="5FB3F288">
      <w:pPr>
        <w:tabs>
          <w:tab w:val="left" w:pos="1069"/>
          <w:tab w:val="left" w:pos="2352"/>
        </w:tabs>
        <w:spacing w:line="400" w:lineRule="exact"/>
        <w:ind w:firstLine="440"/>
        <w:rPr>
          <w:rFonts w:ascii="宋体" w:hAnsi="宋体" w:cs="宋体"/>
          <w:color w:val="auto"/>
          <w:sz w:val="22"/>
          <w:highlight w:val="none"/>
        </w:rPr>
      </w:pPr>
      <w:r>
        <w:rPr>
          <w:rFonts w:hint="eastAsia" w:ascii="宋体" w:hAnsi="宋体" w:cs="宋体"/>
          <w:color w:val="auto"/>
          <w:sz w:val="22"/>
          <w:highlight w:val="none"/>
        </w:rPr>
        <w:t>4）推荐中标（成交）供应商候选人名单，并根据采购人的授权确定中标（成交）供应商。</w:t>
      </w:r>
    </w:p>
    <w:p w14:paraId="29F085CD">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rPr>
        <w:t xml:space="preserve">2.3 </w:t>
      </w:r>
      <w:r>
        <w:rPr>
          <w:rFonts w:hint="eastAsia" w:hAnsi="宋体" w:cs="宋体"/>
          <w:color w:val="auto"/>
          <w:sz w:val="22"/>
          <w:highlight w:val="none"/>
          <w:u w:val="single"/>
        </w:rPr>
        <w:t>▲供应商存在下列情况之一的，报价无效:</w:t>
      </w:r>
    </w:p>
    <w:p w14:paraId="62BCEE26">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1）投标（响应）文件未按竞争性磋商文件要求签署、盖章的；</w:t>
      </w:r>
    </w:p>
    <w:p w14:paraId="5B330684">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2）不具备竞争性磋商文件中规定的资格要求的；</w:t>
      </w:r>
    </w:p>
    <w:p w14:paraId="4CFE6B3B">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3）最终报价超过竞争性磋商文件中规定的预算金额或者最高限价的；</w:t>
      </w:r>
    </w:p>
    <w:p w14:paraId="44BEEE08">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4）投标（响应）文件含有采购人不能接受的附加条件的（包括竞争性磋商文件中明确要求不得偏离的招标要求，存在负偏离的）;</w:t>
      </w:r>
    </w:p>
    <w:p w14:paraId="55320F0A">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5）对关键条文的偏离、保留或反对，例如关于付款方式、完工期（服务期）、免费质保期、适用法律法规、标准、税费等其他内容；</w:t>
      </w:r>
    </w:p>
    <w:p w14:paraId="12D10FF5">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6）存在串标、抬标或弄虚作假情况的；</w:t>
      </w:r>
    </w:p>
    <w:p w14:paraId="7E859F15">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7）法律、法规和竞争性磋商文件规定的其他无效情形（或出现重大偏差）。</w:t>
      </w:r>
    </w:p>
    <w:p w14:paraId="2B0093E6">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rPr>
        <w:t xml:space="preserve">2.4 </w:t>
      </w:r>
      <w:r>
        <w:rPr>
          <w:rFonts w:hint="eastAsia" w:hAnsi="宋体" w:cs="宋体"/>
          <w:color w:val="auto"/>
          <w:sz w:val="22"/>
          <w:highlight w:val="none"/>
          <w:u w:val="single"/>
        </w:rPr>
        <w:t>▲评审小组发现投标（响应）文件有下列情形之一的属于重大偏差(评审小组按少数服从多数原则认定),按照无效投标处理：</w:t>
      </w:r>
    </w:p>
    <w:p w14:paraId="7E446883">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1）未按竞争性磋商文件要求编制或字迹模糊、辨认不清的投标（响应）文件；</w:t>
      </w:r>
    </w:p>
    <w:p w14:paraId="383CCF4D">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2）除2.3条款以外，出现其它明显不符合采购要求的投标（响应）文件；</w:t>
      </w:r>
    </w:p>
    <w:p w14:paraId="037C3FEA">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u w:val="single"/>
        </w:rPr>
        <w:t>3）除2.3条款以外，出现其它不符合竞争性磋商文件中规定的实质性要求的投标（响应）文件，是否为偏离实质性要求由评审小组认定。</w:t>
      </w:r>
    </w:p>
    <w:p w14:paraId="786FB9B6">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rPr>
        <w:t>2.5</w:t>
      </w:r>
      <w:r>
        <w:rPr>
          <w:rFonts w:hint="eastAsia" w:hAnsi="宋体" w:cs="宋体"/>
          <w:color w:val="auto"/>
          <w:sz w:val="22"/>
          <w:highlight w:val="none"/>
          <w:u w:val="single"/>
        </w:rPr>
        <w:t>▲评审小组认为供应商的最终报价明显低于其他有效供应商的最终报价，有可能影响采购质量或者不能诚信履约的，应当要求其在合理的时间内提供说明，必要时提交相关证明材料；供应商不能证明其报价合理性的，评审小组应当将其作为无效投标处理。</w:t>
      </w:r>
    </w:p>
    <w:p w14:paraId="1BB4394A">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2.6 评审小组在评标中，不得改变竞争性磋商文件中规定的评标标准、方法和中标(成交)条件。</w:t>
      </w:r>
    </w:p>
    <w:p w14:paraId="019BF1A2">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2.7 评标时如遇到竞争性磋商文件未规定的特殊情况，由评审小组按少数服从多数原则集体决定处理。</w:t>
      </w:r>
    </w:p>
    <w:p w14:paraId="17762EE2">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u w:val="single"/>
        </w:rPr>
      </w:pPr>
      <w:r>
        <w:rPr>
          <w:rFonts w:hint="eastAsia" w:hAnsi="宋体" w:cs="宋体"/>
          <w:color w:val="auto"/>
          <w:sz w:val="22"/>
          <w:highlight w:val="none"/>
          <w:u w:val="single"/>
        </w:rPr>
        <w:t>2.8评审小组对未中标(成交)的供应商不作解释。同时根据政府采购法实施条例第四十条规定，本项目不对供应商公布详细的评审情况，不公布具体评标细则中小项得分。</w:t>
      </w:r>
    </w:p>
    <w:p w14:paraId="5130BF1B">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b/>
          <w:bCs/>
          <w:color w:val="auto"/>
          <w:sz w:val="22"/>
          <w:highlight w:val="none"/>
        </w:rPr>
        <w:t>2.9</w:t>
      </w:r>
      <w:r>
        <w:rPr>
          <w:rFonts w:hint="eastAsia" w:hAnsi="宋体" w:cs="宋体"/>
          <w:b/>
          <w:bCs/>
          <w:color w:val="auto"/>
          <w:sz w:val="22"/>
          <w:highlight w:val="none"/>
          <w:u w:val="single"/>
        </w:rPr>
        <w:t>符合资格条件的投标供应商不足三家的不予开标。如进入磋商过程中，符合采购人技术等方面要求的供应商为2家的，根据评审小组意见，可以流标；也可以按财政部《关于政府采购竞争性磋商采购方式管理暂行办法有关问题的补充通知【财库〔2015〕124号】》文件规定执行</w:t>
      </w:r>
      <w:r>
        <w:rPr>
          <w:rFonts w:hint="eastAsia" w:hAnsi="宋体" w:cs="宋体"/>
          <w:b/>
          <w:bCs/>
          <w:color w:val="auto"/>
          <w:sz w:val="22"/>
          <w:highlight w:val="none"/>
        </w:rPr>
        <w:t>。</w:t>
      </w:r>
    </w:p>
    <w:p w14:paraId="70590551">
      <w:pPr>
        <w:pStyle w:val="10"/>
        <w:tabs>
          <w:tab w:val="left" w:pos="1069"/>
          <w:tab w:val="left" w:pos="2352"/>
        </w:tabs>
        <w:adjustRightInd w:val="0"/>
        <w:snapToGri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3.投标（响应）文件的澄清</w:t>
      </w:r>
    </w:p>
    <w:p w14:paraId="7B88D543">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为有利于对投标（响应）文件的评议，必要时采购人及评审小组可要求供应商对投标（响应）文件及合同条款进行澄清，并做出答复。答复须有授权代表签字并作为报价内容的一部分。</w:t>
      </w:r>
    </w:p>
    <w:p w14:paraId="07CF983E">
      <w:pPr>
        <w:pStyle w:val="10"/>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4.有下列情形之一的，视为供应商相互串通投标：</w:t>
      </w:r>
    </w:p>
    <w:p w14:paraId="64C9EA9B">
      <w:pPr>
        <w:pStyle w:val="10"/>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4.1不同供应商的投标（响应）文件由同一单位或者个人编制；</w:t>
      </w:r>
    </w:p>
    <w:p w14:paraId="12E90CAB">
      <w:pPr>
        <w:pStyle w:val="10"/>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4.2不同供应商委托同一单位或者个人办理投标事宜；</w:t>
      </w:r>
    </w:p>
    <w:p w14:paraId="660987ED">
      <w:pPr>
        <w:pStyle w:val="10"/>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4.3不同供应商的投标（响应）文件载明的项目管理成员为同一人；</w:t>
      </w:r>
    </w:p>
    <w:p w14:paraId="65790DC3">
      <w:pPr>
        <w:pStyle w:val="10"/>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4.4不同供应商的投标（响应）文件异常一致或者投标报价呈规律性差异；</w:t>
      </w:r>
    </w:p>
    <w:p w14:paraId="6032B54D">
      <w:pPr>
        <w:pStyle w:val="10"/>
        <w:tabs>
          <w:tab w:val="left" w:pos="1069"/>
          <w:tab w:val="left" w:pos="2352"/>
        </w:tabs>
        <w:adjustRightInd w:val="0"/>
        <w:spacing w:line="400" w:lineRule="exact"/>
        <w:ind w:left="443" w:leftChars="208"/>
        <w:rPr>
          <w:rFonts w:hAnsi="宋体" w:cs="宋体"/>
          <w:color w:val="auto"/>
          <w:sz w:val="22"/>
          <w:highlight w:val="none"/>
        </w:rPr>
      </w:pPr>
      <w:r>
        <w:rPr>
          <w:rFonts w:hint="eastAsia" w:hAnsi="宋体" w:cs="宋体"/>
          <w:color w:val="auto"/>
          <w:sz w:val="22"/>
          <w:highlight w:val="none"/>
        </w:rPr>
        <w:t>4.5不同供应商的投标（响应）文件相互混装；</w:t>
      </w:r>
    </w:p>
    <w:p w14:paraId="4FCCA418">
      <w:pPr>
        <w:pStyle w:val="10"/>
        <w:tabs>
          <w:tab w:val="left" w:pos="1069"/>
          <w:tab w:val="left" w:pos="2352"/>
        </w:tabs>
        <w:adjustRightInd w:val="0"/>
        <w:spacing w:line="400" w:lineRule="exact"/>
        <w:ind w:left="443" w:leftChars="208"/>
        <w:rPr>
          <w:rFonts w:hAnsi="宋体" w:cs="宋体"/>
          <w:b/>
          <w:bCs/>
          <w:color w:val="auto"/>
          <w:sz w:val="22"/>
          <w:highlight w:val="none"/>
        </w:rPr>
      </w:pPr>
      <w:r>
        <w:rPr>
          <w:rFonts w:hint="eastAsia" w:hAnsi="宋体" w:cs="宋体"/>
          <w:color w:val="auto"/>
          <w:sz w:val="22"/>
          <w:highlight w:val="none"/>
        </w:rPr>
        <w:t>4.6经评审小组认定供应商进行串通投标的，评审小组可以对相关供应商做出无效报价处理，并上报政府采购管理部门进行进一步处理。</w:t>
      </w:r>
    </w:p>
    <w:p w14:paraId="48DD5969">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5.评标原则</w:t>
      </w:r>
    </w:p>
    <w:p w14:paraId="3C78DB47">
      <w:pPr>
        <w:pStyle w:val="10"/>
        <w:tabs>
          <w:tab w:val="left" w:pos="1069"/>
          <w:tab w:val="left" w:pos="2352"/>
        </w:tabs>
        <w:adjustRightInd w:val="0"/>
        <w:spacing w:line="400" w:lineRule="exact"/>
        <w:ind w:firstLine="446" w:firstLineChars="200"/>
        <w:rPr>
          <w:rFonts w:hAnsi="宋体" w:cs="宋体"/>
          <w:b/>
          <w:bCs/>
          <w:color w:val="auto"/>
          <w:sz w:val="22"/>
          <w:highlight w:val="none"/>
        </w:rPr>
      </w:pPr>
      <w:r>
        <w:rPr>
          <w:rFonts w:hint="eastAsia" w:hAnsi="宋体" w:cs="宋体"/>
          <w:color w:val="auto"/>
          <w:sz w:val="22"/>
          <w:highlight w:val="none"/>
        </w:rPr>
        <w:t>评标办法具体见本竞争性磋商文件第七部分。</w:t>
      </w:r>
    </w:p>
    <w:p w14:paraId="448D5E18">
      <w:pPr>
        <w:pStyle w:val="10"/>
        <w:tabs>
          <w:tab w:val="left" w:pos="1069"/>
          <w:tab w:val="left" w:pos="2352"/>
        </w:tabs>
        <w:adjustRightInd w:val="0"/>
        <w:snapToGrid w:val="0"/>
        <w:spacing w:line="400" w:lineRule="exact"/>
        <w:ind w:firstLine="480"/>
        <w:outlineLvl w:val="0"/>
        <w:rPr>
          <w:rFonts w:hAnsi="宋体" w:cs="宋体"/>
          <w:b/>
          <w:bCs/>
          <w:color w:val="auto"/>
          <w:sz w:val="22"/>
          <w:highlight w:val="none"/>
        </w:rPr>
      </w:pPr>
      <w:bookmarkStart w:id="40" w:name="_Toc132123441"/>
      <w:bookmarkStart w:id="41" w:name="_Toc132122418"/>
      <w:bookmarkStart w:id="42" w:name="_Toc132126156"/>
      <w:bookmarkStart w:id="43" w:name="_Toc132123636"/>
      <w:bookmarkStart w:id="44" w:name="_Toc132125039"/>
      <w:bookmarkStart w:id="45" w:name="_Toc132125097"/>
      <w:bookmarkStart w:id="46" w:name="_Toc132123840"/>
      <w:bookmarkStart w:id="47" w:name="_Toc132125985"/>
      <w:bookmarkStart w:id="48" w:name="_Toc132655778"/>
      <w:bookmarkStart w:id="49" w:name="_Toc132125153"/>
      <w:bookmarkStart w:id="50" w:name="_Toc132125576"/>
      <w:bookmarkStart w:id="51" w:name="_Toc132123549"/>
      <w:bookmarkStart w:id="52" w:name="_Toc493530208"/>
      <w:bookmarkStart w:id="53" w:name="_Toc132122121"/>
      <w:bookmarkStart w:id="54" w:name="_Toc132124596"/>
      <w:bookmarkStart w:id="55" w:name="_Toc132123883"/>
      <w:bookmarkStart w:id="56" w:name="_Toc24884_WPSOffice_Level2"/>
      <w:r>
        <w:rPr>
          <w:rFonts w:hint="eastAsia" w:hAnsi="宋体" w:cs="宋体"/>
          <w:b/>
          <w:bCs/>
          <w:color w:val="auto"/>
          <w:sz w:val="22"/>
          <w:highlight w:val="none"/>
        </w:rPr>
        <w:t>六、授予合同</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0D21978">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57" w:name="_Toc23038_WPSOffice_Level3"/>
      <w:r>
        <w:rPr>
          <w:rFonts w:hint="eastAsia" w:hAnsi="宋体" w:cs="宋体"/>
          <w:color w:val="auto"/>
          <w:sz w:val="22"/>
          <w:highlight w:val="none"/>
        </w:rPr>
        <w:t>1.决标</w:t>
      </w:r>
      <w:bookmarkEnd w:id="57"/>
    </w:p>
    <w:p w14:paraId="690C8865">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评标结束后，评审小组按照竞争性磋商文件确定的评标办法推荐中标（成交）供应商。</w:t>
      </w:r>
    </w:p>
    <w:p w14:paraId="3C9B7390">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58" w:name="_Toc764_WPSOffice_Level3"/>
      <w:r>
        <w:rPr>
          <w:rFonts w:hint="eastAsia" w:hAnsi="宋体" w:cs="宋体"/>
          <w:color w:val="auto"/>
          <w:sz w:val="22"/>
          <w:highlight w:val="none"/>
        </w:rPr>
        <w:t>2.</w:t>
      </w:r>
      <w:bookmarkEnd w:id="58"/>
      <w:r>
        <w:rPr>
          <w:rFonts w:hint="eastAsia" w:hAnsi="宋体" w:cs="宋体"/>
          <w:color w:val="auto"/>
          <w:sz w:val="22"/>
          <w:highlight w:val="none"/>
        </w:rPr>
        <w:t>中标（成交）通知书</w:t>
      </w:r>
    </w:p>
    <w:p w14:paraId="13CF7C09">
      <w:pPr>
        <w:tabs>
          <w:tab w:val="left" w:pos="1069"/>
          <w:tab w:val="left" w:pos="2352"/>
        </w:tabs>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2.1采购人依法确认中标（成交）供应商后，代理机构在浙江省政府采购网上公示中标（成交）供应商名单，公示期限为1个工作日。同时向中标（成交）供应商发出中标（成交）通知书。</w:t>
      </w:r>
    </w:p>
    <w:p w14:paraId="195C8E35">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2.2中标（成交）通知书对采购人和中标（成交）供应商具有法律约束力。中标（成交）通知书发出后，采购人改变中标结果或者中标（成交）供应商放弃中标的，应当承担法律责任。</w:t>
      </w:r>
    </w:p>
    <w:p w14:paraId="488ECA09">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3.中标（成交）无效</w:t>
      </w:r>
    </w:p>
    <w:p w14:paraId="5BAD3918">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1）发现中标（成交）供应商资格无效或中标（成交）供应商放弃成交或拒绝与采购人签订合同的,按相关法律法规执行，原则上重新开展政府采购活动。</w:t>
      </w:r>
    </w:p>
    <w:p w14:paraId="31907E3B">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2）有《中华人民共和国政府采购法实施条例》第七十一条、第七十二条、第七十三条、第七十四条规定的违法行为之一，由政府采购监管部门依法处理。</w:t>
      </w:r>
    </w:p>
    <w:p w14:paraId="1B2AEACE">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59" w:name="_Toc3709_WPSOffice_Level3"/>
      <w:r>
        <w:rPr>
          <w:rFonts w:hint="eastAsia" w:hAnsi="宋体" w:cs="宋体"/>
          <w:color w:val="auto"/>
          <w:sz w:val="22"/>
          <w:highlight w:val="none"/>
        </w:rPr>
        <w:t>4.签订合同</w:t>
      </w:r>
      <w:bookmarkEnd w:id="59"/>
    </w:p>
    <w:p w14:paraId="6B6A8F24">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64A5BE79">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4.2 竞争性磋商文件、中标（成交）供应商的投标（响应）文件及投标修改文件、评标过程中有关澄清文件及经双方签字的询标纪要（承诺）和中标（成交）通知书均作为合同附件。</w:t>
      </w:r>
    </w:p>
    <w:p w14:paraId="75DED700">
      <w:pPr>
        <w:tabs>
          <w:tab w:val="left" w:pos="1069"/>
          <w:tab w:val="left" w:pos="2352"/>
        </w:tabs>
        <w:adjustRightInd w:val="0"/>
        <w:snapToGrid w:val="0"/>
        <w:spacing w:line="400" w:lineRule="exact"/>
        <w:ind w:firstLine="438" w:firstLineChars="197"/>
        <w:rPr>
          <w:rFonts w:ascii="宋体" w:hAnsi="宋体" w:cs="宋体"/>
          <w:color w:val="auto"/>
          <w:sz w:val="22"/>
          <w:highlight w:val="none"/>
        </w:rPr>
      </w:pPr>
      <w:r>
        <w:rPr>
          <w:rFonts w:hint="eastAsia" w:ascii="宋体" w:hAnsi="宋体" w:cs="宋体"/>
          <w:color w:val="auto"/>
          <w:sz w:val="22"/>
          <w:highlight w:val="none"/>
        </w:rPr>
        <w:t>4.3 拒签合同的责任</w:t>
      </w:r>
    </w:p>
    <w:p w14:paraId="224F5A1A">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r>
        <w:rPr>
          <w:rFonts w:hint="eastAsia" w:hAnsi="宋体" w:cs="宋体"/>
          <w:color w:val="auto"/>
          <w:sz w:val="22"/>
          <w:highlight w:val="none"/>
        </w:rPr>
        <w:t>中标（成交）供应商在规定时间内（30日历天）借故否认已经承诺的条件、拒签合同者，以违约处理，并赔偿采购人由此造成的直接经济损失；采购人重新组织采购的，所需费用由原中标（成交）供应商承担。</w:t>
      </w:r>
    </w:p>
    <w:p w14:paraId="17FBA949">
      <w:pPr>
        <w:pStyle w:val="10"/>
        <w:tabs>
          <w:tab w:val="left" w:pos="1069"/>
          <w:tab w:val="left" w:pos="2352"/>
        </w:tabs>
        <w:adjustRightInd w:val="0"/>
        <w:snapToGrid w:val="0"/>
        <w:spacing w:line="400" w:lineRule="exact"/>
        <w:ind w:firstLine="438" w:firstLineChars="197"/>
        <w:rPr>
          <w:rFonts w:hAnsi="宋体" w:cs="宋体"/>
          <w:b/>
          <w:bCs/>
          <w:color w:val="auto"/>
          <w:sz w:val="22"/>
          <w:highlight w:val="none"/>
        </w:rPr>
      </w:pPr>
      <w:bookmarkStart w:id="60" w:name="_Toc21884_WPSOffice_Level3"/>
      <w:r>
        <w:rPr>
          <w:rFonts w:hint="eastAsia" w:hAnsi="宋体" w:cs="宋体"/>
          <w:color w:val="auto"/>
          <w:sz w:val="22"/>
          <w:highlight w:val="none"/>
        </w:rPr>
        <w:t>5.</w:t>
      </w:r>
      <w:bookmarkEnd w:id="60"/>
      <w:r>
        <w:rPr>
          <w:rFonts w:hint="eastAsia" w:hAnsi="宋体" w:cs="宋体"/>
          <w:color w:val="auto"/>
          <w:sz w:val="22"/>
          <w:highlight w:val="none"/>
        </w:rPr>
        <w:t>履约保证金</w:t>
      </w:r>
    </w:p>
    <w:p w14:paraId="0AC0423C">
      <w:pPr>
        <w:tabs>
          <w:tab w:val="left" w:pos="2352"/>
        </w:tabs>
        <w:autoSpaceDE w:val="0"/>
        <w:autoSpaceDN w:val="0"/>
        <w:adjustRightInd w:val="0"/>
        <w:snapToGrid w:val="0"/>
        <w:spacing w:line="400" w:lineRule="exact"/>
        <w:ind w:firstLine="446" w:firstLineChars="200"/>
        <w:textAlignment w:val="bottom"/>
        <w:rPr>
          <w:rFonts w:ascii="宋体" w:hAnsi="宋体" w:cs="宋体"/>
          <w:color w:val="auto"/>
          <w:sz w:val="22"/>
          <w:highlight w:val="none"/>
        </w:rPr>
      </w:pPr>
      <w:r>
        <w:rPr>
          <w:rFonts w:hint="eastAsia" w:hAnsi="宋体" w:cs="宋体"/>
          <w:color w:val="auto"/>
          <w:sz w:val="22"/>
          <w:highlight w:val="none"/>
        </w:rPr>
        <w:t>无</w:t>
      </w:r>
      <w:r>
        <w:rPr>
          <w:rFonts w:hint="eastAsia" w:ascii="宋体" w:hAnsi="宋体" w:cs="宋体"/>
          <w:color w:val="auto"/>
          <w:sz w:val="22"/>
          <w:highlight w:val="none"/>
        </w:rPr>
        <w:t>。</w:t>
      </w:r>
    </w:p>
    <w:p w14:paraId="51B2B2E8">
      <w:pPr>
        <w:tabs>
          <w:tab w:val="left" w:pos="1069"/>
          <w:tab w:val="left" w:pos="2352"/>
        </w:tabs>
        <w:spacing w:line="400" w:lineRule="exact"/>
        <w:ind w:firstLine="446" w:firstLineChars="200"/>
        <w:rPr>
          <w:rFonts w:ascii="宋体" w:hAnsi="宋体" w:cs="宋体"/>
          <w:b/>
          <w:color w:val="auto"/>
          <w:sz w:val="22"/>
          <w:highlight w:val="none"/>
        </w:rPr>
      </w:pPr>
      <w:r>
        <w:rPr>
          <w:rFonts w:hint="eastAsia" w:ascii="宋体" w:hAnsi="宋体" w:cs="宋体"/>
          <w:color w:val="auto"/>
          <w:sz w:val="22"/>
          <w:highlight w:val="none"/>
        </w:rPr>
        <w:t>6.招标代理服务费</w:t>
      </w:r>
    </w:p>
    <w:p w14:paraId="2C7D0E65">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本项目向中标供应商收取招标代理服务费，参考</w:t>
      </w:r>
      <w:r>
        <w:rPr>
          <w:rFonts w:hint="eastAsia" w:ascii="宋体" w:hAnsi="宋体" w:cs="宋体"/>
          <w:color w:val="auto"/>
          <w:sz w:val="22"/>
          <w:highlight w:val="none"/>
          <w:lang w:val="zh-CN"/>
        </w:rPr>
        <w:t>《国家计委关于印发&lt;招标代理服务收费管理暂行办法&gt;的通知》（计价格[2002]1980号）</w:t>
      </w:r>
      <w:r>
        <w:rPr>
          <w:rFonts w:hint="eastAsia" w:ascii="宋体" w:hAnsi="宋体" w:cs="宋体"/>
          <w:color w:val="auto"/>
          <w:sz w:val="22"/>
          <w:highlight w:val="none"/>
        </w:rPr>
        <w:t>服务</w:t>
      </w:r>
      <w:r>
        <w:rPr>
          <w:rFonts w:hint="eastAsia" w:ascii="宋体" w:hAnsi="宋体" w:cs="宋体"/>
          <w:color w:val="auto"/>
          <w:sz w:val="22"/>
          <w:highlight w:val="none"/>
          <w:lang w:val="zh-CN"/>
        </w:rPr>
        <w:t>类标准收取</w:t>
      </w:r>
      <w:r>
        <w:rPr>
          <w:rFonts w:hint="eastAsia" w:ascii="宋体" w:hAnsi="宋体" w:cs="宋体"/>
          <w:color w:val="auto"/>
          <w:sz w:val="22"/>
          <w:highlight w:val="none"/>
          <w:u w:val="single"/>
        </w:rPr>
        <w:t>捌仟伍佰元</w:t>
      </w:r>
      <w:r>
        <w:rPr>
          <w:rFonts w:hint="eastAsia" w:ascii="宋体" w:hAnsi="宋体" w:cs="宋体"/>
          <w:color w:val="auto"/>
          <w:sz w:val="22"/>
          <w:highlight w:val="none"/>
        </w:rPr>
        <w:t>。</w:t>
      </w:r>
    </w:p>
    <w:p w14:paraId="52574C53">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highlight w:val="none"/>
        </w:rPr>
      </w:pPr>
      <w:r>
        <w:rPr>
          <w:rFonts w:hint="eastAsia" w:ascii="宋体" w:hAnsi="宋体" w:cs="宋体"/>
          <w:color w:val="auto"/>
          <w:sz w:val="22"/>
          <w:highlight w:val="none"/>
        </w:rPr>
        <w:t>招标代理费汇入账号以招标代理机构提供的为准。</w:t>
      </w:r>
    </w:p>
    <w:p w14:paraId="1B636B4F">
      <w:pPr>
        <w:tabs>
          <w:tab w:val="left" w:pos="1069"/>
          <w:tab w:val="left" w:pos="2352"/>
        </w:tabs>
        <w:adjustRightInd w:val="0"/>
        <w:snapToGrid w:val="0"/>
        <w:spacing w:line="400" w:lineRule="exact"/>
        <w:jc w:val="left"/>
        <w:rPr>
          <w:rFonts w:ascii="宋体" w:hAnsi="宋体" w:cs="宋体"/>
          <w:b/>
          <w:bCs/>
          <w:color w:val="auto"/>
          <w:sz w:val="22"/>
          <w:highlight w:val="none"/>
        </w:rPr>
      </w:pPr>
      <w:r>
        <w:rPr>
          <w:rFonts w:hint="eastAsia" w:ascii="宋体" w:hAnsi="宋体" w:cs="宋体"/>
          <w:b/>
          <w:bCs/>
          <w:color w:val="auto"/>
          <w:sz w:val="22"/>
          <w:highlight w:val="none"/>
        </w:rPr>
        <w:t>七、投诉质疑</w:t>
      </w:r>
    </w:p>
    <w:p w14:paraId="386FF900">
      <w:pPr>
        <w:pStyle w:val="35"/>
        <w:tabs>
          <w:tab w:val="left" w:pos="1069"/>
          <w:tab w:val="left" w:pos="2352"/>
        </w:tabs>
        <w:snapToGrid w:val="0"/>
        <w:spacing w:before="0" w:line="400" w:lineRule="exact"/>
        <w:ind w:firstLine="448"/>
        <w:rPr>
          <w:rFonts w:ascii="宋体" w:hAns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2374EBD2">
      <w:pPr>
        <w:pStyle w:val="35"/>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1.供应商询问</w:t>
      </w:r>
    </w:p>
    <w:p w14:paraId="346CEBFE">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供应商对政府采购活动事项有疑问的，可以向招标代理机构提出询问，招标代理机构将对供应商依法提出的询问作出答复，但答复的内容不得涉及商业秘密。</w:t>
      </w:r>
    </w:p>
    <w:p w14:paraId="56329180">
      <w:pPr>
        <w:pStyle w:val="35"/>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2.供应商质疑</w:t>
      </w:r>
    </w:p>
    <w:p w14:paraId="63A57A03">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hAnsi="宋体" w:cs="宋体"/>
          <w:color w:val="auto"/>
          <w:sz w:val="22"/>
          <w:szCs w:val="22"/>
          <w:highlight w:val="none"/>
          <w:lang w:val="zh-CN"/>
        </w:rPr>
        <w:t>否则，不予受理：</w:t>
      </w:r>
    </w:p>
    <w:p w14:paraId="27EFCD2B">
      <w:pPr>
        <w:pStyle w:val="10"/>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（1）供应商如认为招标公告信息使自身的合法权益受到损害的，应于自招标公告发布之日起七个工作内以书面形式向招标代理机构提出质疑；</w:t>
      </w:r>
    </w:p>
    <w:p w14:paraId="64E570FF">
      <w:pPr>
        <w:pStyle w:val="10"/>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rPr>
        <w:t xml:space="preserve">   （2）</w:t>
      </w:r>
      <w:r>
        <w:rPr>
          <w:rFonts w:hint="eastAsia" w:hAnsi="宋体" w:cs="宋体"/>
          <w:color w:val="auto"/>
          <w:sz w:val="22"/>
          <w:szCs w:val="22"/>
          <w:highlight w:val="none"/>
          <w:lang w:val="zh-CN"/>
        </w:rPr>
        <w:t>对竞争性磋商文件提出质疑的，质疑期限为供应商获得竞争性磋商文件之日或者竞争性磋商文件公告期限届满之日起计算。</w:t>
      </w:r>
    </w:p>
    <w:p w14:paraId="79DD78E6">
      <w:pPr>
        <w:tabs>
          <w:tab w:val="left" w:pos="1069"/>
          <w:tab w:val="left" w:pos="2352"/>
        </w:tabs>
        <w:autoSpaceDE w:val="0"/>
        <w:autoSpaceDN w:val="0"/>
        <w:spacing w:line="400" w:lineRule="exact"/>
        <w:jc w:val="left"/>
        <w:rPr>
          <w:rFonts w:ascii="宋体" w:hAnsi="宋体" w:cs="宋体"/>
          <w:color w:val="auto"/>
          <w:kern w:val="0"/>
          <w:sz w:val="22"/>
          <w:highlight w:val="none"/>
          <w:lang w:val="zh-CN"/>
        </w:rPr>
      </w:pPr>
      <w:r>
        <w:rPr>
          <w:rFonts w:hint="eastAsia" w:ascii="宋体" w:hAnsi="宋体" w:cs="宋体"/>
          <w:color w:val="auto"/>
          <w:sz w:val="22"/>
          <w:highlight w:val="none"/>
        </w:rPr>
        <w:t xml:space="preserve">   （3）</w:t>
      </w:r>
      <w:r>
        <w:rPr>
          <w:rFonts w:hint="eastAsia" w:ascii="宋体" w:hAnsi="宋体" w:cs="宋体"/>
          <w:color w:val="auto"/>
          <w:kern w:val="0"/>
          <w:sz w:val="22"/>
          <w:highlight w:val="none"/>
          <w:lang w:val="zh-CN"/>
        </w:rPr>
        <w:t>对采购过程提出质疑的，质疑期限为各采购程序环节结束之日起计算。</w:t>
      </w:r>
    </w:p>
    <w:p w14:paraId="4430E447">
      <w:pPr>
        <w:pStyle w:val="10"/>
        <w:tabs>
          <w:tab w:val="left" w:pos="1069"/>
          <w:tab w:val="left" w:pos="2352"/>
        </w:tabs>
        <w:spacing w:line="400" w:lineRule="exact"/>
        <w:rPr>
          <w:rFonts w:hAnsi="宋体" w:cs="宋体"/>
          <w:color w:val="auto"/>
          <w:sz w:val="22"/>
          <w:szCs w:val="22"/>
          <w:highlight w:val="none"/>
        </w:rPr>
      </w:pPr>
      <w:r>
        <w:rPr>
          <w:rFonts w:hint="eastAsia" w:hAnsi="宋体" w:cs="宋体"/>
          <w:color w:val="auto"/>
          <w:sz w:val="22"/>
          <w:szCs w:val="22"/>
          <w:highlight w:val="none"/>
          <w:lang w:val="zh-CN"/>
        </w:rPr>
        <w:t xml:space="preserve">   （4）对采购结果提出质疑的，质疑期限自采购结果公告（包括公示、预公告、结果变更公告等）期限届满之日起计算。</w:t>
      </w:r>
    </w:p>
    <w:p w14:paraId="67D738E1">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2.2供应商提交的质疑书需一式三份，由法定代表人签字（或盖章）并加盖单位公章。质疑书至少应包括下列主要内容：</w:t>
      </w:r>
    </w:p>
    <w:p w14:paraId="3034C2DA">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（1）供应商的名称、地址、邮政编码、联系人、联系电话；</w:t>
      </w:r>
    </w:p>
    <w:p w14:paraId="245B3C8C">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（2）质疑项目的名称、编号；</w:t>
      </w:r>
    </w:p>
    <w:p w14:paraId="2CF89DEA">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（3）具体、明确的质疑事项和与质疑事项相关的请求；</w:t>
      </w:r>
    </w:p>
    <w:p w14:paraId="0AE10D4B">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（4）事实依据；</w:t>
      </w:r>
    </w:p>
    <w:p w14:paraId="7E77013A">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（5）必要的法律依据；</w:t>
      </w:r>
    </w:p>
    <w:p w14:paraId="79107D69">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（6）提出质疑的日期。</w:t>
      </w:r>
    </w:p>
    <w:p w14:paraId="71A66FB5">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14:paraId="284F03CB">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2.3采购人、采购代理机构应当在收到供应商的书面质疑后七个工作日内作出答复，并以书面形式通知质疑供应商和其他有关供应商，但答复的内容不得涉及商业秘密。</w:t>
      </w:r>
    </w:p>
    <w:p w14:paraId="56C49A91">
      <w:pPr>
        <w:pStyle w:val="35"/>
        <w:tabs>
          <w:tab w:val="left" w:pos="1069"/>
          <w:tab w:val="left" w:pos="2352"/>
        </w:tabs>
        <w:spacing w:before="0" w:line="400" w:lineRule="exact"/>
        <w:ind w:firstLine="0" w:firstLineChars="0"/>
        <w:rPr>
          <w:rFonts w:ascii="宋体" w:hAnsi="宋体" w:cs="宋体"/>
          <w:b/>
          <w:color w:val="auto"/>
          <w:sz w:val="22"/>
          <w:szCs w:val="22"/>
          <w:highlight w:val="none"/>
        </w:rPr>
      </w:pPr>
      <w:r>
        <w:rPr>
          <w:rFonts w:hint="eastAsia" w:ascii="宋体" w:hAnsi="宋体" w:cs="宋体"/>
          <w:b/>
          <w:color w:val="auto"/>
          <w:sz w:val="22"/>
          <w:szCs w:val="22"/>
          <w:highlight w:val="none"/>
        </w:rPr>
        <w:t>3.供应商投诉</w:t>
      </w:r>
    </w:p>
    <w:p w14:paraId="2AA5F125">
      <w:pPr>
        <w:pStyle w:val="10"/>
        <w:tabs>
          <w:tab w:val="left" w:pos="1069"/>
          <w:tab w:val="left" w:pos="2352"/>
        </w:tabs>
        <w:spacing w:line="400" w:lineRule="exact"/>
        <w:ind w:firstLine="501" w:firstLineChars="225"/>
        <w:rPr>
          <w:rFonts w:hAnsi="宋体" w:cs="宋体"/>
          <w:color w:val="auto"/>
          <w:sz w:val="22"/>
          <w:szCs w:val="22"/>
          <w:highlight w:val="none"/>
        </w:rPr>
      </w:pPr>
      <w:r>
        <w:rPr>
          <w:rFonts w:hint="eastAsia" w:hAnsi="宋体" w:cs="宋体"/>
          <w:color w:val="auto"/>
          <w:sz w:val="22"/>
          <w:szCs w:val="22"/>
          <w:highlight w:val="none"/>
        </w:rPr>
        <w:t>3.1供应商投诉应当提交投诉书和必要的证明材料。供应商投诉的事项不得超出已质疑事项的范围（基于质疑答复内容提出的投诉事项除外）。</w:t>
      </w:r>
    </w:p>
    <w:p w14:paraId="24468D9A">
      <w:pPr>
        <w:pStyle w:val="10"/>
        <w:tabs>
          <w:tab w:val="left" w:pos="1069"/>
          <w:tab w:val="left" w:pos="2352"/>
        </w:tabs>
        <w:spacing w:line="400" w:lineRule="exact"/>
        <w:ind w:firstLine="501" w:firstLineChars="225"/>
        <w:rPr>
          <w:rFonts w:hint="eastAsia" w:hAnsi="宋体" w:cs="宋体"/>
          <w:color w:val="auto"/>
          <w:sz w:val="22"/>
          <w:szCs w:val="22"/>
          <w:highlight w:val="none"/>
        </w:rPr>
      </w:pPr>
      <w:r>
        <w:rPr>
          <w:rFonts w:hint="eastAsia" w:hAnsi="宋体" w:cs="宋体"/>
          <w:color w:val="auto"/>
          <w:sz w:val="22"/>
          <w:szCs w:val="22"/>
          <w:highlight w:val="none"/>
        </w:rPr>
        <w:t>3.2质疑供应商对采购人、采购代理机构的答复不满意或者采购人、采购代理机构未在规定的时间内作出答复的，可以在答复期满后十五个工作日内向同级财政部门提出投诉。</w:t>
      </w:r>
    </w:p>
    <w:p w14:paraId="3B4BA89E">
      <w:pPr>
        <w:pStyle w:val="10"/>
        <w:tabs>
          <w:tab w:val="left" w:pos="1069"/>
          <w:tab w:val="left" w:pos="2352"/>
        </w:tabs>
        <w:spacing w:line="400" w:lineRule="exact"/>
        <w:ind w:firstLine="478" w:firstLineChars="225"/>
        <w:rPr>
          <w:rFonts w:hint="default" w:ascii="宋体" w:hAnsi="宋体" w:eastAsia="宋体"/>
          <w:b/>
          <w:bCs/>
          <w:color w:val="auto"/>
          <w:highlight w:val="none"/>
          <w:lang w:val="en-US" w:eastAsia="zh-CN"/>
        </w:rPr>
      </w:pPr>
      <w:r>
        <w:rPr>
          <w:rFonts w:hint="eastAsia" w:ascii="宋体" w:hAnsi="宋体"/>
          <w:color w:val="auto"/>
          <w:highlight w:val="none"/>
        </w:rPr>
        <w:t>质疑函范本</w:t>
      </w:r>
      <w:r>
        <w:rPr>
          <w:rFonts w:hint="eastAsia" w:ascii="宋体" w:hAnsi="宋体"/>
          <w:color w:val="auto"/>
          <w:highlight w:val="none"/>
          <w:lang w:eastAsia="zh-CN"/>
        </w:rPr>
        <w:t>、</w:t>
      </w:r>
      <w:r>
        <w:rPr>
          <w:rFonts w:hint="eastAsia" w:ascii="宋体" w:hAnsi="宋体"/>
          <w:color w:val="auto"/>
          <w:highlight w:val="none"/>
        </w:rPr>
        <w:t>投诉书范本</w:t>
      </w:r>
      <w:r>
        <w:rPr>
          <w:rFonts w:hint="eastAsia" w:ascii="宋体" w:hAnsi="宋体"/>
          <w:color w:val="auto"/>
          <w:highlight w:val="none"/>
          <w:lang w:val="en-US" w:eastAsia="zh-CN"/>
        </w:rPr>
        <w:t>请至浙江政府采购网下载。</w:t>
      </w:r>
    </w:p>
    <w:p w14:paraId="7F78AE60">
      <w:pPr>
        <w:pStyle w:val="33"/>
        <w:spacing w:line="400" w:lineRule="exact"/>
        <w:ind w:firstLine="446" w:firstLineChars="200"/>
        <w:rPr>
          <w:rFonts w:hint="eastAsia"/>
          <w:b/>
          <w:bCs/>
          <w:color w:val="auto"/>
          <w:sz w:val="22"/>
          <w:szCs w:val="22"/>
          <w:highlight w:val="none"/>
        </w:rPr>
      </w:pPr>
      <w:r>
        <w:rPr>
          <w:rFonts w:hint="eastAsia"/>
          <w:b/>
          <w:bCs/>
          <w:color w:val="auto"/>
          <w:sz w:val="22"/>
          <w:szCs w:val="22"/>
          <w:highlight w:val="none"/>
        </w:rPr>
        <w:t>4.线上质疑及投诉</w:t>
      </w:r>
    </w:p>
    <w:p w14:paraId="51A06C88">
      <w:pPr>
        <w:pStyle w:val="33"/>
        <w:spacing w:line="400" w:lineRule="exact"/>
        <w:ind w:firstLine="446" w:firstLineChars="200"/>
        <w:rPr>
          <w:rFonts w:hint="eastAsia"/>
          <w:color w:val="auto"/>
          <w:sz w:val="22"/>
          <w:szCs w:val="22"/>
          <w:highlight w:val="none"/>
        </w:rPr>
      </w:pPr>
      <w:r>
        <w:rPr>
          <w:rFonts w:hint="eastAsia"/>
          <w:color w:val="auto"/>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A87E0F">
      <w:pPr>
        <w:pStyle w:val="25"/>
        <w:tabs>
          <w:tab w:val="left" w:pos="1069"/>
          <w:tab w:val="left" w:pos="2352"/>
        </w:tabs>
        <w:ind w:left="856" w:hanging="428"/>
        <w:rPr>
          <w:rFonts w:ascii="宋体" w:hAnsi="宋体"/>
          <w:color w:val="auto"/>
          <w:highlight w:val="none"/>
        </w:rPr>
      </w:pPr>
    </w:p>
    <w:p w14:paraId="1D58F232">
      <w:pPr>
        <w:tabs>
          <w:tab w:val="left" w:pos="1069"/>
          <w:tab w:val="left" w:pos="2352"/>
        </w:tabs>
        <w:jc w:val="center"/>
        <w:rPr>
          <w:rFonts w:ascii="宋体" w:hAnsi="宋体" w:cs="宋体"/>
          <w:b/>
          <w:color w:val="auto"/>
          <w:sz w:val="32"/>
          <w:szCs w:val="32"/>
          <w:highlight w:val="none"/>
        </w:rPr>
      </w:pPr>
      <w:bookmarkStart w:id="61" w:name="_Toc29876_WPSOffice_Level1"/>
    </w:p>
    <w:p w14:paraId="07B5AC75">
      <w:pPr>
        <w:tabs>
          <w:tab w:val="left" w:pos="1069"/>
          <w:tab w:val="left" w:pos="2352"/>
        </w:tabs>
        <w:jc w:val="center"/>
        <w:rPr>
          <w:rFonts w:ascii="宋体" w:hAnsi="宋体" w:cs="宋体"/>
          <w:b/>
          <w:bCs/>
          <w:color w:val="auto"/>
          <w:sz w:val="32"/>
          <w:szCs w:val="32"/>
          <w:highlight w:val="none"/>
          <w:lang w:val="zh-CN"/>
        </w:rPr>
      </w:pPr>
      <w:r>
        <w:rPr>
          <w:rFonts w:hint="eastAsia" w:ascii="宋体" w:hAnsi="宋体" w:cs="宋体"/>
          <w:b/>
          <w:color w:val="auto"/>
          <w:sz w:val="32"/>
          <w:szCs w:val="32"/>
          <w:highlight w:val="none"/>
        </w:rPr>
        <w:t>第四部分、</w:t>
      </w:r>
      <w:r>
        <w:rPr>
          <w:rFonts w:hint="eastAsia" w:ascii="宋体" w:hAnsi="宋体" w:cs="宋体"/>
          <w:b/>
          <w:bCs/>
          <w:color w:val="auto"/>
          <w:sz w:val="32"/>
          <w:szCs w:val="32"/>
          <w:highlight w:val="none"/>
          <w:lang w:val="zh-CN"/>
        </w:rPr>
        <w:t>政府采购政策功能相关说明</w:t>
      </w:r>
    </w:p>
    <w:p w14:paraId="385481F2">
      <w:pPr>
        <w:tabs>
          <w:tab w:val="left" w:pos="1069"/>
          <w:tab w:val="left" w:pos="2352"/>
        </w:tabs>
        <w:jc w:val="left"/>
        <w:rPr>
          <w:rFonts w:ascii="宋体"/>
          <w:b/>
          <w:bCs/>
          <w:color w:val="auto"/>
          <w:sz w:val="22"/>
          <w:highlight w:val="none"/>
        </w:rPr>
      </w:pPr>
      <w:bookmarkStart w:id="62" w:name="_Toc25899_WPSOffice_Level2"/>
      <w:bookmarkStart w:id="63" w:name="_Toc10483_WPSOffice_Level2"/>
      <w:r>
        <w:rPr>
          <w:rFonts w:hint="eastAsia" w:ascii="宋体"/>
          <w:b/>
          <w:bCs/>
          <w:color w:val="auto"/>
          <w:sz w:val="22"/>
          <w:highlight w:val="none"/>
        </w:rPr>
        <w:t>一、</w:t>
      </w:r>
      <w:bookmarkEnd w:id="62"/>
      <w:r>
        <w:rPr>
          <w:rFonts w:hint="eastAsia" w:ascii="宋体"/>
          <w:b/>
          <w:bCs/>
          <w:color w:val="auto"/>
          <w:sz w:val="22"/>
          <w:highlight w:val="none"/>
        </w:rPr>
        <w:t>中小企业（含监狱企业、残疾人福利性单位）扶持政策说明</w:t>
      </w:r>
    </w:p>
    <w:p w14:paraId="00BA3065">
      <w:pPr>
        <w:tabs>
          <w:tab w:val="left" w:pos="1069"/>
          <w:tab w:val="left" w:pos="2352"/>
        </w:tabs>
        <w:spacing w:line="440" w:lineRule="atLeast"/>
        <w:jc w:val="left"/>
        <w:rPr>
          <w:rFonts w:ascii="宋体"/>
          <w:color w:val="auto"/>
          <w:sz w:val="22"/>
          <w:highlight w:val="none"/>
        </w:rPr>
      </w:pPr>
      <w:r>
        <w:rPr>
          <w:rFonts w:ascii="宋体"/>
          <w:color w:val="auto"/>
          <w:sz w:val="22"/>
          <w:highlight w:val="none"/>
        </w:rPr>
        <w:t>1</w:t>
      </w:r>
      <w:r>
        <w:rPr>
          <w:rFonts w:hint="eastAsia" w:ascii="宋体"/>
          <w:color w:val="auto"/>
          <w:sz w:val="22"/>
          <w:highlight w:val="none"/>
        </w:rPr>
        <w:t>、文件依据</w:t>
      </w:r>
    </w:p>
    <w:p w14:paraId="305D5832">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1</w:t>
      </w:r>
      <w:r>
        <w:rPr>
          <w:rFonts w:hint="eastAsia" w:ascii="宋体"/>
          <w:color w:val="auto"/>
          <w:sz w:val="22"/>
          <w:highlight w:val="none"/>
        </w:rPr>
        <w:t>）《政府采购促进中小企业发展管理办法》（财库﹝2020﹞46 号）</w:t>
      </w:r>
    </w:p>
    <w:p w14:paraId="0EDB0EE3">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w:t>
      </w:r>
      <w:r>
        <w:rPr>
          <w:rFonts w:ascii="宋体"/>
          <w:color w:val="auto"/>
          <w:sz w:val="22"/>
          <w:highlight w:val="none"/>
        </w:rPr>
        <w:t>2</w:t>
      </w:r>
      <w:r>
        <w:rPr>
          <w:rFonts w:hint="eastAsia" w:ascii="宋体"/>
          <w:color w:val="auto"/>
          <w:sz w:val="22"/>
          <w:highlight w:val="none"/>
        </w:rPr>
        <w:t>）浙江省省财政厅《关于开展政府采购供应商网上注册登记和诚信管理工作的通知》（浙财采监〔2010〕8号)</w:t>
      </w:r>
    </w:p>
    <w:p w14:paraId="5E2A9FD4">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（3）《工业和信息化部、国家统计局、国家发展和改革委员会、财政部关于印发中小企业划型标准规定的通知》（工信部联企业﹝2011﹞300号）</w:t>
      </w:r>
    </w:p>
    <w:p w14:paraId="22CCFF17">
      <w:pPr>
        <w:tabs>
          <w:tab w:val="left" w:pos="2352"/>
        </w:tabs>
        <w:spacing w:line="440" w:lineRule="atLeast"/>
        <w:jc w:val="left"/>
        <w:rPr>
          <w:rFonts w:ascii="宋体"/>
          <w:color w:val="auto"/>
          <w:sz w:val="22"/>
          <w:highlight w:val="none"/>
        </w:rPr>
      </w:pPr>
      <w:r>
        <w:rPr>
          <w:rFonts w:hint="eastAsia" w:ascii="宋体"/>
          <w:color w:val="auto"/>
          <w:sz w:val="22"/>
          <w:highlight w:val="none"/>
        </w:rPr>
        <w:t>（4）财政部、司法部《关于政府采购支持监狱企业发展有关问题的通知》（财库〔</w:t>
      </w:r>
      <w:r>
        <w:rPr>
          <w:rFonts w:ascii="宋体"/>
          <w:color w:val="auto"/>
          <w:sz w:val="22"/>
          <w:highlight w:val="none"/>
        </w:rPr>
        <w:t>2014</w:t>
      </w:r>
      <w:r>
        <w:rPr>
          <w:rFonts w:hint="eastAsia" w:ascii="宋体"/>
          <w:color w:val="auto"/>
          <w:sz w:val="22"/>
          <w:highlight w:val="none"/>
        </w:rPr>
        <w:t>〕</w:t>
      </w:r>
      <w:r>
        <w:rPr>
          <w:rFonts w:ascii="宋体"/>
          <w:color w:val="auto"/>
          <w:sz w:val="22"/>
          <w:highlight w:val="none"/>
        </w:rPr>
        <w:t>68</w:t>
      </w:r>
      <w:r>
        <w:rPr>
          <w:rFonts w:hint="eastAsia" w:ascii="宋体"/>
          <w:color w:val="auto"/>
          <w:sz w:val="22"/>
          <w:highlight w:val="none"/>
        </w:rPr>
        <w:t>号）</w:t>
      </w:r>
    </w:p>
    <w:p w14:paraId="0825573B">
      <w:pPr>
        <w:tabs>
          <w:tab w:val="left" w:pos="2352"/>
        </w:tabs>
        <w:spacing w:line="440" w:lineRule="atLeast"/>
        <w:jc w:val="left"/>
        <w:rPr>
          <w:rFonts w:ascii="宋体"/>
          <w:color w:val="auto"/>
          <w:sz w:val="22"/>
          <w:highlight w:val="none"/>
        </w:rPr>
      </w:pPr>
      <w:r>
        <w:rPr>
          <w:rFonts w:hint="eastAsia" w:ascii="宋体"/>
          <w:color w:val="auto"/>
          <w:sz w:val="22"/>
          <w:highlight w:val="none"/>
        </w:rPr>
        <w:t>（5）《财政部民政部中国残疾人联合会关于促进残疾人就业政府采购政策的通知》（财库〔</w:t>
      </w:r>
      <w:r>
        <w:rPr>
          <w:rFonts w:ascii="宋体"/>
          <w:color w:val="auto"/>
          <w:sz w:val="22"/>
          <w:highlight w:val="none"/>
        </w:rPr>
        <w:t>2017</w:t>
      </w:r>
      <w:r>
        <w:rPr>
          <w:rFonts w:hint="eastAsia" w:ascii="宋体"/>
          <w:color w:val="auto"/>
          <w:sz w:val="22"/>
          <w:highlight w:val="none"/>
        </w:rPr>
        <w:t>〕</w:t>
      </w:r>
      <w:r>
        <w:rPr>
          <w:rFonts w:ascii="宋体"/>
          <w:color w:val="auto"/>
          <w:sz w:val="22"/>
          <w:highlight w:val="none"/>
        </w:rPr>
        <w:t xml:space="preserve"> 141</w:t>
      </w:r>
      <w:r>
        <w:rPr>
          <w:rFonts w:hint="eastAsia" w:ascii="宋体"/>
          <w:color w:val="auto"/>
          <w:sz w:val="22"/>
          <w:highlight w:val="none"/>
        </w:rPr>
        <w:t>号）</w:t>
      </w:r>
    </w:p>
    <w:p w14:paraId="129C2E56">
      <w:pPr>
        <w:tabs>
          <w:tab w:val="left" w:pos="1069"/>
          <w:tab w:val="left" w:pos="2352"/>
        </w:tabs>
        <w:spacing w:line="440" w:lineRule="atLeast"/>
        <w:jc w:val="left"/>
        <w:rPr>
          <w:rFonts w:hAnsi="宋体" w:cs="宋体"/>
          <w:color w:val="auto"/>
          <w:sz w:val="22"/>
          <w:highlight w:val="none"/>
        </w:rPr>
      </w:pPr>
      <w:r>
        <w:rPr>
          <w:rFonts w:hint="eastAsia" w:ascii="宋体"/>
          <w:color w:val="auto"/>
          <w:sz w:val="22"/>
          <w:highlight w:val="none"/>
        </w:rPr>
        <w:t>（6）</w:t>
      </w:r>
      <w:r>
        <w:rPr>
          <w:rFonts w:hint="eastAsia" w:hAnsi="宋体" w:cs="宋体"/>
          <w:color w:val="auto"/>
          <w:sz w:val="22"/>
          <w:highlight w:val="none"/>
        </w:rPr>
        <w:t>《浙江省财政厅关于进一步发挥政府采购政策 功能全力推动经济稳进提质的通知》（浙财采监〔2022〕3号）</w:t>
      </w:r>
    </w:p>
    <w:p w14:paraId="2CF67A27">
      <w:pPr>
        <w:tabs>
          <w:tab w:val="left" w:pos="1069"/>
          <w:tab w:val="left" w:pos="2352"/>
        </w:tabs>
        <w:spacing w:line="440" w:lineRule="atLeast"/>
        <w:jc w:val="left"/>
        <w:rPr>
          <w:color w:val="auto"/>
          <w:highlight w:val="none"/>
        </w:rPr>
      </w:pPr>
      <w:r>
        <w:rPr>
          <w:rFonts w:hint="eastAsia" w:hAnsi="宋体" w:cs="宋体"/>
          <w:color w:val="auto"/>
          <w:sz w:val="22"/>
          <w:highlight w:val="none"/>
        </w:rPr>
        <w:t>（7）《关于进一步加大政府采购 支持中小企业力度 助力扎实稳住经济 的通知》（浙财采监〔2022〕8号）</w:t>
      </w:r>
    </w:p>
    <w:p w14:paraId="492285CD">
      <w:pPr>
        <w:tabs>
          <w:tab w:val="left" w:pos="1069"/>
          <w:tab w:val="left" w:pos="2352"/>
        </w:tabs>
        <w:spacing w:line="440" w:lineRule="atLeast"/>
        <w:jc w:val="left"/>
        <w:rPr>
          <w:rFonts w:ascii="宋体"/>
          <w:color w:val="auto"/>
          <w:sz w:val="22"/>
          <w:highlight w:val="none"/>
        </w:rPr>
      </w:pPr>
      <w:r>
        <w:rPr>
          <w:rFonts w:hint="eastAsia" w:ascii="宋体"/>
          <w:color w:val="auto"/>
          <w:sz w:val="22"/>
          <w:highlight w:val="none"/>
        </w:rPr>
        <w:t>2、</w:t>
      </w:r>
      <w:r>
        <w:rPr>
          <w:rFonts w:hint="eastAsia" w:ascii="宋体"/>
          <w:b/>
          <w:bCs/>
          <w:color w:val="auto"/>
          <w:sz w:val="22"/>
          <w:highlight w:val="none"/>
          <w:u w:val="single"/>
        </w:rPr>
        <w:t>本项目专门面向中小企业采购，</w:t>
      </w:r>
      <w:r>
        <w:rPr>
          <w:rFonts w:hint="eastAsia" w:ascii="宋体"/>
          <w:color w:val="auto"/>
          <w:sz w:val="22"/>
          <w:highlight w:val="none"/>
        </w:rPr>
        <w:t>符合要求应的应提供以下证明材料</w:t>
      </w:r>
      <w:r>
        <w:rPr>
          <w:rFonts w:hint="eastAsia" w:ascii="宋体"/>
          <w:color w:val="auto"/>
          <w:sz w:val="22"/>
          <w:highlight w:val="none"/>
          <w:u w:val="single"/>
        </w:rPr>
        <w:t>（</w:t>
      </w:r>
      <w:r>
        <w:rPr>
          <w:rFonts w:hint="eastAsia" w:ascii="宋体"/>
          <w:b/>
          <w:bCs/>
          <w:color w:val="auto"/>
          <w:sz w:val="22"/>
          <w:highlight w:val="none"/>
          <w:u w:val="single"/>
        </w:rPr>
        <w:t>附在</w:t>
      </w:r>
      <w:r>
        <w:rPr>
          <w:rFonts w:hint="eastAsia" w:ascii="宋体" w:hAnsi="宋体" w:cs="宋体"/>
          <w:b/>
          <w:bCs/>
          <w:color w:val="auto"/>
          <w:sz w:val="22"/>
          <w:highlight w:val="none"/>
          <w:u w:val="single"/>
        </w:rPr>
        <w:t>《资格文件》</w:t>
      </w:r>
      <w:r>
        <w:rPr>
          <w:rFonts w:hint="eastAsia" w:ascii="宋体"/>
          <w:b/>
          <w:bCs/>
          <w:color w:val="auto"/>
          <w:sz w:val="22"/>
          <w:highlight w:val="none"/>
          <w:u w:val="single"/>
        </w:rPr>
        <w:t>中</w:t>
      </w:r>
      <w:r>
        <w:rPr>
          <w:rFonts w:hint="eastAsia" w:ascii="宋体"/>
          <w:color w:val="auto"/>
          <w:sz w:val="22"/>
          <w:highlight w:val="none"/>
          <w:u w:val="single"/>
        </w:rPr>
        <w:t>）</w:t>
      </w:r>
      <w:r>
        <w:rPr>
          <w:rFonts w:hint="eastAsia" w:ascii="宋体"/>
          <w:color w:val="auto"/>
          <w:sz w:val="22"/>
          <w:highlight w:val="none"/>
        </w:rPr>
        <w:t>：</w:t>
      </w:r>
    </w:p>
    <w:p w14:paraId="52D00FB9">
      <w:pPr>
        <w:tabs>
          <w:tab w:val="left" w:pos="2352"/>
        </w:tabs>
        <w:spacing w:line="440" w:lineRule="atLeast"/>
        <w:jc w:val="left"/>
        <w:rPr>
          <w:rFonts w:ascii="宋体"/>
          <w:color w:val="auto"/>
          <w:sz w:val="22"/>
          <w:highlight w:val="none"/>
        </w:rPr>
      </w:pPr>
      <w:r>
        <w:rPr>
          <w:rFonts w:hint="eastAsia" w:ascii="宋体"/>
          <w:color w:val="auto"/>
          <w:sz w:val="22"/>
          <w:highlight w:val="none"/>
        </w:rPr>
        <w:t>（1）小微企业：中小企业声明函（原件，加盖供应商公章，格式见附件1）</w:t>
      </w:r>
    </w:p>
    <w:p w14:paraId="0E1A8DB9">
      <w:pPr>
        <w:tabs>
          <w:tab w:val="left" w:pos="2352"/>
        </w:tabs>
        <w:spacing w:line="440" w:lineRule="atLeast"/>
        <w:jc w:val="left"/>
        <w:rPr>
          <w:rFonts w:ascii="宋体"/>
          <w:color w:val="auto"/>
          <w:sz w:val="22"/>
          <w:highlight w:val="none"/>
        </w:rPr>
      </w:pPr>
      <w:r>
        <w:rPr>
          <w:rFonts w:hint="eastAsia" w:ascii="宋体"/>
          <w:color w:val="auto"/>
          <w:sz w:val="22"/>
          <w:highlight w:val="none"/>
        </w:rPr>
        <w:t>（2）残疾人福利性单位：残疾人福利性单位声明函（原件，加盖供应商公章，格式见附件1）</w:t>
      </w:r>
    </w:p>
    <w:p w14:paraId="0AD1E042">
      <w:pPr>
        <w:tabs>
          <w:tab w:val="left" w:pos="2352"/>
        </w:tabs>
        <w:spacing w:line="440" w:lineRule="atLeast"/>
        <w:jc w:val="left"/>
        <w:rPr>
          <w:rFonts w:ascii="宋体"/>
          <w:color w:val="auto"/>
          <w:sz w:val="22"/>
          <w:highlight w:val="none"/>
        </w:rPr>
      </w:pPr>
      <w:r>
        <w:rPr>
          <w:rFonts w:hint="eastAsia" w:ascii="宋体"/>
          <w:color w:val="auto"/>
          <w:sz w:val="22"/>
          <w:highlight w:val="none"/>
        </w:rPr>
        <w:t>（3）监狱企业：提供由省级以上监狱管理局、戒毒管理局（含新疆生产建设兵团）出具的属于监狱企业的证明文件（原件）</w:t>
      </w:r>
    </w:p>
    <w:p w14:paraId="591ED5D1">
      <w:pPr>
        <w:tabs>
          <w:tab w:val="left" w:pos="2352"/>
        </w:tabs>
        <w:spacing w:line="440" w:lineRule="atLeast"/>
        <w:jc w:val="left"/>
        <w:rPr>
          <w:rFonts w:ascii="宋体"/>
          <w:color w:val="auto"/>
          <w:sz w:val="22"/>
          <w:highlight w:val="none"/>
        </w:rPr>
      </w:pPr>
      <w:r>
        <w:rPr>
          <w:rFonts w:hint="eastAsia" w:ascii="宋体"/>
          <w:color w:val="auto"/>
          <w:sz w:val="22"/>
          <w:highlight w:val="none"/>
        </w:rPr>
        <w:t>3、扶持政策说明：</w:t>
      </w:r>
    </w:p>
    <w:p w14:paraId="16FADC10">
      <w:pPr>
        <w:tabs>
          <w:tab w:val="left" w:pos="2352"/>
        </w:tabs>
        <w:spacing w:line="440" w:lineRule="atLeast"/>
        <w:jc w:val="left"/>
        <w:rPr>
          <w:rFonts w:ascii="宋体"/>
          <w:color w:val="auto"/>
          <w:sz w:val="22"/>
          <w:highlight w:val="none"/>
        </w:rPr>
      </w:pPr>
      <w:r>
        <w:rPr>
          <w:rFonts w:hint="eastAsia" w:ascii="宋体"/>
          <w:color w:val="auto"/>
          <w:sz w:val="22"/>
          <w:highlight w:val="none"/>
        </w:rPr>
        <w:t>残疾人福利性单位、监狱企业参加投标视同小微企业。</w:t>
      </w:r>
    </w:p>
    <w:p w14:paraId="49CE0E8C">
      <w:pPr>
        <w:tabs>
          <w:tab w:val="left" w:pos="2352"/>
        </w:tabs>
        <w:spacing w:line="440" w:lineRule="atLeast"/>
        <w:jc w:val="left"/>
        <w:rPr>
          <w:rFonts w:ascii="宋体"/>
          <w:color w:val="auto"/>
          <w:sz w:val="22"/>
          <w:highlight w:val="none"/>
        </w:rPr>
      </w:pPr>
      <w:r>
        <w:rPr>
          <w:rFonts w:hint="eastAsia" w:ascii="宋体"/>
          <w:color w:val="auto"/>
          <w:sz w:val="22"/>
          <w:highlight w:val="none"/>
        </w:rPr>
        <w:t>4、</w:t>
      </w:r>
      <w:r>
        <w:rPr>
          <w:rFonts w:hint="eastAsia" w:ascii="宋体"/>
          <w:b/>
          <w:bCs/>
          <w:color w:val="auto"/>
          <w:sz w:val="22"/>
          <w:highlight w:val="none"/>
        </w:rPr>
        <w:t xml:space="preserve">本项目采购标的所属行业为 </w:t>
      </w:r>
      <w:r>
        <w:rPr>
          <w:rFonts w:hint="eastAsia" w:ascii="宋体" w:hAnsi="宋体" w:cs="宋体"/>
          <w:b/>
          <w:bCs/>
          <w:color w:val="auto"/>
          <w:sz w:val="22"/>
          <w:highlight w:val="none"/>
          <w:u w:val="single"/>
        </w:rPr>
        <w:t>其他未列明行业。</w:t>
      </w:r>
    </w:p>
    <w:p w14:paraId="23F954BC">
      <w:pPr>
        <w:tabs>
          <w:tab w:val="left" w:pos="2352"/>
        </w:tabs>
        <w:snapToGrid w:val="0"/>
        <w:spacing w:line="360" w:lineRule="auto"/>
        <w:jc w:val="left"/>
        <w:rPr>
          <w:b/>
          <w:color w:val="auto"/>
          <w:sz w:val="28"/>
          <w:szCs w:val="28"/>
          <w:highlight w:val="none"/>
        </w:rPr>
      </w:pPr>
    </w:p>
    <w:p w14:paraId="6EE7257F">
      <w:pPr>
        <w:tabs>
          <w:tab w:val="left" w:pos="2352"/>
        </w:tabs>
        <w:snapToGrid w:val="0"/>
        <w:spacing w:line="360" w:lineRule="auto"/>
        <w:jc w:val="left"/>
        <w:rPr>
          <w:b/>
          <w:color w:val="auto"/>
          <w:sz w:val="28"/>
          <w:szCs w:val="28"/>
          <w:highlight w:val="none"/>
        </w:rPr>
      </w:pPr>
    </w:p>
    <w:p w14:paraId="2EBD0B13">
      <w:pPr>
        <w:tabs>
          <w:tab w:val="left" w:pos="2352"/>
        </w:tabs>
        <w:snapToGrid w:val="0"/>
        <w:spacing w:line="360" w:lineRule="auto"/>
        <w:jc w:val="left"/>
        <w:rPr>
          <w:b/>
          <w:color w:val="auto"/>
          <w:sz w:val="28"/>
          <w:szCs w:val="28"/>
          <w:highlight w:val="none"/>
        </w:rPr>
      </w:pPr>
    </w:p>
    <w:p w14:paraId="6E4C0444">
      <w:pPr>
        <w:tabs>
          <w:tab w:val="left" w:pos="2352"/>
        </w:tabs>
        <w:snapToGrid w:val="0"/>
        <w:spacing w:line="360" w:lineRule="auto"/>
        <w:jc w:val="left"/>
        <w:rPr>
          <w:b/>
          <w:color w:val="auto"/>
          <w:sz w:val="28"/>
          <w:szCs w:val="28"/>
          <w:highlight w:val="none"/>
        </w:rPr>
      </w:pPr>
    </w:p>
    <w:p w14:paraId="701EABFD">
      <w:pPr>
        <w:tabs>
          <w:tab w:val="left" w:pos="2352"/>
        </w:tabs>
        <w:snapToGrid w:val="0"/>
        <w:spacing w:line="360" w:lineRule="auto"/>
        <w:jc w:val="left"/>
        <w:rPr>
          <w:b/>
          <w:color w:val="auto"/>
          <w:sz w:val="28"/>
          <w:szCs w:val="28"/>
          <w:highlight w:val="none"/>
        </w:rPr>
      </w:pPr>
    </w:p>
    <w:p w14:paraId="6826FA76">
      <w:pPr>
        <w:tabs>
          <w:tab w:val="left" w:pos="2352"/>
        </w:tabs>
        <w:snapToGrid w:val="0"/>
        <w:spacing w:line="360" w:lineRule="auto"/>
        <w:jc w:val="left"/>
        <w:rPr>
          <w:b/>
          <w:color w:val="auto"/>
          <w:sz w:val="28"/>
          <w:szCs w:val="28"/>
          <w:highlight w:val="none"/>
        </w:rPr>
      </w:pPr>
    </w:p>
    <w:p w14:paraId="7A39165C">
      <w:pPr>
        <w:tabs>
          <w:tab w:val="left" w:pos="2352"/>
        </w:tabs>
        <w:snapToGrid w:val="0"/>
        <w:spacing w:line="360" w:lineRule="auto"/>
        <w:jc w:val="left"/>
        <w:rPr>
          <w:b/>
          <w:color w:val="auto"/>
          <w:sz w:val="28"/>
          <w:szCs w:val="28"/>
          <w:highlight w:val="none"/>
        </w:rPr>
      </w:pPr>
    </w:p>
    <w:p w14:paraId="00B60BC2">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附件1</w:t>
      </w:r>
    </w:p>
    <w:p w14:paraId="2D487AC9">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中小企业声明函（服务）</w:t>
      </w:r>
    </w:p>
    <w:p w14:paraId="2B888AE5">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本公司（联合体）郑重声明，根据《政府采购促进中小企业发展管理办法》（财库﹝2020﹞46 号）的规定，本公司 （联合体）参加</w:t>
      </w:r>
      <w:r>
        <w:rPr>
          <w:rFonts w:ascii="宋体" w:hAnsi="宋体" w:cs="宋体"/>
          <w:color w:val="auto"/>
          <w:sz w:val="22"/>
          <w:highlight w:val="none"/>
          <w:u w:val="single"/>
        </w:rPr>
        <w:t>（</w:t>
      </w:r>
      <w:r>
        <w:rPr>
          <w:rFonts w:hint="eastAsia" w:ascii="宋体" w:hAnsi="宋体" w:cs="宋体"/>
          <w:color w:val="auto"/>
          <w:sz w:val="22"/>
          <w:highlight w:val="none"/>
          <w:u w:val="single"/>
        </w:rPr>
        <w:t>泰顺县自然资源和规划局</w:t>
      </w:r>
      <w:r>
        <w:rPr>
          <w:rFonts w:ascii="宋体" w:hAnsi="宋体" w:cs="宋体"/>
          <w:color w:val="auto"/>
          <w:sz w:val="22"/>
          <w:highlight w:val="none"/>
          <w:u w:val="single"/>
        </w:rPr>
        <w:t>）</w:t>
      </w:r>
      <w:r>
        <w:rPr>
          <w:rFonts w:ascii="宋体" w:hAnsi="宋体" w:cs="宋体"/>
          <w:color w:val="auto"/>
          <w:sz w:val="22"/>
          <w:highlight w:val="none"/>
        </w:rPr>
        <w:t>的</w:t>
      </w:r>
      <w:r>
        <w:rPr>
          <w:rFonts w:ascii="宋体" w:hAnsi="宋体" w:cs="宋体"/>
          <w:color w:val="auto"/>
          <w:sz w:val="22"/>
          <w:highlight w:val="none"/>
          <w:u w:val="single"/>
        </w:rPr>
        <w:t>（</w:t>
      </w:r>
      <w:r>
        <w:rPr>
          <w:rFonts w:hint="eastAsia" w:ascii="宋体" w:hAnsi="宋体" w:cs="宋体"/>
          <w:color w:val="auto"/>
          <w:sz w:val="22"/>
          <w:highlight w:val="none"/>
          <w:u w:val="single"/>
        </w:rPr>
        <w:t>2024年泰顺县森林资源动态监测与评价</w:t>
      </w:r>
      <w:r>
        <w:rPr>
          <w:rFonts w:ascii="宋体" w:hAnsi="宋体" w:cs="宋体"/>
          <w:color w:val="auto"/>
          <w:sz w:val="22"/>
          <w:highlight w:val="none"/>
          <w:u w:val="single"/>
        </w:rPr>
        <w:t>）</w:t>
      </w:r>
      <w:r>
        <w:rPr>
          <w:rFonts w:ascii="宋体" w:hAnsi="宋体" w:cs="宋体"/>
          <w:color w:val="auto"/>
          <w:sz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6BDB7FFA">
      <w:pPr>
        <w:numPr>
          <w:ilvl w:val="0"/>
          <w:numId w:val="7"/>
        </w:num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b/>
          <w:bCs/>
          <w:color w:val="auto"/>
          <w:sz w:val="22"/>
          <w:highlight w:val="none"/>
          <w:u w:val="single"/>
        </w:rPr>
        <w:t>（</w:t>
      </w:r>
      <w:r>
        <w:rPr>
          <w:rFonts w:hint="eastAsia" w:ascii="宋体" w:hAnsi="宋体" w:cs="宋体"/>
          <w:b/>
          <w:bCs/>
          <w:color w:val="auto"/>
          <w:sz w:val="22"/>
          <w:highlight w:val="none"/>
          <w:u w:val="single"/>
        </w:rPr>
        <w:t>标的名称</w:t>
      </w:r>
      <w:r>
        <w:rPr>
          <w:rFonts w:ascii="宋体" w:hAnsi="宋体" w:cs="宋体"/>
          <w:b/>
          <w:bCs/>
          <w:color w:val="auto"/>
          <w:sz w:val="22"/>
          <w:highlight w:val="none"/>
          <w:u w:val="single"/>
        </w:rPr>
        <w:t>）</w:t>
      </w:r>
      <w:r>
        <w:rPr>
          <w:rFonts w:ascii="宋体" w:hAnsi="宋体" w:cs="宋体"/>
          <w:b/>
          <w:bCs/>
          <w:color w:val="auto"/>
          <w:sz w:val="22"/>
          <w:highlight w:val="none"/>
        </w:rPr>
        <w:t xml:space="preserve"> </w:t>
      </w:r>
      <w:r>
        <w:rPr>
          <w:rFonts w:ascii="宋体" w:hAnsi="宋体" w:cs="宋体"/>
          <w:color w:val="auto"/>
          <w:sz w:val="22"/>
          <w:highlight w:val="none"/>
        </w:rPr>
        <w:t>，属于</w:t>
      </w:r>
      <w:r>
        <w:rPr>
          <w:rFonts w:hint="eastAsia" w:ascii="宋体" w:hAnsi="宋体" w:cs="宋体"/>
          <w:b/>
          <w:bCs/>
          <w:color w:val="auto"/>
          <w:sz w:val="22"/>
          <w:highlight w:val="none"/>
          <w:u w:val="single"/>
        </w:rPr>
        <w:t>（</w:t>
      </w:r>
      <w:r>
        <w:rPr>
          <w:rFonts w:ascii="宋体" w:hAnsi="宋体" w:cs="宋体"/>
          <w:b/>
          <w:bCs/>
          <w:color w:val="auto"/>
          <w:sz w:val="22"/>
          <w:highlight w:val="none"/>
          <w:u w:val="single"/>
        </w:rPr>
        <w:t>采购文件中明确的所属行业</w:t>
      </w:r>
      <w:r>
        <w:rPr>
          <w:rFonts w:hint="eastAsia" w:ascii="宋体" w:hAnsi="宋体" w:cs="宋体"/>
          <w:b/>
          <w:bCs/>
          <w:color w:val="auto"/>
          <w:sz w:val="22"/>
          <w:highlight w:val="none"/>
          <w:u w:val="single"/>
        </w:rPr>
        <w:t>）</w:t>
      </w:r>
      <w:r>
        <w:rPr>
          <w:rFonts w:ascii="宋体" w:hAnsi="宋体" w:cs="宋体"/>
          <w:b/>
          <w:bCs/>
          <w:color w:val="auto"/>
          <w:sz w:val="22"/>
          <w:highlight w:val="none"/>
        </w:rPr>
        <w:t>；</w:t>
      </w:r>
      <w:r>
        <w:rPr>
          <w:rFonts w:ascii="宋体" w:hAnsi="宋体" w:cs="宋体"/>
          <w:color w:val="auto"/>
          <w:sz w:val="22"/>
          <w:highlight w:val="none"/>
        </w:rPr>
        <w:t xml:space="preserve">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人，营业收入为</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 ，属于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74CD6A62">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2.</w:t>
      </w:r>
      <w:r>
        <w:rPr>
          <w:rFonts w:ascii="宋体" w:hAnsi="宋体" w:cs="宋体"/>
          <w:color w:val="auto"/>
          <w:sz w:val="22"/>
          <w:highlight w:val="none"/>
          <w:u w:val="single"/>
        </w:rPr>
        <w:t xml:space="preserve"> （标的名称）</w:t>
      </w:r>
      <w:r>
        <w:rPr>
          <w:rFonts w:hint="eastAsia" w:ascii="宋体" w:hAnsi="宋体" w:cs="宋体"/>
          <w:color w:val="auto"/>
          <w:sz w:val="22"/>
          <w:highlight w:val="none"/>
          <w:u w:val="single"/>
        </w:rPr>
        <w:t xml:space="preserve">  </w:t>
      </w:r>
      <w:r>
        <w:rPr>
          <w:rFonts w:ascii="宋体" w:hAnsi="宋体" w:cs="宋体"/>
          <w:color w:val="auto"/>
          <w:sz w:val="22"/>
          <w:highlight w:val="none"/>
          <w:u w:val="single"/>
        </w:rPr>
        <w:t xml:space="preserve"> </w:t>
      </w:r>
      <w:r>
        <w:rPr>
          <w:rFonts w:ascii="宋体" w:hAnsi="宋体" w:cs="宋体"/>
          <w:color w:val="auto"/>
          <w:sz w:val="22"/>
          <w:highlight w:val="none"/>
        </w:rPr>
        <w:t>，属于</w:t>
      </w:r>
      <w:r>
        <w:rPr>
          <w:rFonts w:ascii="宋体" w:hAnsi="宋体" w:cs="宋体"/>
          <w:color w:val="auto"/>
          <w:sz w:val="22"/>
          <w:highlight w:val="none"/>
          <w:u w:val="single"/>
        </w:rPr>
        <w:t>（采购文件中明确的所属行业）</w:t>
      </w:r>
      <w:r>
        <w:rPr>
          <w:rFonts w:ascii="宋体" w:hAnsi="宋体" w:cs="宋体"/>
          <w:color w:val="auto"/>
          <w:sz w:val="22"/>
          <w:highlight w:val="none"/>
        </w:rPr>
        <w:t>； 承建（承接）企业为</w:t>
      </w:r>
      <w:r>
        <w:rPr>
          <w:rFonts w:ascii="宋体" w:hAnsi="宋体" w:cs="宋体"/>
          <w:color w:val="auto"/>
          <w:sz w:val="22"/>
          <w:highlight w:val="none"/>
          <w:u w:val="single"/>
        </w:rPr>
        <w:t>（企业名称）</w:t>
      </w:r>
      <w:r>
        <w:rPr>
          <w:rFonts w:ascii="宋体" w:hAnsi="宋体" w:cs="宋体"/>
          <w:color w:val="auto"/>
          <w:sz w:val="22"/>
          <w:highlight w:val="none"/>
        </w:rPr>
        <w:t>，从业人员</w:t>
      </w:r>
      <w:r>
        <w:rPr>
          <w:rFonts w:hint="eastAsia" w:ascii="宋体" w:hAnsi="宋体" w:cs="宋体"/>
          <w:color w:val="auto"/>
          <w:sz w:val="22"/>
          <w:highlight w:val="none"/>
          <w:u w:val="single"/>
        </w:rPr>
        <w:t xml:space="preserve">   </w:t>
      </w:r>
      <w:r>
        <w:rPr>
          <w:rFonts w:ascii="宋体" w:hAnsi="宋体" w:cs="宋体"/>
          <w:color w:val="auto"/>
          <w:sz w:val="22"/>
          <w:highlight w:val="none"/>
        </w:rPr>
        <w:t xml:space="preserve">人，营业收入为 </w:t>
      </w:r>
      <w:r>
        <w:rPr>
          <w:rFonts w:hint="eastAsia" w:ascii="宋体" w:hAnsi="宋体" w:cs="宋体"/>
          <w:color w:val="auto"/>
          <w:sz w:val="22"/>
          <w:highlight w:val="none"/>
          <w:u w:val="single"/>
        </w:rPr>
        <w:t xml:space="preserve">   </w:t>
      </w:r>
      <w:r>
        <w:rPr>
          <w:rFonts w:ascii="宋体" w:hAnsi="宋体" w:cs="宋体"/>
          <w:color w:val="auto"/>
          <w:sz w:val="22"/>
          <w:highlight w:val="none"/>
        </w:rPr>
        <w:t>万元，资产总额为</w:t>
      </w:r>
      <w:r>
        <w:rPr>
          <w:rFonts w:hint="eastAsia" w:ascii="宋体" w:hAnsi="宋体" w:cs="宋体"/>
          <w:color w:val="auto"/>
          <w:sz w:val="22"/>
          <w:highlight w:val="none"/>
          <w:u w:val="single"/>
        </w:rPr>
        <w:t xml:space="preserve">   </w:t>
      </w:r>
      <w:r>
        <w:rPr>
          <w:rFonts w:ascii="宋体" w:hAnsi="宋体" w:cs="宋体"/>
          <w:color w:val="auto"/>
          <w:sz w:val="22"/>
          <w:highlight w:val="none"/>
        </w:rPr>
        <w:t>万元，属于</w:t>
      </w:r>
      <w:r>
        <w:rPr>
          <w:rFonts w:ascii="宋体" w:hAnsi="宋体" w:cs="宋体"/>
          <w:color w:val="auto"/>
          <w:sz w:val="22"/>
          <w:highlight w:val="none"/>
          <w:u w:val="single"/>
        </w:rPr>
        <w:t>（中型企业、 小型企业、微型企业）</w:t>
      </w:r>
      <w:r>
        <w:rPr>
          <w:rFonts w:ascii="宋体" w:hAnsi="宋体" w:cs="宋体"/>
          <w:color w:val="auto"/>
          <w:sz w:val="22"/>
          <w:highlight w:val="none"/>
        </w:rPr>
        <w:t xml:space="preserve">； </w:t>
      </w:r>
    </w:p>
    <w:p w14:paraId="7833C9D3">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7D4BAE5B">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 xml:space="preserve">企业名称（盖章）： </w:t>
      </w:r>
    </w:p>
    <w:p w14:paraId="2A8D977C">
      <w:pPr>
        <w:tabs>
          <w:tab w:val="left" w:pos="1069"/>
          <w:tab w:val="left" w:pos="2352"/>
        </w:tabs>
        <w:spacing w:line="400" w:lineRule="exact"/>
        <w:ind w:firstLine="446" w:firstLineChars="200"/>
        <w:rPr>
          <w:rFonts w:ascii="宋体" w:hAnsi="宋体" w:cs="宋体"/>
          <w:color w:val="auto"/>
          <w:sz w:val="22"/>
          <w:highlight w:val="none"/>
        </w:rPr>
      </w:pPr>
      <w:r>
        <w:rPr>
          <w:rFonts w:ascii="宋体" w:hAnsi="宋体" w:cs="宋体"/>
          <w:color w:val="auto"/>
          <w:sz w:val="22"/>
          <w:highlight w:val="none"/>
        </w:rPr>
        <w:t>日 期：</w:t>
      </w:r>
    </w:p>
    <w:p w14:paraId="1E343BA2">
      <w:pPr>
        <w:tabs>
          <w:tab w:val="left" w:pos="1069"/>
          <w:tab w:val="left" w:pos="2352"/>
        </w:tabs>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注：</w:t>
      </w:r>
      <w:r>
        <w:rPr>
          <w:rFonts w:ascii="宋体" w:hAnsi="宋体" w:cs="宋体"/>
          <w:color w:val="auto"/>
          <w:sz w:val="22"/>
          <w:highlight w:val="none"/>
        </w:rPr>
        <w:t xml:space="preserve"> 从业人员、营业收入、资产总额填报上一年度数据，无上一年度数据的新成立企业可不填报。</w:t>
      </w:r>
    </w:p>
    <w:p w14:paraId="18A62953">
      <w:pPr>
        <w:pStyle w:val="24"/>
        <w:tabs>
          <w:tab w:val="left" w:pos="2352"/>
        </w:tabs>
        <w:rPr>
          <w:color w:val="auto"/>
          <w:highlight w:val="none"/>
        </w:rPr>
      </w:pPr>
    </w:p>
    <w:p w14:paraId="7CE0611B">
      <w:pPr>
        <w:tabs>
          <w:tab w:val="left" w:pos="2352"/>
        </w:tabs>
        <w:snapToGrid w:val="0"/>
        <w:spacing w:line="360" w:lineRule="auto"/>
        <w:jc w:val="left"/>
        <w:rPr>
          <w:b/>
          <w:color w:val="auto"/>
          <w:sz w:val="28"/>
          <w:szCs w:val="28"/>
          <w:highlight w:val="none"/>
        </w:rPr>
      </w:pPr>
      <w:r>
        <w:rPr>
          <w:rFonts w:hint="eastAsia"/>
          <w:b/>
          <w:color w:val="auto"/>
          <w:sz w:val="28"/>
          <w:szCs w:val="28"/>
          <w:highlight w:val="none"/>
        </w:rPr>
        <w:t>附件2</w:t>
      </w:r>
    </w:p>
    <w:p w14:paraId="396DAA4B">
      <w:pPr>
        <w:tabs>
          <w:tab w:val="left" w:pos="2352"/>
        </w:tabs>
        <w:snapToGrid w:val="0"/>
        <w:spacing w:line="360" w:lineRule="auto"/>
        <w:jc w:val="center"/>
        <w:rPr>
          <w:b/>
          <w:color w:val="auto"/>
          <w:sz w:val="28"/>
          <w:szCs w:val="28"/>
          <w:highlight w:val="none"/>
        </w:rPr>
      </w:pPr>
      <w:r>
        <w:rPr>
          <w:rFonts w:hint="eastAsia"/>
          <w:b/>
          <w:color w:val="auto"/>
          <w:sz w:val="28"/>
          <w:szCs w:val="28"/>
          <w:highlight w:val="none"/>
        </w:rPr>
        <w:t>残疾人福利性单位声明函</w:t>
      </w:r>
    </w:p>
    <w:p w14:paraId="6A8E6049">
      <w:pPr>
        <w:tabs>
          <w:tab w:val="left" w:pos="2352"/>
        </w:tabs>
        <w:snapToGrid w:val="0"/>
        <w:spacing w:line="360" w:lineRule="auto"/>
        <w:ind w:firstLine="446" w:firstLineChars="200"/>
        <w:rPr>
          <w:color w:val="auto"/>
          <w:sz w:val="22"/>
          <w:highlight w:val="none"/>
        </w:rPr>
      </w:pPr>
      <w:r>
        <w:rPr>
          <w:rFonts w:hint="eastAsia"/>
          <w:color w:val="auto"/>
          <w:sz w:val="22"/>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7B069E">
      <w:pPr>
        <w:tabs>
          <w:tab w:val="left" w:pos="2352"/>
        </w:tabs>
        <w:snapToGrid w:val="0"/>
        <w:spacing w:line="360" w:lineRule="auto"/>
        <w:ind w:firstLine="446" w:firstLineChars="200"/>
        <w:rPr>
          <w:color w:val="auto"/>
          <w:sz w:val="22"/>
          <w:highlight w:val="none"/>
        </w:rPr>
      </w:pPr>
      <w:r>
        <w:rPr>
          <w:rFonts w:hint="eastAsia"/>
          <w:color w:val="auto"/>
          <w:sz w:val="22"/>
          <w:highlight w:val="none"/>
        </w:rPr>
        <w:t>本单位对上述声明的真实性负责。如有虚假，将依法承担相应责任。</w:t>
      </w:r>
    </w:p>
    <w:p w14:paraId="55E34AD5">
      <w:pPr>
        <w:tabs>
          <w:tab w:val="left" w:pos="2352"/>
        </w:tabs>
        <w:snapToGrid w:val="0"/>
        <w:spacing w:line="360" w:lineRule="auto"/>
        <w:ind w:firstLine="446" w:firstLineChars="200"/>
        <w:rPr>
          <w:color w:val="auto"/>
          <w:sz w:val="22"/>
          <w:highlight w:val="none"/>
        </w:rPr>
      </w:pPr>
    </w:p>
    <w:p w14:paraId="072B435A">
      <w:pPr>
        <w:tabs>
          <w:tab w:val="left" w:pos="2352"/>
        </w:tabs>
        <w:snapToGrid w:val="0"/>
        <w:spacing w:line="360" w:lineRule="auto"/>
        <w:ind w:firstLine="446" w:firstLineChars="200"/>
        <w:rPr>
          <w:color w:val="auto"/>
          <w:sz w:val="22"/>
          <w:highlight w:val="none"/>
        </w:rPr>
      </w:pPr>
    </w:p>
    <w:p w14:paraId="4C6B1764">
      <w:pPr>
        <w:tabs>
          <w:tab w:val="left" w:pos="2352"/>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单位名称（盖章）：</w:t>
      </w:r>
    </w:p>
    <w:p w14:paraId="3615E00F">
      <w:pPr>
        <w:tabs>
          <w:tab w:val="left" w:pos="2352"/>
          <w:tab w:val="left" w:pos="4860"/>
        </w:tabs>
        <w:snapToGrid w:val="0"/>
        <w:spacing w:line="360" w:lineRule="auto"/>
        <w:ind w:right="1560" w:firstLine="446" w:firstLineChars="200"/>
        <w:rPr>
          <w:color w:val="auto"/>
          <w:sz w:val="22"/>
          <w:highlight w:val="none"/>
        </w:rPr>
      </w:pPr>
      <w:r>
        <w:rPr>
          <w:rFonts w:hint="eastAsia"/>
          <w:color w:val="auto"/>
          <w:sz w:val="22"/>
          <w:highlight w:val="none"/>
        </w:rPr>
        <w:t xml:space="preserve">       日  期：</w:t>
      </w:r>
    </w:p>
    <w:p w14:paraId="7F5BF215">
      <w:pPr>
        <w:pStyle w:val="36"/>
        <w:tabs>
          <w:tab w:val="left" w:pos="2352"/>
        </w:tabs>
        <w:snapToGrid w:val="0"/>
        <w:spacing w:line="360" w:lineRule="auto"/>
        <w:ind w:left="360" w:firstLine="0" w:firstLineChars="0"/>
        <w:rPr>
          <w:rFonts w:cs="宋体"/>
          <w:color w:val="auto"/>
          <w:sz w:val="22"/>
          <w:highlight w:val="none"/>
        </w:rPr>
      </w:pPr>
    </w:p>
    <w:bookmarkEnd w:id="63"/>
    <w:p w14:paraId="16CDBBE4">
      <w:pPr>
        <w:pStyle w:val="8"/>
        <w:tabs>
          <w:tab w:val="left" w:pos="1069"/>
          <w:tab w:val="left" w:pos="2352"/>
        </w:tabs>
        <w:spacing w:line="480" w:lineRule="exact"/>
        <w:rPr>
          <w:rFonts w:ascii="宋体" w:hAnsi="宋体" w:cs="宋体"/>
          <w:b/>
          <w:bCs/>
          <w:color w:val="auto"/>
          <w:sz w:val="26"/>
          <w:szCs w:val="26"/>
          <w:highlight w:val="none"/>
        </w:rPr>
      </w:pPr>
      <w:r>
        <w:rPr>
          <w:rFonts w:hint="eastAsia" w:ascii="宋体" w:hAnsi="宋体" w:cs="宋体"/>
          <w:b/>
          <w:bCs/>
          <w:color w:val="auto"/>
          <w:sz w:val="26"/>
          <w:szCs w:val="26"/>
          <w:highlight w:val="none"/>
        </w:rPr>
        <w:t>三、信贷政策</w:t>
      </w:r>
    </w:p>
    <w:p w14:paraId="7C1D0BA6">
      <w:pPr>
        <w:tabs>
          <w:tab w:val="left" w:pos="1069"/>
          <w:tab w:val="left" w:pos="2352"/>
        </w:tabs>
        <w:snapToGrid w:val="0"/>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1、温州市财政局关于温州市政府采购支持中小企业信用融资的通知（温财采〔2020〕3号）</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1BE7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75A40B4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温州市政府采购支持中小企业信用融资合作银行</w:t>
            </w:r>
          </w:p>
        </w:tc>
      </w:tr>
      <w:tr w14:paraId="1B86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14:paraId="18C927CA">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银行名称</w:t>
            </w:r>
          </w:p>
        </w:tc>
        <w:tc>
          <w:tcPr>
            <w:tcW w:w="4201" w:type="dxa"/>
          </w:tcPr>
          <w:p w14:paraId="092EF605">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产品特点（不超过120字）</w:t>
            </w:r>
          </w:p>
        </w:tc>
        <w:tc>
          <w:tcPr>
            <w:tcW w:w="1000" w:type="dxa"/>
          </w:tcPr>
          <w:p w14:paraId="5D62FB28">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经办人</w:t>
            </w:r>
          </w:p>
        </w:tc>
        <w:tc>
          <w:tcPr>
            <w:tcW w:w="1820" w:type="dxa"/>
          </w:tcPr>
          <w:p w14:paraId="3E93F49B">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联系方式</w:t>
            </w:r>
          </w:p>
        </w:tc>
      </w:tr>
      <w:tr w14:paraId="144F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24AD380">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4201" w:type="dxa"/>
          </w:tcPr>
          <w:p w14:paraId="4EB5174F">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14:paraId="6810F169">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王经理</w:t>
            </w:r>
          </w:p>
        </w:tc>
        <w:tc>
          <w:tcPr>
            <w:tcW w:w="1820" w:type="dxa"/>
          </w:tcPr>
          <w:p w14:paraId="2601B6F0">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0577-88186626</w:t>
            </w:r>
          </w:p>
          <w:p w14:paraId="1AB5D951">
            <w:pPr>
              <w:tabs>
                <w:tab w:val="left" w:pos="1069"/>
                <w:tab w:val="left" w:pos="2352"/>
              </w:tabs>
              <w:jc w:val="left"/>
              <w:rPr>
                <w:rFonts w:ascii="宋体" w:hAnsi="宋体" w:cs="宋体"/>
                <w:color w:val="auto"/>
                <w:sz w:val="22"/>
                <w:highlight w:val="none"/>
              </w:rPr>
            </w:pPr>
          </w:p>
        </w:tc>
      </w:tr>
      <w:tr w14:paraId="1CF1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14:paraId="5769495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4201" w:type="dxa"/>
          </w:tcPr>
          <w:p w14:paraId="05C568F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14:paraId="262261A7">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tc>
        <w:tc>
          <w:tcPr>
            <w:tcW w:w="1820" w:type="dxa"/>
          </w:tcPr>
          <w:p w14:paraId="36007AC3">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0577-88093286</w:t>
            </w:r>
          </w:p>
        </w:tc>
      </w:tr>
      <w:tr w14:paraId="4097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F368604">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4201" w:type="dxa"/>
            <w:vAlign w:val="center"/>
          </w:tcPr>
          <w:p w14:paraId="653455BD">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14:paraId="31FA9B08">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郑经理</w:t>
            </w:r>
          </w:p>
        </w:tc>
        <w:tc>
          <w:tcPr>
            <w:tcW w:w="1820" w:type="dxa"/>
            <w:vAlign w:val="center"/>
          </w:tcPr>
          <w:p w14:paraId="37052BCD">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0577-88193910</w:t>
            </w:r>
          </w:p>
          <w:p w14:paraId="470B1CB9">
            <w:pPr>
              <w:tabs>
                <w:tab w:val="left" w:pos="1069"/>
                <w:tab w:val="left" w:pos="2352"/>
              </w:tabs>
              <w:jc w:val="left"/>
              <w:rPr>
                <w:rFonts w:ascii="宋体" w:hAnsi="宋体" w:cs="宋体"/>
                <w:color w:val="auto"/>
                <w:sz w:val="22"/>
                <w:highlight w:val="none"/>
              </w:rPr>
            </w:pPr>
          </w:p>
        </w:tc>
      </w:tr>
      <w:tr w14:paraId="108F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7B77CB1">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4201" w:type="dxa"/>
          </w:tcPr>
          <w:p w14:paraId="0ECFD9E7">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14:paraId="15F5913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项经理</w:t>
            </w:r>
          </w:p>
        </w:tc>
        <w:tc>
          <w:tcPr>
            <w:tcW w:w="1820" w:type="dxa"/>
          </w:tcPr>
          <w:p w14:paraId="4F7DCF3F">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18057779630</w:t>
            </w:r>
          </w:p>
        </w:tc>
      </w:tr>
      <w:tr w14:paraId="669E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65914C36">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4201" w:type="dxa"/>
          </w:tcPr>
          <w:p w14:paraId="60BFE2A8">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0" w:type="dxa"/>
          </w:tcPr>
          <w:p w14:paraId="6EA33A2E">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1F5A3C20">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0577－88007377</w:t>
            </w:r>
          </w:p>
          <w:p w14:paraId="2B900927">
            <w:pPr>
              <w:tabs>
                <w:tab w:val="left" w:pos="1069"/>
                <w:tab w:val="left" w:pos="2352"/>
              </w:tabs>
              <w:jc w:val="left"/>
              <w:rPr>
                <w:rFonts w:ascii="宋体" w:hAnsi="宋体" w:cs="宋体"/>
                <w:color w:val="auto"/>
                <w:sz w:val="22"/>
                <w:highlight w:val="none"/>
              </w:rPr>
            </w:pPr>
          </w:p>
        </w:tc>
      </w:tr>
      <w:tr w14:paraId="4401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403F346">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4201" w:type="dxa"/>
          </w:tcPr>
          <w:p w14:paraId="69AFA5AD">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门槛低：纯信用，平台注册入库并取得采购合同即可申请</w:t>
            </w:r>
          </w:p>
          <w:p w14:paraId="4DA44AEA">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手续简：线上申请+线上签约，足不出户</w:t>
            </w:r>
          </w:p>
          <w:p w14:paraId="495B456F">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利率优：按优于一般中小企业贷款利率执行</w:t>
            </w:r>
          </w:p>
          <w:p w14:paraId="2FB06589">
            <w:pPr>
              <w:tabs>
                <w:tab w:val="left" w:pos="1069"/>
                <w:tab w:val="left" w:pos="2352"/>
              </w:tabs>
              <w:rPr>
                <w:rFonts w:ascii="宋体" w:hAnsi="宋体" w:cs="宋体"/>
                <w:color w:val="auto"/>
                <w:sz w:val="22"/>
                <w:highlight w:val="none"/>
              </w:rPr>
            </w:pPr>
            <w:r>
              <w:rPr>
                <w:rFonts w:hint="eastAsia" w:ascii="宋体" w:hAnsi="宋体" w:cs="宋体"/>
                <w:bCs/>
                <w:color w:val="auto"/>
                <w:sz w:val="22"/>
                <w:highlight w:val="none"/>
              </w:rPr>
              <w:t>额度高：最高为合同金额的80%</w:t>
            </w:r>
          </w:p>
        </w:tc>
        <w:tc>
          <w:tcPr>
            <w:tcW w:w="1000" w:type="dxa"/>
          </w:tcPr>
          <w:p w14:paraId="4BB4F993">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14:paraId="56C6568C">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0577-88008933</w:t>
            </w:r>
          </w:p>
        </w:tc>
      </w:tr>
      <w:tr w14:paraId="1A30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46C9B287">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4201" w:type="dxa"/>
          </w:tcPr>
          <w:p w14:paraId="2B6C71F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贷是招商银行针对政府采购招投标中标（成交）供应商，以政府采购合同项下未来应收账款为第一还款来源的融资业务，无需抵质押物。额度最高可达2000万，同时可开通自助贷款直通功能，自助贷款额度最高可达1000万，支持线上申请、随借随还。</w:t>
            </w:r>
          </w:p>
        </w:tc>
        <w:tc>
          <w:tcPr>
            <w:tcW w:w="1000" w:type="dxa"/>
          </w:tcPr>
          <w:p w14:paraId="48EB21C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0B17F5BC">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0577-88056876</w:t>
            </w:r>
          </w:p>
          <w:p w14:paraId="71EE4894">
            <w:pPr>
              <w:tabs>
                <w:tab w:val="left" w:pos="1069"/>
                <w:tab w:val="left" w:pos="2352"/>
              </w:tabs>
              <w:jc w:val="left"/>
              <w:rPr>
                <w:rFonts w:ascii="宋体" w:hAnsi="宋体" w:cs="宋体"/>
                <w:color w:val="auto"/>
                <w:sz w:val="22"/>
                <w:highlight w:val="none"/>
              </w:rPr>
            </w:pPr>
          </w:p>
        </w:tc>
      </w:tr>
      <w:tr w14:paraId="43ED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3E1953A">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4201" w:type="dxa"/>
            <w:vAlign w:val="center"/>
          </w:tcPr>
          <w:p w14:paraId="010B8A81">
            <w:pPr>
              <w:pStyle w:val="37"/>
              <w:tabs>
                <w:tab w:val="left" w:pos="1069"/>
                <w:tab w:val="left" w:pos="2352"/>
              </w:tabs>
              <w:spacing w:line="240" w:lineRule="auto"/>
              <w:ind w:firstLine="0" w:firstLineChars="0"/>
              <w:jc w:val="both"/>
              <w:rPr>
                <w:rFonts w:ascii="宋体" w:hAnsi="宋体" w:eastAsia="宋体" w:cs="宋体"/>
                <w:bCs/>
                <w:color w:val="auto"/>
                <w:kern w:val="0"/>
                <w:sz w:val="22"/>
                <w:highlight w:val="none"/>
              </w:rPr>
            </w:pPr>
            <w:r>
              <w:rPr>
                <w:rFonts w:hint="eastAsia" w:ascii="宋体" w:hAnsi="宋体" w:eastAsia="宋体" w:cs="宋体"/>
                <w:bCs/>
                <w:color w:val="auto"/>
                <w:kern w:val="0"/>
                <w:sz w:val="22"/>
                <w:highlight w:val="none"/>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14:paraId="11C5A24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张经理</w:t>
            </w:r>
          </w:p>
          <w:p w14:paraId="50ECB799">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vAlign w:val="center"/>
          </w:tcPr>
          <w:p w14:paraId="74917245">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0577-88369368/13857713118</w:t>
            </w:r>
          </w:p>
          <w:p w14:paraId="16C47605">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0577-56969696-526506</w:t>
            </w:r>
          </w:p>
        </w:tc>
      </w:tr>
      <w:tr w14:paraId="3325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C16F489">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4201" w:type="dxa"/>
          </w:tcPr>
          <w:p w14:paraId="09810B6C">
            <w:pPr>
              <w:tabs>
                <w:tab w:val="left" w:pos="1069"/>
                <w:tab w:val="left" w:pos="2352"/>
              </w:tabs>
              <w:rPr>
                <w:rFonts w:ascii="宋体" w:hAnsi="宋体" w:cs="宋体"/>
                <w:bCs/>
                <w:color w:val="auto"/>
                <w:sz w:val="22"/>
                <w:highlight w:val="none"/>
              </w:rPr>
            </w:pPr>
            <w:r>
              <w:rPr>
                <w:rFonts w:hint="eastAsia" w:ascii="宋体" w:hAnsi="宋体" w:cs="宋体"/>
                <w:bCs/>
                <w:color w:val="auto"/>
                <w:sz w:val="22"/>
                <w:highlight w:val="none"/>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14:paraId="5478C2B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陈经理</w:t>
            </w:r>
          </w:p>
        </w:tc>
        <w:tc>
          <w:tcPr>
            <w:tcW w:w="1820" w:type="dxa"/>
          </w:tcPr>
          <w:p w14:paraId="72B93396">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13736355866</w:t>
            </w:r>
          </w:p>
        </w:tc>
      </w:tr>
      <w:tr w14:paraId="3CE29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3AEE6E2">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4201" w:type="dxa"/>
          </w:tcPr>
          <w:p w14:paraId="40B09D6D">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政采订单贷：1、面向政府采购项目供应商，满足供应商资金周转需求，凭中标通知书即可申请，2、秒知额高，最高可贷500万元，单笔业务金额可贷中标金额的80%，</w:t>
            </w:r>
          </w:p>
          <w:p w14:paraId="55683827">
            <w:pPr>
              <w:pStyle w:val="36"/>
              <w:tabs>
                <w:tab w:val="left" w:pos="1069"/>
                <w:tab w:val="left" w:pos="2352"/>
              </w:tabs>
              <w:ind w:left="5" w:firstLine="0" w:firstLineChars="0"/>
              <w:rPr>
                <w:rFonts w:ascii="宋体" w:hAnsi="宋体" w:cs="宋体"/>
                <w:color w:val="auto"/>
                <w:sz w:val="22"/>
                <w:highlight w:val="none"/>
              </w:rPr>
            </w:pPr>
            <w:r>
              <w:rPr>
                <w:rFonts w:hint="eastAsia" w:ascii="宋体" w:hAnsi="宋体" w:cs="宋体"/>
                <w:color w:val="auto"/>
                <w:sz w:val="22"/>
                <w:highlight w:val="none"/>
              </w:rPr>
              <w:t>最长期限可贷1年。信保贷：1、额度最高可达500万元</w:t>
            </w:r>
          </w:p>
          <w:p w14:paraId="691C41EB">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2、担保灵活，信用贷款3、贷款年利率至少可享受本单位一般性中小企业信用贷款利率基础上下浮10 %</w:t>
            </w:r>
          </w:p>
        </w:tc>
        <w:tc>
          <w:tcPr>
            <w:tcW w:w="1000" w:type="dxa"/>
          </w:tcPr>
          <w:p w14:paraId="1F91C124">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戴经理</w:t>
            </w:r>
          </w:p>
        </w:tc>
        <w:tc>
          <w:tcPr>
            <w:tcW w:w="1820" w:type="dxa"/>
          </w:tcPr>
          <w:p w14:paraId="523AD17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13605772302</w:t>
            </w:r>
          </w:p>
        </w:tc>
      </w:tr>
      <w:tr w14:paraId="0BED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CE317D8">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4201" w:type="dxa"/>
          </w:tcPr>
          <w:p w14:paraId="4CA8DAEA">
            <w:pPr>
              <w:tabs>
                <w:tab w:val="left" w:pos="1069"/>
                <w:tab w:val="left" w:pos="2352"/>
              </w:tabs>
              <w:autoSpaceDE w:val="0"/>
              <w:autoSpaceDN w:val="0"/>
              <w:adjustRightInd w:val="0"/>
              <w:jc w:val="left"/>
              <w:rPr>
                <w:rFonts w:ascii="宋体" w:hAnsi="宋体" w:cs="宋体"/>
                <w:color w:val="auto"/>
                <w:sz w:val="22"/>
                <w:highlight w:val="none"/>
              </w:rPr>
            </w:pPr>
            <w:r>
              <w:rPr>
                <w:rFonts w:hint="eastAsia" w:ascii="宋体" w:hAnsi="宋体" w:cs="宋体"/>
                <w:color w:val="auto"/>
                <w:sz w:val="22"/>
                <w:highlight w:val="none"/>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14:paraId="6A6BF1E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缪经理</w:t>
            </w:r>
          </w:p>
        </w:tc>
        <w:tc>
          <w:tcPr>
            <w:tcW w:w="1820" w:type="dxa"/>
          </w:tcPr>
          <w:p w14:paraId="5F2B1165">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0577-88248454</w:t>
            </w:r>
          </w:p>
        </w:tc>
      </w:tr>
      <w:tr w14:paraId="4CC2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397AC4F0">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4201" w:type="dxa"/>
          </w:tcPr>
          <w:p w14:paraId="3DAF249E">
            <w:pPr>
              <w:tabs>
                <w:tab w:val="left" w:pos="1069"/>
                <w:tab w:val="left" w:pos="2352"/>
              </w:tabs>
              <w:jc w:val="left"/>
              <w:rPr>
                <w:rFonts w:ascii="宋体" w:hAnsi="宋体" w:cs="宋体"/>
                <w:bCs/>
                <w:color w:val="auto"/>
                <w:sz w:val="22"/>
                <w:highlight w:val="none"/>
              </w:rPr>
            </w:pPr>
            <w:r>
              <w:rPr>
                <w:rFonts w:hint="eastAsia" w:ascii="宋体" w:hAnsi="宋体" w:cs="宋体"/>
                <w:bCs/>
                <w:color w:val="auto"/>
                <w:sz w:val="22"/>
                <w:highlight w:val="none"/>
              </w:rPr>
              <w:t>政采e贷：是浦发银行面向温州地区经营状况良好的小微企业政府采购项目供应商所提供的专属政府采购订单融资产品。产品特点：纯信用、免担保、门槛低、授信快、在线贷、秒放款</w:t>
            </w:r>
          </w:p>
          <w:p w14:paraId="394AB63E">
            <w:pPr>
              <w:shd w:val="clear" w:color="auto" w:fill="FFFFFF"/>
              <w:tabs>
                <w:tab w:val="left" w:pos="1069"/>
                <w:tab w:val="left" w:pos="2352"/>
              </w:tabs>
              <w:jc w:val="left"/>
              <w:rPr>
                <w:rFonts w:ascii="宋体" w:hAnsi="宋体" w:cs="宋体"/>
                <w:color w:val="auto"/>
                <w:sz w:val="22"/>
                <w:highlight w:val="none"/>
              </w:rPr>
            </w:pPr>
            <w:r>
              <w:rPr>
                <w:rFonts w:hint="eastAsia" w:ascii="宋体" w:hAnsi="宋体" w:cs="宋体"/>
                <w:bCs/>
                <w:color w:val="auto"/>
                <w:sz w:val="22"/>
                <w:highlight w:val="none"/>
              </w:rPr>
              <w:t>所需材料：企业基础证件、相关中标文件（中标通知书 、采购合同等）、其他必要文件</w:t>
            </w:r>
          </w:p>
        </w:tc>
        <w:tc>
          <w:tcPr>
            <w:tcW w:w="1000" w:type="dxa"/>
          </w:tcPr>
          <w:p w14:paraId="74B84752">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叶经理</w:t>
            </w:r>
          </w:p>
        </w:tc>
        <w:tc>
          <w:tcPr>
            <w:tcW w:w="1820" w:type="dxa"/>
          </w:tcPr>
          <w:p w14:paraId="61295CF9">
            <w:pPr>
              <w:tabs>
                <w:tab w:val="left" w:pos="1069"/>
                <w:tab w:val="left" w:pos="2352"/>
              </w:tabs>
              <w:jc w:val="left"/>
              <w:rPr>
                <w:rFonts w:ascii="宋体" w:hAnsi="宋体" w:cs="宋体"/>
                <w:color w:val="auto"/>
                <w:sz w:val="22"/>
                <w:highlight w:val="none"/>
              </w:rPr>
            </w:pPr>
            <w:r>
              <w:rPr>
                <w:rFonts w:hint="eastAsia" w:ascii="宋体" w:hAnsi="宋体" w:cs="宋体"/>
                <w:color w:val="auto"/>
                <w:sz w:val="22"/>
                <w:highlight w:val="none"/>
              </w:rPr>
              <w:t>0577-55570829</w:t>
            </w:r>
          </w:p>
          <w:p w14:paraId="04269909">
            <w:pPr>
              <w:tabs>
                <w:tab w:val="left" w:pos="1069"/>
                <w:tab w:val="left" w:pos="2352"/>
              </w:tabs>
              <w:jc w:val="left"/>
              <w:rPr>
                <w:rFonts w:ascii="宋体" w:hAnsi="宋体" w:cs="宋体"/>
                <w:color w:val="auto"/>
                <w:sz w:val="22"/>
                <w:highlight w:val="none"/>
              </w:rPr>
            </w:pPr>
          </w:p>
        </w:tc>
      </w:tr>
    </w:tbl>
    <w:p w14:paraId="6AF854A5">
      <w:pPr>
        <w:tabs>
          <w:tab w:val="left" w:pos="1069"/>
          <w:tab w:val="left" w:pos="2352"/>
        </w:tabs>
        <w:snapToGrid w:val="0"/>
        <w:spacing w:line="460" w:lineRule="atLeast"/>
        <w:ind w:firstLine="446" w:firstLineChars="200"/>
        <w:jc w:val="left"/>
        <w:rPr>
          <w:rFonts w:ascii="宋体" w:hAnsi="宋体" w:cs="宋体"/>
          <w:color w:val="auto"/>
          <w:sz w:val="22"/>
          <w:highlight w:val="none"/>
        </w:rPr>
      </w:pPr>
    </w:p>
    <w:p w14:paraId="11AD9E03">
      <w:pPr>
        <w:tabs>
          <w:tab w:val="left" w:pos="1069"/>
          <w:tab w:val="left" w:pos="2352"/>
        </w:tabs>
        <w:jc w:val="center"/>
        <w:rPr>
          <w:rFonts w:ascii="宋体" w:hAnsi="宋体" w:cs="宋体"/>
          <w:color w:val="auto"/>
          <w:sz w:val="22"/>
          <w:highlight w:val="none"/>
        </w:rPr>
      </w:pPr>
      <w:r>
        <w:rPr>
          <w:rFonts w:hint="eastAsia" w:ascii="宋体" w:hAnsi="宋体" w:cs="宋体"/>
          <w:b/>
          <w:bCs/>
          <w:color w:val="auto"/>
          <w:sz w:val="28"/>
          <w:szCs w:val="28"/>
          <w:highlight w:val="none"/>
        </w:rPr>
        <w:t>温州市政府采购信用融资意向银行选择表</w:t>
      </w:r>
    </w:p>
    <w:p w14:paraId="6C09E455">
      <w:pPr>
        <w:tabs>
          <w:tab w:val="left" w:pos="1069"/>
          <w:tab w:val="left" w:pos="2352"/>
        </w:tabs>
        <w:jc w:val="center"/>
        <w:rPr>
          <w:rFonts w:ascii="宋体" w:hAnsi="宋体" w:cs="宋体"/>
          <w:color w:val="auto"/>
          <w:sz w:val="22"/>
          <w:highlight w:val="none"/>
        </w:rPr>
      </w:pPr>
      <w:r>
        <w:rPr>
          <w:rFonts w:hint="eastAsia" w:ascii="宋体" w:hAnsi="宋体" w:cs="宋体"/>
          <w:color w:val="auto"/>
          <w:sz w:val="22"/>
          <w:highlight w:val="none"/>
        </w:rPr>
        <w:t>（温州市供应商填写）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37DE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3E7C0EB7">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企业名称</w:t>
            </w:r>
          </w:p>
        </w:tc>
        <w:tc>
          <w:tcPr>
            <w:tcW w:w="8221" w:type="dxa"/>
            <w:gridSpan w:val="5"/>
          </w:tcPr>
          <w:p w14:paraId="05204DED">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4F95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77BCEFB8">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企业注册地</w:t>
            </w:r>
          </w:p>
        </w:tc>
        <w:tc>
          <w:tcPr>
            <w:tcW w:w="3685" w:type="dxa"/>
            <w:gridSpan w:val="2"/>
          </w:tcPr>
          <w:p w14:paraId="52BDA60D">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410" w:type="dxa"/>
            <w:gridSpan w:val="2"/>
          </w:tcPr>
          <w:p w14:paraId="382AD38C">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是否有融资意向</w:t>
            </w:r>
          </w:p>
        </w:tc>
        <w:tc>
          <w:tcPr>
            <w:tcW w:w="2126" w:type="dxa"/>
          </w:tcPr>
          <w:p w14:paraId="758B3B2C">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22BB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14:paraId="22F6B103">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融资联系人</w:t>
            </w:r>
          </w:p>
        </w:tc>
        <w:tc>
          <w:tcPr>
            <w:tcW w:w="2268" w:type="dxa"/>
          </w:tcPr>
          <w:p w14:paraId="3602EB0D">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c>
          <w:tcPr>
            <w:tcW w:w="2268" w:type="dxa"/>
            <w:gridSpan w:val="2"/>
          </w:tcPr>
          <w:p w14:paraId="772A31E7">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联系方式</w:t>
            </w:r>
          </w:p>
        </w:tc>
        <w:tc>
          <w:tcPr>
            <w:tcW w:w="3685" w:type="dxa"/>
            <w:gridSpan w:val="2"/>
          </w:tcPr>
          <w:p w14:paraId="69337240">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p>
        </w:tc>
      </w:tr>
      <w:tr w14:paraId="4F92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14:paraId="39A1F884">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温州市政府采购信用融资合作银行</w:t>
            </w:r>
          </w:p>
        </w:tc>
        <w:tc>
          <w:tcPr>
            <w:tcW w:w="3685" w:type="dxa"/>
            <w:gridSpan w:val="2"/>
          </w:tcPr>
          <w:p w14:paraId="7CC36A4F">
            <w:pPr>
              <w:pStyle w:val="37"/>
              <w:tabs>
                <w:tab w:val="left" w:pos="1069"/>
                <w:tab w:val="left" w:pos="2352"/>
              </w:tabs>
              <w:spacing w:line="360" w:lineRule="auto"/>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选择作为意向融资银行（可多选）</w:t>
            </w:r>
          </w:p>
        </w:tc>
      </w:tr>
      <w:tr w14:paraId="6DF8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0179297E">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温州银行股份有限公司温州分行</w:t>
            </w:r>
          </w:p>
        </w:tc>
        <w:tc>
          <w:tcPr>
            <w:tcW w:w="3685" w:type="dxa"/>
            <w:gridSpan w:val="2"/>
          </w:tcPr>
          <w:p w14:paraId="2F415861">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6485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3D32645C">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温州银行股份有限公司鹿城分行</w:t>
            </w:r>
          </w:p>
        </w:tc>
        <w:tc>
          <w:tcPr>
            <w:tcW w:w="3685" w:type="dxa"/>
            <w:gridSpan w:val="2"/>
          </w:tcPr>
          <w:p w14:paraId="31786946">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6391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21578D9A">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中国工商银行股份有限公司温州分行</w:t>
            </w:r>
          </w:p>
        </w:tc>
        <w:tc>
          <w:tcPr>
            <w:tcW w:w="3685" w:type="dxa"/>
            <w:gridSpan w:val="2"/>
          </w:tcPr>
          <w:p w14:paraId="019A91E9">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2588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14:paraId="5A20CF29">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中国建设银行股份有限公司温州分行</w:t>
            </w:r>
          </w:p>
        </w:tc>
        <w:tc>
          <w:tcPr>
            <w:tcW w:w="3685" w:type="dxa"/>
            <w:gridSpan w:val="2"/>
          </w:tcPr>
          <w:p w14:paraId="01A43D3C">
            <w:pPr>
              <w:tabs>
                <w:tab w:val="left" w:pos="1069"/>
                <w:tab w:val="left" w:pos="2352"/>
              </w:tabs>
              <w:rPr>
                <w:rFonts w:ascii="宋体" w:hAnsi="宋体" w:cs="宋体"/>
                <w:color w:val="auto"/>
                <w:sz w:val="22"/>
                <w:highlight w:val="none"/>
              </w:rPr>
            </w:pPr>
          </w:p>
        </w:tc>
      </w:tr>
      <w:tr w14:paraId="5A7F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1DAF9411">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中国邮政储蓄银行股份有限公司温州市分行</w:t>
            </w:r>
          </w:p>
        </w:tc>
        <w:tc>
          <w:tcPr>
            <w:tcW w:w="3685" w:type="dxa"/>
            <w:gridSpan w:val="2"/>
          </w:tcPr>
          <w:p w14:paraId="1BFA9F46">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1BD7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187AED06">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中国民生银行股份有限公司温州分行</w:t>
            </w:r>
          </w:p>
        </w:tc>
        <w:tc>
          <w:tcPr>
            <w:tcW w:w="3685" w:type="dxa"/>
            <w:gridSpan w:val="2"/>
          </w:tcPr>
          <w:p w14:paraId="4AC3989D">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7F1B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441D1D22">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宁波银行股份有限公司温州分行</w:t>
            </w:r>
          </w:p>
        </w:tc>
        <w:tc>
          <w:tcPr>
            <w:tcW w:w="3685" w:type="dxa"/>
            <w:gridSpan w:val="2"/>
          </w:tcPr>
          <w:p w14:paraId="4120C226">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50DC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352F54C6">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杭州银行股份有限公司温州分行</w:t>
            </w:r>
          </w:p>
        </w:tc>
        <w:tc>
          <w:tcPr>
            <w:tcW w:w="3685" w:type="dxa"/>
            <w:gridSpan w:val="2"/>
          </w:tcPr>
          <w:p w14:paraId="108910E7">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6ACA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27621464">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招商银行股份有限公司温州分行</w:t>
            </w:r>
          </w:p>
        </w:tc>
        <w:tc>
          <w:tcPr>
            <w:tcW w:w="3685" w:type="dxa"/>
            <w:gridSpan w:val="2"/>
          </w:tcPr>
          <w:p w14:paraId="129E684F">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3C18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493268BB">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兴业银行股份有限公司温州分行</w:t>
            </w:r>
          </w:p>
        </w:tc>
        <w:tc>
          <w:tcPr>
            <w:tcW w:w="3685" w:type="dxa"/>
            <w:gridSpan w:val="2"/>
          </w:tcPr>
          <w:p w14:paraId="01CABD94">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4B18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2F301CA8">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交通银行股份有限公司温州分行</w:t>
            </w:r>
          </w:p>
        </w:tc>
        <w:tc>
          <w:tcPr>
            <w:tcW w:w="3685" w:type="dxa"/>
            <w:gridSpan w:val="2"/>
          </w:tcPr>
          <w:p w14:paraId="20097E0A">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p>
        </w:tc>
      </w:tr>
      <w:tr w14:paraId="69D28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14:paraId="21A7F524">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上海浦东发展银行股份有限公司温州分行</w:t>
            </w:r>
          </w:p>
        </w:tc>
        <w:tc>
          <w:tcPr>
            <w:tcW w:w="3685" w:type="dxa"/>
            <w:gridSpan w:val="2"/>
          </w:tcPr>
          <w:p w14:paraId="44DD42B3">
            <w:pPr>
              <w:pStyle w:val="37"/>
              <w:tabs>
                <w:tab w:val="left" w:pos="1069"/>
                <w:tab w:val="left" w:pos="2352"/>
              </w:tabs>
              <w:spacing w:line="360" w:lineRule="auto"/>
              <w:ind w:firstLine="0" w:firstLineChars="0"/>
              <w:rPr>
                <w:rFonts w:ascii="宋体" w:hAnsi="宋体" w:eastAsia="宋体" w:cs="宋体"/>
                <w:color w:val="auto"/>
                <w:kern w:val="0"/>
                <w:sz w:val="22"/>
                <w:highlight w:val="none"/>
              </w:rPr>
            </w:pPr>
          </w:p>
        </w:tc>
      </w:tr>
    </w:tbl>
    <w:p w14:paraId="74B4BB58">
      <w:pPr>
        <w:tabs>
          <w:tab w:val="left" w:pos="1069"/>
          <w:tab w:val="left" w:pos="2352"/>
        </w:tabs>
        <w:rPr>
          <w:rFonts w:ascii="宋体" w:hAnsi="宋体" w:cs="宋体"/>
          <w:color w:val="auto"/>
          <w:sz w:val="22"/>
          <w:highlight w:val="none"/>
        </w:rPr>
      </w:pPr>
    </w:p>
    <w:p w14:paraId="2EB6DDCC">
      <w:pPr>
        <w:tabs>
          <w:tab w:val="left" w:pos="1069"/>
          <w:tab w:val="left" w:pos="2352"/>
        </w:tabs>
        <w:rPr>
          <w:rFonts w:ascii="宋体" w:hAnsi="宋体" w:cs="宋体"/>
          <w:color w:val="auto"/>
          <w:sz w:val="22"/>
          <w:highlight w:val="none"/>
        </w:rPr>
      </w:pPr>
      <w:r>
        <w:rPr>
          <w:rFonts w:hint="eastAsia" w:ascii="宋体" w:hAnsi="宋体" w:cs="宋体"/>
          <w:color w:val="auto"/>
          <w:sz w:val="22"/>
          <w:highlight w:val="none"/>
        </w:rPr>
        <w:t>注：1、本表填写对象为注册地在温州市域内的供应商。</w:t>
      </w:r>
    </w:p>
    <w:p w14:paraId="18D38129">
      <w:pPr>
        <w:tabs>
          <w:tab w:val="left" w:pos="1069"/>
          <w:tab w:val="left" w:pos="2352"/>
        </w:tabs>
        <w:spacing w:line="588" w:lineRule="exact"/>
        <w:ind w:firstLine="446" w:firstLineChars="200"/>
        <w:rPr>
          <w:rFonts w:ascii="宋体" w:hAnsi="宋体" w:cs="宋体"/>
          <w:b/>
          <w:color w:val="auto"/>
          <w:sz w:val="22"/>
          <w:highlight w:val="none"/>
        </w:rPr>
      </w:pPr>
      <w:r>
        <w:rPr>
          <w:rFonts w:hint="eastAsia" w:ascii="宋体" w:hAnsi="宋体" w:cs="宋体"/>
          <w:color w:val="auto"/>
          <w:sz w:val="22"/>
          <w:highlight w:val="none"/>
        </w:rPr>
        <w:t>2、财政部门根据企业自行选择，将本表及企业相关信息推送至相对应的融资意向银行经办人。</w:t>
      </w:r>
    </w:p>
    <w:p w14:paraId="449E8835">
      <w:pPr>
        <w:pStyle w:val="24"/>
        <w:tabs>
          <w:tab w:val="left" w:pos="1069"/>
          <w:tab w:val="left" w:pos="2352"/>
        </w:tabs>
        <w:rPr>
          <w:rFonts w:ascii="宋体" w:hAnsi="宋体" w:cs="宋体"/>
          <w:b/>
          <w:color w:val="auto"/>
          <w:sz w:val="32"/>
          <w:szCs w:val="32"/>
          <w:highlight w:val="none"/>
        </w:rPr>
      </w:pPr>
    </w:p>
    <w:p w14:paraId="1CF2947B">
      <w:pPr>
        <w:tabs>
          <w:tab w:val="left" w:pos="1069"/>
          <w:tab w:val="left" w:pos="2352"/>
        </w:tabs>
        <w:snapToGrid w:val="0"/>
        <w:spacing w:line="380" w:lineRule="exact"/>
        <w:jc w:val="center"/>
        <w:rPr>
          <w:rFonts w:ascii="宋体" w:hAnsi="宋体" w:cs="宋体"/>
          <w:b/>
          <w:color w:val="auto"/>
          <w:sz w:val="32"/>
          <w:szCs w:val="32"/>
          <w:highlight w:val="none"/>
        </w:rPr>
      </w:pPr>
    </w:p>
    <w:p w14:paraId="5CA69884">
      <w:pPr>
        <w:tabs>
          <w:tab w:val="left" w:pos="1069"/>
          <w:tab w:val="left" w:pos="2352"/>
        </w:tabs>
        <w:snapToGrid w:val="0"/>
        <w:spacing w:line="380" w:lineRule="exact"/>
        <w:jc w:val="center"/>
        <w:rPr>
          <w:rFonts w:ascii="宋体" w:hAnsi="宋体" w:cs="宋体"/>
          <w:b/>
          <w:color w:val="auto"/>
          <w:sz w:val="32"/>
          <w:szCs w:val="32"/>
          <w:highlight w:val="none"/>
        </w:rPr>
      </w:pPr>
    </w:p>
    <w:p w14:paraId="1C973342">
      <w:pPr>
        <w:tabs>
          <w:tab w:val="left" w:pos="1069"/>
          <w:tab w:val="left" w:pos="2352"/>
        </w:tabs>
        <w:snapToGrid w:val="0"/>
        <w:spacing w:line="380" w:lineRule="exact"/>
        <w:jc w:val="center"/>
        <w:rPr>
          <w:rFonts w:ascii="宋体" w:hAnsi="宋体" w:cs="宋体"/>
          <w:b/>
          <w:color w:val="auto"/>
          <w:sz w:val="32"/>
          <w:szCs w:val="32"/>
          <w:highlight w:val="none"/>
        </w:rPr>
      </w:pPr>
    </w:p>
    <w:p w14:paraId="0FB5DA80">
      <w:pPr>
        <w:tabs>
          <w:tab w:val="left" w:pos="1069"/>
          <w:tab w:val="left" w:pos="2352"/>
        </w:tabs>
        <w:snapToGrid w:val="0"/>
        <w:spacing w:line="380" w:lineRule="exact"/>
        <w:jc w:val="center"/>
        <w:rPr>
          <w:rFonts w:ascii="宋体" w:hAnsi="宋体" w:cs="宋体"/>
          <w:b/>
          <w:color w:val="auto"/>
          <w:sz w:val="32"/>
          <w:szCs w:val="32"/>
          <w:highlight w:val="none"/>
        </w:rPr>
      </w:pPr>
    </w:p>
    <w:p w14:paraId="10FD8565">
      <w:pPr>
        <w:tabs>
          <w:tab w:val="left" w:pos="1069"/>
          <w:tab w:val="left" w:pos="2352"/>
        </w:tabs>
        <w:snapToGrid w:val="0"/>
        <w:spacing w:line="380" w:lineRule="exact"/>
        <w:jc w:val="center"/>
        <w:rPr>
          <w:rFonts w:ascii="宋体" w:hAnsi="宋体" w:cs="宋体"/>
          <w:b/>
          <w:color w:val="auto"/>
          <w:sz w:val="32"/>
          <w:szCs w:val="32"/>
          <w:highlight w:val="none"/>
        </w:rPr>
      </w:pPr>
    </w:p>
    <w:p w14:paraId="194EBF3F">
      <w:pPr>
        <w:tabs>
          <w:tab w:val="left" w:pos="1069"/>
          <w:tab w:val="left" w:pos="2352"/>
        </w:tabs>
        <w:snapToGrid w:val="0"/>
        <w:spacing w:line="380" w:lineRule="exact"/>
        <w:jc w:val="center"/>
        <w:rPr>
          <w:rFonts w:ascii="宋体" w:hAnsi="宋体" w:cs="宋体"/>
          <w:b/>
          <w:bCs/>
          <w:color w:val="auto"/>
          <w:sz w:val="28"/>
          <w:szCs w:val="28"/>
          <w:highlight w:val="none"/>
        </w:rPr>
      </w:pPr>
      <w:r>
        <w:rPr>
          <w:rFonts w:hint="eastAsia" w:ascii="宋体" w:hAnsi="宋体" w:cs="宋体"/>
          <w:b/>
          <w:color w:val="auto"/>
          <w:sz w:val="32"/>
          <w:szCs w:val="32"/>
          <w:highlight w:val="none"/>
        </w:rPr>
        <w:t>第五部分、合同格式</w:t>
      </w:r>
      <w:bookmarkEnd w:id="61"/>
      <w:bookmarkStart w:id="64" w:name="_Toc11700_WPSOffice_Level1"/>
    </w:p>
    <w:p w14:paraId="09F995C7">
      <w:pPr>
        <w:tabs>
          <w:tab w:val="left" w:pos="1069"/>
          <w:tab w:val="left" w:pos="2352"/>
        </w:tabs>
        <w:spacing w:line="460" w:lineRule="exact"/>
        <w:rPr>
          <w:rFonts w:ascii="宋体"/>
          <w:color w:val="auto"/>
          <w:sz w:val="22"/>
          <w:highlight w:val="none"/>
        </w:rPr>
      </w:pPr>
      <w:r>
        <w:rPr>
          <w:rFonts w:hint="eastAsia" w:ascii="宋体"/>
          <w:color w:val="auto"/>
          <w:sz w:val="22"/>
          <w:highlight w:val="none"/>
        </w:rPr>
        <w:t>甲方（采购人）：</w:t>
      </w:r>
      <w:r>
        <w:rPr>
          <w:rFonts w:hint="eastAsia" w:ascii="宋体"/>
          <w:color w:val="auto"/>
          <w:sz w:val="22"/>
          <w:highlight w:val="none"/>
          <w:u w:val="single"/>
        </w:rPr>
        <w:t xml:space="preserve">           </w:t>
      </w:r>
      <w:r>
        <w:rPr>
          <w:rFonts w:ascii="宋体"/>
          <w:color w:val="auto"/>
          <w:sz w:val="22"/>
          <w:highlight w:val="none"/>
        </w:rPr>
        <w:t xml:space="preserve"> </w:t>
      </w:r>
    </w:p>
    <w:p w14:paraId="3B1FE4C9">
      <w:pPr>
        <w:tabs>
          <w:tab w:val="left" w:pos="1069"/>
          <w:tab w:val="left" w:pos="2352"/>
        </w:tabs>
        <w:spacing w:line="460" w:lineRule="exact"/>
        <w:rPr>
          <w:rFonts w:ascii="宋体"/>
          <w:color w:val="auto"/>
          <w:sz w:val="22"/>
          <w:highlight w:val="none"/>
        </w:rPr>
      </w:pPr>
      <w:r>
        <w:rPr>
          <w:rFonts w:hint="eastAsia" w:ascii="宋体"/>
          <w:color w:val="auto"/>
          <w:sz w:val="22"/>
          <w:highlight w:val="none"/>
        </w:rPr>
        <w:t>乙方（中标单位）：</w:t>
      </w:r>
      <w:r>
        <w:rPr>
          <w:rFonts w:ascii="宋体"/>
          <w:color w:val="auto"/>
          <w:sz w:val="22"/>
          <w:highlight w:val="none"/>
        </w:rPr>
        <w:t xml:space="preserve"> </w:t>
      </w:r>
      <w:r>
        <w:rPr>
          <w:rFonts w:hint="eastAsia" w:ascii="宋体"/>
          <w:color w:val="auto"/>
          <w:sz w:val="22"/>
          <w:highlight w:val="none"/>
          <w:u w:val="single"/>
        </w:rPr>
        <w:t xml:space="preserve">           </w:t>
      </w:r>
      <w:r>
        <w:rPr>
          <w:rFonts w:ascii="宋体"/>
          <w:color w:val="auto"/>
          <w:sz w:val="22"/>
          <w:highlight w:val="none"/>
        </w:rPr>
        <w:t xml:space="preserve"> </w:t>
      </w:r>
    </w:p>
    <w:p w14:paraId="7EA7D20A">
      <w:pPr>
        <w:tabs>
          <w:tab w:val="left" w:pos="1069"/>
          <w:tab w:val="left" w:pos="2352"/>
        </w:tabs>
        <w:snapToGrid w:val="0"/>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甲、乙双方根据</w:t>
      </w:r>
      <w:r>
        <w:rPr>
          <w:rFonts w:hint="eastAsia" w:ascii="宋体" w:hAnsi="宋体" w:cs="宋体"/>
          <w:bCs/>
          <w:color w:val="auto"/>
          <w:sz w:val="22"/>
          <w:highlight w:val="none"/>
          <w:u w:val="single"/>
        </w:rPr>
        <w:t>2024年泰顺县森林资源动态监测与评价（项目编号：</w:t>
      </w:r>
      <w:r>
        <w:rPr>
          <w:rFonts w:hint="eastAsia" w:ascii="宋体" w:hAnsi="宋体" w:cs="宋体"/>
          <w:bCs/>
          <w:color w:val="auto"/>
          <w:sz w:val="22"/>
          <w:highlight w:val="none"/>
          <w:u w:val="single"/>
          <w:lang w:eastAsia="zh-CN"/>
        </w:rPr>
        <w:t>TSCG202409011</w:t>
      </w:r>
      <w:r>
        <w:rPr>
          <w:rFonts w:hint="eastAsia" w:ascii="宋体" w:hAnsi="宋体" w:cs="宋体"/>
          <w:bCs/>
          <w:color w:val="auto"/>
          <w:sz w:val="22"/>
          <w:highlight w:val="none"/>
          <w:u w:val="single"/>
        </w:rPr>
        <w:t>）公开</w:t>
      </w:r>
      <w:r>
        <w:rPr>
          <w:rFonts w:hint="eastAsia" w:ascii="宋体" w:hAnsi="宋体" w:cs="宋体"/>
          <w:bCs/>
          <w:color w:val="auto"/>
          <w:sz w:val="22"/>
          <w:highlight w:val="none"/>
        </w:rPr>
        <w:t>招标采购结果，签订此合同。</w:t>
      </w:r>
    </w:p>
    <w:p w14:paraId="2C63B04D">
      <w:pPr>
        <w:tabs>
          <w:tab w:val="left" w:pos="1069"/>
          <w:tab w:val="left" w:pos="2352"/>
        </w:tabs>
        <w:snapToGrid w:val="0"/>
        <w:spacing w:line="400" w:lineRule="exact"/>
        <w:ind w:firstLine="446" w:firstLineChars="200"/>
        <w:rPr>
          <w:rFonts w:ascii="宋体" w:hAnsi="宋体" w:cs="宋体"/>
          <w:b/>
          <w:color w:val="auto"/>
          <w:sz w:val="22"/>
          <w:highlight w:val="none"/>
        </w:rPr>
      </w:pPr>
      <w:r>
        <w:rPr>
          <w:rFonts w:hint="eastAsia" w:ascii="宋体" w:hAnsi="宋体" w:cs="宋体"/>
          <w:b/>
          <w:color w:val="auto"/>
          <w:sz w:val="22"/>
          <w:highlight w:val="none"/>
        </w:rPr>
        <w:t>一、合同内容</w:t>
      </w:r>
    </w:p>
    <w:p w14:paraId="32A970CC">
      <w:pPr>
        <w:pStyle w:val="5"/>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具体工作内容</w:t>
      </w:r>
    </w:p>
    <w:p w14:paraId="52DD6924">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1.林草湿变化图斑调查更新</w:t>
      </w:r>
    </w:p>
    <w:p w14:paraId="0F925E17">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1）以2023年林草资源数据和2023年国土变更调查成果为本底，利用遥感变化图斑，采用现地核实的方法，核实年度内建设项目使用林地、草地、湿地，以及造林更新、林木采伐等森林经营活动引起的地类、林分及其管理属性变化情况。重点查清林地、草地、湿地范围内出现的建设用地、耕地、伐区，补充林地和新增森林情况。</w:t>
      </w:r>
    </w:p>
    <w:p w14:paraId="65B75D4E">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2）开展植被覆盖核实更新，以2023年林草资源数据为本底，利用下发的遥感变化图斑、生产经营档案资料，采用现地核实的方法，对林地、草地、湿地图斑范围外的乔木林、竹林、灌木林进行调查核实，对发生变化的更新植被覆盖因子。</w:t>
      </w:r>
    </w:p>
    <w:p w14:paraId="7D64648D">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3）以2023年林草资源数据为本底，对蓄积连续生长自然变化的乔木林、疏林图斑，利用生长模型进行蓄积模型更新；以年度更新后图斑为基础，利用森林植被碳储量计量模型，完成林草资源数据小班生物量、碳储量测算，形成2023年林草资源数据生物量、碳储量成果数据。</w:t>
      </w:r>
    </w:p>
    <w:p w14:paraId="4E657640">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2.公益林、天然林、国有林等专题数据更新</w:t>
      </w:r>
    </w:p>
    <w:p w14:paraId="2C38C1CA">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一是开展2023年省级以上公益林优化成果完善；二是对征占用林地涉及省级以上公益林变更调整以及其他取得公益林变更调整同意批复的，做好调出、补入地块的落图更新工作，并对2023年省级以上公益林成果完善工作中剔除和补回的公益林做好落图工作；三是对纳入停伐补助的天然商品林、国有森林资源相关成果等其他专题数据做好变化图斑的核实更新。</w:t>
      </w:r>
    </w:p>
    <w:p w14:paraId="75097C66">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3.森林督查图斑核实更新</w:t>
      </w:r>
    </w:p>
    <w:p w14:paraId="5B0553B0">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以下发的森林督查图斑为线索，结合森林经营档案等有关资料开展图斑现地核实，核实图斑区域破坏森林资源的情况，确定变化原因，建立森林督查数据库，同时根据森林督查图斑核实结果做好落图更新工作。</w:t>
      </w:r>
    </w:p>
    <w:p w14:paraId="6B30645C">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5.其他技术支撑</w:t>
      </w:r>
    </w:p>
    <w:p w14:paraId="6DE1B39F">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项目实施过程中根据国家林草局、省林业局工作方案做好相应技术服务工作，主要包括数据库调整和报送、统计表生成和报送以及其它相关要求。</w:t>
      </w:r>
    </w:p>
    <w:p w14:paraId="301377D7">
      <w:pPr>
        <w:tabs>
          <w:tab w:val="left" w:pos="1069"/>
          <w:tab w:val="left" w:pos="2352"/>
        </w:tabs>
        <w:snapToGrid w:val="0"/>
        <w:spacing w:line="400" w:lineRule="exact"/>
        <w:ind w:firstLine="446" w:firstLineChars="200"/>
        <w:rPr>
          <w:rFonts w:ascii="宋体" w:hAnsi="宋体" w:cs="宋体"/>
          <w:b/>
          <w:color w:val="auto"/>
          <w:sz w:val="22"/>
          <w:highlight w:val="none"/>
        </w:rPr>
      </w:pPr>
      <w:r>
        <w:rPr>
          <w:rFonts w:hint="eastAsia" w:ascii="宋体" w:hAnsi="宋体" w:cs="宋体"/>
          <w:b/>
          <w:color w:val="auto"/>
          <w:sz w:val="22"/>
          <w:highlight w:val="none"/>
        </w:rPr>
        <w:t>二、合同金额</w:t>
      </w:r>
    </w:p>
    <w:p w14:paraId="6DC21335">
      <w:pPr>
        <w:tabs>
          <w:tab w:val="left" w:pos="1069"/>
          <w:tab w:val="left" w:pos="2352"/>
        </w:tabs>
        <w:snapToGrid w:val="0"/>
        <w:spacing w:line="400" w:lineRule="exact"/>
        <w:rPr>
          <w:rFonts w:ascii="宋体" w:hAnsi="宋体" w:cs="宋体"/>
          <w:bCs/>
          <w:color w:val="auto"/>
          <w:sz w:val="22"/>
          <w:highlight w:val="none"/>
        </w:rPr>
      </w:pPr>
      <w:r>
        <w:rPr>
          <w:rFonts w:hint="eastAsia" w:ascii="宋体" w:hAnsi="宋体" w:cs="宋体"/>
          <w:bCs/>
          <w:color w:val="auto"/>
          <w:sz w:val="22"/>
          <w:highlight w:val="none"/>
        </w:rPr>
        <w:t xml:space="preserve">   1.合同金额：</w:t>
      </w:r>
    </w:p>
    <w:p w14:paraId="76FC9E52">
      <w:pPr>
        <w:tabs>
          <w:tab w:val="left" w:pos="1060"/>
          <w:tab w:val="left" w:pos="1069"/>
          <w:tab w:val="left" w:pos="2352"/>
        </w:tabs>
        <w:spacing w:line="400" w:lineRule="exact"/>
        <w:ind w:firstLine="446" w:firstLineChars="200"/>
        <w:rPr>
          <w:rFonts w:ascii="宋体" w:hAnsi="宋体" w:cs="宋体"/>
          <w:bCs/>
          <w:color w:val="auto"/>
          <w:sz w:val="22"/>
          <w:highlight w:val="none"/>
          <w:u w:val="single"/>
        </w:rPr>
      </w:pPr>
      <w:r>
        <w:rPr>
          <w:rFonts w:hint="eastAsia" w:ascii="宋体" w:hAnsi="宋体" w:cs="宋体"/>
          <w:bCs/>
          <w:color w:val="auto"/>
          <w:sz w:val="22"/>
          <w:highlight w:val="none"/>
        </w:rPr>
        <w:t>合同总价：</w:t>
      </w:r>
      <w:r>
        <w:rPr>
          <w:rFonts w:hint="eastAsia" w:ascii="宋体" w:hAnsi="宋体" w:cs="宋体"/>
          <w:bCs/>
          <w:color w:val="auto"/>
          <w:sz w:val="22"/>
          <w:highlight w:val="none"/>
          <w:u w:val="single"/>
        </w:rPr>
        <w:t>人民币（大写）        元整（￥      ）。</w:t>
      </w:r>
    </w:p>
    <w:p w14:paraId="705D384C">
      <w:pPr>
        <w:tabs>
          <w:tab w:val="left" w:pos="1069"/>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合同金额己包含因采购本项目所需服务而产生的全部费用和税费、合理理利润、验收费用以及采购需求未提及但完成本项目所需服务必不可少的费用。</w:t>
      </w:r>
    </w:p>
    <w:p w14:paraId="1FFBA6BE">
      <w:pPr>
        <w:tabs>
          <w:tab w:val="left" w:pos="1069"/>
          <w:tab w:val="left" w:pos="2352"/>
        </w:tabs>
        <w:spacing w:line="400" w:lineRule="exact"/>
        <w:ind w:firstLine="446" w:firstLineChars="200"/>
        <w:rPr>
          <w:rFonts w:ascii="宋体" w:hAnsi="宋体" w:cs="宋体"/>
          <w:b/>
          <w:color w:val="auto"/>
          <w:sz w:val="22"/>
          <w:highlight w:val="none"/>
        </w:rPr>
      </w:pPr>
      <w:r>
        <w:rPr>
          <w:rFonts w:hint="eastAsia" w:ascii="宋体" w:hAnsi="宋体" w:cs="宋体"/>
          <w:b/>
          <w:color w:val="auto"/>
          <w:sz w:val="22"/>
          <w:highlight w:val="none"/>
        </w:rPr>
        <w:t>三、成果提交</w:t>
      </w:r>
    </w:p>
    <w:p w14:paraId="2C67D90E">
      <w:pPr>
        <w:tabs>
          <w:tab w:val="left" w:pos="1069"/>
          <w:tab w:val="left" w:pos="2352"/>
        </w:tabs>
        <w:spacing w:line="400" w:lineRule="exact"/>
        <w:ind w:left="443" w:leftChars="208"/>
        <w:rPr>
          <w:rFonts w:ascii="宋体" w:hAnsi="宋体" w:cs="宋体"/>
          <w:bCs/>
          <w:color w:val="auto"/>
          <w:sz w:val="22"/>
          <w:highlight w:val="none"/>
        </w:rPr>
      </w:pPr>
      <w:r>
        <w:rPr>
          <w:rFonts w:hint="eastAsia" w:ascii="宋体" w:hAnsi="宋体" w:cs="宋体"/>
          <w:bCs/>
          <w:color w:val="auto"/>
          <w:sz w:val="22"/>
          <w:highlight w:val="none"/>
        </w:rPr>
        <w:t>1．乙方应按采购文件规定的时间向甲方提供下列预期成果：</w:t>
      </w:r>
      <w:r>
        <w:rPr>
          <w:rFonts w:hint="eastAsia" w:ascii="宋体" w:hAnsi="宋体" w:cs="宋体"/>
          <w:bCs/>
          <w:color w:val="auto"/>
          <w:sz w:val="22"/>
          <w:highlight w:val="none"/>
        </w:rPr>
        <w:br w:type="textWrapping"/>
      </w:r>
      <w:r>
        <w:rPr>
          <w:rFonts w:hint="eastAsia" w:ascii="宋体" w:hAnsi="宋体" w:cs="宋体"/>
          <w:bCs/>
          <w:color w:val="auto"/>
          <w:sz w:val="22"/>
          <w:highlight w:val="none"/>
        </w:rPr>
        <w:t xml:space="preserve">提交的主要成果包括数据库、统计表、图件等。 </w:t>
      </w:r>
    </w:p>
    <w:p w14:paraId="4FBA1D62">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1.数据库</w:t>
      </w:r>
    </w:p>
    <w:p w14:paraId="58D9C534">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林草湿资源现状数据库、林草湿资源变化数据库、森林专题数据库、草地专题数据库、湿地专题数据库、不一致图斑数据库、公益林数据库。</w:t>
      </w:r>
    </w:p>
    <w:p w14:paraId="1EBB007E">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2.统计报表</w:t>
      </w:r>
    </w:p>
    <w:p w14:paraId="67B6596A">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包括各类资源种类、数量、质量、结构、分布等现状及年度变化统计表等。</w:t>
      </w:r>
    </w:p>
    <w:p w14:paraId="198B702F">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3.成果报告</w:t>
      </w:r>
    </w:p>
    <w:p w14:paraId="6CD10E3F">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年度森林资源更新成果报告。</w:t>
      </w:r>
    </w:p>
    <w:p w14:paraId="456B6540">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4.其他成果</w:t>
      </w:r>
    </w:p>
    <w:p w14:paraId="71B874D6">
      <w:pPr>
        <w:spacing w:line="400" w:lineRule="exact"/>
        <w:ind w:firstLine="446" w:firstLineChars="200"/>
        <w:rPr>
          <w:rFonts w:ascii="宋体" w:hAnsi="宋体" w:cs="宋体"/>
          <w:color w:val="auto"/>
          <w:sz w:val="22"/>
          <w:highlight w:val="none"/>
        </w:rPr>
      </w:pPr>
      <w:r>
        <w:rPr>
          <w:rFonts w:hint="eastAsia" w:ascii="宋体" w:hAnsi="宋体" w:cs="宋体"/>
          <w:color w:val="auto"/>
          <w:sz w:val="22"/>
          <w:highlight w:val="none"/>
        </w:rPr>
        <w:t>县级自查成果表。</w:t>
      </w:r>
    </w:p>
    <w:p w14:paraId="798C924E">
      <w:pPr>
        <w:spacing w:line="400" w:lineRule="exact"/>
        <w:ind w:firstLine="446" w:firstLineChars="200"/>
        <w:rPr>
          <w:rFonts w:ascii="宋体" w:hAnsi="宋体" w:cs="宋体"/>
          <w:bCs/>
          <w:color w:val="auto"/>
          <w:sz w:val="22"/>
          <w:highlight w:val="none"/>
        </w:rPr>
      </w:pPr>
      <w:r>
        <w:rPr>
          <w:rFonts w:hint="eastAsia" w:ascii="宋体" w:hAnsi="宋体" w:cs="宋体"/>
          <w:color w:val="auto"/>
          <w:sz w:val="22"/>
          <w:highlight w:val="none"/>
        </w:rPr>
        <w:t>5.上述成果的纸质版的份数按照采购方要求提供，并提供成果电子版1套（成果报告文本为doc格式，附表为Excel格式，图件为jpg、pdf格式，矢量数据为shape、gdb等格式）</w:t>
      </w:r>
      <w:r>
        <w:rPr>
          <w:rFonts w:hint="eastAsia" w:ascii="宋体" w:hAnsi="宋体" w:cs="宋体"/>
          <w:bCs/>
          <w:color w:val="auto"/>
          <w:sz w:val="22"/>
          <w:highlight w:val="none"/>
        </w:rPr>
        <w:t>。</w:t>
      </w:r>
    </w:p>
    <w:p w14:paraId="11613EB9">
      <w:pPr>
        <w:tabs>
          <w:tab w:val="left" w:pos="1069"/>
          <w:tab w:val="left" w:pos="2352"/>
        </w:tabs>
        <w:spacing w:line="400" w:lineRule="exact"/>
        <w:ind w:firstLine="223" w:firstLineChars="100"/>
        <w:rPr>
          <w:rFonts w:ascii="宋体" w:hAnsi="宋体" w:cs="宋体"/>
          <w:b/>
          <w:color w:val="auto"/>
          <w:sz w:val="22"/>
          <w:highlight w:val="none"/>
        </w:rPr>
      </w:pPr>
      <w:r>
        <w:rPr>
          <w:rFonts w:hint="eastAsia" w:ascii="宋体" w:hAnsi="宋体" w:cs="宋体"/>
          <w:bCs/>
          <w:color w:val="auto"/>
          <w:sz w:val="22"/>
          <w:highlight w:val="none"/>
        </w:rPr>
        <w:t xml:space="preserve"> </w:t>
      </w:r>
      <w:r>
        <w:rPr>
          <w:rFonts w:hint="eastAsia" w:ascii="宋体" w:hAnsi="宋体" w:cs="宋体"/>
          <w:b/>
          <w:color w:val="auto"/>
          <w:sz w:val="22"/>
          <w:highlight w:val="none"/>
        </w:rPr>
        <w:t xml:space="preserve"> 四、知识产权</w:t>
      </w:r>
    </w:p>
    <w:p w14:paraId="6035C975">
      <w:pPr>
        <w:tabs>
          <w:tab w:val="left" w:pos="1069"/>
          <w:tab w:val="left" w:pos="2352"/>
        </w:tabs>
        <w:spacing w:line="400" w:lineRule="exact"/>
        <w:ind w:firstLine="223" w:firstLineChars="100"/>
        <w:rPr>
          <w:rFonts w:hint="eastAsia" w:ascii="宋体" w:hAnsi="宋体" w:cs="宋体"/>
          <w:bCs/>
          <w:color w:val="auto"/>
          <w:sz w:val="22"/>
          <w:highlight w:val="none"/>
        </w:rPr>
      </w:pPr>
      <w:r>
        <w:rPr>
          <w:rFonts w:hint="eastAsia" w:ascii="宋体" w:hAnsi="宋体" w:cs="宋体"/>
          <w:bCs/>
          <w:color w:val="auto"/>
          <w:sz w:val="22"/>
          <w:highlight w:val="none"/>
        </w:rPr>
        <w:t xml:space="preserve">  乙方应保证提供服务过程中不会侵犯任何第三方的知识产权，所有提交资料成果所有权均归甲方所有，不得设置保密、保护措施。没有甲方事先书面同意，乙方不得将由甲方提供的有关合同或任何合同条文、规划报告、图纸、样品或资料提供给与履行本合同无关的任何其他人。即使向履行本合同有关的人员提供，也应注意保密并限于履行合同的必需范围。</w:t>
      </w:r>
    </w:p>
    <w:p w14:paraId="2FEC2189">
      <w:pPr>
        <w:tabs>
          <w:tab w:val="left" w:pos="1069"/>
          <w:tab w:val="left" w:pos="2352"/>
        </w:tabs>
        <w:spacing w:line="400" w:lineRule="exact"/>
        <w:ind w:firstLine="223" w:firstLineChars="100"/>
        <w:rPr>
          <w:rFonts w:hint="eastAsia" w:ascii="宋体" w:hAnsi="宋体" w:cs="宋体"/>
          <w:b/>
          <w:bCs w:val="0"/>
          <w:color w:val="auto"/>
          <w:sz w:val="22"/>
          <w:highlight w:val="none"/>
        </w:rPr>
      </w:pPr>
      <w:r>
        <w:rPr>
          <w:rFonts w:hint="eastAsia" w:ascii="宋体" w:hAnsi="宋体" w:cs="宋体"/>
          <w:b/>
          <w:bCs w:val="0"/>
          <w:color w:val="auto"/>
          <w:sz w:val="22"/>
          <w:highlight w:val="none"/>
        </w:rPr>
        <w:t>五、转包或分包</w:t>
      </w:r>
    </w:p>
    <w:p w14:paraId="68ABDF0D">
      <w:pPr>
        <w:tabs>
          <w:tab w:val="left" w:pos="1069"/>
          <w:tab w:val="left" w:pos="2352"/>
        </w:tabs>
        <w:spacing w:line="400" w:lineRule="exact"/>
        <w:ind w:firstLine="223" w:firstLineChars="100"/>
        <w:rPr>
          <w:rFonts w:hint="eastAsia" w:ascii="宋体" w:hAnsi="宋体" w:cs="宋体"/>
          <w:bCs/>
          <w:color w:val="auto"/>
          <w:sz w:val="22"/>
          <w:highlight w:val="none"/>
        </w:rPr>
      </w:pPr>
      <w:r>
        <w:rPr>
          <w:rFonts w:hint="eastAsia" w:ascii="宋体" w:hAnsi="宋体" w:cs="宋体"/>
          <w:bCs/>
          <w:color w:val="auto"/>
          <w:sz w:val="22"/>
          <w:highlight w:val="none"/>
        </w:rPr>
        <w:t>1.本合同范围的服务，应由乙方直接供应，不得转让他人供应；</w:t>
      </w:r>
    </w:p>
    <w:p w14:paraId="7EFA524D">
      <w:pPr>
        <w:tabs>
          <w:tab w:val="left" w:pos="1069"/>
          <w:tab w:val="left" w:pos="2352"/>
        </w:tabs>
        <w:spacing w:line="400" w:lineRule="exact"/>
        <w:ind w:firstLine="223" w:firstLineChars="100"/>
        <w:rPr>
          <w:rFonts w:hint="eastAsia" w:ascii="宋体" w:hAnsi="宋体" w:cs="宋体"/>
          <w:bCs/>
          <w:color w:val="auto"/>
          <w:sz w:val="22"/>
          <w:highlight w:val="none"/>
        </w:rPr>
      </w:pPr>
      <w:r>
        <w:rPr>
          <w:rFonts w:hint="eastAsia" w:ascii="宋体" w:hAnsi="宋体" w:cs="宋体"/>
          <w:bCs/>
          <w:color w:val="auto"/>
          <w:sz w:val="22"/>
          <w:highlight w:val="none"/>
        </w:rPr>
        <w:t>2.除非得到甲方的书面同意，乙方不得将本合同范围的服务全部或部分分包给他人供应；</w:t>
      </w:r>
    </w:p>
    <w:p w14:paraId="74D09772">
      <w:pPr>
        <w:tabs>
          <w:tab w:val="left" w:pos="1069"/>
          <w:tab w:val="left" w:pos="2352"/>
        </w:tabs>
        <w:spacing w:line="400" w:lineRule="exact"/>
        <w:ind w:firstLine="223" w:firstLineChars="100"/>
        <w:rPr>
          <w:rFonts w:hint="eastAsia" w:ascii="宋体" w:hAnsi="宋体" w:cs="宋体"/>
          <w:bCs/>
          <w:color w:val="auto"/>
          <w:sz w:val="22"/>
          <w:highlight w:val="none"/>
        </w:rPr>
      </w:pPr>
      <w:r>
        <w:rPr>
          <w:rFonts w:hint="eastAsia" w:ascii="宋体" w:hAnsi="宋体" w:cs="宋体"/>
          <w:bCs/>
          <w:color w:val="auto"/>
          <w:sz w:val="22"/>
          <w:highlight w:val="none"/>
        </w:rPr>
        <w:t>3.如有转让和未经甲方同意的分包行为，甲方有权解除合同，并追究乙方的违约责任。</w:t>
      </w:r>
    </w:p>
    <w:p w14:paraId="3D2E57C0">
      <w:pPr>
        <w:tabs>
          <w:tab w:val="left" w:pos="1069"/>
          <w:tab w:val="left" w:pos="2352"/>
        </w:tabs>
        <w:spacing w:line="400" w:lineRule="exact"/>
        <w:ind w:firstLine="223" w:firstLineChars="100"/>
        <w:rPr>
          <w:rFonts w:hint="eastAsia" w:ascii="宋体" w:hAnsi="宋体" w:cs="宋体"/>
          <w:bCs/>
          <w:color w:val="auto"/>
          <w:sz w:val="22"/>
          <w:highlight w:val="none"/>
        </w:rPr>
      </w:pPr>
      <w:r>
        <w:rPr>
          <w:rFonts w:hint="eastAsia" w:ascii="宋体" w:hAnsi="宋体" w:cs="宋体"/>
          <w:bCs/>
          <w:color w:val="auto"/>
          <w:sz w:val="22"/>
          <w:highlight w:val="none"/>
        </w:rPr>
        <w:t>六、工期进度要求及履行地点</w:t>
      </w:r>
    </w:p>
    <w:p w14:paraId="6F58BBBA">
      <w:pPr>
        <w:tabs>
          <w:tab w:val="left" w:pos="1069"/>
          <w:tab w:val="left" w:pos="2352"/>
        </w:tabs>
        <w:spacing w:line="400" w:lineRule="exact"/>
        <w:ind w:firstLine="223" w:firstLineChars="100"/>
        <w:rPr>
          <w:rFonts w:hint="eastAsia" w:ascii="宋体" w:hAnsi="宋体" w:cs="宋体"/>
          <w:bCs/>
          <w:color w:val="auto"/>
          <w:sz w:val="22"/>
          <w:highlight w:val="none"/>
        </w:rPr>
      </w:pPr>
      <w:r>
        <w:rPr>
          <w:rFonts w:hint="eastAsia" w:ascii="宋体" w:hAnsi="宋体" w:cs="宋体"/>
          <w:bCs/>
          <w:color w:val="auto"/>
          <w:sz w:val="22"/>
          <w:highlight w:val="none"/>
        </w:rPr>
        <w:t>1.工期进度要求</w:t>
      </w:r>
    </w:p>
    <w:p w14:paraId="5BF3B1FF">
      <w:pPr>
        <w:tabs>
          <w:tab w:val="left" w:pos="1069"/>
          <w:tab w:val="left" w:pos="2352"/>
        </w:tabs>
        <w:spacing w:line="400" w:lineRule="exact"/>
        <w:ind w:firstLine="223" w:firstLineChars="100"/>
        <w:rPr>
          <w:rFonts w:hint="eastAsia" w:ascii="宋体" w:hAnsi="宋体" w:cs="宋体"/>
          <w:bCs/>
          <w:color w:val="auto"/>
          <w:sz w:val="22"/>
          <w:highlight w:val="none"/>
        </w:rPr>
      </w:pPr>
      <w:r>
        <w:rPr>
          <w:rFonts w:hint="eastAsia" w:ascii="宋体" w:hAnsi="宋体" w:cs="宋体"/>
          <w:bCs/>
          <w:color w:val="auto"/>
          <w:sz w:val="22"/>
          <w:highlight w:val="none"/>
        </w:rPr>
        <w:t>成果于2024年12月底提交（具体时间根据省林业局要求作相应调整）。</w:t>
      </w:r>
    </w:p>
    <w:p w14:paraId="681BB1C2">
      <w:pPr>
        <w:tabs>
          <w:tab w:val="left" w:pos="1069"/>
          <w:tab w:val="left" w:pos="2352"/>
        </w:tabs>
        <w:spacing w:line="400" w:lineRule="exact"/>
        <w:ind w:firstLine="223" w:firstLineChars="100"/>
        <w:rPr>
          <w:rFonts w:hint="eastAsia" w:ascii="宋体" w:hAnsi="宋体" w:cs="宋体"/>
          <w:bCs/>
          <w:color w:val="auto"/>
          <w:sz w:val="22"/>
          <w:highlight w:val="none"/>
        </w:rPr>
      </w:pPr>
      <w:r>
        <w:rPr>
          <w:rFonts w:hint="eastAsia" w:ascii="宋体" w:hAnsi="宋体" w:cs="宋体"/>
          <w:bCs/>
          <w:color w:val="auto"/>
          <w:sz w:val="22"/>
          <w:highlight w:val="none"/>
        </w:rPr>
        <w:t>2.履行地点：甲方指定地点。</w:t>
      </w:r>
    </w:p>
    <w:p w14:paraId="33DF4D56">
      <w:pPr>
        <w:tabs>
          <w:tab w:val="left" w:pos="1069"/>
          <w:tab w:val="left" w:pos="2352"/>
        </w:tabs>
        <w:spacing w:line="400" w:lineRule="exact"/>
        <w:ind w:firstLine="223" w:firstLineChars="100"/>
        <w:rPr>
          <w:rFonts w:hint="eastAsia" w:ascii="宋体" w:hAnsi="宋体" w:cs="宋体"/>
          <w:b/>
          <w:bCs w:val="0"/>
          <w:color w:val="auto"/>
          <w:sz w:val="22"/>
          <w:highlight w:val="none"/>
        </w:rPr>
      </w:pPr>
      <w:r>
        <w:rPr>
          <w:rFonts w:hint="eastAsia" w:ascii="宋体" w:hAnsi="宋体" w:cs="宋体"/>
          <w:b/>
          <w:bCs w:val="0"/>
          <w:color w:val="auto"/>
          <w:sz w:val="22"/>
          <w:highlight w:val="none"/>
        </w:rPr>
        <w:t>七、付款方式</w:t>
      </w:r>
    </w:p>
    <w:p w14:paraId="6A950E5E">
      <w:pPr>
        <w:tabs>
          <w:tab w:val="left" w:pos="1069"/>
          <w:tab w:val="left" w:pos="2352"/>
        </w:tabs>
        <w:spacing w:line="400" w:lineRule="exact"/>
        <w:ind w:firstLine="223" w:firstLineChars="100"/>
        <w:rPr>
          <w:rFonts w:hint="eastAsia" w:ascii="宋体" w:hAnsi="宋体" w:cs="宋体"/>
          <w:bCs/>
          <w:color w:val="auto"/>
          <w:sz w:val="22"/>
          <w:highlight w:val="none"/>
        </w:rPr>
      </w:pPr>
      <w:r>
        <w:rPr>
          <w:rFonts w:hint="eastAsia" w:ascii="宋体" w:hAnsi="宋体" w:cs="宋体"/>
          <w:bCs/>
          <w:color w:val="auto"/>
          <w:sz w:val="22"/>
          <w:highlight w:val="none"/>
        </w:rPr>
        <w:t>下列付款条件具备后，乙方提供相应的增值税发票并经甲方确认无误后7个工作日内支付合同价款。</w:t>
      </w:r>
    </w:p>
    <w:p w14:paraId="298B53C9">
      <w:pPr>
        <w:tabs>
          <w:tab w:val="left" w:pos="1069"/>
          <w:tab w:val="left" w:pos="2352"/>
        </w:tabs>
        <w:spacing w:line="400" w:lineRule="exact"/>
        <w:ind w:firstLine="223" w:firstLineChars="100"/>
        <w:rPr>
          <w:rFonts w:ascii="宋体" w:hAnsi="宋体" w:cs="宋体"/>
          <w:color w:val="auto"/>
          <w:sz w:val="22"/>
          <w:highlight w:val="none"/>
        </w:rPr>
      </w:pPr>
      <w:r>
        <w:rPr>
          <w:rFonts w:hint="eastAsia" w:ascii="宋体" w:hAnsi="宋体" w:cs="宋体"/>
          <w:bCs/>
          <w:color w:val="auto"/>
          <w:sz w:val="22"/>
          <w:highlight w:val="none"/>
        </w:rPr>
        <w:t>根据《保障中小企业款项支付条例》、省财政厅《关于坚决打赢疫情防控阻击战进一步做好政府采购资金支持企业发展工作的通知》（浙财采监〔2020〕33号）、省财政厅《关于进一步发挥政府采购政策功能全力推动经济稳进</w:t>
      </w:r>
      <w:r>
        <w:rPr>
          <w:rFonts w:hint="eastAsia" w:ascii="宋体" w:hAnsi="宋体" w:cs="宋体"/>
          <w:color w:val="auto"/>
          <w:sz w:val="22"/>
          <w:highlight w:val="none"/>
        </w:rPr>
        <w:t>提质的通知》（浙财采监〔2022〕3号）、《关于进一步加大政府采购 支持中小企业力度 助力扎实稳住经济 的通知》（浙财采监〔2022〕8号）要求。</w:t>
      </w:r>
    </w:p>
    <w:p w14:paraId="15764A45">
      <w:pPr>
        <w:tabs>
          <w:tab w:val="left" w:pos="2352"/>
        </w:tabs>
        <w:autoSpaceDE w:val="0"/>
        <w:autoSpaceDN w:val="0"/>
        <w:adjustRightInd w:val="0"/>
        <w:snapToGrid w:val="0"/>
        <w:spacing w:line="400" w:lineRule="exact"/>
        <w:ind w:firstLine="446" w:firstLineChars="200"/>
        <w:textAlignment w:val="bottom"/>
        <w:rPr>
          <w:rFonts w:ascii="宋体" w:hAnsi="宋体" w:cs="宋体"/>
          <w:color w:val="auto"/>
          <w:sz w:val="22"/>
          <w:highlight w:val="none"/>
        </w:rPr>
      </w:pPr>
      <w:r>
        <w:rPr>
          <w:rFonts w:hint="eastAsia" w:ascii="宋体" w:hAnsi="宋体" w:cs="宋体"/>
          <w:color w:val="auto"/>
          <w:sz w:val="22"/>
          <w:highlight w:val="none"/>
        </w:rPr>
        <w:t>制定如下付款方式：</w:t>
      </w:r>
    </w:p>
    <w:p w14:paraId="783CE8CD">
      <w:pPr>
        <w:tabs>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1.合同生效且具备支付条件后，甲方预付合同总价的40%，即</w:t>
      </w:r>
      <w:r>
        <w:rPr>
          <w:rFonts w:hint="eastAsia" w:ascii="宋体" w:hAnsi="宋体" w:cs="宋体"/>
          <w:bCs/>
          <w:color w:val="auto"/>
          <w:sz w:val="22"/>
          <w:highlight w:val="none"/>
          <w:u w:val="single"/>
        </w:rPr>
        <w:t xml:space="preserve">人民币（大写）        元整（￥      ） </w:t>
      </w:r>
      <w:r>
        <w:rPr>
          <w:rFonts w:hint="eastAsia" w:ascii="宋体" w:hAnsi="宋体" w:cs="宋体"/>
          <w:bCs/>
          <w:color w:val="auto"/>
          <w:sz w:val="22"/>
          <w:highlight w:val="none"/>
        </w:rPr>
        <w:t>。</w:t>
      </w:r>
    </w:p>
    <w:p w14:paraId="16B03D3D">
      <w:pPr>
        <w:tabs>
          <w:tab w:val="left" w:pos="2352"/>
        </w:tabs>
        <w:spacing w:line="400" w:lineRule="exact"/>
        <w:ind w:firstLine="446" w:firstLineChars="200"/>
        <w:rPr>
          <w:rFonts w:ascii="宋体" w:hAnsi="宋体" w:cs="宋体"/>
          <w:bCs/>
          <w:color w:val="auto"/>
          <w:sz w:val="22"/>
          <w:highlight w:val="none"/>
        </w:rPr>
      </w:pPr>
      <w:r>
        <w:rPr>
          <w:rFonts w:hint="eastAsia" w:ascii="宋体" w:hAnsi="宋体" w:cs="宋体"/>
          <w:bCs/>
          <w:color w:val="auto"/>
          <w:sz w:val="22"/>
          <w:highlight w:val="none"/>
        </w:rPr>
        <w:t>2.通过甲方验收后，甲方支付合同总价的60%，即</w:t>
      </w:r>
      <w:r>
        <w:rPr>
          <w:rFonts w:hint="eastAsia" w:ascii="宋体" w:hAnsi="宋体" w:cs="宋体"/>
          <w:bCs/>
          <w:color w:val="auto"/>
          <w:sz w:val="22"/>
          <w:highlight w:val="none"/>
          <w:u w:val="single"/>
        </w:rPr>
        <w:t xml:space="preserve">人民币（大写）        元整（￥      ） </w:t>
      </w:r>
      <w:r>
        <w:rPr>
          <w:rFonts w:hint="eastAsia" w:ascii="宋体" w:hAnsi="宋体" w:cs="宋体"/>
          <w:bCs/>
          <w:color w:val="auto"/>
          <w:sz w:val="22"/>
          <w:highlight w:val="none"/>
        </w:rPr>
        <w:t>。</w:t>
      </w:r>
    </w:p>
    <w:p w14:paraId="38F4A1C9">
      <w:pPr>
        <w:pStyle w:val="10"/>
        <w:numPr>
          <w:ilvl w:val="0"/>
          <w:numId w:val="8"/>
        </w:numPr>
        <w:tabs>
          <w:tab w:val="left" w:pos="1069"/>
          <w:tab w:val="left" w:pos="2352"/>
        </w:tabs>
        <w:snapToGrid w:val="0"/>
        <w:spacing w:line="400" w:lineRule="exact"/>
        <w:ind w:firstLine="223" w:firstLineChars="100"/>
        <w:rPr>
          <w:rFonts w:hAnsi="宋体" w:cs="宋体"/>
          <w:b/>
          <w:color w:val="auto"/>
          <w:kern w:val="2"/>
          <w:sz w:val="22"/>
          <w:szCs w:val="22"/>
          <w:highlight w:val="none"/>
        </w:rPr>
      </w:pPr>
      <w:r>
        <w:rPr>
          <w:rFonts w:hint="eastAsia" w:hAnsi="宋体" w:cs="宋体"/>
          <w:b/>
          <w:color w:val="auto"/>
          <w:kern w:val="2"/>
          <w:sz w:val="22"/>
          <w:szCs w:val="22"/>
          <w:highlight w:val="none"/>
        </w:rPr>
        <w:t>验收</w:t>
      </w:r>
    </w:p>
    <w:p w14:paraId="18DB3D3B">
      <w:pPr>
        <w:tabs>
          <w:tab w:val="left" w:pos="1069"/>
          <w:tab w:val="left" w:pos="2352"/>
        </w:tabs>
        <w:snapToGrid w:val="0"/>
        <w:spacing w:line="400" w:lineRule="exact"/>
        <w:ind w:firstLine="223" w:firstLineChars="100"/>
        <w:rPr>
          <w:rFonts w:ascii="宋体" w:hAnsi="宋体"/>
          <w:color w:val="auto"/>
          <w:sz w:val="22"/>
          <w:highlight w:val="none"/>
        </w:rPr>
      </w:pPr>
      <w:r>
        <w:rPr>
          <w:rFonts w:hint="eastAsia" w:ascii="宋体" w:hAnsi="宋体"/>
          <w:color w:val="auto"/>
          <w:sz w:val="22"/>
          <w:highlight w:val="none"/>
        </w:rPr>
        <w:t>1.按项目相关规定、规范进行。</w:t>
      </w:r>
    </w:p>
    <w:p w14:paraId="1EEF2387">
      <w:pPr>
        <w:tabs>
          <w:tab w:val="left" w:pos="1069"/>
          <w:tab w:val="left" w:pos="2352"/>
        </w:tabs>
        <w:snapToGrid w:val="0"/>
        <w:spacing w:line="400" w:lineRule="exact"/>
        <w:ind w:firstLine="223" w:firstLineChars="100"/>
        <w:rPr>
          <w:rFonts w:ascii="宋体" w:hAnsi="宋体"/>
          <w:color w:val="auto"/>
          <w:sz w:val="22"/>
          <w:highlight w:val="none"/>
        </w:rPr>
      </w:pPr>
      <w:r>
        <w:rPr>
          <w:rFonts w:hint="eastAsia" w:ascii="宋体" w:hAnsi="宋体"/>
          <w:color w:val="auto"/>
          <w:sz w:val="22"/>
          <w:highlight w:val="none"/>
        </w:rPr>
        <w:t>2.验收标准：提交的</w:t>
      </w:r>
      <w:r>
        <w:rPr>
          <w:rFonts w:hint="eastAsia" w:ascii="宋体" w:hAnsi="宋体" w:cs="宋体"/>
          <w:color w:val="auto"/>
          <w:sz w:val="22"/>
          <w:highlight w:val="none"/>
        </w:rPr>
        <w:t>成果通过专家评审，满足省市考核要求</w:t>
      </w:r>
      <w:r>
        <w:rPr>
          <w:rFonts w:hint="eastAsia" w:ascii="宋体" w:hAnsi="宋体"/>
          <w:color w:val="auto"/>
          <w:sz w:val="22"/>
          <w:highlight w:val="none"/>
        </w:rPr>
        <w:t>。</w:t>
      </w:r>
    </w:p>
    <w:p w14:paraId="5BE6DBCE">
      <w:pPr>
        <w:tabs>
          <w:tab w:val="left" w:pos="1069"/>
          <w:tab w:val="left" w:pos="2352"/>
        </w:tabs>
        <w:snapToGrid w:val="0"/>
        <w:spacing w:line="400" w:lineRule="exact"/>
        <w:ind w:firstLine="223" w:firstLineChars="100"/>
        <w:rPr>
          <w:rFonts w:hAnsi="宋体" w:cs="宋体"/>
          <w:b/>
          <w:color w:val="auto"/>
          <w:sz w:val="22"/>
          <w:highlight w:val="none"/>
        </w:rPr>
      </w:pPr>
      <w:r>
        <w:rPr>
          <w:rFonts w:hint="eastAsia" w:ascii="宋体" w:hAnsi="宋体"/>
          <w:color w:val="auto"/>
          <w:sz w:val="22"/>
          <w:highlight w:val="none"/>
        </w:rPr>
        <w:t>3.验收所需（含专家评审费用）费用由乙方承担</w:t>
      </w:r>
      <w:r>
        <w:rPr>
          <w:rFonts w:hint="eastAsia" w:hAnsi="宋体" w:cs="宋体"/>
          <w:bCs/>
          <w:color w:val="auto"/>
          <w:sz w:val="22"/>
          <w:highlight w:val="none"/>
        </w:rPr>
        <w:t>。</w:t>
      </w:r>
    </w:p>
    <w:p w14:paraId="61A67C7D">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
          <w:color w:val="auto"/>
          <w:sz w:val="22"/>
          <w:szCs w:val="22"/>
          <w:highlight w:val="none"/>
        </w:rPr>
        <w:t>九、税费</w:t>
      </w:r>
    </w:p>
    <w:p w14:paraId="01B7BA9B">
      <w:pPr>
        <w:tabs>
          <w:tab w:val="left" w:pos="2352"/>
        </w:tabs>
        <w:spacing w:line="400" w:lineRule="exact"/>
        <w:ind w:firstLine="223" w:firstLineChars="100"/>
        <w:rPr>
          <w:rFonts w:hAnsi="宋体" w:cs="宋体"/>
          <w:bCs/>
          <w:color w:val="auto"/>
          <w:sz w:val="22"/>
          <w:highlight w:val="none"/>
        </w:rPr>
      </w:pPr>
      <w:r>
        <w:rPr>
          <w:rFonts w:hint="eastAsia" w:hAnsi="宋体" w:cs="宋体"/>
          <w:bCs/>
          <w:color w:val="auto"/>
          <w:sz w:val="22"/>
          <w:highlight w:val="none"/>
        </w:rPr>
        <w:t>本合同执行中相关的一切税费均由乙方负担。</w:t>
      </w:r>
    </w:p>
    <w:p w14:paraId="17794395">
      <w:pPr>
        <w:tabs>
          <w:tab w:val="left" w:pos="2352"/>
        </w:tabs>
        <w:spacing w:line="400" w:lineRule="exact"/>
        <w:ind w:firstLine="223" w:firstLineChars="100"/>
        <w:rPr>
          <w:rFonts w:hAnsi="宋体" w:cs="宋体"/>
          <w:b/>
          <w:color w:val="auto"/>
          <w:sz w:val="22"/>
          <w:highlight w:val="none"/>
        </w:rPr>
      </w:pPr>
      <w:r>
        <w:rPr>
          <w:rFonts w:hint="eastAsia" w:hAnsi="宋体" w:cs="宋体"/>
          <w:b/>
          <w:bCs w:val="0"/>
          <w:color w:val="auto"/>
          <w:sz w:val="22"/>
          <w:highlight w:val="none"/>
        </w:rPr>
        <w:t>十、</w:t>
      </w:r>
      <w:r>
        <w:rPr>
          <w:rFonts w:hint="eastAsia" w:hAnsi="宋体" w:cs="宋体"/>
          <w:b/>
          <w:color w:val="auto"/>
          <w:sz w:val="22"/>
          <w:highlight w:val="none"/>
        </w:rPr>
        <w:t>质量保证及后续服务</w:t>
      </w:r>
    </w:p>
    <w:p w14:paraId="74A2AAD1">
      <w:pPr>
        <w:tabs>
          <w:tab w:val="left" w:pos="2352"/>
        </w:tabs>
        <w:spacing w:line="400" w:lineRule="exact"/>
        <w:ind w:firstLine="223" w:firstLineChars="100"/>
        <w:rPr>
          <w:rFonts w:hAnsi="宋体" w:cs="宋体"/>
          <w:bCs/>
          <w:color w:val="auto"/>
          <w:sz w:val="22"/>
          <w:highlight w:val="none"/>
        </w:rPr>
      </w:pPr>
      <w:r>
        <w:rPr>
          <w:rFonts w:hint="eastAsia" w:hAnsi="宋体" w:cs="宋体"/>
          <w:bCs/>
          <w:color w:val="auto"/>
          <w:sz w:val="22"/>
          <w:highlight w:val="none"/>
        </w:rPr>
        <w:t>1．本项目成果维护期为自项目验收合格之日起1年</w:t>
      </w:r>
      <w:r>
        <w:rPr>
          <w:rFonts w:hint="eastAsia" w:ascii="宋体" w:hAnsi="宋体" w:cs="宋体"/>
          <w:color w:val="auto"/>
          <w:sz w:val="22"/>
          <w:highlight w:val="none"/>
        </w:rPr>
        <w:t>。</w:t>
      </w:r>
      <w:r>
        <w:rPr>
          <w:rFonts w:hint="eastAsia" w:hAnsi="宋体" w:cs="宋体"/>
          <w:bCs/>
          <w:color w:val="auto"/>
          <w:sz w:val="22"/>
          <w:highlight w:val="none"/>
        </w:rPr>
        <w:t>维护期内乙方负责提供免费的技术、咨询及修改工作，乙方应对服务成果出现的质量问题负责处理解决并承担一切费用。</w:t>
      </w:r>
    </w:p>
    <w:p w14:paraId="7EB02C1E">
      <w:pPr>
        <w:pStyle w:val="10"/>
        <w:tabs>
          <w:tab w:val="left" w:pos="1069"/>
          <w:tab w:val="left" w:pos="2352"/>
        </w:tabs>
        <w:adjustRightInd w:val="0"/>
        <w:snapToGrid w:val="0"/>
        <w:spacing w:line="400" w:lineRule="atLeast"/>
        <w:ind w:left="221" w:leftChars="104"/>
        <w:rPr>
          <w:rFonts w:hAnsi="宋体" w:cs="宋体"/>
          <w:bCs/>
          <w:color w:val="auto"/>
          <w:sz w:val="22"/>
          <w:szCs w:val="22"/>
          <w:highlight w:val="none"/>
        </w:rPr>
      </w:pPr>
      <w:r>
        <w:rPr>
          <w:rFonts w:hint="eastAsia" w:hAnsi="宋体" w:cs="宋体"/>
          <w:bCs/>
          <w:color w:val="auto"/>
          <w:sz w:val="22"/>
          <w:szCs w:val="22"/>
          <w:highlight w:val="none"/>
        </w:rPr>
        <w:t>2.乙方应按响应文件承诺及采购文件规定向甲方提供服务。</w:t>
      </w:r>
    </w:p>
    <w:p w14:paraId="2955D4F1">
      <w:pPr>
        <w:pStyle w:val="10"/>
        <w:tabs>
          <w:tab w:val="left" w:pos="1069"/>
          <w:tab w:val="left" w:pos="2352"/>
        </w:tabs>
        <w:adjustRightInd w:val="0"/>
        <w:snapToGrid w:val="0"/>
        <w:spacing w:line="400" w:lineRule="atLeast"/>
        <w:ind w:left="221" w:leftChars="104"/>
        <w:rPr>
          <w:rFonts w:hAnsi="宋体" w:cs="宋体"/>
          <w:bCs/>
          <w:color w:val="auto"/>
          <w:sz w:val="22"/>
          <w:szCs w:val="22"/>
          <w:highlight w:val="none"/>
        </w:rPr>
      </w:pPr>
      <w:r>
        <w:rPr>
          <w:rFonts w:hint="eastAsia" w:hAnsi="宋体" w:cs="宋体"/>
          <w:bCs/>
          <w:color w:val="auto"/>
          <w:sz w:val="22"/>
          <w:szCs w:val="22"/>
          <w:highlight w:val="none"/>
        </w:rPr>
        <w:t>3．乙方提供的服务成果在服务质量保证期内发生质量问题，乙方应负责免费提供后续服务。对达不到要求者，根据实际情况，经双方协商，可按以下办法处理：</w:t>
      </w:r>
    </w:p>
    <w:p w14:paraId="3F04CB7F">
      <w:pPr>
        <w:pStyle w:val="10"/>
        <w:tabs>
          <w:tab w:val="left" w:pos="1069"/>
          <w:tab w:val="left" w:pos="2352"/>
        </w:tabs>
        <w:adjustRightInd w:val="0"/>
        <w:snapToGrid w:val="0"/>
        <w:spacing w:line="400" w:lineRule="atLeast"/>
        <w:ind w:left="221" w:leftChars="104"/>
        <w:rPr>
          <w:rFonts w:hAnsi="宋体" w:cs="宋体"/>
          <w:bCs/>
          <w:color w:val="auto"/>
          <w:sz w:val="22"/>
          <w:szCs w:val="22"/>
          <w:highlight w:val="none"/>
        </w:rPr>
      </w:pPr>
      <w:r>
        <w:rPr>
          <w:rFonts w:hint="eastAsia" w:hAnsi="宋体" w:cs="宋体"/>
          <w:bCs/>
          <w:color w:val="auto"/>
          <w:sz w:val="22"/>
          <w:szCs w:val="22"/>
          <w:highlight w:val="none"/>
        </w:rPr>
        <w:t>（1）重做：由乙方承担所发生的全部费用。</w:t>
      </w:r>
    </w:p>
    <w:p w14:paraId="0BFDEEB3">
      <w:pPr>
        <w:pStyle w:val="10"/>
        <w:tabs>
          <w:tab w:val="left" w:pos="1069"/>
          <w:tab w:val="left" w:pos="2352"/>
        </w:tabs>
        <w:adjustRightInd w:val="0"/>
        <w:snapToGrid w:val="0"/>
        <w:spacing w:line="400" w:lineRule="atLeast"/>
        <w:ind w:left="221" w:leftChars="104"/>
        <w:rPr>
          <w:rFonts w:hAnsi="宋体" w:cs="宋体"/>
          <w:bCs/>
          <w:color w:val="auto"/>
          <w:sz w:val="22"/>
          <w:szCs w:val="22"/>
          <w:highlight w:val="none"/>
        </w:rPr>
      </w:pPr>
      <w:r>
        <w:rPr>
          <w:rFonts w:hint="eastAsia" w:hAnsi="宋体" w:cs="宋体"/>
          <w:bCs/>
          <w:color w:val="auto"/>
          <w:sz w:val="22"/>
          <w:szCs w:val="22"/>
          <w:highlight w:val="none"/>
        </w:rPr>
        <w:t>（2）贬值处理：由甲乙双方合议定价。</w:t>
      </w:r>
    </w:p>
    <w:p w14:paraId="20F82503">
      <w:pPr>
        <w:pStyle w:val="10"/>
        <w:tabs>
          <w:tab w:val="left" w:pos="1069"/>
          <w:tab w:val="left" w:pos="2352"/>
        </w:tabs>
        <w:adjustRightInd w:val="0"/>
        <w:snapToGrid w:val="0"/>
        <w:spacing w:line="400" w:lineRule="atLeast"/>
        <w:ind w:left="221" w:leftChars="104"/>
        <w:rPr>
          <w:rFonts w:hAnsi="宋体" w:cs="宋体"/>
          <w:bCs/>
          <w:color w:val="auto"/>
          <w:sz w:val="22"/>
          <w:szCs w:val="22"/>
          <w:highlight w:val="none"/>
        </w:rPr>
      </w:pPr>
      <w:r>
        <w:rPr>
          <w:rFonts w:hint="eastAsia" w:hAnsi="宋体" w:cs="宋体"/>
          <w:bCs/>
          <w:color w:val="auto"/>
          <w:sz w:val="22"/>
          <w:szCs w:val="22"/>
          <w:highlight w:val="none"/>
        </w:rPr>
        <w:t>（3）解除合同。</w:t>
      </w:r>
    </w:p>
    <w:p w14:paraId="70A55974">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4.乙方需提供7×24小时电话技术咨询支持，在收到甲方质量问题通知后30分钟内须作出有效响应，如非现场响应无法解决问题的，须到达现场解决问题。</w:t>
      </w:r>
    </w:p>
    <w:p w14:paraId="4771F4C0">
      <w:pPr>
        <w:pStyle w:val="10"/>
        <w:tabs>
          <w:tab w:val="left" w:pos="1069"/>
          <w:tab w:val="left" w:pos="2352"/>
        </w:tabs>
        <w:adjustRightInd w:val="0"/>
        <w:snapToGrid w:val="0"/>
        <w:spacing w:line="400" w:lineRule="atLeast"/>
        <w:ind w:firstLine="223" w:firstLineChars="100"/>
        <w:rPr>
          <w:rFonts w:hAnsi="宋体" w:cs="宋体"/>
          <w:b/>
          <w:color w:val="auto"/>
          <w:sz w:val="22"/>
          <w:szCs w:val="22"/>
          <w:highlight w:val="none"/>
        </w:rPr>
      </w:pPr>
      <w:r>
        <w:rPr>
          <w:rFonts w:hint="eastAsia" w:hAnsi="宋体" w:cs="宋体"/>
          <w:bCs/>
          <w:color w:val="auto"/>
          <w:sz w:val="22"/>
          <w:szCs w:val="22"/>
          <w:highlight w:val="none"/>
        </w:rPr>
        <w:t xml:space="preserve"> </w:t>
      </w:r>
      <w:r>
        <w:rPr>
          <w:rFonts w:hint="eastAsia" w:hAnsi="宋体" w:cs="宋体"/>
          <w:b/>
          <w:color w:val="auto"/>
          <w:sz w:val="22"/>
          <w:szCs w:val="22"/>
          <w:highlight w:val="none"/>
        </w:rPr>
        <w:t>十一、违约责任</w:t>
      </w:r>
    </w:p>
    <w:p w14:paraId="2EAA5D5C">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 xml:space="preserve"> 1.乙方没有达到服务质量要求，甲方有权终止服务合同并停止付款及扣除全部服务质量保证金。</w:t>
      </w:r>
    </w:p>
    <w:p w14:paraId="13F1BE93">
      <w:pPr>
        <w:pStyle w:val="10"/>
        <w:tabs>
          <w:tab w:val="left" w:pos="1069"/>
          <w:tab w:val="left" w:pos="2352"/>
        </w:tabs>
        <w:adjustRightInd w:val="0"/>
        <w:snapToGrid w:val="0"/>
        <w:spacing w:line="400" w:lineRule="atLeast"/>
        <w:ind w:firstLine="446" w:firstLineChars="200"/>
        <w:rPr>
          <w:rFonts w:hAnsi="宋体" w:cs="宋体"/>
          <w:bCs/>
          <w:color w:val="auto"/>
          <w:sz w:val="22"/>
          <w:szCs w:val="22"/>
          <w:highlight w:val="none"/>
        </w:rPr>
      </w:pPr>
      <w:r>
        <w:rPr>
          <w:rFonts w:hint="eastAsia" w:hAnsi="宋体" w:cs="宋体"/>
          <w:bCs/>
          <w:color w:val="auto"/>
          <w:sz w:val="22"/>
          <w:szCs w:val="22"/>
          <w:highlight w:val="none"/>
        </w:rPr>
        <w:t>2.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1476304">
      <w:pPr>
        <w:pStyle w:val="10"/>
        <w:tabs>
          <w:tab w:val="left" w:pos="1069"/>
          <w:tab w:val="left" w:pos="2352"/>
        </w:tabs>
        <w:adjustRightInd w:val="0"/>
        <w:snapToGrid w:val="0"/>
        <w:spacing w:line="400" w:lineRule="atLeast"/>
        <w:ind w:firstLine="223" w:firstLineChars="100"/>
        <w:rPr>
          <w:rFonts w:hAnsi="宋体" w:cs="宋体"/>
          <w:b/>
          <w:color w:val="auto"/>
          <w:sz w:val="22"/>
          <w:szCs w:val="22"/>
          <w:highlight w:val="none"/>
        </w:rPr>
      </w:pPr>
      <w:r>
        <w:rPr>
          <w:rFonts w:hint="eastAsia" w:hAnsi="宋体" w:cs="宋体"/>
          <w:b/>
          <w:color w:val="auto"/>
          <w:sz w:val="22"/>
          <w:szCs w:val="22"/>
          <w:highlight w:val="none"/>
        </w:rPr>
        <w:t>十二、合同生效和终止</w:t>
      </w:r>
    </w:p>
    <w:p w14:paraId="5AEA7A5B">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1.本合同经双方法定代表人或其授权代表签字盖章后生效。</w:t>
      </w:r>
    </w:p>
    <w:p w14:paraId="2CCF65C2">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2.终止</w:t>
      </w:r>
    </w:p>
    <w:p w14:paraId="5FC63976">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2.1提前终止</w:t>
      </w:r>
    </w:p>
    <w:p w14:paraId="5FB0D826">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（1）乙方未能提供符合本合同约定的服务要求，甲方有权提前终止合同。</w:t>
      </w:r>
    </w:p>
    <w:p w14:paraId="0B2330E5">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（2）乙方未能履行合同和遵守有关规定，在甲方发出书面警告后仍未采取补救措施或补救措施无效的，甲方可立即终止合同。</w:t>
      </w:r>
    </w:p>
    <w:p w14:paraId="36FB0636">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（3）乙方破产清算、重组及兼并等事实发生，或被债权人接管经营，甲方不必通知乙方即可终止合同。</w:t>
      </w:r>
    </w:p>
    <w:p w14:paraId="3ADDD2B9">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2.2自然终止</w:t>
      </w:r>
    </w:p>
    <w:p w14:paraId="7DC9F46F">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合同约定的服务期限届满，本合同自然终止。</w:t>
      </w:r>
    </w:p>
    <w:p w14:paraId="21AAF452">
      <w:pPr>
        <w:pStyle w:val="10"/>
        <w:tabs>
          <w:tab w:val="left" w:pos="1069"/>
          <w:tab w:val="left" w:pos="2352"/>
        </w:tabs>
        <w:adjustRightInd w:val="0"/>
        <w:snapToGrid w:val="0"/>
        <w:spacing w:line="400" w:lineRule="atLeast"/>
        <w:ind w:firstLine="223" w:firstLineChars="100"/>
        <w:rPr>
          <w:rFonts w:hAnsi="宋体" w:cs="宋体"/>
          <w:b/>
          <w:color w:val="auto"/>
          <w:sz w:val="22"/>
          <w:szCs w:val="22"/>
          <w:highlight w:val="none"/>
        </w:rPr>
      </w:pPr>
      <w:r>
        <w:rPr>
          <w:rFonts w:hint="eastAsia" w:hAnsi="宋体" w:cs="宋体"/>
          <w:b/>
          <w:color w:val="auto"/>
          <w:sz w:val="22"/>
          <w:szCs w:val="22"/>
          <w:highlight w:val="none"/>
        </w:rPr>
        <w:t>十三、争议的解决</w:t>
      </w:r>
    </w:p>
    <w:p w14:paraId="4C143B0B">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 xml:space="preserve">   因本合同引起的或与本合同有关的任何争议，合同双方应首先通过协商解决，达成书面协议，如协商不成，可选择下列第（2）种方式解决。</w:t>
      </w:r>
    </w:p>
    <w:p w14:paraId="6C940F37">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（1）提请温州仲裁委员会按照该会仲裁规则进行仲裁，仲裁裁决是终局的，对合同双方均有约束力。</w:t>
      </w:r>
    </w:p>
    <w:p w14:paraId="779AA24F">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（2）向泰顺县人民法院提起诉讼。</w:t>
      </w:r>
    </w:p>
    <w:p w14:paraId="414CD323">
      <w:pPr>
        <w:pStyle w:val="10"/>
        <w:tabs>
          <w:tab w:val="left" w:pos="1069"/>
          <w:tab w:val="left" w:pos="2352"/>
        </w:tabs>
        <w:adjustRightInd w:val="0"/>
        <w:snapToGrid w:val="0"/>
        <w:spacing w:line="400" w:lineRule="atLeast"/>
        <w:ind w:firstLine="223" w:firstLineChars="100"/>
        <w:rPr>
          <w:rFonts w:hAnsi="宋体" w:cs="宋体"/>
          <w:b/>
          <w:color w:val="auto"/>
          <w:sz w:val="22"/>
          <w:szCs w:val="22"/>
          <w:highlight w:val="none"/>
        </w:rPr>
      </w:pPr>
      <w:r>
        <w:rPr>
          <w:rFonts w:hint="eastAsia" w:hAnsi="宋体" w:cs="宋体"/>
          <w:b/>
          <w:color w:val="auto"/>
          <w:sz w:val="22"/>
          <w:szCs w:val="22"/>
          <w:highlight w:val="none"/>
        </w:rPr>
        <w:t>十四、不可抗力</w:t>
      </w:r>
    </w:p>
    <w:p w14:paraId="10CBE566">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 xml:space="preserve"> 1.合同存续期间发生地震、火灾及其他双方不能控制的原因，导致服务区域损毁或灭</w:t>
      </w:r>
    </w:p>
    <w:p w14:paraId="1CADE0EA">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失，合同不能或不能全部履行的。双方按以下各项执行：</w:t>
      </w:r>
    </w:p>
    <w:p w14:paraId="752C578E">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（1）任何一方均可以书面形式提出终止合同且无需做出任何赔偿。</w:t>
      </w:r>
    </w:p>
    <w:p w14:paraId="30873D2C">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 因不可抗力导致合同终止，并不影响任何一方对不可抗力发生前的违约行为的合</w:t>
      </w:r>
    </w:p>
    <w:p w14:paraId="2FBB06E9">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法追偿。</w:t>
      </w:r>
    </w:p>
    <w:p w14:paraId="44D81D77">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2.遇国家政策调整，影响合同履行的，双方协商解决。</w:t>
      </w:r>
    </w:p>
    <w:p w14:paraId="18BB687D">
      <w:pPr>
        <w:pStyle w:val="10"/>
        <w:tabs>
          <w:tab w:val="left" w:pos="1069"/>
          <w:tab w:val="left" w:pos="2352"/>
        </w:tabs>
        <w:adjustRightInd w:val="0"/>
        <w:snapToGrid w:val="0"/>
        <w:spacing w:line="400" w:lineRule="atLeast"/>
        <w:ind w:firstLine="223" w:firstLineChars="100"/>
        <w:rPr>
          <w:rFonts w:hAnsi="宋体" w:cs="宋体"/>
          <w:b/>
          <w:color w:val="auto"/>
          <w:sz w:val="22"/>
          <w:szCs w:val="22"/>
          <w:highlight w:val="none"/>
        </w:rPr>
      </w:pPr>
      <w:r>
        <w:rPr>
          <w:rFonts w:hint="eastAsia" w:hAnsi="宋体" w:cs="宋体"/>
          <w:b/>
          <w:color w:val="auto"/>
          <w:sz w:val="22"/>
          <w:szCs w:val="22"/>
          <w:highlight w:val="none"/>
        </w:rPr>
        <w:t>十五、合同生效</w:t>
      </w:r>
    </w:p>
    <w:p w14:paraId="4173A899">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1．中标（成交）通知书作为乙方与甲方签订合同的凭证。</w:t>
      </w:r>
    </w:p>
    <w:p w14:paraId="49E1F98A">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2．本合同经甲、乙双方法定代表人或其授权委托人签字并加盖单位公章后生效。</w:t>
      </w:r>
    </w:p>
    <w:p w14:paraId="5FF500CD">
      <w:pPr>
        <w:pStyle w:val="10"/>
        <w:tabs>
          <w:tab w:val="left" w:pos="1069"/>
          <w:tab w:val="left" w:pos="2352"/>
        </w:tabs>
        <w:adjustRightInd w:val="0"/>
        <w:snapToGrid w:val="0"/>
        <w:spacing w:line="400" w:lineRule="atLeast"/>
        <w:ind w:firstLine="223" w:firstLineChars="100"/>
        <w:rPr>
          <w:rFonts w:hAnsi="宋体" w:cs="宋体"/>
          <w:bCs/>
          <w:color w:val="auto"/>
          <w:sz w:val="22"/>
          <w:szCs w:val="22"/>
          <w:highlight w:val="none"/>
        </w:rPr>
      </w:pPr>
      <w:r>
        <w:rPr>
          <w:rFonts w:hint="eastAsia" w:hAnsi="宋体" w:cs="宋体"/>
          <w:bCs/>
          <w:color w:val="auto"/>
          <w:sz w:val="22"/>
          <w:szCs w:val="22"/>
          <w:highlight w:val="none"/>
        </w:rPr>
        <w:t>3. 本合同一式伍份，甲、乙双方各执</w:t>
      </w:r>
      <w:r>
        <w:rPr>
          <w:rFonts w:hint="eastAsia" w:hAnsi="宋体" w:cs="宋体"/>
          <w:bCs/>
          <w:color w:val="auto"/>
          <w:sz w:val="22"/>
          <w:szCs w:val="22"/>
          <w:highlight w:val="none"/>
          <w:u w:val="single"/>
        </w:rPr>
        <w:t>贰</w:t>
      </w:r>
      <w:r>
        <w:rPr>
          <w:rFonts w:hint="eastAsia" w:hAnsi="宋体" w:cs="宋体"/>
          <w:bCs/>
          <w:color w:val="auto"/>
          <w:sz w:val="22"/>
          <w:szCs w:val="22"/>
          <w:highlight w:val="none"/>
        </w:rPr>
        <w:t>份，招标代理机构备案</w:t>
      </w:r>
      <w:r>
        <w:rPr>
          <w:rFonts w:hint="eastAsia" w:hAnsi="宋体" w:cs="宋体"/>
          <w:bCs/>
          <w:color w:val="auto"/>
          <w:sz w:val="22"/>
          <w:szCs w:val="22"/>
          <w:highlight w:val="none"/>
          <w:u w:val="single"/>
        </w:rPr>
        <w:t>壹</w:t>
      </w:r>
      <w:r>
        <w:rPr>
          <w:rFonts w:hint="eastAsia" w:hAnsi="宋体" w:cs="宋体"/>
          <w:bCs/>
          <w:color w:val="auto"/>
          <w:sz w:val="22"/>
          <w:szCs w:val="22"/>
          <w:highlight w:val="none"/>
        </w:rPr>
        <w:t>份。</w:t>
      </w:r>
    </w:p>
    <w:p w14:paraId="4B04834D">
      <w:pPr>
        <w:widowControl/>
        <w:tabs>
          <w:tab w:val="left" w:pos="1069"/>
          <w:tab w:val="left" w:pos="2352"/>
        </w:tabs>
        <w:spacing w:line="380" w:lineRule="exact"/>
        <w:jc w:val="left"/>
        <w:rPr>
          <w:rFonts w:ascii="宋体" w:hAnsi="宋体" w:cs="宋体"/>
          <w:b/>
          <w:color w:val="auto"/>
          <w:sz w:val="22"/>
          <w:highlight w:val="none"/>
        </w:rPr>
      </w:pPr>
      <w:r>
        <w:rPr>
          <w:rFonts w:hint="eastAsia" w:ascii="宋体" w:hAnsi="宋体" w:cs="宋体"/>
          <w:b/>
          <w:color w:val="auto"/>
          <w:sz w:val="22"/>
          <w:highlight w:val="none"/>
        </w:rPr>
        <w:t>十六、合同组成文件及解释顺序</w:t>
      </w:r>
    </w:p>
    <w:p w14:paraId="46977BE5">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1．合同条款；</w:t>
      </w:r>
    </w:p>
    <w:p w14:paraId="4DA998E6">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2．中标（成交）通知书；</w:t>
      </w:r>
    </w:p>
    <w:p w14:paraId="3B05AA59">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3．响应文件及澄清内容；</w:t>
      </w:r>
    </w:p>
    <w:p w14:paraId="774EACEF">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4．澄清更正公告（如有）；</w:t>
      </w:r>
    </w:p>
    <w:p w14:paraId="04EC4D7F">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5．采购文件。</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1"/>
        <w:gridCol w:w="4716"/>
      </w:tblGrid>
      <w:tr w14:paraId="0158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31" w:type="dxa"/>
          </w:tcPr>
          <w:p w14:paraId="03529D95">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甲方（盖章）：</w:t>
            </w:r>
          </w:p>
        </w:tc>
        <w:tc>
          <w:tcPr>
            <w:tcW w:w="4716" w:type="dxa"/>
          </w:tcPr>
          <w:p w14:paraId="20BB5064">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乙方（盖章）：</w:t>
            </w:r>
          </w:p>
        </w:tc>
      </w:tr>
      <w:tr w14:paraId="5120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31" w:type="dxa"/>
          </w:tcPr>
          <w:p w14:paraId="3E9AAF0F">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地址：</w:t>
            </w:r>
          </w:p>
        </w:tc>
        <w:tc>
          <w:tcPr>
            <w:tcW w:w="4716" w:type="dxa"/>
          </w:tcPr>
          <w:p w14:paraId="2515A48E">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地址：</w:t>
            </w:r>
          </w:p>
        </w:tc>
      </w:tr>
      <w:tr w14:paraId="7548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31" w:type="dxa"/>
          </w:tcPr>
          <w:p w14:paraId="3C545CD4">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法定代表人签字</w:t>
            </w:r>
          </w:p>
        </w:tc>
        <w:tc>
          <w:tcPr>
            <w:tcW w:w="4716" w:type="dxa"/>
          </w:tcPr>
          <w:p w14:paraId="3255AB91">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法定（授权）代表人签字</w:t>
            </w:r>
          </w:p>
        </w:tc>
      </w:tr>
      <w:tr w14:paraId="616C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31" w:type="dxa"/>
          </w:tcPr>
          <w:p w14:paraId="17796ED1">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联系电话：</w:t>
            </w:r>
          </w:p>
        </w:tc>
        <w:tc>
          <w:tcPr>
            <w:tcW w:w="4716" w:type="dxa"/>
          </w:tcPr>
          <w:p w14:paraId="2F3444A9">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联系电话：</w:t>
            </w:r>
          </w:p>
        </w:tc>
      </w:tr>
      <w:tr w14:paraId="0DEF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31" w:type="dxa"/>
          </w:tcPr>
          <w:p w14:paraId="10302EC0">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邮政编码：</w:t>
            </w:r>
          </w:p>
        </w:tc>
        <w:tc>
          <w:tcPr>
            <w:tcW w:w="4716" w:type="dxa"/>
          </w:tcPr>
          <w:p w14:paraId="250C7224">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邮政编码：</w:t>
            </w:r>
          </w:p>
        </w:tc>
      </w:tr>
      <w:tr w14:paraId="5C96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31" w:type="dxa"/>
          </w:tcPr>
          <w:p w14:paraId="363E889F">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开户银行：</w:t>
            </w:r>
          </w:p>
        </w:tc>
        <w:tc>
          <w:tcPr>
            <w:tcW w:w="4716" w:type="dxa"/>
          </w:tcPr>
          <w:p w14:paraId="40281B51">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开户银行：</w:t>
            </w:r>
          </w:p>
        </w:tc>
      </w:tr>
      <w:tr w14:paraId="65BD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31" w:type="dxa"/>
          </w:tcPr>
          <w:p w14:paraId="5487B1EF">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账号：</w:t>
            </w:r>
          </w:p>
        </w:tc>
        <w:tc>
          <w:tcPr>
            <w:tcW w:w="4716" w:type="dxa"/>
          </w:tcPr>
          <w:p w14:paraId="7055F97A">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账号：</w:t>
            </w:r>
          </w:p>
        </w:tc>
      </w:tr>
      <w:tr w14:paraId="4E0F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47" w:type="dxa"/>
            <w:gridSpan w:val="2"/>
          </w:tcPr>
          <w:p w14:paraId="70405E3E">
            <w:pPr>
              <w:widowControl/>
              <w:tabs>
                <w:tab w:val="left" w:pos="1069"/>
                <w:tab w:val="left" w:pos="2352"/>
              </w:tabs>
              <w:spacing w:line="380" w:lineRule="exact"/>
              <w:jc w:val="left"/>
              <w:rPr>
                <w:rFonts w:ascii="宋体" w:hAnsi="宋体" w:cs="宋体"/>
                <w:bCs/>
                <w:color w:val="auto"/>
                <w:sz w:val="22"/>
                <w:highlight w:val="none"/>
              </w:rPr>
            </w:pPr>
            <w:r>
              <w:rPr>
                <w:rFonts w:hint="eastAsia" w:ascii="宋体" w:hAnsi="宋体" w:cs="宋体"/>
                <w:bCs/>
                <w:color w:val="auto"/>
                <w:sz w:val="22"/>
                <w:highlight w:val="none"/>
              </w:rPr>
              <w:t>签订地点：                         签订时间：                年  月  日</w:t>
            </w:r>
          </w:p>
        </w:tc>
      </w:tr>
    </w:tbl>
    <w:p w14:paraId="7D537CBE">
      <w:pPr>
        <w:tabs>
          <w:tab w:val="left" w:pos="1069"/>
          <w:tab w:val="left" w:pos="2352"/>
        </w:tabs>
        <w:spacing w:line="430" w:lineRule="atLeast"/>
        <w:rPr>
          <w:rFonts w:ascii="宋体"/>
          <w:color w:val="auto"/>
          <w:sz w:val="22"/>
          <w:highlight w:val="none"/>
          <w:u w:val="single"/>
        </w:rPr>
      </w:pPr>
    </w:p>
    <w:p w14:paraId="3A3F0521">
      <w:pPr>
        <w:tabs>
          <w:tab w:val="left" w:pos="1069"/>
          <w:tab w:val="left" w:pos="2352"/>
        </w:tabs>
        <w:spacing w:line="430" w:lineRule="atLeast"/>
        <w:rPr>
          <w:rFonts w:ascii="宋体" w:hAnsi="宋体" w:cs="宋体"/>
          <w:color w:val="auto"/>
          <w:sz w:val="22"/>
          <w:highlight w:val="none"/>
          <w:u w:val="single"/>
        </w:rPr>
      </w:pPr>
      <w:r>
        <w:rPr>
          <w:rFonts w:hint="eastAsia" w:ascii="宋体"/>
          <w:color w:val="auto"/>
          <w:sz w:val="22"/>
          <w:highlight w:val="none"/>
          <w:u w:val="single"/>
        </w:rPr>
        <w:t>注：以上合同条款供采购人及中标（成交）供应商作为商务参考，具体签订时，采购人可根据自身项目情况与中标（成交）供应商协商另行修改拟定相关合同具体条款。</w:t>
      </w:r>
    </w:p>
    <w:p w14:paraId="64E8AFB9">
      <w:pPr>
        <w:pStyle w:val="5"/>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第六部分、附件-投标（响应）文件格式</w:t>
      </w:r>
      <w:bookmarkEnd w:id="64"/>
    </w:p>
    <w:p w14:paraId="0F8A9394">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zh-CN"/>
        </w:rPr>
        <w:t>一、</w:t>
      </w: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部分投标文件格式</w:t>
      </w:r>
    </w:p>
    <w:p w14:paraId="267BA9E6">
      <w:pPr>
        <w:pStyle w:val="8"/>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报价</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4A2ACC13">
      <w:pPr>
        <w:tabs>
          <w:tab w:val="left" w:pos="1069"/>
          <w:tab w:val="left" w:pos="2352"/>
        </w:tabs>
        <w:snapToGrid w:val="0"/>
        <w:spacing w:line="440" w:lineRule="exact"/>
        <w:jc w:val="center"/>
        <w:rPr>
          <w:rFonts w:ascii="宋体" w:hAnsi="宋体" w:cs="宋体"/>
          <w:b/>
          <w:color w:val="auto"/>
          <w:sz w:val="32"/>
          <w:szCs w:val="32"/>
          <w:highlight w:val="none"/>
        </w:rPr>
      </w:pPr>
    </w:p>
    <w:p w14:paraId="7FD2EA55">
      <w:pPr>
        <w:tabs>
          <w:tab w:val="left" w:pos="1069"/>
          <w:tab w:val="left" w:pos="2352"/>
        </w:tabs>
        <w:spacing w:line="480" w:lineRule="auto"/>
        <w:jc w:val="center"/>
        <w:rPr>
          <w:rFonts w:ascii="宋体" w:hAnsi="宋体" w:cs="宋体"/>
          <w:b/>
          <w:color w:val="auto"/>
          <w:sz w:val="64"/>
          <w:szCs w:val="64"/>
          <w:highlight w:val="none"/>
        </w:rPr>
      </w:pPr>
      <w:r>
        <w:rPr>
          <w:rFonts w:hint="eastAsia" w:ascii="宋体" w:hAnsi="宋体" w:cs="宋体"/>
          <w:b/>
          <w:color w:val="auto"/>
          <w:sz w:val="64"/>
          <w:szCs w:val="64"/>
          <w:highlight w:val="none"/>
        </w:rPr>
        <w:t>2024年泰顺县森林资源动态监测与评价</w:t>
      </w:r>
    </w:p>
    <w:p w14:paraId="5F7B51B9">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594437FD">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（报 价 部 分）</w:t>
      </w:r>
    </w:p>
    <w:p w14:paraId="667F590D">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290BF784">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6"/>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11D6CD4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8DB225A">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TSCG202409011</w:t>
            </w:r>
          </w:p>
        </w:tc>
      </w:tr>
      <w:tr w14:paraId="26F6EBD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EF46E7F">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采购单位：泰顺县自然资源和规划局</w:t>
            </w:r>
          </w:p>
        </w:tc>
      </w:tr>
      <w:tr w14:paraId="12F1B23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535BF0D">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供应商名称（盖章）：</w:t>
            </w:r>
          </w:p>
        </w:tc>
      </w:tr>
      <w:tr w14:paraId="306B851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4337EC6">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01FEDAB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EF7FE39">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3A9808D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99BCD58">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06AE737B">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5E5D3BE1">
      <w:pPr>
        <w:pStyle w:val="5"/>
        <w:tabs>
          <w:tab w:val="left" w:pos="1069"/>
          <w:tab w:val="left" w:pos="2352"/>
        </w:tabs>
        <w:rPr>
          <w:color w:val="auto"/>
          <w:highlight w:val="none"/>
          <w:lang w:val="zh-CN"/>
        </w:rPr>
      </w:pPr>
    </w:p>
    <w:p w14:paraId="51C59063">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0F24CD5F">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7014DAD0">
      <w:pPr>
        <w:tabs>
          <w:tab w:val="left" w:pos="1069"/>
          <w:tab w:val="left" w:pos="2352"/>
        </w:tabs>
        <w:autoSpaceDE w:val="0"/>
        <w:autoSpaceDN w:val="0"/>
        <w:adjustRightInd w:val="0"/>
        <w:spacing w:line="360" w:lineRule="exact"/>
        <w:rPr>
          <w:rFonts w:ascii="宋体" w:hAnsi="宋体" w:cs="宋体"/>
          <w:b/>
          <w:bCs/>
          <w:color w:val="auto"/>
          <w:sz w:val="32"/>
          <w:szCs w:val="32"/>
          <w:highlight w:val="none"/>
          <w:lang w:val="zh-CN"/>
        </w:rPr>
      </w:pPr>
    </w:p>
    <w:p w14:paraId="11A27699">
      <w:pPr>
        <w:tabs>
          <w:tab w:val="left" w:pos="1069"/>
          <w:tab w:val="left" w:pos="2352"/>
        </w:tabs>
        <w:autoSpaceDE w:val="0"/>
        <w:autoSpaceDN w:val="0"/>
        <w:adjustRightInd w:val="0"/>
        <w:spacing w:line="360" w:lineRule="exact"/>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附件一</w:t>
      </w:r>
    </w:p>
    <w:p w14:paraId="6466E8E2">
      <w:pPr>
        <w:tabs>
          <w:tab w:val="left" w:pos="1069"/>
          <w:tab w:val="left" w:pos="2352"/>
        </w:tabs>
        <w:autoSpaceDE w:val="0"/>
        <w:autoSpaceDN w:val="0"/>
        <w:adjustRightInd w:val="0"/>
        <w:spacing w:line="360" w:lineRule="atLeast"/>
        <w:jc w:val="center"/>
        <w:textAlignment w:val="baseline"/>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开标（报价）一览表</w:t>
      </w:r>
    </w:p>
    <w:p w14:paraId="6DD913FA">
      <w:pPr>
        <w:tabs>
          <w:tab w:val="left" w:pos="1069"/>
          <w:tab w:val="left" w:pos="2352"/>
        </w:tabs>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rPr>
        <w:t>2024年泰顺县森林资源动态监测与评价</w:t>
      </w:r>
    </w:p>
    <w:p w14:paraId="0E71C452">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TSCG202409011</w:t>
      </w:r>
    </w:p>
    <w:p w14:paraId="4706F4A5">
      <w:pPr>
        <w:tabs>
          <w:tab w:val="left" w:pos="1069"/>
          <w:tab w:val="left" w:pos="2352"/>
        </w:tabs>
        <w:autoSpaceDE w:val="0"/>
        <w:autoSpaceDN w:val="0"/>
        <w:adjustRightInd w:val="0"/>
        <w:spacing w:line="400" w:lineRule="exact"/>
        <w:rPr>
          <w:rFonts w:ascii="宋体" w:hAnsi="宋体" w:cs="宋体"/>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724"/>
        <w:gridCol w:w="4225"/>
        <w:gridCol w:w="1540"/>
        <w:gridCol w:w="1225"/>
      </w:tblGrid>
      <w:tr w14:paraId="7637B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67" w:type="dxa"/>
            <w:vAlign w:val="center"/>
          </w:tcPr>
          <w:p w14:paraId="477C15E4">
            <w:pPr>
              <w:pStyle w:val="10"/>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w:t>
            </w:r>
          </w:p>
        </w:tc>
        <w:tc>
          <w:tcPr>
            <w:tcW w:w="1724" w:type="dxa"/>
            <w:tcBorders>
              <w:right w:val="single" w:color="000000" w:sz="4" w:space="0"/>
            </w:tcBorders>
            <w:vAlign w:val="center"/>
          </w:tcPr>
          <w:p w14:paraId="461F5867">
            <w:pPr>
              <w:pStyle w:val="10"/>
              <w:tabs>
                <w:tab w:val="left" w:pos="1069"/>
                <w:tab w:val="left" w:pos="2352"/>
              </w:tabs>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标项名称</w:t>
            </w:r>
          </w:p>
        </w:tc>
        <w:tc>
          <w:tcPr>
            <w:tcW w:w="4225" w:type="dxa"/>
            <w:tcBorders>
              <w:left w:val="single" w:color="000000" w:sz="4" w:space="0"/>
            </w:tcBorders>
            <w:vAlign w:val="center"/>
          </w:tcPr>
          <w:p w14:paraId="4D614B26">
            <w:pPr>
              <w:pStyle w:val="10"/>
              <w:tabs>
                <w:tab w:val="left" w:pos="1069"/>
                <w:tab w:val="left" w:pos="2352"/>
              </w:tabs>
              <w:jc w:val="center"/>
              <w:rPr>
                <w:rFonts w:hAnsi="宋体" w:cs="宋体"/>
                <w:color w:val="auto"/>
                <w:sz w:val="22"/>
                <w:highlight w:val="none"/>
              </w:rPr>
            </w:pPr>
            <w:r>
              <w:rPr>
                <w:rFonts w:hint="eastAsia" w:hAnsi="宋体" w:cs="宋体"/>
                <w:color w:val="auto"/>
                <w:sz w:val="22"/>
                <w:highlight w:val="none"/>
              </w:rPr>
              <w:t>投标报价</w:t>
            </w:r>
          </w:p>
        </w:tc>
        <w:tc>
          <w:tcPr>
            <w:tcW w:w="1540" w:type="dxa"/>
            <w:vAlign w:val="center"/>
          </w:tcPr>
          <w:p w14:paraId="08179A35">
            <w:pPr>
              <w:pStyle w:val="10"/>
              <w:tabs>
                <w:tab w:val="left" w:pos="1069"/>
                <w:tab w:val="left" w:pos="2352"/>
              </w:tabs>
              <w:jc w:val="center"/>
              <w:rPr>
                <w:rFonts w:hAnsi="宋体" w:cs="宋体"/>
                <w:b/>
                <w:bCs/>
                <w:color w:val="auto"/>
                <w:kern w:val="2"/>
                <w:sz w:val="22"/>
                <w:szCs w:val="22"/>
                <w:highlight w:val="none"/>
              </w:rPr>
            </w:pPr>
            <w:r>
              <w:rPr>
                <w:rFonts w:hint="eastAsia" w:hAnsi="宋体" w:cs="宋体"/>
                <w:color w:val="auto"/>
                <w:sz w:val="22"/>
                <w:highlight w:val="none"/>
              </w:rPr>
              <w:t>项目负责人</w:t>
            </w:r>
          </w:p>
        </w:tc>
        <w:tc>
          <w:tcPr>
            <w:tcW w:w="1225" w:type="dxa"/>
            <w:vAlign w:val="center"/>
          </w:tcPr>
          <w:p w14:paraId="68F94DED">
            <w:pPr>
              <w:pStyle w:val="10"/>
              <w:tabs>
                <w:tab w:val="left" w:pos="1069"/>
                <w:tab w:val="left" w:pos="2352"/>
              </w:tabs>
              <w:jc w:val="center"/>
              <w:rPr>
                <w:rFonts w:hAnsi="宋体" w:cs="宋体"/>
                <w:color w:val="auto"/>
                <w:sz w:val="22"/>
                <w:highlight w:val="none"/>
              </w:rPr>
            </w:pPr>
            <w:r>
              <w:rPr>
                <w:rFonts w:hint="eastAsia" w:hAnsi="宋体" w:cs="宋体"/>
                <w:color w:val="auto"/>
                <w:kern w:val="2"/>
                <w:sz w:val="22"/>
                <w:szCs w:val="22"/>
                <w:highlight w:val="none"/>
              </w:rPr>
              <w:t>最高限价</w:t>
            </w:r>
          </w:p>
        </w:tc>
      </w:tr>
      <w:tr w14:paraId="5516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8" w:hRule="atLeast"/>
        </w:trPr>
        <w:tc>
          <w:tcPr>
            <w:tcW w:w="767" w:type="dxa"/>
            <w:vAlign w:val="center"/>
          </w:tcPr>
          <w:p w14:paraId="532C691C">
            <w:pPr>
              <w:pStyle w:val="10"/>
              <w:tabs>
                <w:tab w:val="left" w:pos="1069"/>
                <w:tab w:val="left" w:pos="2352"/>
              </w:tabs>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一</w:t>
            </w:r>
          </w:p>
        </w:tc>
        <w:tc>
          <w:tcPr>
            <w:tcW w:w="1724" w:type="dxa"/>
            <w:tcBorders>
              <w:right w:val="single" w:color="000000" w:sz="4" w:space="0"/>
            </w:tcBorders>
            <w:vAlign w:val="center"/>
          </w:tcPr>
          <w:p w14:paraId="41A0FB21">
            <w:pPr>
              <w:pStyle w:val="10"/>
              <w:tabs>
                <w:tab w:val="left" w:pos="1069"/>
                <w:tab w:val="left" w:pos="2352"/>
              </w:tabs>
              <w:spacing w:line="440" w:lineRule="atLeast"/>
              <w:jc w:val="center"/>
              <w:rPr>
                <w:rFonts w:hAnsi="宋体" w:cs="宋体"/>
                <w:color w:val="auto"/>
                <w:kern w:val="2"/>
                <w:sz w:val="22"/>
                <w:szCs w:val="22"/>
                <w:highlight w:val="none"/>
              </w:rPr>
            </w:pPr>
            <w:r>
              <w:rPr>
                <w:rFonts w:hint="eastAsia" w:hAnsi="宋体" w:cs="宋体"/>
                <w:bCs/>
                <w:color w:val="auto"/>
                <w:sz w:val="22"/>
                <w:highlight w:val="none"/>
              </w:rPr>
              <w:t>2024年泰顺县森林资源动态监测与评价</w:t>
            </w:r>
          </w:p>
        </w:tc>
        <w:tc>
          <w:tcPr>
            <w:tcW w:w="4225" w:type="dxa"/>
            <w:tcBorders>
              <w:left w:val="single" w:color="000000" w:sz="4" w:space="0"/>
            </w:tcBorders>
            <w:vAlign w:val="center"/>
          </w:tcPr>
          <w:p w14:paraId="0107079D">
            <w:pPr>
              <w:pStyle w:val="10"/>
              <w:tabs>
                <w:tab w:val="left" w:pos="1069"/>
                <w:tab w:val="left" w:pos="2352"/>
              </w:tabs>
              <w:spacing w:line="440" w:lineRule="atLeast"/>
              <w:ind w:firstLine="446" w:firstLineChars="200"/>
              <w:rPr>
                <w:rFonts w:hAnsi="宋体" w:cs="宋体"/>
                <w:color w:val="auto"/>
                <w:kern w:val="2"/>
                <w:sz w:val="22"/>
                <w:szCs w:val="22"/>
                <w:highlight w:val="none"/>
                <w:u w:val="single"/>
              </w:rPr>
            </w:pPr>
            <w:r>
              <w:rPr>
                <w:rFonts w:hint="eastAsia" w:hAnsi="宋体" w:cs="宋体"/>
                <w:color w:val="auto"/>
                <w:kern w:val="2"/>
                <w:sz w:val="22"/>
                <w:szCs w:val="22"/>
                <w:highlight w:val="none"/>
                <w:u w:val="single"/>
              </w:rPr>
              <w:t xml:space="preserve">大写：                  </w:t>
            </w:r>
          </w:p>
          <w:p w14:paraId="5861E9DB">
            <w:pPr>
              <w:pStyle w:val="10"/>
              <w:tabs>
                <w:tab w:val="left" w:pos="1069"/>
                <w:tab w:val="left" w:pos="2352"/>
              </w:tabs>
              <w:ind w:firstLine="892" w:firstLineChars="400"/>
              <w:rPr>
                <w:rFonts w:hAnsi="宋体" w:cs="宋体"/>
                <w:color w:val="auto"/>
                <w:sz w:val="22"/>
                <w:highlight w:val="none"/>
                <w:u w:val="single"/>
              </w:rPr>
            </w:pPr>
            <w:r>
              <w:rPr>
                <w:rFonts w:hint="eastAsia" w:hAnsi="宋体" w:cs="宋体"/>
                <w:color w:val="auto"/>
                <w:kern w:val="2"/>
                <w:sz w:val="22"/>
                <w:szCs w:val="22"/>
                <w:highlight w:val="none"/>
                <w:u w:val="single"/>
              </w:rPr>
              <w:t xml:space="preserve">小写：                </w:t>
            </w:r>
          </w:p>
        </w:tc>
        <w:tc>
          <w:tcPr>
            <w:tcW w:w="1540" w:type="dxa"/>
            <w:vAlign w:val="center"/>
          </w:tcPr>
          <w:p w14:paraId="5247BAAA">
            <w:pPr>
              <w:pStyle w:val="10"/>
              <w:tabs>
                <w:tab w:val="left" w:pos="1069"/>
                <w:tab w:val="left" w:pos="2352"/>
              </w:tabs>
              <w:spacing w:line="440" w:lineRule="atLeast"/>
              <w:rPr>
                <w:rFonts w:hAnsi="宋体" w:cs="宋体"/>
                <w:color w:val="auto"/>
                <w:kern w:val="2"/>
                <w:sz w:val="22"/>
                <w:szCs w:val="22"/>
                <w:highlight w:val="none"/>
                <w:u w:val="single"/>
              </w:rPr>
            </w:pPr>
          </w:p>
        </w:tc>
        <w:tc>
          <w:tcPr>
            <w:tcW w:w="1225" w:type="dxa"/>
            <w:vAlign w:val="center"/>
          </w:tcPr>
          <w:p w14:paraId="198BD6D2">
            <w:pPr>
              <w:pStyle w:val="10"/>
              <w:tabs>
                <w:tab w:val="left" w:pos="1069"/>
                <w:tab w:val="left" w:pos="2352"/>
              </w:tabs>
              <w:spacing w:line="440" w:lineRule="atLeast"/>
              <w:jc w:val="center"/>
              <w:rPr>
                <w:rFonts w:hAnsi="宋体" w:cs="宋体"/>
                <w:color w:val="auto"/>
                <w:kern w:val="2"/>
                <w:sz w:val="22"/>
                <w:szCs w:val="22"/>
                <w:highlight w:val="none"/>
              </w:rPr>
            </w:pPr>
            <w:r>
              <w:rPr>
                <w:rFonts w:hint="eastAsia" w:hAnsi="宋体" w:cs="宋体"/>
                <w:color w:val="auto"/>
                <w:kern w:val="2"/>
                <w:sz w:val="22"/>
                <w:szCs w:val="22"/>
                <w:highlight w:val="none"/>
              </w:rPr>
              <w:t>500000元</w:t>
            </w:r>
          </w:p>
        </w:tc>
      </w:tr>
    </w:tbl>
    <w:p w14:paraId="709D2E8A">
      <w:pPr>
        <w:pStyle w:val="10"/>
        <w:tabs>
          <w:tab w:val="left" w:pos="1069"/>
          <w:tab w:val="left" w:pos="2352"/>
        </w:tabs>
        <w:spacing w:line="440" w:lineRule="atLeast"/>
        <w:rPr>
          <w:rFonts w:hAnsi="宋体" w:cs="宋体"/>
          <w:color w:val="auto"/>
          <w:sz w:val="22"/>
          <w:highlight w:val="none"/>
        </w:rPr>
      </w:pPr>
    </w:p>
    <w:p w14:paraId="47122023">
      <w:pPr>
        <w:tabs>
          <w:tab w:val="left" w:pos="1069"/>
          <w:tab w:val="left" w:pos="2352"/>
        </w:tabs>
        <w:autoSpaceDE w:val="0"/>
        <w:autoSpaceDN w:val="0"/>
        <w:spacing w:line="360" w:lineRule="auto"/>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b/>
          <w:bCs/>
          <w:color w:val="auto"/>
          <w:sz w:val="22"/>
          <w:highlight w:val="none"/>
          <w:u w:val="single"/>
        </w:rPr>
        <w:t>开标（报价）一览表中投标价为符合竞争性磋商文件要求的总价</w:t>
      </w:r>
      <w:r>
        <w:rPr>
          <w:rFonts w:hint="eastAsia" w:ascii="宋体" w:hAnsi="宋体" w:cs="宋体"/>
          <w:color w:val="auto"/>
          <w:sz w:val="22"/>
          <w:highlight w:val="none"/>
        </w:rPr>
        <w:t>。</w:t>
      </w:r>
    </w:p>
    <w:p w14:paraId="4C43DEB1">
      <w:pPr>
        <w:tabs>
          <w:tab w:val="left" w:pos="1069"/>
          <w:tab w:val="left" w:pos="2352"/>
        </w:tabs>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3、▲</w:t>
      </w:r>
      <w:r>
        <w:rPr>
          <w:rFonts w:hint="eastAsia" w:ascii="宋体" w:hAnsi="宋体" w:cs="宋体"/>
          <w:b/>
          <w:bCs/>
          <w:color w:val="auto"/>
          <w:sz w:val="22"/>
          <w:highlight w:val="none"/>
          <w:u w:val="single"/>
        </w:rPr>
        <w:t>不提供此表格的将视为没有实质性响应竞争性磋商文件</w:t>
      </w:r>
      <w:r>
        <w:rPr>
          <w:rFonts w:hint="eastAsia" w:ascii="宋体" w:hAnsi="宋体" w:cs="宋体"/>
          <w:color w:val="auto"/>
          <w:sz w:val="22"/>
          <w:highlight w:val="none"/>
        </w:rPr>
        <w:t>。</w:t>
      </w:r>
    </w:p>
    <w:p w14:paraId="5D4DBBF9">
      <w:pPr>
        <w:pStyle w:val="10"/>
        <w:tabs>
          <w:tab w:val="left" w:pos="1069"/>
          <w:tab w:val="left" w:pos="2352"/>
        </w:tabs>
        <w:spacing w:line="440" w:lineRule="atLeast"/>
        <w:rPr>
          <w:rFonts w:hAnsi="宋体" w:cs="宋体"/>
          <w:b/>
          <w:bCs/>
          <w:color w:val="auto"/>
          <w:sz w:val="22"/>
          <w:highlight w:val="none"/>
        </w:rPr>
      </w:pPr>
    </w:p>
    <w:p w14:paraId="27132E78">
      <w:pPr>
        <w:pStyle w:val="10"/>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供应商全称：（盖章）</w:t>
      </w:r>
    </w:p>
    <w:p w14:paraId="10B98F31">
      <w:pPr>
        <w:pStyle w:val="10"/>
        <w:tabs>
          <w:tab w:val="left" w:pos="1069"/>
          <w:tab w:val="left" w:pos="2352"/>
        </w:tabs>
        <w:spacing w:line="440" w:lineRule="atLeast"/>
        <w:rPr>
          <w:rFonts w:hAnsi="宋体" w:cs="宋体"/>
          <w:b/>
          <w:bCs/>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736CA13B">
      <w:pPr>
        <w:pStyle w:val="10"/>
        <w:tabs>
          <w:tab w:val="left" w:pos="1069"/>
          <w:tab w:val="left" w:pos="2352"/>
        </w:tabs>
        <w:spacing w:line="440" w:lineRule="atLeast"/>
        <w:rPr>
          <w:rFonts w:hAnsi="宋体" w:cs="宋体"/>
          <w:b/>
          <w:bCs/>
          <w:color w:val="auto"/>
          <w:sz w:val="22"/>
          <w:highlight w:val="none"/>
        </w:rPr>
      </w:pPr>
      <w:r>
        <w:rPr>
          <w:rFonts w:hint="eastAsia" w:hAnsi="宋体" w:cs="宋体"/>
          <w:color w:val="auto"/>
          <w:sz w:val="22"/>
          <w:highlight w:val="none"/>
        </w:rPr>
        <w:t>日期：</w:t>
      </w:r>
    </w:p>
    <w:p w14:paraId="3685B825">
      <w:pPr>
        <w:tabs>
          <w:tab w:val="left" w:pos="1069"/>
          <w:tab w:val="left" w:pos="2352"/>
        </w:tabs>
        <w:spacing w:line="360" w:lineRule="exact"/>
        <w:jc w:val="left"/>
        <w:rPr>
          <w:rFonts w:ascii="宋体" w:hAnsi="宋体" w:cs="宋体"/>
          <w:color w:val="auto"/>
          <w:sz w:val="22"/>
          <w:highlight w:val="none"/>
          <w:lang w:val="zh-CN"/>
        </w:rPr>
      </w:pPr>
      <w:bookmarkStart w:id="65" w:name="_Toc31481_WPSOffice_Level2"/>
    </w:p>
    <w:p w14:paraId="5325A70E">
      <w:pPr>
        <w:pStyle w:val="24"/>
        <w:tabs>
          <w:tab w:val="left" w:pos="1069"/>
          <w:tab w:val="left" w:pos="2352"/>
        </w:tabs>
        <w:rPr>
          <w:rFonts w:ascii="宋体" w:hAnsi="宋体" w:cs="宋体"/>
          <w:color w:val="auto"/>
          <w:sz w:val="22"/>
          <w:highlight w:val="none"/>
          <w:lang w:val="zh-CN"/>
        </w:rPr>
      </w:pPr>
    </w:p>
    <w:p w14:paraId="34F242F8">
      <w:pPr>
        <w:pStyle w:val="24"/>
        <w:tabs>
          <w:tab w:val="left" w:pos="1069"/>
          <w:tab w:val="left" w:pos="2352"/>
        </w:tabs>
        <w:rPr>
          <w:rFonts w:ascii="宋体" w:hAnsi="宋体" w:cs="宋体"/>
          <w:color w:val="auto"/>
          <w:sz w:val="22"/>
          <w:highlight w:val="none"/>
          <w:lang w:val="zh-CN"/>
        </w:rPr>
      </w:pPr>
    </w:p>
    <w:p w14:paraId="23C441AD">
      <w:pPr>
        <w:pStyle w:val="24"/>
        <w:tabs>
          <w:tab w:val="left" w:pos="1069"/>
          <w:tab w:val="left" w:pos="2352"/>
        </w:tabs>
        <w:rPr>
          <w:rFonts w:ascii="宋体" w:hAnsi="宋体" w:cs="宋体"/>
          <w:color w:val="auto"/>
          <w:sz w:val="22"/>
          <w:highlight w:val="none"/>
          <w:lang w:val="zh-CN"/>
        </w:rPr>
      </w:pPr>
    </w:p>
    <w:bookmarkEnd w:id="65"/>
    <w:p w14:paraId="6E72FF9E">
      <w:pPr>
        <w:pStyle w:val="8"/>
        <w:tabs>
          <w:tab w:val="left" w:pos="1069"/>
          <w:tab w:val="left" w:pos="2352"/>
        </w:tabs>
        <w:rPr>
          <w:rFonts w:ascii="宋体" w:hAnsi="宋体" w:cs="宋体"/>
          <w:b/>
          <w:bCs/>
          <w:color w:val="auto"/>
          <w:sz w:val="32"/>
          <w:szCs w:val="32"/>
          <w:highlight w:val="none"/>
        </w:rPr>
      </w:pPr>
    </w:p>
    <w:p w14:paraId="4621FB71">
      <w:pPr>
        <w:pStyle w:val="8"/>
        <w:tabs>
          <w:tab w:val="left" w:pos="2352"/>
        </w:tabs>
        <w:rPr>
          <w:rFonts w:ascii="宋体"/>
          <w:b/>
          <w:bCs/>
          <w:color w:val="auto"/>
          <w:sz w:val="32"/>
          <w:szCs w:val="32"/>
          <w:highlight w:val="none"/>
        </w:rPr>
      </w:pPr>
    </w:p>
    <w:p w14:paraId="146A47A8">
      <w:pPr>
        <w:pStyle w:val="8"/>
        <w:tabs>
          <w:tab w:val="left" w:pos="2352"/>
        </w:tabs>
        <w:rPr>
          <w:rFonts w:ascii="宋体"/>
          <w:b/>
          <w:bCs/>
          <w:color w:val="auto"/>
          <w:sz w:val="32"/>
          <w:szCs w:val="32"/>
          <w:highlight w:val="none"/>
        </w:rPr>
      </w:pPr>
    </w:p>
    <w:p w14:paraId="3127AF98">
      <w:pPr>
        <w:pStyle w:val="8"/>
        <w:tabs>
          <w:tab w:val="left" w:pos="2352"/>
        </w:tabs>
        <w:rPr>
          <w:rFonts w:ascii="宋体"/>
          <w:b/>
          <w:bCs/>
          <w:color w:val="auto"/>
          <w:sz w:val="32"/>
          <w:szCs w:val="32"/>
          <w:highlight w:val="none"/>
        </w:rPr>
      </w:pPr>
      <w:r>
        <w:rPr>
          <w:rFonts w:hint="eastAsia" w:ascii="宋体"/>
          <w:b/>
          <w:bCs/>
          <w:color w:val="auto"/>
          <w:sz w:val="32"/>
          <w:szCs w:val="32"/>
          <w:highlight w:val="none"/>
        </w:rPr>
        <w:t>附件二</w:t>
      </w:r>
    </w:p>
    <w:p w14:paraId="6A21051C">
      <w:pPr>
        <w:tabs>
          <w:tab w:val="left" w:pos="2352"/>
        </w:tabs>
        <w:autoSpaceDE w:val="0"/>
        <w:autoSpaceDN w:val="0"/>
        <w:adjustRightInd w:val="0"/>
        <w:spacing w:line="400" w:lineRule="exact"/>
        <w:jc w:val="center"/>
        <w:rPr>
          <w:rFonts w:hAnsi="宋体"/>
          <w:color w:val="auto"/>
          <w:sz w:val="22"/>
          <w:highlight w:val="none"/>
        </w:rPr>
      </w:pPr>
      <w:r>
        <w:rPr>
          <w:rFonts w:hint="eastAsia" w:ascii="宋体"/>
          <w:b/>
          <w:bCs/>
          <w:color w:val="auto"/>
          <w:sz w:val="32"/>
          <w:szCs w:val="32"/>
          <w:highlight w:val="none"/>
        </w:rPr>
        <w:t>投标分项报价表</w:t>
      </w:r>
    </w:p>
    <w:p w14:paraId="525A8255">
      <w:pPr>
        <w:tabs>
          <w:tab w:val="left" w:pos="1069"/>
          <w:tab w:val="left" w:pos="2352"/>
        </w:tabs>
        <w:autoSpaceDE w:val="0"/>
        <w:autoSpaceDN w:val="0"/>
        <w:adjustRightInd w:val="0"/>
        <w:spacing w:line="400" w:lineRule="exact"/>
        <w:rPr>
          <w:rFonts w:ascii="宋体" w:hAnsi="宋体" w:cs="宋体"/>
          <w:color w:val="auto"/>
          <w:sz w:val="22"/>
          <w:highlight w:val="none"/>
          <w:lang w:val="zh-CN"/>
        </w:rPr>
      </w:pPr>
      <w:r>
        <w:rPr>
          <w:rFonts w:hint="eastAsia" w:ascii="宋体" w:hAnsi="宋体" w:cs="宋体"/>
          <w:color w:val="auto"/>
          <w:sz w:val="22"/>
          <w:highlight w:val="none"/>
        </w:rPr>
        <w:t>项目名称</w:t>
      </w:r>
      <w:r>
        <w:rPr>
          <w:rFonts w:hint="eastAsia" w:ascii="宋体" w:hAnsi="宋体" w:cs="宋体"/>
          <w:color w:val="auto"/>
          <w:sz w:val="22"/>
          <w:highlight w:val="none"/>
          <w:lang w:val="zh-CN"/>
        </w:rPr>
        <w:t>：</w:t>
      </w:r>
      <w:r>
        <w:rPr>
          <w:rFonts w:hint="eastAsia" w:ascii="宋体" w:hAnsi="宋体" w:cs="宋体"/>
          <w:color w:val="auto"/>
          <w:sz w:val="22"/>
          <w:highlight w:val="none"/>
          <w:u w:val="single"/>
        </w:rPr>
        <w:t>2024年泰顺县森林资源动态监测与评价</w:t>
      </w:r>
    </w:p>
    <w:p w14:paraId="729ED614">
      <w:pPr>
        <w:tabs>
          <w:tab w:val="left" w:pos="1069"/>
          <w:tab w:val="left" w:pos="2352"/>
        </w:tabs>
        <w:autoSpaceDE w:val="0"/>
        <w:autoSpaceDN w:val="0"/>
        <w:adjustRightInd w:val="0"/>
        <w:spacing w:line="400" w:lineRule="exact"/>
        <w:rPr>
          <w:rFonts w:hint="eastAsia" w:ascii="宋体" w:hAnsi="宋体" w:eastAsia="宋体" w:cs="宋体"/>
          <w:color w:val="auto"/>
          <w:sz w:val="22"/>
          <w:highlight w:val="none"/>
          <w:lang w:val="zh-CN" w:eastAsia="zh-CN"/>
        </w:rPr>
      </w:pPr>
      <w:r>
        <w:rPr>
          <w:rFonts w:hint="eastAsia" w:ascii="宋体" w:hAnsi="宋体" w:cs="宋体"/>
          <w:color w:val="auto"/>
          <w:sz w:val="22"/>
          <w:highlight w:val="none"/>
          <w:lang w:val="zh-CN"/>
        </w:rPr>
        <w:t>采购编号：</w:t>
      </w:r>
      <w:r>
        <w:rPr>
          <w:rFonts w:hint="eastAsia" w:ascii="宋体" w:hAnsi="宋体" w:cs="宋体"/>
          <w:color w:val="auto"/>
          <w:sz w:val="22"/>
          <w:highlight w:val="none"/>
          <w:u w:val="single"/>
          <w:lang w:eastAsia="zh-CN"/>
        </w:rPr>
        <w:t>TSCG202409011</w:t>
      </w:r>
    </w:p>
    <w:p w14:paraId="34656AED">
      <w:pPr>
        <w:tabs>
          <w:tab w:val="left" w:pos="2352"/>
        </w:tabs>
        <w:autoSpaceDE w:val="0"/>
        <w:autoSpaceDN w:val="0"/>
        <w:adjustRightInd w:val="0"/>
        <w:spacing w:line="400" w:lineRule="exact"/>
        <w:rPr>
          <w:color w:val="auto"/>
          <w:sz w:val="22"/>
          <w:highlight w:val="none"/>
          <w:u w:val="single"/>
        </w:rPr>
      </w:pPr>
      <w:r>
        <w:rPr>
          <w:rFonts w:hint="eastAsia" w:ascii="宋体" w:hAnsi="宋体" w:cs="宋体"/>
          <w:color w:val="auto"/>
          <w:sz w:val="22"/>
          <w:highlight w:val="none"/>
        </w:rPr>
        <w:t>价格单位：</w:t>
      </w:r>
      <w:r>
        <w:rPr>
          <w:rFonts w:hint="eastAsia" w:ascii="宋体" w:hAnsi="宋体" w:cs="宋体"/>
          <w:color w:val="auto"/>
          <w:sz w:val="22"/>
          <w:highlight w:val="none"/>
          <w:u w:val="single"/>
        </w:rPr>
        <w:t>元人民币</w:t>
      </w:r>
    </w:p>
    <w:tbl>
      <w:tblPr>
        <w:tblStyle w:val="26"/>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2668"/>
        <w:gridCol w:w="988"/>
        <w:gridCol w:w="1012"/>
        <w:gridCol w:w="1336"/>
        <w:gridCol w:w="1503"/>
        <w:gridCol w:w="1560"/>
      </w:tblGrid>
      <w:tr w14:paraId="4DFC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3" w:hRule="atLeast"/>
        </w:trPr>
        <w:tc>
          <w:tcPr>
            <w:tcW w:w="779" w:type="dxa"/>
            <w:vAlign w:val="center"/>
          </w:tcPr>
          <w:p w14:paraId="4C5A389A">
            <w:pPr>
              <w:tabs>
                <w:tab w:val="left" w:pos="2352"/>
              </w:tabs>
              <w:ind w:right="-11"/>
              <w:jc w:val="center"/>
              <w:rPr>
                <w:rFonts w:ascii="宋体" w:cs="Arial"/>
                <w:bCs/>
                <w:color w:val="auto"/>
                <w:sz w:val="22"/>
                <w:highlight w:val="none"/>
              </w:rPr>
            </w:pPr>
            <w:r>
              <w:rPr>
                <w:rFonts w:hint="eastAsia" w:ascii="宋体" w:cs="Arial"/>
                <w:bCs/>
                <w:color w:val="auto"/>
                <w:sz w:val="22"/>
                <w:highlight w:val="none"/>
              </w:rPr>
              <w:t>序号</w:t>
            </w:r>
          </w:p>
        </w:tc>
        <w:tc>
          <w:tcPr>
            <w:tcW w:w="2668" w:type="dxa"/>
            <w:vAlign w:val="center"/>
          </w:tcPr>
          <w:p w14:paraId="10E18A12">
            <w:pPr>
              <w:tabs>
                <w:tab w:val="left" w:pos="2352"/>
              </w:tabs>
              <w:ind w:right="-11"/>
              <w:jc w:val="center"/>
              <w:rPr>
                <w:rFonts w:ascii="宋体" w:cs="Arial"/>
                <w:bCs/>
                <w:color w:val="auto"/>
                <w:sz w:val="22"/>
                <w:highlight w:val="none"/>
              </w:rPr>
            </w:pPr>
            <w:r>
              <w:rPr>
                <w:rFonts w:hint="eastAsia" w:ascii="宋体" w:cs="Arial"/>
                <w:bCs/>
                <w:color w:val="auto"/>
                <w:sz w:val="22"/>
                <w:highlight w:val="none"/>
              </w:rPr>
              <w:t>报价项</w:t>
            </w:r>
          </w:p>
        </w:tc>
        <w:tc>
          <w:tcPr>
            <w:tcW w:w="988" w:type="dxa"/>
            <w:vAlign w:val="center"/>
          </w:tcPr>
          <w:p w14:paraId="3DD771CA">
            <w:pPr>
              <w:tabs>
                <w:tab w:val="left" w:pos="2352"/>
              </w:tabs>
              <w:ind w:right="-11"/>
              <w:jc w:val="center"/>
              <w:rPr>
                <w:rFonts w:ascii="宋体" w:cs="Arial"/>
                <w:bCs/>
                <w:color w:val="auto"/>
                <w:sz w:val="22"/>
                <w:highlight w:val="none"/>
              </w:rPr>
            </w:pPr>
            <w:r>
              <w:rPr>
                <w:rFonts w:hint="eastAsia" w:ascii="宋体" w:cs="Arial"/>
                <w:bCs/>
                <w:color w:val="auto"/>
                <w:sz w:val="22"/>
                <w:highlight w:val="none"/>
              </w:rPr>
              <w:t>单位</w:t>
            </w:r>
          </w:p>
        </w:tc>
        <w:tc>
          <w:tcPr>
            <w:tcW w:w="1012" w:type="dxa"/>
            <w:vAlign w:val="center"/>
          </w:tcPr>
          <w:p w14:paraId="2C73115A">
            <w:pPr>
              <w:tabs>
                <w:tab w:val="left" w:pos="2352"/>
              </w:tabs>
              <w:ind w:right="-11"/>
              <w:jc w:val="center"/>
              <w:rPr>
                <w:rFonts w:ascii="宋体" w:cs="Arial"/>
                <w:bCs/>
                <w:color w:val="auto"/>
                <w:sz w:val="22"/>
                <w:highlight w:val="none"/>
              </w:rPr>
            </w:pPr>
            <w:r>
              <w:rPr>
                <w:rFonts w:hint="eastAsia" w:ascii="宋体" w:cs="Arial"/>
                <w:bCs/>
                <w:color w:val="auto"/>
                <w:sz w:val="22"/>
                <w:highlight w:val="none"/>
              </w:rPr>
              <w:t>数量</w:t>
            </w:r>
          </w:p>
        </w:tc>
        <w:tc>
          <w:tcPr>
            <w:tcW w:w="1336" w:type="dxa"/>
            <w:vAlign w:val="center"/>
          </w:tcPr>
          <w:p w14:paraId="5C34B774">
            <w:pPr>
              <w:tabs>
                <w:tab w:val="left" w:pos="2352"/>
              </w:tabs>
              <w:ind w:right="-11"/>
              <w:jc w:val="center"/>
              <w:rPr>
                <w:rFonts w:ascii="宋体" w:cs="Arial"/>
                <w:color w:val="auto"/>
                <w:sz w:val="22"/>
                <w:highlight w:val="none"/>
              </w:rPr>
            </w:pPr>
            <w:r>
              <w:rPr>
                <w:rFonts w:hint="eastAsia" w:ascii="宋体" w:cs="Arial"/>
                <w:bCs/>
                <w:color w:val="auto"/>
                <w:sz w:val="22"/>
                <w:highlight w:val="none"/>
              </w:rPr>
              <w:t>单价</w:t>
            </w:r>
          </w:p>
        </w:tc>
        <w:tc>
          <w:tcPr>
            <w:tcW w:w="1503" w:type="dxa"/>
            <w:vAlign w:val="center"/>
          </w:tcPr>
          <w:p w14:paraId="21BE6F35">
            <w:pPr>
              <w:tabs>
                <w:tab w:val="left" w:pos="2352"/>
              </w:tabs>
              <w:ind w:right="-11"/>
              <w:jc w:val="center"/>
              <w:rPr>
                <w:rFonts w:ascii="宋体" w:cs="Arial"/>
                <w:color w:val="auto"/>
                <w:sz w:val="22"/>
                <w:highlight w:val="none"/>
              </w:rPr>
            </w:pPr>
            <w:r>
              <w:rPr>
                <w:rFonts w:hint="eastAsia" w:ascii="宋体" w:cs="Arial"/>
                <w:bCs/>
                <w:color w:val="auto"/>
                <w:sz w:val="22"/>
                <w:highlight w:val="none"/>
              </w:rPr>
              <w:t>总价</w:t>
            </w:r>
          </w:p>
        </w:tc>
        <w:tc>
          <w:tcPr>
            <w:tcW w:w="1560" w:type="dxa"/>
            <w:vAlign w:val="center"/>
          </w:tcPr>
          <w:p w14:paraId="0982E5E2">
            <w:pPr>
              <w:tabs>
                <w:tab w:val="left" w:pos="2352"/>
              </w:tabs>
              <w:ind w:right="-11"/>
              <w:jc w:val="center"/>
              <w:rPr>
                <w:rFonts w:ascii="宋体" w:cs="Arial"/>
                <w:bCs/>
                <w:color w:val="auto"/>
                <w:sz w:val="22"/>
                <w:highlight w:val="none"/>
              </w:rPr>
            </w:pPr>
            <w:r>
              <w:rPr>
                <w:rFonts w:hint="eastAsia" w:ascii="宋体" w:cs="Arial"/>
                <w:bCs/>
                <w:color w:val="auto"/>
                <w:sz w:val="22"/>
                <w:highlight w:val="none"/>
              </w:rPr>
              <w:t>备注</w:t>
            </w:r>
          </w:p>
        </w:tc>
      </w:tr>
      <w:tr w14:paraId="6E57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2834292">
            <w:pPr>
              <w:tabs>
                <w:tab w:val="left" w:pos="2352"/>
              </w:tabs>
              <w:ind w:right="-11"/>
              <w:jc w:val="center"/>
              <w:rPr>
                <w:rFonts w:ascii="宋体" w:cs="Arial"/>
                <w:color w:val="auto"/>
                <w:sz w:val="22"/>
                <w:highlight w:val="none"/>
              </w:rPr>
            </w:pPr>
            <w:r>
              <w:rPr>
                <w:rFonts w:hint="eastAsia" w:ascii="宋体" w:cs="Arial"/>
                <w:color w:val="auto"/>
                <w:sz w:val="22"/>
                <w:highlight w:val="none"/>
              </w:rPr>
              <w:t>1</w:t>
            </w:r>
          </w:p>
        </w:tc>
        <w:tc>
          <w:tcPr>
            <w:tcW w:w="2668" w:type="dxa"/>
            <w:vAlign w:val="center"/>
          </w:tcPr>
          <w:p w14:paraId="1DA8058C">
            <w:pPr>
              <w:tabs>
                <w:tab w:val="left" w:pos="2352"/>
              </w:tabs>
              <w:rPr>
                <w:rFonts w:ascii="宋体" w:cs="Arial"/>
                <w:color w:val="auto"/>
                <w:sz w:val="22"/>
                <w:highlight w:val="none"/>
              </w:rPr>
            </w:pPr>
          </w:p>
        </w:tc>
        <w:tc>
          <w:tcPr>
            <w:tcW w:w="988" w:type="dxa"/>
            <w:vAlign w:val="center"/>
          </w:tcPr>
          <w:p w14:paraId="7E44ED87">
            <w:pPr>
              <w:tabs>
                <w:tab w:val="left" w:pos="2352"/>
              </w:tabs>
              <w:ind w:right="-11"/>
              <w:jc w:val="center"/>
              <w:rPr>
                <w:rFonts w:ascii="宋体" w:cs="Arial"/>
                <w:color w:val="auto"/>
                <w:sz w:val="22"/>
                <w:highlight w:val="none"/>
              </w:rPr>
            </w:pPr>
          </w:p>
        </w:tc>
        <w:tc>
          <w:tcPr>
            <w:tcW w:w="1012" w:type="dxa"/>
            <w:vAlign w:val="center"/>
          </w:tcPr>
          <w:p w14:paraId="1B85033B">
            <w:pPr>
              <w:tabs>
                <w:tab w:val="left" w:pos="2352"/>
              </w:tabs>
              <w:jc w:val="center"/>
              <w:rPr>
                <w:rFonts w:ascii="宋体" w:cs="Arial"/>
                <w:color w:val="auto"/>
                <w:sz w:val="22"/>
                <w:highlight w:val="none"/>
              </w:rPr>
            </w:pPr>
          </w:p>
        </w:tc>
        <w:tc>
          <w:tcPr>
            <w:tcW w:w="1336" w:type="dxa"/>
            <w:vAlign w:val="center"/>
          </w:tcPr>
          <w:p w14:paraId="5EDD7C32">
            <w:pPr>
              <w:tabs>
                <w:tab w:val="left" w:pos="2352"/>
              </w:tabs>
              <w:ind w:right="-11"/>
              <w:jc w:val="center"/>
              <w:rPr>
                <w:rFonts w:ascii="宋体" w:cs="Arial"/>
                <w:color w:val="auto"/>
                <w:sz w:val="22"/>
                <w:highlight w:val="none"/>
              </w:rPr>
            </w:pPr>
          </w:p>
        </w:tc>
        <w:tc>
          <w:tcPr>
            <w:tcW w:w="1503" w:type="dxa"/>
            <w:vAlign w:val="center"/>
          </w:tcPr>
          <w:p w14:paraId="75FEF866">
            <w:pPr>
              <w:tabs>
                <w:tab w:val="left" w:pos="2352"/>
              </w:tabs>
              <w:ind w:right="-11"/>
              <w:jc w:val="center"/>
              <w:rPr>
                <w:rFonts w:ascii="宋体" w:cs="Arial"/>
                <w:color w:val="auto"/>
                <w:sz w:val="22"/>
                <w:highlight w:val="none"/>
              </w:rPr>
            </w:pPr>
          </w:p>
        </w:tc>
        <w:tc>
          <w:tcPr>
            <w:tcW w:w="1560" w:type="dxa"/>
            <w:vAlign w:val="center"/>
          </w:tcPr>
          <w:p w14:paraId="3F2CADE5">
            <w:pPr>
              <w:tabs>
                <w:tab w:val="left" w:pos="2352"/>
              </w:tabs>
              <w:ind w:right="-11"/>
              <w:jc w:val="center"/>
              <w:rPr>
                <w:rFonts w:ascii="宋体" w:cs="Arial"/>
                <w:color w:val="auto"/>
                <w:sz w:val="22"/>
                <w:highlight w:val="none"/>
              </w:rPr>
            </w:pPr>
          </w:p>
        </w:tc>
      </w:tr>
      <w:tr w14:paraId="51F5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60877D00">
            <w:pPr>
              <w:tabs>
                <w:tab w:val="left" w:pos="2352"/>
              </w:tabs>
              <w:ind w:right="-11"/>
              <w:jc w:val="center"/>
              <w:rPr>
                <w:rFonts w:ascii="宋体" w:cs="Arial"/>
                <w:color w:val="auto"/>
                <w:sz w:val="22"/>
                <w:highlight w:val="none"/>
              </w:rPr>
            </w:pPr>
            <w:r>
              <w:rPr>
                <w:rFonts w:hint="eastAsia" w:ascii="宋体" w:cs="Arial"/>
                <w:color w:val="auto"/>
                <w:sz w:val="22"/>
                <w:highlight w:val="none"/>
              </w:rPr>
              <w:t>2</w:t>
            </w:r>
          </w:p>
        </w:tc>
        <w:tc>
          <w:tcPr>
            <w:tcW w:w="2668" w:type="dxa"/>
            <w:vAlign w:val="center"/>
          </w:tcPr>
          <w:p w14:paraId="0B95996B">
            <w:pPr>
              <w:tabs>
                <w:tab w:val="left" w:pos="2352"/>
              </w:tabs>
              <w:rPr>
                <w:rFonts w:ascii="宋体" w:cs="Arial"/>
                <w:color w:val="auto"/>
                <w:sz w:val="22"/>
                <w:highlight w:val="none"/>
              </w:rPr>
            </w:pPr>
          </w:p>
        </w:tc>
        <w:tc>
          <w:tcPr>
            <w:tcW w:w="988" w:type="dxa"/>
            <w:vAlign w:val="center"/>
          </w:tcPr>
          <w:p w14:paraId="6F6A8123">
            <w:pPr>
              <w:tabs>
                <w:tab w:val="left" w:pos="2352"/>
              </w:tabs>
              <w:ind w:right="-11"/>
              <w:jc w:val="center"/>
              <w:rPr>
                <w:rFonts w:ascii="宋体" w:cs="Arial"/>
                <w:color w:val="auto"/>
                <w:sz w:val="22"/>
                <w:highlight w:val="none"/>
              </w:rPr>
            </w:pPr>
          </w:p>
        </w:tc>
        <w:tc>
          <w:tcPr>
            <w:tcW w:w="1012" w:type="dxa"/>
            <w:vAlign w:val="center"/>
          </w:tcPr>
          <w:p w14:paraId="5CF7FED3">
            <w:pPr>
              <w:tabs>
                <w:tab w:val="left" w:pos="2352"/>
              </w:tabs>
              <w:jc w:val="center"/>
              <w:rPr>
                <w:rFonts w:ascii="宋体" w:cs="Arial"/>
                <w:color w:val="auto"/>
                <w:sz w:val="22"/>
                <w:highlight w:val="none"/>
              </w:rPr>
            </w:pPr>
          </w:p>
        </w:tc>
        <w:tc>
          <w:tcPr>
            <w:tcW w:w="1336" w:type="dxa"/>
            <w:vAlign w:val="center"/>
          </w:tcPr>
          <w:p w14:paraId="77480839">
            <w:pPr>
              <w:tabs>
                <w:tab w:val="left" w:pos="2352"/>
              </w:tabs>
              <w:ind w:right="-11"/>
              <w:jc w:val="center"/>
              <w:rPr>
                <w:rFonts w:ascii="宋体" w:cs="Arial"/>
                <w:color w:val="auto"/>
                <w:sz w:val="22"/>
                <w:highlight w:val="none"/>
              </w:rPr>
            </w:pPr>
          </w:p>
        </w:tc>
        <w:tc>
          <w:tcPr>
            <w:tcW w:w="1503" w:type="dxa"/>
            <w:vAlign w:val="center"/>
          </w:tcPr>
          <w:p w14:paraId="0277FC1C">
            <w:pPr>
              <w:tabs>
                <w:tab w:val="left" w:pos="2352"/>
              </w:tabs>
              <w:ind w:right="-11"/>
              <w:jc w:val="center"/>
              <w:rPr>
                <w:rFonts w:ascii="宋体" w:cs="Arial"/>
                <w:color w:val="auto"/>
                <w:sz w:val="22"/>
                <w:highlight w:val="none"/>
              </w:rPr>
            </w:pPr>
          </w:p>
        </w:tc>
        <w:tc>
          <w:tcPr>
            <w:tcW w:w="1560" w:type="dxa"/>
            <w:vAlign w:val="center"/>
          </w:tcPr>
          <w:p w14:paraId="3F6CB43E">
            <w:pPr>
              <w:tabs>
                <w:tab w:val="left" w:pos="2352"/>
              </w:tabs>
              <w:ind w:right="-11"/>
              <w:jc w:val="center"/>
              <w:rPr>
                <w:rFonts w:ascii="宋体" w:cs="Arial"/>
                <w:color w:val="auto"/>
                <w:sz w:val="22"/>
                <w:highlight w:val="none"/>
              </w:rPr>
            </w:pPr>
          </w:p>
        </w:tc>
      </w:tr>
      <w:tr w14:paraId="0828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234ECE9B">
            <w:pPr>
              <w:tabs>
                <w:tab w:val="left" w:pos="2352"/>
              </w:tabs>
              <w:ind w:right="-11"/>
              <w:jc w:val="center"/>
              <w:rPr>
                <w:rFonts w:ascii="宋体" w:cs="Arial"/>
                <w:color w:val="auto"/>
                <w:sz w:val="22"/>
                <w:highlight w:val="none"/>
              </w:rPr>
            </w:pPr>
            <w:r>
              <w:rPr>
                <w:rFonts w:hint="eastAsia" w:ascii="宋体" w:cs="Arial"/>
                <w:color w:val="auto"/>
                <w:sz w:val="22"/>
                <w:highlight w:val="none"/>
              </w:rPr>
              <w:t>3</w:t>
            </w:r>
          </w:p>
        </w:tc>
        <w:tc>
          <w:tcPr>
            <w:tcW w:w="2668" w:type="dxa"/>
            <w:vAlign w:val="center"/>
          </w:tcPr>
          <w:p w14:paraId="00F0EAC9">
            <w:pPr>
              <w:tabs>
                <w:tab w:val="left" w:pos="2352"/>
              </w:tabs>
              <w:rPr>
                <w:rFonts w:ascii="宋体" w:cs="Arial"/>
                <w:color w:val="auto"/>
                <w:sz w:val="22"/>
                <w:highlight w:val="none"/>
              </w:rPr>
            </w:pPr>
          </w:p>
        </w:tc>
        <w:tc>
          <w:tcPr>
            <w:tcW w:w="988" w:type="dxa"/>
            <w:vAlign w:val="center"/>
          </w:tcPr>
          <w:p w14:paraId="3A1BAA4E">
            <w:pPr>
              <w:tabs>
                <w:tab w:val="left" w:pos="2352"/>
              </w:tabs>
              <w:ind w:right="-11"/>
              <w:jc w:val="center"/>
              <w:rPr>
                <w:rFonts w:ascii="宋体" w:cs="Arial"/>
                <w:color w:val="auto"/>
                <w:sz w:val="22"/>
                <w:highlight w:val="none"/>
              </w:rPr>
            </w:pPr>
          </w:p>
        </w:tc>
        <w:tc>
          <w:tcPr>
            <w:tcW w:w="1012" w:type="dxa"/>
            <w:vAlign w:val="center"/>
          </w:tcPr>
          <w:p w14:paraId="7F9D681A">
            <w:pPr>
              <w:tabs>
                <w:tab w:val="left" w:pos="2352"/>
              </w:tabs>
              <w:jc w:val="center"/>
              <w:rPr>
                <w:rFonts w:ascii="宋体" w:cs="Arial"/>
                <w:color w:val="auto"/>
                <w:sz w:val="22"/>
                <w:highlight w:val="none"/>
              </w:rPr>
            </w:pPr>
          </w:p>
        </w:tc>
        <w:tc>
          <w:tcPr>
            <w:tcW w:w="1336" w:type="dxa"/>
            <w:vAlign w:val="center"/>
          </w:tcPr>
          <w:p w14:paraId="2DC44F44">
            <w:pPr>
              <w:tabs>
                <w:tab w:val="left" w:pos="2352"/>
              </w:tabs>
              <w:ind w:right="-11"/>
              <w:jc w:val="center"/>
              <w:rPr>
                <w:rFonts w:ascii="宋体" w:cs="Arial"/>
                <w:color w:val="auto"/>
                <w:sz w:val="22"/>
                <w:highlight w:val="none"/>
              </w:rPr>
            </w:pPr>
          </w:p>
        </w:tc>
        <w:tc>
          <w:tcPr>
            <w:tcW w:w="1503" w:type="dxa"/>
            <w:vAlign w:val="center"/>
          </w:tcPr>
          <w:p w14:paraId="4DDBCFF8">
            <w:pPr>
              <w:tabs>
                <w:tab w:val="left" w:pos="2352"/>
              </w:tabs>
              <w:ind w:right="-11"/>
              <w:jc w:val="center"/>
              <w:rPr>
                <w:rFonts w:ascii="宋体" w:cs="Arial"/>
                <w:color w:val="auto"/>
                <w:sz w:val="22"/>
                <w:highlight w:val="none"/>
              </w:rPr>
            </w:pPr>
          </w:p>
        </w:tc>
        <w:tc>
          <w:tcPr>
            <w:tcW w:w="1560" w:type="dxa"/>
            <w:vAlign w:val="center"/>
          </w:tcPr>
          <w:p w14:paraId="4D4062BD">
            <w:pPr>
              <w:tabs>
                <w:tab w:val="left" w:pos="2352"/>
              </w:tabs>
              <w:ind w:right="-11"/>
              <w:jc w:val="center"/>
              <w:rPr>
                <w:rFonts w:ascii="宋体" w:cs="Arial"/>
                <w:color w:val="auto"/>
                <w:sz w:val="22"/>
                <w:highlight w:val="none"/>
              </w:rPr>
            </w:pPr>
          </w:p>
        </w:tc>
      </w:tr>
      <w:tr w14:paraId="4E4C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014893A2">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14:paraId="7BCEBE27">
            <w:pPr>
              <w:tabs>
                <w:tab w:val="left" w:pos="2352"/>
              </w:tabs>
              <w:rPr>
                <w:rFonts w:ascii="宋体" w:cs="Arial"/>
                <w:color w:val="auto"/>
                <w:sz w:val="22"/>
                <w:highlight w:val="none"/>
              </w:rPr>
            </w:pPr>
          </w:p>
        </w:tc>
        <w:tc>
          <w:tcPr>
            <w:tcW w:w="988" w:type="dxa"/>
            <w:vAlign w:val="center"/>
          </w:tcPr>
          <w:p w14:paraId="74CAC54E">
            <w:pPr>
              <w:tabs>
                <w:tab w:val="left" w:pos="2352"/>
              </w:tabs>
              <w:ind w:right="-11"/>
              <w:jc w:val="center"/>
              <w:rPr>
                <w:rFonts w:ascii="宋体" w:cs="Arial"/>
                <w:color w:val="auto"/>
                <w:sz w:val="22"/>
                <w:highlight w:val="none"/>
              </w:rPr>
            </w:pPr>
          </w:p>
        </w:tc>
        <w:tc>
          <w:tcPr>
            <w:tcW w:w="1012" w:type="dxa"/>
            <w:vAlign w:val="center"/>
          </w:tcPr>
          <w:p w14:paraId="42E8B619">
            <w:pPr>
              <w:tabs>
                <w:tab w:val="left" w:pos="2352"/>
              </w:tabs>
              <w:rPr>
                <w:rFonts w:ascii="宋体" w:cs="Arial"/>
                <w:color w:val="auto"/>
                <w:sz w:val="22"/>
                <w:highlight w:val="none"/>
              </w:rPr>
            </w:pPr>
          </w:p>
        </w:tc>
        <w:tc>
          <w:tcPr>
            <w:tcW w:w="1336" w:type="dxa"/>
            <w:vAlign w:val="center"/>
          </w:tcPr>
          <w:p w14:paraId="30960209">
            <w:pPr>
              <w:tabs>
                <w:tab w:val="left" w:pos="2352"/>
              </w:tabs>
              <w:ind w:right="-11"/>
              <w:jc w:val="center"/>
              <w:rPr>
                <w:rFonts w:ascii="宋体" w:cs="Arial"/>
                <w:color w:val="auto"/>
                <w:sz w:val="22"/>
                <w:highlight w:val="none"/>
              </w:rPr>
            </w:pPr>
          </w:p>
        </w:tc>
        <w:tc>
          <w:tcPr>
            <w:tcW w:w="1503" w:type="dxa"/>
            <w:vAlign w:val="center"/>
          </w:tcPr>
          <w:p w14:paraId="6ABA224B">
            <w:pPr>
              <w:tabs>
                <w:tab w:val="left" w:pos="2352"/>
              </w:tabs>
              <w:ind w:right="-11"/>
              <w:jc w:val="center"/>
              <w:rPr>
                <w:rFonts w:ascii="宋体" w:cs="Arial"/>
                <w:color w:val="auto"/>
                <w:sz w:val="22"/>
                <w:highlight w:val="none"/>
              </w:rPr>
            </w:pPr>
          </w:p>
        </w:tc>
        <w:tc>
          <w:tcPr>
            <w:tcW w:w="1560" w:type="dxa"/>
            <w:vAlign w:val="center"/>
          </w:tcPr>
          <w:p w14:paraId="7E351566">
            <w:pPr>
              <w:tabs>
                <w:tab w:val="left" w:pos="2352"/>
              </w:tabs>
              <w:ind w:right="-11"/>
              <w:jc w:val="center"/>
              <w:rPr>
                <w:rFonts w:ascii="宋体" w:cs="Arial"/>
                <w:color w:val="auto"/>
                <w:sz w:val="22"/>
                <w:highlight w:val="none"/>
              </w:rPr>
            </w:pPr>
          </w:p>
        </w:tc>
      </w:tr>
      <w:tr w14:paraId="4A7B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6B1B98E1">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14:paraId="399BDEC7">
            <w:pPr>
              <w:tabs>
                <w:tab w:val="left" w:pos="2352"/>
              </w:tabs>
              <w:rPr>
                <w:rFonts w:ascii="宋体" w:cs="Arial"/>
                <w:color w:val="auto"/>
                <w:sz w:val="22"/>
                <w:highlight w:val="none"/>
              </w:rPr>
            </w:pPr>
          </w:p>
        </w:tc>
        <w:tc>
          <w:tcPr>
            <w:tcW w:w="988" w:type="dxa"/>
            <w:vAlign w:val="center"/>
          </w:tcPr>
          <w:p w14:paraId="0DD4245C">
            <w:pPr>
              <w:tabs>
                <w:tab w:val="left" w:pos="2352"/>
              </w:tabs>
              <w:ind w:right="-11"/>
              <w:jc w:val="center"/>
              <w:rPr>
                <w:rFonts w:ascii="宋体" w:cs="Arial"/>
                <w:color w:val="auto"/>
                <w:sz w:val="22"/>
                <w:highlight w:val="none"/>
              </w:rPr>
            </w:pPr>
          </w:p>
        </w:tc>
        <w:tc>
          <w:tcPr>
            <w:tcW w:w="1012" w:type="dxa"/>
            <w:vAlign w:val="center"/>
          </w:tcPr>
          <w:p w14:paraId="4B8DDBEF">
            <w:pPr>
              <w:tabs>
                <w:tab w:val="left" w:pos="2352"/>
              </w:tabs>
              <w:jc w:val="center"/>
              <w:rPr>
                <w:rFonts w:ascii="宋体" w:cs="Arial"/>
                <w:color w:val="auto"/>
                <w:sz w:val="22"/>
                <w:highlight w:val="none"/>
              </w:rPr>
            </w:pPr>
          </w:p>
        </w:tc>
        <w:tc>
          <w:tcPr>
            <w:tcW w:w="1336" w:type="dxa"/>
            <w:vAlign w:val="center"/>
          </w:tcPr>
          <w:p w14:paraId="026E7893">
            <w:pPr>
              <w:tabs>
                <w:tab w:val="left" w:pos="2352"/>
              </w:tabs>
              <w:ind w:right="-11"/>
              <w:jc w:val="center"/>
              <w:rPr>
                <w:rFonts w:ascii="宋体" w:cs="Arial"/>
                <w:color w:val="auto"/>
                <w:sz w:val="22"/>
                <w:highlight w:val="none"/>
              </w:rPr>
            </w:pPr>
          </w:p>
        </w:tc>
        <w:tc>
          <w:tcPr>
            <w:tcW w:w="1503" w:type="dxa"/>
            <w:vAlign w:val="center"/>
          </w:tcPr>
          <w:p w14:paraId="5A60B6C0">
            <w:pPr>
              <w:tabs>
                <w:tab w:val="left" w:pos="2352"/>
              </w:tabs>
              <w:ind w:right="-11"/>
              <w:jc w:val="center"/>
              <w:rPr>
                <w:rFonts w:ascii="宋体" w:cs="Arial"/>
                <w:color w:val="auto"/>
                <w:sz w:val="22"/>
                <w:highlight w:val="none"/>
              </w:rPr>
            </w:pPr>
          </w:p>
        </w:tc>
        <w:tc>
          <w:tcPr>
            <w:tcW w:w="1560" w:type="dxa"/>
            <w:vAlign w:val="center"/>
          </w:tcPr>
          <w:p w14:paraId="25971FDF">
            <w:pPr>
              <w:tabs>
                <w:tab w:val="left" w:pos="2352"/>
              </w:tabs>
              <w:ind w:right="-11"/>
              <w:jc w:val="center"/>
              <w:rPr>
                <w:rFonts w:ascii="宋体" w:cs="Arial"/>
                <w:color w:val="auto"/>
                <w:sz w:val="22"/>
                <w:highlight w:val="none"/>
              </w:rPr>
            </w:pPr>
          </w:p>
        </w:tc>
      </w:tr>
      <w:tr w14:paraId="1EF5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DBB1FA9">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14:paraId="748F4E2D">
            <w:pPr>
              <w:tabs>
                <w:tab w:val="left" w:pos="2352"/>
              </w:tabs>
              <w:rPr>
                <w:rFonts w:ascii="宋体" w:cs="Arial"/>
                <w:color w:val="auto"/>
                <w:sz w:val="22"/>
                <w:highlight w:val="none"/>
              </w:rPr>
            </w:pPr>
          </w:p>
        </w:tc>
        <w:tc>
          <w:tcPr>
            <w:tcW w:w="988" w:type="dxa"/>
            <w:vAlign w:val="center"/>
          </w:tcPr>
          <w:p w14:paraId="11B33178">
            <w:pPr>
              <w:tabs>
                <w:tab w:val="left" w:pos="2352"/>
              </w:tabs>
              <w:ind w:right="-11"/>
              <w:jc w:val="center"/>
              <w:rPr>
                <w:rFonts w:ascii="宋体" w:cs="Arial"/>
                <w:color w:val="auto"/>
                <w:sz w:val="22"/>
                <w:highlight w:val="none"/>
              </w:rPr>
            </w:pPr>
          </w:p>
        </w:tc>
        <w:tc>
          <w:tcPr>
            <w:tcW w:w="1012" w:type="dxa"/>
            <w:vAlign w:val="center"/>
          </w:tcPr>
          <w:p w14:paraId="2EB026AA">
            <w:pPr>
              <w:tabs>
                <w:tab w:val="left" w:pos="2352"/>
              </w:tabs>
              <w:jc w:val="center"/>
              <w:rPr>
                <w:rFonts w:ascii="宋体" w:cs="Arial"/>
                <w:color w:val="auto"/>
                <w:sz w:val="22"/>
                <w:highlight w:val="none"/>
              </w:rPr>
            </w:pPr>
          </w:p>
        </w:tc>
        <w:tc>
          <w:tcPr>
            <w:tcW w:w="1336" w:type="dxa"/>
            <w:vAlign w:val="center"/>
          </w:tcPr>
          <w:p w14:paraId="7BB9CECF">
            <w:pPr>
              <w:tabs>
                <w:tab w:val="left" w:pos="2352"/>
              </w:tabs>
              <w:ind w:right="-11"/>
              <w:jc w:val="center"/>
              <w:rPr>
                <w:rFonts w:ascii="宋体" w:cs="Arial"/>
                <w:color w:val="auto"/>
                <w:sz w:val="22"/>
                <w:highlight w:val="none"/>
              </w:rPr>
            </w:pPr>
          </w:p>
        </w:tc>
        <w:tc>
          <w:tcPr>
            <w:tcW w:w="1503" w:type="dxa"/>
            <w:vAlign w:val="center"/>
          </w:tcPr>
          <w:p w14:paraId="3FE86739">
            <w:pPr>
              <w:tabs>
                <w:tab w:val="left" w:pos="2352"/>
              </w:tabs>
              <w:ind w:right="-11"/>
              <w:jc w:val="center"/>
              <w:rPr>
                <w:rFonts w:ascii="宋体" w:cs="Arial"/>
                <w:color w:val="auto"/>
                <w:sz w:val="22"/>
                <w:highlight w:val="none"/>
              </w:rPr>
            </w:pPr>
          </w:p>
        </w:tc>
        <w:tc>
          <w:tcPr>
            <w:tcW w:w="1560" w:type="dxa"/>
            <w:vAlign w:val="center"/>
          </w:tcPr>
          <w:p w14:paraId="655AFE49">
            <w:pPr>
              <w:tabs>
                <w:tab w:val="left" w:pos="2352"/>
              </w:tabs>
              <w:ind w:right="-11"/>
              <w:jc w:val="center"/>
              <w:rPr>
                <w:rFonts w:ascii="宋体" w:cs="Arial"/>
                <w:color w:val="auto"/>
                <w:sz w:val="22"/>
                <w:highlight w:val="none"/>
              </w:rPr>
            </w:pPr>
          </w:p>
        </w:tc>
      </w:tr>
      <w:tr w14:paraId="1CCD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507A7CE">
            <w:pPr>
              <w:tabs>
                <w:tab w:val="left" w:pos="2352"/>
              </w:tabs>
              <w:ind w:right="-11"/>
              <w:jc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14:paraId="5F5F2B03">
            <w:pPr>
              <w:tabs>
                <w:tab w:val="left" w:pos="2352"/>
              </w:tabs>
              <w:rPr>
                <w:rFonts w:ascii="宋体" w:cs="Arial"/>
                <w:color w:val="auto"/>
                <w:sz w:val="22"/>
                <w:highlight w:val="none"/>
              </w:rPr>
            </w:pPr>
          </w:p>
        </w:tc>
        <w:tc>
          <w:tcPr>
            <w:tcW w:w="988" w:type="dxa"/>
            <w:vAlign w:val="center"/>
          </w:tcPr>
          <w:p w14:paraId="19B056F4">
            <w:pPr>
              <w:tabs>
                <w:tab w:val="left" w:pos="2352"/>
              </w:tabs>
              <w:ind w:right="-11"/>
              <w:jc w:val="center"/>
              <w:rPr>
                <w:rFonts w:ascii="宋体" w:cs="Arial"/>
                <w:color w:val="auto"/>
                <w:sz w:val="22"/>
                <w:highlight w:val="none"/>
              </w:rPr>
            </w:pPr>
          </w:p>
        </w:tc>
        <w:tc>
          <w:tcPr>
            <w:tcW w:w="1012" w:type="dxa"/>
            <w:vAlign w:val="center"/>
          </w:tcPr>
          <w:p w14:paraId="5ACE7AB2">
            <w:pPr>
              <w:tabs>
                <w:tab w:val="left" w:pos="2352"/>
              </w:tabs>
              <w:jc w:val="center"/>
              <w:rPr>
                <w:rFonts w:ascii="宋体" w:cs="Arial"/>
                <w:color w:val="auto"/>
                <w:sz w:val="22"/>
                <w:highlight w:val="none"/>
              </w:rPr>
            </w:pPr>
          </w:p>
        </w:tc>
        <w:tc>
          <w:tcPr>
            <w:tcW w:w="1336" w:type="dxa"/>
            <w:vAlign w:val="center"/>
          </w:tcPr>
          <w:p w14:paraId="1DCAE4E0">
            <w:pPr>
              <w:tabs>
                <w:tab w:val="left" w:pos="2352"/>
              </w:tabs>
              <w:ind w:right="-11"/>
              <w:jc w:val="center"/>
              <w:rPr>
                <w:rFonts w:ascii="宋体" w:cs="Arial"/>
                <w:color w:val="auto"/>
                <w:sz w:val="22"/>
                <w:highlight w:val="none"/>
              </w:rPr>
            </w:pPr>
          </w:p>
        </w:tc>
        <w:tc>
          <w:tcPr>
            <w:tcW w:w="1503" w:type="dxa"/>
            <w:vAlign w:val="center"/>
          </w:tcPr>
          <w:p w14:paraId="52F0F5BF">
            <w:pPr>
              <w:tabs>
                <w:tab w:val="left" w:pos="2352"/>
              </w:tabs>
              <w:ind w:right="-11"/>
              <w:jc w:val="center"/>
              <w:rPr>
                <w:rFonts w:ascii="宋体" w:cs="Arial"/>
                <w:color w:val="auto"/>
                <w:sz w:val="22"/>
                <w:highlight w:val="none"/>
              </w:rPr>
            </w:pPr>
          </w:p>
        </w:tc>
        <w:tc>
          <w:tcPr>
            <w:tcW w:w="1560" w:type="dxa"/>
            <w:vAlign w:val="center"/>
          </w:tcPr>
          <w:p w14:paraId="0249D85A">
            <w:pPr>
              <w:tabs>
                <w:tab w:val="left" w:pos="2352"/>
              </w:tabs>
              <w:ind w:right="-11"/>
              <w:jc w:val="center"/>
              <w:rPr>
                <w:rFonts w:ascii="宋体" w:cs="Arial"/>
                <w:color w:val="auto"/>
                <w:sz w:val="22"/>
                <w:highlight w:val="none"/>
              </w:rPr>
            </w:pPr>
          </w:p>
        </w:tc>
      </w:tr>
      <w:tr w14:paraId="4A22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2F1D74EC">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14:paraId="7C90D79F">
            <w:pPr>
              <w:widowControl/>
              <w:tabs>
                <w:tab w:val="left" w:pos="2352"/>
              </w:tabs>
              <w:jc w:val="center"/>
              <w:textAlignment w:val="center"/>
              <w:rPr>
                <w:rFonts w:ascii="宋体" w:cs="Arial"/>
                <w:color w:val="auto"/>
                <w:sz w:val="22"/>
                <w:highlight w:val="none"/>
              </w:rPr>
            </w:pPr>
          </w:p>
        </w:tc>
        <w:tc>
          <w:tcPr>
            <w:tcW w:w="988" w:type="dxa"/>
            <w:vAlign w:val="center"/>
          </w:tcPr>
          <w:p w14:paraId="7A19A36F">
            <w:pPr>
              <w:widowControl/>
              <w:tabs>
                <w:tab w:val="left" w:pos="2352"/>
              </w:tabs>
              <w:jc w:val="center"/>
              <w:textAlignment w:val="center"/>
              <w:rPr>
                <w:rFonts w:ascii="宋体" w:cs="Arial"/>
                <w:color w:val="auto"/>
                <w:sz w:val="22"/>
                <w:highlight w:val="none"/>
              </w:rPr>
            </w:pPr>
          </w:p>
        </w:tc>
        <w:tc>
          <w:tcPr>
            <w:tcW w:w="1012" w:type="dxa"/>
            <w:vAlign w:val="center"/>
          </w:tcPr>
          <w:p w14:paraId="4C8667B6">
            <w:pPr>
              <w:widowControl/>
              <w:tabs>
                <w:tab w:val="left" w:pos="2352"/>
              </w:tabs>
              <w:jc w:val="center"/>
              <w:textAlignment w:val="center"/>
              <w:rPr>
                <w:rFonts w:ascii="宋体" w:cs="Arial"/>
                <w:color w:val="auto"/>
                <w:sz w:val="22"/>
                <w:highlight w:val="none"/>
              </w:rPr>
            </w:pPr>
          </w:p>
        </w:tc>
        <w:tc>
          <w:tcPr>
            <w:tcW w:w="1336" w:type="dxa"/>
            <w:vAlign w:val="center"/>
          </w:tcPr>
          <w:p w14:paraId="2C2212E6">
            <w:pPr>
              <w:widowControl/>
              <w:tabs>
                <w:tab w:val="left" w:pos="2352"/>
              </w:tabs>
              <w:jc w:val="center"/>
              <w:textAlignment w:val="center"/>
              <w:rPr>
                <w:rFonts w:ascii="宋体" w:cs="Arial"/>
                <w:color w:val="auto"/>
                <w:sz w:val="22"/>
                <w:highlight w:val="none"/>
              </w:rPr>
            </w:pPr>
          </w:p>
        </w:tc>
        <w:tc>
          <w:tcPr>
            <w:tcW w:w="1503" w:type="dxa"/>
            <w:vAlign w:val="center"/>
          </w:tcPr>
          <w:p w14:paraId="26F2AA89">
            <w:pPr>
              <w:tabs>
                <w:tab w:val="left" w:pos="2352"/>
              </w:tabs>
              <w:ind w:right="-11"/>
              <w:jc w:val="center"/>
              <w:rPr>
                <w:rFonts w:ascii="宋体" w:cs="Arial"/>
                <w:color w:val="auto"/>
                <w:sz w:val="22"/>
                <w:highlight w:val="none"/>
              </w:rPr>
            </w:pPr>
          </w:p>
        </w:tc>
        <w:tc>
          <w:tcPr>
            <w:tcW w:w="1560" w:type="dxa"/>
            <w:vAlign w:val="center"/>
          </w:tcPr>
          <w:p w14:paraId="7BD07F18">
            <w:pPr>
              <w:tabs>
                <w:tab w:val="left" w:pos="2352"/>
              </w:tabs>
              <w:ind w:right="-11"/>
              <w:jc w:val="center"/>
              <w:rPr>
                <w:rFonts w:ascii="宋体" w:cs="Arial"/>
                <w:color w:val="auto"/>
                <w:sz w:val="22"/>
                <w:highlight w:val="none"/>
              </w:rPr>
            </w:pPr>
          </w:p>
        </w:tc>
      </w:tr>
      <w:tr w14:paraId="213A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5E1EED77">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14:paraId="13AFCF4F">
            <w:pPr>
              <w:widowControl/>
              <w:tabs>
                <w:tab w:val="left" w:pos="2352"/>
              </w:tabs>
              <w:jc w:val="left"/>
              <w:textAlignment w:val="center"/>
              <w:rPr>
                <w:rFonts w:ascii="宋体" w:cs="Arial"/>
                <w:color w:val="auto"/>
                <w:sz w:val="22"/>
                <w:highlight w:val="none"/>
              </w:rPr>
            </w:pPr>
          </w:p>
        </w:tc>
        <w:tc>
          <w:tcPr>
            <w:tcW w:w="988" w:type="dxa"/>
            <w:vAlign w:val="center"/>
          </w:tcPr>
          <w:p w14:paraId="0EB125C3">
            <w:pPr>
              <w:widowControl/>
              <w:tabs>
                <w:tab w:val="left" w:pos="2352"/>
              </w:tabs>
              <w:jc w:val="center"/>
              <w:textAlignment w:val="center"/>
              <w:rPr>
                <w:rFonts w:ascii="宋体" w:cs="Arial"/>
                <w:color w:val="auto"/>
                <w:sz w:val="22"/>
                <w:highlight w:val="none"/>
              </w:rPr>
            </w:pPr>
          </w:p>
        </w:tc>
        <w:tc>
          <w:tcPr>
            <w:tcW w:w="1012" w:type="dxa"/>
            <w:vAlign w:val="center"/>
          </w:tcPr>
          <w:p w14:paraId="6476F851">
            <w:pPr>
              <w:widowControl/>
              <w:tabs>
                <w:tab w:val="left" w:pos="2352"/>
              </w:tabs>
              <w:jc w:val="center"/>
              <w:textAlignment w:val="center"/>
              <w:rPr>
                <w:rFonts w:ascii="宋体" w:cs="Arial"/>
                <w:color w:val="auto"/>
                <w:sz w:val="22"/>
                <w:highlight w:val="none"/>
              </w:rPr>
            </w:pPr>
          </w:p>
        </w:tc>
        <w:tc>
          <w:tcPr>
            <w:tcW w:w="1336" w:type="dxa"/>
            <w:vAlign w:val="center"/>
          </w:tcPr>
          <w:p w14:paraId="6F4C0AAA">
            <w:pPr>
              <w:widowControl/>
              <w:tabs>
                <w:tab w:val="left" w:pos="2352"/>
              </w:tabs>
              <w:jc w:val="center"/>
              <w:textAlignment w:val="center"/>
              <w:rPr>
                <w:rFonts w:ascii="宋体" w:cs="Arial"/>
                <w:color w:val="auto"/>
                <w:sz w:val="22"/>
                <w:highlight w:val="none"/>
              </w:rPr>
            </w:pPr>
          </w:p>
        </w:tc>
        <w:tc>
          <w:tcPr>
            <w:tcW w:w="1503" w:type="dxa"/>
            <w:vAlign w:val="center"/>
          </w:tcPr>
          <w:p w14:paraId="398E64C9">
            <w:pPr>
              <w:tabs>
                <w:tab w:val="left" w:pos="2352"/>
              </w:tabs>
              <w:ind w:right="-11"/>
              <w:jc w:val="center"/>
              <w:rPr>
                <w:rFonts w:ascii="宋体" w:cs="Arial"/>
                <w:color w:val="auto"/>
                <w:sz w:val="22"/>
                <w:highlight w:val="none"/>
              </w:rPr>
            </w:pPr>
          </w:p>
        </w:tc>
        <w:tc>
          <w:tcPr>
            <w:tcW w:w="1560" w:type="dxa"/>
            <w:vAlign w:val="center"/>
          </w:tcPr>
          <w:p w14:paraId="0F1D4736">
            <w:pPr>
              <w:tabs>
                <w:tab w:val="left" w:pos="2352"/>
              </w:tabs>
              <w:ind w:right="-11"/>
              <w:jc w:val="center"/>
              <w:rPr>
                <w:rFonts w:ascii="宋体" w:cs="Arial"/>
                <w:color w:val="auto"/>
                <w:sz w:val="22"/>
                <w:highlight w:val="none"/>
              </w:rPr>
            </w:pPr>
          </w:p>
        </w:tc>
      </w:tr>
      <w:tr w14:paraId="3FBB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2F4BEA3C">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w:t>
            </w:r>
          </w:p>
        </w:tc>
        <w:tc>
          <w:tcPr>
            <w:tcW w:w="2668" w:type="dxa"/>
            <w:vAlign w:val="center"/>
          </w:tcPr>
          <w:p w14:paraId="1EEF966D">
            <w:pPr>
              <w:widowControl/>
              <w:tabs>
                <w:tab w:val="left" w:pos="2352"/>
              </w:tabs>
              <w:jc w:val="left"/>
              <w:textAlignment w:val="center"/>
              <w:rPr>
                <w:rFonts w:ascii="宋体" w:cs="Arial"/>
                <w:color w:val="auto"/>
                <w:sz w:val="22"/>
                <w:highlight w:val="none"/>
              </w:rPr>
            </w:pPr>
          </w:p>
        </w:tc>
        <w:tc>
          <w:tcPr>
            <w:tcW w:w="988" w:type="dxa"/>
            <w:vAlign w:val="center"/>
          </w:tcPr>
          <w:p w14:paraId="39C134A5">
            <w:pPr>
              <w:widowControl/>
              <w:tabs>
                <w:tab w:val="left" w:pos="2352"/>
              </w:tabs>
              <w:jc w:val="center"/>
              <w:textAlignment w:val="center"/>
              <w:rPr>
                <w:rFonts w:ascii="宋体" w:cs="Arial"/>
                <w:color w:val="auto"/>
                <w:sz w:val="22"/>
                <w:highlight w:val="none"/>
              </w:rPr>
            </w:pPr>
          </w:p>
        </w:tc>
        <w:tc>
          <w:tcPr>
            <w:tcW w:w="1012" w:type="dxa"/>
            <w:vAlign w:val="center"/>
          </w:tcPr>
          <w:p w14:paraId="64FD4008">
            <w:pPr>
              <w:widowControl/>
              <w:tabs>
                <w:tab w:val="left" w:pos="2352"/>
              </w:tabs>
              <w:jc w:val="center"/>
              <w:textAlignment w:val="center"/>
              <w:rPr>
                <w:rFonts w:ascii="宋体" w:cs="Arial"/>
                <w:color w:val="auto"/>
                <w:sz w:val="22"/>
                <w:highlight w:val="none"/>
              </w:rPr>
            </w:pPr>
          </w:p>
        </w:tc>
        <w:tc>
          <w:tcPr>
            <w:tcW w:w="1336" w:type="dxa"/>
            <w:vAlign w:val="center"/>
          </w:tcPr>
          <w:p w14:paraId="05220163">
            <w:pPr>
              <w:widowControl/>
              <w:tabs>
                <w:tab w:val="left" w:pos="2352"/>
              </w:tabs>
              <w:jc w:val="center"/>
              <w:textAlignment w:val="center"/>
              <w:rPr>
                <w:rFonts w:ascii="宋体" w:cs="Arial"/>
                <w:color w:val="auto"/>
                <w:sz w:val="22"/>
                <w:highlight w:val="none"/>
              </w:rPr>
            </w:pPr>
          </w:p>
        </w:tc>
        <w:tc>
          <w:tcPr>
            <w:tcW w:w="1503" w:type="dxa"/>
            <w:vAlign w:val="center"/>
          </w:tcPr>
          <w:p w14:paraId="42201467">
            <w:pPr>
              <w:tabs>
                <w:tab w:val="left" w:pos="2352"/>
              </w:tabs>
              <w:ind w:right="-11"/>
              <w:jc w:val="center"/>
              <w:rPr>
                <w:rFonts w:ascii="宋体" w:cs="Arial"/>
                <w:color w:val="auto"/>
                <w:sz w:val="22"/>
                <w:highlight w:val="none"/>
              </w:rPr>
            </w:pPr>
          </w:p>
        </w:tc>
        <w:tc>
          <w:tcPr>
            <w:tcW w:w="1560" w:type="dxa"/>
            <w:vAlign w:val="center"/>
          </w:tcPr>
          <w:p w14:paraId="3345ED30">
            <w:pPr>
              <w:tabs>
                <w:tab w:val="left" w:pos="2352"/>
              </w:tabs>
              <w:ind w:right="-11"/>
              <w:jc w:val="center"/>
              <w:rPr>
                <w:rFonts w:ascii="宋体" w:cs="Arial"/>
                <w:color w:val="auto"/>
                <w:sz w:val="22"/>
                <w:highlight w:val="none"/>
              </w:rPr>
            </w:pPr>
          </w:p>
        </w:tc>
      </w:tr>
      <w:tr w14:paraId="5F63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F18F3D2">
            <w:pPr>
              <w:widowControl/>
              <w:tabs>
                <w:tab w:val="left" w:pos="2352"/>
              </w:tabs>
              <w:jc w:val="center"/>
              <w:textAlignment w:val="center"/>
              <w:rPr>
                <w:rFonts w:ascii="宋体" w:cs="Arial"/>
                <w:color w:val="auto"/>
                <w:sz w:val="22"/>
                <w:highlight w:val="none"/>
              </w:rPr>
            </w:pPr>
          </w:p>
        </w:tc>
        <w:tc>
          <w:tcPr>
            <w:tcW w:w="2668" w:type="dxa"/>
            <w:vAlign w:val="center"/>
          </w:tcPr>
          <w:p w14:paraId="1A623A47">
            <w:pPr>
              <w:widowControl/>
              <w:tabs>
                <w:tab w:val="left" w:pos="2352"/>
              </w:tabs>
              <w:jc w:val="left"/>
              <w:textAlignment w:val="center"/>
              <w:rPr>
                <w:rFonts w:ascii="宋体" w:cs="Arial"/>
                <w:color w:val="auto"/>
                <w:sz w:val="22"/>
                <w:highlight w:val="none"/>
              </w:rPr>
            </w:pPr>
          </w:p>
        </w:tc>
        <w:tc>
          <w:tcPr>
            <w:tcW w:w="988" w:type="dxa"/>
            <w:vAlign w:val="center"/>
          </w:tcPr>
          <w:p w14:paraId="0795D908">
            <w:pPr>
              <w:widowControl/>
              <w:tabs>
                <w:tab w:val="left" w:pos="2352"/>
              </w:tabs>
              <w:jc w:val="center"/>
              <w:textAlignment w:val="center"/>
              <w:rPr>
                <w:rFonts w:ascii="宋体" w:cs="Arial"/>
                <w:color w:val="auto"/>
                <w:sz w:val="22"/>
                <w:highlight w:val="none"/>
              </w:rPr>
            </w:pPr>
          </w:p>
        </w:tc>
        <w:tc>
          <w:tcPr>
            <w:tcW w:w="1012" w:type="dxa"/>
            <w:vAlign w:val="center"/>
          </w:tcPr>
          <w:p w14:paraId="021CD2F0">
            <w:pPr>
              <w:widowControl/>
              <w:tabs>
                <w:tab w:val="left" w:pos="2352"/>
              </w:tabs>
              <w:jc w:val="center"/>
              <w:textAlignment w:val="center"/>
              <w:rPr>
                <w:rFonts w:ascii="宋体" w:cs="Arial"/>
                <w:color w:val="auto"/>
                <w:sz w:val="22"/>
                <w:highlight w:val="none"/>
              </w:rPr>
            </w:pPr>
          </w:p>
        </w:tc>
        <w:tc>
          <w:tcPr>
            <w:tcW w:w="1336" w:type="dxa"/>
            <w:vAlign w:val="center"/>
          </w:tcPr>
          <w:p w14:paraId="1D93C88F">
            <w:pPr>
              <w:widowControl/>
              <w:tabs>
                <w:tab w:val="left" w:pos="2352"/>
              </w:tabs>
              <w:jc w:val="center"/>
              <w:textAlignment w:val="center"/>
              <w:rPr>
                <w:rFonts w:ascii="宋体" w:cs="Arial"/>
                <w:color w:val="auto"/>
                <w:sz w:val="22"/>
                <w:highlight w:val="none"/>
              </w:rPr>
            </w:pPr>
          </w:p>
        </w:tc>
        <w:tc>
          <w:tcPr>
            <w:tcW w:w="1503" w:type="dxa"/>
            <w:vAlign w:val="center"/>
          </w:tcPr>
          <w:p w14:paraId="3BF67D43">
            <w:pPr>
              <w:tabs>
                <w:tab w:val="left" w:pos="2352"/>
              </w:tabs>
              <w:ind w:right="-11"/>
              <w:jc w:val="center"/>
              <w:rPr>
                <w:rFonts w:ascii="宋体" w:cs="Arial"/>
                <w:color w:val="auto"/>
                <w:sz w:val="22"/>
                <w:highlight w:val="none"/>
              </w:rPr>
            </w:pPr>
          </w:p>
        </w:tc>
        <w:tc>
          <w:tcPr>
            <w:tcW w:w="1560" w:type="dxa"/>
            <w:vAlign w:val="center"/>
          </w:tcPr>
          <w:p w14:paraId="581777DA">
            <w:pPr>
              <w:tabs>
                <w:tab w:val="left" w:pos="2352"/>
              </w:tabs>
              <w:ind w:right="-11"/>
              <w:jc w:val="center"/>
              <w:rPr>
                <w:rFonts w:ascii="宋体" w:cs="Arial"/>
                <w:color w:val="auto"/>
                <w:sz w:val="22"/>
                <w:highlight w:val="none"/>
              </w:rPr>
            </w:pPr>
          </w:p>
        </w:tc>
      </w:tr>
      <w:tr w14:paraId="1F8A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6783" w:type="dxa"/>
            <w:gridSpan w:val="5"/>
            <w:vAlign w:val="center"/>
          </w:tcPr>
          <w:p w14:paraId="50D32E7A">
            <w:pPr>
              <w:widowControl/>
              <w:tabs>
                <w:tab w:val="left" w:pos="2352"/>
              </w:tabs>
              <w:jc w:val="center"/>
              <w:textAlignment w:val="center"/>
              <w:rPr>
                <w:rFonts w:ascii="宋体" w:cs="Arial"/>
                <w:color w:val="auto"/>
                <w:sz w:val="22"/>
                <w:highlight w:val="none"/>
              </w:rPr>
            </w:pPr>
            <w:r>
              <w:rPr>
                <w:rFonts w:hint="eastAsia" w:ascii="宋体" w:cs="Arial"/>
                <w:color w:val="auto"/>
                <w:sz w:val="22"/>
                <w:highlight w:val="none"/>
              </w:rPr>
              <w:t>合计</w:t>
            </w:r>
          </w:p>
        </w:tc>
        <w:tc>
          <w:tcPr>
            <w:tcW w:w="1503" w:type="dxa"/>
            <w:vAlign w:val="center"/>
          </w:tcPr>
          <w:p w14:paraId="14835962">
            <w:pPr>
              <w:widowControl/>
              <w:tabs>
                <w:tab w:val="left" w:pos="2352"/>
              </w:tabs>
              <w:jc w:val="center"/>
              <w:textAlignment w:val="center"/>
              <w:rPr>
                <w:rFonts w:ascii="宋体" w:cs="Arial"/>
                <w:color w:val="auto"/>
                <w:sz w:val="22"/>
                <w:highlight w:val="none"/>
              </w:rPr>
            </w:pPr>
          </w:p>
        </w:tc>
        <w:tc>
          <w:tcPr>
            <w:tcW w:w="1560" w:type="dxa"/>
            <w:vAlign w:val="center"/>
          </w:tcPr>
          <w:p w14:paraId="16E207CF">
            <w:pPr>
              <w:tabs>
                <w:tab w:val="left" w:pos="2352"/>
              </w:tabs>
              <w:ind w:right="-11"/>
              <w:jc w:val="center"/>
              <w:rPr>
                <w:rFonts w:ascii="宋体" w:cs="Arial"/>
                <w:color w:val="auto"/>
                <w:sz w:val="22"/>
                <w:highlight w:val="none"/>
              </w:rPr>
            </w:pPr>
          </w:p>
        </w:tc>
      </w:tr>
    </w:tbl>
    <w:p w14:paraId="23261A76">
      <w:pPr>
        <w:tabs>
          <w:tab w:val="left" w:pos="2352"/>
        </w:tabs>
        <w:rPr>
          <w:rFonts w:ascii="宋体" w:cs="Arial"/>
          <w:bCs/>
          <w:color w:val="auto"/>
          <w:sz w:val="22"/>
          <w:highlight w:val="none"/>
        </w:rPr>
      </w:pPr>
    </w:p>
    <w:p w14:paraId="141BD746">
      <w:pPr>
        <w:tabs>
          <w:tab w:val="left" w:pos="2352"/>
        </w:tabs>
        <w:rPr>
          <w:rFonts w:ascii="宋体" w:cs="Arial"/>
          <w:color w:val="auto"/>
          <w:sz w:val="22"/>
          <w:highlight w:val="none"/>
        </w:rPr>
      </w:pPr>
      <w:r>
        <w:rPr>
          <w:rFonts w:hint="eastAsia" w:ascii="宋体" w:cs="Arial"/>
          <w:bCs/>
          <w:color w:val="auto"/>
          <w:sz w:val="22"/>
          <w:highlight w:val="none"/>
        </w:rPr>
        <w:t>注</w:t>
      </w:r>
      <w:r>
        <w:rPr>
          <w:rFonts w:ascii="宋体" w:cs="Arial"/>
          <w:bCs/>
          <w:color w:val="auto"/>
          <w:sz w:val="22"/>
          <w:highlight w:val="none"/>
        </w:rPr>
        <w:t>：</w:t>
      </w:r>
      <w:r>
        <w:rPr>
          <w:rFonts w:ascii="宋体" w:cs="Arial"/>
          <w:color w:val="auto"/>
          <w:sz w:val="22"/>
          <w:highlight w:val="none"/>
        </w:rPr>
        <w:t>1</w:t>
      </w:r>
      <w:r>
        <w:rPr>
          <w:rFonts w:hint="eastAsia" w:ascii="宋体" w:cs="Arial"/>
          <w:color w:val="auto"/>
          <w:sz w:val="22"/>
          <w:highlight w:val="none"/>
        </w:rPr>
        <w:t>.</w:t>
      </w:r>
      <w:r>
        <w:rPr>
          <w:rFonts w:ascii="宋体" w:cs="Arial"/>
          <w:color w:val="auto"/>
          <w:sz w:val="22"/>
          <w:highlight w:val="none"/>
        </w:rPr>
        <w:t>不提供详细分项报价表将视为没有实质性响应</w:t>
      </w:r>
      <w:r>
        <w:rPr>
          <w:rFonts w:hint="eastAsia" w:ascii="宋体" w:cs="Arial"/>
          <w:color w:val="auto"/>
          <w:sz w:val="22"/>
          <w:highlight w:val="none"/>
        </w:rPr>
        <w:t>竞争性磋商文件</w:t>
      </w:r>
      <w:r>
        <w:rPr>
          <w:rFonts w:ascii="宋体" w:cs="Arial"/>
          <w:color w:val="auto"/>
          <w:sz w:val="22"/>
          <w:highlight w:val="none"/>
        </w:rPr>
        <w:t>。</w:t>
      </w:r>
    </w:p>
    <w:p w14:paraId="6DD65AAF">
      <w:pPr>
        <w:tabs>
          <w:tab w:val="left" w:pos="2352"/>
        </w:tabs>
        <w:ind w:firstLine="630"/>
        <w:rPr>
          <w:rFonts w:ascii="宋体" w:cs="Arial"/>
          <w:color w:val="auto"/>
          <w:sz w:val="22"/>
          <w:highlight w:val="none"/>
        </w:rPr>
      </w:pPr>
      <w:r>
        <w:rPr>
          <w:rFonts w:ascii="宋体" w:cs="Arial"/>
          <w:color w:val="auto"/>
          <w:sz w:val="22"/>
          <w:highlight w:val="none"/>
        </w:rPr>
        <w:t>2</w:t>
      </w:r>
      <w:r>
        <w:rPr>
          <w:rFonts w:hint="eastAsia" w:ascii="宋体" w:cs="Arial"/>
          <w:color w:val="auto"/>
          <w:sz w:val="22"/>
          <w:highlight w:val="none"/>
        </w:rPr>
        <w:t>.</w:t>
      </w:r>
      <w:r>
        <w:rPr>
          <w:rFonts w:ascii="宋体" w:cs="Arial"/>
          <w:color w:val="auto"/>
          <w:sz w:val="22"/>
          <w:highlight w:val="none"/>
        </w:rPr>
        <w:t>此表的合</w:t>
      </w:r>
      <w:r>
        <w:rPr>
          <w:rFonts w:hint="eastAsia" w:ascii="宋体" w:cs="Arial"/>
          <w:color w:val="auto"/>
          <w:sz w:val="22"/>
          <w:highlight w:val="none"/>
        </w:rPr>
        <w:t>计总</w:t>
      </w:r>
      <w:r>
        <w:rPr>
          <w:rFonts w:ascii="宋体" w:cs="Arial"/>
          <w:color w:val="auto"/>
          <w:sz w:val="22"/>
          <w:highlight w:val="none"/>
        </w:rPr>
        <w:t>价应与附</w:t>
      </w:r>
      <w:r>
        <w:rPr>
          <w:rFonts w:hint="eastAsia" w:ascii="宋体" w:cs="Arial"/>
          <w:color w:val="auto"/>
          <w:sz w:val="22"/>
          <w:highlight w:val="none"/>
        </w:rPr>
        <w:t>件一“开标（报价）一览表”投标总价相一</w:t>
      </w:r>
      <w:r>
        <w:rPr>
          <w:rFonts w:ascii="宋体" w:cs="Arial"/>
          <w:color w:val="auto"/>
          <w:sz w:val="22"/>
          <w:highlight w:val="none"/>
        </w:rPr>
        <w:t>致</w:t>
      </w:r>
      <w:r>
        <w:rPr>
          <w:rFonts w:ascii="宋体" w:cs="Arial"/>
          <w:b/>
          <w:bCs/>
          <w:color w:val="auto"/>
          <w:sz w:val="22"/>
          <w:highlight w:val="none"/>
        </w:rPr>
        <w:t>。</w:t>
      </w:r>
    </w:p>
    <w:p w14:paraId="72A84395">
      <w:pPr>
        <w:tabs>
          <w:tab w:val="left" w:pos="2352"/>
        </w:tabs>
        <w:ind w:firstLine="630"/>
        <w:rPr>
          <w:rFonts w:ascii="宋体" w:cs="Arial"/>
          <w:color w:val="auto"/>
          <w:sz w:val="22"/>
          <w:highlight w:val="none"/>
        </w:rPr>
      </w:pPr>
      <w:r>
        <w:rPr>
          <w:rFonts w:ascii="宋体" w:cs="Arial"/>
          <w:color w:val="auto"/>
          <w:sz w:val="22"/>
          <w:highlight w:val="none"/>
        </w:rPr>
        <w:t>3</w:t>
      </w:r>
      <w:r>
        <w:rPr>
          <w:rFonts w:hint="eastAsia" w:ascii="宋体" w:cs="Arial"/>
          <w:color w:val="auto"/>
          <w:sz w:val="22"/>
          <w:highlight w:val="none"/>
        </w:rPr>
        <w:t>.</w:t>
      </w:r>
      <w:r>
        <w:rPr>
          <w:rFonts w:ascii="宋体" w:cs="Arial"/>
          <w:color w:val="auto"/>
          <w:sz w:val="22"/>
          <w:highlight w:val="none"/>
        </w:rPr>
        <w:t>如果免费请在该备注栏</w:t>
      </w:r>
      <w:r>
        <w:rPr>
          <w:rFonts w:hint="eastAsia" w:ascii="宋体" w:cs="Arial"/>
          <w:color w:val="auto"/>
          <w:sz w:val="22"/>
          <w:highlight w:val="none"/>
        </w:rPr>
        <w:t>内注明“免”，如果含在产品价格中则填“含”，如无此项内容则填“无”，不留空白。</w:t>
      </w:r>
    </w:p>
    <w:p w14:paraId="182649C0">
      <w:pPr>
        <w:tabs>
          <w:tab w:val="left" w:pos="2352"/>
        </w:tabs>
        <w:ind w:firstLine="630"/>
        <w:rPr>
          <w:rFonts w:ascii="宋体" w:cs="Arial"/>
          <w:color w:val="auto"/>
          <w:sz w:val="22"/>
          <w:highlight w:val="none"/>
        </w:rPr>
      </w:pPr>
      <w:r>
        <w:rPr>
          <w:rFonts w:ascii="宋体" w:cs="Arial"/>
          <w:color w:val="auto"/>
          <w:sz w:val="22"/>
          <w:highlight w:val="none"/>
        </w:rPr>
        <w:t>4</w:t>
      </w:r>
      <w:r>
        <w:rPr>
          <w:rFonts w:hint="eastAsia" w:ascii="宋体" w:cs="Arial"/>
          <w:color w:val="auto"/>
          <w:sz w:val="22"/>
          <w:highlight w:val="none"/>
        </w:rPr>
        <w:t>.根据《中华人民共和国政府采购法实施条例 》第四十三条规定，在中标或者成交公告的内容中可能增加本表，请各供应商认真填写，确保报价数据的真实性、完整性和合理性。</w:t>
      </w:r>
    </w:p>
    <w:p w14:paraId="239D9C16">
      <w:pPr>
        <w:ind w:firstLine="630"/>
        <w:rPr>
          <w:rFonts w:ascii="宋体" w:hAnsi="宋体" w:cs="宋体"/>
          <w:b/>
          <w:bCs/>
          <w:color w:val="auto"/>
          <w:sz w:val="22"/>
          <w:highlight w:val="none"/>
          <w:u w:val="single"/>
        </w:rPr>
      </w:pPr>
      <w:r>
        <w:rPr>
          <w:rFonts w:hint="eastAsia" w:ascii="宋体" w:cs="Arial"/>
          <w:color w:val="auto"/>
          <w:sz w:val="22"/>
          <w:highlight w:val="none"/>
        </w:rPr>
        <w:t>5.</w:t>
      </w:r>
      <w:r>
        <w:rPr>
          <w:rFonts w:hint="eastAsia" w:ascii="宋体" w:hAnsi="宋体" w:cs="宋体"/>
          <w:b/>
          <w:bCs/>
          <w:color w:val="auto"/>
          <w:sz w:val="22"/>
          <w:highlight w:val="none"/>
          <w:u w:val="single"/>
        </w:rPr>
        <w:t>▲中标后，以上投标单价将按投标供应商最终报价同比例下浮（采购人若有变更采购需求的情况除外），供应商报价时应注意各个分项报价。</w:t>
      </w:r>
    </w:p>
    <w:p w14:paraId="0ABCB1F1">
      <w:pPr>
        <w:ind w:firstLine="630"/>
        <w:rPr>
          <w:color w:val="auto"/>
          <w:sz w:val="22"/>
          <w:highlight w:val="none"/>
          <w:u w:val="single"/>
        </w:rPr>
      </w:pPr>
      <w:r>
        <w:rPr>
          <w:rFonts w:hint="eastAsia" w:ascii="宋体" w:cs="Arial"/>
          <w:color w:val="auto"/>
          <w:sz w:val="22"/>
          <w:highlight w:val="none"/>
        </w:rPr>
        <w:t xml:space="preserve">6.表格可以延续。      </w:t>
      </w:r>
      <w:r>
        <w:rPr>
          <w:rFonts w:hint="eastAsia"/>
          <w:color w:val="auto"/>
          <w:sz w:val="22"/>
          <w:highlight w:val="none"/>
        </w:rPr>
        <w:t xml:space="preserve">      </w:t>
      </w:r>
      <w:r>
        <w:rPr>
          <w:rFonts w:hint="eastAsia" w:ascii="宋体" w:cs="Arial"/>
          <w:color w:val="auto"/>
          <w:sz w:val="22"/>
          <w:highlight w:val="none"/>
        </w:rPr>
        <w:t xml:space="preserve">    </w:t>
      </w:r>
      <w:r>
        <w:rPr>
          <w:rFonts w:hint="eastAsia"/>
          <w:color w:val="auto"/>
          <w:sz w:val="22"/>
          <w:highlight w:val="none"/>
        </w:rPr>
        <w:t xml:space="preserve">      </w:t>
      </w:r>
    </w:p>
    <w:p w14:paraId="6DD36B2E">
      <w:pPr>
        <w:tabs>
          <w:tab w:val="left" w:pos="2352"/>
        </w:tabs>
        <w:spacing w:line="440" w:lineRule="atLeast"/>
        <w:rPr>
          <w:rFonts w:hAnsi="宋体"/>
          <w:b/>
          <w:bCs/>
          <w:color w:val="auto"/>
          <w:sz w:val="22"/>
          <w:highlight w:val="none"/>
        </w:rPr>
      </w:pPr>
      <w:r>
        <w:rPr>
          <w:rFonts w:hint="eastAsia" w:hAnsi="宋体"/>
          <w:color w:val="auto"/>
          <w:sz w:val="22"/>
          <w:highlight w:val="none"/>
        </w:rPr>
        <w:t>供应商全称：（盖章）</w:t>
      </w:r>
    </w:p>
    <w:p w14:paraId="7A28A9CD">
      <w:pPr>
        <w:tabs>
          <w:tab w:val="left" w:pos="2352"/>
        </w:tabs>
        <w:spacing w:line="440" w:lineRule="atLeast"/>
        <w:rPr>
          <w:rFonts w:hAnsi="宋体"/>
          <w:color w:val="auto"/>
          <w:sz w:val="22"/>
          <w:highlight w:val="none"/>
          <w:lang w:val="zh-CN"/>
        </w:rPr>
      </w:pPr>
      <w:r>
        <w:rPr>
          <w:rFonts w:hint="eastAsia" w:hAnsi="宋体"/>
          <w:color w:val="auto"/>
          <w:sz w:val="22"/>
          <w:highlight w:val="none"/>
        </w:rPr>
        <w:t>法定代表人（签字或盖章）或</w:t>
      </w:r>
      <w:r>
        <w:rPr>
          <w:rFonts w:hint="eastAsia" w:hAnsi="宋体"/>
          <w:color w:val="auto"/>
          <w:sz w:val="22"/>
          <w:highlight w:val="none"/>
          <w:lang w:val="zh-CN"/>
        </w:rPr>
        <w:t>授权代表（签字）：</w:t>
      </w:r>
    </w:p>
    <w:p w14:paraId="4BB6F96B">
      <w:pPr>
        <w:tabs>
          <w:tab w:val="left" w:pos="2352"/>
        </w:tabs>
        <w:spacing w:line="440" w:lineRule="atLeast"/>
        <w:rPr>
          <w:rFonts w:hAnsi="宋体"/>
          <w:color w:val="auto"/>
          <w:sz w:val="22"/>
          <w:highlight w:val="none"/>
        </w:rPr>
      </w:pPr>
      <w:r>
        <w:rPr>
          <w:rFonts w:hint="eastAsia" w:hAnsi="宋体"/>
          <w:color w:val="auto"/>
          <w:sz w:val="22"/>
          <w:highlight w:val="none"/>
        </w:rPr>
        <w:t>日期：</w:t>
      </w:r>
    </w:p>
    <w:p w14:paraId="21E3B3C9">
      <w:pPr>
        <w:tabs>
          <w:tab w:val="left" w:pos="1069"/>
          <w:tab w:val="left" w:pos="2352"/>
        </w:tabs>
        <w:snapToGrid w:val="0"/>
        <w:spacing w:line="440" w:lineRule="exact"/>
        <w:rPr>
          <w:rFonts w:ascii="宋体" w:hAnsi="宋体" w:cs="宋体"/>
          <w:b/>
          <w:bCs/>
          <w:color w:val="auto"/>
          <w:sz w:val="22"/>
          <w:highlight w:val="none"/>
        </w:rPr>
      </w:pPr>
    </w:p>
    <w:p w14:paraId="483BB153">
      <w:pPr>
        <w:tabs>
          <w:tab w:val="left" w:pos="1069"/>
          <w:tab w:val="left" w:pos="2352"/>
        </w:tabs>
        <w:snapToGrid w:val="0"/>
        <w:spacing w:line="440" w:lineRule="exact"/>
        <w:rPr>
          <w:rFonts w:ascii="宋体" w:hAnsi="宋体" w:cs="宋体"/>
          <w:b/>
          <w:bCs/>
          <w:color w:val="auto"/>
          <w:sz w:val="22"/>
          <w:highlight w:val="none"/>
        </w:rPr>
      </w:pPr>
    </w:p>
    <w:p w14:paraId="186DA022">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二</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部分投标文件格式</w:t>
      </w:r>
    </w:p>
    <w:p w14:paraId="6CC61BBA">
      <w:pPr>
        <w:pStyle w:val="8"/>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资格</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4AC981F0">
      <w:pPr>
        <w:tabs>
          <w:tab w:val="left" w:pos="1069"/>
          <w:tab w:val="left" w:pos="2352"/>
        </w:tabs>
        <w:spacing w:line="480" w:lineRule="auto"/>
        <w:jc w:val="center"/>
        <w:rPr>
          <w:rFonts w:ascii="宋体" w:hAnsi="宋体" w:cs="宋体"/>
          <w:b/>
          <w:color w:val="auto"/>
          <w:sz w:val="64"/>
          <w:szCs w:val="64"/>
          <w:highlight w:val="none"/>
        </w:rPr>
      </w:pPr>
    </w:p>
    <w:p w14:paraId="6E1F9329">
      <w:pPr>
        <w:tabs>
          <w:tab w:val="left" w:pos="1069"/>
          <w:tab w:val="left" w:pos="2352"/>
        </w:tabs>
        <w:spacing w:line="480" w:lineRule="auto"/>
        <w:jc w:val="center"/>
        <w:rPr>
          <w:rFonts w:ascii="宋体" w:hAnsi="宋体" w:cs="宋体"/>
          <w:b/>
          <w:color w:val="auto"/>
          <w:sz w:val="64"/>
          <w:szCs w:val="64"/>
          <w:highlight w:val="none"/>
        </w:rPr>
      </w:pPr>
      <w:r>
        <w:rPr>
          <w:rFonts w:hint="eastAsia" w:ascii="宋体" w:hAnsi="宋体" w:cs="宋体"/>
          <w:b/>
          <w:color w:val="auto"/>
          <w:sz w:val="64"/>
          <w:szCs w:val="64"/>
          <w:highlight w:val="none"/>
        </w:rPr>
        <w:t>2024年泰顺县森林资源动态监测与评价</w:t>
      </w:r>
    </w:p>
    <w:p w14:paraId="0DF32C73">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08190D08">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（资 格 部 分）</w:t>
      </w:r>
    </w:p>
    <w:p w14:paraId="3304B34C">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5A1C4739">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6"/>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06AD038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2E93EF0">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TSCG202409011</w:t>
            </w:r>
          </w:p>
        </w:tc>
      </w:tr>
      <w:tr w14:paraId="4528479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D7B96BB">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采购单位：泰顺县自然资源和规划局</w:t>
            </w:r>
          </w:p>
        </w:tc>
      </w:tr>
      <w:tr w14:paraId="69DFB39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CEF4C82">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供应商名称（盖章）：</w:t>
            </w:r>
          </w:p>
        </w:tc>
      </w:tr>
      <w:tr w14:paraId="1B30018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F2580B5">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5DABBE3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678B92D">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75BBC29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3F8B896">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37D84C49">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7EEC5387">
      <w:pPr>
        <w:tabs>
          <w:tab w:val="left" w:pos="1069"/>
          <w:tab w:val="left" w:pos="2352"/>
        </w:tabs>
        <w:autoSpaceDE w:val="0"/>
        <w:autoSpaceDN w:val="0"/>
        <w:adjustRightInd w:val="0"/>
        <w:spacing w:line="460" w:lineRule="atLeast"/>
        <w:rPr>
          <w:rFonts w:ascii="宋体" w:hAnsi="宋体" w:cs="宋体"/>
          <w:b/>
          <w:bCs/>
          <w:color w:val="auto"/>
          <w:sz w:val="30"/>
          <w:highlight w:val="none"/>
          <w:lang w:val="zh-CN"/>
        </w:rPr>
      </w:pPr>
    </w:p>
    <w:p w14:paraId="1C592F71">
      <w:pPr>
        <w:pStyle w:val="5"/>
        <w:tabs>
          <w:tab w:val="left" w:pos="1069"/>
          <w:tab w:val="left" w:pos="2352"/>
        </w:tabs>
        <w:rPr>
          <w:rFonts w:ascii="宋体" w:hAnsi="宋体" w:cs="宋体"/>
          <w:b/>
          <w:bCs/>
          <w:color w:val="auto"/>
          <w:sz w:val="30"/>
          <w:highlight w:val="none"/>
          <w:lang w:val="zh-CN"/>
        </w:rPr>
      </w:pPr>
    </w:p>
    <w:p w14:paraId="0B32E99E">
      <w:pPr>
        <w:tabs>
          <w:tab w:val="left" w:pos="1069"/>
          <w:tab w:val="left" w:pos="2352"/>
        </w:tabs>
        <w:rPr>
          <w:color w:val="auto"/>
          <w:highlight w:val="none"/>
          <w:lang w:val="zh-CN"/>
        </w:rPr>
      </w:pPr>
    </w:p>
    <w:p w14:paraId="4707E18B">
      <w:pPr>
        <w:tabs>
          <w:tab w:val="left" w:pos="1069"/>
          <w:tab w:val="left" w:pos="2352"/>
        </w:tabs>
        <w:autoSpaceDE w:val="0"/>
        <w:autoSpaceDN w:val="0"/>
        <w:adjustRightInd w:val="0"/>
        <w:spacing w:line="460" w:lineRule="atLeast"/>
        <w:rPr>
          <w:rFonts w:ascii="宋体" w:hAnsi="宋体" w:cs="宋体"/>
          <w:color w:val="auto"/>
          <w:sz w:val="30"/>
          <w:highlight w:val="none"/>
          <w:lang w:val="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rPr>
        <w:t>三</w:t>
      </w:r>
    </w:p>
    <w:p w14:paraId="2C61F808">
      <w:pPr>
        <w:autoSpaceDE w:val="0"/>
        <w:autoSpaceDN w:val="0"/>
        <w:adjustRightInd w:val="0"/>
        <w:spacing w:line="460" w:lineRule="atLeast"/>
        <w:jc w:val="center"/>
        <w:rPr>
          <w:rFonts w:asciiTheme="majorEastAsia" w:hAnsiTheme="majorEastAsia" w:eastAsiaTheme="majorEastAsia" w:cstheme="majorEastAsia"/>
          <w:b/>
          <w:bCs/>
          <w:color w:val="auto"/>
          <w:sz w:val="30"/>
          <w:highlight w:val="none"/>
          <w:lang w:val="zh-CN"/>
        </w:rPr>
      </w:pPr>
      <w:bookmarkStart w:id="66" w:name="_Toc10630"/>
      <w:bookmarkStart w:id="67" w:name="_Toc27119255"/>
      <w:bookmarkStart w:id="68" w:name="_Toc11360"/>
      <w:bookmarkStart w:id="69" w:name="_Toc31544"/>
      <w:bookmarkStart w:id="70" w:name="_Toc6606"/>
      <w:bookmarkStart w:id="71" w:name="_Toc13669"/>
      <w:bookmarkStart w:id="72" w:name="_Toc31784"/>
      <w:bookmarkStart w:id="73" w:name="_Toc33194406"/>
      <w:bookmarkStart w:id="74" w:name="_Toc28957"/>
      <w:bookmarkStart w:id="75" w:name="_Toc18304"/>
      <w:bookmarkStart w:id="76" w:name="_Toc14988"/>
      <w:bookmarkStart w:id="77" w:name="_Toc14589"/>
      <w:r>
        <w:rPr>
          <w:rFonts w:hint="eastAsia" w:asciiTheme="majorEastAsia" w:hAnsiTheme="majorEastAsia" w:eastAsiaTheme="majorEastAsia" w:cstheme="majorEastAsia"/>
          <w:b/>
          <w:bCs/>
          <w:color w:val="auto"/>
          <w:sz w:val="30"/>
          <w:highlight w:val="none"/>
          <w:lang w:val="zh-CN"/>
        </w:rPr>
        <w:t>符合参加政府采购活动应当具备的一般条件的承诺函</w:t>
      </w:r>
    </w:p>
    <w:p w14:paraId="000630EA">
      <w:pPr>
        <w:snapToGrid w:val="0"/>
        <w:spacing w:line="360" w:lineRule="auto"/>
        <w:rPr>
          <w:rFonts w:ascii="宋体" w:hAnsi="宋体" w:cs="宋体"/>
          <w:color w:val="auto"/>
          <w:sz w:val="22"/>
          <w:highlight w:val="none"/>
          <w:u w:val="single"/>
        </w:rPr>
      </w:pPr>
    </w:p>
    <w:p w14:paraId="54588580">
      <w:pPr>
        <w:snapToGrid w:val="0"/>
        <w:spacing w:line="360" w:lineRule="auto"/>
        <w:rPr>
          <w:rFonts w:ascii="宋体" w:hAnsi="宋体" w:cs="宋体"/>
          <w:bCs/>
          <w:color w:val="auto"/>
          <w:sz w:val="22"/>
          <w:highlight w:val="none"/>
        </w:rPr>
      </w:pPr>
      <w:r>
        <w:rPr>
          <w:rFonts w:hint="eastAsia" w:ascii="宋体" w:hAnsi="宋体" w:cs="宋体"/>
          <w:bCs/>
          <w:color w:val="auto"/>
          <w:sz w:val="22"/>
          <w:highlight w:val="none"/>
          <w:u w:val="single"/>
        </w:rPr>
        <w:t>泰顺县自然资源和规划局、杭州华旗招标代理有限公司</w:t>
      </w:r>
      <w:r>
        <w:rPr>
          <w:rFonts w:hint="eastAsia" w:ascii="宋体" w:hAnsi="宋体" w:cs="宋体"/>
          <w:bCs/>
          <w:color w:val="auto"/>
          <w:sz w:val="22"/>
          <w:highlight w:val="none"/>
        </w:rPr>
        <w:t>：</w:t>
      </w:r>
    </w:p>
    <w:p w14:paraId="73AC2866">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我方参与</w:t>
      </w:r>
      <w:r>
        <w:rPr>
          <w:rFonts w:hint="eastAsia" w:ascii="宋体" w:hAnsi="宋体" w:cs="宋体"/>
          <w:bCs/>
          <w:color w:val="auto"/>
          <w:sz w:val="22"/>
          <w:highlight w:val="none"/>
          <w:u w:val="single"/>
        </w:rPr>
        <w:t xml:space="preserve">  2024年泰顺县森林资源动态监测与评价</w:t>
      </w:r>
      <w:r>
        <w:rPr>
          <w:rFonts w:hint="eastAsia" w:ascii="宋体" w:cs="宋体"/>
          <w:bCs/>
          <w:color w:val="auto"/>
          <w:sz w:val="22"/>
          <w:highlight w:val="none"/>
          <w:u w:val="single"/>
        </w:rPr>
        <w:t xml:space="preserve"> </w:t>
      </w:r>
      <w:r>
        <w:rPr>
          <w:rFonts w:hint="eastAsia" w:ascii="宋体" w:hAnsi="宋体" w:cs="宋体"/>
          <w:bCs/>
          <w:color w:val="auto"/>
          <w:sz w:val="22"/>
          <w:highlight w:val="none"/>
          <w:u w:val="single"/>
        </w:rPr>
        <w:t>（项目编号：</w:t>
      </w:r>
      <w:r>
        <w:rPr>
          <w:rFonts w:hint="eastAsia" w:ascii="宋体" w:cs="宋体"/>
          <w:bCs/>
          <w:color w:val="auto"/>
          <w:sz w:val="22"/>
          <w:highlight w:val="none"/>
          <w:u w:val="single"/>
          <w:lang w:eastAsia="zh-CN"/>
        </w:rPr>
        <w:t>TSCG202409011</w:t>
      </w:r>
      <w:r>
        <w:rPr>
          <w:rFonts w:hint="eastAsia" w:ascii="宋体" w:hAnsi="宋体" w:cs="宋体"/>
          <w:bCs/>
          <w:color w:val="auto"/>
          <w:sz w:val="22"/>
          <w:highlight w:val="none"/>
          <w:u w:val="single"/>
        </w:rPr>
        <w:t>）</w:t>
      </w:r>
      <w:r>
        <w:rPr>
          <w:rFonts w:hint="eastAsia" w:ascii="宋体" w:hAnsi="宋体" w:cs="宋体"/>
          <w:bCs/>
          <w:color w:val="auto"/>
          <w:sz w:val="22"/>
          <w:highlight w:val="none"/>
        </w:rPr>
        <w:t>政府采购活动，郑重承诺：</w:t>
      </w:r>
    </w:p>
    <w:p w14:paraId="325EA60F">
      <w:pPr>
        <w:snapToGrid w:val="0"/>
        <w:spacing w:line="360" w:lineRule="auto"/>
        <w:ind w:firstLine="334" w:firstLineChars="150"/>
        <w:rPr>
          <w:rFonts w:ascii="宋体" w:hAnsi="宋体" w:cs="宋体"/>
          <w:bCs/>
          <w:color w:val="auto"/>
          <w:sz w:val="22"/>
          <w:highlight w:val="none"/>
        </w:rPr>
      </w:pPr>
      <w:r>
        <w:rPr>
          <w:rFonts w:hint="eastAsia" w:ascii="宋体" w:hAnsi="宋体" w:cs="宋体"/>
          <w:bCs/>
          <w:color w:val="auto"/>
          <w:sz w:val="22"/>
          <w:highlight w:val="none"/>
        </w:rPr>
        <w:t>（一）具备《中华人民共和国政府采购法》第二十二条规定的条件：</w:t>
      </w:r>
    </w:p>
    <w:p w14:paraId="3DD8FEB0">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1、具有独立承担民事责任的能力；</w:t>
      </w:r>
    </w:p>
    <w:p w14:paraId="6B83355F">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 xml:space="preserve">2、具有良好的商业信誉和健全的财务会计制度； </w:t>
      </w:r>
    </w:p>
    <w:p w14:paraId="437F284C">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3、具有履行合同所必需的设备和专业技术能力；</w:t>
      </w:r>
    </w:p>
    <w:p w14:paraId="32ED00C9">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4、有依法缴纳税收和社会保障资金的良好记录；</w:t>
      </w:r>
    </w:p>
    <w:p w14:paraId="251EDFCC">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5、参加政府采购活动前三年内，在经营活动中没有重大违法记录；</w:t>
      </w:r>
    </w:p>
    <w:p w14:paraId="7AAD950F">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6、具有法律、行政法规规定的其他条件。</w:t>
      </w:r>
    </w:p>
    <w:p w14:paraId="2D6620D3">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二）未被信用中国（www.creditchina.gov.cn)、中国政府采购网（www.ccgp.gov.cn）列入失信被执行人、重大税收违法案件当事人名单、政府采购严重违法失信行为记录名单（没有因违法经营受到刑事处罚，没有被责令停产停业、被吊销许可证或者执照、被处以较大数额罚款等行政处罚，没有因违法经营被禁止参加政府采购活动的期限未满情形）。</w:t>
      </w:r>
    </w:p>
    <w:p w14:paraId="4309FD5E">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（三）不存在以下情况：</w:t>
      </w:r>
    </w:p>
    <w:p w14:paraId="5BC2EAD1">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1、单位负责人为同一人或者存在直接控股、管理关系的不同供应商参加同一合同项下的政府采购活动的；</w:t>
      </w:r>
    </w:p>
    <w:p w14:paraId="3F596497">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2、为采购项目提供整体设计、规范编制或者项目管理、监理、检测等服务后再参加该采购项目的其他采购活动的。</w:t>
      </w:r>
    </w:p>
    <w:p w14:paraId="0FAC1C8A">
      <w:pPr>
        <w:snapToGrid w:val="0"/>
        <w:spacing w:line="360" w:lineRule="auto"/>
        <w:ind w:firstLine="446" w:firstLineChars="200"/>
        <w:rPr>
          <w:rFonts w:ascii="宋体" w:hAnsi="宋体" w:cs="宋体"/>
          <w:bCs/>
          <w:color w:val="auto"/>
          <w:sz w:val="22"/>
          <w:highlight w:val="none"/>
        </w:rPr>
      </w:pPr>
      <w:r>
        <w:rPr>
          <w:rFonts w:hint="eastAsia" w:ascii="宋体" w:hAnsi="宋体" w:cs="宋体"/>
          <w:bCs/>
          <w:color w:val="auto"/>
          <w:sz w:val="22"/>
          <w:highlight w:val="none"/>
        </w:rPr>
        <w:t>（四）如有虚假，采购人可取消我方任何资格（投标/中标/签订合同），我方对此无任何异议。</w:t>
      </w:r>
    </w:p>
    <w:p w14:paraId="65BE269C">
      <w:pPr>
        <w:spacing w:line="440" w:lineRule="exact"/>
        <w:ind w:firstLine="4460" w:firstLineChars="2000"/>
        <w:rPr>
          <w:rFonts w:ascii="宋体" w:hAnsi="宋体" w:cs="宋体"/>
          <w:bCs/>
          <w:color w:val="auto"/>
          <w:sz w:val="22"/>
          <w:highlight w:val="none"/>
        </w:rPr>
      </w:pPr>
    </w:p>
    <w:p w14:paraId="5316C6A2">
      <w:pPr>
        <w:spacing w:line="440" w:lineRule="exact"/>
        <w:ind w:firstLine="4906" w:firstLineChars="2200"/>
        <w:rPr>
          <w:rFonts w:ascii="宋体" w:hAnsi="宋体" w:cs="宋体"/>
          <w:bCs/>
          <w:color w:val="auto"/>
          <w:sz w:val="22"/>
          <w:highlight w:val="none"/>
        </w:rPr>
      </w:pPr>
      <w:r>
        <w:rPr>
          <w:rFonts w:hint="eastAsia" w:ascii="宋体" w:hAnsi="宋体" w:cs="宋体"/>
          <w:bCs/>
          <w:color w:val="auto"/>
          <w:sz w:val="22"/>
          <w:highlight w:val="none"/>
        </w:rPr>
        <w:t>供应商名称（公章）：</w:t>
      </w:r>
    </w:p>
    <w:p w14:paraId="673DE8A4">
      <w:pPr>
        <w:spacing w:line="440" w:lineRule="exact"/>
        <w:jc w:val="center"/>
        <w:rPr>
          <w:rFonts w:ascii="宋体" w:hAnsi="宋体" w:cs="宋体"/>
          <w:bCs/>
          <w:color w:val="auto"/>
          <w:sz w:val="22"/>
          <w:highlight w:val="none"/>
        </w:rPr>
      </w:pPr>
      <w:r>
        <w:rPr>
          <w:rFonts w:hint="eastAsia" w:ascii="宋体" w:hAnsi="宋体" w:cs="宋体"/>
          <w:bCs/>
          <w:color w:val="auto"/>
          <w:sz w:val="22"/>
          <w:highlight w:val="none"/>
        </w:rPr>
        <w:t xml:space="preserve">                       日期：  年  月  日</w:t>
      </w:r>
    </w:p>
    <w:p w14:paraId="7C156BFF">
      <w:pPr>
        <w:spacing w:line="440" w:lineRule="exact"/>
        <w:jc w:val="center"/>
        <w:rPr>
          <w:rFonts w:ascii="宋体" w:hAnsi="宋体" w:cs="宋体"/>
          <w:bCs/>
          <w:color w:val="auto"/>
          <w:sz w:val="22"/>
          <w:highlight w:val="none"/>
        </w:rPr>
      </w:pPr>
    </w:p>
    <w:p w14:paraId="09AA8AFE">
      <w:pPr>
        <w:snapToGrid w:val="0"/>
        <w:spacing w:line="360" w:lineRule="auto"/>
        <w:ind w:right="480" w:firstLine="446" w:firstLineChars="200"/>
        <w:jc w:val="left"/>
        <w:rPr>
          <w:rFonts w:ascii="宋体" w:hAnsi="宋体" w:cs="宋体"/>
          <w:bCs/>
          <w:color w:val="auto"/>
          <w:sz w:val="22"/>
          <w:highlight w:val="none"/>
        </w:rPr>
      </w:pPr>
      <w:r>
        <w:rPr>
          <w:rFonts w:hint="eastAsia" w:ascii="宋体" w:hAnsi="宋体" w:cs="宋体"/>
          <w:bCs/>
          <w:color w:val="auto"/>
          <w:sz w:val="22"/>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宋体"/>
          <w:bCs/>
          <w:color w:val="auto"/>
          <w:sz w:val="22"/>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78C42897">
      <w:pPr>
        <w:rPr>
          <w:rFonts w:ascii="宋体" w:hAnsi="宋体" w:cs="宋体"/>
          <w:bCs/>
          <w:color w:val="auto"/>
          <w:sz w:val="22"/>
          <w:highlight w:val="none"/>
        </w:rPr>
      </w:pPr>
    </w:p>
    <w:p w14:paraId="5A10FDB8">
      <w:pPr>
        <w:rPr>
          <w:color w:val="auto"/>
          <w:sz w:val="130"/>
          <w:szCs w:val="130"/>
          <w:highlight w:val="none"/>
        </w:rPr>
      </w:pPr>
    </w:p>
    <w:p w14:paraId="519A177C">
      <w:pPr>
        <w:tabs>
          <w:tab w:val="left" w:pos="1069"/>
          <w:tab w:val="left" w:pos="2352"/>
        </w:tabs>
        <w:autoSpaceDE w:val="0"/>
        <w:autoSpaceDN w:val="0"/>
        <w:adjustRightInd w:val="0"/>
        <w:spacing w:line="460" w:lineRule="atLeast"/>
        <w:rPr>
          <w:rFonts w:ascii="宋体" w:hAnsi="宋体" w:cs="宋体"/>
          <w:color w:val="auto"/>
          <w:sz w:val="36"/>
          <w:highlight w:val="none"/>
        </w:rPr>
      </w:pPr>
    </w:p>
    <w:p w14:paraId="033A0D7C">
      <w:pPr>
        <w:tabs>
          <w:tab w:val="left" w:pos="1069"/>
          <w:tab w:val="left" w:pos="2352"/>
        </w:tabs>
        <w:autoSpaceDE w:val="0"/>
        <w:autoSpaceDN w:val="0"/>
        <w:adjustRightInd w:val="0"/>
        <w:spacing w:line="460" w:lineRule="atLeast"/>
        <w:rPr>
          <w:rFonts w:ascii="宋体" w:hAnsi="宋体" w:cs="宋体"/>
          <w:color w:val="auto"/>
          <w:sz w:val="36"/>
          <w:highlight w:val="none"/>
        </w:rPr>
      </w:pPr>
    </w:p>
    <w:bookmarkEnd w:id="66"/>
    <w:bookmarkEnd w:id="67"/>
    <w:bookmarkEnd w:id="68"/>
    <w:bookmarkEnd w:id="69"/>
    <w:bookmarkEnd w:id="70"/>
    <w:bookmarkEnd w:id="71"/>
    <w:bookmarkEnd w:id="72"/>
    <w:bookmarkEnd w:id="73"/>
    <w:bookmarkEnd w:id="74"/>
    <w:bookmarkEnd w:id="75"/>
    <w:bookmarkEnd w:id="76"/>
    <w:bookmarkEnd w:id="77"/>
    <w:p w14:paraId="4A4CE4F5">
      <w:pPr>
        <w:tabs>
          <w:tab w:val="left" w:pos="1069"/>
          <w:tab w:val="left" w:pos="2352"/>
        </w:tabs>
        <w:spacing w:line="360" w:lineRule="exact"/>
        <w:jc w:val="left"/>
        <w:rPr>
          <w:rFonts w:ascii="宋体" w:hAnsi="宋体" w:cs="宋体"/>
          <w:b/>
          <w:bCs/>
          <w:color w:val="auto"/>
          <w:sz w:val="32"/>
          <w:szCs w:val="32"/>
          <w:highlight w:val="none"/>
        </w:rPr>
      </w:pPr>
    </w:p>
    <w:p w14:paraId="22EE635B">
      <w:pPr>
        <w:tabs>
          <w:tab w:val="left" w:pos="1069"/>
          <w:tab w:val="left" w:pos="2352"/>
        </w:tabs>
        <w:spacing w:line="360" w:lineRule="exact"/>
        <w:jc w:val="left"/>
        <w:rPr>
          <w:rFonts w:ascii="宋体" w:hAnsi="宋体" w:cs="宋体"/>
          <w:b/>
          <w:bCs/>
          <w:color w:val="auto"/>
          <w:sz w:val="30"/>
          <w:highlight w:val="none"/>
        </w:rPr>
      </w:pPr>
    </w:p>
    <w:p w14:paraId="51FC8DA1">
      <w:pPr>
        <w:tabs>
          <w:tab w:val="left" w:pos="1069"/>
          <w:tab w:val="left" w:pos="2352"/>
        </w:tabs>
        <w:spacing w:line="360" w:lineRule="exact"/>
        <w:jc w:val="left"/>
        <w:rPr>
          <w:rFonts w:ascii="宋体" w:hAnsi="宋体" w:cs="宋体"/>
          <w:b/>
          <w:bCs/>
          <w:color w:val="auto"/>
          <w:sz w:val="30"/>
          <w:highlight w:val="none"/>
        </w:rPr>
      </w:pPr>
    </w:p>
    <w:p w14:paraId="67166CA9">
      <w:pPr>
        <w:tabs>
          <w:tab w:val="left" w:pos="1069"/>
          <w:tab w:val="left" w:pos="2352"/>
        </w:tabs>
        <w:spacing w:line="360" w:lineRule="exact"/>
        <w:jc w:val="left"/>
        <w:rPr>
          <w:rFonts w:ascii="宋体" w:hAnsi="宋体" w:cs="宋体"/>
          <w:b/>
          <w:bCs/>
          <w:color w:val="auto"/>
          <w:sz w:val="30"/>
          <w:highlight w:val="none"/>
        </w:rPr>
      </w:pPr>
    </w:p>
    <w:p w14:paraId="157CD0B6">
      <w:pPr>
        <w:tabs>
          <w:tab w:val="left" w:pos="1069"/>
          <w:tab w:val="left" w:pos="2352"/>
        </w:tabs>
        <w:spacing w:line="360" w:lineRule="exact"/>
        <w:jc w:val="left"/>
        <w:rPr>
          <w:rFonts w:ascii="宋体" w:hAnsi="宋体" w:cs="宋体"/>
          <w:b/>
          <w:bCs/>
          <w:color w:val="auto"/>
          <w:sz w:val="30"/>
          <w:highlight w:val="none"/>
        </w:rPr>
      </w:pPr>
    </w:p>
    <w:p w14:paraId="6B3B34A0">
      <w:pPr>
        <w:tabs>
          <w:tab w:val="left" w:pos="1069"/>
          <w:tab w:val="left" w:pos="2352"/>
        </w:tabs>
        <w:spacing w:line="360" w:lineRule="exact"/>
        <w:jc w:val="left"/>
        <w:rPr>
          <w:rFonts w:ascii="宋体" w:hAnsi="宋体" w:cs="宋体"/>
          <w:b/>
          <w:bCs/>
          <w:color w:val="auto"/>
          <w:sz w:val="30"/>
          <w:highlight w:val="none"/>
        </w:rPr>
      </w:pPr>
    </w:p>
    <w:p w14:paraId="31CE327B">
      <w:pPr>
        <w:tabs>
          <w:tab w:val="left" w:pos="1069"/>
          <w:tab w:val="left" w:pos="2352"/>
        </w:tabs>
        <w:spacing w:line="360" w:lineRule="exact"/>
        <w:jc w:val="left"/>
        <w:rPr>
          <w:rFonts w:ascii="宋体" w:hAnsi="宋体" w:cs="宋体"/>
          <w:b/>
          <w:bCs/>
          <w:color w:val="auto"/>
          <w:sz w:val="30"/>
          <w:highlight w:val="none"/>
        </w:rPr>
      </w:pPr>
    </w:p>
    <w:p w14:paraId="3FA08C3B">
      <w:pPr>
        <w:tabs>
          <w:tab w:val="left" w:pos="1069"/>
          <w:tab w:val="left" w:pos="2352"/>
        </w:tabs>
        <w:spacing w:line="360" w:lineRule="exact"/>
        <w:jc w:val="left"/>
        <w:rPr>
          <w:rFonts w:ascii="宋体" w:hAnsi="宋体" w:cs="宋体"/>
          <w:b/>
          <w:bCs/>
          <w:color w:val="auto"/>
          <w:sz w:val="30"/>
          <w:highlight w:val="none"/>
        </w:rPr>
      </w:pPr>
    </w:p>
    <w:p w14:paraId="6CEDBC38">
      <w:pPr>
        <w:tabs>
          <w:tab w:val="left" w:pos="1069"/>
          <w:tab w:val="left" w:pos="2352"/>
        </w:tabs>
        <w:spacing w:line="360" w:lineRule="exact"/>
        <w:jc w:val="left"/>
        <w:rPr>
          <w:rFonts w:ascii="宋体" w:hAnsi="宋体" w:cs="宋体"/>
          <w:b/>
          <w:bCs/>
          <w:color w:val="auto"/>
          <w:sz w:val="30"/>
          <w:highlight w:val="none"/>
        </w:rPr>
      </w:pPr>
    </w:p>
    <w:p w14:paraId="3CF5F92B">
      <w:pPr>
        <w:tabs>
          <w:tab w:val="left" w:pos="1069"/>
          <w:tab w:val="left" w:pos="2352"/>
        </w:tabs>
        <w:spacing w:line="360" w:lineRule="exact"/>
        <w:jc w:val="left"/>
        <w:rPr>
          <w:rFonts w:ascii="宋体" w:hAnsi="宋体" w:cs="宋体"/>
          <w:b/>
          <w:bCs/>
          <w:color w:val="auto"/>
          <w:sz w:val="30"/>
          <w:highlight w:val="none"/>
        </w:rPr>
      </w:pPr>
    </w:p>
    <w:p w14:paraId="0AA50D39">
      <w:pPr>
        <w:tabs>
          <w:tab w:val="left" w:pos="1069"/>
          <w:tab w:val="left" w:pos="2352"/>
        </w:tabs>
        <w:spacing w:line="360" w:lineRule="exact"/>
        <w:jc w:val="left"/>
        <w:rPr>
          <w:rFonts w:ascii="宋体" w:hAnsi="宋体" w:cs="宋体"/>
          <w:b/>
          <w:bCs/>
          <w:color w:val="auto"/>
          <w:sz w:val="30"/>
          <w:highlight w:val="none"/>
        </w:rPr>
      </w:pPr>
    </w:p>
    <w:p w14:paraId="08ACA0BC">
      <w:pPr>
        <w:tabs>
          <w:tab w:val="left" w:pos="1069"/>
          <w:tab w:val="left" w:pos="2352"/>
        </w:tabs>
        <w:spacing w:line="360" w:lineRule="exact"/>
        <w:jc w:val="left"/>
        <w:rPr>
          <w:rFonts w:ascii="宋体" w:hAnsi="宋体" w:cs="宋体"/>
          <w:b/>
          <w:bCs/>
          <w:color w:val="auto"/>
          <w:sz w:val="30"/>
          <w:highlight w:val="none"/>
        </w:rPr>
      </w:pPr>
    </w:p>
    <w:p w14:paraId="4EE4F036">
      <w:pPr>
        <w:tabs>
          <w:tab w:val="left" w:pos="1069"/>
          <w:tab w:val="left" w:pos="2352"/>
        </w:tabs>
        <w:spacing w:line="360" w:lineRule="exact"/>
        <w:jc w:val="left"/>
        <w:rPr>
          <w:rFonts w:ascii="宋体" w:hAnsi="宋体" w:cs="宋体"/>
          <w:b/>
          <w:bCs/>
          <w:color w:val="auto"/>
          <w:sz w:val="30"/>
          <w:highlight w:val="none"/>
        </w:rPr>
      </w:pPr>
    </w:p>
    <w:p w14:paraId="3BEB12BF">
      <w:pPr>
        <w:tabs>
          <w:tab w:val="left" w:pos="1069"/>
          <w:tab w:val="left" w:pos="2352"/>
        </w:tabs>
        <w:spacing w:line="360" w:lineRule="exact"/>
        <w:jc w:val="left"/>
        <w:rPr>
          <w:rFonts w:ascii="宋体" w:hAnsi="宋体" w:cs="宋体"/>
          <w:b/>
          <w:bCs/>
          <w:color w:val="auto"/>
          <w:sz w:val="30"/>
          <w:highlight w:val="none"/>
        </w:rPr>
      </w:pPr>
    </w:p>
    <w:p w14:paraId="4170F4EA">
      <w:pPr>
        <w:tabs>
          <w:tab w:val="left" w:pos="1069"/>
          <w:tab w:val="left" w:pos="2352"/>
        </w:tabs>
        <w:spacing w:line="360" w:lineRule="exact"/>
        <w:jc w:val="left"/>
        <w:rPr>
          <w:rFonts w:ascii="宋体" w:hAnsi="宋体" w:cs="宋体"/>
          <w:b/>
          <w:bCs/>
          <w:color w:val="auto"/>
          <w:sz w:val="30"/>
          <w:highlight w:val="none"/>
        </w:rPr>
      </w:pPr>
    </w:p>
    <w:p w14:paraId="1E18E80B">
      <w:pPr>
        <w:tabs>
          <w:tab w:val="left" w:pos="1069"/>
          <w:tab w:val="left" w:pos="2352"/>
        </w:tabs>
        <w:spacing w:line="360" w:lineRule="exact"/>
        <w:jc w:val="left"/>
        <w:rPr>
          <w:rFonts w:ascii="宋体" w:hAnsi="宋体" w:cs="宋体"/>
          <w:b/>
          <w:bCs/>
          <w:color w:val="auto"/>
          <w:sz w:val="30"/>
          <w:highlight w:val="none"/>
        </w:rPr>
      </w:pPr>
    </w:p>
    <w:p w14:paraId="447DF296">
      <w:pPr>
        <w:tabs>
          <w:tab w:val="left" w:pos="1069"/>
          <w:tab w:val="left" w:pos="2352"/>
        </w:tabs>
        <w:spacing w:line="360" w:lineRule="exact"/>
        <w:jc w:val="left"/>
        <w:rPr>
          <w:rFonts w:ascii="宋体" w:hAnsi="宋体" w:cs="宋体"/>
          <w:b/>
          <w:bCs/>
          <w:color w:val="auto"/>
          <w:sz w:val="30"/>
          <w:highlight w:val="none"/>
        </w:rPr>
      </w:pPr>
    </w:p>
    <w:p w14:paraId="4EA2EC51">
      <w:pPr>
        <w:tabs>
          <w:tab w:val="left" w:pos="1069"/>
          <w:tab w:val="left" w:pos="2352"/>
        </w:tabs>
        <w:spacing w:line="360" w:lineRule="exact"/>
        <w:jc w:val="left"/>
        <w:rPr>
          <w:rFonts w:ascii="宋体" w:hAnsi="宋体" w:cs="宋体"/>
          <w:b/>
          <w:bCs/>
          <w:color w:val="auto"/>
          <w:sz w:val="30"/>
          <w:highlight w:val="none"/>
        </w:rPr>
      </w:pPr>
    </w:p>
    <w:p w14:paraId="644466B6">
      <w:pPr>
        <w:tabs>
          <w:tab w:val="left" w:pos="1069"/>
          <w:tab w:val="left" w:pos="2352"/>
        </w:tabs>
        <w:spacing w:line="360" w:lineRule="exact"/>
        <w:jc w:val="left"/>
        <w:rPr>
          <w:rFonts w:ascii="宋体" w:hAnsi="宋体" w:cs="宋体"/>
          <w:b/>
          <w:bCs/>
          <w:color w:val="auto"/>
          <w:sz w:val="30"/>
          <w:highlight w:val="none"/>
        </w:rPr>
      </w:pPr>
    </w:p>
    <w:p w14:paraId="15153103">
      <w:pPr>
        <w:tabs>
          <w:tab w:val="left" w:pos="1069"/>
          <w:tab w:val="left" w:pos="2352"/>
        </w:tabs>
        <w:spacing w:line="360" w:lineRule="exact"/>
        <w:jc w:val="left"/>
        <w:rPr>
          <w:rFonts w:ascii="宋体" w:hAnsi="宋体" w:cs="宋体"/>
          <w:b/>
          <w:bCs/>
          <w:color w:val="auto"/>
          <w:sz w:val="30"/>
          <w:highlight w:val="none"/>
        </w:rPr>
      </w:pPr>
    </w:p>
    <w:p w14:paraId="67660008">
      <w:pPr>
        <w:tabs>
          <w:tab w:val="left" w:pos="1069"/>
          <w:tab w:val="left" w:pos="2352"/>
        </w:tabs>
        <w:spacing w:line="360" w:lineRule="exact"/>
        <w:jc w:val="left"/>
        <w:rPr>
          <w:rFonts w:ascii="宋体" w:hAnsi="宋体" w:cs="宋体"/>
          <w:b/>
          <w:bCs/>
          <w:color w:val="auto"/>
          <w:sz w:val="30"/>
          <w:highlight w:val="none"/>
        </w:rPr>
      </w:pPr>
    </w:p>
    <w:p w14:paraId="05A4B0B2">
      <w:pPr>
        <w:tabs>
          <w:tab w:val="left" w:pos="1069"/>
          <w:tab w:val="left" w:pos="2352"/>
        </w:tabs>
        <w:spacing w:line="360" w:lineRule="exact"/>
        <w:jc w:val="left"/>
        <w:rPr>
          <w:rFonts w:ascii="宋体" w:hAnsi="宋体" w:cs="宋体"/>
          <w:b/>
          <w:bCs/>
          <w:color w:val="auto"/>
          <w:sz w:val="30"/>
          <w:highlight w:val="none"/>
        </w:rPr>
      </w:pPr>
    </w:p>
    <w:p w14:paraId="78372D3D">
      <w:pPr>
        <w:tabs>
          <w:tab w:val="left" w:pos="1069"/>
          <w:tab w:val="left" w:pos="2352"/>
        </w:tabs>
        <w:spacing w:line="360" w:lineRule="exact"/>
        <w:jc w:val="left"/>
        <w:rPr>
          <w:rFonts w:ascii="宋体" w:hAnsi="宋体" w:cs="宋体"/>
          <w:b/>
          <w:bCs/>
          <w:color w:val="auto"/>
          <w:sz w:val="30"/>
          <w:highlight w:val="none"/>
        </w:rPr>
      </w:pPr>
    </w:p>
    <w:p w14:paraId="3AD6EDD5">
      <w:pPr>
        <w:tabs>
          <w:tab w:val="left" w:pos="1069"/>
          <w:tab w:val="left" w:pos="2352"/>
        </w:tabs>
        <w:spacing w:line="360" w:lineRule="exact"/>
        <w:jc w:val="left"/>
        <w:rPr>
          <w:rFonts w:ascii="宋体" w:hAnsi="宋体" w:cs="宋体"/>
          <w:b/>
          <w:bCs/>
          <w:color w:val="auto"/>
          <w:sz w:val="30"/>
          <w:highlight w:val="none"/>
        </w:rPr>
      </w:pPr>
    </w:p>
    <w:p w14:paraId="0AA08B1D">
      <w:pPr>
        <w:tabs>
          <w:tab w:val="left" w:pos="1069"/>
          <w:tab w:val="left" w:pos="2352"/>
        </w:tabs>
        <w:spacing w:line="360" w:lineRule="exact"/>
        <w:jc w:val="left"/>
        <w:rPr>
          <w:rFonts w:ascii="宋体" w:hAnsi="宋体" w:cs="宋体"/>
          <w:b/>
          <w:bCs/>
          <w:color w:val="auto"/>
          <w:sz w:val="30"/>
          <w:highlight w:val="none"/>
        </w:rPr>
      </w:pPr>
    </w:p>
    <w:p w14:paraId="11A60F30">
      <w:pPr>
        <w:tabs>
          <w:tab w:val="left" w:pos="1069"/>
          <w:tab w:val="left" w:pos="2352"/>
        </w:tabs>
        <w:spacing w:line="360" w:lineRule="exact"/>
        <w:jc w:val="left"/>
        <w:rPr>
          <w:rFonts w:ascii="宋体" w:hAnsi="宋体" w:cs="宋体"/>
          <w:b/>
          <w:bCs/>
          <w:color w:val="auto"/>
          <w:sz w:val="30"/>
          <w:highlight w:val="none"/>
        </w:rPr>
      </w:pPr>
    </w:p>
    <w:p w14:paraId="6EEAB16E">
      <w:pPr>
        <w:tabs>
          <w:tab w:val="left" w:pos="1069"/>
          <w:tab w:val="left" w:pos="2352"/>
        </w:tabs>
        <w:spacing w:line="360" w:lineRule="exact"/>
        <w:jc w:val="left"/>
        <w:rPr>
          <w:rFonts w:ascii="宋体" w:hAnsi="宋体" w:cs="宋体"/>
          <w:b/>
          <w:bCs/>
          <w:color w:val="auto"/>
          <w:sz w:val="30"/>
          <w:highlight w:val="none"/>
        </w:rPr>
      </w:pPr>
      <w:r>
        <w:rPr>
          <w:rFonts w:hint="eastAsia" w:ascii="宋体" w:hAnsi="宋体" w:cs="宋体"/>
          <w:b/>
          <w:bCs/>
          <w:color w:val="auto"/>
          <w:sz w:val="30"/>
          <w:highlight w:val="none"/>
        </w:rPr>
        <w:t>附件四</w:t>
      </w:r>
    </w:p>
    <w:p w14:paraId="3A373A2E">
      <w:pPr>
        <w:tabs>
          <w:tab w:val="left" w:pos="1069"/>
          <w:tab w:val="left" w:pos="1080"/>
          <w:tab w:val="left" w:pos="2352"/>
        </w:tabs>
        <w:autoSpaceDE w:val="0"/>
        <w:autoSpaceDN w:val="0"/>
        <w:adjustRightInd w:val="0"/>
        <w:spacing w:line="360" w:lineRule="exact"/>
        <w:jc w:val="center"/>
        <w:rPr>
          <w:rFonts w:ascii="宋体" w:hAnsi="宋体" w:cs="宋体"/>
          <w:b/>
          <w:bCs/>
          <w:color w:val="auto"/>
          <w:sz w:val="36"/>
          <w:highlight w:val="none"/>
          <w:lang w:val="zh-CN"/>
        </w:rPr>
      </w:pPr>
      <w:bookmarkStart w:id="78" w:name="_Toc32552_WPSOffice_Level3"/>
      <w:r>
        <w:rPr>
          <w:rFonts w:hint="eastAsia" w:ascii="宋体" w:hAnsi="宋体" w:cs="宋体"/>
          <w:b/>
          <w:bCs/>
          <w:color w:val="auto"/>
          <w:sz w:val="32"/>
          <w:highlight w:val="none"/>
          <w:lang w:val="zh-CN"/>
        </w:rPr>
        <w:t>法定代表人授权书</w:t>
      </w:r>
      <w:bookmarkEnd w:id="78"/>
    </w:p>
    <w:p w14:paraId="45C5A1CE">
      <w:pPr>
        <w:tabs>
          <w:tab w:val="left" w:pos="1069"/>
          <w:tab w:val="left" w:pos="2352"/>
        </w:tabs>
        <w:autoSpaceDE w:val="0"/>
        <w:autoSpaceDN w:val="0"/>
        <w:adjustRightInd w:val="0"/>
        <w:spacing w:line="360" w:lineRule="exact"/>
        <w:jc w:val="center"/>
        <w:rPr>
          <w:rFonts w:ascii="宋体" w:hAnsi="宋体" w:cs="宋体"/>
          <w:color w:val="auto"/>
          <w:sz w:val="36"/>
          <w:highlight w:val="none"/>
          <w:lang w:val="zh-CN"/>
        </w:rPr>
      </w:pPr>
    </w:p>
    <w:p w14:paraId="5FB2199A">
      <w:pPr>
        <w:tabs>
          <w:tab w:val="left" w:pos="1069"/>
          <w:tab w:val="left" w:pos="2352"/>
        </w:tabs>
        <w:spacing w:line="400" w:lineRule="atLeast"/>
        <w:rPr>
          <w:rFonts w:ascii="宋体" w:hAnsi="宋体" w:cs="宋体"/>
          <w:color w:val="auto"/>
          <w:sz w:val="22"/>
          <w:highlight w:val="none"/>
        </w:rPr>
      </w:pPr>
      <w:r>
        <w:rPr>
          <w:rFonts w:hint="eastAsia" w:ascii="宋体" w:hAnsi="宋体" w:cs="宋体"/>
          <w:color w:val="auto"/>
          <w:sz w:val="22"/>
          <w:highlight w:val="none"/>
          <w:u w:val="single"/>
        </w:rPr>
        <w:t>泰顺县自然资源和规划局</w:t>
      </w:r>
      <w:r>
        <w:rPr>
          <w:rFonts w:hint="eastAsia" w:ascii="宋体" w:hAnsi="宋体" w:cs="宋体"/>
          <w:color w:val="auto"/>
          <w:sz w:val="22"/>
          <w:highlight w:val="none"/>
          <w:lang w:val="zh-CN"/>
        </w:rPr>
        <w:t>：</w:t>
      </w:r>
    </w:p>
    <w:p w14:paraId="7782C163">
      <w:pPr>
        <w:tabs>
          <w:tab w:val="left" w:pos="1069"/>
          <w:tab w:val="left" w:pos="2352"/>
        </w:tabs>
        <w:snapToGrid w:val="0"/>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（法定代表人姓名）</w:t>
      </w:r>
      <w:r>
        <w:rPr>
          <w:rFonts w:hint="eastAsia" w:ascii="宋体" w:hAnsi="宋体" w:cs="宋体"/>
          <w:color w:val="auto"/>
          <w:sz w:val="22"/>
          <w:highlight w:val="none"/>
        </w:rPr>
        <w:t>系</w:t>
      </w:r>
      <w:r>
        <w:rPr>
          <w:rFonts w:hint="eastAsia" w:ascii="宋体" w:hAnsi="宋体" w:cs="宋体"/>
          <w:color w:val="auto"/>
          <w:sz w:val="22"/>
          <w:highlight w:val="none"/>
          <w:u w:val="single"/>
        </w:rPr>
        <w:t>（供应商名称）</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（授权代表姓名）</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rPr>
        <w:t>2024年泰顺县森林资源动态监测与评价</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TSCG202409011</w:t>
      </w:r>
      <w:r>
        <w:rPr>
          <w:rFonts w:hint="eastAsia" w:ascii="宋体" w:hAnsi="宋体" w:cs="宋体"/>
          <w:color w:val="auto"/>
          <w:sz w:val="22"/>
          <w:highlight w:val="none"/>
          <w:u w:val="single"/>
        </w:rPr>
        <w:t>）</w:t>
      </w:r>
      <w:r>
        <w:rPr>
          <w:rFonts w:hint="eastAsia" w:ascii="宋体" w:hAnsi="宋体" w:cs="宋体"/>
          <w:color w:val="auto"/>
          <w:sz w:val="22"/>
          <w:highlight w:val="none"/>
        </w:rPr>
        <w:t>项目投标，全权处理本次招投标活动中的一切事宜，我承认授权代表全权代表我所签署的本项目的投标（响应）文件的内容。</w:t>
      </w:r>
    </w:p>
    <w:p w14:paraId="4760F4F2">
      <w:pPr>
        <w:tabs>
          <w:tab w:val="left" w:pos="1069"/>
          <w:tab w:val="left" w:pos="2352"/>
        </w:tabs>
        <w:spacing w:line="400" w:lineRule="atLeast"/>
        <w:ind w:firstLine="446" w:firstLineChars="200"/>
        <w:rPr>
          <w:rFonts w:ascii="宋体" w:hAnsi="宋体" w:cs="宋体"/>
          <w:color w:val="auto"/>
          <w:sz w:val="22"/>
          <w:highlight w:val="none"/>
        </w:rPr>
      </w:pPr>
    </w:p>
    <w:p w14:paraId="22A618F2">
      <w:pPr>
        <w:tabs>
          <w:tab w:val="left" w:pos="1069"/>
          <w:tab w:val="left" w:pos="2352"/>
        </w:tabs>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授权代表无转授权，特此授权。</w:t>
      </w:r>
    </w:p>
    <w:p w14:paraId="10BDEBAB">
      <w:pPr>
        <w:tabs>
          <w:tab w:val="left" w:pos="1069"/>
          <w:tab w:val="left" w:pos="2352"/>
        </w:tabs>
        <w:spacing w:line="400" w:lineRule="atLeast"/>
        <w:rPr>
          <w:rFonts w:ascii="宋体" w:hAnsi="宋体" w:cs="宋体"/>
          <w:color w:val="auto"/>
          <w:sz w:val="22"/>
          <w:highlight w:val="none"/>
        </w:rPr>
      </w:pPr>
    </w:p>
    <w:p w14:paraId="279C1387">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（签字）</w:t>
      </w:r>
      <w:r>
        <w:rPr>
          <w:rFonts w:hint="eastAsia" w:ascii="宋体" w:hAnsi="宋体" w:cs="宋体"/>
          <w:color w:val="auto"/>
          <w:sz w:val="22"/>
          <w:highlight w:val="none"/>
        </w:rPr>
        <w:t>性别：</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年龄：</w:t>
      </w:r>
      <w:r>
        <w:rPr>
          <w:rFonts w:hint="eastAsia" w:ascii="宋体" w:hAnsi="宋体" w:cs="宋体"/>
          <w:color w:val="auto"/>
          <w:sz w:val="22"/>
          <w:highlight w:val="none"/>
          <w:u w:val="single"/>
        </w:rPr>
        <w:t xml:space="preserve">        </w:t>
      </w:r>
    </w:p>
    <w:p w14:paraId="235E289D">
      <w:pPr>
        <w:tabs>
          <w:tab w:val="left" w:pos="1069"/>
          <w:tab w:val="left" w:pos="2352"/>
        </w:tabs>
        <w:spacing w:line="400" w:lineRule="atLeast"/>
        <w:ind w:firstLine="2992" w:firstLineChars="1342"/>
        <w:rPr>
          <w:rFonts w:ascii="宋体" w:hAnsi="宋体" w:cs="宋体"/>
          <w:color w:val="auto"/>
          <w:sz w:val="22"/>
          <w:highlight w:val="none"/>
          <w:u w:val="single"/>
        </w:rPr>
      </w:pPr>
    </w:p>
    <w:p w14:paraId="45AFF024">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邮政编码：</w:t>
      </w:r>
      <w:r>
        <w:rPr>
          <w:rFonts w:hint="eastAsia" w:ascii="宋体" w:hAnsi="宋体" w:cs="宋体"/>
          <w:color w:val="auto"/>
          <w:sz w:val="22"/>
          <w:highlight w:val="none"/>
          <w:u w:val="single"/>
        </w:rPr>
        <w:t xml:space="preserve">        </w:t>
      </w:r>
    </w:p>
    <w:p w14:paraId="0773B643">
      <w:pPr>
        <w:tabs>
          <w:tab w:val="left" w:pos="1069"/>
          <w:tab w:val="left" w:pos="2352"/>
        </w:tabs>
        <w:spacing w:line="400" w:lineRule="atLeast"/>
        <w:ind w:firstLine="2992" w:firstLineChars="1342"/>
        <w:rPr>
          <w:rFonts w:ascii="宋体" w:hAnsi="宋体" w:cs="宋体"/>
          <w:color w:val="auto"/>
          <w:sz w:val="22"/>
          <w:highlight w:val="none"/>
          <w:u w:val="single"/>
        </w:rPr>
      </w:pPr>
    </w:p>
    <w:p w14:paraId="7C7F2716">
      <w:pPr>
        <w:tabs>
          <w:tab w:val="left" w:pos="1069"/>
          <w:tab w:val="left" w:pos="2352"/>
        </w:tabs>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传真：</w:t>
      </w:r>
      <w:r>
        <w:rPr>
          <w:rFonts w:hint="eastAsia" w:ascii="宋体" w:hAnsi="宋体" w:cs="宋体"/>
          <w:color w:val="auto"/>
          <w:sz w:val="22"/>
          <w:highlight w:val="none"/>
          <w:u w:val="single"/>
        </w:rPr>
        <w:t xml:space="preserve">        </w:t>
      </w:r>
    </w:p>
    <w:p w14:paraId="79B14A92">
      <w:pPr>
        <w:tabs>
          <w:tab w:val="left" w:pos="1069"/>
          <w:tab w:val="left" w:pos="2352"/>
        </w:tabs>
        <w:spacing w:line="400" w:lineRule="atLeast"/>
        <w:ind w:left="1" w:firstLine="427" w:firstLineChars="192"/>
        <w:rPr>
          <w:rFonts w:ascii="宋体" w:hAnsi="宋体" w:cs="宋体"/>
          <w:color w:val="auto"/>
          <w:sz w:val="22"/>
          <w:highlight w:val="none"/>
        </w:rPr>
      </w:pPr>
    </w:p>
    <w:p w14:paraId="37D02482">
      <w:pPr>
        <w:tabs>
          <w:tab w:val="left" w:pos="1069"/>
          <w:tab w:val="left" w:pos="2352"/>
        </w:tabs>
        <w:spacing w:line="400" w:lineRule="atLeast"/>
        <w:ind w:left="1" w:firstLine="2985" w:firstLineChars="1339"/>
        <w:rPr>
          <w:rFonts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（盖章）       </w:t>
      </w:r>
    </w:p>
    <w:p w14:paraId="219A0FDD">
      <w:pPr>
        <w:tabs>
          <w:tab w:val="left" w:pos="1069"/>
          <w:tab w:val="left" w:pos="2352"/>
        </w:tabs>
        <w:spacing w:line="400" w:lineRule="atLeast"/>
        <w:ind w:left="1" w:firstLine="427" w:firstLineChars="192"/>
        <w:rPr>
          <w:rFonts w:ascii="宋体" w:hAnsi="宋体" w:cs="宋体"/>
          <w:color w:val="auto"/>
          <w:sz w:val="22"/>
          <w:highlight w:val="none"/>
        </w:rPr>
      </w:pPr>
    </w:p>
    <w:p w14:paraId="05DDE655">
      <w:pPr>
        <w:tabs>
          <w:tab w:val="left" w:pos="1069"/>
          <w:tab w:val="left" w:pos="2352"/>
        </w:tabs>
        <w:spacing w:line="400" w:lineRule="atLeast"/>
        <w:ind w:left="2100" w:right="440"/>
        <w:jc w:val="center"/>
        <w:rPr>
          <w:rFonts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（签字或盖章）</w:t>
      </w:r>
    </w:p>
    <w:p w14:paraId="046F8857">
      <w:pPr>
        <w:tabs>
          <w:tab w:val="left" w:pos="1069"/>
          <w:tab w:val="left" w:pos="2352"/>
        </w:tabs>
        <w:spacing w:line="400" w:lineRule="atLeast"/>
        <w:ind w:left="2699"/>
        <w:rPr>
          <w:rFonts w:ascii="宋体" w:hAnsi="宋体" w:cs="宋体"/>
          <w:color w:val="auto"/>
          <w:sz w:val="22"/>
          <w:highlight w:val="none"/>
        </w:rPr>
      </w:pPr>
    </w:p>
    <w:p w14:paraId="35868702">
      <w:pPr>
        <w:tabs>
          <w:tab w:val="left" w:pos="1069"/>
          <w:tab w:val="left" w:pos="2352"/>
        </w:tabs>
        <w:spacing w:line="400" w:lineRule="atLeast"/>
        <w:ind w:right="440" w:firstLine="3345" w:firstLineChars="1500"/>
        <w:jc w:val="center"/>
        <w:rPr>
          <w:rFonts w:ascii="宋体" w:hAnsi="宋体" w:cs="宋体"/>
          <w:color w:val="auto"/>
          <w:sz w:val="22"/>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年  月  日</w:t>
      </w:r>
    </w:p>
    <w:p w14:paraId="330CA409">
      <w:pPr>
        <w:tabs>
          <w:tab w:val="left" w:pos="1069"/>
          <w:tab w:val="left" w:pos="2352"/>
        </w:tabs>
        <w:spacing w:line="360" w:lineRule="exact"/>
        <w:ind w:left="2699"/>
        <w:rPr>
          <w:rFonts w:ascii="宋体" w:hAnsi="宋体" w:cs="宋体"/>
          <w:color w:val="auto"/>
          <w:sz w:val="22"/>
          <w:highlight w:val="none"/>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481A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6" w:hRule="atLeast"/>
        </w:trPr>
        <w:tc>
          <w:tcPr>
            <w:tcW w:w="9214" w:type="dxa"/>
          </w:tcPr>
          <w:p w14:paraId="69B27991">
            <w:pPr>
              <w:pStyle w:val="10"/>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14:paraId="10108950">
            <w:pPr>
              <w:pStyle w:val="10"/>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14:paraId="327AB356">
            <w:pPr>
              <w:pStyle w:val="10"/>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14:paraId="67618EFC">
      <w:pPr>
        <w:pStyle w:val="10"/>
        <w:tabs>
          <w:tab w:val="left" w:pos="1069"/>
          <w:tab w:val="left" w:pos="2352"/>
        </w:tabs>
        <w:adjustRightInd w:val="0"/>
        <w:snapToGrid w:val="0"/>
        <w:spacing w:line="360" w:lineRule="exact"/>
        <w:jc w:val="center"/>
        <w:rPr>
          <w:rFonts w:hAnsi="宋体" w:cs="宋体"/>
          <w:color w:val="auto"/>
          <w:sz w:val="22"/>
          <w:highlight w:val="none"/>
          <w:lang w:val="zh-CN"/>
        </w:rPr>
      </w:pPr>
    </w:p>
    <w:p w14:paraId="36E63BC3">
      <w:pPr>
        <w:pStyle w:val="10"/>
        <w:tabs>
          <w:tab w:val="left" w:pos="1069"/>
          <w:tab w:val="left" w:pos="2352"/>
        </w:tabs>
        <w:adjustRightInd w:val="0"/>
        <w:snapToGrid w:val="0"/>
        <w:spacing w:line="360" w:lineRule="exact"/>
        <w:jc w:val="center"/>
        <w:rPr>
          <w:rFonts w:hAnsi="宋体" w:cs="宋体"/>
          <w:color w:val="auto"/>
          <w:sz w:val="22"/>
          <w:highlight w:val="none"/>
          <w:lang w:val="zh-CN"/>
        </w:rPr>
      </w:pPr>
    </w:p>
    <w:p w14:paraId="66A6CAF4">
      <w:pPr>
        <w:pStyle w:val="10"/>
        <w:tabs>
          <w:tab w:val="left" w:pos="1069"/>
          <w:tab w:val="left" w:pos="2352"/>
        </w:tabs>
        <w:adjustRightInd w:val="0"/>
        <w:snapToGrid w:val="0"/>
        <w:spacing w:line="360" w:lineRule="exact"/>
        <w:jc w:val="center"/>
        <w:rPr>
          <w:rFonts w:hAnsi="宋体" w:cs="宋体"/>
          <w:color w:val="auto"/>
          <w:sz w:val="22"/>
          <w:highlight w:val="none"/>
          <w:lang w:val="zh-CN"/>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6DB9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4FB43605">
            <w:pPr>
              <w:pStyle w:val="10"/>
              <w:tabs>
                <w:tab w:val="left" w:pos="1069"/>
                <w:tab w:val="left" w:pos="2352"/>
              </w:tabs>
              <w:adjustRightInd w:val="0"/>
              <w:snapToGrid w:val="0"/>
              <w:spacing w:line="360" w:lineRule="exact"/>
              <w:jc w:val="center"/>
              <w:rPr>
                <w:rFonts w:hAnsi="宋体" w:cs="宋体"/>
                <w:b/>
                <w:bCs/>
                <w:color w:val="auto"/>
                <w:kern w:val="2"/>
                <w:sz w:val="22"/>
                <w:szCs w:val="22"/>
                <w:highlight w:val="none"/>
              </w:rPr>
            </w:pPr>
          </w:p>
          <w:p w14:paraId="431D87AF">
            <w:pPr>
              <w:pStyle w:val="10"/>
              <w:tabs>
                <w:tab w:val="left" w:pos="1069"/>
                <w:tab w:val="left" w:pos="2352"/>
              </w:tabs>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14:paraId="25930F7A">
            <w:pPr>
              <w:pStyle w:val="10"/>
              <w:tabs>
                <w:tab w:val="left" w:pos="1069"/>
                <w:tab w:val="left" w:pos="2352"/>
              </w:tabs>
              <w:adjustRightInd w:val="0"/>
              <w:snapToGrid w:val="0"/>
              <w:spacing w:line="360" w:lineRule="exact"/>
              <w:jc w:val="center"/>
              <w:rPr>
                <w:rFonts w:hAnsi="宋体" w:cs="宋体"/>
                <w:b/>
                <w:bCs/>
                <w:color w:val="auto"/>
                <w:kern w:val="2"/>
                <w:sz w:val="22"/>
                <w:szCs w:val="22"/>
                <w:highlight w:val="none"/>
              </w:rPr>
            </w:pPr>
          </w:p>
        </w:tc>
      </w:tr>
    </w:tbl>
    <w:p w14:paraId="36E5E016">
      <w:pPr>
        <w:tabs>
          <w:tab w:val="left" w:pos="1069"/>
          <w:tab w:val="left" w:pos="2352"/>
        </w:tabs>
        <w:spacing w:line="360" w:lineRule="exact"/>
        <w:jc w:val="left"/>
        <w:rPr>
          <w:rFonts w:ascii="宋体" w:hAnsi="宋体" w:cs="宋体"/>
          <w:b/>
          <w:bCs/>
          <w:color w:val="auto"/>
          <w:sz w:val="30"/>
          <w:highlight w:val="none"/>
        </w:rPr>
      </w:pPr>
    </w:p>
    <w:p w14:paraId="5557833F">
      <w:pPr>
        <w:tabs>
          <w:tab w:val="left" w:pos="1069"/>
          <w:tab w:val="left" w:pos="2352"/>
        </w:tabs>
        <w:spacing w:line="360" w:lineRule="exact"/>
        <w:jc w:val="left"/>
        <w:rPr>
          <w:rFonts w:ascii="宋体" w:hAnsi="宋体" w:cs="宋体"/>
          <w:b/>
          <w:bCs/>
          <w:color w:val="auto"/>
          <w:sz w:val="30"/>
          <w:highlight w:val="none"/>
        </w:rPr>
      </w:pPr>
    </w:p>
    <w:p w14:paraId="776ECFF8">
      <w:pPr>
        <w:tabs>
          <w:tab w:val="left" w:pos="1069"/>
          <w:tab w:val="left" w:pos="2352"/>
        </w:tabs>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rPr>
        <w:t>三</w:t>
      </w:r>
      <w:r>
        <w:rPr>
          <w:rFonts w:hint="eastAsia" w:ascii="宋体" w:hAnsi="宋体" w:cs="宋体"/>
          <w:b/>
          <w:bCs/>
          <w:color w:val="auto"/>
          <w:sz w:val="22"/>
          <w:highlight w:val="none"/>
          <w:lang w:val="zh-CN"/>
        </w:rPr>
        <w:t>、</w:t>
      </w: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部分投标文件格式</w:t>
      </w:r>
    </w:p>
    <w:p w14:paraId="6186558B">
      <w:pPr>
        <w:pStyle w:val="8"/>
        <w:tabs>
          <w:tab w:val="left" w:pos="1069"/>
          <w:tab w:val="left" w:pos="2352"/>
        </w:tabs>
        <w:rPr>
          <w:rFonts w:ascii="宋体" w:hAnsi="宋体" w:cs="宋体"/>
          <w:color w:val="auto"/>
          <w:sz w:val="22"/>
          <w:szCs w:val="22"/>
          <w:highlight w:val="none"/>
        </w:rPr>
      </w:pPr>
      <w:r>
        <w:rPr>
          <w:rFonts w:hint="eastAsia" w:ascii="宋体" w:hAnsi="宋体" w:cs="宋体"/>
          <w:b/>
          <w:bCs/>
          <w:color w:val="auto"/>
          <w:sz w:val="22"/>
          <w:highlight w:val="none"/>
        </w:rPr>
        <w:t>商务技术</w:t>
      </w:r>
      <w:r>
        <w:rPr>
          <w:rFonts w:hint="eastAsia" w:ascii="宋体" w:hAnsi="宋体" w:cs="宋体"/>
          <w:b/>
          <w:bCs/>
          <w:color w:val="auto"/>
          <w:sz w:val="22"/>
          <w:highlight w:val="none"/>
          <w:lang w:val="zh-CN"/>
        </w:rPr>
        <w:t>部分投标文件</w:t>
      </w:r>
      <w:r>
        <w:rPr>
          <w:rFonts w:hint="eastAsia" w:ascii="宋体" w:hAnsi="宋体" w:cs="宋体"/>
          <w:color w:val="auto"/>
          <w:sz w:val="22"/>
          <w:szCs w:val="22"/>
          <w:highlight w:val="none"/>
        </w:rPr>
        <w:t>封面参考：</w:t>
      </w:r>
    </w:p>
    <w:p w14:paraId="653988A5">
      <w:pPr>
        <w:tabs>
          <w:tab w:val="left" w:pos="1069"/>
          <w:tab w:val="left" w:pos="2352"/>
        </w:tabs>
        <w:snapToGrid w:val="0"/>
        <w:spacing w:line="440" w:lineRule="exact"/>
        <w:jc w:val="center"/>
        <w:rPr>
          <w:rFonts w:ascii="宋体" w:hAnsi="宋体" w:cs="宋体"/>
          <w:b/>
          <w:color w:val="auto"/>
          <w:sz w:val="32"/>
          <w:szCs w:val="32"/>
          <w:highlight w:val="none"/>
        </w:rPr>
      </w:pPr>
    </w:p>
    <w:p w14:paraId="5124915A">
      <w:pPr>
        <w:tabs>
          <w:tab w:val="left" w:pos="1069"/>
          <w:tab w:val="left" w:pos="2352"/>
        </w:tabs>
        <w:spacing w:line="480" w:lineRule="auto"/>
        <w:jc w:val="center"/>
        <w:rPr>
          <w:rFonts w:ascii="宋体" w:hAnsi="宋体" w:cs="宋体"/>
          <w:b/>
          <w:color w:val="auto"/>
          <w:sz w:val="64"/>
          <w:szCs w:val="64"/>
          <w:highlight w:val="none"/>
        </w:rPr>
      </w:pPr>
      <w:r>
        <w:rPr>
          <w:rFonts w:hint="eastAsia" w:ascii="宋体" w:hAnsi="宋体" w:cs="宋体"/>
          <w:b/>
          <w:color w:val="auto"/>
          <w:sz w:val="64"/>
          <w:szCs w:val="64"/>
          <w:highlight w:val="none"/>
        </w:rPr>
        <w:t>2024年泰顺县森林资源动态监测与评价</w:t>
      </w:r>
    </w:p>
    <w:p w14:paraId="0A7777BE">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51F2113F">
      <w:pPr>
        <w:tabs>
          <w:tab w:val="left" w:pos="1069"/>
          <w:tab w:val="left" w:pos="2352"/>
        </w:tabs>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（商 务 技 术 部 分）</w:t>
      </w:r>
    </w:p>
    <w:p w14:paraId="18085607">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p w14:paraId="5FCFFBF7">
      <w:pPr>
        <w:tabs>
          <w:tab w:val="left" w:pos="1069"/>
          <w:tab w:val="left" w:pos="2352"/>
        </w:tabs>
        <w:snapToGrid w:val="0"/>
        <w:spacing w:line="600" w:lineRule="atLeast"/>
        <w:ind w:firstLine="1052" w:firstLineChars="400"/>
        <w:rPr>
          <w:rFonts w:ascii="宋体" w:hAnsi="宋体" w:cs="宋体"/>
          <w:b/>
          <w:color w:val="auto"/>
          <w:sz w:val="26"/>
          <w:szCs w:val="26"/>
          <w:highlight w:val="none"/>
        </w:rPr>
      </w:pPr>
    </w:p>
    <w:tbl>
      <w:tblPr>
        <w:tblStyle w:val="26"/>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678"/>
      </w:tblGrid>
      <w:tr w14:paraId="4C28CB7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9B688A0">
            <w:pPr>
              <w:tabs>
                <w:tab w:val="left" w:pos="1069"/>
                <w:tab w:val="left" w:pos="2352"/>
              </w:tabs>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TSCG202409011</w:t>
            </w:r>
          </w:p>
        </w:tc>
      </w:tr>
      <w:tr w14:paraId="5B5E0DA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D38BBE8">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采购单位：泰顺县自然资源和规划局</w:t>
            </w:r>
          </w:p>
        </w:tc>
      </w:tr>
      <w:tr w14:paraId="4174B1D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188AF32E">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供应商名称（盖章）：</w:t>
            </w:r>
          </w:p>
        </w:tc>
      </w:tr>
      <w:tr w14:paraId="0BFE23D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BD2C532">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16548F1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FF6FC9C">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7C5B415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FA680E3">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6827BB40">
      <w:pPr>
        <w:tabs>
          <w:tab w:val="left" w:pos="1069"/>
          <w:tab w:val="left" w:pos="2352"/>
        </w:tabs>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 xml:space="preserve"> </w:t>
      </w:r>
    </w:p>
    <w:p w14:paraId="3605A16B">
      <w:pPr>
        <w:pStyle w:val="9"/>
        <w:tabs>
          <w:tab w:val="left" w:pos="1069"/>
          <w:tab w:val="left" w:pos="2352"/>
        </w:tabs>
        <w:ind w:left="0" w:right="-257"/>
        <w:rPr>
          <w:color w:val="auto"/>
          <w:highlight w:val="none"/>
        </w:rPr>
      </w:pPr>
    </w:p>
    <w:p w14:paraId="1BC4E2BA">
      <w:pPr>
        <w:tabs>
          <w:tab w:val="left" w:pos="1069"/>
          <w:tab w:val="left" w:pos="2352"/>
        </w:tabs>
        <w:spacing w:line="360" w:lineRule="exact"/>
        <w:jc w:val="left"/>
        <w:rPr>
          <w:rFonts w:ascii="宋体" w:hAnsi="宋体" w:cs="宋体"/>
          <w:b/>
          <w:bCs/>
          <w:color w:val="auto"/>
          <w:sz w:val="30"/>
          <w:highlight w:val="none"/>
        </w:rPr>
      </w:pPr>
    </w:p>
    <w:p w14:paraId="5A6D0E05">
      <w:pPr>
        <w:tabs>
          <w:tab w:val="left" w:pos="1069"/>
          <w:tab w:val="left" w:pos="2352"/>
        </w:tabs>
        <w:spacing w:line="360" w:lineRule="exact"/>
        <w:jc w:val="left"/>
        <w:rPr>
          <w:rFonts w:ascii="宋体" w:hAnsi="宋体" w:cs="宋体"/>
          <w:b/>
          <w:bCs/>
          <w:color w:val="auto"/>
          <w:sz w:val="30"/>
          <w:highlight w:val="none"/>
        </w:rPr>
      </w:pPr>
    </w:p>
    <w:p w14:paraId="3BDEE888">
      <w:pPr>
        <w:tabs>
          <w:tab w:val="left" w:pos="1069"/>
          <w:tab w:val="left" w:pos="2352"/>
        </w:tabs>
        <w:spacing w:line="360" w:lineRule="exact"/>
        <w:jc w:val="left"/>
        <w:rPr>
          <w:rFonts w:ascii="宋体" w:hAnsi="宋体" w:cs="宋体"/>
          <w:b/>
          <w:bCs/>
          <w:color w:val="auto"/>
          <w:sz w:val="30"/>
          <w:highlight w:val="none"/>
        </w:rPr>
      </w:pPr>
    </w:p>
    <w:p w14:paraId="59CC3759">
      <w:pPr>
        <w:tabs>
          <w:tab w:val="left" w:pos="1069"/>
          <w:tab w:val="left" w:pos="2352"/>
        </w:tabs>
        <w:spacing w:line="360" w:lineRule="exact"/>
        <w:jc w:val="left"/>
        <w:rPr>
          <w:rFonts w:ascii="宋体" w:hAnsi="宋体" w:cs="宋体"/>
          <w:b/>
          <w:bCs/>
          <w:color w:val="auto"/>
          <w:sz w:val="30"/>
          <w:highlight w:val="none"/>
        </w:rPr>
      </w:pPr>
    </w:p>
    <w:p w14:paraId="1C351AD2">
      <w:pPr>
        <w:tabs>
          <w:tab w:val="left" w:pos="1069"/>
          <w:tab w:val="left" w:pos="2352"/>
        </w:tabs>
        <w:spacing w:line="360" w:lineRule="exact"/>
        <w:jc w:val="left"/>
        <w:rPr>
          <w:rFonts w:ascii="宋体" w:hAnsi="宋体" w:cs="宋体"/>
          <w:b/>
          <w:bCs/>
          <w:color w:val="auto"/>
          <w:sz w:val="30"/>
          <w:highlight w:val="none"/>
        </w:rPr>
      </w:pPr>
    </w:p>
    <w:p w14:paraId="33955217">
      <w:pPr>
        <w:tabs>
          <w:tab w:val="left" w:pos="1069"/>
          <w:tab w:val="left" w:pos="2352"/>
        </w:tabs>
        <w:spacing w:line="360" w:lineRule="exact"/>
        <w:jc w:val="left"/>
        <w:rPr>
          <w:rFonts w:ascii="宋体" w:hAnsi="宋体" w:cs="宋体"/>
          <w:b/>
          <w:bCs/>
          <w:color w:val="auto"/>
          <w:sz w:val="30"/>
          <w:highlight w:val="none"/>
        </w:rPr>
      </w:pPr>
    </w:p>
    <w:p w14:paraId="088F60B5">
      <w:pPr>
        <w:tabs>
          <w:tab w:val="left" w:pos="1069"/>
          <w:tab w:val="left" w:pos="2352"/>
        </w:tabs>
        <w:spacing w:line="360" w:lineRule="exact"/>
        <w:jc w:val="left"/>
        <w:rPr>
          <w:rFonts w:ascii="宋体" w:hAnsi="宋体" w:cs="宋体"/>
          <w:b/>
          <w:bCs/>
          <w:color w:val="auto"/>
          <w:sz w:val="30"/>
          <w:highlight w:val="none"/>
        </w:rPr>
      </w:pPr>
      <w:r>
        <w:rPr>
          <w:rFonts w:hint="eastAsia" w:ascii="宋体" w:hAnsi="宋体" w:cs="宋体"/>
          <w:b/>
          <w:bCs/>
          <w:color w:val="auto"/>
          <w:sz w:val="30"/>
          <w:highlight w:val="none"/>
        </w:rPr>
        <w:t>附件五</w:t>
      </w:r>
    </w:p>
    <w:p w14:paraId="0F555C54">
      <w:pPr>
        <w:tabs>
          <w:tab w:val="left" w:pos="1069"/>
          <w:tab w:val="left" w:pos="2352"/>
        </w:tabs>
        <w:autoSpaceDE w:val="0"/>
        <w:autoSpaceDN w:val="0"/>
        <w:adjustRightInd w:val="0"/>
        <w:spacing w:line="360" w:lineRule="exact"/>
        <w:jc w:val="center"/>
        <w:rPr>
          <w:rFonts w:ascii="宋体" w:hAnsi="宋体" w:cs="宋体"/>
          <w:b/>
          <w:bCs/>
          <w:color w:val="auto"/>
          <w:sz w:val="30"/>
          <w:szCs w:val="30"/>
          <w:highlight w:val="none"/>
          <w:lang w:val="zh-CN"/>
        </w:rPr>
      </w:pPr>
      <w:bookmarkStart w:id="79" w:name="_Toc30988_WPSOffice_Level3"/>
      <w:r>
        <w:rPr>
          <w:rFonts w:hint="eastAsia" w:ascii="宋体" w:hAnsi="宋体" w:cs="宋体"/>
          <w:b/>
          <w:bCs/>
          <w:color w:val="auto"/>
          <w:sz w:val="30"/>
          <w:szCs w:val="30"/>
          <w:highlight w:val="none"/>
        </w:rPr>
        <w:t>报价</w:t>
      </w:r>
      <w:r>
        <w:rPr>
          <w:rFonts w:hint="eastAsia" w:ascii="宋体" w:hAnsi="宋体" w:cs="宋体"/>
          <w:b/>
          <w:bCs/>
          <w:color w:val="auto"/>
          <w:sz w:val="30"/>
          <w:szCs w:val="30"/>
          <w:highlight w:val="none"/>
          <w:lang w:val="zh-CN"/>
        </w:rPr>
        <w:t>函</w:t>
      </w:r>
      <w:bookmarkEnd w:id="79"/>
    </w:p>
    <w:p w14:paraId="41783C6F">
      <w:pPr>
        <w:tabs>
          <w:tab w:val="left" w:pos="1069"/>
          <w:tab w:val="left" w:pos="2352"/>
        </w:tabs>
        <w:autoSpaceDE w:val="0"/>
        <w:autoSpaceDN w:val="0"/>
        <w:adjustRightInd w:val="0"/>
        <w:spacing w:line="360" w:lineRule="exact"/>
        <w:rPr>
          <w:rFonts w:ascii="宋体" w:hAnsi="宋体" w:cs="宋体"/>
          <w:color w:val="auto"/>
          <w:sz w:val="36"/>
          <w:highlight w:val="none"/>
          <w:lang w:val="zh-CN"/>
        </w:rPr>
      </w:pPr>
    </w:p>
    <w:p w14:paraId="06FDBC20">
      <w:pPr>
        <w:pStyle w:val="10"/>
        <w:tabs>
          <w:tab w:val="left" w:pos="1069"/>
          <w:tab w:val="left" w:pos="2352"/>
        </w:tabs>
        <w:rPr>
          <w:rFonts w:hAnsi="宋体" w:cs="宋体"/>
          <w:color w:val="auto"/>
          <w:sz w:val="22"/>
          <w:highlight w:val="none"/>
          <w:u w:val="single"/>
        </w:rPr>
      </w:pPr>
      <w:r>
        <w:rPr>
          <w:rFonts w:hint="eastAsia" w:hAnsi="宋体" w:cs="宋体"/>
          <w:color w:val="auto"/>
          <w:sz w:val="22"/>
          <w:highlight w:val="none"/>
          <w:u w:val="single"/>
        </w:rPr>
        <w:t>泰顺县自然资源和规划局：</w:t>
      </w:r>
    </w:p>
    <w:p w14:paraId="169B8380">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u w:val="single"/>
          <w:lang w:val="zh-CN"/>
        </w:rPr>
        <w:t>（供应商全称）授权（授权代表名称）（职务、职称）</w:t>
      </w:r>
      <w:r>
        <w:rPr>
          <w:rFonts w:hint="eastAsia" w:ascii="宋体" w:hAnsi="宋体" w:cs="宋体"/>
          <w:color w:val="auto"/>
          <w:sz w:val="22"/>
          <w:highlight w:val="none"/>
          <w:lang w:val="zh-CN"/>
        </w:rPr>
        <w:t>为授权代表，参加贵方组织的</w:t>
      </w:r>
      <w:r>
        <w:rPr>
          <w:rFonts w:hint="eastAsia" w:ascii="宋体" w:hAnsi="宋体" w:cs="宋体"/>
          <w:color w:val="auto"/>
          <w:sz w:val="22"/>
          <w:highlight w:val="none"/>
          <w:u w:val="single"/>
        </w:rPr>
        <w:t>2024年泰顺县森林资源动态监测与评价</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TSCG202409011</w:t>
      </w:r>
      <w:r>
        <w:rPr>
          <w:rFonts w:hint="eastAsia" w:ascii="宋体" w:hAnsi="宋体" w:cs="宋体"/>
          <w:color w:val="auto"/>
          <w:sz w:val="22"/>
          <w:highlight w:val="none"/>
          <w:u w:val="single"/>
        </w:rPr>
        <w:t>）</w:t>
      </w:r>
      <w:r>
        <w:rPr>
          <w:rFonts w:hint="eastAsia" w:ascii="宋体" w:hAnsi="宋体" w:cs="宋体"/>
          <w:color w:val="auto"/>
          <w:sz w:val="22"/>
          <w:highlight w:val="none"/>
          <w:lang w:val="zh-CN"/>
        </w:rPr>
        <w:t>招标的有关活动，并对</w:t>
      </w:r>
      <w:r>
        <w:rPr>
          <w:rFonts w:hint="eastAsia" w:ascii="宋体" w:hAnsi="宋体" w:cs="宋体"/>
          <w:color w:val="auto"/>
          <w:sz w:val="22"/>
          <w:highlight w:val="none"/>
          <w:u w:val="single"/>
        </w:rPr>
        <w:t>2024年泰顺县森林资源动态监测与评价</w:t>
      </w:r>
      <w:r>
        <w:rPr>
          <w:rFonts w:hint="eastAsia" w:ascii="宋体" w:hAnsi="宋体" w:cs="宋体"/>
          <w:color w:val="auto"/>
          <w:sz w:val="22"/>
          <w:highlight w:val="none"/>
          <w:lang w:val="zh-CN"/>
        </w:rPr>
        <w:t>进行投标。为此：</w:t>
      </w:r>
    </w:p>
    <w:p w14:paraId="26D01B47">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1、提供供应商须知规定的全部投标（响应）文件：</w:t>
      </w:r>
    </w:p>
    <w:p w14:paraId="7335B30B">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“电子加密投标文件”：在线上传递交。</w:t>
      </w:r>
    </w:p>
    <w:p w14:paraId="3DC1F84D">
      <w:pPr>
        <w:tabs>
          <w:tab w:val="left" w:pos="1069"/>
          <w:tab w:val="left" w:pos="2352"/>
        </w:tabs>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2、保证遵守竞争性磋商文件中的有关规定和收费标准。</w:t>
      </w:r>
    </w:p>
    <w:p w14:paraId="344902F0">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3、保证忠实地执行采购人、中标（成交）供应商双方所签的合同，并承担合同规定的责任义务。</w:t>
      </w:r>
    </w:p>
    <w:p w14:paraId="4F9E88B2">
      <w:pPr>
        <w:pStyle w:val="10"/>
        <w:tabs>
          <w:tab w:val="left" w:pos="1069"/>
          <w:tab w:val="left" w:pos="2352"/>
        </w:tabs>
        <w:snapToGrid w:val="0"/>
        <w:spacing w:line="410" w:lineRule="atLeast"/>
        <w:ind w:firstLine="446" w:firstLineChars="200"/>
        <w:rPr>
          <w:rFonts w:hAnsi="宋体" w:cs="宋体"/>
          <w:color w:val="auto"/>
          <w:sz w:val="22"/>
          <w:highlight w:val="none"/>
        </w:rPr>
      </w:pPr>
      <w:r>
        <w:rPr>
          <w:rFonts w:hint="eastAsia" w:hAnsi="宋体" w:cs="宋体"/>
          <w:color w:val="auto"/>
          <w:sz w:val="22"/>
          <w:highlight w:val="none"/>
          <w:lang w:val="zh-CN"/>
        </w:rPr>
        <w:t>4、我方对完工期承诺如下：</w:t>
      </w:r>
      <w:r>
        <w:rPr>
          <w:rFonts w:hint="eastAsia" w:hAnsi="宋体" w:cs="宋体"/>
          <w:color w:val="auto"/>
          <w:sz w:val="22"/>
          <w:highlight w:val="none"/>
        </w:rPr>
        <w:t>按竞争性磋商文件规定期限交货并通过采购人验收，逾期采购人有权拒绝供货。</w:t>
      </w:r>
    </w:p>
    <w:p w14:paraId="691D8DFC">
      <w:pPr>
        <w:tabs>
          <w:tab w:val="left" w:pos="1069"/>
          <w:tab w:val="left" w:pos="2352"/>
        </w:tabs>
        <w:autoSpaceDE w:val="0"/>
        <w:autoSpaceDN w:val="0"/>
        <w:adjustRightInd w:val="0"/>
        <w:spacing w:line="44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14:paraId="14970F83">
      <w:pPr>
        <w:tabs>
          <w:tab w:val="left" w:pos="1069"/>
          <w:tab w:val="left" w:pos="2352"/>
        </w:tabs>
        <w:spacing w:line="340" w:lineRule="exact"/>
        <w:ind w:firstLine="448" w:firstLineChars="201"/>
        <w:rPr>
          <w:rFonts w:ascii="宋体" w:hAnsi="宋体" w:cs="宋体"/>
          <w:color w:val="auto"/>
          <w:sz w:val="22"/>
          <w:highlight w:val="none"/>
        </w:rPr>
      </w:pPr>
      <w:r>
        <w:rPr>
          <w:rFonts w:hint="eastAsia" w:ascii="宋体" w:hAnsi="宋体" w:cs="宋体"/>
          <w:color w:val="auto"/>
          <w:sz w:val="22"/>
          <w:highlight w:val="none"/>
        </w:rPr>
        <w:t>6、利益冲突：近三年内直至目前，我公司与本项目的采购人、招标代理机构没有任何的隶属关系。</w:t>
      </w:r>
    </w:p>
    <w:p w14:paraId="4AAD0961">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rPr>
        <w:t>7、我公司没有被各级、各地财政监管部门限制参加政府采购活动，且在限制期内。</w:t>
      </w:r>
    </w:p>
    <w:p w14:paraId="7983F83B">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8、愿意向贵方提供任何与该项投标有关的数据、情况和技术资料，完全理解贵方不一定接受最低价的投标或收到的任何投标。</w:t>
      </w:r>
    </w:p>
    <w:p w14:paraId="1F430518">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9、本投标自开标之日起90天内有效。</w:t>
      </w:r>
    </w:p>
    <w:p w14:paraId="5CA1CF37">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10、与本投标有关的一切往来通讯请寄：</w:t>
      </w:r>
    </w:p>
    <w:p w14:paraId="616DF5C3">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u w:val="single"/>
        </w:rPr>
      </w:pPr>
      <w:r>
        <w:rPr>
          <w:rFonts w:hint="eastAsia" w:ascii="宋体" w:hAnsi="宋体" w:cs="宋体"/>
          <w:color w:val="auto"/>
          <w:sz w:val="22"/>
          <w:highlight w:val="none"/>
          <w:lang w:val="zh-CN"/>
        </w:rPr>
        <w:t>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邮编：</w:t>
      </w:r>
      <w:r>
        <w:rPr>
          <w:rFonts w:hint="eastAsia" w:ascii="宋体" w:hAnsi="宋体" w:cs="宋体"/>
          <w:color w:val="auto"/>
          <w:sz w:val="22"/>
          <w:highlight w:val="none"/>
          <w:u w:val="single"/>
        </w:rPr>
        <w:t xml:space="preserve">                     </w:t>
      </w:r>
    </w:p>
    <w:p w14:paraId="440FF388">
      <w:pPr>
        <w:tabs>
          <w:tab w:val="left" w:pos="1069"/>
          <w:tab w:val="left" w:pos="2352"/>
        </w:tabs>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传真：</w:t>
      </w:r>
      <w:r>
        <w:rPr>
          <w:rFonts w:hint="eastAsia" w:ascii="宋体" w:hAnsi="宋体" w:cs="宋体"/>
          <w:color w:val="auto"/>
          <w:sz w:val="22"/>
          <w:highlight w:val="none"/>
          <w:u w:val="single"/>
        </w:rPr>
        <w:t xml:space="preserve">                     </w:t>
      </w:r>
    </w:p>
    <w:p w14:paraId="11644733">
      <w:pPr>
        <w:pStyle w:val="10"/>
        <w:tabs>
          <w:tab w:val="left" w:pos="1069"/>
          <w:tab w:val="left" w:pos="2352"/>
        </w:tabs>
        <w:spacing w:line="440" w:lineRule="atLeast"/>
        <w:rPr>
          <w:rFonts w:hAnsi="宋体" w:cs="宋体"/>
          <w:b/>
          <w:color w:val="auto"/>
          <w:sz w:val="22"/>
          <w:highlight w:val="none"/>
        </w:rPr>
      </w:pPr>
      <w:r>
        <w:rPr>
          <w:rFonts w:hint="eastAsia" w:hAnsi="宋体" w:cs="宋体"/>
          <w:color w:val="auto"/>
          <w:sz w:val="22"/>
          <w:highlight w:val="none"/>
        </w:rPr>
        <w:t>供应商全称：（盖章）</w:t>
      </w:r>
    </w:p>
    <w:p w14:paraId="768E58CE">
      <w:pPr>
        <w:pStyle w:val="10"/>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44095F9A">
      <w:pPr>
        <w:pStyle w:val="10"/>
        <w:tabs>
          <w:tab w:val="left" w:pos="1069"/>
          <w:tab w:val="left" w:pos="2352"/>
        </w:tabs>
        <w:spacing w:line="440" w:lineRule="atLeast"/>
        <w:rPr>
          <w:rFonts w:hAnsi="宋体" w:cs="宋体"/>
          <w:b/>
          <w:color w:val="auto"/>
          <w:sz w:val="22"/>
          <w:highlight w:val="none"/>
          <w:lang w:val="zh-CN"/>
        </w:rPr>
      </w:pPr>
      <w:r>
        <w:rPr>
          <w:rFonts w:hint="eastAsia" w:hAnsi="宋体" w:cs="宋体"/>
          <w:color w:val="auto"/>
          <w:sz w:val="22"/>
          <w:highlight w:val="none"/>
        </w:rPr>
        <w:t>日期：</w:t>
      </w:r>
    </w:p>
    <w:p w14:paraId="088C74C3">
      <w:pPr>
        <w:tabs>
          <w:tab w:val="left" w:pos="1069"/>
          <w:tab w:val="left" w:pos="2352"/>
        </w:tabs>
        <w:spacing w:line="360" w:lineRule="exact"/>
        <w:jc w:val="left"/>
        <w:rPr>
          <w:rFonts w:ascii="宋体" w:hAnsi="宋体" w:cs="宋体"/>
          <w:color w:val="auto"/>
          <w:sz w:val="22"/>
          <w:highlight w:val="none"/>
        </w:rPr>
      </w:pPr>
    </w:p>
    <w:p w14:paraId="2B456DE8">
      <w:pPr>
        <w:tabs>
          <w:tab w:val="left" w:pos="1069"/>
          <w:tab w:val="left" w:pos="2352"/>
        </w:tabs>
        <w:spacing w:line="360" w:lineRule="exact"/>
        <w:jc w:val="left"/>
        <w:rPr>
          <w:rFonts w:ascii="宋体" w:hAnsi="宋体" w:cs="宋体"/>
          <w:color w:val="auto"/>
          <w:sz w:val="22"/>
          <w:highlight w:val="none"/>
        </w:rPr>
      </w:pPr>
    </w:p>
    <w:p w14:paraId="172AF221">
      <w:pPr>
        <w:tabs>
          <w:tab w:val="left" w:pos="1069"/>
          <w:tab w:val="left" w:pos="2352"/>
        </w:tabs>
        <w:spacing w:line="360" w:lineRule="exact"/>
        <w:jc w:val="left"/>
        <w:rPr>
          <w:rFonts w:ascii="宋体" w:hAnsi="宋体" w:cs="宋体"/>
          <w:b/>
          <w:bCs/>
          <w:color w:val="auto"/>
          <w:sz w:val="30"/>
          <w:highlight w:val="none"/>
        </w:rPr>
      </w:pPr>
    </w:p>
    <w:p w14:paraId="0F70392E">
      <w:pPr>
        <w:pStyle w:val="5"/>
        <w:tabs>
          <w:tab w:val="left" w:pos="1069"/>
          <w:tab w:val="left" w:pos="2352"/>
        </w:tabs>
        <w:rPr>
          <w:color w:val="auto"/>
          <w:highlight w:val="none"/>
        </w:rPr>
      </w:pPr>
    </w:p>
    <w:p w14:paraId="242215E8">
      <w:pPr>
        <w:tabs>
          <w:tab w:val="left" w:pos="1069"/>
          <w:tab w:val="left" w:pos="2352"/>
        </w:tabs>
        <w:spacing w:line="360" w:lineRule="exact"/>
        <w:jc w:val="left"/>
        <w:rPr>
          <w:rFonts w:ascii="宋体" w:hAnsi="宋体" w:cs="宋体"/>
          <w:color w:val="auto"/>
          <w:sz w:val="22"/>
          <w:highlight w:val="none"/>
        </w:rPr>
      </w:pPr>
      <w:r>
        <w:rPr>
          <w:rFonts w:hint="eastAsia" w:ascii="宋体" w:hAnsi="宋体" w:cs="宋体"/>
          <w:b/>
          <w:bCs/>
          <w:color w:val="auto"/>
          <w:sz w:val="30"/>
          <w:highlight w:val="none"/>
        </w:rPr>
        <w:t>附件六</w:t>
      </w:r>
    </w:p>
    <w:p w14:paraId="79F5CCA9">
      <w:pPr>
        <w:tabs>
          <w:tab w:val="left" w:pos="1069"/>
          <w:tab w:val="left" w:pos="2352"/>
        </w:tabs>
        <w:spacing w:line="360" w:lineRule="exact"/>
        <w:jc w:val="center"/>
        <w:rPr>
          <w:rFonts w:ascii="宋体" w:hAnsi="宋体" w:cs="宋体"/>
          <w:b/>
          <w:bCs/>
          <w:color w:val="auto"/>
          <w:sz w:val="30"/>
          <w:highlight w:val="none"/>
          <w:lang w:val="zh-CN"/>
        </w:rPr>
      </w:pPr>
      <w:bookmarkStart w:id="80" w:name="_Toc15399_WPSOffice_Level3"/>
      <w:r>
        <w:rPr>
          <w:rFonts w:hint="eastAsia" w:ascii="宋体" w:hAnsi="宋体" w:cs="宋体"/>
          <w:b/>
          <w:bCs/>
          <w:color w:val="auto"/>
          <w:sz w:val="30"/>
          <w:highlight w:val="none"/>
          <w:lang w:val="zh-CN"/>
        </w:rPr>
        <w:t>供应商参与政府采购活动投标资格声明函</w:t>
      </w:r>
      <w:bookmarkEnd w:id="80"/>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220E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19ED4458">
            <w:pPr>
              <w:pStyle w:val="10"/>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tcPr>
          <w:p w14:paraId="0D01F471">
            <w:pPr>
              <w:pStyle w:val="10"/>
              <w:tabs>
                <w:tab w:val="left" w:pos="1069"/>
                <w:tab w:val="left" w:pos="2352"/>
              </w:tabs>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2024年泰顺县森林资源动态监测与评价</w:t>
            </w:r>
          </w:p>
        </w:tc>
      </w:tr>
      <w:tr w14:paraId="0327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0FD48E05">
            <w:pPr>
              <w:pStyle w:val="10"/>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tcPr>
          <w:p w14:paraId="5EDCA676">
            <w:pPr>
              <w:pStyle w:val="10"/>
              <w:tabs>
                <w:tab w:val="left" w:pos="1069"/>
                <w:tab w:val="left" w:pos="2352"/>
              </w:tabs>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TSCG202409011</w:t>
            </w:r>
          </w:p>
        </w:tc>
      </w:tr>
      <w:tr w14:paraId="01E4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5403FD69">
            <w:pPr>
              <w:pStyle w:val="10"/>
              <w:tabs>
                <w:tab w:val="left" w:pos="1069"/>
                <w:tab w:val="left" w:pos="2352"/>
              </w:tabs>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tcPr>
          <w:p w14:paraId="50AA3357">
            <w:pPr>
              <w:pStyle w:val="10"/>
              <w:tabs>
                <w:tab w:val="left" w:pos="1069"/>
                <w:tab w:val="left" w:pos="2352"/>
              </w:tabs>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本项目投标截止时间</w:t>
            </w:r>
          </w:p>
        </w:tc>
      </w:tr>
      <w:tr w14:paraId="75F4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75AA764C">
            <w:pPr>
              <w:pStyle w:val="10"/>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1、根据政府采购法第二十二条规定，我单位满足以下条件，并已经在《资格文件》中提供了相应的证明材料：</w:t>
            </w:r>
          </w:p>
          <w:p w14:paraId="72013691">
            <w:pPr>
              <w:pStyle w:val="10"/>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p>
          <w:p w14:paraId="4E8F8DF2">
            <w:pPr>
              <w:pStyle w:val="10"/>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61415748">
            <w:pPr>
              <w:pStyle w:val="10"/>
              <w:tabs>
                <w:tab w:val="left" w:pos="1069"/>
                <w:tab w:val="left" w:pos="2352"/>
              </w:tabs>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3、我单位没有被各地、各级财政部门限制参加政府采购活动，且在限制期内：</w:t>
            </w:r>
          </w:p>
          <w:p w14:paraId="598F3998">
            <w:pPr>
              <w:tabs>
                <w:tab w:val="left" w:pos="1069"/>
                <w:tab w:val="left" w:pos="2352"/>
                <w:tab w:val="center" w:pos="4483"/>
              </w:tabs>
              <w:adjustRightInd w:val="0"/>
              <w:spacing w:line="360" w:lineRule="auto"/>
              <w:ind w:firstLine="400"/>
              <w:rPr>
                <w:rFonts w:ascii="宋体" w:hAnsi="宋体" w:cs="宋体"/>
                <w:color w:val="auto"/>
                <w:szCs w:val="21"/>
                <w:highlight w:val="none"/>
                <w:u w:val="single"/>
              </w:rPr>
            </w:pPr>
            <w:r>
              <w:rPr>
                <w:rFonts w:hint="eastAsia" w:ascii="宋体" w:hAns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r>
              <w:rPr>
                <w:rFonts w:hint="eastAsia" w:ascii="宋体" w:hAnsi="宋体" w:cs="宋体"/>
                <w:color w:val="auto"/>
                <w:szCs w:val="21"/>
                <w:highlight w:val="none"/>
                <w:u w:val="single"/>
              </w:rPr>
              <w:t>（若无则说明无）。</w:t>
            </w:r>
          </w:p>
          <w:p w14:paraId="1B0DC801">
            <w:pPr>
              <w:tabs>
                <w:tab w:val="left" w:pos="1069"/>
                <w:tab w:val="left" w:pos="2352"/>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rPr>
              <w:t>5、我单位符合本项目特定资格条件：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要求，并在《资格文件》中提供了相应的证明材料</w:t>
            </w:r>
            <w:r>
              <w:rPr>
                <w:rFonts w:hint="eastAsia" w:ascii="宋体" w:hAnsi="宋体" w:cs="宋体"/>
                <w:color w:val="auto"/>
                <w:szCs w:val="21"/>
                <w:highlight w:val="none"/>
                <w:u w:val="single"/>
              </w:rPr>
              <w:t>（竞争性磋商文件没有要求特定资格条件的，本条款空格处可以空白）</w:t>
            </w:r>
          </w:p>
          <w:p w14:paraId="2A21C2CC">
            <w:pPr>
              <w:tabs>
                <w:tab w:val="left" w:pos="1069"/>
                <w:tab w:val="left" w:pos="2352"/>
                <w:tab w:val="center" w:pos="4483"/>
              </w:tabs>
              <w:adjustRightInd w:val="0"/>
              <w:spacing w:line="360" w:lineRule="auto"/>
              <w:ind w:firstLine="426" w:firstLineChars="200"/>
              <w:rPr>
                <w:rFonts w:ascii="宋体" w:hAnsi="宋体" w:cs="宋体"/>
                <w:color w:val="auto"/>
                <w:sz w:val="20"/>
                <w:highlight w:val="none"/>
              </w:rPr>
            </w:pPr>
            <w:r>
              <w:rPr>
                <w:rFonts w:hint="eastAsia" w:ascii="宋体" w:hAnsi="宋体" w:cs="宋体"/>
                <w:color w:val="auto"/>
                <w:szCs w:val="21"/>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50E1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28E341F3">
            <w:pPr>
              <w:pStyle w:val="10"/>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14:paraId="182E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32FE68F5">
            <w:pPr>
              <w:pStyle w:val="10"/>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14:paraId="3F17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47674F9C">
            <w:pPr>
              <w:pStyle w:val="10"/>
              <w:tabs>
                <w:tab w:val="left" w:pos="1069"/>
                <w:tab w:val="left" w:pos="2352"/>
              </w:tabs>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签署日期：</w:t>
            </w:r>
          </w:p>
        </w:tc>
      </w:tr>
    </w:tbl>
    <w:p w14:paraId="3664159E">
      <w:pPr>
        <w:tabs>
          <w:tab w:val="left" w:pos="1069"/>
          <w:tab w:val="left" w:pos="2352"/>
        </w:tabs>
        <w:spacing w:line="360" w:lineRule="exact"/>
        <w:jc w:val="left"/>
        <w:rPr>
          <w:rFonts w:ascii="宋体" w:hAnsi="宋体" w:cs="宋体"/>
          <w:bCs/>
          <w:color w:val="auto"/>
          <w:sz w:val="22"/>
          <w:highlight w:val="none"/>
          <w:u w:val="single"/>
        </w:rPr>
      </w:pPr>
    </w:p>
    <w:p w14:paraId="67E379CA">
      <w:pPr>
        <w:tabs>
          <w:tab w:val="left" w:pos="1069"/>
          <w:tab w:val="left" w:pos="2352"/>
        </w:tabs>
        <w:spacing w:line="360" w:lineRule="exact"/>
        <w:jc w:val="left"/>
        <w:rPr>
          <w:rFonts w:ascii="宋体" w:hAnsi="宋体" w:cs="宋体"/>
          <w:bCs/>
          <w:color w:val="auto"/>
          <w:sz w:val="22"/>
          <w:highlight w:val="none"/>
          <w:u w:val="single"/>
        </w:rPr>
      </w:pPr>
      <w:r>
        <w:rPr>
          <w:rFonts w:hint="eastAsia" w:ascii="宋体" w:hAnsi="宋体" w:cs="宋体"/>
          <w:bCs/>
          <w:color w:val="auto"/>
          <w:sz w:val="22"/>
          <w:highlight w:val="none"/>
          <w:u w:val="single"/>
        </w:rPr>
        <w:t>备注：▲投标供应商必须按要求提供本声明，不提供按无效投标处理。</w:t>
      </w:r>
    </w:p>
    <w:p w14:paraId="161D7DCF">
      <w:pPr>
        <w:tabs>
          <w:tab w:val="left" w:pos="1069"/>
          <w:tab w:val="left" w:pos="2352"/>
        </w:tabs>
        <w:spacing w:line="360" w:lineRule="exact"/>
        <w:jc w:val="left"/>
        <w:rPr>
          <w:rFonts w:ascii="宋体" w:hAnsi="宋体" w:cs="宋体"/>
          <w:b/>
          <w:bCs/>
          <w:color w:val="auto"/>
          <w:sz w:val="32"/>
          <w:szCs w:val="32"/>
          <w:highlight w:val="none"/>
        </w:rPr>
      </w:pPr>
    </w:p>
    <w:p w14:paraId="127C2F9F">
      <w:pPr>
        <w:tabs>
          <w:tab w:val="left" w:pos="1069"/>
          <w:tab w:val="left" w:pos="2352"/>
        </w:tabs>
        <w:spacing w:line="360" w:lineRule="exact"/>
        <w:jc w:val="left"/>
        <w:rPr>
          <w:rFonts w:ascii="宋体" w:hAnsi="宋体" w:cs="宋体"/>
          <w:b/>
          <w:bCs/>
          <w:color w:val="auto"/>
          <w:sz w:val="32"/>
          <w:szCs w:val="32"/>
          <w:highlight w:val="none"/>
        </w:rPr>
      </w:pPr>
    </w:p>
    <w:p w14:paraId="2F34464F">
      <w:pPr>
        <w:tabs>
          <w:tab w:val="left" w:pos="1069"/>
          <w:tab w:val="left" w:pos="2352"/>
        </w:tabs>
        <w:spacing w:line="360" w:lineRule="exact"/>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t>附件七</w:t>
      </w:r>
    </w:p>
    <w:p w14:paraId="143A06A8">
      <w:pPr>
        <w:tabs>
          <w:tab w:val="left" w:pos="1069"/>
          <w:tab w:val="left" w:pos="2352"/>
        </w:tabs>
        <w:jc w:val="center"/>
        <w:rPr>
          <w:rFonts w:ascii="宋体" w:hAnsi="宋体" w:cs="宋体"/>
          <w:color w:val="auto"/>
          <w:sz w:val="24"/>
          <w:highlight w:val="none"/>
        </w:rPr>
      </w:pPr>
      <w:bookmarkStart w:id="81" w:name="_Toc7010_WPSOffice_Level3"/>
      <w:r>
        <w:rPr>
          <w:rFonts w:hint="eastAsia" w:ascii="宋体" w:hAnsi="宋体" w:cs="宋体"/>
          <w:b/>
          <w:bCs/>
          <w:color w:val="auto"/>
          <w:sz w:val="32"/>
          <w:szCs w:val="32"/>
          <w:highlight w:val="none"/>
        </w:rPr>
        <w:t>法定代表人诚信投标承诺书</w:t>
      </w:r>
      <w:bookmarkEnd w:id="81"/>
    </w:p>
    <w:p w14:paraId="4A9EB63E">
      <w:pPr>
        <w:tabs>
          <w:tab w:val="left" w:pos="1069"/>
          <w:tab w:val="left" w:pos="2352"/>
        </w:tabs>
        <w:spacing w:line="460" w:lineRule="atLeast"/>
        <w:jc w:val="left"/>
        <w:rPr>
          <w:rFonts w:ascii="宋体" w:hAnsi="宋体" w:cs="宋体"/>
          <w:color w:val="auto"/>
          <w:sz w:val="22"/>
          <w:highlight w:val="none"/>
        </w:rPr>
      </w:pPr>
      <w:r>
        <w:rPr>
          <w:rFonts w:hint="eastAsia" w:ascii="宋体" w:hAnsi="宋体" w:cs="宋体"/>
          <w:color w:val="auto"/>
          <w:sz w:val="22"/>
          <w:highlight w:val="none"/>
        </w:rPr>
        <w:t>本人以企业法定代表人的身份郑重承诺：</w:t>
      </w:r>
    </w:p>
    <w:p w14:paraId="39FCBD5E">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将遵循公开、公平、公正和诚信信用的原则参加</w:t>
      </w:r>
      <w:r>
        <w:rPr>
          <w:rFonts w:hint="eastAsia" w:ascii="宋体" w:hAnsi="宋体" w:cs="宋体"/>
          <w:color w:val="auto"/>
          <w:sz w:val="22"/>
          <w:highlight w:val="none"/>
          <w:u w:val="single"/>
        </w:rPr>
        <w:t>2024年泰顺县森林资源动态监测与评价（采购编号：</w:t>
      </w:r>
      <w:r>
        <w:rPr>
          <w:rFonts w:hint="eastAsia" w:ascii="宋体" w:hAnsi="宋体" w:cs="宋体"/>
          <w:color w:val="auto"/>
          <w:sz w:val="22"/>
          <w:highlight w:val="none"/>
          <w:u w:val="single"/>
          <w:lang w:eastAsia="zh-CN"/>
        </w:rPr>
        <w:t>TSCG202409011</w:t>
      </w:r>
      <w:r>
        <w:rPr>
          <w:rFonts w:hint="eastAsia" w:ascii="宋体" w:hAnsi="宋体" w:cs="宋体"/>
          <w:color w:val="auto"/>
          <w:sz w:val="22"/>
          <w:highlight w:val="none"/>
          <w:u w:val="single"/>
        </w:rPr>
        <w:t>）</w:t>
      </w:r>
      <w:r>
        <w:rPr>
          <w:rFonts w:hint="eastAsia" w:ascii="宋体" w:hAnsi="宋体" w:cs="宋体"/>
          <w:color w:val="auto"/>
          <w:sz w:val="22"/>
          <w:highlight w:val="none"/>
        </w:rPr>
        <w:t>的投标；</w:t>
      </w:r>
    </w:p>
    <w:p w14:paraId="4E56E55B">
      <w:pPr>
        <w:tabs>
          <w:tab w:val="left" w:pos="1069"/>
          <w:tab w:val="left" w:pos="2352"/>
        </w:tabs>
        <w:spacing w:line="460" w:lineRule="atLeast"/>
        <w:ind w:firstLine="446" w:firstLineChars="200"/>
        <w:jc w:val="left"/>
        <w:rPr>
          <w:rFonts w:ascii="宋体" w:hAnsi="宋体" w:cs="宋体"/>
          <w:color w:val="auto"/>
          <w:sz w:val="22"/>
          <w:highlight w:val="none"/>
          <w:u w:val="single"/>
        </w:rPr>
      </w:pPr>
      <w:r>
        <w:rPr>
          <w:rFonts w:hint="eastAsia" w:ascii="宋体" w:hAnsi="宋体" w:cs="宋体"/>
          <w:color w:val="auto"/>
          <w:sz w:val="22"/>
          <w:highlight w:val="none"/>
        </w:rPr>
        <w:t>一、杜绝以收取管理费等形式的一切挂靠、违法转包、分包行为；并选派有丰富经验、无不良行为记录的在项目管理人员、技术人员，严格按竞争性磋商文件、投标（响应）文件及合同等要求保证拟派人员的到岗率。</w:t>
      </w:r>
    </w:p>
    <w:p w14:paraId="31C861AC">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二、投标（响应）文件所提供的一切材料都是真实、有效、合法的。</w:t>
      </w:r>
    </w:p>
    <w:p w14:paraId="2F4E9219">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三、不与其他投标人相互串通投标报价，不排挤其他投标人的公平竞争，不损害招标人或其他投标人的合法权益。</w:t>
      </w:r>
    </w:p>
    <w:p w14:paraId="418351A3">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四、不与采购人或招标代理机构串通投标，不损害国家利益，社会公共利益或其他人的合法权益。</w:t>
      </w:r>
    </w:p>
    <w:p w14:paraId="1C1ABB44">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五、不向采购人或者评审小组成员行贿以牟取中标(成交)。</w:t>
      </w:r>
    </w:p>
    <w:p w14:paraId="3BBEE181">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六、不以其他人名义投标或者以其他方式弄虚作假，骗取中标(成交)。</w:t>
      </w:r>
    </w:p>
    <w:p w14:paraId="16EB9240">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七、不在开标后进行虚假恶意投诉。</w:t>
      </w:r>
    </w:p>
    <w:p w14:paraId="4D8105A5">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58B36DE8">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九、没有被各地、各级财政部门禁止参加政府采购活动，且在限制期限内：</w:t>
      </w:r>
    </w:p>
    <w:p w14:paraId="6D7EDA33">
      <w:pPr>
        <w:tabs>
          <w:tab w:val="left" w:pos="1069"/>
          <w:tab w:val="left" w:pos="2352"/>
        </w:tabs>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十、参与本项目政府采购活动3年内没有重大违法记录情况。</w:t>
      </w:r>
    </w:p>
    <w:p w14:paraId="0CB7F111">
      <w:pPr>
        <w:tabs>
          <w:tab w:val="left" w:pos="1069"/>
          <w:tab w:val="left" w:pos="2352"/>
        </w:tabs>
        <w:spacing w:line="46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14:paraId="06370479">
      <w:pPr>
        <w:tabs>
          <w:tab w:val="left" w:pos="1069"/>
          <w:tab w:val="left" w:pos="2352"/>
        </w:tabs>
        <w:spacing w:line="460" w:lineRule="atLeast"/>
        <w:ind w:right="1120" w:firstLine="3010" w:firstLineChars="1350"/>
        <w:rPr>
          <w:rFonts w:ascii="宋体" w:hAnsi="宋体" w:cs="宋体"/>
          <w:color w:val="auto"/>
          <w:sz w:val="22"/>
          <w:highlight w:val="none"/>
        </w:rPr>
      </w:pPr>
      <w:r>
        <w:rPr>
          <w:rFonts w:hint="eastAsia" w:ascii="宋体" w:hAnsi="宋体" w:cs="宋体"/>
          <w:b/>
          <w:bCs/>
          <w:color w:val="auto"/>
          <w:sz w:val="22"/>
          <w:highlight w:val="none"/>
        </w:rPr>
        <w:t>法定代表人（签字或签章）</w:t>
      </w:r>
      <w:r>
        <w:rPr>
          <w:rFonts w:hint="eastAsia" w:ascii="宋体" w:hAnsi="宋体" w:cs="宋体"/>
          <w:color w:val="auto"/>
          <w:sz w:val="22"/>
          <w:highlight w:val="none"/>
        </w:rPr>
        <w:t>：</w:t>
      </w:r>
    </w:p>
    <w:p w14:paraId="09174300">
      <w:pPr>
        <w:tabs>
          <w:tab w:val="left" w:pos="1069"/>
          <w:tab w:val="left" w:pos="2352"/>
        </w:tabs>
        <w:spacing w:line="460" w:lineRule="atLeast"/>
        <w:ind w:right="1120" w:firstLine="3010" w:firstLineChars="1350"/>
        <w:rPr>
          <w:rFonts w:ascii="宋体" w:hAnsi="宋体" w:cs="宋体"/>
          <w:color w:val="auto"/>
          <w:sz w:val="22"/>
          <w:highlight w:val="none"/>
        </w:rPr>
      </w:pPr>
      <w:r>
        <w:rPr>
          <w:rFonts w:hint="eastAsia" w:ascii="宋体" w:hAnsi="宋体" w:cs="宋体"/>
          <w:color w:val="auto"/>
          <w:sz w:val="22"/>
          <w:highlight w:val="none"/>
        </w:rPr>
        <w:t>投标供应商（盖章）</w:t>
      </w:r>
    </w:p>
    <w:p w14:paraId="4F9AC2AE">
      <w:pPr>
        <w:tabs>
          <w:tab w:val="left" w:pos="1069"/>
          <w:tab w:val="left" w:pos="2352"/>
        </w:tabs>
        <w:spacing w:line="460" w:lineRule="atLeast"/>
        <w:ind w:right="1120" w:firstLine="3122" w:firstLineChars="1400"/>
        <w:rPr>
          <w:rFonts w:ascii="宋体" w:hAnsi="宋体" w:cs="宋体"/>
          <w:color w:val="auto"/>
          <w:szCs w:val="21"/>
          <w:highlight w:val="none"/>
        </w:rPr>
      </w:pPr>
      <w:r>
        <w:rPr>
          <w:rFonts w:hint="eastAsia" w:ascii="宋体" w:hAnsi="宋体" w:cs="宋体"/>
          <w:color w:val="auto"/>
          <w:sz w:val="22"/>
          <w:highlight w:val="none"/>
        </w:rPr>
        <w:t>承诺书签署日期：年月日</w:t>
      </w:r>
    </w:p>
    <w:p w14:paraId="4A7F398D">
      <w:pPr>
        <w:tabs>
          <w:tab w:val="left" w:pos="1069"/>
          <w:tab w:val="left" w:pos="2352"/>
        </w:tabs>
        <w:spacing w:line="360" w:lineRule="exact"/>
        <w:jc w:val="left"/>
        <w:rPr>
          <w:rFonts w:ascii="宋体" w:hAnsi="宋体" w:cs="宋体"/>
          <w:color w:val="auto"/>
          <w:sz w:val="30"/>
          <w:highlight w:val="none"/>
        </w:rPr>
      </w:pPr>
      <w:r>
        <w:rPr>
          <w:rFonts w:hint="eastAsia" w:ascii="宋体" w:hAnsi="宋体" w:cs="宋体"/>
          <w:bCs/>
          <w:color w:val="auto"/>
          <w:sz w:val="22"/>
          <w:highlight w:val="none"/>
          <w:u w:val="single"/>
        </w:rPr>
        <w:t>备注：▲投标供应商必须提供本承诺书，不提供按无效投标处理。</w:t>
      </w:r>
    </w:p>
    <w:p w14:paraId="2819BBC1">
      <w:pPr>
        <w:pStyle w:val="10"/>
        <w:tabs>
          <w:tab w:val="left" w:pos="1069"/>
          <w:tab w:val="left" w:pos="2352"/>
        </w:tabs>
        <w:spacing w:line="360" w:lineRule="exact"/>
        <w:jc w:val="center"/>
        <w:rPr>
          <w:rFonts w:hAnsi="宋体" w:cs="宋体"/>
          <w:color w:val="auto"/>
          <w:sz w:val="32"/>
          <w:highlight w:val="none"/>
        </w:rPr>
      </w:pPr>
    </w:p>
    <w:p w14:paraId="44E96D0C">
      <w:pPr>
        <w:tabs>
          <w:tab w:val="left" w:pos="1069"/>
          <w:tab w:val="left" w:pos="2352"/>
        </w:tabs>
        <w:spacing w:line="360" w:lineRule="exact"/>
        <w:jc w:val="left"/>
        <w:rPr>
          <w:rFonts w:ascii="宋体" w:hAnsi="宋体" w:cs="宋体"/>
          <w:color w:val="auto"/>
          <w:sz w:val="30"/>
          <w:highlight w:val="none"/>
        </w:rPr>
      </w:pPr>
    </w:p>
    <w:p w14:paraId="40738FE5">
      <w:pPr>
        <w:pStyle w:val="10"/>
        <w:tabs>
          <w:tab w:val="left" w:pos="1069"/>
          <w:tab w:val="left" w:pos="2352"/>
        </w:tabs>
        <w:spacing w:line="360" w:lineRule="exact"/>
        <w:jc w:val="left"/>
        <w:rPr>
          <w:rFonts w:hAnsi="宋体" w:cs="宋体"/>
          <w:b/>
          <w:bCs/>
          <w:color w:val="auto"/>
          <w:sz w:val="32"/>
          <w:highlight w:val="none"/>
          <w:lang w:val="zh-CN"/>
        </w:rPr>
      </w:pPr>
    </w:p>
    <w:p w14:paraId="05BFB221">
      <w:pPr>
        <w:tabs>
          <w:tab w:val="left" w:pos="2352"/>
        </w:tabs>
        <w:rPr>
          <w:color w:val="auto"/>
          <w:highlight w:val="none"/>
          <w:lang w:val="zh-CN"/>
        </w:rPr>
      </w:pPr>
    </w:p>
    <w:p w14:paraId="579874BB">
      <w:pPr>
        <w:pStyle w:val="10"/>
        <w:tabs>
          <w:tab w:val="left" w:pos="1069"/>
          <w:tab w:val="left" w:pos="2352"/>
        </w:tabs>
        <w:spacing w:line="360" w:lineRule="exact"/>
        <w:jc w:val="left"/>
        <w:rPr>
          <w:rFonts w:hAnsi="宋体" w:cs="宋体"/>
          <w:b/>
          <w:bCs/>
          <w:color w:val="auto"/>
          <w:sz w:val="32"/>
          <w:highlight w:val="none"/>
        </w:rPr>
      </w:pPr>
      <w:r>
        <w:rPr>
          <w:rFonts w:hint="eastAsia" w:hAnsi="宋体" w:cs="宋体"/>
          <w:b/>
          <w:bCs/>
          <w:color w:val="auto"/>
          <w:sz w:val="32"/>
          <w:highlight w:val="none"/>
          <w:lang w:val="zh-CN"/>
        </w:rPr>
        <w:t>附件</w:t>
      </w:r>
      <w:r>
        <w:rPr>
          <w:rFonts w:hint="eastAsia" w:hAnsi="宋体" w:cs="宋体"/>
          <w:b/>
          <w:bCs/>
          <w:color w:val="auto"/>
          <w:sz w:val="32"/>
          <w:highlight w:val="none"/>
        </w:rPr>
        <w:t>八</w:t>
      </w:r>
    </w:p>
    <w:p w14:paraId="47C013C1">
      <w:pPr>
        <w:pStyle w:val="10"/>
        <w:tabs>
          <w:tab w:val="left" w:pos="1069"/>
          <w:tab w:val="left" w:pos="2352"/>
        </w:tabs>
        <w:spacing w:line="360" w:lineRule="exact"/>
        <w:jc w:val="center"/>
        <w:rPr>
          <w:rFonts w:hAnsi="宋体" w:cs="宋体"/>
          <w:b/>
          <w:bCs/>
          <w:color w:val="auto"/>
          <w:sz w:val="32"/>
          <w:highlight w:val="none"/>
          <w:lang w:val="zh-CN"/>
        </w:rPr>
      </w:pPr>
      <w:bookmarkStart w:id="82" w:name="_Toc18541_WPSOffice_Level3"/>
      <w:r>
        <w:rPr>
          <w:rFonts w:hint="eastAsia" w:hAnsi="宋体" w:cs="宋体"/>
          <w:b/>
          <w:bCs/>
          <w:color w:val="auto"/>
          <w:sz w:val="32"/>
          <w:highlight w:val="none"/>
          <w:lang w:val="zh-CN"/>
        </w:rPr>
        <w:t>（一）商务偏离表</w:t>
      </w:r>
      <w:bookmarkEnd w:id="82"/>
    </w:p>
    <w:p w14:paraId="12127C03">
      <w:pPr>
        <w:tabs>
          <w:tab w:val="left" w:pos="1069"/>
          <w:tab w:val="left" w:pos="2352"/>
        </w:tabs>
        <w:autoSpaceDE w:val="0"/>
        <w:autoSpaceDN w:val="0"/>
        <w:adjustRightInd w:val="0"/>
        <w:spacing w:line="360" w:lineRule="exact"/>
        <w:jc w:val="center"/>
        <w:rPr>
          <w:rFonts w:ascii="宋体" w:hAnsi="宋体" w:cs="宋体"/>
          <w:color w:val="auto"/>
          <w:sz w:val="32"/>
          <w:highlight w:val="none"/>
          <w:lang w:val="zh-CN"/>
        </w:rPr>
      </w:pPr>
    </w:p>
    <w:tbl>
      <w:tblPr>
        <w:tblStyle w:val="26"/>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64B91795">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5847D02F">
            <w:pPr>
              <w:tabs>
                <w:tab w:val="left" w:pos="1069"/>
                <w:tab w:val="left" w:pos="2352"/>
              </w:tabs>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273A58C3">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6272F85C">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7DB63518">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投标（响应）文件</w:t>
            </w:r>
          </w:p>
          <w:p w14:paraId="560ABAB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60B5E29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备注</w:t>
            </w:r>
          </w:p>
        </w:tc>
      </w:tr>
      <w:tr w14:paraId="0F1114C8">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FCE0DF3">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2CCD8D9">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5391E09">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6298783">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80C56F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44BBCA23">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A2876AC">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031B751">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BB73011">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50B74E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7A2502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7CA3D824">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477F285E">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DB695C9">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68D909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D741FF2">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F6B4FEF">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43DBD4E0">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158EA6B1">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18C2B63">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52540B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A68E83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1B051B1">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24023ABA">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60B1627">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327AA5A">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988D510">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06858B6">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034CEA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6632643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83A4F8F">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185FD9B">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AEEAC64">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7A56F65">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989A918">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12B4C93B">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06FABEF0">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D1E3122">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E9E84DE">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87BDEFE">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C2CE655">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2E3533A8">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5098D788">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69F9624">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CB5C523">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3A97C09">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8563F95">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r w14:paraId="5CFC7856">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7C2FEE80">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9ADDA75">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967B103">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A472574">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DC27C4C">
            <w:pPr>
              <w:tabs>
                <w:tab w:val="left" w:pos="1069"/>
                <w:tab w:val="left" w:pos="2352"/>
              </w:tabs>
              <w:autoSpaceDE w:val="0"/>
              <w:autoSpaceDN w:val="0"/>
              <w:adjustRightInd w:val="0"/>
              <w:spacing w:line="360" w:lineRule="exact"/>
              <w:jc w:val="center"/>
              <w:rPr>
                <w:rFonts w:ascii="宋体" w:hAnsi="宋体" w:cs="宋体"/>
                <w:color w:val="auto"/>
                <w:sz w:val="24"/>
                <w:highlight w:val="none"/>
                <w:lang w:val="zh-CN"/>
              </w:rPr>
            </w:pPr>
          </w:p>
        </w:tc>
      </w:tr>
    </w:tbl>
    <w:p w14:paraId="611284E8">
      <w:pPr>
        <w:tabs>
          <w:tab w:val="left" w:pos="1069"/>
          <w:tab w:val="left" w:pos="2352"/>
        </w:tabs>
        <w:autoSpaceDE w:val="0"/>
        <w:autoSpaceDN w:val="0"/>
        <w:adjustRightInd w:val="0"/>
        <w:spacing w:line="360" w:lineRule="exac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p>
    <w:p w14:paraId="4EBB1593">
      <w:pPr>
        <w:tabs>
          <w:tab w:val="left" w:pos="1069"/>
          <w:tab w:val="left" w:pos="2352"/>
        </w:tabs>
        <w:autoSpaceDE w:val="0"/>
        <w:autoSpaceDN w:val="0"/>
        <w:adjustRightInd w:val="0"/>
        <w:spacing w:line="360" w:lineRule="exact"/>
        <w:rPr>
          <w:rFonts w:ascii="宋体" w:hAnsi="宋体" w:cs="宋体"/>
          <w:color w:val="auto"/>
          <w:sz w:val="32"/>
          <w:highlight w:val="none"/>
          <w:lang w:val="zh-CN"/>
        </w:rPr>
      </w:pPr>
    </w:p>
    <w:p w14:paraId="29D2A5EC">
      <w:pPr>
        <w:pStyle w:val="10"/>
        <w:tabs>
          <w:tab w:val="left" w:pos="1069"/>
          <w:tab w:val="left" w:pos="2352"/>
        </w:tabs>
        <w:spacing w:line="360" w:lineRule="exact"/>
        <w:jc w:val="center"/>
        <w:rPr>
          <w:rFonts w:hAnsi="宋体" w:cs="宋体"/>
          <w:b/>
          <w:bCs/>
          <w:color w:val="auto"/>
          <w:sz w:val="32"/>
          <w:highlight w:val="none"/>
          <w:lang w:val="zh-CN"/>
        </w:rPr>
      </w:pPr>
      <w:bookmarkStart w:id="83" w:name="_Toc4031_WPSOffice_Level3"/>
      <w:r>
        <w:rPr>
          <w:rFonts w:hint="eastAsia" w:hAnsi="宋体" w:cs="宋体"/>
          <w:b/>
          <w:bCs/>
          <w:color w:val="auto"/>
          <w:sz w:val="32"/>
          <w:highlight w:val="none"/>
          <w:lang w:val="zh-CN"/>
        </w:rPr>
        <w:t>（二）技术偏离表</w:t>
      </w:r>
      <w:bookmarkEnd w:id="83"/>
    </w:p>
    <w:tbl>
      <w:tblPr>
        <w:tblStyle w:val="26"/>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32D92698">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73468C54">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6B2ABBAF">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2B5FD68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601EEE87">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投标（响应）文件</w:t>
            </w:r>
          </w:p>
          <w:p w14:paraId="0416D78B">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223F48A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备注</w:t>
            </w:r>
          </w:p>
        </w:tc>
      </w:tr>
      <w:tr w14:paraId="79C88071">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2506FD0">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18662F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7CE0F5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D5375C4">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B664516">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31C8B69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A31DEE6">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628771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1632D2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A472D37">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8F8C3B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77A2ED3F">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1BB260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4C97E84">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766E960">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80CA1B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46918C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3932D79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F29AB6B">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EDEC88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F4D85D2">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3DE471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759C7D2">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591C43E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D31B318">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A576D7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952BFCF">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D8D939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6CD6D42">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52B4C964">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762296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BC590A5">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C1FC050">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72454AB">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913D99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0A5041C8">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B2CB64C">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5FB0791">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C668923">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E701CD8">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C79478D">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696282E6">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5508296">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4A881077">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84B59C4">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CB6EE12">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DAFBAE6">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r w14:paraId="76CED18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3FE926F">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2707C062">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1978499">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8FC40BE">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F271B3A">
            <w:pPr>
              <w:tabs>
                <w:tab w:val="left" w:pos="1069"/>
                <w:tab w:val="left" w:pos="2352"/>
              </w:tabs>
              <w:autoSpaceDE w:val="0"/>
              <w:autoSpaceDN w:val="0"/>
              <w:adjustRightInd w:val="0"/>
              <w:spacing w:line="360" w:lineRule="exact"/>
              <w:jc w:val="center"/>
              <w:rPr>
                <w:rFonts w:ascii="宋体" w:hAnsi="宋体" w:cs="宋体"/>
                <w:color w:val="auto"/>
                <w:sz w:val="22"/>
                <w:highlight w:val="none"/>
                <w:lang w:val="zh-CN"/>
              </w:rPr>
            </w:pPr>
          </w:p>
        </w:tc>
      </w:tr>
    </w:tbl>
    <w:p w14:paraId="24E4FB4B">
      <w:pPr>
        <w:tabs>
          <w:tab w:val="left" w:pos="1069"/>
          <w:tab w:val="left" w:pos="2352"/>
        </w:tabs>
        <w:spacing w:line="360" w:lineRule="exact"/>
        <w:rPr>
          <w:rFonts w:ascii="宋体" w:hAnsi="宋体" w:cs="宋体"/>
          <w:color w:val="auto"/>
          <w:spacing w:val="20"/>
          <w:sz w:val="22"/>
          <w:highlight w:val="none"/>
        </w:rPr>
      </w:pPr>
      <w:r>
        <w:rPr>
          <w:rFonts w:hint="eastAsia" w:ascii="宋体" w:hAnsi="宋体" w:cs="宋体"/>
          <w:color w:val="auto"/>
          <w:sz w:val="22"/>
          <w:highlight w:val="none"/>
          <w:lang w:val="zh-CN"/>
        </w:rPr>
        <w:t>供应商盖章：</w:t>
      </w:r>
    </w:p>
    <w:p w14:paraId="1289EB4B">
      <w:pPr>
        <w:tabs>
          <w:tab w:val="left" w:pos="1069"/>
          <w:tab w:val="left" w:pos="2352"/>
        </w:tabs>
        <w:rPr>
          <w:rFonts w:ascii="宋体" w:hAnsi="宋体" w:cs="宋体"/>
          <w:color w:val="auto"/>
          <w:highlight w:val="none"/>
        </w:rPr>
      </w:pPr>
      <w:bookmarkStart w:id="84" w:name="_Toc30988_WPSOffice_Level2"/>
      <w:r>
        <w:rPr>
          <w:rFonts w:hint="eastAsia" w:ascii="宋体" w:hAnsi="宋体" w:cs="宋体"/>
          <w:color w:val="auto"/>
          <w:highlight w:val="none"/>
        </w:rPr>
        <w:t>备注：1</w:t>
      </w:r>
      <w:r>
        <w:rPr>
          <w:rFonts w:ascii="宋体" w:hAnsi="宋体" w:cs="宋体"/>
          <w:color w:val="auto"/>
          <w:highlight w:val="none"/>
        </w:rPr>
        <w:t>.</w:t>
      </w:r>
      <w:r>
        <w:rPr>
          <w:rFonts w:hint="eastAsia" w:ascii="宋体" w:hAnsi="宋体" w:cs="宋体"/>
          <w:color w:val="auto"/>
          <w:highlight w:val="none"/>
        </w:rPr>
        <w:t>表格可以延续</w:t>
      </w:r>
      <w:bookmarkEnd w:id="84"/>
    </w:p>
    <w:p w14:paraId="79B1F955">
      <w:pPr>
        <w:pStyle w:val="25"/>
        <w:ind w:left="856" w:hanging="428"/>
        <w:rPr>
          <w:rFonts w:cs="Times New Roman"/>
          <w:color w:val="auto"/>
          <w:highlight w:val="none"/>
        </w:rPr>
      </w:pPr>
      <w:r>
        <w:rPr>
          <w:color w:val="auto"/>
          <w:highlight w:val="none"/>
        </w:rPr>
        <w:t>2.</w:t>
      </w:r>
      <w:r>
        <w:rPr>
          <w:rFonts w:hint="eastAsia"/>
          <w:color w:val="auto"/>
          <w:highlight w:val="none"/>
        </w:rPr>
        <w:t>如不填写，则视为完全响应招标文件要求</w:t>
      </w:r>
    </w:p>
    <w:p w14:paraId="2ADFD3D9">
      <w:pPr>
        <w:pStyle w:val="10"/>
        <w:tabs>
          <w:tab w:val="left" w:pos="1069"/>
          <w:tab w:val="left" w:pos="2352"/>
        </w:tabs>
        <w:spacing w:line="360" w:lineRule="exact"/>
        <w:rPr>
          <w:rFonts w:hAnsi="宋体" w:cs="宋体"/>
          <w:color w:val="auto"/>
          <w:sz w:val="22"/>
          <w:highlight w:val="none"/>
        </w:rPr>
      </w:pPr>
    </w:p>
    <w:p w14:paraId="442BFAD6">
      <w:pPr>
        <w:tabs>
          <w:tab w:val="left" w:pos="1069"/>
          <w:tab w:val="left" w:pos="2352"/>
        </w:tabs>
        <w:rPr>
          <w:rFonts w:ascii="宋体" w:hAnsi="宋体" w:cs="宋体"/>
          <w:b/>
          <w:bCs/>
          <w:color w:val="auto"/>
          <w:sz w:val="32"/>
          <w:szCs w:val="32"/>
          <w:highlight w:val="none"/>
        </w:rPr>
      </w:pPr>
    </w:p>
    <w:p w14:paraId="24011B3E">
      <w:pPr>
        <w:tabs>
          <w:tab w:val="left" w:pos="1069"/>
          <w:tab w:val="left" w:pos="2352"/>
        </w:tabs>
        <w:rPr>
          <w:rFonts w:ascii="宋体" w:hAnsi="宋体" w:cs="宋体"/>
          <w:b/>
          <w:bCs/>
          <w:color w:val="auto"/>
          <w:sz w:val="32"/>
          <w:szCs w:val="32"/>
          <w:highlight w:val="none"/>
        </w:rPr>
      </w:pPr>
    </w:p>
    <w:p w14:paraId="5F332C28">
      <w:pPr>
        <w:tabs>
          <w:tab w:val="left" w:pos="1069"/>
          <w:tab w:val="left" w:pos="2352"/>
        </w:tabs>
        <w:rPr>
          <w:rFonts w:ascii="宋体" w:hAnsi="宋体" w:cs="宋体"/>
          <w:b/>
          <w:bCs/>
          <w:color w:val="auto"/>
          <w:sz w:val="32"/>
          <w:szCs w:val="32"/>
          <w:highlight w:val="none"/>
        </w:rPr>
      </w:pPr>
      <w:r>
        <w:rPr>
          <w:rFonts w:hint="eastAsia" w:ascii="宋体" w:hAnsi="宋体" w:cs="宋体"/>
          <w:b/>
          <w:bCs/>
          <w:color w:val="auto"/>
          <w:sz w:val="32"/>
          <w:szCs w:val="32"/>
          <w:highlight w:val="none"/>
        </w:rPr>
        <w:t>附件九</w:t>
      </w:r>
    </w:p>
    <w:p w14:paraId="049607C5">
      <w:pPr>
        <w:tabs>
          <w:tab w:val="left" w:pos="1069"/>
          <w:tab w:val="left" w:pos="2352"/>
        </w:tabs>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供应商项目服务人员汇总表</w:t>
      </w:r>
    </w:p>
    <w:p w14:paraId="7BC286A0">
      <w:pPr>
        <w:tabs>
          <w:tab w:val="left" w:pos="1069"/>
          <w:tab w:val="left" w:pos="2352"/>
        </w:tabs>
        <w:spacing w:line="360" w:lineRule="auto"/>
        <w:rPr>
          <w:rFonts w:ascii="宋体" w:hAnsi="宋体" w:cs="宋体"/>
          <w:color w:val="auto"/>
          <w:sz w:val="22"/>
          <w:highlight w:val="none"/>
        </w:rPr>
      </w:pPr>
      <w:r>
        <w:rPr>
          <w:rFonts w:hint="eastAsia" w:ascii="宋体" w:hAnsi="宋体" w:cs="宋体"/>
          <w:color w:val="auto"/>
          <w:sz w:val="22"/>
          <w:highlight w:val="none"/>
        </w:rPr>
        <w:t>项目名称：</w:t>
      </w:r>
      <w:r>
        <w:rPr>
          <w:rFonts w:hint="eastAsia" w:ascii="宋体" w:hAnsi="宋体" w:cs="宋体"/>
          <w:color w:val="auto"/>
          <w:sz w:val="22"/>
          <w:highlight w:val="none"/>
          <w:u w:val="single"/>
          <w:lang w:val="zh-CN"/>
        </w:rPr>
        <w:t>2024年泰顺县森林资源动态监测与评价</w:t>
      </w:r>
    </w:p>
    <w:p w14:paraId="74CD0131">
      <w:pPr>
        <w:tabs>
          <w:tab w:val="left" w:pos="1069"/>
          <w:tab w:val="left" w:pos="2352"/>
        </w:tabs>
        <w:spacing w:line="360" w:lineRule="auto"/>
        <w:rPr>
          <w:rFonts w:ascii="宋体" w:hAnsi="宋体" w:cs="宋体"/>
          <w:bCs/>
          <w:color w:val="auto"/>
          <w:sz w:val="22"/>
          <w:highlight w:val="none"/>
        </w:rPr>
      </w:pPr>
      <w:r>
        <w:rPr>
          <w:rFonts w:hint="eastAsia" w:ascii="宋体" w:hAnsi="宋体" w:cs="宋体"/>
          <w:color w:val="auto"/>
          <w:sz w:val="22"/>
          <w:highlight w:val="none"/>
        </w:rPr>
        <w:t>招标编号：</w:t>
      </w:r>
      <w:r>
        <w:rPr>
          <w:rFonts w:hint="eastAsia" w:ascii="宋体" w:hAnsi="宋体" w:cs="宋体"/>
          <w:color w:val="auto"/>
          <w:sz w:val="22"/>
          <w:highlight w:val="none"/>
          <w:u w:val="single"/>
          <w:lang w:val="zh-CN"/>
        </w:rPr>
        <w:t>TSCG202409011</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1E65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2440632B">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姓名</w:t>
            </w:r>
          </w:p>
        </w:tc>
        <w:tc>
          <w:tcPr>
            <w:tcW w:w="2520" w:type="dxa"/>
            <w:vAlign w:val="center"/>
          </w:tcPr>
          <w:p w14:paraId="7E83867F">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本项目主要工作</w:t>
            </w:r>
          </w:p>
        </w:tc>
        <w:tc>
          <w:tcPr>
            <w:tcW w:w="720" w:type="dxa"/>
            <w:vAlign w:val="center"/>
          </w:tcPr>
          <w:p w14:paraId="491C5DB5">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年龄</w:t>
            </w:r>
          </w:p>
        </w:tc>
        <w:tc>
          <w:tcPr>
            <w:tcW w:w="720" w:type="dxa"/>
            <w:vAlign w:val="center"/>
          </w:tcPr>
          <w:p w14:paraId="0513814D">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性别</w:t>
            </w:r>
          </w:p>
        </w:tc>
        <w:tc>
          <w:tcPr>
            <w:tcW w:w="720" w:type="dxa"/>
            <w:vAlign w:val="center"/>
          </w:tcPr>
          <w:p w14:paraId="6C75D560">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专业</w:t>
            </w:r>
          </w:p>
        </w:tc>
        <w:tc>
          <w:tcPr>
            <w:tcW w:w="1080" w:type="dxa"/>
            <w:vAlign w:val="center"/>
          </w:tcPr>
          <w:p w14:paraId="11D1B911">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专业</w:t>
            </w:r>
          </w:p>
          <w:p w14:paraId="5FC68C11">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年限</w:t>
            </w:r>
          </w:p>
        </w:tc>
        <w:tc>
          <w:tcPr>
            <w:tcW w:w="1458" w:type="dxa"/>
            <w:vAlign w:val="center"/>
          </w:tcPr>
          <w:p w14:paraId="787DC3BA">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职务</w:t>
            </w:r>
          </w:p>
          <w:p w14:paraId="69AD9DCB">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和职称/认证</w:t>
            </w:r>
          </w:p>
        </w:tc>
        <w:tc>
          <w:tcPr>
            <w:tcW w:w="1560" w:type="dxa"/>
            <w:vAlign w:val="center"/>
          </w:tcPr>
          <w:p w14:paraId="091AC3C1">
            <w:pPr>
              <w:tabs>
                <w:tab w:val="left" w:pos="1069"/>
                <w:tab w:val="left" w:pos="2352"/>
              </w:tabs>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14:paraId="2CA4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1B5C5BD">
            <w:pPr>
              <w:tabs>
                <w:tab w:val="left" w:pos="1069"/>
                <w:tab w:val="left" w:pos="2352"/>
              </w:tabs>
              <w:spacing w:line="360" w:lineRule="auto"/>
              <w:rPr>
                <w:rFonts w:ascii="宋体" w:hAnsi="宋体" w:cs="宋体"/>
                <w:color w:val="auto"/>
                <w:sz w:val="22"/>
                <w:highlight w:val="none"/>
              </w:rPr>
            </w:pPr>
          </w:p>
        </w:tc>
        <w:tc>
          <w:tcPr>
            <w:tcW w:w="2520" w:type="dxa"/>
            <w:vAlign w:val="center"/>
          </w:tcPr>
          <w:p w14:paraId="6F24F0FB">
            <w:pPr>
              <w:tabs>
                <w:tab w:val="left" w:pos="1069"/>
                <w:tab w:val="left" w:pos="2352"/>
              </w:tabs>
              <w:spacing w:line="360" w:lineRule="auto"/>
              <w:rPr>
                <w:rFonts w:ascii="宋体" w:hAnsi="宋体" w:cs="宋体"/>
                <w:color w:val="auto"/>
                <w:sz w:val="22"/>
                <w:highlight w:val="none"/>
              </w:rPr>
            </w:pPr>
          </w:p>
        </w:tc>
        <w:tc>
          <w:tcPr>
            <w:tcW w:w="720" w:type="dxa"/>
            <w:vAlign w:val="center"/>
          </w:tcPr>
          <w:p w14:paraId="5A00C6FD">
            <w:pPr>
              <w:tabs>
                <w:tab w:val="left" w:pos="1069"/>
                <w:tab w:val="left" w:pos="2352"/>
              </w:tabs>
              <w:spacing w:line="360" w:lineRule="auto"/>
              <w:rPr>
                <w:rFonts w:ascii="宋体" w:hAnsi="宋体" w:cs="宋体"/>
                <w:color w:val="auto"/>
                <w:sz w:val="22"/>
                <w:highlight w:val="none"/>
              </w:rPr>
            </w:pPr>
          </w:p>
        </w:tc>
        <w:tc>
          <w:tcPr>
            <w:tcW w:w="720" w:type="dxa"/>
            <w:vAlign w:val="center"/>
          </w:tcPr>
          <w:p w14:paraId="0D58D1FA">
            <w:pPr>
              <w:tabs>
                <w:tab w:val="left" w:pos="1069"/>
                <w:tab w:val="left" w:pos="2352"/>
              </w:tabs>
              <w:spacing w:line="360" w:lineRule="auto"/>
              <w:rPr>
                <w:rFonts w:ascii="宋体" w:hAnsi="宋体" w:cs="宋体"/>
                <w:color w:val="auto"/>
                <w:sz w:val="22"/>
                <w:highlight w:val="none"/>
              </w:rPr>
            </w:pPr>
          </w:p>
        </w:tc>
        <w:tc>
          <w:tcPr>
            <w:tcW w:w="720" w:type="dxa"/>
            <w:vAlign w:val="center"/>
          </w:tcPr>
          <w:p w14:paraId="5B9530FE">
            <w:pPr>
              <w:tabs>
                <w:tab w:val="left" w:pos="1069"/>
                <w:tab w:val="left" w:pos="2352"/>
              </w:tabs>
              <w:spacing w:line="360" w:lineRule="auto"/>
              <w:rPr>
                <w:rFonts w:ascii="宋体" w:hAnsi="宋体" w:cs="宋体"/>
                <w:color w:val="auto"/>
                <w:sz w:val="22"/>
                <w:highlight w:val="none"/>
              </w:rPr>
            </w:pPr>
          </w:p>
        </w:tc>
        <w:tc>
          <w:tcPr>
            <w:tcW w:w="1080" w:type="dxa"/>
            <w:vAlign w:val="center"/>
          </w:tcPr>
          <w:p w14:paraId="7242A9D1">
            <w:pPr>
              <w:tabs>
                <w:tab w:val="left" w:pos="1069"/>
                <w:tab w:val="left" w:pos="2352"/>
              </w:tabs>
              <w:spacing w:line="360" w:lineRule="auto"/>
              <w:rPr>
                <w:rFonts w:ascii="宋体" w:hAnsi="宋体" w:cs="宋体"/>
                <w:color w:val="auto"/>
                <w:sz w:val="22"/>
                <w:highlight w:val="none"/>
              </w:rPr>
            </w:pPr>
          </w:p>
        </w:tc>
        <w:tc>
          <w:tcPr>
            <w:tcW w:w="1458" w:type="dxa"/>
            <w:vAlign w:val="center"/>
          </w:tcPr>
          <w:p w14:paraId="5B381BF6">
            <w:pPr>
              <w:tabs>
                <w:tab w:val="left" w:pos="1069"/>
                <w:tab w:val="left" w:pos="2352"/>
              </w:tabs>
              <w:spacing w:line="360" w:lineRule="auto"/>
              <w:ind w:left="5250"/>
              <w:rPr>
                <w:rFonts w:ascii="宋体" w:hAnsi="宋体" w:cs="宋体"/>
                <w:color w:val="auto"/>
                <w:spacing w:val="12"/>
                <w:sz w:val="22"/>
                <w:highlight w:val="none"/>
              </w:rPr>
            </w:pPr>
          </w:p>
        </w:tc>
        <w:tc>
          <w:tcPr>
            <w:tcW w:w="1560" w:type="dxa"/>
            <w:vAlign w:val="center"/>
          </w:tcPr>
          <w:p w14:paraId="05727E07">
            <w:pPr>
              <w:tabs>
                <w:tab w:val="left" w:pos="1069"/>
                <w:tab w:val="left" w:pos="2352"/>
              </w:tabs>
              <w:spacing w:line="360" w:lineRule="auto"/>
              <w:rPr>
                <w:rFonts w:ascii="宋体" w:hAnsi="宋体" w:cs="宋体"/>
                <w:color w:val="auto"/>
                <w:sz w:val="22"/>
                <w:highlight w:val="none"/>
              </w:rPr>
            </w:pPr>
          </w:p>
        </w:tc>
      </w:tr>
      <w:tr w14:paraId="493A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C07A25C">
            <w:pPr>
              <w:tabs>
                <w:tab w:val="left" w:pos="1069"/>
                <w:tab w:val="left" w:pos="2352"/>
              </w:tabs>
              <w:spacing w:line="360" w:lineRule="auto"/>
              <w:rPr>
                <w:rFonts w:ascii="宋体" w:hAnsi="宋体" w:cs="宋体"/>
                <w:color w:val="auto"/>
                <w:sz w:val="22"/>
                <w:highlight w:val="none"/>
              </w:rPr>
            </w:pPr>
          </w:p>
        </w:tc>
        <w:tc>
          <w:tcPr>
            <w:tcW w:w="2520" w:type="dxa"/>
            <w:vAlign w:val="center"/>
          </w:tcPr>
          <w:p w14:paraId="6EC1517D">
            <w:pPr>
              <w:tabs>
                <w:tab w:val="left" w:pos="1069"/>
                <w:tab w:val="left" w:pos="2352"/>
              </w:tabs>
              <w:spacing w:line="360" w:lineRule="auto"/>
              <w:rPr>
                <w:rFonts w:ascii="宋体" w:hAnsi="宋体" w:cs="宋体"/>
                <w:color w:val="auto"/>
                <w:sz w:val="22"/>
                <w:highlight w:val="none"/>
              </w:rPr>
            </w:pPr>
          </w:p>
        </w:tc>
        <w:tc>
          <w:tcPr>
            <w:tcW w:w="720" w:type="dxa"/>
            <w:vAlign w:val="center"/>
          </w:tcPr>
          <w:p w14:paraId="143C1AD6">
            <w:pPr>
              <w:tabs>
                <w:tab w:val="left" w:pos="1069"/>
                <w:tab w:val="left" w:pos="2352"/>
              </w:tabs>
              <w:spacing w:line="360" w:lineRule="auto"/>
              <w:rPr>
                <w:rFonts w:ascii="宋体" w:hAnsi="宋体" w:cs="宋体"/>
                <w:color w:val="auto"/>
                <w:sz w:val="22"/>
                <w:highlight w:val="none"/>
              </w:rPr>
            </w:pPr>
          </w:p>
        </w:tc>
        <w:tc>
          <w:tcPr>
            <w:tcW w:w="720" w:type="dxa"/>
            <w:vAlign w:val="center"/>
          </w:tcPr>
          <w:p w14:paraId="15D795B4">
            <w:pPr>
              <w:tabs>
                <w:tab w:val="left" w:pos="1069"/>
                <w:tab w:val="left" w:pos="2352"/>
              </w:tabs>
              <w:spacing w:line="360" w:lineRule="auto"/>
              <w:rPr>
                <w:rFonts w:ascii="宋体" w:hAnsi="宋体" w:cs="宋体"/>
                <w:color w:val="auto"/>
                <w:sz w:val="22"/>
                <w:highlight w:val="none"/>
              </w:rPr>
            </w:pPr>
          </w:p>
        </w:tc>
        <w:tc>
          <w:tcPr>
            <w:tcW w:w="720" w:type="dxa"/>
            <w:vAlign w:val="center"/>
          </w:tcPr>
          <w:p w14:paraId="61C2ADE2">
            <w:pPr>
              <w:tabs>
                <w:tab w:val="left" w:pos="1069"/>
                <w:tab w:val="left" w:pos="2352"/>
              </w:tabs>
              <w:spacing w:line="360" w:lineRule="auto"/>
              <w:rPr>
                <w:rFonts w:ascii="宋体" w:hAnsi="宋体" w:cs="宋体"/>
                <w:color w:val="auto"/>
                <w:sz w:val="22"/>
                <w:highlight w:val="none"/>
              </w:rPr>
            </w:pPr>
          </w:p>
        </w:tc>
        <w:tc>
          <w:tcPr>
            <w:tcW w:w="1080" w:type="dxa"/>
            <w:vAlign w:val="center"/>
          </w:tcPr>
          <w:p w14:paraId="04E5FDD9">
            <w:pPr>
              <w:tabs>
                <w:tab w:val="left" w:pos="1069"/>
                <w:tab w:val="left" w:pos="2352"/>
              </w:tabs>
              <w:spacing w:line="360" w:lineRule="auto"/>
              <w:rPr>
                <w:rFonts w:ascii="宋体" w:hAnsi="宋体" w:cs="宋体"/>
                <w:color w:val="auto"/>
                <w:sz w:val="22"/>
                <w:highlight w:val="none"/>
              </w:rPr>
            </w:pPr>
          </w:p>
        </w:tc>
        <w:tc>
          <w:tcPr>
            <w:tcW w:w="1458" w:type="dxa"/>
            <w:vAlign w:val="center"/>
          </w:tcPr>
          <w:p w14:paraId="0B1CAEA8">
            <w:pPr>
              <w:tabs>
                <w:tab w:val="left" w:pos="1069"/>
                <w:tab w:val="left" w:pos="2352"/>
              </w:tabs>
              <w:spacing w:line="360" w:lineRule="auto"/>
              <w:rPr>
                <w:rFonts w:ascii="宋体" w:hAnsi="宋体" w:cs="宋体"/>
                <w:color w:val="auto"/>
                <w:sz w:val="22"/>
                <w:highlight w:val="none"/>
              </w:rPr>
            </w:pPr>
          </w:p>
        </w:tc>
        <w:tc>
          <w:tcPr>
            <w:tcW w:w="1560" w:type="dxa"/>
            <w:vAlign w:val="center"/>
          </w:tcPr>
          <w:p w14:paraId="014A6D80">
            <w:pPr>
              <w:tabs>
                <w:tab w:val="left" w:pos="1069"/>
                <w:tab w:val="left" w:pos="2352"/>
              </w:tabs>
              <w:spacing w:line="360" w:lineRule="auto"/>
              <w:ind w:left="5250"/>
              <w:rPr>
                <w:rFonts w:ascii="宋体" w:hAnsi="宋体" w:cs="宋体"/>
                <w:color w:val="auto"/>
                <w:spacing w:val="12"/>
                <w:sz w:val="22"/>
                <w:highlight w:val="none"/>
              </w:rPr>
            </w:pPr>
          </w:p>
        </w:tc>
      </w:tr>
      <w:tr w14:paraId="2A66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89F30B4">
            <w:pPr>
              <w:tabs>
                <w:tab w:val="left" w:pos="1069"/>
                <w:tab w:val="left" w:pos="2352"/>
              </w:tabs>
              <w:spacing w:line="360" w:lineRule="auto"/>
              <w:rPr>
                <w:rFonts w:ascii="宋体" w:hAnsi="宋体" w:cs="宋体"/>
                <w:color w:val="auto"/>
                <w:sz w:val="22"/>
                <w:highlight w:val="none"/>
              </w:rPr>
            </w:pPr>
          </w:p>
        </w:tc>
        <w:tc>
          <w:tcPr>
            <w:tcW w:w="2520" w:type="dxa"/>
            <w:vAlign w:val="center"/>
          </w:tcPr>
          <w:p w14:paraId="29612E0F">
            <w:pPr>
              <w:tabs>
                <w:tab w:val="left" w:pos="1069"/>
                <w:tab w:val="left" w:pos="2352"/>
              </w:tabs>
              <w:spacing w:line="360" w:lineRule="auto"/>
              <w:rPr>
                <w:rFonts w:ascii="宋体" w:hAnsi="宋体" w:cs="宋体"/>
                <w:color w:val="auto"/>
                <w:sz w:val="22"/>
                <w:highlight w:val="none"/>
              </w:rPr>
            </w:pPr>
          </w:p>
        </w:tc>
        <w:tc>
          <w:tcPr>
            <w:tcW w:w="720" w:type="dxa"/>
            <w:vAlign w:val="center"/>
          </w:tcPr>
          <w:p w14:paraId="313BB407">
            <w:pPr>
              <w:tabs>
                <w:tab w:val="left" w:pos="1069"/>
                <w:tab w:val="left" w:pos="2352"/>
              </w:tabs>
              <w:spacing w:line="360" w:lineRule="auto"/>
              <w:rPr>
                <w:rFonts w:ascii="宋体" w:hAnsi="宋体" w:cs="宋体"/>
                <w:color w:val="auto"/>
                <w:sz w:val="22"/>
                <w:highlight w:val="none"/>
              </w:rPr>
            </w:pPr>
          </w:p>
        </w:tc>
        <w:tc>
          <w:tcPr>
            <w:tcW w:w="720" w:type="dxa"/>
            <w:vAlign w:val="center"/>
          </w:tcPr>
          <w:p w14:paraId="69C3F57E">
            <w:pPr>
              <w:tabs>
                <w:tab w:val="left" w:pos="1069"/>
                <w:tab w:val="left" w:pos="2352"/>
              </w:tabs>
              <w:spacing w:line="360" w:lineRule="auto"/>
              <w:rPr>
                <w:rFonts w:ascii="宋体" w:hAnsi="宋体" w:cs="宋体"/>
                <w:color w:val="auto"/>
                <w:sz w:val="22"/>
                <w:highlight w:val="none"/>
              </w:rPr>
            </w:pPr>
          </w:p>
        </w:tc>
        <w:tc>
          <w:tcPr>
            <w:tcW w:w="720" w:type="dxa"/>
            <w:vAlign w:val="center"/>
          </w:tcPr>
          <w:p w14:paraId="7DC64197">
            <w:pPr>
              <w:tabs>
                <w:tab w:val="left" w:pos="1069"/>
                <w:tab w:val="left" w:pos="2352"/>
              </w:tabs>
              <w:spacing w:line="360" w:lineRule="auto"/>
              <w:rPr>
                <w:rFonts w:ascii="宋体" w:hAnsi="宋体" w:cs="宋体"/>
                <w:color w:val="auto"/>
                <w:sz w:val="22"/>
                <w:highlight w:val="none"/>
              </w:rPr>
            </w:pPr>
          </w:p>
        </w:tc>
        <w:tc>
          <w:tcPr>
            <w:tcW w:w="1080" w:type="dxa"/>
            <w:vAlign w:val="center"/>
          </w:tcPr>
          <w:p w14:paraId="70268E13">
            <w:pPr>
              <w:tabs>
                <w:tab w:val="left" w:pos="1069"/>
                <w:tab w:val="left" w:pos="2352"/>
              </w:tabs>
              <w:spacing w:line="360" w:lineRule="auto"/>
              <w:rPr>
                <w:rFonts w:ascii="宋体" w:hAnsi="宋体" w:cs="宋体"/>
                <w:color w:val="auto"/>
                <w:sz w:val="22"/>
                <w:highlight w:val="none"/>
              </w:rPr>
            </w:pPr>
          </w:p>
        </w:tc>
        <w:tc>
          <w:tcPr>
            <w:tcW w:w="1458" w:type="dxa"/>
            <w:vAlign w:val="center"/>
          </w:tcPr>
          <w:p w14:paraId="38B456C3">
            <w:pPr>
              <w:tabs>
                <w:tab w:val="left" w:pos="1069"/>
                <w:tab w:val="left" w:pos="2352"/>
              </w:tabs>
              <w:spacing w:line="360" w:lineRule="auto"/>
              <w:rPr>
                <w:rFonts w:ascii="宋体" w:hAnsi="宋体" w:cs="宋体"/>
                <w:color w:val="auto"/>
                <w:sz w:val="22"/>
                <w:highlight w:val="none"/>
              </w:rPr>
            </w:pPr>
          </w:p>
        </w:tc>
        <w:tc>
          <w:tcPr>
            <w:tcW w:w="1560" w:type="dxa"/>
            <w:vAlign w:val="center"/>
          </w:tcPr>
          <w:p w14:paraId="5E3EC8EC">
            <w:pPr>
              <w:tabs>
                <w:tab w:val="left" w:pos="1069"/>
                <w:tab w:val="left" w:pos="2352"/>
              </w:tabs>
              <w:spacing w:line="360" w:lineRule="auto"/>
              <w:rPr>
                <w:rFonts w:ascii="宋体" w:hAnsi="宋体" w:cs="宋体"/>
                <w:color w:val="auto"/>
                <w:sz w:val="22"/>
                <w:highlight w:val="none"/>
              </w:rPr>
            </w:pPr>
          </w:p>
        </w:tc>
      </w:tr>
      <w:tr w14:paraId="598BA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477E55A">
            <w:pPr>
              <w:tabs>
                <w:tab w:val="left" w:pos="1069"/>
                <w:tab w:val="left" w:pos="2352"/>
              </w:tabs>
              <w:spacing w:line="360" w:lineRule="auto"/>
              <w:rPr>
                <w:rFonts w:ascii="宋体" w:hAnsi="宋体" w:cs="宋体"/>
                <w:color w:val="auto"/>
                <w:sz w:val="22"/>
                <w:highlight w:val="none"/>
              </w:rPr>
            </w:pPr>
          </w:p>
        </w:tc>
        <w:tc>
          <w:tcPr>
            <w:tcW w:w="2520" w:type="dxa"/>
            <w:vAlign w:val="center"/>
          </w:tcPr>
          <w:p w14:paraId="76CC8F19">
            <w:pPr>
              <w:tabs>
                <w:tab w:val="left" w:pos="1069"/>
                <w:tab w:val="left" w:pos="2352"/>
              </w:tabs>
              <w:spacing w:line="360" w:lineRule="auto"/>
              <w:rPr>
                <w:rFonts w:ascii="宋体" w:hAnsi="宋体" w:cs="宋体"/>
                <w:color w:val="auto"/>
                <w:sz w:val="22"/>
                <w:highlight w:val="none"/>
              </w:rPr>
            </w:pPr>
          </w:p>
        </w:tc>
        <w:tc>
          <w:tcPr>
            <w:tcW w:w="720" w:type="dxa"/>
            <w:vAlign w:val="center"/>
          </w:tcPr>
          <w:p w14:paraId="019DABA2">
            <w:pPr>
              <w:tabs>
                <w:tab w:val="left" w:pos="1069"/>
                <w:tab w:val="left" w:pos="2352"/>
              </w:tabs>
              <w:spacing w:line="360" w:lineRule="auto"/>
              <w:rPr>
                <w:rFonts w:ascii="宋体" w:hAnsi="宋体" w:cs="宋体"/>
                <w:color w:val="auto"/>
                <w:sz w:val="22"/>
                <w:highlight w:val="none"/>
              </w:rPr>
            </w:pPr>
          </w:p>
        </w:tc>
        <w:tc>
          <w:tcPr>
            <w:tcW w:w="720" w:type="dxa"/>
            <w:vAlign w:val="center"/>
          </w:tcPr>
          <w:p w14:paraId="16800A02">
            <w:pPr>
              <w:tabs>
                <w:tab w:val="left" w:pos="1069"/>
                <w:tab w:val="left" w:pos="2352"/>
              </w:tabs>
              <w:spacing w:line="360" w:lineRule="auto"/>
              <w:rPr>
                <w:rFonts w:ascii="宋体" w:hAnsi="宋体" w:cs="宋体"/>
                <w:color w:val="auto"/>
                <w:sz w:val="22"/>
                <w:highlight w:val="none"/>
              </w:rPr>
            </w:pPr>
          </w:p>
        </w:tc>
        <w:tc>
          <w:tcPr>
            <w:tcW w:w="720" w:type="dxa"/>
            <w:vAlign w:val="center"/>
          </w:tcPr>
          <w:p w14:paraId="37CCD254">
            <w:pPr>
              <w:tabs>
                <w:tab w:val="left" w:pos="1069"/>
                <w:tab w:val="left" w:pos="2352"/>
              </w:tabs>
              <w:spacing w:line="360" w:lineRule="auto"/>
              <w:rPr>
                <w:rFonts w:ascii="宋体" w:hAnsi="宋体" w:cs="宋体"/>
                <w:color w:val="auto"/>
                <w:sz w:val="22"/>
                <w:highlight w:val="none"/>
              </w:rPr>
            </w:pPr>
          </w:p>
        </w:tc>
        <w:tc>
          <w:tcPr>
            <w:tcW w:w="1080" w:type="dxa"/>
            <w:vAlign w:val="center"/>
          </w:tcPr>
          <w:p w14:paraId="2A23EB0D">
            <w:pPr>
              <w:tabs>
                <w:tab w:val="left" w:pos="1069"/>
                <w:tab w:val="left" w:pos="2352"/>
              </w:tabs>
              <w:spacing w:line="360" w:lineRule="auto"/>
              <w:rPr>
                <w:rFonts w:ascii="宋体" w:hAnsi="宋体" w:cs="宋体"/>
                <w:color w:val="auto"/>
                <w:sz w:val="22"/>
                <w:highlight w:val="none"/>
              </w:rPr>
            </w:pPr>
          </w:p>
        </w:tc>
        <w:tc>
          <w:tcPr>
            <w:tcW w:w="1458" w:type="dxa"/>
            <w:vAlign w:val="center"/>
          </w:tcPr>
          <w:p w14:paraId="41E9A5BF">
            <w:pPr>
              <w:tabs>
                <w:tab w:val="left" w:pos="1069"/>
                <w:tab w:val="left" w:pos="2352"/>
              </w:tabs>
              <w:spacing w:line="360" w:lineRule="auto"/>
              <w:rPr>
                <w:rFonts w:ascii="宋体" w:hAnsi="宋体" w:cs="宋体"/>
                <w:color w:val="auto"/>
                <w:sz w:val="22"/>
                <w:highlight w:val="none"/>
              </w:rPr>
            </w:pPr>
          </w:p>
        </w:tc>
        <w:tc>
          <w:tcPr>
            <w:tcW w:w="1560" w:type="dxa"/>
            <w:vAlign w:val="center"/>
          </w:tcPr>
          <w:p w14:paraId="30F4C88A">
            <w:pPr>
              <w:tabs>
                <w:tab w:val="left" w:pos="1069"/>
                <w:tab w:val="left" w:pos="2352"/>
              </w:tabs>
              <w:spacing w:line="360" w:lineRule="auto"/>
              <w:rPr>
                <w:rFonts w:ascii="宋体" w:hAnsi="宋体" w:cs="宋体"/>
                <w:color w:val="auto"/>
                <w:sz w:val="22"/>
                <w:highlight w:val="none"/>
              </w:rPr>
            </w:pPr>
          </w:p>
        </w:tc>
      </w:tr>
      <w:tr w14:paraId="2C1E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76440B4">
            <w:pPr>
              <w:tabs>
                <w:tab w:val="left" w:pos="1069"/>
                <w:tab w:val="left" w:pos="2352"/>
              </w:tabs>
              <w:spacing w:line="360" w:lineRule="auto"/>
              <w:rPr>
                <w:rFonts w:ascii="宋体" w:hAnsi="宋体" w:cs="宋体"/>
                <w:color w:val="auto"/>
                <w:sz w:val="22"/>
                <w:highlight w:val="none"/>
              </w:rPr>
            </w:pPr>
          </w:p>
        </w:tc>
        <w:tc>
          <w:tcPr>
            <w:tcW w:w="2520" w:type="dxa"/>
            <w:vAlign w:val="center"/>
          </w:tcPr>
          <w:p w14:paraId="33112A45">
            <w:pPr>
              <w:tabs>
                <w:tab w:val="left" w:pos="1069"/>
                <w:tab w:val="left" w:pos="2352"/>
              </w:tabs>
              <w:spacing w:line="360" w:lineRule="auto"/>
              <w:rPr>
                <w:rFonts w:ascii="宋体" w:hAnsi="宋体" w:cs="宋体"/>
                <w:color w:val="auto"/>
                <w:sz w:val="22"/>
                <w:highlight w:val="none"/>
              </w:rPr>
            </w:pPr>
          </w:p>
        </w:tc>
        <w:tc>
          <w:tcPr>
            <w:tcW w:w="720" w:type="dxa"/>
            <w:vAlign w:val="center"/>
          </w:tcPr>
          <w:p w14:paraId="31E09CB6">
            <w:pPr>
              <w:tabs>
                <w:tab w:val="left" w:pos="1069"/>
                <w:tab w:val="left" w:pos="2352"/>
              </w:tabs>
              <w:spacing w:line="360" w:lineRule="auto"/>
              <w:rPr>
                <w:rFonts w:ascii="宋体" w:hAnsi="宋体" w:cs="宋体"/>
                <w:color w:val="auto"/>
                <w:sz w:val="22"/>
                <w:highlight w:val="none"/>
              </w:rPr>
            </w:pPr>
          </w:p>
        </w:tc>
        <w:tc>
          <w:tcPr>
            <w:tcW w:w="720" w:type="dxa"/>
            <w:vAlign w:val="center"/>
          </w:tcPr>
          <w:p w14:paraId="552B70C8">
            <w:pPr>
              <w:tabs>
                <w:tab w:val="left" w:pos="1069"/>
                <w:tab w:val="left" w:pos="2352"/>
              </w:tabs>
              <w:spacing w:line="360" w:lineRule="auto"/>
              <w:rPr>
                <w:rFonts w:ascii="宋体" w:hAnsi="宋体" w:cs="宋体"/>
                <w:color w:val="auto"/>
                <w:sz w:val="22"/>
                <w:highlight w:val="none"/>
              </w:rPr>
            </w:pPr>
          </w:p>
        </w:tc>
        <w:tc>
          <w:tcPr>
            <w:tcW w:w="720" w:type="dxa"/>
            <w:vAlign w:val="center"/>
          </w:tcPr>
          <w:p w14:paraId="6798C0C8">
            <w:pPr>
              <w:tabs>
                <w:tab w:val="left" w:pos="1069"/>
                <w:tab w:val="left" w:pos="2352"/>
              </w:tabs>
              <w:spacing w:line="360" w:lineRule="auto"/>
              <w:rPr>
                <w:rFonts w:ascii="宋体" w:hAnsi="宋体" w:cs="宋体"/>
                <w:color w:val="auto"/>
                <w:sz w:val="22"/>
                <w:highlight w:val="none"/>
              </w:rPr>
            </w:pPr>
          </w:p>
        </w:tc>
        <w:tc>
          <w:tcPr>
            <w:tcW w:w="1080" w:type="dxa"/>
            <w:vAlign w:val="center"/>
          </w:tcPr>
          <w:p w14:paraId="7C77D610">
            <w:pPr>
              <w:tabs>
                <w:tab w:val="left" w:pos="1069"/>
                <w:tab w:val="left" w:pos="2352"/>
              </w:tabs>
              <w:spacing w:line="360" w:lineRule="auto"/>
              <w:rPr>
                <w:rFonts w:ascii="宋体" w:hAnsi="宋体" w:cs="宋体"/>
                <w:color w:val="auto"/>
                <w:sz w:val="22"/>
                <w:highlight w:val="none"/>
              </w:rPr>
            </w:pPr>
          </w:p>
        </w:tc>
        <w:tc>
          <w:tcPr>
            <w:tcW w:w="1458" w:type="dxa"/>
            <w:vAlign w:val="center"/>
          </w:tcPr>
          <w:p w14:paraId="4DDD640B">
            <w:pPr>
              <w:tabs>
                <w:tab w:val="left" w:pos="1069"/>
                <w:tab w:val="left" w:pos="2352"/>
              </w:tabs>
              <w:spacing w:line="360" w:lineRule="auto"/>
              <w:rPr>
                <w:rFonts w:ascii="宋体" w:hAnsi="宋体" w:cs="宋体"/>
                <w:color w:val="auto"/>
                <w:sz w:val="22"/>
                <w:highlight w:val="none"/>
              </w:rPr>
            </w:pPr>
          </w:p>
        </w:tc>
        <w:tc>
          <w:tcPr>
            <w:tcW w:w="1560" w:type="dxa"/>
            <w:vAlign w:val="center"/>
          </w:tcPr>
          <w:p w14:paraId="4835866A">
            <w:pPr>
              <w:tabs>
                <w:tab w:val="left" w:pos="1069"/>
                <w:tab w:val="left" w:pos="2352"/>
              </w:tabs>
              <w:spacing w:line="360" w:lineRule="auto"/>
              <w:rPr>
                <w:rFonts w:ascii="宋体" w:hAnsi="宋体" w:cs="宋体"/>
                <w:color w:val="auto"/>
                <w:sz w:val="22"/>
                <w:highlight w:val="none"/>
              </w:rPr>
            </w:pPr>
          </w:p>
        </w:tc>
      </w:tr>
      <w:tr w14:paraId="6201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F4BE1CB">
            <w:pPr>
              <w:tabs>
                <w:tab w:val="left" w:pos="1069"/>
                <w:tab w:val="left" w:pos="2352"/>
              </w:tabs>
              <w:spacing w:line="360" w:lineRule="auto"/>
              <w:rPr>
                <w:rFonts w:ascii="宋体" w:hAnsi="宋体" w:cs="宋体"/>
                <w:color w:val="auto"/>
                <w:sz w:val="22"/>
                <w:highlight w:val="none"/>
              </w:rPr>
            </w:pPr>
          </w:p>
        </w:tc>
        <w:tc>
          <w:tcPr>
            <w:tcW w:w="2520" w:type="dxa"/>
            <w:vAlign w:val="center"/>
          </w:tcPr>
          <w:p w14:paraId="236A5834">
            <w:pPr>
              <w:tabs>
                <w:tab w:val="left" w:pos="1069"/>
                <w:tab w:val="left" w:pos="2352"/>
              </w:tabs>
              <w:spacing w:line="360" w:lineRule="auto"/>
              <w:rPr>
                <w:rFonts w:ascii="宋体" w:hAnsi="宋体" w:cs="宋体"/>
                <w:color w:val="auto"/>
                <w:sz w:val="22"/>
                <w:highlight w:val="none"/>
              </w:rPr>
            </w:pPr>
          </w:p>
        </w:tc>
        <w:tc>
          <w:tcPr>
            <w:tcW w:w="720" w:type="dxa"/>
            <w:vAlign w:val="center"/>
          </w:tcPr>
          <w:p w14:paraId="2750FFE7">
            <w:pPr>
              <w:tabs>
                <w:tab w:val="left" w:pos="1069"/>
                <w:tab w:val="left" w:pos="2352"/>
              </w:tabs>
              <w:spacing w:line="360" w:lineRule="auto"/>
              <w:rPr>
                <w:rFonts w:ascii="宋体" w:hAnsi="宋体" w:cs="宋体"/>
                <w:color w:val="auto"/>
                <w:sz w:val="22"/>
                <w:highlight w:val="none"/>
              </w:rPr>
            </w:pPr>
          </w:p>
        </w:tc>
        <w:tc>
          <w:tcPr>
            <w:tcW w:w="720" w:type="dxa"/>
            <w:vAlign w:val="center"/>
          </w:tcPr>
          <w:p w14:paraId="59865DD2">
            <w:pPr>
              <w:tabs>
                <w:tab w:val="left" w:pos="1069"/>
                <w:tab w:val="left" w:pos="2352"/>
              </w:tabs>
              <w:spacing w:line="360" w:lineRule="auto"/>
              <w:rPr>
                <w:rFonts w:ascii="宋体" w:hAnsi="宋体" w:cs="宋体"/>
                <w:color w:val="auto"/>
                <w:sz w:val="22"/>
                <w:highlight w:val="none"/>
              </w:rPr>
            </w:pPr>
          </w:p>
        </w:tc>
        <w:tc>
          <w:tcPr>
            <w:tcW w:w="720" w:type="dxa"/>
            <w:vAlign w:val="center"/>
          </w:tcPr>
          <w:p w14:paraId="52DC9391">
            <w:pPr>
              <w:tabs>
                <w:tab w:val="left" w:pos="1069"/>
                <w:tab w:val="left" w:pos="2352"/>
              </w:tabs>
              <w:spacing w:line="360" w:lineRule="auto"/>
              <w:rPr>
                <w:rFonts w:ascii="宋体" w:hAnsi="宋体" w:cs="宋体"/>
                <w:color w:val="auto"/>
                <w:sz w:val="22"/>
                <w:highlight w:val="none"/>
              </w:rPr>
            </w:pPr>
          </w:p>
        </w:tc>
        <w:tc>
          <w:tcPr>
            <w:tcW w:w="1080" w:type="dxa"/>
            <w:vAlign w:val="center"/>
          </w:tcPr>
          <w:p w14:paraId="6335D3E4">
            <w:pPr>
              <w:tabs>
                <w:tab w:val="left" w:pos="1069"/>
                <w:tab w:val="left" w:pos="2352"/>
              </w:tabs>
              <w:spacing w:line="360" w:lineRule="auto"/>
              <w:rPr>
                <w:rFonts w:ascii="宋体" w:hAnsi="宋体" w:cs="宋体"/>
                <w:color w:val="auto"/>
                <w:sz w:val="22"/>
                <w:highlight w:val="none"/>
              </w:rPr>
            </w:pPr>
          </w:p>
        </w:tc>
        <w:tc>
          <w:tcPr>
            <w:tcW w:w="1458" w:type="dxa"/>
            <w:vAlign w:val="center"/>
          </w:tcPr>
          <w:p w14:paraId="229AE015">
            <w:pPr>
              <w:tabs>
                <w:tab w:val="left" w:pos="1069"/>
                <w:tab w:val="left" w:pos="2352"/>
              </w:tabs>
              <w:spacing w:line="360" w:lineRule="auto"/>
              <w:rPr>
                <w:rFonts w:ascii="宋体" w:hAnsi="宋体" w:cs="宋体"/>
                <w:color w:val="auto"/>
                <w:sz w:val="22"/>
                <w:highlight w:val="none"/>
              </w:rPr>
            </w:pPr>
          </w:p>
        </w:tc>
        <w:tc>
          <w:tcPr>
            <w:tcW w:w="1560" w:type="dxa"/>
            <w:vAlign w:val="center"/>
          </w:tcPr>
          <w:p w14:paraId="22848F11">
            <w:pPr>
              <w:tabs>
                <w:tab w:val="left" w:pos="1069"/>
                <w:tab w:val="left" w:pos="2352"/>
              </w:tabs>
              <w:spacing w:line="360" w:lineRule="auto"/>
              <w:rPr>
                <w:rFonts w:ascii="宋体" w:hAnsi="宋体" w:cs="宋体"/>
                <w:color w:val="auto"/>
                <w:sz w:val="22"/>
                <w:highlight w:val="none"/>
              </w:rPr>
            </w:pPr>
          </w:p>
        </w:tc>
      </w:tr>
      <w:tr w14:paraId="2870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4283460">
            <w:pPr>
              <w:tabs>
                <w:tab w:val="left" w:pos="1069"/>
                <w:tab w:val="left" w:pos="2352"/>
              </w:tabs>
              <w:spacing w:line="360" w:lineRule="auto"/>
              <w:rPr>
                <w:rFonts w:ascii="宋体" w:hAnsi="宋体" w:cs="宋体"/>
                <w:color w:val="auto"/>
                <w:sz w:val="22"/>
                <w:highlight w:val="none"/>
              </w:rPr>
            </w:pPr>
          </w:p>
        </w:tc>
        <w:tc>
          <w:tcPr>
            <w:tcW w:w="2520" w:type="dxa"/>
            <w:vAlign w:val="center"/>
          </w:tcPr>
          <w:p w14:paraId="5CA3D617">
            <w:pPr>
              <w:tabs>
                <w:tab w:val="left" w:pos="1069"/>
                <w:tab w:val="left" w:pos="2352"/>
              </w:tabs>
              <w:spacing w:line="360" w:lineRule="auto"/>
              <w:rPr>
                <w:rFonts w:ascii="宋体" w:hAnsi="宋体" w:cs="宋体"/>
                <w:color w:val="auto"/>
                <w:sz w:val="22"/>
                <w:highlight w:val="none"/>
              </w:rPr>
            </w:pPr>
          </w:p>
        </w:tc>
        <w:tc>
          <w:tcPr>
            <w:tcW w:w="720" w:type="dxa"/>
            <w:vAlign w:val="center"/>
          </w:tcPr>
          <w:p w14:paraId="0C48028A">
            <w:pPr>
              <w:tabs>
                <w:tab w:val="left" w:pos="1069"/>
                <w:tab w:val="left" w:pos="2352"/>
              </w:tabs>
              <w:spacing w:line="360" w:lineRule="auto"/>
              <w:rPr>
                <w:rFonts w:ascii="宋体" w:hAnsi="宋体" w:cs="宋体"/>
                <w:color w:val="auto"/>
                <w:sz w:val="22"/>
                <w:highlight w:val="none"/>
              </w:rPr>
            </w:pPr>
          </w:p>
        </w:tc>
        <w:tc>
          <w:tcPr>
            <w:tcW w:w="720" w:type="dxa"/>
            <w:vAlign w:val="center"/>
          </w:tcPr>
          <w:p w14:paraId="1E5CC5D2">
            <w:pPr>
              <w:tabs>
                <w:tab w:val="left" w:pos="1069"/>
                <w:tab w:val="left" w:pos="2352"/>
              </w:tabs>
              <w:spacing w:line="360" w:lineRule="auto"/>
              <w:rPr>
                <w:rFonts w:ascii="宋体" w:hAnsi="宋体" w:cs="宋体"/>
                <w:color w:val="auto"/>
                <w:sz w:val="22"/>
                <w:highlight w:val="none"/>
              </w:rPr>
            </w:pPr>
          </w:p>
        </w:tc>
        <w:tc>
          <w:tcPr>
            <w:tcW w:w="720" w:type="dxa"/>
            <w:vAlign w:val="center"/>
          </w:tcPr>
          <w:p w14:paraId="551602C1">
            <w:pPr>
              <w:tabs>
                <w:tab w:val="left" w:pos="1069"/>
                <w:tab w:val="left" w:pos="2352"/>
              </w:tabs>
              <w:spacing w:line="360" w:lineRule="auto"/>
              <w:rPr>
                <w:rFonts w:ascii="宋体" w:hAnsi="宋体" w:cs="宋体"/>
                <w:color w:val="auto"/>
                <w:sz w:val="22"/>
                <w:highlight w:val="none"/>
              </w:rPr>
            </w:pPr>
          </w:p>
        </w:tc>
        <w:tc>
          <w:tcPr>
            <w:tcW w:w="1080" w:type="dxa"/>
            <w:vAlign w:val="center"/>
          </w:tcPr>
          <w:p w14:paraId="31F42C9C">
            <w:pPr>
              <w:tabs>
                <w:tab w:val="left" w:pos="1069"/>
                <w:tab w:val="left" w:pos="2352"/>
              </w:tabs>
              <w:spacing w:line="360" w:lineRule="auto"/>
              <w:rPr>
                <w:rFonts w:ascii="宋体" w:hAnsi="宋体" w:cs="宋体"/>
                <w:color w:val="auto"/>
                <w:sz w:val="22"/>
                <w:highlight w:val="none"/>
              </w:rPr>
            </w:pPr>
          </w:p>
        </w:tc>
        <w:tc>
          <w:tcPr>
            <w:tcW w:w="1458" w:type="dxa"/>
            <w:vAlign w:val="center"/>
          </w:tcPr>
          <w:p w14:paraId="5DFB81BA">
            <w:pPr>
              <w:tabs>
                <w:tab w:val="left" w:pos="1069"/>
                <w:tab w:val="left" w:pos="2352"/>
              </w:tabs>
              <w:spacing w:line="360" w:lineRule="auto"/>
              <w:rPr>
                <w:rFonts w:ascii="宋体" w:hAnsi="宋体" w:cs="宋体"/>
                <w:color w:val="auto"/>
                <w:sz w:val="22"/>
                <w:highlight w:val="none"/>
              </w:rPr>
            </w:pPr>
          </w:p>
        </w:tc>
        <w:tc>
          <w:tcPr>
            <w:tcW w:w="1560" w:type="dxa"/>
            <w:vAlign w:val="center"/>
          </w:tcPr>
          <w:p w14:paraId="4AD9CA7F">
            <w:pPr>
              <w:tabs>
                <w:tab w:val="left" w:pos="1069"/>
                <w:tab w:val="left" w:pos="2352"/>
              </w:tabs>
              <w:spacing w:line="360" w:lineRule="auto"/>
              <w:rPr>
                <w:rFonts w:ascii="宋体" w:hAnsi="宋体" w:cs="宋体"/>
                <w:color w:val="auto"/>
                <w:sz w:val="22"/>
                <w:highlight w:val="none"/>
              </w:rPr>
            </w:pPr>
          </w:p>
        </w:tc>
      </w:tr>
      <w:tr w14:paraId="16F5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C493C08">
            <w:pPr>
              <w:tabs>
                <w:tab w:val="left" w:pos="1069"/>
                <w:tab w:val="left" w:pos="2352"/>
              </w:tabs>
              <w:spacing w:line="360" w:lineRule="auto"/>
              <w:rPr>
                <w:rFonts w:ascii="宋体" w:hAnsi="宋体" w:cs="宋体"/>
                <w:color w:val="auto"/>
                <w:sz w:val="22"/>
                <w:highlight w:val="none"/>
              </w:rPr>
            </w:pPr>
          </w:p>
        </w:tc>
        <w:tc>
          <w:tcPr>
            <w:tcW w:w="2520" w:type="dxa"/>
            <w:vAlign w:val="center"/>
          </w:tcPr>
          <w:p w14:paraId="79A27541">
            <w:pPr>
              <w:tabs>
                <w:tab w:val="left" w:pos="1069"/>
                <w:tab w:val="left" w:pos="2352"/>
              </w:tabs>
              <w:spacing w:line="360" w:lineRule="auto"/>
              <w:rPr>
                <w:rFonts w:ascii="宋体" w:hAnsi="宋体" w:cs="宋体"/>
                <w:color w:val="auto"/>
                <w:sz w:val="22"/>
                <w:highlight w:val="none"/>
              </w:rPr>
            </w:pPr>
          </w:p>
        </w:tc>
        <w:tc>
          <w:tcPr>
            <w:tcW w:w="720" w:type="dxa"/>
            <w:vAlign w:val="center"/>
          </w:tcPr>
          <w:p w14:paraId="088AD6AB">
            <w:pPr>
              <w:tabs>
                <w:tab w:val="left" w:pos="1069"/>
                <w:tab w:val="left" w:pos="2352"/>
              </w:tabs>
              <w:spacing w:line="360" w:lineRule="auto"/>
              <w:rPr>
                <w:rFonts w:ascii="宋体" w:hAnsi="宋体" w:cs="宋体"/>
                <w:color w:val="auto"/>
                <w:sz w:val="22"/>
                <w:highlight w:val="none"/>
              </w:rPr>
            </w:pPr>
          </w:p>
        </w:tc>
        <w:tc>
          <w:tcPr>
            <w:tcW w:w="720" w:type="dxa"/>
            <w:vAlign w:val="center"/>
          </w:tcPr>
          <w:p w14:paraId="5C23FD2E">
            <w:pPr>
              <w:tabs>
                <w:tab w:val="left" w:pos="1069"/>
                <w:tab w:val="left" w:pos="2352"/>
              </w:tabs>
              <w:spacing w:line="360" w:lineRule="auto"/>
              <w:rPr>
                <w:rFonts w:ascii="宋体" w:hAnsi="宋体" w:cs="宋体"/>
                <w:color w:val="auto"/>
                <w:sz w:val="22"/>
                <w:highlight w:val="none"/>
              </w:rPr>
            </w:pPr>
          </w:p>
        </w:tc>
        <w:tc>
          <w:tcPr>
            <w:tcW w:w="720" w:type="dxa"/>
            <w:vAlign w:val="center"/>
          </w:tcPr>
          <w:p w14:paraId="726D7425">
            <w:pPr>
              <w:tabs>
                <w:tab w:val="left" w:pos="1069"/>
                <w:tab w:val="left" w:pos="2352"/>
              </w:tabs>
              <w:spacing w:line="360" w:lineRule="auto"/>
              <w:rPr>
                <w:rFonts w:ascii="宋体" w:hAnsi="宋体" w:cs="宋体"/>
                <w:color w:val="auto"/>
                <w:sz w:val="22"/>
                <w:highlight w:val="none"/>
              </w:rPr>
            </w:pPr>
          </w:p>
        </w:tc>
        <w:tc>
          <w:tcPr>
            <w:tcW w:w="1080" w:type="dxa"/>
            <w:vAlign w:val="center"/>
          </w:tcPr>
          <w:p w14:paraId="56E532A8">
            <w:pPr>
              <w:tabs>
                <w:tab w:val="left" w:pos="1069"/>
                <w:tab w:val="left" w:pos="2352"/>
              </w:tabs>
              <w:spacing w:line="360" w:lineRule="auto"/>
              <w:rPr>
                <w:rFonts w:ascii="宋体" w:hAnsi="宋体" w:cs="宋体"/>
                <w:color w:val="auto"/>
                <w:sz w:val="22"/>
                <w:highlight w:val="none"/>
              </w:rPr>
            </w:pPr>
          </w:p>
        </w:tc>
        <w:tc>
          <w:tcPr>
            <w:tcW w:w="1458" w:type="dxa"/>
            <w:vAlign w:val="center"/>
          </w:tcPr>
          <w:p w14:paraId="44C2BCE4">
            <w:pPr>
              <w:tabs>
                <w:tab w:val="left" w:pos="1069"/>
                <w:tab w:val="left" w:pos="2352"/>
              </w:tabs>
              <w:spacing w:line="360" w:lineRule="auto"/>
              <w:rPr>
                <w:rFonts w:ascii="宋体" w:hAnsi="宋体" w:cs="宋体"/>
                <w:color w:val="auto"/>
                <w:sz w:val="22"/>
                <w:highlight w:val="none"/>
              </w:rPr>
            </w:pPr>
          </w:p>
        </w:tc>
        <w:tc>
          <w:tcPr>
            <w:tcW w:w="1560" w:type="dxa"/>
            <w:vAlign w:val="center"/>
          </w:tcPr>
          <w:p w14:paraId="6AE061CF">
            <w:pPr>
              <w:tabs>
                <w:tab w:val="left" w:pos="1069"/>
                <w:tab w:val="left" w:pos="2352"/>
              </w:tabs>
              <w:spacing w:line="360" w:lineRule="auto"/>
              <w:rPr>
                <w:rFonts w:ascii="宋体" w:hAnsi="宋体" w:cs="宋体"/>
                <w:color w:val="auto"/>
                <w:sz w:val="22"/>
                <w:highlight w:val="none"/>
              </w:rPr>
            </w:pPr>
          </w:p>
        </w:tc>
      </w:tr>
      <w:tr w14:paraId="728D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C638B91">
            <w:pPr>
              <w:tabs>
                <w:tab w:val="left" w:pos="1069"/>
                <w:tab w:val="left" w:pos="2352"/>
              </w:tabs>
              <w:spacing w:line="360" w:lineRule="auto"/>
              <w:rPr>
                <w:rFonts w:ascii="宋体" w:hAnsi="宋体" w:cs="宋体"/>
                <w:color w:val="auto"/>
                <w:sz w:val="22"/>
                <w:highlight w:val="none"/>
              </w:rPr>
            </w:pPr>
          </w:p>
        </w:tc>
        <w:tc>
          <w:tcPr>
            <w:tcW w:w="2520" w:type="dxa"/>
            <w:vAlign w:val="center"/>
          </w:tcPr>
          <w:p w14:paraId="65D1379C">
            <w:pPr>
              <w:tabs>
                <w:tab w:val="left" w:pos="1069"/>
                <w:tab w:val="left" w:pos="2352"/>
              </w:tabs>
              <w:spacing w:line="360" w:lineRule="auto"/>
              <w:rPr>
                <w:rFonts w:ascii="宋体" w:hAnsi="宋体" w:cs="宋体"/>
                <w:color w:val="auto"/>
                <w:sz w:val="22"/>
                <w:highlight w:val="none"/>
              </w:rPr>
            </w:pPr>
          </w:p>
        </w:tc>
        <w:tc>
          <w:tcPr>
            <w:tcW w:w="720" w:type="dxa"/>
            <w:vAlign w:val="center"/>
          </w:tcPr>
          <w:p w14:paraId="2E022AE9">
            <w:pPr>
              <w:tabs>
                <w:tab w:val="left" w:pos="1069"/>
                <w:tab w:val="left" w:pos="2352"/>
              </w:tabs>
              <w:spacing w:line="360" w:lineRule="auto"/>
              <w:rPr>
                <w:rFonts w:ascii="宋体" w:hAnsi="宋体" w:cs="宋体"/>
                <w:color w:val="auto"/>
                <w:sz w:val="22"/>
                <w:highlight w:val="none"/>
              </w:rPr>
            </w:pPr>
          </w:p>
        </w:tc>
        <w:tc>
          <w:tcPr>
            <w:tcW w:w="720" w:type="dxa"/>
            <w:vAlign w:val="center"/>
          </w:tcPr>
          <w:p w14:paraId="072FFA72">
            <w:pPr>
              <w:tabs>
                <w:tab w:val="left" w:pos="1069"/>
                <w:tab w:val="left" w:pos="2352"/>
              </w:tabs>
              <w:spacing w:line="360" w:lineRule="auto"/>
              <w:rPr>
                <w:rFonts w:ascii="宋体" w:hAnsi="宋体" w:cs="宋体"/>
                <w:color w:val="auto"/>
                <w:sz w:val="22"/>
                <w:highlight w:val="none"/>
              </w:rPr>
            </w:pPr>
          </w:p>
        </w:tc>
        <w:tc>
          <w:tcPr>
            <w:tcW w:w="720" w:type="dxa"/>
            <w:vAlign w:val="center"/>
          </w:tcPr>
          <w:p w14:paraId="53B839CC">
            <w:pPr>
              <w:tabs>
                <w:tab w:val="left" w:pos="1069"/>
                <w:tab w:val="left" w:pos="2352"/>
              </w:tabs>
              <w:spacing w:line="360" w:lineRule="auto"/>
              <w:rPr>
                <w:rFonts w:ascii="宋体" w:hAnsi="宋体" w:cs="宋体"/>
                <w:color w:val="auto"/>
                <w:sz w:val="22"/>
                <w:highlight w:val="none"/>
              </w:rPr>
            </w:pPr>
          </w:p>
        </w:tc>
        <w:tc>
          <w:tcPr>
            <w:tcW w:w="1080" w:type="dxa"/>
            <w:vAlign w:val="center"/>
          </w:tcPr>
          <w:p w14:paraId="48408F65">
            <w:pPr>
              <w:tabs>
                <w:tab w:val="left" w:pos="1069"/>
                <w:tab w:val="left" w:pos="2352"/>
              </w:tabs>
              <w:spacing w:line="360" w:lineRule="auto"/>
              <w:rPr>
                <w:rFonts w:ascii="宋体" w:hAnsi="宋体" w:cs="宋体"/>
                <w:color w:val="auto"/>
                <w:sz w:val="22"/>
                <w:highlight w:val="none"/>
              </w:rPr>
            </w:pPr>
          </w:p>
        </w:tc>
        <w:tc>
          <w:tcPr>
            <w:tcW w:w="1458" w:type="dxa"/>
            <w:vAlign w:val="center"/>
          </w:tcPr>
          <w:p w14:paraId="0B827AF5">
            <w:pPr>
              <w:tabs>
                <w:tab w:val="left" w:pos="1069"/>
                <w:tab w:val="left" w:pos="2352"/>
              </w:tabs>
              <w:spacing w:line="360" w:lineRule="auto"/>
              <w:rPr>
                <w:rFonts w:ascii="宋体" w:hAnsi="宋体" w:cs="宋体"/>
                <w:color w:val="auto"/>
                <w:sz w:val="22"/>
                <w:highlight w:val="none"/>
              </w:rPr>
            </w:pPr>
          </w:p>
        </w:tc>
        <w:tc>
          <w:tcPr>
            <w:tcW w:w="1560" w:type="dxa"/>
            <w:vAlign w:val="center"/>
          </w:tcPr>
          <w:p w14:paraId="06C85A4A">
            <w:pPr>
              <w:tabs>
                <w:tab w:val="left" w:pos="1069"/>
                <w:tab w:val="left" w:pos="2352"/>
              </w:tabs>
              <w:spacing w:line="360" w:lineRule="auto"/>
              <w:rPr>
                <w:rFonts w:ascii="宋体" w:hAnsi="宋体" w:cs="宋体"/>
                <w:color w:val="auto"/>
                <w:sz w:val="22"/>
                <w:highlight w:val="none"/>
              </w:rPr>
            </w:pPr>
          </w:p>
        </w:tc>
      </w:tr>
      <w:tr w14:paraId="0F1A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972026C">
            <w:pPr>
              <w:tabs>
                <w:tab w:val="left" w:pos="1069"/>
                <w:tab w:val="left" w:pos="2352"/>
              </w:tabs>
              <w:spacing w:line="360" w:lineRule="auto"/>
              <w:rPr>
                <w:rFonts w:ascii="宋体" w:hAnsi="宋体" w:cs="宋体"/>
                <w:color w:val="auto"/>
                <w:sz w:val="22"/>
                <w:highlight w:val="none"/>
              </w:rPr>
            </w:pPr>
          </w:p>
        </w:tc>
        <w:tc>
          <w:tcPr>
            <w:tcW w:w="2520" w:type="dxa"/>
            <w:vAlign w:val="center"/>
          </w:tcPr>
          <w:p w14:paraId="3F3164DA">
            <w:pPr>
              <w:tabs>
                <w:tab w:val="left" w:pos="1069"/>
                <w:tab w:val="left" w:pos="2352"/>
              </w:tabs>
              <w:spacing w:line="360" w:lineRule="auto"/>
              <w:rPr>
                <w:rFonts w:ascii="宋体" w:hAnsi="宋体" w:cs="宋体"/>
                <w:color w:val="auto"/>
                <w:sz w:val="22"/>
                <w:highlight w:val="none"/>
              </w:rPr>
            </w:pPr>
          </w:p>
        </w:tc>
        <w:tc>
          <w:tcPr>
            <w:tcW w:w="720" w:type="dxa"/>
            <w:vAlign w:val="center"/>
          </w:tcPr>
          <w:p w14:paraId="4960216A">
            <w:pPr>
              <w:tabs>
                <w:tab w:val="left" w:pos="1069"/>
                <w:tab w:val="left" w:pos="2352"/>
              </w:tabs>
              <w:spacing w:line="360" w:lineRule="auto"/>
              <w:rPr>
                <w:rFonts w:ascii="宋体" w:hAnsi="宋体" w:cs="宋体"/>
                <w:color w:val="auto"/>
                <w:sz w:val="22"/>
                <w:highlight w:val="none"/>
              </w:rPr>
            </w:pPr>
          </w:p>
        </w:tc>
        <w:tc>
          <w:tcPr>
            <w:tcW w:w="720" w:type="dxa"/>
            <w:vAlign w:val="center"/>
          </w:tcPr>
          <w:p w14:paraId="1C6E1380">
            <w:pPr>
              <w:tabs>
                <w:tab w:val="left" w:pos="1069"/>
                <w:tab w:val="left" w:pos="2352"/>
              </w:tabs>
              <w:spacing w:line="360" w:lineRule="auto"/>
              <w:rPr>
                <w:rFonts w:ascii="宋体" w:hAnsi="宋体" w:cs="宋体"/>
                <w:color w:val="auto"/>
                <w:sz w:val="22"/>
                <w:highlight w:val="none"/>
              </w:rPr>
            </w:pPr>
          </w:p>
        </w:tc>
        <w:tc>
          <w:tcPr>
            <w:tcW w:w="720" w:type="dxa"/>
            <w:vAlign w:val="center"/>
          </w:tcPr>
          <w:p w14:paraId="18B879B3">
            <w:pPr>
              <w:tabs>
                <w:tab w:val="left" w:pos="1069"/>
                <w:tab w:val="left" w:pos="2352"/>
              </w:tabs>
              <w:spacing w:line="360" w:lineRule="auto"/>
              <w:rPr>
                <w:rFonts w:ascii="宋体" w:hAnsi="宋体" w:cs="宋体"/>
                <w:color w:val="auto"/>
                <w:sz w:val="22"/>
                <w:highlight w:val="none"/>
              </w:rPr>
            </w:pPr>
          </w:p>
        </w:tc>
        <w:tc>
          <w:tcPr>
            <w:tcW w:w="1080" w:type="dxa"/>
            <w:vAlign w:val="center"/>
          </w:tcPr>
          <w:p w14:paraId="5B93E885">
            <w:pPr>
              <w:tabs>
                <w:tab w:val="left" w:pos="1069"/>
                <w:tab w:val="left" w:pos="2352"/>
              </w:tabs>
              <w:spacing w:line="360" w:lineRule="auto"/>
              <w:rPr>
                <w:rFonts w:ascii="宋体" w:hAnsi="宋体" w:cs="宋体"/>
                <w:color w:val="auto"/>
                <w:sz w:val="22"/>
                <w:highlight w:val="none"/>
              </w:rPr>
            </w:pPr>
          </w:p>
        </w:tc>
        <w:tc>
          <w:tcPr>
            <w:tcW w:w="1458" w:type="dxa"/>
            <w:vAlign w:val="center"/>
          </w:tcPr>
          <w:p w14:paraId="67014F91">
            <w:pPr>
              <w:tabs>
                <w:tab w:val="left" w:pos="1069"/>
                <w:tab w:val="left" w:pos="2352"/>
              </w:tabs>
              <w:spacing w:line="360" w:lineRule="auto"/>
              <w:rPr>
                <w:rFonts w:ascii="宋体" w:hAnsi="宋体" w:cs="宋体"/>
                <w:color w:val="auto"/>
                <w:sz w:val="22"/>
                <w:highlight w:val="none"/>
              </w:rPr>
            </w:pPr>
          </w:p>
        </w:tc>
        <w:tc>
          <w:tcPr>
            <w:tcW w:w="1560" w:type="dxa"/>
            <w:vAlign w:val="center"/>
          </w:tcPr>
          <w:p w14:paraId="17BB4DD5">
            <w:pPr>
              <w:tabs>
                <w:tab w:val="left" w:pos="1069"/>
                <w:tab w:val="left" w:pos="2352"/>
              </w:tabs>
              <w:spacing w:line="360" w:lineRule="auto"/>
              <w:rPr>
                <w:rFonts w:ascii="宋体" w:hAnsi="宋体" w:cs="宋体"/>
                <w:color w:val="auto"/>
                <w:sz w:val="22"/>
                <w:highlight w:val="none"/>
              </w:rPr>
            </w:pPr>
          </w:p>
        </w:tc>
      </w:tr>
      <w:tr w14:paraId="37F9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3D0358B">
            <w:pPr>
              <w:tabs>
                <w:tab w:val="left" w:pos="1069"/>
                <w:tab w:val="left" w:pos="2352"/>
              </w:tabs>
              <w:spacing w:line="360" w:lineRule="auto"/>
              <w:rPr>
                <w:rFonts w:ascii="宋体" w:hAnsi="宋体" w:cs="宋体"/>
                <w:color w:val="auto"/>
                <w:sz w:val="22"/>
                <w:highlight w:val="none"/>
              </w:rPr>
            </w:pPr>
          </w:p>
        </w:tc>
        <w:tc>
          <w:tcPr>
            <w:tcW w:w="2520" w:type="dxa"/>
            <w:vAlign w:val="center"/>
          </w:tcPr>
          <w:p w14:paraId="1324426F">
            <w:pPr>
              <w:tabs>
                <w:tab w:val="left" w:pos="1069"/>
                <w:tab w:val="left" w:pos="2352"/>
              </w:tabs>
              <w:spacing w:line="360" w:lineRule="auto"/>
              <w:rPr>
                <w:rFonts w:ascii="宋体" w:hAnsi="宋体" w:cs="宋体"/>
                <w:color w:val="auto"/>
                <w:sz w:val="22"/>
                <w:highlight w:val="none"/>
              </w:rPr>
            </w:pPr>
          </w:p>
        </w:tc>
        <w:tc>
          <w:tcPr>
            <w:tcW w:w="720" w:type="dxa"/>
            <w:vAlign w:val="center"/>
          </w:tcPr>
          <w:p w14:paraId="172474B0">
            <w:pPr>
              <w:tabs>
                <w:tab w:val="left" w:pos="1069"/>
                <w:tab w:val="left" w:pos="2352"/>
              </w:tabs>
              <w:spacing w:line="360" w:lineRule="auto"/>
              <w:rPr>
                <w:rFonts w:ascii="宋体" w:hAnsi="宋体" w:cs="宋体"/>
                <w:color w:val="auto"/>
                <w:sz w:val="22"/>
                <w:highlight w:val="none"/>
              </w:rPr>
            </w:pPr>
          </w:p>
        </w:tc>
        <w:tc>
          <w:tcPr>
            <w:tcW w:w="720" w:type="dxa"/>
            <w:vAlign w:val="center"/>
          </w:tcPr>
          <w:p w14:paraId="2232F60D">
            <w:pPr>
              <w:tabs>
                <w:tab w:val="left" w:pos="1069"/>
                <w:tab w:val="left" w:pos="2352"/>
              </w:tabs>
              <w:spacing w:line="360" w:lineRule="auto"/>
              <w:rPr>
                <w:rFonts w:ascii="宋体" w:hAnsi="宋体" w:cs="宋体"/>
                <w:color w:val="auto"/>
                <w:sz w:val="22"/>
                <w:highlight w:val="none"/>
              </w:rPr>
            </w:pPr>
          </w:p>
        </w:tc>
        <w:tc>
          <w:tcPr>
            <w:tcW w:w="720" w:type="dxa"/>
            <w:vAlign w:val="center"/>
          </w:tcPr>
          <w:p w14:paraId="4E2BAB6B">
            <w:pPr>
              <w:tabs>
                <w:tab w:val="left" w:pos="1069"/>
                <w:tab w:val="left" w:pos="2352"/>
              </w:tabs>
              <w:spacing w:line="360" w:lineRule="auto"/>
              <w:rPr>
                <w:rFonts w:ascii="宋体" w:hAnsi="宋体" w:cs="宋体"/>
                <w:color w:val="auto"/>
                <w:sz w:val="22"/>
                <w:highlight w:val="none"/>
              </w:rPr>
            </w:pPr>
          </w:p>
        </w:tc>
        <w:tc>
          <w:tcPr>
            <w:tcW w:w="1080" w:type="dxa"/>
            <w:vAlign w:val="center"/>
          </w:tcPr>
          <w:p w14:paraId="27268FC4">
            <w:pPr>
              <w:tabs>
                <w:tab w:val="left" w:pos="1069"/>
                <w:tab w:val="left" w:pos="2352"/>
              </w:tabs>
              <w:spacing w:line="360" w:lineRule="auto"/>
              <w:rPr>
                <w:rFonts w:ascii="宋体" w:hAnsi="宋体" w:cs="宋体"/>
                <w:color w:val="auto"/>
                <w:sz w:val="22"/>
                <w:highlight w:val="none"/>
              </w:rPr>
            </w:pPr>
          </w:p>
        </w:tc>
        <w:tc>
          <w:tcPr>
            <w:tcW w:w="1458" w:type="dxa"/>
            <w:vAlign w:val="center"/>
          </w:tcPr>
          <w:p w14:paraId="73719938">
            <w:pPr>
              <w:tabs>
                <w:tab w:val="left" w:pos="1069"/>
                <w:tab w:val="left" w:pos="2352"/>
              </w:tabs>
              <w:spacing w:line="360" w:lineRule="auto"/>
              <w:rPr>
                <w:rFonts w:ascii="宋体" w:hAnsi="宋体" w:cs="宋体"/>
                <w:color w:val="auto"/>
                <w:sz w:val="22"/>
                <w:highlight w:val="none"/>
              </w:rPr>
            </w:pPr>
          </w:p>
        </w:tc>
        <w:tc>
          <w:tcPr>
            <w:tcW w:w="1560" w:type="dxa"/>
            <w:vAlign w:val="center"/>
          </w:tcPr>
          <w:p w14:paraId="7492CC6A">
            <w:pPr>
              <w:tabs>
                <w:tab w:val="left" w:pos="1069"/>
                <w:tab w:val="left" w:pos="2352"/>
              </w:tabs>
              <w:spacing w:line="360" w:lineRule="auto"/>
              <w:rPr>
                <w:rFonts w:ascii="宋体" w:hAnsi="宋体" w:cs="宋体"/>
                <w:color w:val="auto"/>
                <w:sz w:val="22"/>
                <w:highlight w:val="none"/>
              </w:rPr>
            </w:pPr>
          </w:p>
        </w:tc>
      </w:tr>
      <w:tr w14:paraId="50EA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8942EF6">
            <w:pPr>
              <w:tabs>
                <w:tab w:val="left" w:pos="1069"/>
                <w:tab w:val="left" w:pos="2352"/>
              </w:tabs>
              <w:spacing w:line="360" w:lineRule="auto"/>
              <w:rPr>
                <w:rFonts w:ascii="宋体" w:hAnsi="宋体" w:cs="宋体"/>
                <w:color w:val="auto"/>
                <w:sz w:val="22"/>
                <w:highlight w:val="none"/>
              </w:rPr>
            </w:pPr>
          </w:p>
        </w:tc>
        <w:tc>
          <w:tcPr>
            <w:tcW w:w="2520" w:type="dxa"/>
            <w:vAlign w:val="center"/>
          </w:tcPr>
          <w:p w14:paraId="7368F65D">
            <w:pPr>
              <w:tabs>
                <w:tab w:val="left" w:pos="1069"/>
                <w:tab w:val="left" w:pos="2352"/>
              </w:tabs>
              <w:spacing w:line="360" w:lineRule="auto"/>
              <w:rPr>
                <w:rFonts w:ascii="宋体" w:hAnsi="宋体" w:cs="宋体"/>
                <w:color w:val="auto"/>
                <w:sz w:val="22"/>
                <w:highlight w:val="none"/>
              </w:rPr>
            </w:pPr>
          </w:p>
        </w:tc>
        <w:tc>
          <w:tcPr>
            <w:tcW w:w="720" w:type="dxa"/>
            <w:vAlign w:val="center"/>
          </w:tcPr>
          <w:p w14:paraId="7F861260">
            <w:pPr>
              <w:tabs>
                <w:tab w:val="left" w:pos="1069"/>
                <w:tab w:val="left" w:pos="2352"/>
              </w:tabs>
              <w:spacing w:line="360" w:lineRule="auto"/>
              <w:rPr>
                <w:rFonts w:ascii="宋体" w:hAnsi="宋体" w:cs="宋体"/>
                <w:color w:val="auto"/>
                <w:sz w:val="22"/>
                <w:highlight w:val="none"/>
              </w:rPr>
            </w:pPr>
          </w:p>
        </w:tc>
        <w:tc>
          <w:tcPr>
            <w:tcW w:w="720" w:type="dxa"/>
            <w:vAlign w:val="center"/>
          </w:tcPr>
          <w:p w14:paraId="3EBA6541">
            <w:pPr>
              <w:tabs>
                <w:tab w:val="left" w:pos="1069"/>
                <w:tab w:val="left" w:pos="2352"/>
              </w:tabs>
              <w:spacing w:line="360" w:lineRule="auto"/>
              <w:rPr>
                <w:rFonts w:ascii="宋体" w:hAnsi="宋体" w:cs="宋体"/>
                <w:color w:val="auto"/>
                <w:sz w:val="22"/>
                <w:highlight w:val="none"/>
              </w:rPr>
            </w:pPr>
          </w:p>
        </w:tc>
        <w:tc>
          <w:tcPr>
            <w:tcW w:w="720" w:type="dxa"/>
            <w:vAlign w:val="center"/>
          </w:tcPr>
          <w:p w14:paraId="735838BA">
            <w:pPr>
              <w:tabs>
                <w:tab w:val="left" w:pos="1069"/>
                <w:tab w:val="left" w:pos="2352"/>
              </w:tabs>
              <w:spacing w:line="360" w:lineRule="auto"/>
              <w:rPr>
                <w:rFonts w:ascii="宋体" w:hAnsi="宋体" w:cs="宋体"/>
                <w:color w:val="auto"/>
                <w:sz w:val="22"/>
                <w:highlight w:val="none"/>
              </w:rPr>
            </w:pPr>
          </w:p>
        </w:tc>
        <w:tc>
          <w:tcPr>
            <w:tcW w:w="1080" w:type="dxa"/>
            <w:vAlign w:val="center"/>
          </w:tcPr>
          <w:p w14:paraId="5B169D4E">
            <w:pPr>
              <w:tabs>
                <w:tab w:val="left" w:pos="1069"/>
                <w:tab w:val="left" w:pos="2352"/>
              </w:tabs>
              <w:spacing w:line="360" w:lineRule="auto"/>
              <w:rPr>
                <w:rFonts w:ascii="宋体" w:hAnsi="宋体" w:cs="宋体"/>
                <w:color w:val="auto"/>
                <w:sz w:val="22"/>
                <w:highlight w:val="none"/>
              </w:rPr>
            </w:pPr>
          </w:p>
        </w:tc>
        <w:tc>
          <w:tcPr>
            <w:tcW w:w="1458" w:type="dxa"/>
            <w:vAlign w:val="center"/>
          </w:tcPr>
          <w:p w14:paraId="3674BC94">
            <w:pPr>
              <w:tabs>
                <w:tab w:val="left" w:pos="1069"/>
                <w:tab w:val="left" w:pos="2352"/>
              </w:tabs>
              <w:spacing w:line="360" w:lineRule="auto"/>
              <w:rPr>
                <w:rFonts w:ascii="宋体" w:hAnsi="宋体" w:cs="宋体"/>
                <w:color w:val="auto"/>
                <w:sz w:val="22"/>
                <w:highlight w:val="none"/>
              </w:rPr>
            </w:pPr>
          </w:p>
        </w:tc>
        <w:tc>
          <w:tcPr>
            <w:tcW w:w="1560" w:type="dxa"/>
            <w:vAlign w:val="center"/>
          </w:tcPr>
          <w:p w14:paraId="533A0561">
            <w:pPr>
              <w:tabs>
                <w:tab w:val="left" w:pos="1069"/>
                <w:tab w:val="left" w:pos="2352"/>
              </w:tabs>
              <w:spacing w:line="360" w:lineRule="auto"/>
              <w:rPr>
                <w:rFonts w:ascii="宋体" w:hAnsi="宋体" w:cs="宋体"/>
                <w:color w:val="auto"/>
                <w:sz w:val="22"/>
                <w:highlight w:val="none"/>
              </w:rPr>
            </w:pPr>
          </w:p>
        </w:tc>
      </w:tr>
      <w:tr w14:paraId="397F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B47B4E1">
            <w:pPr>
              <w:tabs>
                <w:tab w:val="left" w:pos="1069"/>
                <w:tab w:val="left" w:pos="2352"/>
              </w:tabs>
              <w:spacing w:line="360" w:lineRule="auto"/>
              <w:rPr>
                <w:rFonts w:ascii="宋体" w:hAnsi="宋体" w:cs="宋体"/>
                <w:color w:val="auto"/>
                <w:sz w:val="22"/>
                <w:highlight w:val="none"/>
              </w:rPr>
            </w:pPr>
          </w:p>
        </w:tc>
        <w:tc>
          <w:tcPr>
            <w:tcW w:w="2520" w:type="dxa"/>
            <w:vAlign w:val="center"/>
          </w:tcPr>
          <w:p w14:paraId="2794CE8E">
            <w:pPr>
              <w:tabs>
                <w:tab w:val="left" w:pos="1069"/>
                <w:tab w:val="left" w:pos="2352"/>
              </w:tabs>
              <w:spacing w:line="360" w:lineRule="auto"/>
              <w:rPr>
                <w:rFonts w:ascii="宋体" w:hAnsi="宋体" w:cs="宋体"/>
                <w:color w:val="auto"/>
                <w:sz w:val="22"/>
                <w:highlight w:val="none"/>
              </w:rPr>
            </w:pPr>
          </w:p>
        </w:tc>
        <w:tc>
          <w:tcPr>
            <w:tcW w:w="720" w:type="dxa"/>
            <w:vAlign w:val="center"/>
          </w:tcPr>
          <w:p w14:paraId="21ADA145">
            <w:pPr>
              <w:tabs>
                <w:tab w:val="left" w:pos="1069"/>
                <w:tab w:val="left" w:pos="2352"/>
              </w:tabs>
              <w:spacing w:line="360" w:lineRule="auto"/>
              <w:rPr>
                <w:rFonts w:ascii="宋体" w:hAnsi="宋体" w:cs="宋体"/>
                <w:color w:val="auto"/>
                <w:sz w:val="22"/>
                <w:highlight w:val="none"/>
              </w:rPr>
            </w:pPr>
          </w:p>
        </w:tc>
        <w:tc>
          <w:tcPr>
            <w:tcW w:w="720" w:type="dxa"/>
            <w:vAlign w:val="center"/>
          </w:tcPr>
          <w:p w14:paraId="6410D9A7">
            <w:pPr>
              <w:tabs>
                <w:tab w:val="left" w:pos="1069"/>
                <w:tab w:val="left" w:pos="2352"/>
              </w:tabs>
              <w:spacing w:line="360" w:lineRule="auto"/>
              <w:rPr>
                <w:rFonts w:ascii="宋体" w:hAnsi="宋体" w:cs="宋体"/>
                <w:color w:val="auto"/>
                <w:sz w:val="22"/>
                <w:highlight w:val="none"/>
              </w:rPr>
            </w:pPr>
          </w:p>
        </w:tc>
        <w:tc>
          <w:tcPr>
            <w:tcW w:w="720" w:type="dxa"/>
            <w:vAlign w:val="center"/>
          </w:tcPr>
          <w:p w14:paraId="6E8D0969">
            <w:pPr>
              <w:tabs>
                <w:tab w:val="left" w:pos="1069"/>
                <w:tab w:val="left" w:pos="2352"/>
              </w:tabs>
              <w:spacing w:line="360" w:lineRule="auto"/>
              <w:rPr>
                <w:rFonts w:ascii="宋体" w:hAnsi="宋体" w:cs="宋体"/>
                <w:color w:val="auto"/>
                <w:sz w:val="22"/>
                <w:highlight w:val="none"/>
              </w:rPr>
            </w:pPr>
          </w:p>
        </w:tc>
        <w:tc>
          <w:tcPr>
            <w:tcW w:w="1080" w:type="dxa"/>
            <w:vAlign w:val="center"/>
          </w:tcPr>
          <w:p w14:paraId="560C3B74">
            <w:pPr>
              <w:tabs>
                <w:tab w:val="left" w:pos="1069"/>
                <w:tab w:val="left" w:pos="2352"/>
              </w:tabs>
              <w:spacing w:line="360" w:lineRule="auto"/>
              <w:rPr>
                <w:rFonts w:ascii="宋体" w:hAnsi="宋体" w:cs="宋体"/>
                <w:color w:val="auto"/>
                <w:sz w:val="22"/>
                <w:highlight w:val="none"/>
              </w:rPr>
            </w:pPr>
          </w:p>
        </w:tc>
        <w:tc>
          <w:tcPr>
            <w:tcW w:w="1458" w:type="dxa"/>
            <w:vAlign w:val="center"/>
          </w:tcPr>
          <w:p w14:paraId="3473BC5A">
            <w:pPr>
              <w:tabs>
                <w:tab w:val="left" w:pos="1069"/>
                <w:tab w:val="left" w:pos="2352"/>
              </w:tabs>
              <w:spacing w:line="360" w:lineRule="auto"/>
              <w:rPr>
                <w:rFonts w:ascii="宋体" w:hAnsi="宋体" w:cs="宋体"/>
                <w:color w:val="auto"/>
                <w:sz w:val="22"/>
                <w:highlight w:val="none"/>
              </w:rPr>
            </w:pPr>
          </w:p>
        </w:tc>
        <w:tc>
          <w:tcPr>
            <w:tcW w:w="1560" w:type="dxa"/>
            <w:vAlign w:val="center"/>
          </w:tcPr>
          <w:p w14:paraId="0CD437BD">
            <w:pPr>
              <w:tabs>
                <w:tab w:val="left" w:pos="1069"/>
                <w:tab w:val="left" w:pos="2352"/>
              </w:tabs>
              <w:spacing w:line="360" w:lineRule="auto"/>
              <w:rPr>
                <w:rFonts w:ascii="宋体" w:hAnsi="宋体" w:cs="宋体"/>
                <w:color w:val="auto"/>
                <w:sz w:val="22"/>
                <w:highlight w:val="none"/>
              </w:rPr>
            </w:pPr>
          </w:p>
        </w:tc>
      </w:tr>
      <w:tr w14:paraId="3967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50FBDBE">
            <w:pPr>
              <w:tabs>
                <w:tab w:val="left" w:pos="1069"/>
                <w:tab w:val="left" w:pos="2352"/>
              </w:tabs>
              <w:spacing w:line="360" w:lineRule="auto"/>
              <w:rPr>
                <w:rFonts w:ascii="宋体" w:hAnsi="宋体" w:cs="宋体"/>
                <w:color w:val="auto"/>
                <w:sz w:val="22"/>
                <w:highlight w:val="none"/>
              </w:rPr>
            </w:pPr>
          </w:p>
        </w:tc>
        <w:tc>
          <w:tcPr>
            <w:tcW w:w="2520" w:type="dxa"/>
            <w:vAlign w:val="center"/>
          </w:tcPr>
          <w:p w14:paraId="1070F896">
            <w:pPr>
              <w:tabs>
                <w:tab w:val="left" w:pos="1069"/>
                <w:tab w:val="left" w:pos="2352"/>
              </w:tabs>
              <w:spacing w:line="360" w:lineRule="auto"/>
              <w:rPr>
                <w:rFonts w:ascii="宋体" w:hAnsi="宋体" w:cs="宋体"/>
                <w:color w:val="auto"/>
                <w:sz w:val="22"/>
                <w:highlight w:val="none"/>
              </w:rPr>
            </w:pPr>
          </w:p>
        </w:tc>
        <w:tc>
          <w:tcPr>
            <w:tcW w:w="720" w:type="dxa"/>
            <w:vAlign w:val="center"/>
          </w:tcPr>
          <w:p w14:paraId="33399B59">
            <w:pPr>
              <w:tabs>
                <w:tab w:val="left" w:pos="1069"/>
                <w:tab w:val="left" w:pos="2352"/>
              </w:tabs>
              <w:spacing w:line="360" w:lineRule="auto"/>
              <w:rPr>
                <w:rFonts w:ascii="宋体" w:hAnsi="宋体" w:cs="宋体"/>
                <w:color w:val="auto"/>
                <w:sz w:val="22"/>
                <w:highlight w:val="none"/>
              </w:rPr>
            </w:pPr>
          </w:p>
        </w:tc>
        <w:tc>
          <w:tcPr>
            <w:tcW w:w="720" w:type="dxa"/>
            <w:vAlign w:val="center"/>
          </w:tcPr>
          <w:p w14:paraId="683E3A4A">
            <w:pPr>
              <w:tabs>
                <w:tab w:val="left" w:pos="1069"/>
                <w:tab w:val="left" w:pos="2352"/>
              </w:tabs>
              <w:spacing w:line="360" w:lineRule="auto"/>
              <w:rPr>
                <w:rFonts w:ascii="宋体" w:hAnsi="宋体" w:cs="宋体"/>
                <w:color w:val="auto"/>
                <w:sz w:val="22"/>
                <w:highlight w:val="none"/>
              </w:rPr>
            </w:pPr>
          </w:p>
        </w:tc>
        <w:tc>
          <w:tcPr>
            <w:tcW w:w="720" w:type="dxa"/>
            <w:vAlign w:val="center"/>
          </w:tcPr>
          <w:p w14:paraId="7A2FF9DD">
            <w:pPr>
              <w:tabs>
                <w:tab w:val="left" w:pos="1069"/>
                <w:tab w:val="left" w:pos="2352"/>
              </w:tabs>
              <w:spacing w:line="360" w:lineRule="auto"/>
              <w:rPr>
                <w:rFonts w:ascii="宋体" w:hAnsi="宋体" w:cs="宋体"/>
                <w:color w:val="auto"/>
                <w:sz w:val="22"/>
                <w:highlight w:val="none"/>
              </w:rPr>
            </w:pPr>
          </w:p>
        </w:tc>
        <w:tc>
          <w:tcPr>
            <w:tcW w:w="1080" w:type="dxa"/>
            <w:vAlign w:val="center"/>
          </w:tcPr>
          <w:p w14:paraId="16FBA256">
            <w:pPr>
              <w:tabs>
                <w:tab w:val="left" w:pos="1069"/>
                <w:tab w:val="left" w:pos="2352"/>
              </w:tabs>
              <w:spacing w:line="360" w:lineRule="auto"/>
              <w:rPr>
                <w:rFonts w:ascii="宋体" w:hAnsi="宋体" w:cs="宋体"/>
                <w:color w:val="auto"/>
                <w:sz w:val="22"/>
                <w:highlight w:val="none"/>
              </w:rPr>
            </w:pPr>
          </w:p>
        </w:tc>
        <w:tc>
          <w:tcPr>
            <w:tcW w:w="1458" w:type="dxa"/>
            <w:vAlign w:val="center"/>
          </w:tcPr>
          <w:p w14:paraId="07543BD8">
            <w:pPr>
              <w:tabs>
                <w:tab w:val="left" w:pos="1069"/>
                <w:tab w:val="left" w:pos="2352"/>
              </w:tabs>
              <w:spacing w:line="360" w:lineRule="auto"/>
              <w:rPr>
                <w:rFonts w:ascii="宋体" w:hAnsi="宋体" w:cs="宋体"/>
                <w:color w:val="auto"/>
                <w:sz w:val="22"/>
                <w:highlight w:val="none"/>
              </w:rPr>
            </w:pPr>
          </w:p>
        </w:tc>
        <w:tc>
          <w:tcPr>
            <w:tcW w:w="1560" w:type="dxa"/>
            <w:vAlign w:val="center"/>
          </w:tcPr>
          <w:p w14:paraId="53629B88">
            <w:pPr>
              <w:tabs>
                <w:tab w:val="left" w:pos="1069"/>
                <w:tab w:val="left" w:pos="2352"/>
              </w:tabs>
              <w:spacing w:line="360" w:lineRule="auto"/>
              <w:rPr>
                <w:rFonts w:ascii="宋体" w:hAnsi="宋体" w:cs="宋体"/>
                <w:color w:val="auto"/>
                <w:sz w:val="22"/>
                <w:highlight w:val="none"/>
              </w:rPr>
            </w:pPr>
          </w:p>
        </w:tc>
      </w:tr>
      <w:tr w14:paraId="7DB9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6931276">
            <w:pPr>
              <w:tabs>
                <w:tab w:val="left" w:pos="1069"/>
                <w:tab w:val="left" w:pos="2352"/>
              </w:tabs>
              <w:spacing w:line="360" w:lineRule="auto"/>
              <w:rPr>
                <w:rFonts w:ascii="宋体" w:hAnsi="宋体" w:cs="宋体"/>
                <w:color w:val="auto"/>
                <w:sz w:val="22"/>
                <w:highlight w:val="none"/>
              </w:rPr>
            </w:pPr>
          </w:p>
        </w:tc>
        <w:tc>
          <w:tcPr>
            <w:tcW w:w="2520" w:type="dxa"/>
            <w:vAlign w:val="center"/>
          </w:tcPr>
          <w:p w14:paraId="6A08B73C">
            <w:pPr>
              <w:tabs>
                <w:tab w:val="left" w:pos="1069"/>
                <w:tab w:val="left" w:pos="2352"/>
              </w:tabs>
              <w:spacing w:line="360" w:lineRule="auto"/>
              <w:rPr>
                <w:rFonts w:ascii="宋体" w:hAnsi="宋体" w:cs="宋体"/>
                <w:color w:val="auto"/>
                <w:sz w:val="22"/>
                <w:highlight w:val="none"/>
              </w:rPr>
            </w:pPr>
          </w:p>
        </w:tc>
        <w:tc>
          <w:tcPr>
            <w:tcW w:w="720" w:type="dxa"/>
            <w:vAlign w:val="center"/>
          </w:tcPr>
          <w:p w14:paraId="5106CEC6">
            <w:pPr>
              <w:tabs>
                <w:tab w:val="left" w:pos="1069"/>
                <w:tab w:val="left" w:pos="2352"/>
              </w:tabs>
              <w:spacing w:line="360" w:lineRule="auto"/>
              <w:rPr>
                <w:rFonts w:ascii="宋体" w:hAnsi="宋体" w:cs="宋体"/>
                <w:color w:val="auto"/>
                <w:sz w:val="22"/>
                <w:highlight w:val="none"/>
              </w:rPr>
            </w:pPr>
          </w:p>
        </w:tc>
        <w:tc>
          <w:tcPr>
            <w:tcW w:w="720" w:type="dxa"/>
            <w:vAlign w:val="center"/>
          </w:tcPr>
          <w:p w14:paraId="2523F6E1">
            <w:pPr>
              <w:tabs>
                <w:tab w:val="left" w:pos="1069"/>
                <w:tab w:val="left" w:pos="2352"/>
              </w:tabs>
              <w:spacing w:line="360" w:lineRule="auto"/>
              <w:rPr>
                <w:rFonts w:ascii="宋体" w:hAnsi="宋体" w:cs="宋体"/>
                <w:color w:val="auto"/>
                <w:sz w:val="22"/>
                <w:highlight w:val="none"/>
              </w:rPr>
            </w:pPr>
          </w:p>
        </w:tc>
        <w:tc>
          <w:tcPr>
            <w:tcW w:w="720" w:type="dxa"/>
            <w:vAlign w:val="center"/>
          </w:tcPr>
          <w:p w14:paraId="7F8AF65F">
            <w:pPr>
              <w:tabs>
                <w:tab w:val="left" w:pos="1069"/>
                <w:tab w:val="left" w:pos="2352"/>
              </w:tabs>
              <w:spacing w:line="360" w:lineRule="auto"/>
              <w:rPr>
                <w:rFonts w:ascii="宋体" w:hAnsi="宋体" w:cs="宋体"/>
                <w:color w:val="auto"/>
                <w:sz w:val="22"/>
                <w:highlight w:val="none"/>
              </w:rPr>
            </w:pPr>
          </w:p>
        </w:tc>
        <w:tc>
          <w:tcPr>
            <w:tcW w:w="1080" w:type="dxa"/>
            <w:vAlign w:val="center"/>
          </w:tcPr>
          <w:p w14:paraId="63DC3A01">
            <w:pPr>
              <w:tabs>
                <w:tab w:val="left" w:pos="1069"/>
                <w:tab w:val="left" w:pos="2352"/>
              </w:tabs>
              <w:spacing w:line="360" w:lineRule="auto"/>
              <w:rPr>
                <w:rFonts w:ascii="宋体" w:hAnsi="宋体" w:cs="宋体"/>
                <w:color w:val="auto"/>
                <w:sz w:val="22"/>
                <w:highlight w:val="none"/>
              </w:rPr>
            </w:pPr>
          </w:p>
        </w:tc>
        <w:tc>
          <w:tcPr>
            <w:tcW w:w="1458" w:type="dxa"/>
            <w:vAlign w:val="center"/>
          </w:tcPr>
          <w:p w14:paraId="3334AC93">
            <w:pPr>
              <w:tabs>
                <w:tab w:val="left" w:pos="1069"/>
                <w:tab w:val="left" w:pos="2352"/>
              </w:tabs>
              <w:spacing w:line="360" w:lineRule="auto"/>
              <w:rPr>
                <w:rFonts w:ascii="宋体" w:hAnsi="宋体" w:cs="宋体"/>
                <w:color w:val="auto"/>
                <w:sz w:val="22"/>
                <w:highlight w:val="none"/>
              </w:rPr>
            </w:pPr>
          </w:p>
        </w:tc>
        <w:tc>
          <w:tcPr>
            <w:tcW w:w="1560" w:type="dxa"/>
            <w:vAlign w:val="center"/>
          </w:tcPr>
          <w:p w14:paraId="43A61D21">
            <w:pPr>
              <w:tabs>
                <w:tab w:val="left" w:pos="1069"/>
                <w:tab w:val="left" w:pos="2352"/>
              </w:tabs>
              <w:spacing w:line="360" w:lineRule="auto"/>
              <w:rPr>
                <w:rFonts w:ascii="宋体" w:hAnsi="宋体" w:cs="宋体"/>
                <w:color w:val="auto"/>
                <w:sz w:val="22"/>
                <w:highlight w:val="none"/>
              </w:rPr>
            </w:pPr>
          </w:p>
        </w:tc>
      </w:tr>
    </w:tbl>
    <w:p w14:paraId="7A45E420">
      <w:pPr>
        <w:tabs>
          <w:tab w:val="left" w:pos="1069"/>
          <w:tab w:val="left" w:pos="2352"/>
        </w:tabs>
        <w:spacing w:line="360" w:lineRule="exact"/>
        <w:ind w:left="985" w:hanging="981" w:hangingChars="440"/>
        <w:rPr>
          <w:rFonts w:ascii="宋体" w:hAnsi="宋体" w:cs="宋体"/>
          <w:color w:val="auto"/>
          <w:sz w:val="22"/>
          <w:highlight w:val="none"/>
        </w:rPr>
      </w:pPr>
      <w:r>
        <w:rPr>
          <w:rFonts w:hint="eastAsia" w:ascii="宋体" w:hAnsi="宋体" w:cs="宋体"/>
          <w:color w:val="auto"/>
          <w:sz w:val="22"/>
          <w:highlight w:val="none"/>
        </w:rPr>
        <w:t>注：  1. 项目负责人及其他服务人员均应列入；</w:t>
      </w:r>
    </w:p>
    <w:p w14:paraId="4923AD87">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2. 列入本表人员如要更换，需经采购人同意，擅自更换或不到位属违约行为；</w:t>
      </w:r>
    </w:p>
    <w:p w14:paraId="7978DE5D">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3. 职称证书、执业资格证书、职业水平证书等人员证件复印件附后（如有）。</w:t>
      </w:r>
    </w:p>
    <w:p w14:paraId="3A7DF8A5">
      <w:pPr>
        <w:tabs>
          <w:tab w:val="left" w:pos="1069"/>
          <w:tab w:val="left" w:pos="2352"/>
        </w:tabs>
        <w:spacing w:line="360" w:lineRule="exact"/>
        <w:ind w:left="727" w:leftChars="321" w:hanging="44" w:hangingChars="20"/>
        <w:rPr>
          <w:rFonts w:ascii="宋体" w:hAnsi="宋体" w:cs="宋体"/>
          <w:color w:val="auto"/>
          <w:sz w:val="22"/>
          <w:highlight w:val="none"/>
        </w:rPr>
      </w:pPr>
      <w:r>
        <w:rPr>
          <w:rFonts w:hint="eastAsia" w:ascii="宋体" w:hAnsi="宋体" w:cs="宋体"/>
          <w:color w:val="auto"/>
          <w:sz w:val="22"/>
          <w:highlight w:val="none"/>
        </w:rPr>
        <w:t>4.表格可以延续。</w:t>
      </w:r>
    </w:p>
    <w:p w14:paraId="04AE0F66">
      <w:pPr>
        <w:pStyle w:val="10"/>
        <w:tabs>
          <w:tab w:val="left" w:pos="1069"/>
          <w:tab w:val="left" w:pos="2352"/>
        </w:tabs>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14:paraId="23A5754A">
      <w:pPr>
        <w:pStyle w:val="10"/>
        <w:tabs>
          <w:tab w:val="left" w:pos="1069"/>
          <w:tab w:val="left" w:pos="2352"/>
        </w:tabs>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14:paraId="030D1389">
      <w:pPr>
        <w:pStyle w:val="10"/>
        <w:tabs>
          <w:tab w:val="left" w:pos="1069"/>
          <w:tab w:val="left" w:pos="2352"/>
        </w:tabs>
        <w:spacing w:line="360" w:lineRule="exact"/>
        <w:jc w:val="left"/>
        <w:rPr>
          <w:rFonts w:hAnsi="宋体" w:cs="宋体"/>
          <w:color w:val="auto"/>
          <w:sz w:val="22"/>
          <w:szCs w:val="22"/>
          <w:highlight w:val="none"/>
        </w:rPr>
      </w:pPr>
      <w:r>
        <w:rPr>
          <w:rFonts w:hint="eastAsia" w:hAnsi="宋体" w:cs="宋体"/>
          <w:color w:val="auto"/>
          <w:sz w:val="22"/>
          <w:szCs w:val="22"/>
          <w:highlight w:val="none"/>
        </w:rPr>
        <w:t>日期：</w:t>
      </w:r>
    </w:p>
    <w:p w14:paraId="0A171E40">
      <w:pPr>
        <w:tabs>
          <w:tab w:val="left" w:pos="1069"/>
          <w:tab w:val="left" w:pos="2352"/>
        </w:tabs>
        <w:spacing w:line="360" w:lineRule="exact"/>
        <w:jc w:val="left"/>
        <w:rPr>
          <w:rFonts w:ascii="宋体" w:hAnsi="宋体" w:cs="宋体"/>
          <w:color w:val="auto"/>
          <w:sz w:val="30"/>
          <w:highlight w:val="none"/>
        </w:rPr>
      </w:pPr>
    </w:p>
    <w:p w14:paraId="3E15D24D">
      <w:pPr>
        <w:tabs>
          <w:tab w:val="left" w:pos="1069"/>
          <w:tab w:val="left" w:pos="2352"/>
        </w:tabs>
        <w:spacing w:line="360" w:lineRule="exact"/>
        <w:jc w:val="left"/>
        <w:rPr>
          <w:rFonts w:ascii="宋体" w:hAnsi="宋体" w:cs="宋体"/>
          <w:b/>
          <w:bCs/>
          <w:color w:val="auto"/>
          <w:sz w:val="30"/>
          <w:highlight w:val="none"/>
        </w:rPr>
      </w:pPr>
    </w:p>
    <w:p w14:paraId="07A9B2BE">
      <w:pPr>
        <w:tabs>
          <w:tab w:val="left" w:pos="1069"/>
          <w:tab w:val="left" w:pos="2352"/>
        </w:tabs>
        <w:spacing w:line="360" w:lineRule="exact"/>
        <w:jc w:val="left"/>
        <w:rPr>
          <w:rFonts w:ascii="宋体" w:hAnsi="宋体" w:cs="宋体"/>
          <w:b/>
          <w:bCs/>
          <w:color w:val="auto"/>
          <w:szCs w:val="21"/>
          <w:highlight w:val="none"/>
        </w:rPr>
      </w:pPr>
      <w:r>
        <w:rPr>
          <w:rFonts w:hint="eastAsia" w:ascii="宋体" w:hAnsi="宋体" w:cs="宋体"/>
          <w:b/>
          <w:bCs/>
          <w:color w:val="auto"/>
          <w:sz w:val="30"/>
          <w:highlight w:val="none"/>
        </w:rPr>
        <w:t>附件十</w:t>
      </w:r>
    </w:p>
    <w:p w14:paraId="5ECEE44D">
      <w:pPr>
        <w:tabs>
          <w:tab w:val="left" w:pos="1069"/>
          <w:tab w:val="left" w:pos="2352"/>
        </w:tabs>
        <w:autoSpaceDE w:val="0"/>
        <w:autoSpaceDN w:val="0"/>
        <w:adjustRightInd w:val="0"/>
        <w:spacing w:line="500" w:lineRule="atLeast"/>
        <w:jc w:val="center"/>
        <w:rPr>
          <w:rFonts w:ascii="宋体" w:hAnsi="宋体" w:cs="宋体"/>
          <w:b/>
          <w:bCs/>
          <w:color w:val="auto"/>
          <w:sz w:val="32"/>
          <w:highlight w:val="none"/>
        </w:rPr>
      </w:pPr>
      <w:bookmarkStart w:id="85" w:name="_Toc28287_WPSOffice_Level3"/>
      <w:r>
        <w:rPr>
          <w:rFonts w:hint="eastAsia" w:ascii="宋体" w:hAnsi="宋体" w:cs="宋体"/>
          <w:b/>
          <w:bCs/>
          <w:color w:val="auto"/>
          <w:sz w:val="32"/>
          <w:highlight w:val="none"/>
        </w:rPr>
        <w:t>供应商项目业绩清单</w:t>
      </w:r>
      <w:bookmarkEnd w:id="85"/>
    </w:p>
    <w:p w14:paraId="6EB59B57">
      <w:pPr>
        <w:pStyle w:val="10"/>
        <w:tabs>
          <w:tab w:val="left" w:pos="1069"/>
          <w:tab w:val="left" w:pos="2352"/>
        </w:tabs>
        <w:spacing w:line="360" w:lineRule="exact"/>
        <w:jc w:val="center"/>
        <w:rPr>
          <w:rFonts w:hAnsi="宋体" w:cs="宋体"/>
          <w:color w:val="auto"/>
          <w:sz w:val="22"/>
          <w:highlight w:val="none"/>
        </w:rPr>
      </w:pPr>
    </w:p>
    <w:tbl>
      <w:tblPr>
        <w:tblStyle w:val="26"/>
        <w:tblW w:w="0" w:type="auto"/>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3DF818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Borders>
              <w:top w:val="double" w:color="000000" w:sz="6" w:space="0"/>
            </w:tcBorders>
          </w:tcPr>
          <w:p w14:paraId="0526FD05">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序号</w:t>
            </w:r>
          </w:p>
        </w:tc>
        <w:tc>
          <w:tcPr>
            <w:tcW w:w="1153" w:type="dxa"/>
            <w:tcBorders>
              <w:top w:val="double" w:color="000000" w:sz="6" w:space="0"/>
            </w:tcBorders>
          </w:tcPr>
          <w:p w14:paraId="3ABCE857">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14:paraId="2CB3186D">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tcPr>
          <w:p w14:paraId="289C2745">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项目</w:t>
            </w:r>
          </w:p>
          <w:p w14:paraId="1F82B8A0">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名称</w:t>
            </w:r>
          </w:p>
        </w:tc>
        <w:tc>
          <w:tcPr>
            <w:tcW w:w="1154" w:type="dxa"/>
            <w:tcBorders>
              <w:top w:val="double" w:color="000000" w:sz="6" w:space="0"/>
            </w:tcBorders>
          </w:tcPr>
          <w:p w14:paraId="3645838B">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数量</w:t>
            </w:r>
          </w:p>
        </w:tc>
        <w:tc>
          <w:tcPr>
            <w:tcW w:w="1154" w:type="dxa"/>
            <w:tcBorders>
              <w:top w:val="double" w:color="000000" w:sz="6" w:space="0"/>
            </w:tcBorders>
          </w:tcPr>
          <w:p w14:paraId="0FA7B58B">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合同</w:t>
            </w:r>
          </w:p>
          <w:p w14:paraId="67C7C35E">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金额</w:t>
            </w:r>
          </w:p>
        </w:tc>
        <w:tc>
          <w:tcPr>
            <w:tcW w:w="1154" w:type="dxa"/>
            <w:tcBorders>
              <w:top w:val="double" w:color="000000" w:sz="6" w:space="0"/>
            </w:tcBorders>
          </w:tcPr>
          <w:p w14:paraId="4BE969FC">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14:paraId="3E56009A">
            <w:pPr>
              <w:tabs>
                <w:tab w:val="left" w:pos="1069"/>
                <w:tab w:val="left" w:pos="2352"/>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tcPr>
          <w:p w14:paraId="7A4D7A5A">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tcPr>
          <w:p w14:paraId="43A30A3E">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14:paraId="7892C02B">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tcPr>
          <w:p w14:paraId="3D98EBAD">
            <w:pPr>
              <w:tabs>
                <w:tab w:val="left" w:pos="1069"/>
                <w:tab w:val="left" w:pos="2352"/>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14:paraId="20242F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D24089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2EE753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C7CBEC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B2B74E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4FA0A6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65D46B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EA5AE0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CF6039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576872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06800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564840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DC7E41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2CDE53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B97E6B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E113A4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3F377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6492E0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6397A3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366293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108A58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992AE5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7DFC91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35CEB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D70381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88711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6CAB3E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9AEFD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B6DE51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48D050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90EEF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1408CB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BAFD4A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B88D6E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BB8DB6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D2D534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2B2196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83D4CF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99547D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B7261E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F0DD6F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94FB7F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F81607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65D057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DC8F5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FBADBB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0E6A55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73D7C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F74EB4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6D7B09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014A072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D397EC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B0AF25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6765CA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F830A3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05CD6A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538E88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328E3C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5AB21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0F668C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6E31C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F19198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2274E3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DC4E8A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18C65D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E4EFFA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9706DB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71ACC1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281829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0C12E40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CB780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303C3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73644A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166EA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33CC23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A0D650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DEA2CC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EB38F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74DE0E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4A7595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EC2D3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BF5F42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D42C2A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A2AB68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11515B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055F00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1747CB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AB39D5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CE853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0BA2DB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2004C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0DB6F7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D9E7D4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9867B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D5A4E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2D6B89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B8EBC3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DD4306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88A543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A02903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71312D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670888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AA9D50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BC0E3E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22F545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ABE87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5593F4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A999C7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4A1FE7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C99C0D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D61691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2C468D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04F723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AFC978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27D083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BE0D4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3ABF4D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40746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837251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908D58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0CAAD5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D1E1C2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5D5C80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829F27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F544DA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BCB3ED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50A9D3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636F38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7239F2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9C7695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024D28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42B346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16C853C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33C95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279A8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BE9246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7E1F1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EA0643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560052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A1F151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010AF0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E1D305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E8E18A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CB74D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680E5D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593F12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D104E3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68EFC8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610E3B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E9437C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795E81A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ADF11E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981811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E84C50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D8BDB54">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8BDA3B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A92381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04B07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4E919D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C416EB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B6C441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D8D74F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4C69B43">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E8FE1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C6AC6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515502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3D5F60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7C0DFF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3DEB07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D4B73E7">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01A7ED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BF9B3E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3D73BF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E008AF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E5EF5B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03CCE7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5A4BC1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06694D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FC913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43BC2B1">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296C712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4ACA9D5">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CC8CD0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E26484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5CAE43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F41D33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E0B92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D29FB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855A3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70BD43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1E36B88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CFFD13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8C05BDE">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BC21E29">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A2539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C28595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0881C5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249BA28">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19BE75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268C14D">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r w14:paraId="59640D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7F2BD12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3" w:type="dxa"/>
            <w:tcBorders>
              <w:bottom w:val="double" w:color="000000" w:sz="6" w:space="0"/>
            </w:tcBorders>
          </w:tcPr>
          <w:p w14:paraId="0332AFD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2813290F">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05A6FA32">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023AA65B">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BEB7E2C">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0B68E356">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70CA550">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c>
          <w:tcPr>
            <w:tcW w:w="770" w:type="dxa"/>
            <w:tcBorders>
              <w:bottom w:val="double" w:color="000000" w:sz="6" w:space="0"/>
            </w:tcBorders>
          </w:tcPr>
          <w:p w14:paraId="0CEB34BA">
            <w:pPr>
              <w:tabs>
                <w:tab w:val="left" w:pos="1069"/>
                <w:tab w:val="left" w:pos="2352"/>
                <w:tab w:val="left" w:pos="4140"/>
              </w:tabs>
              <w:adjustRightInd w:val="0"/>
              <w:snapToGrid w:val="0"/>
              <w:spacing w:line="320" w:lineRule="atLeast"/>
              <w:rPr>
                <w:rFonts w:ascii="宋体" w:hAnsi="宋体" w:cs="宋体"/>
                <w:color w:val="auto"/>
                <w:spacing w:val="20"/>
                <w:sz w:val="22"/>
                <w:highlight w:val="none"/>
              </w:rPr>
            </w:pPr>
          </w:p>
        </w:tc>
      </w:tr>
    </w:tbl>
    <w:p w14:paraId="3C784DD4">
      <w:pPr>
        <w:pStyle w:val="10"/>
        <w:tabs>
          <w:tab w:val="left" w:pos="1069"/>
          <w:tab w:val="left" w:pos="2352"/>
        </w:tabs>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14:paraId="31ECEB42">
      <w:pPr>
        <w:tabs>
          <w:tab w:val="left" w:pos="1069"/>
          <w:tab w:val="left" w:pos="2352"/>
        </w:tabs>
        <w:rPr>
          <w:rFonts w:ascii="宋体" w:hAnsi="宋体" w:cs="宋体"/>
          <w:color w:val="auto"/>
          <w:spacing w:val="20"/>
          <w:sz w:val="22"/>
          <w:highlight w:val="none"/>
        </w:rPr>
      </w:pPr>
    </w:p>
    <w:p w14:paraId="5370C656">
      <w:pPr>
        <w:tabs>
          <w:tab w:val="left" w:pos="1069"/>
          <w:tab w:val="left" w:pos="2352"/>
        </w:tabs>
        <w:rPr>
          <w:rFonts w:ascii="宋体" w:hAnsi="宋体" w:cs="宋体"/>
          <w:color w:val="auto"/>
          <w:sz w:val="36"/>
          <w:szCs w:val="36"/>
          <w:highlight w:val="none"/>
        </w:rPr>
      </w:pPr>
      <w:r>
        <w:rPr>
          <w:rFonts w:hint="eastAsia" w:ascii="宋体" w:hAnsi="宋体" w:cs="宋体"/>
          <w:color w:val="auto"/>
          <w:spacing w:val="20"/>
          <w:sz w:val="22"/>
          <w:highlight w:val="none"/>
        </w:rPr>
        <w:t>供应商盖章：</w:t>
      </w:r>
    </w:p>
    <w:p w14:paraId="1FF84BEE">
      <w:pPr>
        <w:pStyle w:val="10"/>
        <w:tabs>
          <w:tab w:val="left" w:pos="1069"/>
          <w:tab w:val="left" w:pos="2352"/>
        </w:tabs>
        <w:spacing w:line="360" w:lineRule="exact"/>
        <w:jc w:val="left"/>
        <w:rPr>
          <w:rFonts w:hAnsi="宋体" w:cs="宋体"/>
          <w:color w:val="auto"/>
          <w:sz w:val="22"/>
          <w:szCs w:val="22"/>
          <w:highlight w:val="none"/>
        </w:rPr>
      </w:pPr>
    </w:p>
    <w:p w14:paraId="68D2EF00">
      <w:pPr>
        <w:pStyle w:val="10"/>
        <w:tabs>
          <w:tab w:val="left" w:pos="1069"/>
          <w:tab w:val="left" w:pos="2352"/>
        </w:tabs>
        <w:spacing w:line="360" w:lineRule="exact"/>
        <w:jc w:val="left"/>
        <w:rPr>
          <w:rFonts w:hAnsi="宋体" w:cs="宋体"/>
          <w:color w:val="auto"/>
          <w:sz w:val="22"/>
          <w:szCs w:val="22"/>
          <w:highlight w:val="none"/>
        </w:rPr>
      </w:pPr>
    </w:p>
    <w:p w14:paraId="3CB9107E">
      <w:pPr>
        <w:pStyle w:val="10"/>
        <w:tabs>
          <w:tab w:val="left" w:pos="1069"/>
          <w:tab w:val="left" w:pos="2352"/>
        </w:tabs>
        <w:spacing w:line="360" w:lineRule="exact"/>
        <w:jc w:val="left"/>
        <w:rPr>
          <w:rFonts w:hAnsi="宋体" w:cs="宋体"/>
          <w:color w:val="auto"/>
          <w:sz w:val="22"/>
          <w:szCs w:val="22"/>
          <w:highlight w:val="none"/>
        </w:rPr>
      </w:pPr>
    </w:p>
    <w:p w14:paraId="63A3FC5C">
      <w:pPr>
        <w:pStyle w:val="10"/>
        <w:tabs>
          <w:tab w:val="left" w:pos="1069"/>
          <w:tab w:val="left" w:pos="2352"/>
        </w:tabs>
        <w:spacing w:line="360" w:lineRule="exact"/>
        <w:jc w:val="left"/>
        <w:rPr>
          <w:rFonts w:hAnsi="宋体" w:cs="宋体"/>
          <w:color w:val="auto"/>
          <w:sz w:val="22"/>
          <w:szCs w:val="22"/>
          <w:highlight w:val="none"/>
        </w:rPr>
      </w:pPr>
    </w:p>
    <w:p w14:paraId="3964683D">
      <w:pPr>
        <w:tabs>
          <w:tab w:val="left" w:pos="1069"/>
          <w:tab w:val="left" w:pos="2352"/>
        </w:tabs>
        <w:spacing w:line="400" w:lineRule="exact"/>
        <w:jc w:val="left"/>
        <w:rPr>
          <w:rFonts w:ascii="宋体" w:hAnsi="宋体" w:cs="宋体"/>
          <w:b/>
          <w:bCs/>
          <w:color w:val="auto"/>
          <w:sz w:val="30"/>
          <w:highlight w:val="none"/>
        </w:rPr>
      </w:pPr>
    </w:p>
    <w:p w14:paraId="371E3D2D">
      <w:pPr>
        <w:tabs>
          <w:tab w:val="left" w:pos="1069"/>
          <w:tab w:val="left" w:pos="2352"/>
        </w:tabs>
        <w:spacing w:line="400" w:lineRule="exact"/>
        <w:jc w:val="left"/>
        <w:rPr>
          <w:rFonts w:ascii="宋体" w:hAnsi="宋体" w:cs="宋体"/>
          <w:b/>
          <w:bCs/>
          <w:color w:val="auto"/>
          <w:sz w:val="30"/>
          <w:highlight w:val="none"/>
        </w:rPr>
      </w:pPr>
      <w:r>
        <w:rPr>
          <w:rFonts w:hint="eastAsia" w:ascii="宋体" w:hAnsi="宋体" w:cs="宋体"/>
          <w:b/>
          <w:bCs/>
          <w:color w:val="auto"/>
          <w:sz w:val="30"/>
          <w:highlight w:val="none"/>
        </w:rPr>
        <w:t>附件十一</w:t>
      </w:r>
    </w:p>
    <w:p w14:paraId="4F30DB90">
      <w:pPr>
        <w:tabs>
          <w:tab w:val="left" w:pos="1069"/>
          <w:tab w:val="left" w:pos="2352"/>
        </w:tabs>
        <w:spacing w:line="420" w:lineRule="exact"/>
        <w:jc w:val="center"/>
        <w:rPr>
          <w:rFonts w:ascii="宋体" w:hAnsi="宋体" w:cs="宋体"/>
          <w:b/>
          <w:bCs/>
          <w:color w:val="auto"/>
          <w:sz w:val="30"/>
          <w:highlight w:val="none"/>
        </w:rPr>
      </w:pPr>
      <w:bookmarkStart w:id="86" w:name="_Toc31819"/>
      <w:r>
        <w:rPr>
          <w:rFonts w:hint="eastAsia" w:ascii="宋体" w:hAnsi="宋体" w:cs="宋体"/>
          <w:b/>
          <w:bCs/>
          <w:color w:val="auto"/>
          <w:sz w:val="30"/>
          <w:highlight w:val="none"/>
        </w:rPr>
        <w:t>政府采购活动现场确认声明书</w:t>
      </w:r>
      <w:bookmarkEnd w:id="86"/>
    </w:p>
    <w:p w14:paraId="69A2DE8B">
      <w:pPr>
        <w:pStyle w:val="38"/>
        <w:widowControl w:val="0"/>
        <w:tabs>
          <w:tab w:val="left" w:pos="1069"/>
          <w:tab w:val="left" w:pos="2352"/>
        </w:tabs>
        <w:snapToGrid w:val="0"/>
        <w:spacing w:line="420" w:lineRule="exact"/>
        <w:jc w:val="both"/>
        <w:rPr>
          <w:rFonts w:hAnsi="宋体" w:cs="宋体"/>
          <w:color w:val="auto"/>
          <w:kern w:val="0"/>
          <w:sz w:val="24"/>
          <w:szCs w:val="24"/>
          <w:highlight w:val="none"/>
          <w:u w:val="single"/>
        </w:rPr>
      </w:pPr>
    </w:p>
    <w:p w14:paraId="4BCDBD06">
      <w:pPr>
        <w:pStyle w:val="38"/>
        <w:widowControl w:val="0"/>
        <w:tabs>
          <w:tab w:val="left" w:pos="1069"/>
          <w:tab w:val="left" w:pos="2352"/>
        </w:tabs>
        <w:snapToGrid w:val="0"/>
        <w:spacing w:line="400" w:lineRule="exact"/>
        <w:jc w:val="both"/>
        <w:rPr>
          <w:rFonts w:hAnsi="宋体" w:cs="宋体"/>
          <w:color w:val="auto"/>
          <w:kern w:val="0"/>
          <w:sz w:val="22"/>
          <w:szCs w:val="22"/>
          <w:highlight w:val="none"/>
        </w:rPr>
      </w:pPr>
      <w:r>
        <w:rPr>
          <w:rFonts w:hint="eastAsia" w:hAnsi="宋体" w:cs="宋体"/>
          <w:color w:val="auto"/>
          <w:kern w:val="0"/>
          <w:sz w:val="22"/>
          <w:szCs w:val="22"/>
          <w:highlight w:val="none"/>
          <w:u w:val="single"/>
        </w:rPr>
        <w:t>杭州华旗招标代理有限公司</w:t>
      </w:r>
      <w:r>
        <w:rPr>
          <w:rFonts w:hint="eastAsia" w:hAnsi="宋体" w:cs="宋体"/>
          <w:color w:val="auto"/>
          <w:kern w:val="0"/>
          <w:sz w:val="22"/>
          <w:szCs w:val="22"/>
          <w:highlight w:val="none"/>
        </w:rPr>
        <w:t>：</w:t>
      </w:r>
    </w:p>
    <w:p w14:paraId="0AFF4A2F">
      <w:pPr>
        <w:pStyle w:val="38"/>
        <w:widowControl w:val="0"/>
        <w:tabs>
          <w:tab w:val="left" w:pos="1069"/>
          <w:tab w:val="left" w:pos="2352"/>
        </w:tabs>
        <w:snapToGrid w:val="0"/>
        <w:spacing w:line="400" w:lineRule="exact"/>
        <w:ind w:firstLine="470" w:firstLineChars="200"/>
        <w:jc w:val="both"/>
        <w:rPr>
          <w:rFonts w:hAnsi="宋体" w:cs="宋体"/>
          <w:color w:val="auto"/>
          <w:spacing w:val="6"/>
          <w:sz w:val="22"/>
          <w:szCs w:val="22"/>
          <w:highlight w:val="none"/>
        </w:rPr>
      </w:pPr>
      <w:r>
        <w:rPr>
          <w:rFonts w:hint="eastAsia" w:hAnsi="宋体" w:cs="宋体"/>
          <w:color w:val="auto"/>
          <w:spacing w:val="6"/>
          <w:sz w:val="22"/>
          <w:szCs w:val="22"/>
          <w:highlight w:val="none"/>
        </w:rPr>
        <w:t>本人经由</w:t>
      </w:r>
      <w:r>
        <w:rPr>
          <w:rFonts w:hint="eastAsia" w:hAnsi="宋体" w:cs="宋体"/>
          <w:color w:val="auto"/>
          <w:spacing w:val="6"/>
          <w:sz w:val="22"/>
          <w:szCs w:val="22"/>
          <w:highlight w:val="none"/>
          <w:u w:val="single"/>
        </w:rPr>
        <w:t xml:space="preserve">   （供应商全称）     </w:t>
      </w:r>
      <w:r>
        <w:rPr>
          <w:rFonts w:hint="eastAsia" w:hAnsi="宋体" w:cs="宋体"/>
          <w:color w:val="auto"/>
          <w:spacing w:val="6"/>
          <w:sz w:val="22"/>
          <w:szCs w:val="22"/>
          <w:highlight w:val="none"/>
        </w:rPr>
        <w:t>负责人</w:t>
      </w:r>
      <w:r>
        <w:rPr>
          <w:rFonts w:hint="eastAsia" w:hAnsi="宋体" w:cs="宋体"/>
          <w:color w:val="auto"/>
          <w:spacing w:val="6"/>
          <w:sz w:val="22"/>
          <w:szCs w:val="22"/>
          <w:highlight w:val="none"/>
          <w:u w:val="single"/>
        </w:rPr>
        <w:t xml:space="preserve">   （法定代表人姓名）</w:t>
      </w:r>
      <w:r>
        <w:rPr>
          <w:rFonts w:hint="eastAsia" w:hAnsi="宋体" w:cs="宋体"/>
          <w:color w:val="auto"/>
          <w:spacing w:val="6"/>
          <w:sz w:val="22"/>
          <w:szCs w:val="22"/>
          <w:highlight w:val="none"/>
        </w:rPr>
        <w:t>合法授权参加</w:t>
      </w:r>
      <w:r>
        <w:rPr>
          <w:rFonts w:hint="eastAsia" w:hAnsi="宋体" w:cs="宋体"/>
          <w:color w:val="auto"/>
          <w:spacing w:val="6"/>
          <w:sz w:val="22"/>
          <w:szCs w:val="22"/>
          <w:highlight w:val="none"/>
          <w:u w:val="single"/>
        </w:rPr>
        <w:t xml:space="preserve">           2024年泰顺县森林资源动态监测与评价</w:t>
      </w:r>
      <w:r>
        <w:rPr>
          <w:rFonts w:hint="eastAsia" w:hAnsi="宋体" w:cs="宋体"/>
          <w:color w:val="auto"/>
          <w:spacing w:val="6"/>
          <w:sz w:val="22"/>
          <w:szCs w:val="22"/>
          <w:highlight w:val="none"/>
        </w:rPr>
        <w:t>（项目编号：</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u w:val="single"/>
          <w:lang w:eastAsia="zh-CN"/>
        </w:rPr>
        <w:t>TSCG202409011</w:t>
      </w:r>
      <w:r>
        <w:rPr>
          <w:rFonts w:hint="eastAsia" w:hAnsi="宋体" w:cs="宋体"/>
          <w:color w:val="auto"/>
          <w:spacing w:val="6"/>
          <w:sz w:val="22"/>
          <w:szCs w:val="22"/>
          <w:highlight w:val="none"/>
          <w:u w:val="single"/>
        </w:rPr>
        <w:t xml:space="preserve"> </w:t>
      </w:r>
      <w:r>
        <w:rPr>
          <w:rFonts w:hint="eastAsia" w:hAnsi="宋体" w:cs="宋体"/>
          <w:color w:val="auto"/>
          <w:spacing w:val="6"/>
          <w:sz w:val="22"/>
          <w:szCs w:val="22"/>
          <w:highlight w:val="none"/>
        </w:rPr>
        <w:t xml:space="preserve">）政府采购活动，经与本单位法人代表（负责人）联系确认，现就有关公平竞争事项郑重声明如下： </w:t>
      </w:r>
    </w:p>
    <w:p w14:paraId="7A4C6D40">
      <w:pPr>
        <w:pStyle w:val="39"/>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一、本单位与采购人之间 □不存在利害关系 □存在下列利害关系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5E770859">
      <w:pPr>
        <w:pStyle w:val="39"/>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A.投资关系    B.行政隶属关系    C.业务指导关系</w:t>
      </w:r>
    </w:p>
    <w:p w14:paraId="4801E783">
      <w:pPr>
        <w:pStyle w:val="39"/>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 xml:space="preserve">  D.其他可能</w:t>
      </w:r>
      <w:r>
        <w:rPr>
          <w:rFonts w:ascii="宋体" w:hAnsi="宋体" w:cs="宋体"/>
          <w:color w:val="auto"/>
          <w:sz w:val="22"/>
          <w:szCs w:val="22"/>
          <w:highlight w:val="none"/>
        </w:rPr>
        <w:t>影响采购公正的</w:t>
      </w:r>
      <w:r>
        <w:rPr>
          <w:rFonts w:ascii="宋体" w:hAnsi="宋体" w:cs="宋体"/>
          <w:color w:val="auto"/>
          <w:kern w:val="0"/>
          <w:sz w:val="22"/>
          <w:szCs w:val="22"/>
          <w:highlight w:val="none"/>
        </w:rPr>
        <w:t>利害关系</w:t>
      </w:r>
      <w:r>
        <w:rPr>
          <w:rFonts w:ascii="宋体" w:hAnsi="宋体" w:cs="宋体"/>
          <w:color w:val="auto"/>
          <w:kern w:val="0"/>
          <w:sz w:val="22"/>
          <w:szCs w:val="22"/>
          <w:highlight w:val="none"/>
          <w:u w:val="single"/>
        </w:rPr>
        <w:t xml:space="preserve">（如有，请如实说明）                 </w:t>
      </w:r>
      <w:r>
        <w:rPr>
          <w:rFonts w:ascii="宋体" w:hAnsi="宋体" w:cs="宋体"/>
          <w:color w:val="auto"/>
          <w:kern w:val="0"/>
          <w:sz w:val="22"/>
          <w:szCs w:val="22"/>
          <w:highlight w:val="none"/>
        </w:rPr>
        <w:t>。</w:t>
      </w:r>
    </w:p>
    <w:p w14:paraId="1D372D99">
      <w:pPr>
        <w:pStyle w:val="39"/>
        <w:widowControl/>
        <w:tabs>
          <w:tab w:val="left" w:pos="1069"/>
          <w:tab w:val="left" w:pos="2352"/>
        </w:tabs>
        <w:adjustRightInd w:val="0"/>
        <w:snapToGrid w:val="0"/>
        <w:spacing w:line="400" w:lineRule="exact"/>
        <w:ind w:firstLine="470" w:firstLineChars="200"/>
        <w:textAlignment w:val="baseline"/>
        <w:rPr>
          <w:rFonts w:hint="default" w:ascii="宋体" w:hAnsi="宋体" w:cs="宋体"/>
          <w:color w:val="auto"/>
          <w:kern w:val="0"/>
          <w:sz w:val="22"/>
          <w:szCs w:val="22"/>
          <w:highlight w:val="none"/>
        </w:rPr>
      </w:pPr>
      <w:r>
        <w:rPr>
          <w:rFonts w:ascii="宋体" w:hAnsi="宋体" w:cs="宋体"/>
          <w:color w:val="auto"/>
          <w:spacing w:val="6"/>
          <w:sz w:val="22"/>
          <w:szCs w:val="22"/>
          <w:highlight w:val="none"/>
        </w:rPr>
        <w:t>二、</w:t>
      </w:r>
      <w:r>
        <w:rPr>
          <w:rFonts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7D9810C1">
      <w:pPr>
        <w:pStyle w:val="3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A.法定代表人或负责人或实际控制人是同一人</w:t>
      </w:r>
    </w:p>
    <w:p w14:paraId="66D808FF">
      <w:pPr>
        <w:pStyle w:val="3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B.法定代表人或负责人或实际控制人是夫妻关系</w:t>
      </w:r>
    </w:p>
    <w:p w14:paraId="14E5E9CE">
      <w:pPr>
        <w:pStyle w:val="3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C.法定代表人或负责人或实际控制人是直系血亲关系</w:t>
      </w:r>
    </w:p>
    <w:p w14:paraId="5A712593">
      <w:pPr>
        <w:pStyle w:val="3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kern w:val="0"/>
          <w:sz w:val="22"/>
          <w:szCs w:val="22"/>
          <w:highlight w:val="none"/>
        </w:rPr>
        <w:t xml:space="preserve">  D.法定代表人或负责人或实际控制人存在三代以内旁系血亲关系</w:t>
      </w:r>
    </w:p>
    <w:p w14:paraId="05827D7B">
      <w:pPr>
        <w:pStyle w:val="3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E.法定代表人或负责人或实际控制人存在近姻亲关系</w:t>
      </w:r>
    </w:p>
    <w:p w14:paraId="2C7E8BDA">
      <w:pPr>
        <w:pStyle w:val="3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F.法定代表人或负责人或实际控制人存在股份控制或实际控制关系</w:t>
      </w:r>
    </w:p>
    <w:p w14:paraId="01CA6A9B">
      <w:pPr>
        <w:pStyle w:val="3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kern w:val="0"/>
          <w:sz w:val="22"/>
          <w:szCs w:val="22"/>
          <w:highlight w:val="none"/>
        </w:rPr>
      </w:pPr>
      <w:r>
        <w:rPr>
          <w:rFonts w:hint="eastAsia" w:hAnsi="宋体" w:cs="宋体"/>
          <w:color w:val="auto"/>
          <w:kern w:val="0"/>
          <w:sz w:val="22"/>
          <w:szCs w:val="22"/>
          <w:highlight w:val="none"/>
        </w:rPr>
        <w:t xml:space="preserve">  G.存在共同直接或间接投资设立子公司、联营企业和合营企业情况</w:t>
      </w:r>
    </w:p>
    <w:p w14:paraId="1E373DFA">
      <w:pPr>
        <w:pStyle w:val="3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z w:val="22"/>
          <w:szCs w:val="22"/>
          <w:highlight w:val="none"/>
        </w:rPr>
      </w:pPr>
      <w:r>
        <w:rPr>
          <w:rFonts w:hint="eastAsia" w:hAnsi="宋体" w:cs="宋体"/>
          <w:color w:val="auto"/>
          <w:kern w:val="0"/>
          <w:sz w:val="22"/>
          <w:szCs w:val="22"/>
          <w:highlight w:val="none"/>
        </w:rPr>
        <w:t xml:space="preserve">  H.存在分级代理或代销关系、同一生产制造商关系、</w:t>
      </w:r>
      <w:r>
        <w:rPr>
          <w:rFonts w:hint="eastAsia" w:hAnsi="宋体" w:cs="宋体"/>
          <w:color w:val="auto"/>
          <w:sz w:val="22"/>
          <w:szCs w:val="22"/>
          <w:highlight w:val="none"/>
        </w:rPr>
        <w:t>管理关系、重要业务（占主营业务收入50%以上）或重要财务往来关系（如融资）等其他实质性控制关系</w:t>
      </w:r>
    </w:p>
    <w:p w14:paraId="064C6A00">
      <w:pPr>
        <w:pStyle w:val="38"/>
        <w:widowControl w:val="0"/>
        <w:tabs>
          <w:tab w:val="left" w:pos="1069"/>
          <w:tab w:val="left" w:pos="2352"/>
        </w:tabs>
        <w:adjustRightInd w:val="0"/>
        <w:snapToGrid w:val="0"/>
        <w:spacing w:line="400" w:lineRule="exact"/>
        <w:ind w:firstLine="446" w:firstLineChars="200"/>
        <w:jc w:val="both"/>
        <w:textAlignment w:val="baseline"/>
        <w:rPr>
          <w:rFonts w:hAnsi="宋体" w:cs="宋体"/>
          <w:color w:val="auto"/>
          <w:spacing w:val="6"/>
          <w:sz w:val="22"/>
          <w:szCs w:val="22"/>
          <w:highlight w:val="none"/>
        </w:rPr>
      </w:pPr>
      <w:r>
        <w:rPr>
          <w:rFonts w:hint="eastAsia" w:hAnsi="宋体" w:cs="宋体"/>
          <w:color w:val="auto"/>
          <w:sz w:val="22"/>
          <w:szCs w:val="22"/>
          <w:highlight w:val="none"/>
        </w:rPr>
        <w:t xml:space="preserve">  I</w:t>
      </w:r>
      <w:r>
        <w:rPr>
          <w:rFonts w:hint="eastAsia" w:hAnsi="宋体" w:cs="宋体"/>
          <w:color w:val="auto"/>
          <w:kern w:val="0"/>
          <w:sz w:val="22"/>
          <w:szCs w:val="22"/>
          <w:highlight w:val="none"/>
        </w:rPr>
        <w:t>.</w:t>
      </w:r>
      <w:r>
        <w:rPr>
          <w:rFonts w:hint="eastAsia" w:hAnsi="宋体" w:cs="宋体"/>
          <w:color w:val="auto"/>
          <w:sz w:val="22"/>
          <w:szCs w:val="22"/>
          <w:highlight w:val="none"/>
        </w:rPr>
        <w:t>其他利害关系情况</w:t>
      </w:r>
      <w:r>
        <w:rPr>
          <w:rFonts w:hint="eastAsia" w:hAnsi="宋体" w:cs="宋体"/>
          <w:color w:val="auto"/>
          <w:sz w:val="22"/>
          <w:szCs w:val="22"/>
          <w:highlight w:val="none"/>
          <w:u w:val="single"/>
        </w:rPr>
        <w:t xml:space="preserve">                              </w:t>
      </w:r>
      <w:r>
        <w:rPr>
          <w:rFonts w:hint="eastAsia" w:hAnsi="宋体" w:cs="宋体"/>
          <w:color w:val="auto"/>
          <w:kern w:val="0"/>
          <w:sz w:val="22"/>
          <w:szCs w:val="22"/>
          <w:highlight w:val="none"/>
        </w:rPr>
        <w:t>。</w:t>
      </w:r>
    </w:p>
    <w:p w14:paraId="28852A60">
      <w:pPr>
        <w:pStyle w:val="39"/>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sz w:val="22"/>
          <w:szCs w:val="22"/>
          <w:highlight w:val="none"/>
        </w:rPr>
        <w:t>三、现已清楚知道并</w:t>
      </w:r>
      <w:r>
        <w:rPr>
          <w:rFonts w:ascii="宋体" w:hAnsi="宋体" w:cs="宋体"/>
          <w:color w:val="auto"/>
          <w:kern w:val="0"/>
          <w:sz w:val="22"/>
          <w:szCs w:val="22"/>
          <w:highlight w:val="none"/>
        </w:rPr>
        <w:t>严格遵守政府采购法律法规和现场纪律。</w:t>
      </w:r>
    </w:p>
    <w:p w14:paraId="5F2F18F0">
      <w:pPr>
        <w:pStyle w:val="39"/>
        <w:widowControl/>
        <w:tabs>
          <w:tab w:val="left" w:pos="1069"/>
          <w:tab w:val="left" w:pos="2352"/>
        </w:tabs>
        <w:adjustRightInd w:val="0"/>
        <w:snapToGrid w:val="0"/>
        <w:spacing w:line="400" w:lineRule="exact"/>
        <w:ind w:firstLine="446" w:firstLineChars="200"/>
        <w:textAlignment w:val="baseline"/>
        <w:rPr>
          <w:rFonts w:hint="default" w:ascii="宋体" w:hAnsi="宋体" w:cs="宋体"/>
          <w:color w:val="auto"/>
          <w:kern w:val="0"/>
          <w:sz w:val="22"/>
          <w:szCs w:val="22"/>
          <w:highlight w:val="none"/>
        </w:rPr>
      </w:pPr>
      <w:r>
        <w:rPr>
          <w:rFonts w:ascii="宋体" w:hAnsi="宋体" w:cs="宋体"/>
          <w:color w:val="auto"/>
          <w:kern w:val="0"/>
          <w:sz w:val="22"/>
          <w:szCs w:val="22"/>
          <w:highlight w:val="none"/>
        </w:rPr>
        <w:t>四、我发现</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项利害关系。</w:t>
      </w:r>
    </w:p>
    <w:p w14:paraId="35B7A8AB">
      <w:pPr>
        <w:pStyle w:val="38"/>
        <w:widowControl w:val="0"/>
        <w:tabs>
          <w:tab w:val="left" w:pos="1069"/>
          <w:tab w:val="left" w:pos="2352"/>
        </w:tabs>
        <w:snapToGrid w:val="0"/>
        <w:spacing w:line="400" w:lineRule="exact"/>
        <w:ind w:firstLine="446" w:firstLineChars="200"/>
        <w:jc w:val="both"/>
        <w:rPr>
          <w:rFonts w:hAnsi="宋体" w:cs="宋体"/>
          <w:color w:val="auto"/>
          <w:sz w:val="22"/>
          <w:szCs w:val="22"/>
          <w:highlight w:val="none"/>
        </w:rPr>
      </w:pPr>
    </w:p>
    <w:p w14:paraId="321AEED8">
      <w:pPr>
        <w:pStyle w:val="38"/>
        <w:widowControl w:val="0"/>
        <w:tabs>
          <w:tab w:val="left" w:pos="1069"/>
          <w:tab w:val="left" w:pos="2352"/>
        </w:tabs>
        <w:snapToGrid w:val="0"/>
        <w:spacing w:line="400" w:lineRule="exact"/>
        <w:ind w:firstLine="446" w:firstLineChars="200"/>
        <w:jc w:val="both"/>
        <w:rPr>
          <w:rFonts w:hAnsi="宋体" w:cs="宋体"/>
          <w:color w:val="auto"/>
          <w:sz w:val="22"/>
          <w:szCs w:val="22"/>
          <w:highlight w:val="none"/>
        </w:rPr>
      </w:pPr>
      <w:r>
        <w:rPr>
          <w:rFonts w:hint="eastAsia" w:hAnsi="宋体" w:cs="宋体"/>
          <w:color w:val="auto"/>
          <w:sz w:val="22"/>
          <w:szCs w:val="22"/>
          <w:highlight w:val="none"/>
        </w:rPr>
        <w:t xml:space="preserve">                                     供应商代表签名：</w:t>
      </w:r>
    </w:p>
    <w:p w14:paraId="559ED2D7">
      <w:pPr>
        <w:tabs>
          <w:tab w:val="left" w:pos="1069"/>
          <w:tab w:val="left" w:pos="2352"/>
        </w:tabs>
        <w:spacing w:before="317" w:beforeLines="100" w:after="317" w:afterLines="100" w:line="400" w:lineRule="exact"/>
        <w:ind w:left="4928" w:leftChars="2314" w:firstLine="892" w:firstLineChars="400"/>
        <w:rPr>
          <w:rFonts w:ascii="宋体" w:hAnsi="宋体" w:cs="宋体"/>
          <w:color w:val="auto"/>
          <w:sz w:val="22"/>
          <w:highlight w:val="none"/>
        </w:rPr>
      </w:pPr>
      <w:r>
        <w:rPr>
          <w:rFonts w:hint="eastAsia" w:ascii="宋体" w:hAnsi="宋体" w:cs="宋体"/>
          <w:color w:val="auto"/>
          <w:sz w:val="22"/>
          <w:highlight w:val="none"/>
        </w:rPr>
        <w:t>年  月  日</w:t>
      </w:r>
    </w:p>
    <w:p w14:paraId="371F4241">
      <w:pPr>
        <w:pStyle w:val="6"/>
        <w:tabs>
          <w:tab w:val="left" w:pos="1069"/>
          <w:tab w:val="left" w:pos="2352"/>
        </w:tabs>
        <w:spacing w:line="400" w:lineRule="exact"/>
        <w:ind w:left="490" w:hanging="490"/>
        <w:rPr>
          <w:rFonts w:ascii="宋体" w:hAnsi="宋体" w:cs="宋体"/>
          <w:b/>
          <w:bCs/>
          <w:color w:val="auto"/>
          <w:szCs w:val="21"/>
          <w:highlight w:val="none"/>
        </w:rPr>
      </w:pPr>
    </w:p>
    <w:p w14:paraId="1CB4D2D3">
      <w:pPr>
        <w:pStyle w:val="10"/>
        <w:tabs>
          <w:tab w:val="left" w:pos="1069"/>
          <w:tab w:val="left" w:pos="2352"/>
        </w:tabs>
        <w:spacing w:line="360" w:lineRule="exact"/>
        <w:jc w:val="left"/>
        <w:rPr>
          <w:rFonts w:hAnsi="宋体" w:cs="宋体"/>
          <w:b/>
          <w:color w:val="auto"/>
          <w:sz w:val="32"/>
          <w:szCs w:val="32"/>
          <w:highlight w:val="none"/>
          <w:lang w:val="zh-CN"/>
        </w:rPr>
      </w:pPr>
      <w:r>
        <w:rPr>
          <w:rFonts w:hint="eastAsia" w:hAnsi="宋体" w:cs="宋体"/>
          <w:color w:val="auto"/>
          <w:sz w:val="22"/>
          <w:szCs w:val="22"/>
          <w:highlight w:val="none"/>
        </w:rPr>
        <w:br w:type="page"/>
      </w:r>
      <w:bookmarkStart w:id="87" w:name="_Toc24860_WPSOffice_Level1"/>
      <w:r>
        <w:rPr>
          <w:rFonts w:hint="eastAsia" w:hAnsi="宋体" w:cs="宋体"/>
          <w:color w:val="auto"/>
          <w:sz w:val="22"/>
          <w:szCs w:val="22"/>
          <w:highlight w:val="none"/>
        </w:rPr>
        <w:t xml:space="preserve">                           </w:t>
      </w:r>
      <w:r>
        <w:rPr>
          <w:rFonts w:hint="eastAsia" w:hAnsi="宋体" w:cs="宋体"/>
          <w:b/>
          <w:color w:val="auto"/>
          <w:sz w:val="32"/>
          <w:szCs w:val="32"/>
          <w:highlight w:val="none"/>
          <w:lang w:val="zh-CN"/>
        </w:rPr>
        <w:t>第</w:t>
      </w:r>
      <w:r>
        <w:rPr>
          <w:rFonts w:hint="eastAsia" w:hAnsi="宋体" w:cs="宋体"/>
          <w:b/>
          <w:color w:val="auto"/>
          <w:sz w:val="32"/>
          <w:szCs w:val="32"/>
          <w:highlight w:val="none"/>
        </w:rPr>
        <w:t>七</w:t>
      </w:r>
      <w:r>
        <w:rPr>
          <w:rFonts w:hint="eastAsia" w:hAnsi="宋体" w:cs="宋体"/>
          <w:b/>
          <w:color w:val="auto"/>
          <w:sz w:val="32"/>
          <w:szCs w:val="32"/>
          <w:highlight w:val="none"/>
          <w:lang w:val="zh-CN"/>
        </w:rPr>
        <w:t>部分</w:t>
      </w:r>
      <w:bookmarkEnd w:id="87"/>
      <w:r>
        <w:rPr>
          <w:rFonts w:hint="eastAsia" w:hAnsi="宋体" w:cs="宋体"/>
          <w:b/>
          <w:color w:val="auto"/>
          <w:sz w:val="32"/>
          <w:szCs w:val="32"/>
          <w:highlight w:val="none"/>
        </w:rPr>
        <w:t>、</w:t>
      </w:r>
      <w:r>
        <w:rPr>
          <w:rFonts w:hint="eastAsia" w:hAnsi="宋体" w:cs="宋体"/>
          <w:b/>
          <w:color w:val="auto"/>
          <w:sz w:val="32"/>
          <w:szCs w:val="32"/>
          <w:highlight w:val="none"/>
          <w:lang w:val="zh-CN"/>
        </w:rPr>
        <w:t>评标办法</w:t>
      </w:r>
    </w:p>
    <w:p w14:paraId="4B1FBFDC">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根据《中华人民共和国政府采购法》等有关政府采购法规，结合本次所要采购项目的实际，按照公平、公正、科学、择优的原则选择中标（成交）单位，特制定本评审办法。</w:t>
      </w:r>
    </w:p>
    <w:p w14:paraId="05800ED4">
      <w:pPr>
        <w:tabs>
          <w:tab w:val="left" w:pos="1069"/>
          <w:tab w:val="left" w:pos="2352"/>
        </w:tabs>
        <w:snapToGrid w:val="0"/>
        <w:spacing w:line="380" w:lineRule="exact"/>
        <w:ind w:firstLine="3846" w:firstLineChars="1725"/>
        <w:rPr>
          <w:rFonts w:ascii="宋体" w:hAnsi="宋体" w:cs="宋体"/>
          <w:b/>
          <w:color w:val="auto"/>
          <w:sz w:val="22"/>
          <w:highlight w:val="none"/>
        </w:rPr>
      </w:pPr>
      <w:bookmarkStart w:id="88" w:name="_Toc32552_WPSOffice_Level2"/>
      <w:r>
        <w:rPr>
          <w:rFonts w:hint="eastAsia" w:ascii="宋体" w:hAnsi="宋体" w:cs="宋体"/>
          <w:b/>
          <w:color w:val="auto"/>
          <w:sz w:val="22"/>
          <w:highlight w:val="none"/>
        </w:rPr>
        <w:t>一、总则</w:t>
      </w:r>
      <w:bookmarkEnd w:id="88"/>
    </w:p>
    <w:p w14:paraId="497F70C0">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投标（响应）文件进行综合评定，提出优选方案，编写评审报告。评审小组必须严格遵守保密规定，不得泄漏评审的有关情况，不得索贿受贿，不得接受吃请和礼品，不得参加影响公正评审的有关活动。对未中标（成交）单位，评审小组不作任何解释。供应商不得以任何方式干扰采购工作的进行，一经发现其投标（响应）文件将被拒绝。</w:t>
      </w:r>
    </w:p>
    <w:p w14:paraId="0F32A147">
      <w:pPr>
        <w:tabs>
          <w:tab w:val="left" w:pos="1069"/>
          <w:tab w:val="left" w:pos="2352"/>
        </w:tabs>
        <w:snapToGrid w:val="0"/>
        <w:spacing w:line="380" w:lineRule="exact"/>
        <w:ind w:firstLine="3846" w:firstLineChars="1725"/>
        <w:rPr>
          <w:rFonts w:ascii="宋体" w:hAnsi="宋体" w:cs="宋体"/>
          <w:color w:val="auto"/>
          <w:sz w:val="22"/>
          <w:highlight w:val="none"/>
        </w:rPr>
      </w:pPr>
      <w:bookmarkStart w:id="89" w:name="_Toc15399_WPSOffice_Level2"/>
      <w:r>
        <w:rPr>
          <w:rFonts w:hint="eastAsia" w:ascii="宋体" w:hAnsi="宋体" w:cs="宋体"/>
          <w:b/>
          <w:color w:val="auto"/>
          <w:sz w:val="22"/>
          <w:highlight w:val="none"/>
        </w:rPr>
        <w:t>二、评审组织</w:t>
      </w:r>
      <w:bookmarkEnd w:id="89"/>
    </w:p>
    <w:p w14:paraId="131B2733">
      <w:pPr>
        <w:tabs>
          <w:tab w:val="left" w:pos="1069"/>
          <w:tab w:val="left" w:pos="2352"/>
        </w:tabs>
        <w:snapToGrid w:val="0"/>
        <w:spacing w:line="380" w:lineRule="exact"/>
        <w:ind w:firstLine="540"/>
        <w:rPr>
          <w:rFonts w:ascii="宋体" w:hAnsi="宋体" w:cs="宋体"/>
          <w:color w:val="auto"/>
          <w:sz w:val="22"/>
          <w:highlight w:val="none"/>
        </w:rPr>
      </w:pPr>
      <w:r>
        <w:rPr>
          <w:rFonts w:hint="eastAsia" w:ascii="宋体" w:hAnsi="宋体" w:cs="宋体"/>
          <w:color w:val="auto"/>
          <w:sz w:val="22"/>
          <w:highlight w:val="none"/>
        </w:rPr>
        <w:t>评审工作由采购人依法组建的评审小组负责，评审小组由采购人代表以及评审专家库中随机抽取的有关技术、经济专家共同组成。评审全过程由采购管理部门全程监督。</w:t>
      </w:r>
    </w:p>
    <w:p w14:paraId="26F1F747">
      <w:pPr>
        <w:tabs>
          <w:tab w:val="left" w:pos="1069"/>
          <w:tab w:val="left" w:pos="2352"/>
        </w:tabs>
        <w:snapToGrid w:val="0"/>
        <w:spacing w:line="380" w:lineRule="exact"/>
        <w:ind w:firstLine="1774" w:firstLineChars="796"/>
        <w:rPr>
          <w:rFonts w:ascii="宋体" w:hAnsi="宋体" w:cs="宋体"/>
          <w:color w:val="auto"/>
          <w:sz w:val="22"/>
          <w:highlight w:val="none"/>
        </w:rPr>
      </w:pPr>
      <w:bookmarkStart w:id="90" w:name="_Toc7010_WPSOffice_Level2"/>
      <w:r>
        <w:rPr>
          <w:rFonts w:hint="eastAsia" w:ascii="宋体" w:hAnsi="宋体" w:cs="宋体"/>
          <w:b/>
          <w:color w:val="auto"/>
          <w:sz w:val="22"/>
          <w:highlight w:val="none"/>
        </w:rPr>
        <w:t>三、投标（响应）文件递交截止、磋商程序、磋商原则和方式</w:t>
      </w:r>
      <w:bookmarkEnd w:id="90"/>
    </w:p>
    <w:p w14:paraId="622372F1">
      <w:pPr>
        <w:pStyle w:val="10"/>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1、投标（响应）文件递交截止</w:t>
      </w:r>
    </w:p>
    <w:p w14:paraId="7C731A33">
      <w:pPr>
        <w:pStyle w:val="10"/>
        <w:tabs>
          <w:tab w:val="left" w:pos="1069"/>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投标供应商须按竞争性磋商文件规定的时间在线递交投标（响应）文件。</w:t>
      </w:r>
    </w:p>
    <w:p w14:paraId="14DF48AF">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2、本次采购是根据竞争性磋商采购方式进行，各供应商首次报价不公开。</w:t>
      </w:r>
    </w:p>
    <w:p w14:paraId="2C89AEC3">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2.1 如评审小组认为竞争性磋商文件能够详细列明采购标的的技术、服务要求的，评审结束后，评审小组可以直接对供应商进行打分评价。</w:t>
      </w:r>
    </w:p>
    <w:p w14:paraId="7D0188EC">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2.2如评审小组认为需要修改竞争性磋商文件的，在磋商过程中，评审小组可以根据竞争性磋商文件和磋商情况实质性变动采购需求中的技术、服务要求以及合同草案条款，但不得变动竞争性磋商文件中的其他内容。实质性变动的内容，须经采购人代表确认。</w:t>
      </w:r>
    </w:p>
    <w:p w14:paraId="4C2E5FB4">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对竞争性磋商文件作出的实质性变动是竞争性磋商文件的有效组成部分，评审小组应当及时以书面形式同时通知所有参加磋商的供应商。</w:t>
      </w:r>
    </w:p>
    <w:p w14:paraId="53F9DD14">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供应商应当按照竞争性磋商文件的变动情况和评审小组的要求重新提交投标（响应）文件，并由其法定代表人或授权代表签字或者加盖公章。由授权代表签字的，应当附法定代表人授权书。供应商为自然人的，应当由本人签字并附身份证明。</w:t>
      </w:r>
    </w:p>
    <w:p w14:paraId="1C89C311">
      <w:pPr>
        <w:tabs>
          <w:tab w:val="left" w:pos="1069"/>
          <w:tab w:val="left" w:pos="2352"/>
        </w:tabs>
        <w:adjustRightInd w:val="0"/>
        <w:spacing w:line="380" w:lineRule="exact"/>
        <w:ind w:firstLine="420"/>
        <w:rPr>
          <w:rFonts w:ascii="宋体" w:hAnsi="宋体" w:cs="宋体"/>
          <w:color w:val="auto"/>
          <w:sz w:val="22"/>
          <w:highlight w:val="none"/>
        </w:rPr>
      </w:pPr>
      <w:r>
        <w:rPr>
          <w:rFonts w:hint="eastAsia" w:ascii="宋体" w:hAnsi="宋体" w:cs="宋体"/>
          <w:color w:val="auto"/>
          <w:sz w:val="22"/>
          <w:highlight w:val="none"/>
        </w:rPr>
        <w:t>已提交投标（响应）文件的供应商，在提交最终报价之前，可以根据磋商情况退出磋商。</w:t>
      </w:r>
    </w:p>
    <w:p w14:paraId="5B97C979">
      <w:pPr>
        <w:pStyle w:val="10"/>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s="宋体"/>
          <w:color w:val="auto"/>
          <w:sz w:val="22"/>
          <w:highlight w:val="none"/>
        </w:rPr>
        <w:t>2.3 磋商的顺序，按供应商签到的逆顺序进行。开展磋商，评审小组所有成员集中与单一供应商（供应商的法定代表人或法定代表人授权代表须在线参加）分别进行磋商，并要求供应商提交最终报价。在竞争性磋商文件未做任何调整的情况下，参与磋商的供应商如有出现最终报价超过投标（响应）文件中报价的，则该供应商的报价按无效处理。</w:t>
      </w:r>
    </w:p>
    <w:p w14:paraId="00987C6A">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3、评审原则和方法</w:t>
      </w:r>
    </w:p>
    <w:p w14:paraId="2B68FCA5">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3.1 评审小组负责审查投标（响应）文件是否符合竞争性磋商文件的要求，并作出评价。评审小组认为必要时，可向供应商进行质疑。评审小组有权决定全部或部分供应商投标（响应）文件无效。</w:t>
      </w:r>
    </w:p>
    <w:p w14:paraId="66F6953C">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3.2 评审小组将综合分析合格供应商的各项指标，而不是以单项指标的优劣评选出成交的供应商。</w:t>
      </w:r>
    </w:p>
    <w:p w14:paraId="755B7B44">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3.3 经磋商确定最终采购需求和提交最终报价的供应商后，由评审小组采用综合评分法对提交最终报价的供应商的投标（响应）文件和最终报价进行综合评分。如竞争性磋商文件所列采购内容明确不需要修改的或供应商投标（响应）文件清楚明确不需要澄清的，可以不进行磋商环节，直接要求供应商进行最终报价，进行综合评分。</w:t>
      </w:r>
    </w:p>
    <w:p w14:paraId="2E664B17">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本次评审采用综合评分法，评审小组根据竞争性磋商文件制定的评审办法对供应商进行评审排序，将综合得分第一的供应商向采购人推荐其为中标（成交）供应商。</w:t>
      </w:r>
    </w:p>
    <w:p w14:paraId="12D780F5">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4、投标（响应）文件的澄清</w:t>
      </w:r>
    </w:p>
    <w:p w14:paraId="72ED8D82">
      <w:pPr>
        <w:pStyle w:val="10"/>
        <w:tabs>
          <w:tab w:val="left" w:pos="1069"/>
          <w:tab w:val="left" w:pos="2352"/>
        </w:tabs>
        <w:adjustRightInd w:val="0"/>
        <w:snapToGrid w:val="0"/>
        <w:spacing w:line="380" w:lineRule="exact"/>
        <w:ind w:firstLine="223" w:firstLineChars="100"/>
        <w:rPr>
          <w:rFonts w:hAnsi="宋体" w:cs="宋体"/>
          <w:b/>
          <w:color w:val="auto"/>
          <w:sz w:val="22"/>
          <w:highlight w:val="none"/>
        </w:rPr>
      </w:pPr>
      <w:r>
        <w:rPr>
          <w:rFonts w:hint="eastAsia" w:hAnsi="宋体" w:cs="宋体"/>
          <w:color w:val="auto"/>
          <w:sz w:val="22"/>
          <w:highlight w:val="none"/>
        </w:rPr>
        <w:t>为有利于对投标（响应）文件的评议，必要时采购人可要求供应商对投标（响应）文件进行澄清，并作出答复。答复须有供应商授权代表签字并作为投标（响应）文件内容的一部分。</w:t>
      </w:r>
    </w:p>
    <w:p w14:paraId="730FA17B">
      <w:pPr>
        <w:pStyle w:val="10"/>
        <w:tabs>
          <w:tab w:val="left" w:pos="1069"/>
          <w:tab w:val="left" w:pos="2352"/>
        </w:tabs>
        <w:adjustRightInd w:val="0"/>
        <w:snapToGrid w:val="0"/>
        <w:spacing w:line="380" w:lineRule="exact"/>
        <w:ind w:firstLine="446" w:firstLineChars="200"/>
        <w:jc w:val="center"/>
        <w:rPr>
          <w:rFonts w:hAnsi="宋体" w:cs="宋体"/>
          <w:color w:val="auto"/>
          <w:sz w:val="22"/>
          <w:highlight w:val="none"/>
        </w:rPr>
      </w:pPr>
      <w:bookmarkStart w:id="91" w:name="_Toc28287_WPSOffice_Level2"/>
    </w:p>
    <w:p w14:paraId="1EAD5CD0">
      <w:pPr>
        <w:tabs>
          <w:tab w:val="left" w:pos="1069"/>
          <w:tab w:val="left" w:pos="2352"/>
        </w:tabs>
        <w:rPr>
          <w:color w:val="auto"/>
          <w:highlight w:val="none"/>
        </w:rPr>
      </w:pPr>
    </w:p>
    <w:p w14:paraId="4FE67327">
      <w:pPr>
        <w:pStyle w:val="10"/>
        <w:numPr>
          <w:ilvl w:val="0"/>
          <w:numId w:val="9"/>
        </w:numPr>
        <w:tabs>
          <w:tab w:val="left" w:pos="1069"/>
          <w:tab w:val="left" w:pos="2352"/>
        </w:tabs>
        <w:adjustRightInd w:val="0"/>
        <w:snapToGrid w:val="0"/>
        <w:spacing w:line="380" w:lineRule="exact"/>
        <w:ind w:firstLine="446" w:firstLineChars="200"/>
        <w:jc w:val="center"/>
        <w:rPr>
          <w:rFonts w:hAnsi="宋体" w:cs="宋体"/>
          <w:b/>
          <w:bCs/>
          <w:color w:val="auto"/>
          <w:sz w:val="22"/>
          <w:highlight w:val="none"/>
        </w:rPr>
      </w:pPr>
      <w:r>
        <w:rPr>
          <w:rFonts w:hint="eastAsia" w:hAnsi="宋体" w:cs="宋体"/>
          <w:b/>
          <w:bCs/>
          <w:color w:val="auto"/>
          <w:sz w:val="22"/>
          <w:highlight w:val="none"/>
        </w:rPr>
        <w:t>评审细则</w:t>
      </w:r>
      <w:bookmarkEnd w:id="91"/>
      <w:bookmarkStart w:id="92" w:name="_Toc20707_WPSOffice_Level3"/>
    </w:p>
    <w:bookmarkEnd w:id="92"/>
    <w:p w14:paraId="042744BE">
      <w:pPr>
        <w:pStyle w:val="33"/>
        <w:tabs>
          <w:tab w:val="left" w:pos="2352"/>
        </w:tabs>
        <w:adjustRightInd w:val="0"/>
        <w:snapToGrid w:val="0"/>
        <w:spacing w:line="380" w:lineRule="exact"/>
        <w:ind w:firstLine="446" w:firstLineChars="200"/>
        <w:rPr>
          <w:rFonts w:hAnsi="宋体" w:cs="宋体"/>
          <w:b/>
          <w:color w:val="auto"/>
          <w:sz w:val="22"/>
          <w:highlight w:val="none"/>
        </w:rPr>
      </w:pPr>
      <w:r>
        <w:rPr>
          <w:rFonts w:hint="eastAsia" w:hAnsi="宋体" w:cs="宋体"/>
          <w:color w:val="auto"/>
          <w:sz w:val="22"/>
          <w:highlight w:val="none"/>
        </w:rPr>
        <w:t>（一）报价评分</w:t>
      </w:r>
      <w:r>
        <w:rPr>
          <w:rFonts w:hint="eastAsia" w:ascii="Calibri" w:hAnsi="Calibri"/>
          <w:b/>
          <w:bCs/>
          <w:color w:val="auto"/>
          <w:sz w:val="22"/>
          <w:szCs w:val="22"/>
          <w:highlight w:val="none"/>
        </w:rPr>
        <w:t>（满分</w:t>
      </w:r>
      <w:r>
        <w:rPr>
          <w:rFonts w:hint="eastAsia" w:ascii="Calibri" w:hAnsi="Calibri"/>
          <w:b/>
          <w:bCs/>
          <w:color w:val="auto"/>
          <w:sz w:val="22"/>
          <w:szCs w:val="22"/>
          <w:highlight w:val="none"/>
          <w:lang w:val="en-US" w:eastAsia="zh-CN"/>
        </w:rPr>
        <w:t>2</w:t>
      </w:r>
      <w:r>
        <w:rPr>
          <w:rFonts w:hint="eastAsia" w:ascii="Calibri" w:hAnsi="Calibri"/>
          <w:b/>
          <w:bCs/>
          <w:color w:val="auto"/>
          <w:sz w:val="22"/>
          <w:szCs w:val="22"/>
          <w:highlight w:val="none"/>
        </w:rPr>
        <w:t>0分）</w:t>
      </w:r>
    </w:p>
    <w:p w14:paraId="6B60B476">
      <w:pPr>
        <w:pStyle w:val="10"/>
        <w:tabs>
          <w:tab w:val="left" w:pos="1069"/>
          <w:tab w:val="left" w:pos="2352"/>
        </w:tabs>
        <w:adjustRightInd w:val="0"/>
        <w:snapToGrid w:val="0"/>
        <w:spacing w:line="380" w:lineRule="exact"/>
        <w:ind w:firstLine="450"/>
        <w:rPr>
          <w:rFonts w:hAnsi="宋体" w:cs="宋体"/>
          <w:b/>
          <w:color w:val="auto"/>
          <w:sz w:val="22"/>
          <w:highlight w:val="none"/>
        </w:rPr>
      </w:pPr>
      <w:r>
        <w:rPr>
          <w:rFonts w:hint="eastAsia" w:hAnsi="宋体" w:cs="宋体"/>
          <w:color w:val="auto"/>
          <w:sz w:val="22"/>
          <w:highlight w:val="none"/>
        </w:rPr>
        <w:t>1、以满足竞争性磋商文件要求且最终报价最低的有效供应商的价格为磋商基准价，其价格分为满分。其他供应商的价格分统一按照下列公式计算：</w:t>
      </w:r>
    </w:p>
    <w:p w14:paraId="7AFEC297">
      <w:pPr>
        <w:pStyle w:val="10"/>
        <w:tabs>
          <w:tab w:val="left" w:pos="1069"/>
          <w:tab w:val="left" w:pos="2352"/>
        </w:tabs>
        <w:adjustRightInd w:val="0"/>
        <w:snapToGrid w:val="0"/>
        <w:spacing w:line="380" w:lineRule="exact"/>
        <w:ind w:left="443" w:leftChars="208" w:firstLine="28" w:firstLineChars="13"/>
        <w:rPr>
          <w:rFonts w:hAnsi="宋体" w:cs="宋体"/>
          <w:b/>
          <w:bCs/>
          <w:color w:val="auto"/>
          <w:sz w:val="22"/>
          <w:highlight w:val="none"/>
        </w:rPr>
      </w:pPr>
      <w:r>
        <w:rPr>
          <w:rFonts w:hint="eastAsia" w:hAnsi="宋体" w:cs="宋体"/>
          <w:b/>
          <w:bCs/>
          <w:color w:val="auto"/>
          <w:sz w:val="22"/>
          <w:highlight w:val="none"/>
        </w:rPr>
        <w:t>磋商报价得分=（磋商基准价/最终报价）×</w:t>
      </w:r>
      <w:r>
        <w:rPr>
          <w:rFonts w:hint="eastAsia" w:hAnsi="宋体" w:cs="宋体"/>
          <w:b/>
          <w:bCs/>
          <w:color w:val="auto"/>
          <w:sz w:val="22"/>
          <w:highlight w:val="none"/>
          <w:lang w:val="en-US" w:eastAsia="zh-CN"/>
        </w:rPr>
        <w:t>2</w:t>
      </w:r>
      <w:r>
        <w:rPr>
          <w:rFonts w:hint="eastAsia" w:hAnsi="宋体" w:cs="宋体"/>
          <w:b/>
          <w:bCs/>
          <w:color w:val="auto"/>
          <w:sz w:val="22"/>
          <w:highlight w:val="none"/>
        </w:rPr>
        <w:t>0%×100</w:t>
      </w:r>
    </w:p>
    <w:p w14:paraId="34528753">
      <w:pPr>
        <w:pStyle w:val="10"/>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s="宋体"/>
          <w:color w:val="auto"/>
          <w:sz w:val="22"/>
          <w:highlight w:val="none"/>
        </w:rPr>
        <w:t>2、本项目专门面向中小企业采购，不再执行价格评审优惠的扶持政策。</w:t>
      </w:r>
    </w:p>
    <w:p w14:paraId="446CE487">
      <w:pPr>
        <w:pStyle w:val="10"/>
        <w:tabs>
          <w:tab w:val="left" w:pos="1069"/>
          <w:tab w:val="left" w:pos="2352"/>
        </w:tabs>
        <w:adjustRightInd w:val="0"/>
        <w:snapToGrid w:val="0"/>
        <w:spacing w:line="420" w:lineRule="exact"/>
        <w:ind w:left="335"/>
        <w:rPr>
          <w:rFonts w:hAnsi="宋体" w:cs="宋体"/>
          <w:bCs/>
          <w:color w:val="auto"/>
          <w:sz w:val="22"/>
          <w:highlight w:val="none"/>
        </w:rPr>
      </w:pPr>
      <w:r>
        <w:rPr>
          <w:rFonts w:hint="eastAsia" w:hAnsi="宋体" w:cs="宋体"/>
          <w:color w:val="auto"/>
          <w:sz w:val="22"/>
          <w:highlight w:val="none"/>
        </w:rPr>
        <w:t>（二）商务技术评分</w:t>
      </w:r>
      <w:r>
        <w:rPr>
          <w:rFonts w:hint="eastAsia" w:hAnsi="宋体" w:cs="宋体"/>
          <w:bCs/>
          <w:color w:val="auto"/>
          <w:sz w:val="22"/>
          <w:highlight w:val="none"/>
        </w:rPr>
        <w:t>（</w:t>
      </w:r>
      <w:r>
        <w:rPr>
          <w:rFonts w:hint="eastAsia" w:hAnsi="宋体" w:cs="宋体"/>
          <w:b/>
          <w:color w:val="auto"/>
          <w:sz w:val="22"/>
          <w:highlight w:val="none"/>
        </w:rPr>
        <w:t>满分</w:t>
      </w:r>
      <w:r>
        <w:rPr>
          <w:rFonts w:hint="eastAsia" w:hAnsi="宋体" w:cs="宋体"/>
          <w:b/>
          <w:color w:val="auto"/>
          <w:sz w:val="22"/>
          <w:highlight w:val="none"/>
          <w:lang w:val="en-US" w:eastAsia="zh-CN"/>
        </w:rPr>
        <w:t>8</w:t>
      </w:r>
      <w:r>
        <w:rPr>
          <w:rFonts w:hint="eastAsia" w:hAnsi="宋体" w:cs="宋体"/>
          <w:b/>
          <w:color w:val="auto"/>
          <w:sz w:val="22"/>
          <w:highlight w:val="none"/>
        </w:rPr>
        <w:t>0分</w:t>
      </w:r>
      <w:r>
        <w:rPr>
          <w:rFonts w:hint="eastAsia" w:hAnsi="宋体" w:cs="宋体"/>
          <w:bCs/>
          <w:color w:val="auto"/>
          <w:sz w:val="22"/>
          <w:highlight w:val="none"/>
        </w:rPr>
        <w:t>）</w:t>
      </w:r>
    </w:p>
    <w:tbl>
      <w:tblPr>
        <w:tblStyle w:val="26"/>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234"/>
        <w:gridCol w:w="981"/>
        <w:gridCol w:w="6798"/>
      </w:tblGrid>
      <w:tr w14:paraId="168EF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02" w:type="dxa"/>
            <w:vAlign w:val="center"/>
          </w:tcPr>
          <w:p w14:paraId="4154891D">
            <w:pPr>
              <w:jc w:val="center"/>
              <w:rPr>
                <w:rFonts w:asciiTheme="majorEastAsia" w:hAnsiTheme="majorEastAsia" w:eastAsiaTheme="majorEastAsia" w:cstheme="majorEastAsia"/>
                <w:b/>
                <w:color w:val="auto"/>
                <w:sz w:val="22"/>
                <w:highlight w:val="none"/>
              </w:rPr>
            </w:pPr>
            <w:r>
              <w:rPr>
                <w:rFonts w:hint="eastAsia" w:asciiTheme="majorEastAsia" w:hAnsiTheme="majorEastAsia" w:eastAsiaTheme="majorEastAsia" w:cstheme="majorEastAsia"/>
                <w:b/>
                <w:color w:val="auto"/>
                <w:sz w:val="22"/>
                <w:highlight w:val="none"/>
              </w:rPr>
              <w:t>内容</w:t>
            </w:r>
          </w:p>
        </w:tc>
        <w:tc>
          <w:tcPr>
            <w:tcW w:w="1234" w:type="dxa"/>
            <w:vAlign w:val="center"/>
          </w:tcPr>
          <w:p w14:paraId="69393492">
            <w:pPr>
              <w:jc w:val="center"/>
              <w:rPr>
                <w:rFonts w:asciiTheme="majorEastAsia" w:hAnsiTheme="majorEastAsia" w:eastAsiaTheme="majorEastAsia" w:cstheme="majorEastAsia"/>
                <w:b/>
                <w:color w:val="auto"/>
                <w:sz w:val="22"/>
                <w:highlight w:val="none"/>
              </w:rPr>
            </w:pPr>
            <w:r>
              <w:rPr>
                <w:rFonts w:hint="eastAsia" w:asciiTheme="majorEastAsia" w:hAnsiTheme="majorEastAsia" w:eastAsiaTheme="majorEastAsia" w:cstheme="majorEastAsia"/>
                <w:b/>
                <w:color w:val="auto"/>
                <w:sz w:val="22"/>
                <w:highlight w:val="none"/>
              </w:rPr>
              <w:t>评分</w:t>
            </w:r>
          </w:p>
          <w:p w14:paraId="48066A69">
            <w:pPr>
              <w:jc w:val="center"/>
              <w:rPr>
                <w:rFonts w:asciiTheme="majorEastAsia" w:hAnsiTheme="majorEastAsia" w:eastAsiaTheme="majorEastAsia" w:cstheme="majorEastAsia"/>
                <w:b/>
                <w:color w:val="auto"/>
                <w:sz w:val="22"/>
                <w:highlight w:val="none"/>
              </w:rPr>
            </w:pPr>
            <w:r>
              <w:rPr>
                <w:rFonts w:hint="eastAsia" w:asciiTheme="majorEastAsia" w:hAnsiTheme="majorEastAsia" w:eastAsiaTheme="majorEastAsia" w:cstheme="majorEastAsia"/>
                <w:b/>
                <w:color w:val="auto"/>
                <w:sz w:val="22"/>
                <w:highlight w:val="none"/>
              </w:rPr>
              <w:t>内容</w:t>
            </w:r>
          </w:p>
        </w:tc>
        <w:tc>
          <w:tcPr>
            <w:tcW w:w="981" w:type="dxa"/>
            <w:vAlign w:val="center"/>
          </w:tcPr>
          <w:p w14:paraId="60AD5566">
            <w:pPr>
              <w:jc w:val="center"/>
              <w:rPr>
                <w:rFonts w:asciiTheme="majorEastAsia" w:hAnsiTheme="majorEastAsia" w:eastAsiaTheme="majorEastAsia" w:cstheme="majorEastAsia"/>
                <w:b/>
                <w:color w:val="auto"/>
                <w:sz w:val="22"/>
                <w:highlight w:val="none"/>
              </w:rPr>
            </w:pPr>
            <w:r>
              <w:rPr>
                <w:rFonts w:hint="eastAsia" w:asciiTheme="majorEastAsia" w:hAnsiTheme="majorEastAsia" w:eastAsiaTheme="majorEastAsia" w:cstheme="majorEastAsia"/>
                <w:b/>
                <w:color w:val="auto"/>
                <w:sz w:val="22"/>
                <w:highlight w:val="none"/>
              </w:rPr>
              <w:t>分值</w:t>
            </w:r>
          </w:p>
        </w:tc>
        <w:tc>
          <w:tcPr>
            <w:tcW w:w="6798" w:type="dxa"/>
            <w:vAlign w:val="center"/>
          </w:tcPr>
          <w:p w14:paraId="73C77ABF">
            <w:pPr>
              <w:jc w:val="center"/>
              <w:rPr>
                <w:rFonts w:asciiTheme="majorEastAsia" w:hAnsiTheme="majorEastAsia" w:eastAsiaTheme="majorEastAsia" w:cstheme="majorEastAsia"/>
                <w:b/>
                <w:color w:val="auto"/>
                <w:sz w:val="22"/>
                <w:highlight w:val="none"/>
              </w:rPr>
            </w:pPr>
            <w:r>
              <w:rPr>
                <w:rFonts w:hint="eastAsia" w:asciiTheme="majorEastAsia" w:hAnsiTheme="majorEastAsia" w:eastAsiaTheme="majorEastAsia" w:cstheme="majorEastAsia"/>
                <w:b/>
                <w:color w:val="auto"/>
                <w:sz w:val="22"/>
                <w:highlight w:val="none"/>
              </w:rPr>
              <w:t>评分方法</w:t>
            </w:r>
          </w:p>
        </w:tc>
      </w:tr>
      <w:tr w14:paraId="62E4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2" w:type="dxa"/>
            <w:vMerge w:val="restart"/>
            <w:vAlign w:val="center"/>
          </w:tcPr>
          <w:p w14:paraId="185CEFBE">
            <w:pPr>
              <w:pStyle w:val="5"/>
              <w:ind w:firstLine="0"/>
              <w:jc w:val="cente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商务</w:t>
            </w:r>
          </w:p>
        </w:tc>
        <w:tc>
          <w:tcPr>
            <w:tcW w:w="1234" w:type="dxa"/>
            <w:vAlign w:val="center"/>
          </w:tcPr>
          <w:p w14:paraId="29CFC639">
            <w:pPr>
              <w:jc w:val="cente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供应商综合情况</w:t>
            </w:r>
          </w:p>
        </w:tc>
        <w:tc>
          <w:tcPr>
            <w:tcW w:w="981" w:type="dxa"/>
            <w:tcBorders>
              <w:top w:val="nil"/>
            </w:tcBorders>
            <w:vAlign w:val="center"/>
          </w:tcPr>
          <w:p w14:paraId="11DBBC03">
            <w:pPr>
              <w:widowControl/>
              <w:jc w:val="cente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6分</w:t>
            </w:r>
          </w:p>
        </w:tc>
        <w:tc>
          <w:tcPr>
            <w:tcW w:w="6798" w:type="dxa"/>
            <w:tcBorders>
              <w:top w:val="nil"/>
            </w:tcBorders>
            <w:vAlign w:val="center"/>
          </w:tcPr>
          <w:p w14:paraId="4E66DE33">
            <w:pPr>
              <w:widowControl/>
              <w:numPr>
                <w:ilvl w:val="0"/>
                <w:numId w:val="10"/>
              </w:numP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投标供应商具有林业调查规划设计丙级资质的得1</w:t>
            </w:r>
            <w:r>
              <w:rPr>
                <w:rFonts w:asciiTheme="majorEastAsia" w:hAnsiTheme="majorEastAsia" w:eastAsiaTheme="majorEastAsia" w:cstheme="majorEastAsia"/>
                <w:color w:val="auto"/>
                <w:sz w:val="22"/>
                <w:highlight w:val="none"/>
              </w:rPr>
              <w:t>.5</w:t>
            </w:r>
            <w:r>
              <w:rPr>
                <w:rFonts w:hint="eastAsia" w:asciiTheme="majorEastAsia" w:hAnsiTheme="majorEastAsia" w:eastAsiaTheme="majorEastAsia" w:cstheme="majorEastAsia"/>
                <w:color w:val="auto"/>
                <w:sz w:val="22"/>
                <w:highlight w:val="none"/>
              </w:rPr>
              <w:t>分，具有林业调查规划设计乙级及以上资质的得</w:t>
            </w:r>
            <w:r>
              <w:rPr>
                <w:rFonts w:asciiTheme="majorEastAsia" w:hAnsiTheme="majorEastAsia" w:eastAsiaTheme="majorEastAsia" w:cstheme="majorEastAsia"/>
                <w:color w:val="auto"/>
                <w:sz w:val="22"/>
                <w:highlight w:val="none"/>
              </w:rPr>
              <w:t>3</w:t>
            </w:r>
            <w:r>
              <w:rPr>
                <w:rFonts w:hint="eastAsia" w:asciiTheme="majorEastAsia" w:hAnsiTheme="majorEastAsia" w:eastAsiaTheme="majorEastAsia" w:cstheme="majorEastAsia"/>
                <w:color w:val="auto"/>
                <w:sz w:val="22"/>
                <w:highlight w:val="none"/>
              </w:rPr>
              <w:t>分，按最高分计，提供有效期内的证书原件扫描件加盖公章，不提供的不得分。</w:t>
            </w:r>
          </w:p>
          <w:p w14:paraId="08A84F95">
            <w:pPr>
              <w:widowControl/>
              <w:numPr>
                <w:ilvl w:val="0"/>
                <w:numId w:val="10"/>
              </w:numP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投标人获得，林业相关部门或林业工程协会颁发的相关荣誉每提供一份证明得1分，最高得3分。</w:t>
            </w:r>
          </w:p>
        </w:tc>
      </w:tr>
      <w:tr w14:paraId="7034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902" w:type="dxa"/>
            <w:vMerge w:val="continue"/>
            <w:vAlign w:val="center"/>
          </w:tcPr>
          <w:p w14:paraId="35778A7A">
            <w:pPr>
              <w:jc w:val="center"/>
              <w:rPr>
                <w:rFonts w:asciiTheme="majorEastAsia" w:hAnsiTheme="majorEastAsia" w:eastAsiaTheme="majorEastAsia" w:cstheme="majorEastAsia"/>
                <w:color w:val="auto"/>
                <w:sz w:val="22"/>
                <w:highlight w:val="none"/>
              </w:rPr>
            </w:pPr>
          </w:p>
        </w:tc>
        <w:tc>
          <w:tcPr>
            <w:tcW w:w="1234" w:type="dxa"/>
            <w:tcBorders>
              <w:top w:val="single" w:color="auto" w:sz="4" w:space="0"/>
              <w:bottom w:val="single" w:color="auto" w:sz="4" w:space="0"/>
            </w:tcBorders>
            <w:vAlign w:val="center"/>
          </w:tcPr>
          <w:p w14:paraId="3B9155A1">
            <w:pPr>
              <w:jc w:val="cente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类似业绩</w:t>
            </w:r>
          </w:p>
        </w:tc>
        <w:tc>
          <w:tcPr>
            <w:tcW w:w="981" w:type="dxa"/>
            <w:tcBorders>
              <w:top w:val="single" w:color="auto" w:sz="4" w:space="0"/>
              <w:bottom w:val="single" w:color="auto" w:sz="4" w:space="0"/>
            </w:tcBorders>
            <w:vAlign w:val="center"/>
          </w:tcPr>
          <w:p w14:paraId="0118F96D">
            <w:pPr>
              <w:jc w:val="cente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lang w:val="en-US" w:eastAsia="zh-CN"/>
              </w:rPr>
              <w:t>2</w:t>
            </w:r>
            <w:r>
              <w:rPr>
                <w:rFonts w:hint="eastAsia" w:asciiTheme="majorEastAsia" w:hAnsiTheme="majorEastAsia" w:eastAsiaTheme="majorEastAsia" w:cstheme="majorEastAsia"/>
                <w:color w:val="auto"/>
                <w:sz w:val="22"/>
                <w:highlight w:val="none"/>
              </w:rPr>
              <w:t>分</w:t>
            </w:r>
          </w:p>
        </w:tc>
        <w:tc>
          <w:tcPr>
            <w:tcW w:w="6798" w:type="dxa"/>
            <w:tcBorders>
              <w:top w:val="single" w:color="auto" w:sz="4" w:space="0"/>
              <w:bottom w:val="single" w:color="auto" w:sz="4" w:space="0"/>
            </w:tcBorders>
            <w:vAlign w:val="center"/>
          </w:tcPr>
          <w:p w14:paraId="3BCAC780">
            <w:pP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投标供应商独立承担过县级及以上类似项目业绩的，每具有一个得</w:t>
            </w:r>
            <w:r>
              <w:rPr>
                <w:rFonts w:hint="eastAsia" w:asciiTheme="majorEastAsia" w:hAnsiTheme="majorEastAsia" w:eastAsiaTheme="majorEastAsia" w:cstheme="majorEastAsia"/>
                <w:color w:val="auto"/>
                <w:sz w:val="22"/>
                <w:highlight w:val="none"/>
                <w:lang w:val="en-US" w:eastAsia="zh-CN"/>
              </w:rPr>
              <w:t>1</w:t>
            </w:r>
            <w:r>
              <w:rPr>
                <w:rFonts w:hint="eastAsia" w:asciiTheme="majorEastAsia" w:hAnsiTheme="majorEastAsia" w:eastAsiaTheme="majorEastAsia" w:cstheme="majorEastAsia"/>
                <w:color w:val="auto"/>
                <w:sz w:val="22"/>
                <w:highlight w:val="none"/>
              </w:rPr>
              <w:t>分，最高得</w:t>
            </w:r>
            <w:r>
              <w:rPr>
                <w:rFonts w:hint="eastAsia" w:asciiTheme="majorEastAsia" w:hAnsiTheme="majorEastAsia" w:eastAsiaTheme="majorEastAsia" w:cstheme="majorEastAsia"/>
                <w:color w:val="auto"/>
                <w:sz w:val="22"/>
                <w:highlight w:val="none"/>
                <w:lang w:val="en-US" w:eastAsia="zh-CN"/>
              </w:rPr>
              <w:t>2</w:t>
            </w:r>
            <w:r>
              <w:rPr>
                <w:rFonts w:hint="eastAsia" w:asciiTheme="majorEastAsia" w:hAnsiTheme="majorEastAsia" w:eastAsiaTheme="majorEastAsia" w:cstheme="majorEastAsia"/>
                <w:color w:val="auto"/>
                <w:sz w:val="22"/>
                <w:highlight w:val="none"/>
              </w:rPr>
              <w:t>分；</w:t>
            </w:r>
          </w:p>
          <w:p w14:paraId="199F297A">
            <w:pP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b/>
                <w:bCs/>
                <w:color w:val="auto"/>
                <w:sz w:val="22"/>
                <w:highlight w:val="none"/>
              </w:rPr>
              <w:t>注：【提供合同扫描件并加盖公章，否则不得分】</w:t>
            </w:r>
          </w:p>
        </w:tc>
      </w:tr>
      <w:tr w14:paraId="6D35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902" w:type="dxa"/>
            <w:vMerge w:val="restart"/>
            <w:vAlign w:val="center"/>
          </w:tcPr>
          <w:p w14:paraId="05D7C7E1">
            <w:pPr>
              <w:jc w:val="cente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技术</w:t>
            </w:r>
          </w:p>
        </w:tc>
        <w:tc>
          <w:tcPr>
            <w:tcW w:w="1234" w:type="dxa"/>
            <w:tcBorders>
              <w:top w:val="single" w:color="auto" w:sz="4" w:space="0"/>
              <w:bottom w:val="single" w:color="auto" w:sz="4" w:space="0"/>
            </w:tcBorders>
            <w:vAlign w:val="center"/>
          </w:tcPr>
          <w:p w14:paraId="1EF06863">
            <w:pPr>
              <w:jc w:val="cente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项目理解</w:t>
            </w:r>
          </w:p>
        </w:tc>
        <w:tc>
          <w:tcPr>
            <w:tcW w:w="981" w:type="dxa"/>
            <w:tcBorders>
              <w:top w:val="single" w:color="auto" w:sz="4" w:space="0"/>
              <w:bottom w:val="single" w:color="auto" w:sz="4" w:space="0"/>
            </w:tcBorders>
            <w:vAlign w:val="center"/>
          </w:tcPr>
          <w:p w14:paraId="18028D95">
            <w:pPr>
              <w:jc w:val="cente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lang w:val="en-US" w:eastAsia="zh-CN"/>
              </w:rPr>
              <w:t>12</w:t>
            </w:r>
            <w:r>
              <w:rPr>
                <w:rFonts w:hint="eastAsia" w:asciiTheme="majorEastAsia" w:hAnsiTheme="majorEastAsia" w:eastAsiaTheme="majorEastAsia" w:cstheme="majorEastAsia"/>
                <w:color w:val="auto"/>
                <w:sz w:val="22"/>
                <w:highlight w:val="none"/>
              </w:rPr>
              <w:t>分</w:t>
            </w:r>
          </w:p>
        </w:tc>
        <w:tc>
          <w:tcPr>
            <w:tcW w:w="6798" w:type="dxa"/>
            <w:tcBorders>
              <w:top w:val="single" w:color="auto" w:sz="4" w:space="0"/>
              <w:bottom w:val="single" w:color="auto" w:sz="4" w:space="0"/>
            </w:tcBorders>
            <w:vAlign w:val="center"/>
          </w:tcPr>
          <w:p w14:paraId="242ED7F9">
            <w:pPr>
              <w:autoSpaceDE w:val="0"/>
              <w:autoSpaceDN w:val="0"/>
              <w:adjustRightInd w:val="0"/>
              <w:rPr>
                <w:color w:val="auto"/>
                <w:sz w:val="22"/>
                <w:highlight w:val="none"/>
              </w:rPr>
            </w:pPr>
            <w:r>
              <w:rPr>
                <w:rFonts w:hint="eastAsia" w:asciiTheme="majorEastAsia" w:hAnsiTheme="majorEastAsia" w:eastAsiaTheme="majorEastAsia" w:cstheme="majorEastAsia"/>
                <w:color w:val="auto"/>
                <w:sz w:val="22"/>
                <w:highlight w:val="none"/>
              </w:rPr>
              <w:t>对项目理解的深度及存在问题的针对性分析。</w:t>
            </w:r>
            <w:r>
              <w:rPr>
                <w:rFonts w:hint="eastAsia" w:asciiTheme="majorEastAsia" w:hAnsiTheme="majorEastAsia" w:eastAsiaTheme="majorEastAsia" w:cstheme="majorEastAsia"/>
                <w:color w:val="auto"/>
                <w:sz w:val="22"/>
                <w:highlight w:val="none"/>
              </w:rPr>
              <w:br w:type="textWrapping"/>
            </w:r>
            <w:r>
              <w:rPr>
                <w:color w:val="auto"/>
                <w:sz w:val="22"/>
                <w:highlight w:val="none"/>
              </w:rPr>
              <w:t>方案完善合理、针对性强、</w:t>
            </w:r>
            <w:r>
              <w:rPr>
                <w:rFonts w:hint="eastAsia"/>
                <w:color w:val="auto"/>
                <w:sz w:val="22"/>
                <w:highlight w:val="none"/>
              </w:rPr>
              <w:t>分析</w:t>
            </w:r>
            <w:r>
              <w:rPr>
                <w:color w:val="auto"/>
                <w:sz w:val="22"/>
                <w:highlight w:val="none"/>
              </w:rPr>
              <w:t>到位、切实可行得</w:t>
            </w:r>
            <w:r>
              <w:rPr>
                <w:rFonts w:hint="eastAsia"/>
                <w:color w:val="auto"/>
                <w:sz w:val="22"/>
                <w:highlight w:val="none"/>
                <w:lang w:val="en-US" w:eastAsia="zh-CN"/>
              </w:rPr>
              <w:t>12</w:t>
            </w:r>
            <w:r>
              <w:rPr>
                <w:color w:val="auto"/>
                <w:sz w:val="22"/>
                <w:highlight w:val="none"/>
              </w:rPr>
              <w:t>分；</w:t>
            </w:r>
          </w:p>
          <w:p w14:paraId="4FBA8423">
            <w:pPr>
              <w:autoSpaceDE w:val="0"/>
              <w:autoSpaceDN w:val="0"/>
              <w:adjustRightInd w:val="0"/>
              <w:rPr>
                <w:color w:val="auto"/>
                <w:sz w:val="22"/>
                <w:highlight w:val="none"/>
              </w:rPr>
            </w:pPr>
            <w:r>
              <w:rPr>
                <w:color w:val="auto"/>
                <w:sz w:val="22"/>
                <w:highlight w:val="none"/>
              </w:rPr>
              <w:t>方案较完善合理、较有针对性、</w:t>
            </w:r>
            <w:r>
              <w:rPr>
                <w:rFonts w:hint="eastAsia"/>
                <w:color w:val="auto"/>
                <w:sz w:val="22"/>
                <w:highlight w:val="none"/>
              </w:rPr>
              <w:t>分析</w:t>
            </w:r>
            <w:r>
              <w:rPr>
                <w:color w:val="auto"/>
                <w:sz w:val="22"/>
                <w:highlight w:val="none"/>
              </w:rPr>
              <w:t>基本到位、有一定可操作性得</w:t>
            </w:r>
            <w:r>
              <w:rPr>
                <w:rFonts w:hint="eastAsia"/>
                <w:color w:val="auto"/>
                <w:sz w:val="22"/>
                <w:highlight w:val="none"/>
                <w:lang w:val="en-US" w:eastAsia="zh-CN"/>
              </w:rPr>
              <w:t>10</w:t>
            </w:r>
            <w:r>
              <w:rPr>
                <w:color w:val="auto"/>
                <w:sz w:val="22"/>
                <w:highlight w:val="none"/>
              </w:rPr>
              <w:t>分；</w:t>
            </w:r>
          </w:p>
          <w:p w14:paraId="17000E74">
            <w:pPr>
              <w:autoSpaceDE w:val="0"/>
              <w:autoSpaceDN w:val="0"/>
              <w:adjustRightInd w:val="0"/>
              <w:rPr>
                <w:color w:val="auto"/>
                <w:sz w:val="22"/>
                <w:highlight w:val="none"/>
              </w:rPr>
            </w:pPr>
            <w:r>
              <w:rPr>
                <w:color w:val="auto"/>
                <w:sz w:val="22"/>
                <w:highlight w:val="none"/>
              </w:rPr>
              <w:t>方案欠完善合理、</w:t>
            </w:r>
            <w:r>
              <w:rPr>
                <w:rFonts w:hint="eastAsia"/>
                <w:color w:val="auto"/>
                <w:sz w:val="22"/>
                <w:highlight w:val="none"/>
              </w:rPr>
              <w:t>分析</w:t>
            </w:r>
            <w:r>
              <w:rPr>
                <w:color w:val="auto"/>
                <w:sz w:val="22"/>
                <w:highlight w:val="none"/>
              </w:rPr>
              <w:t>完整度、针对性、可操作性一般得</w:t>
            </w:r>
            <w:r>
              <w:rPr>
                <w:rFonts w:hint="eastAsia"/>
                <w:color w:val="auto"/>
                <w:sz w:val="22"/>
                <w:highlight w:val="none"/>
                <w:lang w:val="en-US" w:eastAsia="zh-CN"/>
              </w:rPr>
              <w:t>8</w:t>
            </w:r>
            <w:r>
              <w:rPr>
                <w:color w:val="auto"/>
                <w:sz w:val="22"/>
                <w:highlight w:val="none"/>
              </w:rPr>
              <w:t>分；</w:t>
            </w:r>
          </w:p>
          <w:p w14:paraId="7E8F1BD4">
            <w:pPr>
              <w:autoSpaceDE w:val="0"/>
              <w:autoSpaceDN w:val="0"/>
              <w:adjustRightInd w:val="0"/>
              <w:rPr>
                <w:color w:val="auto"/>
                <w:sz w:val="22"/>
                <w:highlight w:val="none"/>
              </w:rPr>
            </w:pPr>
            <w:r>
              <w:rPr>
                <w:color w:val="auto"/>
                <w:sz w:val="22"/>
                <w:highlight w:val="none"/>
              </w:rPr>
              <w:t>方案不够完善合理、针对性不足、</w:t>
            </w:r>
            <w:r>
              <w:rPr>
                <w:rFonts w:hint="eastAsia"/>
                <w:color w:val="auto"/>
                <w:sz w:val="22"/>
                <w:highlight w:val="none"/>
              </w:rPr>
              <w:t>分析不够到位</w:t>
            </w:r>
            <w:r>
              <w:rPr>
                <w:color w:val="auto"/>
                <w:sz w:val="22"/>
                <w:highlight w:val="none"/>
              </w:rPr>
              <w:t>、可操作性弱得</w:t>
            </w:r>
            <w:r>
              <w:rPr>
                <w:rFonts w:hint="eastAsia"/>
                <w:color w:val="auto"/>
                <w:sz w:val="22"/>
                <w:highlight w:val="none"/>
                <w:lang w:val="en-US" w:eastAsia="zh-CN"/>
              </w:rPr>
              <w:t>6</w:t>
            </w:r>
            <w:r>
              <w:rPr>
                <w:color w:val="auto"/>
                <w:sz w:val="22"/>
                <w:highlight w:val="none"/>
              </w:rPr>
              <w:t>分</w:t>
            </w:r>
            <w:r>
              <w:rPr>
                <w:rFonts w:hint="eastAsia"/>
                <w:color w:val="auto"/>
                <w:sz w:val="22"/>
                <w:highlight w:val="none"/>
              </w:rPr>
              <w:t>；</w:t>
            </w:r>
          </w:p>
          <w:p w14:paraId="267DE241">
            <w:pPr>
              <w:rPr>
                <w:rFonts w:asciiTheme="majorEastAsia" w:hAnsiTheme="majorEastAsia" w:eastAsiaTheme="majorEastAsia" w:cstheme="majorEastAsia"/>
                <w:color w:val="auto"/>
                <w:sz w:val="22"/>
                <w:highlight w:val="none"/>
              </w:rPr>
            </w:pPr>
            <w:r>
              <w:rPr>
                <w:color w:val="auto"/>
                <w:sz w:val="22"/>
                <w:highlight w:val="none"/>
              </w:rPr>
              <w:t>本项内容未提供或严重欠缺不得分</w:t>
            </w:r>
            <w:r>
              <w:rPr>
                <w:rFonts w:hint="eastAsia"/>
                <w:color w:val="auto"/>
                <w:sz w:val="22"/>
                <w:highlight w:val="none"/>
              </w:rPr>
              <w:t>。</w:t>
            </w:r>
          </w:p>
        </w:tc>
      </w:tr>
      <w:tr w14:paraId="54AA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jc w:val="center"/>
        </w:trPr>
        <w:tc>
          <w:tcPr>
            <w:tcW w:w="902" w:type="dxa"/>
            <w:vMerge w:val="continue"/>
            <w:vAlign w:val="center"/>
          </w:tcPr>
          <w:p w14:paraId="06BB2310">
            <w:pPr>
              <w:jc w:val="center"/>
              <w:rPr>
                <w:rFonts w:asciiTheme="majorEastAsia" w:hAnsiTheme="majorEastAsia" w:eastAsiaTheme="majorEastAsia" w:cstheme="majorEastAsia"/>
                <w:color w:val="auto"/>
                <w:sz w:val="22"/>
                <w:highlight w:val="none"/>
              </w:rPr>
            </w:pPr>
          </w:p>
        </w:tc>
        <w:tc>
          <w:tcPr>
            <w:tcW w:w="1234" w:type="dxa"/>
            <w:vMerge w:val="restart"/>
            <w:tcBorders>
              <w:top w:val="single" w:color="auto" w:sz="4" w:space="0"/>
            </w:tcBorders>
            <w:vAlign w:val="center"/>
          </w:tcPr>
          <w:p w14:paraId="55583B9E">
            <w:pPr>
              <w:jc w:val="cente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实施方案</w:t>
            </w:r>
          </w:p>
        </w:tc>
        <w:tc>
          <w:tcPr>
            <w:tcW w:w="981" w:type="dxa"/>
            <w:vMerge w:val="restart"/>
            <w:tcBorders>
              <w:top w:val="single" w:color="auto" w:sz="4" w:space="0"/>
            </w:tcBorders>
            <w:vAlign w:val="center"/>
          </w:tcPr>
          <w:p w14:paraId="43A59BA4">
            <w:pPr>
              <w:jc w:val="cente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lang w:val="en-US" w:eastAsia="zh-CN"/>
              </w:rPr>
              <w:t>18</w:t>
            </w:r>
            <w:r>
              <w:rPr>
                <w:rFonts w:hint="eastAsia" w:asciiTheme="majorEastAsia" w:hAnsiTheme="majorEastAsia" w:eastAsiaTheme="majorEastAsia" w:cstheme="majorEastAsia"/>
                <w:color w:val="auto"/>
                <w:sz w:val="22"/>
                <w:highlight w:val="none"/>
              </w:rPr>
              <w:t>分</w:t>
            </w:r>
          </w:p>
        </w:tc>
        <w:tc>
          <w:tcPr>
            <w:tcW w:w="6798" w:type="dxa"/>
            <w:tcBorders>
              <w:top w:val="single" w:color="auto" w:sz="4" w:space="0"/>
              <w:bottom w:val="single" w:color="auto" w:sz="4" w:space="0"/>
            </w:tcBorders>
            <w:vAlign w:val="center"/>
          </w:tcPr>
          <w:p w14:paraId="05B0DA0C">
            <w:pP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项目实施计划是否完善</w:t>
            </w:r>
          </w:p>
          <w:p w14:paraId="1DB17412">
            <w:pPr>
              <w:autoSpaceDE w:val="0"/>
              <w:autoSpaceDN w:val="0"/>
              <w:adjustRightInd w:val="0"/>
              <w:rPr>
                <w:color w:val="auto"/>
                <w:sz w:val="22"/>
                <w:highlight w:val="none"/>
              </w:rPr>
            </w:pPr>
            <w:r>
              <w:rPr>
                <w:color w:val="auto"/>
                <w:sz w:val="22"/>
                <w:highlight w:val="none"/>
              </w:rPr>
              <w:t>方案完善合理、针对性强、切实可行得</w:t>
            </w:r>
            <w:r>
              <w:rPr>
                <w:rFonts w:hint="eastAsia"/>
                <w:color w:val="auto"/>
                <w:sz w:val="22"/>
                <w:highlight w:val="none"/>
                <w:lang w:val="en-US" w:eastAsia="zh-CN"/>
              </w:rPr>
              <w:t>7</w:t>
            </w:r>
            <w:r>
              <w:rPr>
                <w:color w:val="auto"/>
                <w:sz w:val="22"/>
                <w:highlight w:val="none"/>
              </w:rPr>
              <w:t>分；</w:t>
            </w:r>
          </w:p>
          <w:p w14:paraId="4445AB78">
            <w:pPr>
              <w:autoSpaceDE w:val="0"/>
              <w:autoSpaceDN w:val="0"/>
              <w:adjustRightInd w:val="0"/>
              <w:rPr>
                <w:color w:val="auto"/>
                <w:sz w:val="22"/>
                <w:highlight w:val="none"/>
              </w:rPr>
            </w:pPr>
            <w:r>
              <w:rPr>
                <w:color w:val="auto"/>
                <w:sz w:val="22"/>
                <w:highlight w:val="none"/>
              </w:rPr>
              <w:t>方案较完善合理、较有针对性、有一定可操作性得</w:t>
            </w:r>
            <w:r>
              <w:rPr>
                <w:rFonts w:hint="eastAsia"/>
                <w:color w:val="auto"/>
                <w:sz w:val="22"/>
                <w:highlight w:val="none"/>
                <w:lang w:val="en-US" w:eastAsia="zh-CN"/>
              </w:rPr>
              <w:t>6</w:t>
            </w:r>
            <w:r>
              <w:rPr>
                <w:color w:val="auto"/>
                <w:sz w:val="22"/>
                <w:highlight w:val="none"/>
              </w:rPr>
              <w:t>分；</w:t>
            </w:r>
          </w:p>
          <w:p w14:paraId="564752C0">
            <w:pPr>
              <w:autoSpaceDE w:val="0"/>
              <w:autoSpaceDN w:val="0"/>
              <w:adjustRightInd w:val="0"/>
              <w:rPr>
                <w:color w:val="auto"/>
                <w:sz w:val="22"/>
                <w:highlight w:val="none"/>
              </w:rPr>
            </w:pPr>
            <w:r>
              <w:rPr>
                <w:color w:val="auto"/>
                <w:sz w:val="22"/>
                <w:highlight w:val="none"/>
              </w:rPr>
              <w:t>方案欠完善合理、</w:t>
            </w:r>
            <w:r>
              <w:rPr>
                <w:rFonts w:hint="eastAsia"/>
                <w:color w:val="auto"/>
                <w:sz w:val="22"/>
                <w:highlight w:val="none"/>
              </w:rPr>
              <w:t>分析</w:t>
            </w:r>
            <w:r>
              <w:rPr>
                <w:color w:val="auto"/>
                <w:sz w:val="22"/>
                <w:highlight w:val="none"/>
              </w:rPr>
              <w:t>完整度、针对性、可操作性一般得</w:t>
            </w:r>
            <w:r>
              <w:rPr>
                <w:rFonts w:hint="eastAsia"/>
                <w:color w:val="auto"/>
                <w:sz w:val="22"/>
                <w:highlight w:val="none"/>
                <w:lang w:val="en-US" w:eastAsia="zh-CN"/>
              </w:rPr>
              <w:t>5</w:t>
            </w:r>
            <w:r>
              <w:rPr>
                <w:color w:val="auto"/>
                <w:sz w:val="22"/>
                <w:highlight w:val="none"/>
              </w:rPr>
              <w:t>分；</w:t>
            </w:r>
          </w:p>
          <w:p w14:paraId="32D7FAD9">
            <w:pPr>
              <w:autoSpaceDE w:val="0"/>
              <w:autoSpaceDN w:val="0"/>
              <w:adjustRightInd w:val="0"/>
              <w:rPr>
                <w:color w:val="auto"/>
                <w:sz w:val="22"/>
                <w:highlight w:val="none"/>
              </w:rPr>
            </w:pPr>
            <w:r>
              <w:rPr>
                <w:color w:val="auto"/>
                <w:sz w:val="22"/>
                <w:highlight w:val="none"/>
              </w:rPr>
              <w:t>方案不够完善合理、针对性不足、可操作性弱得</w:t>
            </w:r>
            <w:r>
              <w:rPr>
                <w:rFonts w:hint="eastAsia"/>
                <w:color w:val="auto"/>
                <w:sz w:val="22"/>
                <w:highlight w:val="none"/>
                <w:lang w:val="en-US" w:eastAsia="zh-CN"/>
              </w:rPr>
              <w:t>3</w:t>
            </w:r>
            <w:r>
              <w:rPr>
                <w:color w:val="auto"/>
                <w:sz w:val="22"/>
                <w:highlight w:val="none"/>
              </w:rPr>
              <w:t>分</w:t>
            </w:r>
            <w:r>
              <w:rPr>
                <w:rFonts w:hint="eastAsia"/>
                <w:color w:val="auto"/>
                <w:sz w:val="22"/>
                <w:highlight w:val="none"/>
              </w:rPr>
              <w:t>；</w:t>
            </w:r>
          </w:p>
          <w:p w14:paraId="3E363892">
            <w:pPr>
              <w:rPr>
                <w:rFonts w:asciiTheme="majorEastAsia" w:hAnsiTheme="majorEastAsia" w:eastAsiaTheme="majorEastAsia" w:cstheme="majorEastAsia"/>
                <w:color w:val="auto"/>
                <w:sz w:val="22"/>
                <w:highlight w:val="none"/>
              </w:rPr>
            </w:pPr>
            <w:r>
              <w:rPr>
                <w:color w:val="auto"/>
                <w:sz w:val="22"/>
                <w:highlight w:val="none"/>
              </w:rPr>
              <w:t>本项内容未提供或严重欠缺不得分</w:t>
            </w:r>
            <w:r>
              <w:rPr>
                <w:rFonts w:hint="eastAsia"/>
                <w:color w:val="auto"/>
                <w:sz w:val="22"/>
                <w:highlight w:val="none"/>
              </w:rPr>
              <w:t>。</w:t>
            </w:r>
          </w:p>
        </w:tc>
      </w:tr>
      <w:tr w14:paraId="486D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jc w:val="center"/>
        </w:trPr>
        <w:tc>
          <w:tcPr>
            <w:tcW w:w="902" w:type="dxa"/>
            <w:vMerge w:val="continue"/>
            <w:vAlign w:val="center"/>
          </w:tcPr>
          <w:p w14:paraId="56D85221">
            <w:pPr>
              <w:jc w:val="center"/>
              <w:rPr>
                <w:rFonts w:asciiTheme="majorEastAsia" w:hAnsiTheme="majorEastAsia" w:eastAsiaTheme="majorEastAsia" w:cstheme="majorEastAsia"/>
                <w:color w:val="auto"/>
                <w:sz w:val="22"/>
                <w:highlight w:val="none"/>
              </w:rPr>
            </w:pPr>
          </w:p>
        </w:tc>
        <w:tc>
          <w:tcPr>
            <w:tcW w:w="1234" w:type="dxa"/>
            <w:vMerge w:val="continue"/>
            <w:vAlign w:val="center"/>
          </w:tcPr>
          <w:p w14:paraId="6320FA8C">
            <w:pPr>
              <w:jc w:val="center"/>
              <w:rPr>
                <w:rFonts w:asciiTheme="majorEastAsia" w:hAnsiTheme="majorEastAsia" w:eastAsiaTheme="majorEastAsia" w:cstheme="majorEastAsia"/>
                <w:color w:val="auto"/>
                <w:sz w:val="22"/>
                <w:highlight w:val="none"/>
              </w:rPr>
            </w:pPr>
          </w:p>
        </w:tc>
        <w:tc>
          <w:tcPr>
            <w:tcW w:w="981" w:type="dxa"/>
            <w:vMerge w:val="continue"/>
            <w:vAlign w:val="center"/>
          </w:tcPr>
          <w:p w14:paraId="322FB240">
            <w:pPr>
              <w:jc w:val="center"/>
              <w:rPr>
                <w:rFonts w:asciiTheme="majorEastAsia" w:hAnsiTheme="majorEastAsia" w:eastAsiaTheme="majorEastAsia" w:cstheme="majorEastAsia"/>
                <w:color w:val="auto"/>
                <w:sz w:val="22"/>
                <w:highlight w:val="none"/>
              </w:rPr>
            </w:pPr>
          </w:p>
        </w:tc>
        <w:tc>
          <w:tcPr>
            <w:tcW w:w="6798" w:type="dxa"/>
            <w:tcBorders>
              <w:top w:val="single" w:color="auto" w:sz="4" w:space="0"/>
              <w:bottom w:val="single" w:color="auto" w:sz="4" w:space="0"/>
            </w:tcBorders>
            <w:vAlign w:val="center"/>
          </w:tcPr>
          <w:p w14:paraId="32E4F138">
            <w:pP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进度安排是否合理</w:t>
            </w:r>
          </w:p>
          <w:p w14:paraId="17AACD26">
            <w:pPr>
              <w:autoSpaceDE w:val="0"/>
              <w:autoSpaceDN w:val="0"/>
              <w:adjustRightInd w:val="0"/>
              <w:rPr>
                <w:color w:val="auto"/>
                <w:sz w:val="22"/>
                <w:highlight w:val="none"/>
              </w:rPr>
            </w:pPr>
            <w:r>
              <w:rPr>
                <w:color w:val="auto"/>
                <w:sz w:val="22"/>
                <w:highlight w:val="none"/>
              </w:rPr>
              <w:t>方案完善合理、针对性强、切实可行得</w:t>
            </w:r>
            <w:r>
              <w:rPr>
                <w:rFonts w:hint="eastAsia"/>
                <w:color w:val="auto"/>
                <w:sz w:val="22"/>
                <w:highlight w:val="none"/>
                <w:lang w:val="en-US" w:eastAsia="zh-CN"/>
              </w:rPr>
              <w:t>6</w:t>
            </w:r>
            <w:r>
              <w:rPr>
                <w:color w:val="auto"/>
                <w:sz w:val="22"/>
                <w:highlight w:val="none"/>
              </w:rPr>
              <w:t>分；</w:t>
            </w:r>
          </w:p>
          <w:p w14:paraId="0B19ED94">
            <w:pPr>
              <w:autoSpaceDE w:val="0"/>
              <w:autoSpaceDN w:val="0"/>
              <w:adjustRightInd w:val="0"/>
              <w:rPr>
                <w:color w:val="auto"/>
                <w:sz w:val="22"/>
                <w:highlight w:val="none"/>
              </w:rPr>
            </w:pPr>
            <w:r>
              <w:rPr>
                <w:color w:val="auto"/>
                <w:sz w:val="22"/>
                <w:highlight w:val="none"/>
              </w:rPr>
              <w:t>方案较完善合理、较有针对性、有一定可操作性得</w:t>
            </w:r>
            <w:r>
              <w:rPr>
                <w:rFonts w:hint="eastAsia"/>
                <w:color w:val="auto"/>
                <w:sz w:val="22"/>
                <w:highlight w:val="none"/>
              </w:rPr>
              <w:t>5</w:t>
            </w:r>
            <w:r>
              <w:rPr>
                <w:color w:val="auto"/>
                <w:sz w:val="22"/>
                <w:highlight w:val="none"/>
              </w:rPr>
              <w:t>分；</w:t>
            </w:r>
          </w:p>
          <w:p w14:paraId="7DB2E49A">
            <w:pPr>
              <w:autoSpaceDE w:val="0"/>
              <w:autoSpaceDN w:val="0"/>
              <w:adjustRightInd w:val="0"/>
              <w:rPr>
                <w:color w:val="auto"/>
                <w:sz w:val="22"/>
                <w:highlight w:val="none"/>
              </w:rPr>
            </w:pPr>
            <w:r>
              <w:rPr>
                <w:color w:val="auto"/>
                <w:sz w:val="22"/>
                <w:highlight w:val="none"/>
              </w:rPr>
              <w:t>方案欠完善合理、</w:t>
            </w:r>
            <w:r>
              <w:rPr>
                <w:rFonts w:hint="eastAsia"/>
                <w:color w:val="auto"/>
                <w:sz w:val="22"/>
                <w:highlight w:val="none"/>
              </w:rPr>
              <w:t>分析</w:t>
            </w:r>
            <w:r>
              <w:rPr>
                <w:color w:val="auto"/>
                <w:sz w:val="22"/>
                <w:highlight w:val="none"/>
              </w:rPr>
              <w:t>完整度、针对性、可操作性一般得</w:t>
            </w:r>
            <w:r>
              <w:rPr>
                <w:rFonts w:hint="eastAsia"/>
                <w:color w:val="auto"/>
                <w:sz w:val="22"/>
                <w:highlight w:val="none"/>
              </w:rPr>
              <w:t>4</w:t>
            </w:r>
            <w:r>
              <w:rPr>
                <w:color w:val="auto"/>
                <w:sz w:val="22"/>
                <w:highlight w:val="none"/>
              </w:rPr>
              <w:t>分；</w:t>
            </w:r>
          </w:p>
          <w:p w14:paraId="5A5926B3">
            <w:pPr>
              <w:autoSpaceDE w:val="0"/>
              <w:autoSpaceDN w:val="0"/>
              <w:adjustRightInd w:val="0"/>
              <w:rPr>
                <w:color w:val="auto"/>
                <w:sz w:val="22"/>
                <w:highlight w:val="none"/>
              </w:rPr>
            </w:pPr>
            <w:r>
              <w:rPr>
                <w:color w:val="auto"/>
                <w:sz w:val="22"/>
                <w:highlight w:val="none"/>
              </w:rPr>
              <w:t>方案不够完善合理、针对性不足、可操作性弱得</w:t>
            </w:r>
            <w:r>
              <w:rPr>
                <w:rFonts w:hint="eastAsia"/>
                <w:color w:val="auto"/>
                <w:sz w:val="22"/>
                <w:highlight w:val="none"/>
              </w:rPr>
              <w:t>2</w:t>
            </w:r>
            <w:r>
              <w:rPr>
                <w:color w:val="auto"/>
                <w:sz w:val="22"/>
                <w:highlight w:val="none"/>
              </w:rPr>
              <w:t>分</w:t>
            </w:r>
            <w:r>
              <w:rPr>
                <w:rFonts w:hint="eastAsia"/>
                <w:color w:val="auto"/>
                <w:sz w:val="22"/>
                <w:highlight w:val="none"/>
              </w:rPr>
              <w:t>；</w:t>
            </w:r>
          </w:p>
          <w:p w14:paraId="3A98294E">
            <w:pPr>
              <w:rPr>
                <w:color w:val="auto"/>
                <w:sz w:val="22"/>
                <w:highlight w:val="none"/>
              </w:rPr>
            </w:pPr>
            <w:r>
              <w:rPr>
                <w:color w:val="auto"/>
                <w:sz w:val="22"/>
                <w:highlight w:val="none"/>
              </w:rPr>
              <w:t>本项内容未提供或严重欠缺不得分</w:t>
            </w:r>
            <w:r>
              <w:rPr>
                <w:rFonts w:hint="eastAsia"/>
                <w:color w:val="auto"/>
                <w:sz w:val="22"/>
                <w:highlight w:val="none"/>
              </w:rPr>
              <w:t>。</w:t>
            </w:r>
          </w:p>
        </w:tc>
      </w:tr>
      <w:tr w14:paraId="0224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jc w:val="center"/>
        </w:trPr>
        <w:tc>
          <w:tcPr>
            <w:tcW w:w="902" w:type="dxa"/>
            <w:vMerge w:val="continue"/>
            <w:vAlign w:val="center"/>
          </w:tcPr>
          <w:p w14:paraId="2D53BA8B">
            <w:pPr>
              <w:jc w:val="center"/>
              <w:rPr>
                <w:rFonts w:asciiTheme="majorEastAsia" w:hAnsiTheme="majorEastAsia" w:eastAsiaTheme="majorEastAsia" w:cstheme="majorEastAsia"/>
                <w:color w:val="auto"/>
                <w:sz w:val="22"/>
                <w:highlight w:val="none"/>
              </w:rPr>
            </w:pPr>
          </w:p>
        </w:tc>
        <w:tc>
          <w:tcPr>
            <w:tcW w:w="1234" w:type="dxa"/>
            <w:vMerge w:val="continue"/>
            <w:tcBorders>
              <w:bottom w:val="single" w:color="auto" w:sz="4" w:space="0"/>
            </w:tcBorders>
            <w:vAlign w:val="center"/>
          </w:tcPr>
          <w:p w14:paraId="126CA7C1">
            <w:pPr>
              <w:jc w:val="center"/>
              <w:rPr>
                <w:rFonts w:asciiTheme="majorEastAsia" w:hAnsiTheme="majorEastAsia" w:eastAsiaTheme="majorEastAsia" w:cstheme="majorEastAsia"/>
                <w:color w:val="auto"/>
                <w:sz w:val="22"/>
                <w:highlight w:val="none"/>
              </w:rPr>
            </w:pPr>
          </w:p>
        </w:tc>
        <w:tc>
          <w:tcPr>
            <w:tcW w:w="981" w:type="dxa"/>
            <w:vMerge w:val="continue"/>
            <w:tcBorders>
              <w:bottom w:val="single" w:color="auto" w:sz="4" w:space="0"/>
            </w:tcBorders>
            <w:vAlign w:val="center"/>
          </w:tcPr>
          <w:p w14:paraId="272A44B5">
            <w:pPr>
              <w:jc w:val="center"/>
              <w:rPr>
                <w:rFonts w:asciiTheme="majorEastAsia" w:hAnsiTheme="majorEastAsia" w:eastAsiaTheme="majorEastAsia" w:cstheme="majorEastAsia"/>
                <w:color w:val="auto"/>
                <w:sz w:val="22"/>
                <w:highlight w:val="none"/>
              </w:rPr>
            </w:pPr>
          </w:p>
        </w:tc>
        <w:tc>
          <w:tcPr>
            <w:tcW w:w="6798" w:type="dxa"/>
            <w:tcBorders>
              <w:top w:val="single" w:color="auto" w:sz="4" w:space="0"/>
              <w:bottom w:val="single" w:color="auto" w:sz="4" w:space="0"/>
            </w:tcBorders>
            <w:vAlign w:val="center"/>
          </w:tcPr>
          <w:p w14:paraId="6B21FC3F">
            <w:pPr>
              <w:autoSpaceDE w:val="0"/>
              <w:autoSpaceDN w:val="0"/>
              <w:adjustRightInd w:val="0"/>
              <w:rPr>
                <w:color w:val="auto"/>
                <w:sz w:val="22"/>
                <w:highlight w:val="none"/>
              </w:rPr>
            </w:pPr>
            <w:r>
              <w:rPr>
                <w:rFonts w:hint="eastAsia" w:asciiTheme="majorEastAsia" w:hAnsiTheme="majorEastAsia" w:eastAsiaTheme="majorEastAsia" w:cstheme="majorEastAsia"/>
                <w:color w:val="auto"/>
                <w:sz w:val="22"/>
                <w:highlight w:val="none"/>
              </w:rPr>
              <w:t>项目整体管理方案是否合理科学，是否可行，是否有充足、完善</w:t>
            </w:r>
            <w:r>
              <w:rPr>
                <w:rFonts w:hint="eastAsia" w:asciiTheme="majorEastAsia" w:hAnsiTheme="majorEastAsia" w:eastAsiaTheme="majorEastAsia" w:cstheme="majorEastAsia"/>
                <w:color w:val="auto"/>
                <w:sz w:val="22"/>
                <w:highlight w:val="none"/>
              </w:rPr>
              <w:br w:type="textWrapping"/>
            </w:r>
            <w:r>
              <w:rPr>
                <w:color w:val="auto"/>
                <w:sz w:val="22"/>
                <w:highlight w:val="none"/>
              </w:rPr>
              <w:t>方案完善合理、针对性强、切实可行得</w:t>
            </w:r>
            <w:r>
              <w:rPr>
                <w:rFonts w:hint="eastAsia"/>
                <w:color w:val="auto"/>
                <w:sz w:val="22"/>
                <w:highlight w:val="none"/>
              </w:rPr>
              <w:t>5</w:t>
            </w:r>
            <w:r>
              <w:rPr>
                <w:color w:val="auto"/>
                <w:sz w:val="22"/>
                <w:highlight w:val="none"/>
              </w:rPr>
              <w:t>分；</w:t>
            </w:r>
          </w:p>
          <w:p w14:paraId="5E90AD72">
            <w:pPr>
              <w:autoSpaceDE w:val="0"/>
              <w:autoSpaceDN w:val="0"/>
              <w:adjustRightInd w:val="0"/>
              <w:rPr>
                <w:color w:val="auto"/>
                <w:sz w:val="22"/>
                <w:highlight w:val="none"/>
              </w:rPr>
            </w:pPr>
            <w:r>
              <w:rPr>
                <w:color w:val="auto"/>
                <w:sz w:val="22"/>
                <w:highlight w:val="none"/>
              </w:rPr>
              <w:t>方案较完善合理、较有针对性、有一定可操作性得</w:t>
            </w:r>
            <w:r>
              <w:rPr>
                <w:rFonts w:hint="eastAsia"/>
                <w:color w:val="auto"/>
                <w:sz w:val="22"/>
                <w:highlight w:val="none"/>
              </w:rPr>
              <w:t>4</w:t>
            </w:r>
            <w:r>
              <w:rPr>
                <w:color w:val="auto"/>
                <w:sz w:val="22"/>
                <w:highlight w:val="none"/>
              </w:rPr>
              <w:t>分；</w:t>
            </w:r>
          </w:p>
          <w:p w14:paraId="1876FE52">
            <w:pPr>
              <w:autoSpaceDE w:val="0"/>
              <w:autoSpaceDN w:val="0"/>
              <w:adjustRightInd w:val="0"/>
              <w:rPr>
                <w:color w:val="auto"/>
                <w:sz w:val="22"/>
                <w:highlight w:val="none"/>
              </w:rPr>
            </w:pPr>
            <w:r>
              <w:rPr>
                <w:color w:val="auto"/>
                <w:sz w:val="22"/>
                <w:highlight w:val="none"/>
              </w:rPr>
              <w:t>方案欠完善合理、</w:t>
            </w:r>
            <w:r>
              <w:rPr>
                <w:rFonts w:hint="eastAsia"/>
                <w:color w:val="auto"/>
                <w:sz w:val="22"/>
                <w:highlight w:val="none"/>
              </w:rPr>
              <w:t>分析</w:t>
            </w:r>
            <w:r>
              <w:rPr>
                <w:color w:val="auto"/>
                <w:sz w:val="22"/>
                <w:highlight w:val="none"/>
              </w:rPr>
              <w:t>完整度、针对性、可操作性一般得</w:t>
            </w:r>
            <w:r>
              <w:rPr>
                <w:rFonts w:hint="eastAsia"/>
                <w:color w:val="auto"/>
                <w:sz w:val="22"/>
                <w:highlight w:val="none"/>
              </w:rPr>
              <w:t>3</w:t>
            </w:r>
            <w:r>
              <w:rPr>
                <w:color w:val="auto"/>
                <w:sz w:val="22"/>
                <w:highlight w:val="none"/>
              </w:rPr>
              <w:t>分；</w:t>
            </w:r>
          </w:p>
          <w:p w14:paraId="0A81F661">
            <w:pPr>
              <w:autoSpaceDE w:val="0"/>
              <w:autoSpaceDN w:val="0"/>
              <w:adjustRightInd w:val="0"/>
              <w:rPr>
                <w:color w:val="auto"/>
                <w:sz w:val="22"/>
                <w:highlight w:val="none"/>
              </w:rPr>
            </w:pPr>
            <w:r>
              <w:rPr>
                <w:color w:val="auto"/>
                <w:sz w:val="22"/>
                <w:highlight w:val="none"/>
              </w:rPr>
              <w:t>方案不够完善合理、针对性不足、可操作性弱得</w:t>
            </w:r>
            <w:r>
              <w:rPr>
                <w:rFonts w:hint="eastAsia"/>
                <w:color w:val="auto"/>
                <w:sz w:val="22"/>
                <w:highlight w:val="none"/>
              </w:rPr>
              <w:t>2</w:t>
            </w:r>
            <w:r>
              <w:rPr>
                <w:color w:val="auto"/>
                <w:sz w:val="22"/>
                <w:highlight w:val="none"/>
              </w:rPr>
              <w:t>分</w:t>
            </w:r>
            <w:r>
              <w:rPr>
                <w:rFonts w:hint="eastAsia"/>
                <w:color w:val="auto"/>
                <w:sz w:val="22"/>
                <w:highlight w:val="none"/>
              </w:rPr>
              <w:t>；</w:t>
            </w:r>
          </w:p>
          <w:p w14:paraId="78107070">
            <w:pPr>
              <w:rPr>
                <w:b/>
                <w:bCs/>
                <w:color w:val="auto"/>
                <w:sz w:val="22"/>
                <w:highlight w:val="none"/>
              </w:rPr>
            </w:pPr>
            <w:r>
              <w:rPr>
                <w:color w:val="auto"/>
                <w:sz w:val="22"/>
                <w:highlight w:val="none"/>
              </w:rPr>
              <w:t>本项内容未提供或严重欠缺不得分</w:t>
            </w:r>
            <w:r>
              <w:rPr>
                <w:rFonts w:hint="eastAsia"/>
                <w:color w:val="auto"/>
                <w:sz w:val="22"/>
                <w:highlight w:val="none"/>
              </w:rPr>
              <w:t>。</w:t>
            </w:r>
          </w:p>
        </w:tc>
      </w:tr>
      <w:tr w14:paraId="1A8D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902" w:type="dxa"/>
            <w:vMerge w:val="continue"/>
            <w:vAlign w:val="center"/>
          </w:tcPr>
          <w:p w14:paraId="46778562">
            <w:pPr>
              <w:jc w:val="center"/>
              <w:rPr>
                <w:rFonts w:asciiTheme="majorEastAsia" w:hAnsiTheme="majorEastAsia" w:eastAsiaTheme="majorEastAsia" w:cstheme="majorEastAsia"/>
                <w:color w:val="auto"/>
                <w:sz w:val="22"/>
                <w:highlight w:val="none"/>
              </w:rPr>
            </w:pPr>
          </w:p>
        </w:tc>
        <w:tc>
          <w:tcPr>
            <w:tcW w:w="1234" w:type="dxa"/>
            <w:tcBorders>
              <w:top w:val="single" w:color="auto" w:sz="4" w:space="0"/>
              <w:bottom w:val="single" w:color="auto" w:sz="4" w:space="0"/>
            </w:tcBorders>
            <w:vAlign w:val="center"/>
          </w:tcPr>
          <w:p w14:paraId="046E285B">
            <w:pPr>
              <w:jc w:val="cente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 xml:space="preserve">质量关键点分析 </w:t>
            </w:r>
          </w:p>
        </w:tc>
        <w:tc>
          <w:tcPr>
            <w:tcW w:w="981" w:type="dxa"/>
            <w:tcBorders>
              <w:top w:val="single" w:color="auto" w:sz="4" w:space="0"/>
              <w:bottom w:val="single" w:color="auto" w:sz="4" w:space="0"/>
            </w:tcBorders>
            <w:vAlign w:val="center"/>
          </w:tcPr>
          <w:p w14:paraId="6EB838CC">
            <w:pPr>
              <w:jc w:val="cente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1</w:t>
            </w:r>
            <w:r>
              <w:rPr>
                <w:rFonts w:hint="eastAsia" w:asciiTheme="majorEastAsia" w:hAnsiTheme="majorEastAsia" w:eastAsiaTheme="majorEastAsia" w:cstheme="majorEastAsia"/>
                <w:color w:val="auto"/>
                <w:sz w:val="22"/>
                <w:highlight w:val="none"/>
                <w:lang w:val="en-US" w:eastAsia="zh-CN"/>
              </w:rPr>
              <w:t>2</w:t>
            </w:r>
            <w:r>
              <w:rPr>
                <w:rFonts w:hint="eastAsia" w:asciiTheme="majorEastAsia" w:hAnsiTheme="majorEastAsia" w:eastAsiaTheme="majorEastAsia" w:cstheme="majorEastAsia"/>
                <w:color w:val="auto"/>
                <w:sz w:val="22"/>
                <w:highlight w:val="none"/>
              </w:rPr>
              <w:t>分</w:t>
            </w:r>
          </w:p>
        </w:tc>
        <w:tc>
          <w:tcPr>
            <w:tcW w:w="6798" w:type="dxa"/>
            <w:tcBorders>
              <w:top w:val="single" w:color="auto" w:sz="4" w:space="0"/>
              <w:bottom w:val="single" w:color="auto" w:sz="4" w:space="0"/>
            </w:tcBorders>
            <w:vAlign w:val="center"/>
          </w:tcPr>
          <w:p w14:paraId="1F6F88ED">
            <w:pPr>
              <w:autoSpaceDE w:val="0"/>
              <w:autoSpaceDN w:val="0"/>
              <w:adjustRightInd w:val="0"/>
              <w:rPr>
                <w:color w:val="auto"/>
                <w:sz w:val="22"/>
                <w:highlight w:val="none"/>
              </w:rPr>
            </w:pPr>
            <w:r>
              <w:rPr>
                <w:rFonts w:hint="eastAsia" w:asciiTheme="majorEastAsia" w:hAnsiTheme="majorEastAsia" w:eastAsiaTheme="majorEastAsia" w:cstheme="majorEastAsia"/>
                <w:color w:val="auto"/>
                <w:sz w:val="22"/>
                <w:highlight w:val="none"/>
              </w:rPr>
              <w:t>针对本项目提出的合理化建议</w:t>
            </w:r>
            <w:r>
              <w:rPr>
                <w:rFonts w:hint="eastAsia" w:asciiTheme="majorEastAsia" w:hAnsiTheme="majorEastAsia" w:eastAsiaTheme="majorEastAsia" w:cstheme="majorEastAsia"/>
                <w:color w:val="auto"/>
                <w:sz w:val="22"/>
                <w:highlight w:val="none"/>
              </w:rPr>
              <w:br w:type="textWrapping"/>
            </w:r>
            <w:r>
              <w:rPr>
                <w:color w:val="auto"/>
                <w:sz w:val="22"/>
                <w:highlight w:val="none"/>
              </w:rPr>
              <w:t>方案完善合理、针对性强、</w:t>
            </w:r>
            <w:r>
              <w:rPr>
                <w:rFonts w:hint="eastAsia"/>
                <w:color w:val="auto"/>
                <w:sz w:val="22"/>
                <w:highlight w:val="none"/>
              </w:rPr>
              <w:t>分析</w:t>
            </w:r>
            <w:r>
              <w:rPr>
                <w:color w:val="auto"/>
                <w:sz w:val="22"/>
                <w:highlight w:val="none"/>
              </w:rPr>
              <w:t>到位、切实可行得</w:t>
            </w:r>
            <w:r>
              <w:rPr>
                <w:rFonts w:hint="eastAsia"/>
                <w:color w:val="auto"/>
                <w:sz w:val="22"/>
                <w:highlight w:val="none"/>
                <w:lang w:val="en-US" w:eastAsia="zh-CN"/>
              </w:rPr>
              <w:t>12</w:t>
            </w:r>
            <w:r>
              <w:rPr>
                <w:color w:val="auto"/>
                <w:sz w:val="22"/>
                <w:highlight w:val="none"/>
              </w:rPr>
              <w:t>分；</w:t>
            </w:r>
          </w:p>
          <w:p w14:paraId="48D2D690">
            <w:pPr>
              <w:autoSpaceDE w:val="0"/>
              <w:autoSpaceDN w:val="0"/>
              <w:adjustRightInd w:val="0"/>
              <w:rPr>
                <w:color w:val="auto"/>
                <w:sz w:val="22"/>
                <w:highlight w:val="none"/>
              </w:rPr>
            </w:pPr>
            <w:r>
              <w:rPr>
                <w:color w:val="auto"/>
                <w:sz w:val="22"/>
                <w:highlight w:val="none"/>
              </w:rPr>
              <w:t>方案较完善合理、较有针对性、</w:t>
            </w:r>
            <w:r>
              <w:rPr>
                <w:rFonts w:hint="eastAsia"/>
                <w:color w:val="auto"/>
                <w:sz w:val="22"/>
                <w:highlight w:val="none"/>
              </w:rPr>
              <w:t>分析</w:t>
            </w:r>
            <w:r>
              <w:rPr>
                <w:color w:val="auto"/>
                <w:sz w:val="22"/>
                <w:highlight w:val="none"/>
              </w:rPr>
              <w:t>基本到位、有一定可操作性得</w:t>
            </w:r>
            <w:r>
              <w:rPr>
                <w:rFonts w:hint="eastAsia"/>
                <w:color w:val="auto"/>
                <w:sz w:val="22"/>
                <w:highlight w:val="none"/>
                <w:lang w:val="en-US" w:eastAsia="zh-CN"/>
              </w:rPr>
              <w:t>10</w:t>
            </w:r>
            <w:r>
              <w:rPr>
                <w:color w:val="auto"/>
                <w:sz w:val="22"/>
                <w:highlight w:val="none"/>
              </w:rPr>
              <w:t>分；</w:t>
            </w:r>
          </w:p>
          <w:p w14:paraId="13EA9F0B">
            <w:pPr>
              <w:autoSpaceDE w:val="0"/>
              <w:autoSpaceDN w:val="0"/>
              <w:adjustRightInd w:val="0"/>
              <w:rPr>
                <w:color w:val="auto"/>
                <w:sz w:val="22"/>
                <w:highlight w:val="none"/>
              </w:rPr>
            </w:pPr>
            <w:r>
              <w:rPr>
                <w:color w:val="auto"/>
                <w:sz w:val="22"/>
                <w:highlight w:val="none"/>
              </w:rPr>
              <w:t>方案欠完善合理、</w:t>
            </w:r>
            <w:r>
              <w:rPr>
                <w:rFonts w:hint="eastAsia"/>
                <w:color w:val="auto"/>
                <w:sz w:val="22"/>
                <w:highlight w:val="none"/>
              </w:rPr>
              <w:t>分析</w:t>
            </w:r>
            <w:r>
              <w:rPr>
                <w:color w:val="auto"/>
                <w:sz w:val="22"/>
                <w:highlight w:val="none"/>
              </w:rPr>
              <w:t>完整度、针对性、可操作性一般得</w:t>
            </w:r>
            <w:r>
              <w:rPr>
                <w:rFonts w:hint="eastAsia"/>
                <w:color w:val="auto"/>
                <w:sz w:val="22"/>
                <w:highlight w:val="none"/>
                <w:lang w:val="en-US" w:eastAsia="zh-CN"/>
              </w:rPr>
              <w:t>8</w:t>
            </w:r>
            <w:r>
              <w:rPr>
                <w:color w:val="auto"/>
                <w:sz w:val="22"/>
                <w:highlight w:val="none"/>
              </w:rPr>
              <w:t>分；</w:t>
            </w:r>
          </w:p>
          <w:p w14:paraId="16984DF0">
            <w:pPr>
              <w:autoSpaceDE w:val="0"/>
              <w:autoSpaceDN w:val="0"/>
              <w:adjustRightInd w:val="0"/>
              <w:rPr>
                <w:color w:val="auto"/>
                <w:sz w:val="22"/>
                <w:highlight w:val="none"/>
              </w:rPr>
            </w:pPr>
            <w:r>
              <w:rPr>
                <w:color w:val="auto"/>
                <w:sz w:val="22"/>
                <w:highlight w:val="none"/>
              </w:rPr>
              <w:t>方案不够完善合理、针对性不足、</w:t>
            </w:r>
            <w:r>
              <w:rPr>
                <w:rFonts w:hint="eastAsia"/>
                <w:color w:val="auto"/>
                <w:sz w:val="22"/>
                <w:highlight w:val="none"/>
              </w:rPr>
              <w:t>分析不够到位</w:t>
            </w:r>
            <w:r>
              <w:rPr>
                <w:color w:val="auto"/>
                <w:sz w:val="22"/>
                <w:highlight w:val="none"/>
              </w:rPr>
              <w:t>、可操作性弱得</w:t>
            </w:r>
            <w:r>
              <w:rPr>
                <w:rFonts w:hint="eastAsia"/>
                <w:color w:val="auto"/>
                <w:sz w:val="22"/>
                <w:highlight w:val="none"/>
                <w:lang w:val="en-US" w:eastAsia="zh-CN"/>
              </w:rPr>
              <w:t>6</w:t>
            </w:r>
            <w:r>
              <w:rPr>
                <w:color w:val="auto"/>
                <w:sz w:val="22"/>
                <w:highlight w:val="none"/>
              </w:rPr>
              <w:t>分</w:t>
            </w:r>
            <w:r>
              <w:rPr>
                <w:rFonts w:hint="eastAsia"/>
                <w:color w:val="auto"/>
                <w:sz w:val="22"/>
                <w:highlight w:val="none"/>
              </w:rPr>
              <w:t>；</w:t>
            </w:r>
          </w:p>
          <w:p w14:paraId="19738366">
            <w:pPr>
              <w:rPr>
                <w:rFonts w:asciiTheme="majorEastAsia" w:hAnsiTheme="majorEastAsia" w:eastAsiaTheme="majorEastAsia" w:cstheme="majorEastAsia"/>
                <w:color w:val="auto"/>
                <w:sz w:val="22"/>
                <w:highlight w:val="none"/>
              </w:rPr>
            </w:pPr>
            <w:r>
              <w:rPr>
                <w:color w:val="auto"/>
                <w:sz w:val="22"/>
                <w:highlight w:val="none"/>
              </w:rPr>
              <w:t>本项内容未提供或严重欠缺不得分</w:t>
            </w:r>
            <w:r>
              <w:rPr>
                <w:rFonts w:hint="eastAsia"/>
                <w:color w:val="auto"/>
                <w:sz w:val="22"/>
                <w:highlight w:val="none"/>
              </w:rPr>
              <w:t>。</w:t>
            </w:r>
          </w:p>
        </w:tc>
      </w:tr>
      <w:tr w14:paraId="44A3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902" w:type="dxa"/>
            <w:vMerge w:val="continue"/>
            <w:vAlign w:val="center"/>
          </w:tcPr>
          <w:p w14:paraId="659F9B47">
            <w:pPr>
              <w:jc w:val="center"/>
              <w:rPr>
                <w:rFonts w:asciiTheme="majorEastAsia" w:hAnsiTheme="majorEastAsia" w:eastAsiaTheme="majorEastAsia" w:cstheme="majorEastAsia"/>
                <w:color w:val="auto"/>
                <w:sz w:val="22"/>
                <w:highlight w:val="none"/>
              </w:rPr>
            </w:pPr>
          </w:p>
        </w:tc>
        <w:tc>
          <w:tcPr>
            <w:tcW w:w="1234" w:type="dxa"/>
            <w:tcBorders>
              <w:top w:val="single" w:color="auto" w:sz="4" w:space="0"/>
              <w:bottom w:val="single" w:color="auto" w:sz="4" w:space="0"/>
            </w:tcBorders>
            <w:vAlign w:val="center"/>
          </w:tcPr>
          <w:p w14:paraId="38B6C61F">
            <w:pPr>
              <w:jc w:val="cente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质量保证措施</w:t>
            </w:r>
          </w:p>
        </w:tc>
        <w:tc>
          <w:tcPr>
            <w:tcW w:w="981" w:type="dxa"/>
            <w:tcBorders>
              <w:top w:val="single" w:color="auto" w:sz="4" w:space="0"/>
              <w:bottom w:val="single" w:color="auto" w:sz="4" w:space="0"/>
            </w:tcBorders>
            <w:vAlign w:val="center"/>
          </w:tcPr>
          <w:p w14:paraId="5065199A">
            <w:pPr>
              <w:jc w:val="cente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12分</w:t>
            </w:r>
          </w:p>
        </w:tc>
        <w:tc>
          <w:tcPr>
            <w:tcW w:w="6798" w:type="dxa"/>
            <w:tcBorders>
              <w:top w:val="single" w:color="auto" w:sz="4" w:space="0"/>
              <w:bottom w:val="single" w:color="auto" w:sz="4" w:space="0"/>
            </w:tcBorders>
            <w:vAlign w:val="center"/>
          </w:tcPr>
          <w:p w14:paraId="2A15FF8F">
            <w:pP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质量目标满足招标方要求，有详尽可行的具体落实措施，适用规范、标准、质量检验办法及验收标准由评委进行打分，措施合理、适用标准正确、质量目标满足招标方要求。</w:t>
            </w:r>
          </w:p>
          <w:p w14:paraId="62A91CA3">
            <w:pPr>
              <w:autoSpaceDE w:val="0"/>
              <w:autoSpaceDN w:val="0"/>
              <w:adjustRightInd w:val="0"/>
              <w:rPr>
                <w:color w:val="auto"/>
                <w:sz w:val="22"/>
                <w:highlight w:val="none"/>
              </w:rPr>
            </w:pPr>
            <w:r>
              <w:rPr>
                <w:color w:val="auto"/>
                <w:sz w:val="22"/>
                <w:highlight w:val="none"/>
              </w:rPr>
              <w:t>方案完善合理、针对性强、</w:t>
            </w:r>
            <w:r>
              <w:rPr>
                <w:rFonts w:hint="eastAsia"/>
                <w:color w:val="auto"/>
                <w:sz w:val="22"/>
                <w:highlight w:val="none"/>
              </w:rPr>
              <w:t>分析</w:t>
            </w:r>
            <w:r>
              <w:rPr>
                <w:color w:val="auto"/>
                <w:sz w:val="22"/>
                <w:highlight w:val="none"/>
              </w:rPr>
              <w:t>到位、切实可行得</w:t>
            </w:r>
            <w:r>
              <w:rPr>
                <w:rFonts w:hint="eastAsia"/>
                <w:color w:val="auto"/>
                <w:sz w:val="22"/>
                <w:highlight w:val="none"/>
              </w:rPr>
              <w:t>12</w:t>
            </w:r>
            <w:r>
              <w:rPr>
                <w:color w:val="auto"/>
                <w:sz w:val="22"/>
                <w:highlight w:val="none"/>
              </w:rPr>
              <w:t>分；</w:t>
            </w:r>
          </w:p>
          <w:p w14:paraId="454DA4EF">
            <w:pPr>
              <w:autoSpaceDE w:val="0"/>
              <w:autoSpaceDN w:val="0"/>
              <w:adjustRightInd w:val="0"/>
              <w:rPr>
                <w:color w:val="auto"/>
                <w:sz w:val="22"/>
                <w:highlight w:val="none"/>
              </w:rPr>
            </w:pPr>
            <w:r>
              <w:rPr>
                <w:color w:val="auto"/>
                <w:sz w:val="22"/>
                <w:highlight w:val="none"/>
              </w:rPr>
              <w:t>方案较完善合理、较有针对性、</w:t>
            </w:r>
            <w:r>
              <w:rPr>
                <w:rFonts w:hint="eastAsia"/>
                <w:color w:val="auto"/>
                <w:sz w:val="22"/>
                <w:highlight w:val="none"/>
              </w:rPr>
              <w:t>分析</w:t>
            </w:r>
            <w:r>
              <w:rPr>
                <w:color w:val="auto"/>
                <w:sz w:val="22"/>
                <w:highlight w:val="none"/>
              </w:rPr>
              <w:t>基本到位、有一定可操作性得</w:t>
            </w:r>
            <w:r>
              <w:rPr>
                <w:rFonts w:hint="eastAsia"/>
                <w:color w:val="auto"/>
                <w:sz w:val="22"/>
                <w:highlight w:val="none"/>
              </w:rPr>
              <w:t>10</w:t>
            </w:r>
            <w:r>
              <w:rPr>
                <w:color w:val="auto"/>
                <w:sz w:val="22"/>
                <w:highlight w:val="none"/>
              </w:rPr>
              <w:t>分；</w:t>
            </w:r>
          </w:p>
          <w:p w14:paraId="00FEA0F1">
            <w:pPr>
              <w:autoSpaceDE w:val="0"/>
              <w:autoSpaceDN w:val="0"/>
              <w:adjustRightInd w:val="0"/>
              <w:rPr>
                <w:color w:val="auto"/>
                <w:sz w:val="22"/>
                <w:highlight w:val="none"/>
              </w:rPr>
            </w:pPr>
            <w:r>
              <w:rPr>
                <w:color w:val="auto"/>
                <w:sz w:val="22"/>
                <w:highlight w:val="none"/>
              </w:rPr>
              <w:t>方案欠完善合理、</w:t>
            </w:r>
            <w:r>
              <w:rPr>
                <w:rFonts w:hint="eastAsia"/>
                <w:color w:val="auto"/>
                <w:sz w:val="22"/>
                <w:highlight w:val="none"/>
              </w:rPr>
              <w:t>分析</w:t>
            </w:r>
            <w:r>
              <w:rPr>
                <w:color w:val="auto"/>
                <w:sz w:val="22"/>
                <w:highlight w:val="none"/>
              </w:rPr>
              <w:t>完整度、针对性、可操作性一般得</w:t>
            </w:r>
            <w:r>
              <w:rPr>
                <w:rFonts w:hint="eastAsia"/>
                <w:color w:val="auto"/>
                <w:sz w:val="22"/>
                <w:highlight w:val="none"/>
              </w:rPr>
              <w:t>8</w:t>
            </w:r>
            <w:r>
              <w:rPr>
                <w:color w:val="auto"/>
                <w:sz w:val="22"/>
                <w:highlight w:val="none"/>
              </w:rPr>
              <w:t>分；</w:t>
            </w:r>
          </w:p>
          <w:p w14:paraId="64AE3BF1">
            <w:pPr>
              <w:autoSpaceDE w:val="0"/>
              <w:autoSpaceDN w:val="0"/>
              <w:adjustRightInd w:val="0"/>
              <w:rPr>
                <w:color w:val="auto"/>
                <w:sz w:val="22"/>
                <w:highlight w:val="none"/>
              </w:rPr>
            </w:pPr>
            <w:r>
              <w:rPr>
                <w:color w:val="auto"/>
                <w:sz w:val="22"/>
                <w:highlight w:val="none"/>
              </w:rPr>
              <w:t>方案不够完善合理、针对性不足、</w:t>
            </w:r>
            <w:r>
              <w:rPr>
                <w:rFonts w:hint="eastAsia"/>
                <w:color w:val="auto"/>
                <w:sz w:val="22"/>
                <w:highlight w:val="none"/>
              </w:rPr>
              <w:t>分析不够到位</w:t>
            </w:r>
            <w:r>
              <w:rPr>
                <w:color w:val="auto"/>
                <w:sz w:val="22"/>
                <w:highlight w:val="none"/>
              </w:rPr>
              <w:t>、可操作性弱得</w:t>
            </w:r>
            <w:r>
              <w:rPr>
                <w:rFonts w:hint="eastAsia"/>
                <w:color w:val="auto"/>
                <w:sz w:val="22"/>
                <w:highlight w:val="none"/>
              </w:rPr>
              <w:t>6</w:t>
            </w:r>
            <w:r>
              <w:rPr>
                <w:color w:val="auto"/>
                <w:sz w:val="22"/>
                <w:highlight w:val="none"/>
              </w:rPr>
              <w:t>分</w:t>
            </w:r>
            <w:r>
              <w:rPr>
                <w:rFonts w:hint="eastAsia"/>
                <w:color w:val="auto"/>
                <w:sz w:val="22"/>
                <w:highlight w:val="none"/>
              </w:rPr>
              <w:t>；</w:t>
            </w:r>
          </w:p>
          <w:p w14:paraId="13D6DD99">
            <w:pPr>
              <w:rPr>
                <w:rFonts w:asciiTheme="majorEastAsia" w:hAnsiTheme="majorEastAsia" w:eastAsiaTheme="majorEastAsia" w:cstheme="majorEastAsia"/>
                <w:color w:val="auto"/>
                <w:sz w:val="22"/>
                <w:highlight w:val="none"/>
              </w:rPr>
            </w:pPr>
            <w:r>
              <w:rPr>
                <w:color w:val="auto"/>
                <w:sz w:val="22"/>
                <w:highlight w:val="none"/>
              </w:rPr>
              <w:t>本项内容未提供或严重欠缺不得分</w:t>
            </w:r>
            <w:r>
              <w:rPr>
                <w:rFonts w:hint="eastAsia"/>
                <w:color w:val="auto"/>
                <w:sz w:val="22"/>
                <w:highlight w:val="none"/>
              </w:rPr>
              <w:t>。</w:t>
            </w:r>
          </w:p>
        </w:tc>
      </w:tr>
      <w:tr w14:paraId="385E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902" w:type="dxa"/>
            <w:vMerge w:val="continue"/>
            <w:vAlign w:val="center"/>
          </w:tcPr>
          <w:p w14:paraId="41E6EBC2">
            <w:pPr>
              <w:jc w:val="center"/>
              <w:rPr>
                <w:rFonts w:asciiTheme="majorEastAsia" w:hAnsiTheme="majorEastAsia" w:eastAsiaTheme="majorEastAsia" w:cstheme="majorEastAsia"/>
                <w:color w:val="auto"/>
                <w:sz w:val="22"/>
                <w:highlight w:val="none"/>
              </w:rPr>
            </w:pPr>
          </w:p>
        </w:tc>
        <w:tc>
          <w:tcPr>
            <w:tcW w:w="1234" w:type="dxa"/>
            <w:tcBorders>
              <w:top w:val="single" w:color="auto" w:sz="4" w:space="0"/>
              <w:bottom w:val="single" w:color="auto" w:sz="4" w:space="0"/>
            </w:tcBorders>
            <w:vAlign w:val="center"/>
          </w:tcPr>
          <w:p w14:paraId="2D9CE2AC">
            <w:pPr>
              <w:jc w:val="cente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服务承诺</w:t>
            </w:r>
          </w:p>
        </w:tc>
        <w:tc>
          <w:tcPr>
            <w:tcW w:w="981" w:type="dxa"/>
            <w:tcBorders>
              <w:top w:val="single" w:color="auto" w:sz="4" w:space="0"/>
              <w:bottom w:val="single" w:color="auto" w:sz="4" w:space="0"/>
            </w:tcBorders>
            <w:vAlign w:val="center"/>
          </w:tcPr>
          <w:p w14:paraId="09B1A5DD">
            <w:pPr>
              <w:jc w:val="cente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6分</w:t>
            </w:r>
          </w:p>
        </w:tc>
        <w:tc>
          <w:tcPr>
            <w:tcW w:w="6798" w:type="dxa"/>
            <w:tcBorders>
              <w:top w:val="single" w:color="auto" w:sz="4" w:space="0"/>
              <w:bottom w:val="single" w:color="auto" w:sz="4" w:space="0"/>
            </w:tcBorders>
            <w:vAlign w:val="center"/>
          </w:tcPr>
          <w:p w14:paraId="35E96014">
            <w:pPr>
              <w:autoSpaceDE w:val="0"/>
              <w:autoSpaceDN w:val="0"/>
              <w:adjustRightInd w:val="0"/>
              <w:rPr>
                <w:color w:val="auto"/>
                <w:sz w:val="22"/>
                <w:highlight w:val="none"/>
              </w:rPr>
            </w:pPr>
            <w:r>
              <w:rPr>
                <w:rFonts w:hint="eastAsia" w:asciiTheme="majorEastAsia" w:hAnsiTheme="majorEastAsia" w:eastAsiaTheme="majorEastAsia" w:cstheme="majorEastAsia"/>
                <w:color w:val="auto"/>
                <w:sz w:val="22"/>
                <w:highlight w:val="none"/>
              </w:rPr>
              <w:t>投标供应商针对本项目服务承诺；</w:t>
            </w:r>
            <w:r>
              <w:rPr>
                <w:rFonts w:hint="eastAsia" w:asciiTheme="majorEastAsia" w:hAnsiTheme="majorEastAsia" w:eastAsiaTheme="majorEastAsia" w:cstheme="majorEastAsia"/>
                <w:color w:val="auto"/>
                <w:sz w:val="22"/>
                <w:highlight w:val="none"/>
              </w:rPr>
              <w:br w:type="textWrapping"/>
            </w:r>
            <w:r>
              <w:rPr>
                <w:color w:val="auto"/>
                <w:sz w:val="22"/>
                <w:highlight w:val="none"/>
              </w:rPr>
              <w:t>方案完善合理、针对性强、切实可行得</w:t>
            </w:r>
            <w:r>
              <w:rPr>
                <w:rFonts w:hint="eastAsia"/>
                <w:color w:val="auto"/>
                <w:sz w:val="22"/>
                <w:highlight w:val="none"/>
              </w:rPr>
              <w:t>6</w:t>
            </w:r>
            <w:r>
              <w:rPr>
                <w:color w:val="auto"/>
                <w:sz w:val="22"/>
                <w:highlight w:val="none"/>
              </w:rPr>
              <w:t>分；</w:t>
            </w:r>
          </w:p>
          <w:p w14:paraId="20B14E3C">
            <w:pPr>
              <w:autoSpaceDE w:val="0"/>
              <w:autoSpaceDN w:val="0"/>
              <w:adjustRightInd w:val="0"/>
              <w:rPr>
                <w:color w:val="auto"/>
                <w:sz w:val="22"/>
                <w:highlight w:val="none"/>
              </w:rPr>
            </w:pPr>
            <w:r>
              <w:rPr>
                <w:color w:val="auto"/>
                <w:sz w:val="22"/>
                <w:highlight w:val="none"/>
              </w:rPr>
              <w:t>方案较完善合理、较有针对性、有一定可操作性得</w:t>
            </w:r>
            <w:r>
              <w:rPr>
                <w:rFonts w:hint="eastAsia"/>
                <w:color w:val="auto"/>
                <w:sz w:val="22"/>
                <w:highlight w:val="none"/>
              </w:rPr>
              <w:t>5</w:t>
            </w:r>
            <w:r>
              <w:rPr>
                <w:color w:val="auto"/>
                <w:sz w:val="22"/>
                <w:highlight w:val="none"/>
              </w:rPr>
              <w:t>分；</w:t>
            </w:r>
          </w:p>
          <w:p w14:paraId="60FD77AB">
            <w:pPr>
              <w:autoSpaceDE w:val="0"/>
              <w:autoSpaceDN w:val="0"/>
              <w:adjustRightInd w:val="0"/>
              <w:rPr>
                <w:color w:val="auto"/>
                <w:sz w:val="22"/>
                <w:highlight w:val="none"/>
              </w:rPr>
            </w:pPr>
            <w:r>
              <w:rPr>
                <w:color w:val="auto"/>
                <w:sz w:val="22"/>
                <w:highlight w:val="none"/>
              </w:rPr>
              <w:t>方案欠完善合理、针对性、可操作性一般得</w:t>
            </w:r>
            <w:r>
              <w:rPr>
                <w:rFonts w:hint="eastAsia"/>
                <w:color w:val="auto"/>
                <w:sz w:val="22"/>
                <w:highlight w:val="none"/>
              </w:rPr>
              <w:t>4</w:t>
            </w:r>
            <w:r>
              <w:rPr>
                <w:color w:val="auto"/>
                <w:sz w:val="22"/>
                <w:highlight w:val="none"/>
              </w:rPr>
              <w:t>分；</w:t>
            </w:r>
          </w:p>
          <w:p w14:paraId="736B485F">
            <w:pPr>
              <w:autoSpaceDE w:val="0"/>
              <w:autoSpaceDN w:val="0"/>
              <w:adjustRightInd w:val="0"/>
              <w:rPr>
                <w:color w:val="auto"/>
                <w:sz w:val="22"/>
                <w:highlight w:val="none"/>
              </w:rPr>
            </w:pPr>
            <w:r>
              <w:rPr>
                <w:color w:val="auto"/>
                <w:sz w:val="22"/>
                <w:highlight w:val="none"/>
              </w:rPr>
              <w:t>方案不够完善合理、针对性不足、可操作性弱得</w:t>
            </w:r>
            <w:r>
              <w:rPr>
                <w:rFonts w:hint="eastAsia"/>
                <w:color w:val="auto"/>
                <w:sz w:val="22"/>
                <w:highlight w:val="none"/>
              </w:rPr>
              <w:t>3</w:t>
            </w:r>
            <w:r>
              <w:rPr>
                <w:color w:val="auto"/>
                <w:sz w:val="22"/>
                <w:highlight w:val="none"/>
              </w:rPr>
              <w:t>分</w:t>
            </w:r>
            <w:r>
              <w:rPr>
                <w:rFonts w:hint="eastAsia"/>
                <w:color w:val="auto"/>
                <w:sz w:val="22"/>
                <w:highlight w:val="none"/>
              </w:rPr>
              <w:t>；</w:t>
            </w:r>
          </w:p>
          <w:p w14:paraId="780B51D8">
            <w:pPr>
              <w:rPr>
                <w:rFonts w:asciiTheme="majorEastAsia" w:hAnsiTheme="majorEastAsia" w:eastAsiaTheme="majorEastAsia" w:cstheme="majorEastAsia"/>
                <w:color w:val="auto"/>
                <w:sz w:val="22"/>
                <w:highlight w:val="none"/>
              </w:rPr>
            </w:pPr>
            <w:r>
              <w:rPr>
                <w:color w:val="auto"/>
                <w:sz w:val="22"/>
                <w:highlight w:val="none"/>
              </w:rPr>
              <w:t>本项内容未提供或严重欠缺不得分</w:t>
            </w:r>
            <w:r>
              <w:rPr>
                <w:rFonts w:hint="eastAsia"/>
                <w:color w:val="auto"/>
                <w:sz w:val="22"/>
                <w:highlight w:val="none"/>
              </w:rPr>
              <w:t>。</w:t>
            </w:r>
          </w:p>
        </w:tc>
      </w:tr>
      <w:tr w14:paraId="139E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902" w:type="dxa"/>
            <w:vMerge w:val="continue"/>
            <w:vAlign w:val="center"/>
          </w:tcPr>
          <w:p w14:paraId="35A69A1D">
            <w:pPr>
              <w:jc w:val="center"/>
              <w:rPr>
                <w:rFonts w:asciiTheme="majorEastAsia" w:hAnsiTheme="majorEastAsia" w:eastAsiaTheme="majorEastAsia" w:cstheme="majorEastAsia"/>
                <w:color w:val="auto"/>
                <w:sz w:val="22"/>
                <w:highlight w:val="none"/>
              </w:rPr>
            </w:pPr>
          </w:p>
        </w:tc>
        <w:tc>
          <w:tcPr>
            <w:tcW w:w="1234" w:type="dxa"/>
            <w:tcBorders>
              <w:top w:val="single" w:color="auto" w:sz="4" w:space="0"/>
            </w:tcBorders>
            <w:vAlign w:val="center"/>
          </w:tcPr>
          <w:p w14:paraId="7F4DB220">
            <w:pPr>
              <w:jc w:val="cente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项目参与人员构成</w:t>
            </w:r>
          </w:p>
          <w:p w14:paraId="0CDA26C4">
            <w:pPr>
              <w:jc w:val="center"/>
              <w:rPr>
                <w:rFonts w:asciiTheme="majorEastAsia" w:hAnsiTheme="majorEastAsia" w:eastAsiaTheme="majorEastAsia" w:cstheme="majorEastAsia"/>
                <w:color w:val="auto"/>
                <w:sz w:val="22"/>
                <w:highlight w:val="none"/>
              </w:rPr>
            </w:pPr>
          </w:p>
        </w:tc>
        <w:tc>
          <w:tcPr>
            <w:tcW w:w="981" w:type="dxa"/>
            <w:tcBorders>
              <w:top w:val="single" w:color="auto" w:sz="4" w:space="0"/>
              <w:bottom w:val="single" w:color="auto" w:sz="4" w:space="0"/>
            </w:tcBorders>
            <w:vAlign w:val="center"/>
          </w:tcPr>
          <w:p w14:paraId="54DECBCE">
            <w:pPr>
              <w:jc w:val="cente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lang w:val="en-US" w:eastAsia="zh-CN"/>
              </w:rPr>
              <w:t>12</w:t>
            </w:r>
            <w:r>
              <w:rPr>
                <w:rFonts w:hint="eastAsia" w:asciiTheme="majorEastAsia" w:hAnsiTheme="majorEastAsia" w:eastAsiaTheme="majorEastAsia" w:cstheme="majorEastAsia"/>
                <w:color w:val="auto"/>
                <w:sz w:val="22"/>
                <w:highlight w:val="none"/>
              </w:rPr>
              <w:t>分</w:t>
            </w:r>
          </w:p>
        </w:tc>
        <w:tc>
          <w:tcPr>
            <w:tcW w:w="6798" w:type="dxa"/>
            <w:tcBorders>
              <w:top w:val="single" w:color="auto" w:sz="4" w:space="0"/>
              <w:bottom w:val="single" w:color="auto" w:sz="4" w:space="0"/>
            </w:tcBorders>
            <w:vAlign w:val="center"/>
          </w:tcPr>
          <w:p w14:paraId="1D9D915B">
            <w:pP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根据项目组人员专业配备情况进行打分：</w:t>
            </w:r>
          </w:p>
          <w:p w14:paraId="1FFAB473">
            <w:pP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1）具有林学、风景园林、森林经理学、植物学、土壤学专业的，每个工种专业人员得</w:t>
            </w:r>
            <w:r>
              <w:rPr>
                <w:rFonts w:hint="eastAsia" w:asciiTheme="majorEastAsia" w:hAnsiTheme="majorEastAsia" w:eastAsiaTheme="majorEastAsia" w:cstheme="majorEastAsia"/>
                <w:color w:val="auto"/>
                <w:sz w:val="22"/>
                <w:highlight w:val="none"/>
                <w:lang w:eastAsia="zh-CN"/>
              </w:rPr>
              <w:t>0</w:t>
            </w:r>
            <w:r>
              <w:rPr>
                <w:rFonts w:hint="eastAsia" w:asciiTheme="majorEastAsia" w:hAnsiTheme="majorEastAsia" w:eastAsiaTheme="majorEastAsia" w:cstheme="majorEastAsia"/>
                <w:color w:val="auto"/>
                <w:sz w:val="22"/>
                <w:highlight w:val="none"/>
                <w:lang w:val="en-US" w:eastAsia="zh-CN"/>
              </w:rPr>
              <w:t>.5</w:t>
            </w:r>
            <w:r>
              <w:rPr>
                <w:rFonts w:hint="eastAsia" w:asciiTheme="majorEastAsia" w:hAnsiTheme="majorEastAsia" w:eastAsiaTheme="majorEastAsia" w:cstheme="majorEastAsia"/>
                <w:color w:val="auto"/>
                <w:sz w:val="22"/>
                <w:highlight w:val="none"/>
              </w:rPr>
              <w:t>分，最高得</w:t>
            </w:r>
            <w:r>
              <w:rPr>
                <w:rFonts w:hint="eastAsia" w:asciiTheme="majorEastAsia" w:hAnsiTheme="majorEastAsia" w:eastAsiaTheme="majorEastAsia" w:cstheme="majorEastAsia"/>
                <w:color w:val="auto"/>
                <w:sz w:val="22"/>
                <w:highlight w:val="none"/>
                <w:lang w:eastAsia="zh-CN"/>
              </w:rPr>
              <w:t>2</w:t>
            </w:r>
            <w:r>
              <w:rPr>
                <w:rFonts w:hint="eastAsia" w:asciiTheme="majorEastAsia" w:hAnsiTheme="majorEastAsia" w:eastAsiaTheme="majorEastAsia" w:cstheme="majorEastAsia"/>
                <w:color w:val="auto"/>
                <w:sz w:val="22"/>
                <w:highlight w:val="none"/>
                <w:lang w:val="en-US" w:eastAsia="zh-CN"/>
              </w:rPr>
              <w:t>.5</w:t>
            </w:r>
            <w:r>
              <w:rPr>
                <w:rFonts w:hint="eastAsia" w:asciiTheme="majorEastAsia" w:hAnsiTheme="majorEastAsia" w:eastAsiaTheme="majorEastAsia" w:cstheme="majorEastAsia"/>
                <w:color w:val="auto"/>
                <w:sz w:val="22"/>
                <w:highlight w:val="none"/>
              </w:rPr>
              <w:t>分。每个人只能计算一个专业（以毕业证书或职称证书专业为准），不得重复计算。</w:t>
            </w:r>
          </w:p>
          <w:p w14:paraId="53121736">
            <w:pP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2)职称为高级及以上的(不包含项目负责人)，具有1个得1分，具有中级职称的具有一个得0.5分，累计最高得</w:t>
            </w:r>
            <w:r>
              <w:rPr>
                <w:rFonts w:hint="eastAsia" w:asciiTheme="majorEastAsia" w:hAnsiTheme="majorEastAsia" w:eastAsiaTheme="majorEastAsia" w:cstheme="majorEastAsia"/>
                <w:color w:val="auto"/>
                <w:sz w:val="22"/>
                <w:highlight w:val="none"/>
                <w:lang w:eastAsia="zh-CN"/>
              </w:rPr>
              <w:t>7</w:t>
            </w:r>
            <w:r>
              <w:rPr>
                <w:rFonts w:hint="eastAsia" w:asciiTheme="majorEastAsia" w:hAnsiTheme="majorEastAsia" w:eastAsiaTheme="majorEastAsia" w:cstheme="majorEastAsia"/>
                <w:color w:val="auto"/>
                <w:sz w:val="22"/>
                <w:highlight w:val="none"/>
                <w:lang w:val="en-US" w:eastAsia="zh-CN"/>
              </w:rPr>
              <w:t>.5</w:t>
            </w:r>
            <w:r>
              <w:rPr>
                <w:rFonts w:hint="eastAsia" w:asciiTheme="majorEastAsia" w:hAnsiTheme="majorEastAsia" w:eastAsiaTheme="majorEastAsia" w:cstheme="majorEastAsia"/>
                <w:color w:val="auto"/>
                <w:sz w:val="22"/>
                <w:highlight w:val="none"/>
              </w:rPr>
              <w:t>分。</w:t>
            </w:r>
          </w:p>
          <w:p w14:paraId="52AA5A77">
            <w:pP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color w:val="auto"/>
                <w:sz w:val="22"/>
                <w:highlight w:val="none"/>
              </w:rPr>
              <w:t>3）项目负责人职称：具有工程师职称得</w:t>
            </w:r>
            <w:r>
              <w:rPr>
                <w:rFonts w:hint="eastAsia" w:asciiTheme="majorEastAsia" w:hAnsiTheme="majorEastAsia" w:eastAsiaTheme="majorEastAsia" w:cstheme="majorEastAsia"/>
                <w:color w:val="auto"/>
                <w:sz w:val="22"/>
                <w:highlight w:val="none"/>
                <w:lang w:eastAsia="zh-CN"/>
              </w:rPr>
              <w:t>1</w:t>
            </w:r>
            <w:r>
              <w:rPr>
                <w:rFonts w:hint="eastAsia" w:asciiTheme="majorEastAsia" w:hAnsiTheme="majorEastAsia" w:eastAsiaTheme="majorEastAsia" w:cstheme="majorEastAsia"/>
                <w:color w:val="auto"/>
                <w:sz w:val="22"/>
                <w:highlight w:val="none"/>
              </w:rPr>
              <w:t>分，具有高级及以上工程师职称的得</w:t>
            </w:r>
            <w:r>
              <w:rPr>
                <w:rFonts w:hint="eastAsia" w:asciiTheme="majorEastAsia" w:hAnsiTheme="majorEastAsia" w:eastAsiaTheme="majorEastAsia" w:cstheme="majorEastAsia"/>
                <w:color w:val="auto"/>
                <w:sz w:val="22"/>
                <w:highlight w:val="none"/>
                <w:lang w:val="en-US" w:eastAsia="zh-CN"/>
              </w:rPr>
              <w:t>2</w:t>
            </w:r>
            <w:r>
              <w:rPr>
                <w:rFonts w:hint="eastAsia" w:asciiTheme="majorEastAsia" w:hAnsiTheme="majorEastAsia" w:eastAsiaTheme="majorEastAsia" w:cstheme="majorEastAsia"/>
                <w:color w:val="auto"/>
                <w:sz w:val="22"/>
                <w:highlight w:val="none"/>
              </w:rPr>
              <w:t>分，没有不得分，按最高分计。</w:t>
            </w:r>
          </w:p>
          <w:p w14:paraId="25A78639">
            <w:pPr>
              <w:rPr>
                <w:rFonts w:asciiTheme="majorEastAsia" w:hAnsiTheme="majorEastAsia" w:eastAsiaTheme="majorEastAsia" w:cstheme="majorEastAsia"/>
                <w:color w:val="auto"/>
                <w:sz w:val="22"/>
                <w:highlight w:val="none"/>
              </w:rPr>
            </w:pPr>
            <w:r>
              <w:rPr>
                <w:rFonts w:hint="eastAsia" w:asciiTheme="majorEastAsia" w:hAnsiTheme="majorEastAsia" w:eastAsiaTheme="majorEastAsia" w:cstheme="majorEastAsia"/>
                <w:b/>
                <w:bCs/>
                <w:color w:val="auto"/>
                <w:sz w:val="22"/>
                <w:highlight w:val="none"/>
              </w:rPr>
              <w:t>【注：以上人员评审时提供职称证书扫描件及社保证明材料并加盖公章，否则不得分】</w:t>
            </w:r>
          </w:p>
        </w:tc>
      </w:tr>
    </w:tbl>
    <w:p w14:paraId="628AD30D">
      <w:pPr>
        <w:tabs>
          <w:tab w:val="left" w:pos="2352"/>
        </w:tabs>
        <w:rPr>
          <w:rFonts w:hAnsi="宋体" w:cs="宋体"/>
          <w:bCs/>
          <w:color w:val="auto"/>
          <w:sz w:val="22"/>
          <w:highlight w:val="none"/>
        </w:rPr>
      </w:pPr>
    </w:p>
    <w:p w14:paraId="2C35BD98">
      <w:pPr>
        <w:pStyle w:val="10"/>
        <w:tabs>
          <w:tab w:val="left" w:pos="1069"/>
          <w:tab w:val="left" w:pos="2352"/>
        </w:tabs>
        <w:adjustRightInd w:val="0"/>
        <w:snapToGrid w:val="0"/>
        <w:spacing w:line="420" w:lineRule="exact"/>
        <w:jc w:val="center"/>
        <w:rPr>
          <w:rFonts w:hAnsi="宋体" w:cs="宋体"/>
          <w:b/>
          <w:bCs/>
          <w:color w:val="auto"/>
          <w:sz w:val="22"/>
          <w:szCs w:val="22"/>
          <w:highlight w:val="none"/>
        </w:rPr>
      </w:pPr>
      <w:bookmarkStart w:id="93" w:name="_Toc18541_WPSOffice_Level2"/>
      <w:r>
        <w:rPr>
          <w:rFonts w:hint="eastAsia" w:hAnsi="宋体" w:cs="宋体"/>
          <w:b/>
          <w:bCs/>
          <w:color w:val="auto"/>
          <w:sz w:val="22"/>
          <w:szCs w:val="22"/>
          <w:highlight w:val="none"/>
        </w:rPr>
        <w:t>五、说明</w:t>
      </w:r>
      <w:bookmarkEnd w:id="93"/>
    </w:p>
    <w:p w14:paraId="71657575">
      <w:pPr>
        <w:pStyle w:val="10"/>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1、每个供应商最终得分=商务技术分值（所有评审小组成员打分的算术平均值）＋报价分值。</w:t>
      </w:r>
    </w:p>
    <w:p w14:paraId="5C296800">
      <w:pPr>
        <w:pStyle w:val="10"/>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2、评审小组推荐综合得分第一名的供应商为中标（成交）供应商，如果得分相同的，按投标报价由低到高顺序排列，得分且报价均相同的，按商务技术得分由高到低排列。</w:t>
      </w:r>
    </w:p>
    <w:p w14:paraId="011B736B">
      <w:pPr>
        <w:pStyle w:val="10"/>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3、所有分值计算保留小数点后二位，小数点后三位四舍五入。</w:t>
      </w:r>
    </w:p>
    <w:p w14:paraId="296D0B63">
      <w:pPr>
        <w:pStyle w:val="10"/>
        <w:tabs>
          <w:tab w:val="left" w:pos="1069"/>
          <w:tab w:val="left" w:pos="2352"/>
        </w:tabs>
        <w:adjustRightInd w:val="0"/>
        <w:snapToGrid w:val="0"/>
        <w:spacing w:line="440" w:lineRule="atLeast"/>
        <w:rPr>
          <w:rFonts w:hAnsi="宋体" w:cs="宋体"/>
          <w:color w:val="auto"/>
          <w:sz w:val="22"/>
          <w:highlight w:val="none"/>
        </w:rPr>
      </w:pPr>
      <w:r>
        <w:rPr>
          <w:rFonts w:hint="eastAsia" w:hAnsi="宋体" w:cs="宋体"/>
          <w:color w:val="auto"/>
          <w:sz w:val="22"/>
          <w:highlight w:val="none"/>
        </w:rPr>
        <w:t>参见本竞争性磋商文件第三部分：“供应商须知”中的相关内容，未尽事宜按有关法律规定处理。</w:t>
      </w:r>
    </w:p>
    <w:p w14:paraId="7F871B86">
      <w:pPr>
        <w:tabs>
          <w:tab w:val="left" w:pos="2352"/>
        </w:tabs>
        <w:rPr>
          <w:color w:val="auto"/>
          <w:highlight w:val="none"/>
        </w:rPr>
      </w:pPr>
    </w:p>
    <w:sectPr>
      <w:headerReference r:id="rId9" w:type="first"/>
      <w:footerReference r:id="rId11" w:type="first"/>
      <w:headerReference r:id="rId8" w:type="default"/>
      <w:footerReference r:id="rId10" w:type="default"/>
      <w:pgSz w:w="11906" w:h="16838"/>
      <w:pgMar w:top="1440" w:right="1247" w:bottom="1440" w:left="1247" w:header="851" w:footer="992" w:gutter="0"/>
      <w:cols w:space="720" w:num="1"/>
      <w:titlePg/>
      <w:docGrid w:type="linesAndChars" w:linePitch="317" w:charSpace="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entury Gothic">
    <w:panose1 w:val="020B0502020202020204"/>
    <w:charset w:val="00"/>
    <w:family w:val="swiss"/>
    <w:pitch w:val="default"/>
    <w:sig w:usb0="00000287" w:usb1="00000000" w:usb2="00000000" w:usb3="00000000" w:csb0="2000009F" w:csb1="DFD70000"/>
  </w:font>
  <w:font w:name="长城仿宋">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auto"/>
    <w:pitch w:val="default"/>
    <w:sig w:usb0="800002BF" w:usb1="38CF7CFA" w:usb2="00000016"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FC4E6">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667B1">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FF161D">
                          <w:pPr>
                            <w:pStyle w:val="13"/>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44FF161D">
                    <w:pPr>
                      <w:pStyle w:val="1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A2912">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8EF737">
                          <w:pPr>
                            <w:pStyle w:val="13"/>
                          </w:pPr>
                          <w:r>
                            <w:fldChar w:fldCharType="begin"/>
                          </w:r>
                          <w:r>
                            <w:instrText xml:space="preserve"> PAGE  \* MERGEFORMAT </w:instrText>
                          </w:r>
                          <w:r>
                            <w:fldChar w:fldCharType="separate"/>
                          </w:r>
                          <w:r>
                            <w:t>49</w:t>
                          </w:r>
                          <w:r>
                            <w:fldChar w:fldCharType="end"/>
                          </w:r>
                        </w:p>
                      </w:txbxContent>
                    </wps:txbx>
                    <wps:bodyPr wrap="none" lIns="0" tIns="0" rIns="0" bIns="0">
                      <a:spAutoFit/>
                    </wps:bodyPr>
                  </wps:wsp>
                </a:graphicData>
              </a:graphic>
            </wp:anchor>
          </w:drawing>
        </mc:Choice>
        <mc:Fallback>
          <w:pict>
            <v:shape id="文本框 206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PcXkGwwEAAJADAAAOAAAAAAAAAAEAIAAAAB4BAABkcnMvZTJvRG9jLnhtbFBL&#10;BQYAAAAABgAGAFkBAABTBQAAAAA=&#10;">
              <v:fill on="f" focussize="0,0"/>
              <v:stroke on="f"/>
              <v:imagedata o:title=""/>
              <o:lock v:ext="edit" aspectratio="f"/>
              <v:textbox inset="0mm,0mm,0mm,0mm" style="mso-fit-shape-to-text:t;">
                <w:txbxContent>
                  <w:p w14:paraId="2E8EF737">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DA426">
    <w:pPr>
      <w:pStyle w:val="13"/>
      <w:tabs>
        <w:tab w:val="left" w:pos="4620"/>
        <w:tab w:val="clear" w:pos="4153"/>
      </w:tabs>
      <w:jc w:val="center"/>
      <w:rPr>
        <w:rFonts w:asci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E86F0F">
                          <w:pPr>
                            <w:pStyle w:val="13"/>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文本框 206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PnICPrFAQAAkAMAAA4AAAAAAAAAAQAgAAAAHgEAAGRycy9lMm9Eb2MueG1s&#10;UEsFBgAAAAAGAAYAWQEAAFUFAAAAAA==&#10;">
              <v:fill on="f" focussize="0,0"/>
              <v:stroke on="f"/>
              <v:imagedata o:title=""/>
              <o:lock v:ext="edit" aspectratio="f"/>
              <v:textbox inset="0mm,0mm,0mm,0mm" style="mso-fit-shape-to-text:t;">
                <w:txbxContent>
                  <w:p w14:paraId="4BE86F0F">
                    <w:pPr>
                      <w:pStyle w:val="1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F6211">
    <w:pPr>
      <w:pStyle w:val="15"/>
      <w:pBdr>
        <w:top w:val="none" w:color="auto" w:sz="0" w:space="0"/>
        <w:left w:val="none" w:color="auto" w:sz="0" w:space="0"/>
        <w:bottom w:val="none" w:color="auto" w:sz="0" w:space="0"/>
        <w:right w:val="none" w:color="auto" w:sz="0" w:space="0"/>
      </w:pBdr>
      <w:rPr>
        <w:u w:val="single"/>
      </w:rPr>
    </w:pPr>
    <w:r>
      <w:rPr>
        <w:u w:val="single"/>
      </w:rPr>
      <w:drawing>
        <wp:inline distT="0" distB="0" distL="114300" distR="114300">
          <wp:extent cx="325755" cy="273050"/>
          <wp:effectExtent l="0" t="0" r="7620" b="3175"/>
          <wp:docPr id="6"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16"/>
        <w:szCs w:val="16"/>
        <w:u w:val="single"/>
      </w:rPr>
      <w:t>杭州华旗招标代理有限公司</w:t>
    </w:r>
    <w:r>
      <w:rPr>
        <w:rFonts w:hint="eastAsia"/>
        <w:sz w:val="16"/>
        <w:szCs w:val="16"/>
        <w:u w:val="single"/>
      </w:rPr>
      <w:t xml:space="preserve"> </w:t>
    </w:r>
    <w:r>
      <w:rPr>
        <w:rFonts w:hint="eastAsia"/>
        <w:sz w:val="18"/>
        <w:szCs w:val="18"/>
        <w:u w:val="single"/>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454CB">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C6446">
    <w:pPr>
      <w:pStyle w:val="15"/>
    </w:pPr>
    <w:r>
      <w:rPr>
        <w:u w:val="single"/>
      </w:rPr>
      <w:drawing>
        <wp:inline distT="0" distB="0" distL="114300" distR="114300">
          <wp:extent cx="325755" cy="273050"/>
          <wp:effectExtent l="0" t="0" r="7620" b="3175"/>
          <wp:docPr id="5"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21"/>
        <w:szCs w:val="21"/>
        <w:u w:val="single"/>
      </w:rPr>
      <w:t>杭州华旗招标代理有限公司</w:t>
    </w:r>
    <w:r>
      <w:rPr>
        <w:rFonts w:hint="eastAsia"/>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E38BA">
    <w:pPr>
      <w:pStyle w:val="15"/>
      <w:rPr>
        <w:u w:val="single"/>
      </w:rPr>
    </w:pPr>
    <w:r>
      <w:rPr>
        <w:sz w:val="18"/>
        <w:szCs w:val="18"/>
        <w:u w:val="single"/>
      </w:rPr>
      <w:drawing>
        <wp:inline distT="0" distB="0" distL="114300" distR="114300">
          <wp:extent cx="325755" cy="273050"/>
          <wp:effectExtent l="0" t="0" r="7620" b="3175"/>
          <wp:docPr id="7"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标志"/>
                  <pic:cNvPicPr>
                    <a:picLocks noChangeAspect="1"/>
                  </pic:cNvPicPr>
                </pic:nvPicPr>
                <pic:blipFill>
                  <a:blip r:embed="rId1"/>
                  <a:stretch>
                    <a:fillRect/>
                  </a:stretch>
                </pic:blipFill>
                <pic:spPr>
                  <a:xfrm>
                    <a:off x="0" y="0"/>
                    <a:ext cx="325755" cy="273050"/>
                  </a:xfrm>
                  <a:prstGeom prst="rect">
                    <a:avLst/>
                  </a:prstGeom>
                  <a:noFill/>
                  <a:ln>
                    <a:noFill/>
                  </a:ln>
                </pic:spPr>
              </pic:pic>
            </a:graphicData>
          </a:graphic>
        </wp:inline>
      </w:drawing>
    </w:r>
    <w:r>
      <w:rPr>
        <w:rFonts w:hint="eastAsia"/>
        <w:b/>
        <w:sz w:val="18"/>
        <w:szCs w:val="18"/>
        <w:u w:val="single"/>
      </w:rPr>
      <w:t>杭州华旗招标代理有限公司</w:t>
    </w:r>
    <w:r>
      <w:rPr>
        <w:rFonts w:hint="eastAsia"/>
        <w:sz w:val="18"/>
        <w:szCs w:val="18"/>
        <w:u w:val="single"/>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22CD7">
    <w:pPr>
      <w:pStyle w:val="15"/>
      <w:pBdr>
        <w:top w:val="none" w:color="auto" w:sz="0" w:space="0"/>
        <w:left w:val="none" w:color="auto" w:sz="0" w:space="0"/>
        <w:bottom w:val="none" w:color="auto" w:sz="0" w:space="0"/>
        <w:right w:val="none" w:color="auto" w:sz="0" w:space="0"/>
      </w:pBdr>
      <w:rPr>
        <w:rFonts w:ascii="宋体"/>
        <w:u w:val="single"/>
      </w:rPr>
    </w:pPr>
    <w:r>
      <w:rPr>
        <w:u w:val="single"/>
      </w:rPr>
      <w:drawing>
        <wp:inline distT="0" distB="0" distL="114300" distR="114300">
          <wp:extent cx="345440" cy="288925"/>
          <wp:effectExtent l="0" t="0" r="6985" b="6350"/>
          <wp:docPr id="8"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公司标志"/>
                  <pic:cNvPicPr>
                    <a:picLocks noChangeAspect="1"/>
                  </pic:cNvPicPr>
                </pic:nvPicPr>
                <pic:blipFill>
                  <a:blip r:embed="rId1"/>
                  <a:stretch>
                    <a:fillRect/>
                  </a:stretch>
                </pic:blipFill>
                <pic:spPr>
                  <a:xfrm>
                    <a:off x="0" y="0"/>
                    <a:ext cx="345440" cy="288925"/>
                  </a:xfrm>
                  <a:prstGeom prst="rect">
                    <a:avLst/>
                  </a:prstGeom>
                  <a:noFill/>
                  <a:ln>
                    <a:noFill/>
                  </a:ln>
                </pic:spPr>
              </pic:pic>
            </a:graphicData>
          </a:graphic>
        </wp:inline>
      </w:drawing>
    </w:r>
    <w:r>
      <w:rPr>
        <w:rFonts w:hint="eastAsia"/>
        <w:b/>
        <w:sz w:val="21"/>
        <w:szCs w:val="21"/>
        <w:u w:val="single"/>
      </w:rPr>
      <w:t>杭州华旗招标代理有限公司</w:t>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0DA20"/>
    <w:multiLevelType w:val="singleLevel"/>
    <w:tmpl w:val="9730DA20"/>
    <w:lvl w:ilvl="0" w:tentative="0">
      <w:start w:val="8"/>
      <w:numFmt w:val="chineseCounting"/>
      <w:suff w:val="nothing"/>
      <w:lvlText w:val="%1、"/>
      <w:lvlJc w:val="left"/>
      <w:rPr>
        <w:rFonts w:hint="eastAsia"/>
      </w:rPr>
    </w:lvl>
  </w:abstractNum>
  <w:abstractNum w:abstractNumId="1">
    <w:nsid w:val="DDC374CF"/>
    <w:multiLevelType w:val="singleLevel"/>
    <w:tmpl w:val="DDC374CF"/>
    <w:lvl w:ilvl="0" w:tentative="0">
      <w:start w:val="1"/>
      <w:numFmt w:val="decimal"/>
      <w:lvlText w:val="%1."/>
      <w:lvlJc w:val="left"/>
      <w:pPr>
        <w:ind w:left="425" w:hanging="425"/>
      </w:pPr>
      <w:rPr>
        <w:rFonts w:hint="default"/>
      </w:rPr>
    </w:lvl>
  </w:abstractNum>
  <w:abstractNum w:abstractNumId="2">
    <w:nsid w:val="FBB0A722"/>
    <w:multiLevelType w:val="singleLevel"/>
    <w:tmpl w:val="FBB0A722"/>
    <w:lvl w:ilvl="0" w:tentative="0">
      <w:start w:val="4"/>
      <w:numFmt w:val="chineseCounting"/>
      <w:suff w:val="nothing"/>
      <w:lvlText w:val="%1、"/>
      <w:lvlJc w:val="left"/>
      <w:rPr>
        <w:rFonts w:hint="eastAsia"/>
      </w:rPr>
    </w:lvl>
  </w:abstractNum>
  <w:abstractNum w:abstractNumId="3">
    <w:nsid w:val="00000002"/>
    <w:multiLevelType w:val="singleLevel"/>
    <w:tmpl w:val="00000002"/>
    <w:lvl w:ilvl="0" w:tentative="0">
      <w:start w:val="1"/>
      <w:numFmt w:val="decimal"/>
      <w:suff w:val="space"/>
      <w:lvlText w:val="%1."/>
      <w:lvlJc w:val="left"/>
    </w:lvl>
  </w:abstractNum>
  <w:abstractNum w:abstractNumId="4">
    <w:nsid w:val="00000016"/>
    <w:multiLevelType w:val="multilevel"/>
    <w:tmpl w:val="00000016"/>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5">
    <w:nsid w:val="354B6551"/>
    <w:multiLevelType w:val="singleLevel"/>
    <w:tmpl w:val="354B6551"/>
    <w:lvl w:ilvl="0" w:tentative="0">
      <w:start w:val="1"/>
      <w:numFmt w:val="decimal"/>
      <w:lvlText w:val="%1."/>
      <w:lvlJc w:val="left"/>
      <w:pPr>
        <w:tabs>
          <w:tab w:val="left" w:pos="312"/>
        </w:tabs>
      </w:pPr>
    </w:lvl>
  </w:abstractNum>
  <w:abstractNum w:abstractNumId="6">
    <w:nsid w:val="3EF4D7FB"/>
    <w:multiLevelType w:val="singleLevel"/>
    <w:tmpl w:val="3EF4D7FB"/>
    <w:lvl w:ilvl="0" w:tentative="0">
      <w:start w:val="3"/>
      <w:numFmt w:val="decimal"/>
      <w:suff w:val="nothing"/>
      <w:lvlText w:val="%1、"/>
      <w:lvlJc w:val="left"/>
      <w:rPr>
        <w:rFonts w:cs="Times New Roman"/>
      </w:rPr>
    </w:lvl>
  </w:abstractNum>
  <w:abstractNum w:abstractNumId="7">
    <w:nsid w:val="599289D4"/>
    <w:multiLevelType w:val="singleLevel"/>
    <w:tmpl w:val="599289D4"/>
    <w:lvl w:ilvl="0" w:tentative="0">
      <w:start w:val="1"/>
      <w:numFmt w:val="decimal"/>
      <w:lvlText w:val="%1."/>
      <w:lvlJc w:val="left"/>
      <w:pPr>
        <w:ind w:left="425" w:hanging="425"/>
      </w:pPr>
      <w:rPr>
        <w:rFonts w:hint="default"/>
      </w:rPr>
    </w:lvl>
  </w:abstractNum>
  <w:abstractNum w:abstractNumId="8">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9">
    <w:nsid w:val="69A5B887"/>
    <w:multiLevelType w:val="singleLevel"/>
    <w:tmpl w:val="69A5B887"/>
    <w:lvl w:ilvl="0" w:tentative="0">
      <w:start w:val="1"/>
      <w:numFmt w:val="decimal"/>
      <w:suff w:val="nothing"/>
      <w:lvlText w:val="%1、"/>
      <w:lvlJc w:val="left"/>
    </w:lvl>
  </w:abstractNum>
  <w:num w:numId="1">
    <w:abstractNumId w:val="4"/>
  </w:num>
  <w:num w:numId="2">
    <w:abstractNumId w:val="9"/>
  </w:num>
  <w:num w:numId="3">
    <w:abstractNumId w:val="6"/>
  </w:num>
  <w:num w:numId="4">
    <w:abstractNumId w:val="7"/>
  </w:num>
  <w:num w:numId="5">
    <w:abstractNumId w:val="8"/>
  </w:num>
  <w:num w:numId="6">
    <w:abstractNumId w:val="1"/>
  </w:num>
  <w:num w:numId="7">
    <w:abstractNumId w:val="3"/>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dit="forms" w:formatting="1" w:enforcement="1" w:cryptProviderType="rsaFull" w:cryptAlgorithmClass="hash" w:cryptAlgorithmType="typeAny" w:cryptAlgorithmSid="4" w:cryptSpinCount="0" w:hash="ETjn3boUYuZkedxvHpdSDqEhNtE=" w:salt="Xyr1AaUns4nev+gHvryeKA=="/>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jk0ZGYzYzk1OTZiYzA2NTYwZTg1ODY0OGMwOGEifQ=="/>
    <w:docVar w:name="KSO_WPS_MARK_KEY" w:val="07e88ac6-8db8-4a65-8d94-f4c00e658b2e"/>
  </w:docVars>
  <w:rsids>
    <w:rsidRoot w:val="004F60FC"/>
    <w:rsid w:val="00023435"/>
    <w:rsid w:val="00091417"/>
    <w:rsid w:val="000B1F15"/>
    <w:rsid w:val="000C043C"/>
    <w:rsid w:val="00106D69"/>
    <w:rsid w:val="00160D18"/>
    <w:rsid w:val="001A50EC"/>
    <w:rsid w:val="001D49DD"/>
    <w:rsid w:val="002173E9"/>
    <w:rsid w:val="00297DC5"/>
    <w:rsid w:val="002D48AB"/>
    <w:rsid w:val="00372055"/>
    <w:rsid w:val="00391E34"/>
    <w:rsid w:val="004253EB"/>
    <w:rsid w:val="0045081A"/>
    <w:rsid w:val="004619BD"/>
    <w:rsid w:val="004674B6"/>
    <w:rsid w:val="004726D8"/>
    <w:rsid w:val="00497A01"/>
    <w:rsid w:val="004F60FC"/>
    <w:rsid w:val="0052214B"/>
    <w:rsid w:val="00570F07"/>
    <w:rsid w:val="005E4E2E"/>
    <w:rsid w:val="00607FC1"/>
    <w:rsid w:val="006609EF"/>
    <w:rsid w:val="0066330D"/>
    <w:rsid w:val="006A7B87"/>
    <w:rsid w:val="006F7683"/>
    <w:rsid w:val="0076486D"/>
    <w:rsid w:val="00780FC2"/>
    <w:rsid w:val="008E57EA"/>
    <w:rsid w:val="009513F3"/>
    <w:rsid w:val="00A54CAA"/>
    <w:rsid w:val="00A56D88"/>
    <w:rsid w:val="00B22860"/>
    <w:rsid w:val="00B249B7"/>
    <w:rsid w:val="00B459C4"/>
    <w:rsid w:val="00B932F4"/>
    <w:rsid w:val="00BA57B7"/>
    <w:rsid w:val="00BF2E34"/>
    <w:rsid w:val="00C053D9"/>
    <w:rsid w:val="00C13B4A"/>
    <w:rsid w:val="00C217FC"/>
    <w:rsid w:val="00C5319B"/>
    <w:rsid w:val="00D408FA"/>
    <w:rsid w:val="00D7119F"/>
    <w:rsid w:val="00E2309A"/>
    <w:rsid w:val="00F20EA6"/>
    <w:rsid w:val="00F61B81"/>
    <w:rsid w:val="00FA6280"/>
    <w:rsid w:val="01603061"/>
    <w:rsid w:val="02304097"/>
    <w:rsid w:val="02583949"/>
    <w:rsid w:val="03147BC1"/>
    <w:rsid w:val="04E46D57"/>
    <w:rsid w:val="051C746F"/>
    <w:rsid w:val="05EC6F3E"/>
    <w:rsid w:val="0612468B"/>
    <w:rsid w:val="07264835"/>
    <w:rsid w:val="07A23F20"/>
    <w:rsid w:val="07DB2D71"/>
    <w:rsid w:val="097C674F"/>
    <w:rsid w:val="09BC2D71"/>
    <w:rsid w:val="09C5110F"/>
    <w:rsid w:val="09E35CE4"/>
    <w:rsid w:val="0AC6281A"/>
    <w:rsid w:val="0B8C09BB"/>
    <w:rsid w:val="0C1267C6"/>
    <w:rsid w:val="0D500D26"/>
    <w:rsid w:val="0D615415"/>
    <w:rsid w:val="0E1D0289"/>
    <w:rsid w:val="0E234421"/>
    <w:rsid w:val="0E336A63"/>
    <w:rsid w:val="0E3A5799"/>
    <w:rsid w:val="0EF4695B"/>
    <w:rsid w:val="0FBE7A18"/>
    <w:rsid w:val="111A3546"/>
    <w:rsid w:val="11567578"/>
    <w:rsid w:val="1286080A"/>
    <w:rsid w:val="12DB3C9D"/>
    <w:rsid w:val="136A29F0"/>
    <w:rsid w:val="142360B8"/>
    <w:rsid w:val="14FC0FA6"/>
    <w:rsid w:val="156C2EC6"/>
    <w:rsid w:val="15851759"/>
    <w:rsid w:val="165E3157"/>
    <w:rsid w:val="177978A3"/>
    <w:rsid w:val="17B472A4"/>
    <w:rsid w:val="17C10B62"/>
    <w:rsid w:val="17E56F60"/>
    <w:rsid w:val="17F124E3"/>
    <w:rsid w:val="194F1722"/>
    <w:rsid w:val="1B3306B6"/>
    <w:rsid w:val="1B8847D2"/>
    <w:rsid w:val="1C33621A"/>
    <w:rsid w:val="1C36331D"/>
    <w:rsid w:val="1D707EA3"/>
    <w:rsid w:val="1EF57228"/>
    <w:rsid w:val="203B617F"/>
    <w:rsid w:val="206967F2"/>
    <w:rsid w:val="20FB29C9"/>
    <w:rsid w:val="2107515C"/>
    <w:rsid w:val="21315848"/>
    <w:rsid w:val="21B707B2"/>
    <w:rsid w:val="227B5C0F"/>
    <w:rsid w:val="22C36646"/>
    <w:rsid w:val="23B6546E"/>
    <w:rsid w:val="244D0E6E"/>
    <w:rsid w:val="25064ADB"/>
    <w:rsid w:val="251E5786"/>
    <w:rsid w:val="25277F29"/>
    <w:rsid w:val="261A5207"/>
    <w:rsid w:val="26492DAF"/>
    <w:rsid w:val="26CD1C32"/>
    <w:rsid w:val="27D35027"/>
    <w:rsid w:val="28137B19"/>
    <w:rsid w:val="2A2D2A30"/>
    <w:rsid w:val="2B102DA4"/>
    <w:rsid w:val="2D03015C"/>
    <w:rsid w:val="2D7C4BE2"/>
    <w:rsid w:val="2E9C6C6E"/>
    <w:rsid w:val="2F051B36"/>
    <w:rsid w:val="2FE340B7"/>
    <w:rsid w:val="30913CD1"/>
    <w:rsid w:val="311E58BA"/>
    <w:rsid w:val="313E73BD"/>
    <w:rsid w:val="339A4224"/>
    <w:rsid w:val="340F2862"/>
    <w:rsid w:val="349027AE"/>
    <w:rsid w:val="34CF157B"/>
    <w:rsid w:val="353E6CD0"/>
    <w:rsid w:val="371D7C1F"/>
    <w:rsid w:val="379F6F0D"/>
    <w:rsid w:val="37D14649"/>
    <w:rsid w:val="37F54B45"/>
    <w:rsid w:val="38B646B9"/>
    <w:rsid w:val="38CD349A"/>
    <w:rsid w:val="39111E53"/>
    <w:rsid w:val="39382F3B"/>
    <w:rsid w:val="3976376D"/>
    <w:rsid w:val="397B7E11"/>
    <w:rsid w:val="399D36E6"/>
    <w:rsid w:val="39B747A8"/>
    <w:rsid w:val="39DB63D0"/>
    <w:rsid w:val="3A3633B4"/>
    <w:rsid w:val="3A4B7A64"/>
    <w:rsid w:val="3AE34E80"/>
    <w:rsid w:val="3B0C350F"/>
    <w:rsid w:val="3BC24658"/>
    <w:rsid w:val="3D813F9B"/>
    <w:rsid w:val="3E2D7CCF"/>
    <w:rsid w:val="3E3102AB"/>
    <w:rsid w:val="3FA22F1E"/>
    <w:rsid w:val="412A7199"/>
    <w:rsid w:val="41677CC5"/>
    <w:rsid w:val="41765DD5"/>
    <w:rsid w:val="44904AEE"/>
    <w:rsid w:val="44F01788"/>
    <w:rsid w:val="456606D9"/>
    <w:rsid w:val="45860F7B"/>
    <w:rsid w:val="45F5336E"/>
    <w:rsid w:val="46014823"/>
    <w:rsid w:val="46152F39"/>
    <w:rsid w:val="47BC2F72"/>
    <w:rsid w:val="488A4131"/>
    <w:rsid w:val="493A685C"/>
    <w:rsid w:val="499C16AC"/>
    <w:rsid w:val="49D373CD"/>
    <w:rsid w:val="49F106F9"/>
    <w:rsid w:val="4B9C55AC"/>
    <w:rsid w:val="4C967B61"/>
    <w:rsid w:val="4CC23448"/>
    <w:rsid w:val="4D065F7A"/>
    <w:rsid w:val="4D666E75"/>
    <w:rsid w:val="4E0C7542"/>
    <w:rsid w:val="4EA2615B"/>
    <w:rsid w:val="4EBB56AA"/>
    <w:rsid w:val="4ED03E2A"/>
    <w:rsid w:val="4F4C553B"/>
    <w:rsid w:val="4F5675D7"/>
    <w:rsid w:val="4FB503C8"/>
    <w:rsid w:val="4FEA67E9"/>
    <w:rsid w:val="50777615"/>
    <w:rsid w:val="50865111"/>
    <w:rsid w:val="527305F3"/>
    <w:rsid w:val="53E867BD"/>
    <w:rsid w:val="541E5346"/>
    <w:rsid w:val="549E2C25"/>
    <w:rsid w:val="54E87AB4"/>
    <w:rsid w:val="567970CB"/>
    <w:rsid w:val="56AC1CAB"/>
    <w:rsid w:val="57415546"/>
    <w:rsid w:val="5747701F"/>
    <w:rsid w:val="58543536"/>
    <w:rsid w:val="58B2640F"/>
    <w:rsid w:val="591D33F7"/>
    <w:rsid w:val="59CF47E5"/>
    <w:rsid w:val="5A186745"/>
    <w:rsid w:val="5A774440"/>
    <w:rsid w:val="5B110FC0"/>
    <w:rsid w:val="5B3351F8"/>
    <w:rsid w:val="5C0A1FAF"/>
    <w:rsid w:val="5C415E64"/>
    <w:rsid w:val="5CC52615"/>
    <w:rsid w:val="5CE442B2"/>
    <w:rsid w:val="5CF87471"/>
    <w:rsid w:val="5D04165A"/>
    <w:rsid w:val="5D692859"/>
    <w:rsid w:val="5DF2511F"/>
    <w:rsid w:val="5EAF7DBE"/>
    <w:rsid w:val="5EDB55D1"/>
    <w:rsid w:val="5F3D3E70"/>
    <w:rsid w:val="5F5801E1"/>
    <w:rsid w:val="6092669C"/>
    <w:rsid w:val="61044DE8"/>
    <w:rsid w:val="61056E3D"/>
    <w:rsid w:val="612E1D3E"/>
    <w:rsid w:val="6131287E"/>
    <w:rsid w:val="61AF49EB"/>
    <w:rsid w:val="621F4BCC"/>
    <w:rsid w:val="627666FF"/>
    <w:rsid w:val="629E17B2"/>
    <w:rsid w:val="632E1990"/>
    <w:rsid w:val="643402DA"/>
    <w:rsid w:val="6450297C"/>
    <w:rsid w:val="64F0086B"/>
    <w:rsid w:val="65100493"/>
    <w:rsid w:val="654D54C5"/>
    <w:rsid w:val="655E3E6F"/>
    <w:rsid w:val="6646256E"/>
    <w:rsid w:val="67444F86"/>
    <w:rsid w:val="67E83F23"/>
    <w:rsid w:val="68C10F6E"/>
    <w:rsid w:val="68DF2431"/>
    <w:rsid w:val="69EC27BC"/>
    <w:rsid w:val="69F91590"/>
    <w:rsid w:val="6A271F9E"/>
    <w:rsid w:val="6A8103F8"/>
    <w:rsid w:val="6ADC5ECD"/>
    <w:rsid w:val="6BAC3D4E"/>
    <w:rsid w:val="6C9F6913"/>
    <w:rsid w:val="6D16778C"/>
    <w:rsid w:val="6D82064E"/>
    <w:rsid w:val="70FB2DB2"/>
    <w:rsid w:val="71D5715F"/>
    <w:rsid w:val="73157D3E"/>
    <w:rsid w:val="74702755"/>
    <w:rsid w:val="74D66D31"/>
    <w:rsid w:val="752547F0"/>
    <w:rsid w:val="75B25E4D"/>
    <w:rsid w:val="773E113D"/>
    <w:rsid w:val="776B3508"/>
    <w:rsid w:val="78B100F5"/>
    <w:rsid w:val="78F11143"/>
    <w:rsid w:val="7971754C"/>
    <w:rsid w:val="79E37743"/>
    <w:rsid w:val="79F74C03"/>
    <w:rsid w:val="79FF1F31"/>
    <w:rsid w:val="7A07271E"/>
    <w:rsid w:val="7ACA1666"/>
    <w:rsid w:val="7AD80D2C"/>
    <w:rsid w:val="7B90211C"/>
    <w:rsid w:val="7BD26F5F"/>
    <w:rsid w:val="7BD674B0"/>
    <w:rsid w:val="7C815F74"/>
    <w:rsid w:val="7C914409"/>
    <w:rsid w:val="7CBF66A9"/>
    <w:rsid w:val="7D897AFB"/>
    <w:rsid w:val="7E0635C9"/>
    <w:rsid w:val="7E5526A6"/>
    <w:rsid w:val="7E912EDE"/>
    <w:rsid w:val="7EC5143E"/>
    <w:rsid w:val="7F5F24EA"/>
    <w:rsid w:val="7F6A60A9"/>
    <w:rsid w:val="7F904EA3"/>
    <w:rsid w:val="7FAA04AF"/>
    <w:rsid w:val="7FCD619B"/>
    <w:rsid w:val="7FFD43C8"/>
    <w:rsid w:val="D73EDE53"/>
    <w:rsid w:val="EFC54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spacing w:before="156" w:beforeLines="50" w:after="156" w:afterLines="50" w:line="360" w:lineRule="auto"/>
      <w:outlineLvl w:val="0"/>
    </w:pPr>
    <w:rPr>
      <w:rFonts w:ascii="仿宋_GB2312" w:eastAsia="仿宋_GB2312"/>
      <w:b/>
      <w:bCs/>
      <w:sz w:val="32"/>
      <w:szCs w:val="32"/>
    </w:rPr>
  </w:style>
  <w:style w:type="paragraph" w:styleId="3">
    <w:name w:val="heading 2"/>
    <w:basedOn w:val="4"/>
    <w:next w:val="1"/>
    <w:qFormat/>
    <w:uiPriority w:val="0"/>
    <w:pPr>
      <w:widowControl/>
      <w:spacing w:before="100" w:beforeAutospacing="1" w:after="100" w:afterAutospacing="1"/>
      <w:jc w:val="left"/>
      <w:outlineLvl w:val="1"/>
    </w:pPr>
    <w:rPr>
      <w:rFonts w:eastAsia="等线"/>
      <w:kern w:val="0"/>
      <w:sz w:val="36"/>
      <w:szCs w:val="36"/>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420"/>
    </w:pPr>
    <w:rPr>
      <w:szCs w:val="20"/>
    </w:rPr>
  </w:style>
  <w:style w:type="paragraph" w:styleId="6">
    <w:name w:val="Body Text Indent"/>
    <w:basedOn w:val="1"/>
    <w:next w:val="5"/>
    <w:qFormat/>
    <w:uiPriority w:val="0"/>
    <w:pPr>
      <w:ind w:left="480" w:hanging="480" w:hangingChars="200"/>
    </w:pPr>
    <w:rPr>
      <w:sz w:val="24"/>
    </w:rPr>
  </w:style>
  <w:style w:type="paragraph" w:styleId="7">
    <w:name w:val="annotation text"/>
    <w:basedOn w:val="1"/>
    <w:link w:val="44"/>
    <w:qFormat/>
    <w:uiPriority w:val="0"/>
    <w:pPr>
      <w:jc w:val="left"/>
    </w:pPr>
  </w:style>
  <w:style w:type="paragraph" w:styleId="8">
    <w:name w:val="Body Text"/>
    <w:basedOn w:val="1"/>
    <w:next w:val="1"/>
    <w:qFormat/>
    <w:uiPriority w:val="99"/>
    <w:rPr>
      <w:kern w:val="0"/>
      <w:sz w:val="20"/>
      <w:szCs w:val="20"/>
    </w:rPr>
  </w:style>
  <w:style w:type="paragraph" w:styleId="9">
    <w:name w:val="Block Text"/>
    <w:basedOn w:val="1"/>
    <w:qFormat/>
    <w:uiPriority w:val="0"/>
    <w:pPr>
      <w:adjustRightInd w:val="0"/>
      <w:spacing w:line="300" w:lineRule="auto"/>
      <w:ind w:left="958" w:right="-120" w:rightChars="-120"/>
      <w:jc w:val="left"/>
    </w:pPr>
    <w:rPr>
      <w:rFonts w:ascii="宋体" w:hAnsi="宋体"/>
      <w:sz w:val="28"/>
    </w:rPr>
  </w:style>
  <w:style w:type="paragraph" w:styleId="10">
    <w:name w:val="Plain Text"/>
    <w:basedOn w:val="1"/>
    <w:next w:val="11"/>
    <w:qFormat/>
    <w:uiPriority w:val="0"/>
    <w:rPr>
      <w:rFonts w:ascii="宋体" w:hAnsi="Courier New"/>
      <w:kern w:val="0"/>
      <w:szCs w:val="21"/>
    </w:rPr>
  </w:style>
  <w:style w:type="paragraph" w:styleId="11">
    <w:name w:val="toc 2"/>
    <w:basedOn w:val="1"/>
    <w:next w:val="1"/>
    <w:qFormat/>
    <w:uiPriority w:val="0"/>
    <w:pPr>
      <w:ind w:left="420" w:leftChars="200"/>
    </w:pPr>
    <w:rPr>
      <w:szCs w:val="24"/>
    </w:rPr>
  </w:style>
  <w:style w:type="paragraph" w:styleId="12">
    <w:name w:val="Balloon Text"/>
    <w:basedOn w:val="1"/>
    <w:link w:val="43"/>
    <w:qFormat/>
    <w:uiPriority w:val="0"/>
    <w:rPr>
      <w:sz w:val="18"/>
      <w:szCs w:val="18"/>
    </w:rPr>
  </w:style>
  <w:style w:type="paragraph" w:styleId="13">
    <w:name w:val="footer"/>
    <w:basedOn w:val="1"/>
    <w:qFormat/>
    <w:uiPriority w:val="99"/>
    <w:pPr>
      <w:tabs>
        <w:tab w:val="center" w:pos="4153"/>
        <w:tab w:val="right" w:pos="8306"/>
      </w:tabs>
      <w:snapToGrid w:val="0"/>
      <w:jc w:val="left"/>
    </w:pPr>
    <w:rPr>
      <w:kern w:val="0"/>
      <w:sz w:val="18"/>
      <w:szCs w:val="18"/>
    </w:rPr>
  </w:style>
  <w:style w:type="paragraph" w:styleId="14">
    <w:name w:val="envelope return"/>
    <w:basedOn w:val="1"/>
    <w:qFormat/>
    <w:uiPriority w:val="99"/>
    <w:pPr>
      <w:snapToGrid w:val="0"/>
    </w:pPr>
    <w:rPr>
      <w:rFonts w:ascii="Arial" w:hAnsi="Arial"/>
    </w:rPr>
  </w:style>
  <w:style w:type="paragraph" w:styleId="1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6">
    <w:name w:val="toc 1"/>
    <w:basedOn w:val="1"/>
    <w:next w:val="1"/>
    <w:semiHidden/>
    <w:unhideWhenUsed/>
    <w:qFormat/>
    <w:uiPriority w:val="39"/>
  </w:style>
  <w:style w:type="paragraph" w:styleId="17">
    <w:name w:val="Subtitle"/>
    <w:basedOn w:val="1"/>
    <w:next w:val="1"/>
    <w:qFormat/>
    <w:uiPriority w:val="11"/>
    <w:pPr>
      <w:widowControl/>
      <w:adjustRightInd w:val="0"/>
      <w:snapToGrid w:val="0"/>
      <w:spacing w:before="240" w:after="60" w:line="312" w:lineRule="auto"/>
      <w:jc w:val="center"/>
      <w:outlineLvl w:val="1"/>
    </w:pPr>
    <w:rPr>
      <w:rFonts w:ascii="Cambria" w:hAnsi="Cambria"/>
      <w:bCs/>
      <w:kern w:val="28"/>
      <w:sz w:val="32"/>
      <w:szCs w:val="32"/>
    </w:rPr>
  </w:style>
  <w:style w:type="paragraph" w:styleId="18">
    <w:name w:val="toc 6"/>
    <w:basedOn w:val="1"/>
    <w:next w:val="1"/>
    <w:qFormat/>
    <w:uiPriority w:val="0"/>
    <w:pPr>
      <w:ind w:left="1050"/>
      <w:jc w:val="left"/>
    </w:pPr>
    <w:rPr>
      <w:rFonts w:ascii="Century Gothic" w:hAnsi="Century Gothic"/>
      <w:sz w:val="18"/>
      <w:szCs w:val="18"/>
    </w:rPr>
  </w:style>
  <w:style w:type="paragraph" w:styleId="19">
    <w:name w:val="table of figures"/>
    <w:basedOn w:val="1"/>
    <w:next w:val="1"/>
    <w:unhideWhenUsed/>
    <w:qFormat/>
    <w:uiPriority w:val="99"/>
    <w:pPr>
      <w:ind w:left="200" w:leftChars="200" w:hanging="200" w:hangingChars="200"/>
    </w:pPr>
  </w:style>
  <w:style w:type="paragraph" w:styleId="20">
    <w:name w:val="Body Text 2"/>
    <w:basedOn w:val="1"/>
    <w:qFormat/>
    <w:uiPriority w:val="0"/>
    <w:pPr>
      <w:ind w:right="-512" w:rightChars="-244"/>
    </w:pPr>
    <w:rPr>
      <w:rFonts w:ascii="宋体"/>
      <w:sz w:val="24"/>
    </w:rPr>
  </w:style>
  <w:style w:type="paragraph" w:styleId="21">
    <w:name w:val="Normal (Web)"/>
    <w:basedOn w:val="1"/>
    <w:qFormat/>
    <w:uiPriority w:val="0"/>
    <w:pPr>
      <w:widowControl/>
      <w:spacing w:afterLines="50"/>
      <w:jc w:val="left"/>
    </w:pPr>
    <w:rPr>
      <w:rFonts w:ascii="长城仿宋" w:hAnsi="长城仿宋" w:eastAsia="Arial Unicode MS"/>
      <w:sz w:val="24"/>
    </w:rPr>
  </w:style>
  <w:style w:type="paragraph" w:styleId="22">
    <w:name w:val="Title"/>
    <w:basedOn w:val="1"/>
    <w:next w:val="1"/>
    <w:qFormat/>
    <w:uiPriority w:val="0"/>
    <w:pPr>
      <w:spacing w:before="240" w:after="60"/>
      <w:jc w:val="center"/>
      <w:outlineLvl w:val="0"/>
    </w:pPr>
    <w:rPr>
      <w:rFonts w:ascii="Arial" w:hAnsi="Arial"/>
      <w:sz w:val="32"/>
      <w:szCs w:val="32"/>
    </w:rPr>
  </w:style>
  <w:style w:type="paragraph" w:styleId="23">
    <w:name w:val="annotation subject"/>
    <w:basedOn w:val="7"/>
    <w:next w:val="7"/>
    <w:link w:val="45"/>
    <w:qFormat/>
    <w:uiPriority w:val="0"/>
    <w:rPr>
      <w:b/>
      <w:bCs/>
    </w:rPr>
  </w:style>
  <w:style w:type="paragraph" w:styleId="24">
    <w:name w:val="Body Text First Indent"/>
    <w:basedOn w:val="8"/>
    <w:next w:val="18"/>
    <w:qFormat/>
    <w:uiPriority w:val="0"/>
    <w:pPr>
      <w:spacing w:line="312" w:lineRule="auto"/>
      <w:ind w:firstLine="420"/>
    </w:pPr>
    <w:rPr>
      <w:szCs w:val="24"/>
    </w:rPr>
  </w:style>
  <w:style w:type="paragraph" w:styleId="25">
    <w:name w:val="Body Text First Indent 2"/>
    <w:basedOn w:val="6"/>
    <w:next w:val="1"/>
    <w:qFormat/>
    <w:uiPriority w:val="0"/>
    <w:pPr>
      <w:spacing w:after="120"/>
      <w:ind w:left="420" w:leftChars="200" w:firstLine="420"/>
    </w:pPr>
    <w:rPr>
      <w:rFonts w:cs="宋体"/>
      <w:sz w:val="21"/>
      <w:szCs w:val="21"/>
    </w:r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annotation reference"/>
    <w:basedOn w:val="28"/>
    <w:qFormat/>
    <w:uiPriority w:val="0"/>
    <w:rPr>
      <w:sz w:val="21"/>
      <w:szCs w:val="21"/>
    </w:rPr>
  </w:style>
  <w:style w:type="paragraph" w:customStyle="1" w:styleId="31">
    <w:name w:val="表格文字"/>
    <w:basedOn w:val="10"/>
    <w:next w:val="8"/>
    <w:qFormat/>
    <w:uiPriority w:val="99"/>
    <w:pPr>
      <w:adjustRightInd w:val="0"/>
      <w:spacing w:line="420" w:lineRule="atLeast"/>
      <w:jc w:val="left"/>
      <w:textAlignment w:val="baseline"/>
    </w:pPr>
    <w:rPr>
      <w:rFonts w:ascii="Times New Roman" w:hAnsi="Times New Roman"/>
      <w:szCs w:val="24"/>
    </w:rPr>
  </w:style>
  <w:style w:type="paragraph" w:customStyle="1" w:styleId="32">
    <w:name w:val="Normal Indent1"/>
    <w:basedOn w:val="1"/>
    <w:qFormat/>
    <w:uiPriority w:val="0"/>
    <w:pPr>
      <w:ind w:firstLine="420" w:firstLineChars="200"/>
    </w:pPr>
  </w:style>
  <w:style w:type="paragraph" w:customStyle="1" w:styleId="33">
    <w:name w:val="Plain Text1"/>
    <w:basedOn w:val="1"/>
    <w:qFormat/>
    <w:uiPriority w:val="0"/>
    <w:rPr>
      <w:rFonts w:ascii="宋体" w:hAnsi="Courier New"/>
      <w:szCs w:val="20"/>
    </w:rPr>
  </w:style>
  <w:style w:type="paragraph" w:customStyle="1" w:styleId="3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
    <w:name w:val="正文2"/>
    <w:basedOn w:val="1"/>
    <w:next w:val="16"/>
    <w:qFormat/>
    <w:uiPriority w:val="0"/>
    <w:pPr>
      <w:spacing w:before="156" w:line="360" w:lineRule="auto"/>
      <w:ind w:firstLine="510" w:firstLineChars="200"/>
    </w:pPr>
    <w:rPr>
      <w:sz w:val="24"/>
      <w:szCs w:val="20"/>
    </w:rPr>
  </w:style>
  <w:style w:type="paragraph" w:customStyle="1" w:styleId="36">
    <w:name w:val="列出段落1"/>
    <w:basedOn w:val="1"/>
    <w:qFormat/>
    <w:uiPriority w:val="34"/>
    <w:pPr>
      <w:ind w:firstLine="420" w:firstLineChars="200"/>
    </w:pPr>
  </w:style>
  <w:style w:type="paragraph" w:customStyle="1" w:styleId="37">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8">
    <w:name w:val="纯文本1"/>
    <w:basedOn w:val="39"/>
    <w:qFormat/>
    <w:uiPriority w:val="0"/>
    <w:pPr>
      <w:widowControl/>
      <w:jc w:val="left"/>
    </w:pPr>
    <w:rPr>
      <w:rFonts w:hint="default" w:ascii="宋体" w:hAnsi="Courier New"/>
    </w:rPr>
  </w:style>
  <w:style w:type="paragraph" w:customStyle="1" w:styleId="3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0">
    <w:name w:val="章正文"/>
    <w:basedOn w:val="1"/>
    <w:qFormat/>
    <w:locked/>
    <w:uiPriority w:val="99"/>
    <w:pPr>
      <w:spacing w:beforeLines="50" w:after="120" w:line="300" w:lineRule="auto"/>
      <w:ind w:firstLine="480"/>
    </w:pPr>
    <w:rPr>
      <w:rFonts w:ascii="Helvetica" w:hAnsi="Helvetica"/>
      <w:kern w:val="0"/>
    </w:rPr>
  </w:style>
  <w:style w:type="character" w:customStyle="1" w:styleId="41">
    <w:name w:val="font21"/>
    <w:basedOn w:val="28"/>
    <w:qFormat/>
    <w:uiPriority w:val="0"/>
    <w:rPr>
      <w:rFonts w:hint="eastAsia" w:ascii="宋体" w:hAnsi="宋体" w:eastAsia="宋体" w:cs="宋体"/>
      <w:color w:val="000000"/>
      <w:sz w:val="21"/>
      <w:szCs w:val="21"/>
      <w:u w:val="none"/>
    </w:rPr>
  </w:style>
  <w:style w:type="character" w:customStyle="1" w:styleId="42">
    <w:name w:val="font31"/>
    <w:basedOn w:val="28"/>
    <w:qFormat/>
    <w:uiPriority w:val="0"/>
    <w:rPr>
      <w:rFonts w:hint="eastAsia" w:ascii="宋体" w:hAnsi="宋体" w:eastAsia="宋体" w:cs="宋体"/>
      <w:color w:val="000000"/>
      <w:sz w:val="24"/>
      <w:szCs w:val="24"/>
      <w:u w:val="none"/>
    </w:rPr>
  </w:style>
  <w:style w:type="character" w:customStyle="1" w:styleId="43">
    <w:name w:val="批注框文本 字符"/>
    <w:basedOn w:val="28"/>
    <w:link w:val="12"/>
    <w:qFormat/>
    <w:uiPriority w:val="0"/>
    <w:rPr>
      <w:rFonts w:ascii="Times New Roman" w:hAnsi="Times New Roman" w:eastAsia="宋体" w:cs="Times New Roman"/>
      <w:kern w:val="2"/>
      <w:sz w:val="18"/>
      <w:szCs w:val="18"/>
    </w:rPr>
  </w:style>
  <w:style w:type="character" w:customStyle="1" w:styleId="44">
    <w:name w:val="批注文字 字符"/>
    <w:basedOn w:val="28"/>
    <w:link w:val="7"/>
    <w:qFormat/>
    <w:uiPriority w:val="0"/>
    <w:rPr>
      <w:rFonts w:ascii="Times New Roman" w:hAnsi="Times New Roman" w:eastAsia="宋体" w:cs="Times New Roman"/>
      <w:kern w:val="2"/>
      <w:sz w:val="21"/>
      <w:szCs w:val="22"/>
    </w:rPr>
  </w:style>
  <w:style w:type="character" w:customStyle="1" w:styleId="45">
    <w:name w:val="批注主题 字符"/>
    <w:basedOn w:val="44"/>
    <w:link w:val="23"/>
    <w:qFormat/>
    <w:uiPriority w:val="0"/>
    <w:rPr>
      <w:rFonts w:ascii="Times New Roman" w:hAnsi="Times New Roman" w:eastAsia="宋体" w:cs="Times New Roman"/>
      <w:b/>
      <w:bCs/>
      <w:kern w:val="2"/>
      <w:sz w:val="21"/>
      <w:szCs w:val="22"/>
    </w:rPr>
  </w:style>
  <w:style w:type="paragraph" w:styleId="46">
    <w:name w:val="List Paragraph"/>
    <w:basedOn w:val="1"/>
    <w:qFormat/>
    <w:uiPriority w:val="34"/>
    <w:pPr>
      <w:ind w:firstLine="420" w:firstLineChars="200"/>
    </w:pPr>
  </w:style>
  <w:style w:type="paragraph" w:customStyle="1" w:styleId="47">
    <w:name w:val="正文C"/>
    <w:basedOn w:val="1"/>
    <w:qFormat/>
    <w:uiPriority w:val="0"/>
    <w:pPr>
      <w:spacing w:line="360" w:lineRule="auto"/>
      <w:ind w:firstLine="480" w:firstLineChars="200"/>
    </w:pPr>
    <w:rPr>
      <w:sz w:val="24"/>
      <w:szCs w:val="24"/>
    </w:rPr>
  </w:style>
  <w:style w:type="paragraph" w:customStyle="1" w:styleId="48">
    <w:name w:val="修订1"/>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30007</Words>
  <Characters>32013</Characters>
  <Lines>249</Lines>
  <Paragraphs>70</Paragraphs>
  <TotalTime>9</TotalTime>
  <ScaleCrop>false</ScaleCrop>
  <LinksUpToDate>false</LinksUpToDate>
  <CharactersWithSpaces>33159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2022-06-09T19:54:00Z</dcterms:created>
  <dc:creator>huawei</dc:creator>
  <cp:lastModifiedBy>huawei</cp:lastModifiedBy>
  <dcterms:modified xsi:type="dcterms:W3CDTF">2024-09-30T09:04:46Z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BAC60AE13C0647A8A604FBB5FFC9C71D_13</vt:lpwstr>
  </property>
</Properties>
</file>