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2867D">
      <w:pPr>
        <w:jc w:val="center"/>
        <w:rPr>
          <w:rFonts w:ascii="宋体"/>
          <w:b/>
          <w:bCs/>
          <w:color w:val="auto"/>
          <w:sz w:val="84"/>
          <w:szCs w:val="84"/>
        </w:rPr>
      </w:pPr>
    </w:p>
    <w:p w14:paraId="29B99799">
      <w:pPr>
        <w:spacing w:line="460" w:lineRule="atLeast"/>
        <w:jc w:val="center"/>
        <w:rPr>
          <w:rFonts w:ascii="宋体" w:hAnsi="宋体"/>
          <w:b/>
          <w:color w:val="auto"/>
          <w:sz w:val="84"/>
          <w:szCs w:val="84"/>
        </w:rPr>
      </w:pPr>
      <w:r>
        <w:rPr>
          <w:rFonts w:hint="eastAsia" w:ascii="宋体" w:hAnsi="宋体"/>
          <w:b/>
          <w:color w:val="auto"/>
          <w:sz w:val="84"/>
          <w:szCs w:val="84"/>
        </w:rPr>
        <w:t>温州市政府采购（分散）</w:t>
      </w:r>
    </w:p>
    <w:p w14:paraId="0C34E46B">
      <w:pPr>
        <w:spacing w:line="460" w:lineRule="atLeast"/>
        <w:jc w:val="center"/>
        <w:rPr>
          <w:rFonts w:ascii="宋体" w:hAnsi="宋体"/>
          <w:b/>
          <w:color w:val="auto"/>
          <w:sz w:val="84"/>
          <w:szCs w:val="84"/>
        </w:rPr>
      </w:pPr>
      <w:r>
        <w:rPr>
          <w:rFonts w:hint="eastAsia" w:ascii="宋体" w:hAnsi="宋体"/>
          <w:b/>
          <w:color w:val="auto"/>
          <w:sz w:val="84"/>
          <w:szCs w:val="84"/>
        </w:rPr>
        <w:t>竞争性磋商文件</w:t>
      </w:r>
    </w:p>
    <w:p w14:paraId="43DE87FE">
      <w:pPr>
        <w:spacing w:line="460" w:lineRule="atLeast"/>
        <w:jc w:val="center"/>
        <w:rPr>
          <w:rFonts w:ascii="宋体" w:hAnsi="宋体"/>
          <w:b/>
          <w:bCs/>
          <w:color w:val="auto"/>
          <w:sz w:val="44"/>
          <w:szCs w:val="44"/>
        </w:rPr>
      </w:pPr>
      <w:r>
        <w:rPr>
          <w:rFonts w:hint="eastAsia" w:ascii="宋体" w:hAnsi="宋体"/>
          <w:color w:val="auto"/>
          <w:sz w:val="44"/>
          <w:szCs w:val="44"/>
        </w:rPr>
        <w:t>（</w:t>
      </w:r>
      <w:r>
        <w:rPr>
          <w:rFonts w:hint="eastAsia" w:ascii="宋体" w:hAnsi="宋体"/>
          <w:b/>
          <w:color w:val="auto"/>
          <w:sz w:val="44"/>
          <w:szCs w:val="44"/>
        </w:rPr>
        <w:t>线上电子招投标</w:t>
      </w:r>
      <w:r>
        <w:rPr>
          <w:rFonts w:hint="eastAsia" w:ascii="宋体" w:hAnsi="宋体"/>
          <w:color w:val="auto"/>
          <w:sz w:val="44"/>
          <w:szCs w:val="44"/>
        </w:rPr>
        <w:t>）</w:t>
      </w:r>
    </w:p>
    <w:p w14:paraId="3661ACDF">
      <w:pPr>
        <w:spacing w:line="460" w:lineRule="atLeast"/>
        <w:jc w:val="center"/>
        <w:rPr>
          <w:rFonts w:ascii="宋体" w:hAnsi="宋体"/>
          <w:b/>
          <w:bCs/>
          <w:color w:val="auto"/>
          <w:sz w:val="28"/>
        </w:rPr>
      </w:pPr>
    </w:p>
    <w:p w14:paraId="4FC0B0E4">
      <w:pPr>
        <w:spacing w:line="460" w:lineRule="atLeast"/>
        <w:jc w:val="center"/>
        <w:rPr>
          <w:rFonts w:ascii="宋体" w:hAnsi="宋体"/>
          <w:b/>
          <w:bCs/>
          <w:color w:val="auto"/>
          <w:sz w:val="28"/>
        </w:rPr>
      </w:pPr>
    </w:p>
    <w:p w14:paraId="3ECA5401">
      <w:pPr>
        <w:spacing w:line="460" w:lineRule="atLeast"/>
        <w:jc w:val="center"/>
        <w:rPr>
          <w:rFonts w:ascii="宋体" w:hAnsi="宋体"/>
          <w:b/>
          <w:bCs/>
          <w:color w:val="auto"/>
          <w:sz w:val="28"/>
        </w:rPr>
      </w:pPr>
    </w:p>
    <w:p w14:paraId="17028D0E">
      <w:pPr>
        <w:spacing w:line="460" w:lineRule="atLeast"/>
        <w:jc w:val="center"/>
        <w:rPr>
          <w:rFonts w:ascii="宋体" w:hAnsi="宋体"/>
          <w:b/>
          <w:bCs/>
          <w:color w:val="auto"/>
          <w:sz w:val="28"/>
        </w:rPr>
      </w:pPr>
    </w:p>
    <w:p w14:paraId="44F0377F">
      <w:pPr>
        <w:spacing w:line="360" w:lineRule="auto"/>
        <w:ind w:firstLine="1593" w:firstLineChars="496"/>
        <w:rPr>
          <w:rFonts w:ascii="宋体"/>
          <w:b/>
          <w:bCs/>
          <w:color w:val="auto"/>
          <w:sz w:val="32"/>
          <w:szCs w:val="32"/>
        </w:rPr>
      </w:pPr>
      <w:r>
        <w:rPr>
          <w:rFonts w:hint="eastAsia" w:ascii="宋体"/>
          <w:b/>
          <w:bCs/>
          <w:color w:val="auto"/>
          <w:sz w:val="32"/>
          <w:szCs w:val="32"/>
        </w:rPr>
        <w:t>项目名称：温州市机关协同办公系统运维及运营服务项目</w:t>
      </w:r>
    </w:p>
    <w:p w14:paraId="13D72477">
      <w:pPr>
        <w:spacing w:line="360" w:lineRule="auto"/>
        <w:ind w:firstLine="1593" w:firstLineChars="496"/>
        <w:rPr>
          <w:rFonts w:hint="eastAsia" w:ascii="宋体" w:eastAsia="宋体"/>
          <w:b/>
          <w:bCs/>
          <w:color w:val="auto"/>
          <w:sz w:val="32"/>
          <w:szCs w:val="32"/>
          <w:lang w:eastAsia="zh-CN"/>
        </w:rPr>
      </w:pPr>
      <w:r>
        <w:rPr>
          <w:rFonts w:hint="eastAsia" w:ascii="宋体"/>
          <w:b/>
          <w:bCs/>
          <w:color w:val="auto"/>
          <w:sz w:val="32"/>
          <w:szCs w:val="32"/>
        </w:rPr>
        <w:t>采购编号：</w:t>
      </w:r>
      <w:r>
        <w:rPr>
          <w:rFonts w:hint="eastAsia" w:ascii="宋体"/>
          <w:b/>
          <w:bCs/>
          <w:color w:val="auto"/>
          <w:sz w:val="32"/>
          <w:szCs w:val="32"/>
          <w:lang w:eastAsia="zh-CN"/>
        </w:rPr>
        <w:t>HZHQ-WZSJ-202407</w:t>
      </w:r>
    </w:p>
    <w:p w14:paraId="31E7C7F2">
      <w:pPr>
        <w:spacing w:line="360" w:lineRule="auto"/>
        <w:jc w:val="center"/>
        <w:rPr>
          <w:rFonts w:ascii="宋体" w:hAnsi="宋体"/>
          <w:b/>
          <w:color w:val="auto"/>
          <w:sz w:val="32"/>
          <w:szCs w:val="32"/>
        </w:rPr>
      </w:pPr>
    </w:p>
    <w:p w14:paraId="7E989527">
      <w:pPr>
        <w:spacing w:line="360" w:lineRule="auto"/>
        <w:jc w:val="center"/>
        <w:rPr>
          <w:rFonts w:ascii="宋体" w:hAnsi="宋体"/>
          <w:b/>
          <w:bCs/>
          <w:color w:val="auto"/>
          <w:sz w:val="32"/>
          <w:szCs w:val="32"/>
        </w:rPr>
      </w:pPr>
    </w:p>
    <w:p w14:paraId="28FF7E63">
      <w:pPr>
        <w:spacing w:line="360" w:lineRule="auto"/>
        <w:jc w:val="center"/>
        <w:rPr>
          <w:rFonts w:ascii="宋体" w:hAnsi="宋体"/>
          <w:b/>
          <w:bCs/>
          <w:color w:val="auto"/>
          <w:sz w:val="32"/>
          <w:szCs w:val="32"/>
        </w:rPr>
      </w:pPr>
    </w:p>
    <w:p w14:paraId="22FA258B">
      <w:pPr>
        <w:spacing w:line="360" w:lineRule="auto"/>
        <w:jc w:val="center"/>
        <w:rPr>
          <w:rFonts w:ascii="宋体" w:hAnsi="宋体"/>
          <w:b/>
          <w:bCs/>
          <w:color w:val="auto"/>
          <w:sz w:val="32"/>
          <w:szCs w:val="32"/>
        </w:rPr>
      </w:pPr>
    </w:p>
    <w:p w14:paraId="22E4AA92">
      <w:pPr>
        <w:spacing w:line="360" w:lineRule="auto"/>
        <w:ind w:firstLine="1593" w:firstLineChars="496"/>
        <w:rPr>
          <w:rFonts w:ascii="宋体"/>
          <w:b/>
          <w:bCs/>
          <w:color w:val="auto"/>
          <w:sz w:val="32"/>
          <w:szCs w:val="32"/>
        </w:rPr>
      </w:pPr>
      <w:r>
        <w:rPr>
          <w:rFonts w:hint="eastAsia" w:ascii="宋体"/>
          <w:b/>
          <w:bCs/>
          <w:color w:val="auto"/>
          <w:sz w:val="32"/>
          <w:szCs w:val="32"/>
        </w:rPr>
        <w:t>采 购 人：</w:t>
      </w:r>
      <w:r>
        <w:rPr>
          <w:rFonts w:hint="eastAsia" w:ascii="宋体"/>
          <w:b/>
          <w:bCs/>
          <w:color w:val="auto"/>
          <w:sz w:val="32"/>
          <w:szCs w:val="32"/>
          <w:lang w:eastAsia="zh-CN"/>
        </w:rPr>
        <w:t>温州市数据局</w:t>
      </w:r>
    </w:p>
    <w:p w14:paraId="7BB427A2">
      <w:pPr>
        <w:spacing w:line="360" w:lineRule="auto"/>
        <w:ind w:firstLine="1593" w:firstLineChars="496"/>
        <w:rPr>
          <w:rFonts w:ascii="宋体"/>
          <w:b/>
          <w:bCs/>
          <w:color w:val="auto"/>
          <w:sz w:val="32"/>
          <w:szCs w:val="32"/>
        </w:rPr>
      </w:pPr>
      <w:r>
        <w:rPr>
          <w:rFonts w:hint="eastAsia" w:ascii="宋体"/>
          <w:b/>
          <w:bCs/>
          <w:color w:val="auto"/>
          <w:sz w:val="32"/>
          <w:szCs w:val="32"/>
        </w:rPr>
        <w:t>代理机构：杭州华旗招标代理有限公司</w:t>
      </w:r>
    </w:p>
    <w:p w14:paraId="720EE01C">
      <w:pPr>
        <w:spacing w:line="460" w:lineRule="atLeast"/>
        <w:jc w:val="center"/>
        <w:rPr>
          <w:rFonts w:ascii="宋体" w:hAnsi="宋体"/>
          <w:b/>
          <w:color w:val="auto"/>
          <w:sz w:val="28"/>
          <w:szCs w:val="28"/>
        </w:rPr>
      </w:pPr>
    </w:p>
    <w:p w14:paraId="2C9CA6EE">
      <w:pPr>
        <w:pStyle w:val="28"/>
        <w:spacing w:line="460" w:lineRule="atLeast"/>
        <w:ind w:left="0" w:leftChars="0"/>
        <w:jc w:val="center"/>
        <w:rPr>
          <w:rFonts w:ascii="宋体" w:hAnsi="宋体"/>
          <w:b/>
          <w:color w:val="auto"/>
          <w:sz w:val="28"/>
          <w:szCs w:val="28"/>
        </w:rPr>
      </w:pPr>
    </w:p>
    <w:p w14:paraId="7EA5FFE7">
      <w:pPr>
        <w:autoSpaceDE w:val="0"/>
        <w:autoSpaceDN w:val="0"/>
        <w:adjustRightInd w:val="0"/>
        <w:spacing w:line="440" w:lineRule="atLeast"/>
        <w:jc w:val="center"/>
        <w:rPr>
          <w:rFonts w:ascii="宋体" w:hAnsi="宋体"/>
          <w:b/>
          <w:color w:val="auto"/>
          <w:sz w:val="28"/>
          <w:szCs w:val="28"/>
        </w:rPr>
      </w:pPr>
    </w:p>
    <w:p w14:paraId="0704C975">
      <w:pPr>
        <w:autoSpaceDE w:val="0"/>
        <w:autoSpaceDN w:val="0"/>
        <w:adjustRightInd w:val="0"/>
        <w:spacing w:line="440" w:lineRule="atLeast"/>
        <w:jc w:val="center"/>
        <w:rPr>
          <w:rFonts w:ascii="宋体" w:hAnsi="宋体"/>
          <w:b/>
          <w:color w:val="auto"/>
          <w:sz w:val="32"/>
          <w:szCs w:val="32"/>
        </w:rPr>
      </w:pPr>
    </w:p>
    <w:p w14:paraId="7E5854D0">
      <w:pPr>
        <w:autoSpaceDE w:val="0"/>
        <w:autoSpaceDN w:val="0"/>
        <w:adjustRightInd w:val="0"/>
        <w:spacing w:line="440" w:lineRule="atLeast"/>
        <w:jc w:val="center"/>
        <w:rPr>
          <w:rFonts w:hint="eastAsia" w:ascii="宋体" w:hAnsi="宋体"/>
          <w:b/>
          <w:color w:val="auto"/>
          <w:sz w:val="32"/>
          <w:szCs w:val="32"/>
        </w:rPr>
      </w:pPr>
      <w:r>
        <w:rPr>
          <w:rFonts w:hint="eastAsia" w:ascii="宋体" w:hAnsi="宋体"/>
          <w:b/>
          <w:color w:val="auto"/>
          <w:sz w:val="32"/>
          <w:szCs w:val="32"/>
        </w:rPr>
        <w:t>二○二</w:t>
      </w:r>
      <w:r>
        <w:rPr>
          <w:rFonts w:hint="eastAsia" w:ascii="宋体" w:hAnsi="宋体"/>
          <w:b/>
          <w:color w:val="auto"/>
          <w:sz w:val="32"/>
          <w:szCs w:val="32"/>
          <w:lang w:val="en-US" w:eastAsia="zh-CN"/>
        </w:rPr>
        <w:t>四</w:t>
      </w:r>
      <w:r>
        <w:rPr>
          <w:rFonts w:hint="eastAsia" w:ascii="宋体" w:hAnsi="宋体"/>
          <w:b/>
          <w:color w:val="auto"/>
          <w:sz w:val="32"/>
          <w:szCs w:val="32"/>
        </w:rPr>
        <w:t>年十</w:t>
      </w:r>
      <w:r>
        <w:rPr>
          <w:rFonts w:hint="eastAsia" w:ascii="宋体" w:hAnsi="宋体"/>
          <w:b/>
          <w:color w:val="auto"/>
          <w:sz w:val="32"/>
          <w:szCs w:val="32"/>
          <w:lang w:val="en-US" w:eastAsia="zh-CN"/>
        </w:rPr>
        <w:t>二</w:t>
      </w:r>
      <w:r>
        <w:rPr>
          <w:rFonts w:hint="eastAsia" w:ascii="宋体" w:hAnsi="宋体"/>
          <w:b/>
          <w:color w:val="auto"/>
          <w:sz w:val="32"/>
          <w:szCs w:val="32"/>
        </w:rPr>
        <w:t>月</w:t>
      </w:r>
    </w:p>
    <w:p w14:paraId="6F87EB69">
      <w:pPr>
        <w:rPr>
          <w:rFonts w:hint="eastAsia" w:ascii="宋体" w:hAnsi="宋体"/>
          <w:b/>
          <w:color w:val="auto"/>
          <w:sz w:val="32"/>
          <w:szCs w:val="32"/>
        </w:rPr>
      </w:pPr>
      <w:r>
        <w:rPr>
          <w:rFonts w:hint="eastAsia" w:ascii="宋体" w:hAnsi="宋体"/>
          <w:b/>
          <w:color w:val="auto"/>
          <w:sz w:val="32"/>
          <w:szCs w:val="32"/>
        </w:rPr>
        <w:br w:type="page"/>
      </w:r>
    </w:p>
    <w:p w14:paraId="67191C61">
      <w:pPr>
        <w:autoSpaceDE w:val="0"/>
        <w:autoSpaceDN w:val="0"/>
        <w:adjustRightInd w:val="0"/>
        <w:spacing w:line="276" w:lineRule="auto"/>
        <w:jc w:val="center"/>
        <w:rPr>
          <w:rFonts w:ascii="宋体" w:hAnsi="宋体" w:cs="仿宋_GB2312"/>
          <w:bCs/>
          <w:color w:val="auto"/>
          <w:lang w:val="zh-CN"/>
        </w:rPr>
      </w:pPr>
      <w:r>
        <w:rPr>
          <w:rFonts w:hint="eastAsia" w:ascii="宋体" w:hAnsi="宋体" w:cs="仿宋_GB2312"/>
          <w:bCs/>
          <w:color w:val="auto"/>
          <w:sz w:val="36"/>
          <w:szCs w:val="36"/>
          <w:lang w:val="zh-CN"/>
        </w:rPr>
        <w:t>磋商文件目录</w:t>
      </w:r>
    </w:p>
    <w:p w14:paraId="7C8A6B08">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asciiTheme="minorEastAsia" w:hAnsiTheme="minorEastAsia" w:eastAsiaTheme="minorEastAsia"/>
          <w:b w:val="0"/>
          <w:color w:val="auto"/>
          <w:sz w:val="22"/>
          <w:szCs w:val="22"/>
        </w:rPr>
        <w:fldChar w:fldCharType="begin"/>
      </w:r>
      <w:r>
        <w:rPr>
          <w:rFonts w:asciiTheme="minorEastAsia" w:hAnsiTheme="minorEastAsia" w:eastAsiaTheme="minorEastAsia"/>
          <w:b w:val="0"/>
          <w:color w:val="auto"/>
          <w:sz w:val="22"/>
          <w:szCs w:val="22"/>
        </w:rPr>
        <w:instrText xml:space="preserve"> TOC \o "1-3" \h \z \u </w:instrText>
      </w:r>
      <w:r>
        <w:rPr>
          <w:rFonts w:asciiTheme="minorEastAsia" w:hAnsiTheme="minorEastAsia" w:eastAsiaTheme="minorEastAsia"/>
          <w:b w:val="0"/>
          <w:color w:val="auto"/>
          <w:sz w:val="22"/>
          <w:szCs w:val="22"/>
        </w:rPr>
        <w:fldChar w:fldCharType="separate"/>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HYPERLINK \l _Toc6761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lang w:val="zh-CN"/>
        </w:rPr>
        <w:t>第一部分    磋商邀请函（供应商须知前附表）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_Toc6761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rPr>
        <w:fldChar w:fldCharType="end"/>
      </w:r>
    </w:p>
    <w:p w14:paraId="1C518E4A">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_Toc12995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第二部分    采购内容及要求</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_Toc12995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B1735E2">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_Toc16786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en-US" w:eastAsia="zh-CN"/>
        </w:rPr>
        <w:t>一、项目背景</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_Toc16786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C39E361">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_Toc13438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en-US" w:eastAsia="zh-CN"/>
        </w:rPr>
        <w:t>二、采购内容</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_Toc13438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6D97E499">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_Toc18655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三、项目服务周期</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_Toc18655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60D7F389">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_Toc8893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四、付款方式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_Toc8893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55A7BBD">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_Toc29903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第三部分    供应商须知</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_Toc29903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8DD6A88">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_Toc12679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一、说明</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_Toc12679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29AD753D">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_Toc11463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二、竞争性磋商文件</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_Toc11463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635E7AE4">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_Toc2108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三、磋商响应文件</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_Toc2108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2938E1A">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_Toc10740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四、磋商响应文件递交</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_Toc10740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7BECE76D">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_Toc5496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五、开标和评审</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_Toc5496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662E12FD">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_Toc23063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六、授予合同</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_Toc23063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E3F0377">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_Toc19242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第四部分    政府采购政策功能相关说明</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_Toc19242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19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2B95A392">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_Toc32206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第五部分    合同格式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_Toc32206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23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24388D2A">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_Toc19514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第六部分    附件---磋商响应文件格式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_Toc19514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B651E19">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_Toc1566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一、资格文件格式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_Toc1566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100310E3">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_Toc8299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附件一</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_Toc8299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85D865A">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_Toc4932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投标供应商参与政府采购活动投标资格声明函</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_Toc4932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33</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40063501">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_Toc26730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二、报价文件格式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_Toc26730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C1A58D4">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_Toc18200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w:t>
      </w:r>
      <w:r>
        <w:rPr>
          <w:rFonts w:hint="eastAsia" w:ascii="宋体" w:hAnsi="宋体" w:eastAsia="宋体" w:cs="宋体"/>
          <w:b w:val="0"/>
          <w:bCs/>
          <w:color w:val="auto"/>
          <w:sz w:val="22"/>
          <w:szCs w:val="22"/>
          <w:lang w:val="zh-CN"/>
        </w:rPr>
        <w:t>二</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_Toc18200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866B19E">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_Toc6942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报价一览表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_Toc6942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34</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1BC650E5">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_Toc28554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附件三</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_Toc28554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BE17563">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_Toc24250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投标分项报价表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_Toc24250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35</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006BC6C3">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_Toc29184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三、商务技术文件格式</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_Toc29184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57CA6D3">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_Toc25376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附件四</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_Toc25376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1F76E035">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_Toc26264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投  标  函</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_Toc26264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36</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76AA1051">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_Toc4244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附件五</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_Toc4244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0EFE411">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_Toc2725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法定代表人授权书</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_Toc2725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37</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4920D1A">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_Toc13522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附件六</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_Toc13522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9ED6E10">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_Toc11227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法定代表人诚信投标承诺书</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_Toc11227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38</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2C26D66D">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_Toc27137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附件七</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_Toc27137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F2372DD">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_Toc31232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投标供应商业绩</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_Toc31232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39</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49928646">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_Toc3613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附件八</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_Toc3613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40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5695B24B">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_Toc23338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人员配置情况表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_Toc23338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40</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1AFE2D13">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_Toc5834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附件九</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_Toc5834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41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35E47EB9">
      <w:pPr>
        <w:pStyle w:val="39"/>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_Toc32453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lang w:val="zh-CN"/>
        </w:rPr>
        <w:t>偏离表</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_Toc32453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41</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05D785A1">
      <w:pPr>
        <w:pStyle w:val="34"/>
        <w:keepNext w:val="0"/>
        <w:keepLines w:val="0"/>
        <w:pageBreakBefore w:val="0"/>
        <w:widowControl w:val="0"/>
        <w:tabs>
          <w:tab w:val="right" w:leader="dot" w:pos="9747"/>
        </w:tabs>
        <w:kinsoku/>
        <w:wordWrap/>
        <w:overflowPunct/>
        <w:topLinePunct w:val="0"/>
        <w:autoSpaceDE/>
        <w:autoSpaceDN/>
        <w:bidi w:val="0"/>
        <w:adjustRightInd/>
        <w:snapToGrid/>
        <w:spacing w:line="320" w:lineRule="exact"/>
        <w:textAlignment w:val="auto"/>
        <w:rPr>
          <w:color w:val="auto"/>
        </w:rPr>
      </w:pPr>
      <w:r>
        <w:rPr>
          <w:rFonts w:hint="eastAsia" w:ascii="宋体" w:hAnsi="宋体" w:eastAsia="宋体" w:cs="宋体"/>
          <w:b w:val="0"/>
          <w:bCs/>
          <w:color w:val="auto"/>
          <w:sz w:val="22"/>
          <w:szCs w:val="22"/>
          <w:lang w:val="zh-CN"/>
        </w:rPr>
        <w:fldChar w:fldCharType="begin"/>
      </w:r>
      <w:r>
        <w:rPr>
          <w:rFonts w:hint="eastAsia" w:ascii="宋体" w:hAnsi="宋体" w:eastAsia="宋体" w:cs="宋体"/>
          <w:b w:val="0"/>
          <w:bCs/>
          <w:color w:val="auto"/>
          <w:sz w:val="22"/>
          <w:szCs w:val="22"/>
          <w:lang w:val="zh-CN"/>
        </w:rPr>
        <w:instrText xml:space="preserve"> HYPERLINK \l _Toc11443 </w:instrText>
      </w:r>
      <w:r>
        <w:rPr>
          <w:rFonts w:hint="eastAsia" w:ascii="宋体" w:hAnsi="宋体" w:eastAsia="宋体" w:cs="宋体"/>
          <w:b w:val="0"/>
          <w:bCs/>
          <w:color w:val="auto"/>
          <w:sz w:val="22"/>
          <w:szCs w:val="22"/>
          <w:lang w:val="zh-CN"/>
        </w:rPr>
        <w:fldChar w:fldCharType="separate"/>
      </w:r>
      <w:r>
        <w:rPr>
          <w:rFonts w:hint="eastAsia" w:ascii="宋体" w:hAnsi="宋体" w:eastAsia="宋体" w:cs="宋体"/>
          <w:b w:val="0"/>
          <w:bCs/>
          <w:color w:val="auto"/>
          <w:sz w:val="22"/>
          <w:szCs w:val="22"/>
        </w:rPr>
        <w:t>第七部分   确定成交供应商办法</w:t>
      </w:r>
      <w:r>
        <w:rPr>
          <w:rFonts w:hint="eastAsia" w:ascii="宋体" w:hAnsi="宋体" w:eastAsia="宋体" w:cs="宋体"/>
          <w:b w:val="0"/>
          <w:bCs/>
          <w:color w:val="auto"/>
          <w:sz w:val="22"/>
          <w:szCs w:val="22"/>
        </w:rPr>
        <w:tab/>
      </w:r>
      <w:r>
        <w:rPr>
          <w:rFonts w:hint="eastAsia" w:ascii="宋体" w:hAnsi="宋体" w:eastAsia="宋体" w:cs="宋体"/>
          <w:b w:val="0"/>
          <w:bCs/>
          <w:color w:val="auto"/>
          <w:sz w:val="22"/>
          <w:szCs w:val="22"/>
        </w:rPr>
        <w:fldChar w:fldCharType="begin"/>
      </w:r>
      <w:r>
        <w:rPr>
          <w:rFonts w:hint="eastAsia" w:ascii="宋体" w:hAnsi="宋体" w:eastAsia="宋体" w:cs="宋体"/>
          <w:b w:val="0"/>
          <w:bCs/>
          <w:color w:val="auto"/>
          <w:sz w:val="22"/>
          <w:szCs w:val="22"/>
        </w:rPr>
        <w:instrText xml:space="preserve"> PAGEREF _Toc11443 \h </w:instrText>
      </w:r>
      <w:r>
        <w:rPr>
          <w:rFonts w:hint="eastAsia" w:ascii="宋体" w:hAnsi="宋体" w:eastAsia="宋体" w:cs="宋体"/>
          <w:b w:val="0"/>
          <w:bCs/>
          <w:color w:val="auto"/>
          <w:sz w:val="22"/>
          <w:szCs w:val="22"/>
        </w:rPr>
        <w:fldChar w:fldCharType="separate"/>
      </w:r>
      <w:r>
        <w:rPr>
          <w:rFonts w:hint="eastAsia" w:ascii="宋体" w:hAnsi="宋体" w:eastAsia="宋体" w:cs="宋体"/>
          <w:b w:val="0"/>
          <w:bCs/>
          <w:color w:val="auto"/>
          <w:sz w:val="22"/>
          <w:szCs w:val="22"/>
        </w:rPr>
        <w:t>42</w:t>
      </w:r>
      <w:r>
        <w:rPr>
          <w:rFonts w:hint="eastAsia" w:ascii="宋体" w:hAnsi="宋体" w:eastAsia="宋体" w:cs="宋体"/>
          <w:b w:val="0"/>
          <w:bCs/>
          <w:color w:val="auto"/>
          <w:sz w:val="22"/>
          <w:szCs w:val="22"/>
        </w:rPr>
        <w:fldChar w:fldCharType="end"/>
      </w:r>
      <w:r>
        <w:rPr>
          <w:rFonts w:hint="eastAsia" w:ascii="宋体" w:hAnsi="宋体" w:eastAsia="宋体" w:cs="宋体"/>
          <w:b w:val="0"/>
          <w:bCs/>
          <w:color w:val="auto"/>
          <w:sz w:val="22"/>
          <w:szCs w:val="22"/>
          <w:lang w:val="zh-CN"/>
        </w:rPr>
        <w:fldChar w:fldCharType="end"/>
      </w:r>
    </w:p>
    <w:p w14:paraId="694EDA1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color w:val="auto"/>
          <w:szCs w:val="22"/>
          <w:lang w:val="zh-CN"/>
        </w:rPr>
      </w:pPr>
      <w:r>
        <w:rPr>
          <w:rFonts w:asciiTheme="minorEastAsia" w:hAnsiTheme="minorEastAsia" w:eastAsiaTheme="minorEastAsia"/>
          <w:color w:val="auto"/>
          <w:szCs w:val="22"/>
          <w:lang w:val="zh-CN"/>
        </w:rPr>
        <w:fldChar w:fldCharType="end"/>
      </w:r>
    </w:p>
    <w:p w14:paraId="0E6B4CCD">
      <w:pPr>
        <w:keepNext w:val="0"/>
        <w:keepLines w:val="0"/>
        <w:pageBreakBefore w:val="0"/>
        <w:widowControl w:val="0"/>
        <w:kinsoku/>
        <w:wordWrap/>
        <w:overflowPunct/>
        <w:topLinePunct w:val="0"/>
        <w:autoSpaceDE/>
        <w:autoSpaceDN/>
        <w:bidi w:val="0"/>
        <w:adjustRightInd/>
        <w:snapToGrid/>
        <w:spacing w:line="320" w:lineRule="exact"/>
        <w:ind w:firstLine="442" w:firstLineChars="200"/>
        <w:textAlignment w:val="auto"/>
        <w:rPr>
          <w:rFonts w:ascii="宋体" w:hAnsi="宋体"/>
          <w:b/>
          <w:color w:val="auto"/>
          <w:sz w:val="22"/>
          <w:szCs w:val="22"/>
          <w:u w:val="thick"/>
        </w:rPr>
      </w:pPr>
      <w:r>
        <w:rPr>
          <w:rFonts w:hint="eastAsia" w:ascii="宋体" w:hAnsi="宋体"/>
          <w:b/>
          <w:color w:val="auto"/>
          <w:sz w:val="22"/>
          <w:szCs w:val="22"/>
          <w:u w:val="thick"/>
        </w:rPr>
        <w:t>注：磋商文件中有的条款及要求以符号▲的形式强调，这些特别强调的条款及内容有些是实质性重要条款，供应商对重要条款的响应程度将作为评审工</w:t>
      </w:r>
      <w:bookmarkStart w:id="93" w:name="_GoBack"/>
      <w:bookmarkEnd w:id="93"/>
      <w:r>
        <w:rPr>
          <w:rFonts w:hint="eastAsia" w:ascii="宋体" w:hAnsi="宋体"/>
          <w:b/>
          <w:color w:val="auto"/>
          <w:sz w:val="22"/>
          <w:szCs w:val="22"/>
          <w:u w:val="thick"/>
        </w:rPr>
        <w:t>作的主要依据之一。</w:t>
      </w:r>
    </w:p>
    <w:p w14:paraId="590958D5">
      <w:pPr>
        <w:pStyle w:val="4"/>
        <w:jc w:val="center"/>
        <w:rPr>
          <w:rFonts w:ascii="宋体" w:hAnsi="宋体"/>
          <w:color w:val="auto"/>
          <w:sz w:val="36"/>
          <w:lang w:val="zh-CN"/>
        </w:rPr>
      </w:pPr>
      <w:bookmarkStart w:id="0" w:name="_Toc32407"/>
      <w:bookmarkStart w:id="1" w:name="_Toc6761"/>
      <w:r>
        <w:rPr>
          <w:rFonts w:hint="eastAsia" w:ascii="宋体" w:hAnsi="宋体"/>
          <w:color w:val="auto"/>
          <w:sz w:val="36"/>
          <w:lang w:val="zh-CN"/>
        </w:rPr>
        <w:t xml:space="preserve">第一部分    </w:t>
      </w:r>
      <w:bookmarkEnd w:id="0"/>
      <w:r>
        <w:rPr>
          <w:rFonts w:hint="eastAsia" w:ascii="宋体" w:hAnsi="宋体"/>
          <w:color w:val="auto"/>
          <w:sz w:val="36"/>
          <w:lang w:val="zh-CN"/>
        </w:rPr>
        <w:t>磋商邀请函（供应商须知前附表）</w:t>
      </w:r>
      <w:bookmarkEnd w:id="1"/>
    </w:p>
    <w:tbl>
      <w:tblPr>
        <w:tblStyle w:val="47"/>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0"/>
        <w:gridCol w:w="1740"/>
        <w:gridCol w:w="7691"/>
      </w:tblGrid>
      <w:tr w14:paraId="508FA1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059FEF4C">
            <w:pPr>
              <w:spacing w:line="46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1740" w:type="dxa"/>
            <w:vAlign w:val="center"/>
          </w:tcPr>
          <w:p w14:paraId="6052C0CD">
            <w:pPr>
              <w:jc w:val="center"/>
              <w:rPr>
                <w:rFonts w:ascii="宋体" w:hAnsi="宋体" w:cs="宋体"/>
                <w:color w:val="auto"/>
                <w:sz w:val="22"/>
                <w:szCs w:val="22"/>
              </w:rPr>
            </w:pPr>
            <w:r>
              <w:rPr>
                <w:rFonts w:hint="eastAsia" w:ascii="宋体" w:hAnsi="宋体" w:cs="宋体"/>
                <w:color w:val="auto"/>
                <w:sz w:val="22"/>
                <w:szCs w:val="22"/>
              </w:rPr>
              <w:t>内容</w:t>
            </w:r>
          </w:p>
        </w:tc>
        <w:tc>
          <w:tcPr>
            <w:tcW w:w="7691" w:type="dxa"/>
            <w:vAlign w:val="center"/>
          </w:tcPr>
          <w:p w14:paraId="766DB2BC">
            <w:pPr>
              <w:spacing w:line="276" w:lineRule="auto"/>
              <w:jc w:val="center"/>
              <w:rPr>
                <w:rFonts w:ascii="宋体" w:hAnsi="宋体" w:cs="宋体"/>
                <w:color w:val="auto"/>
                <w:sz w:val="22"/>
                <w:szCs w:val="22"/>
              </w:rPr>
            </w:pPr>
            <w:r>
              <w:rPr>
                <w:rFonts w:hint="eastAsia" w:ascii="宋体" w:hAnsi="宋体" w:cs="宋体"/>
                <w:color w:val="auto"/>
                <w:sz w:val="22"/>
                <w:szCs w:val="22"/>
              </w:rPr>
              <w:t>说明与要求</w:t>
            </w:r>
          </w:p>
        </w:tc>
      </w:tr>
      <w:tr w14:paraId="53367C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50D4F48F">
            <w:pPr>
              <w:autoSpaceDE w:val="0"/>
              <w:autoSpaceDN w:val="0"/>
              <w:adjustRightInd w:val="0"/>
              <w:snapToGrid w:val="0"/>
              <w:spacing w:line="460" w:lineRule="exact"/>
              <w:jc w:val="center"/>
              <w:rPr>
                <w:rFonts w:ascii="宋体" w:hAnsi="宋体" w:cs="宋体"/>
                <w:color w:val="auto"/>
                <w:sz w:val="22"/>
                <w:szCs w:val="22"/>
                <w:lang w:val="zh-CN"/>
              </w:rPr>
            </w:pPr>
            <w:r>
              <w:rPr>
                <w:rFonts w:hint="eastAsia" w:ascii="宋体" w:hAnsi="宋体" w:cs="宋体"/>
                <w:color w:val="auto"/>
                <w:sz w:val="22"/>
                <w:szCs w:val="22"/>
                <w:lang w:val="zh-CN"/>
              </w:rPr>
              <w:t>1</w:t>
            </w:r>
          </w:p>
        </w:tc>
        <w:tc>
          <w:tcPr>
            <w:tcW w:w="1740" w:type="dxa"/>
            <w:vAlign w:val="center"/>
          </w:tcPr>
          <w:p w14:paraId="2EA115CE">
            <w:pPr>
              <w:jc w:val="center"/>
              <w:rPr>
                <w:rFonts w:ascii="宋体" w:hAnsi="宋体" w:cs="宋体"/>
                <w:color w:val="auto"/>
                <w:sz w:val="22"/>
                <w:szCs w:val="22"/>
              </w:rPr>
            </w:pPr>
            <w:r>
              <w:rPr>
                <w:rFonts w:hint="eastAsia" w:ascii="宋体" w:hAnsi="宋体" w:cs="宋体"/>
                <w:color w:val="auto"/>
                <w:sz w:val="22"/>
                <w:szCs w:val="22"/>
              </w:rPr>
              <w:t>项目名称</w:t>
            </w:r>
          </w:p>
        </w:tc>
        <w:tc>
          <w:tcPr>
            <w:tcW w:w="7691" w:type="dxa"/>
            <w:vAlign w:val="center"/>
          </w:tcPr>
          <w:p w14:paraId="3670A0F7">
            <w:pPr>
              <w:spacing w:line="276" w:lineRule="auto"/>
              <w:rPr>
                <w:rFonts w:ascii="宋体" w:hAnsi="宋体" w:cs="宋体"/>
                <w:color w:val="auto"/>
                <w:sz w:val="22"/>
                <w:szCs w:val="22"/>
              </w:rPr>
            </w:pPr>
            <w:r>
              <w:rPr>
                <w:rFonts w:hint="eastAsia" w:ascii="宋体" w:hAnsi="宋体" w:cs="宋体"/>
                <w:color w:val="auto"/>
                <w:sz w:val="22"/>
                <w:szCs w:val="22"/>
              </w:rPr>
              <w:t>温州市机关协同办公系统运维及运营服务项目</w:t>
            </w:r>
          </w:p>
        </w:tc>
      </w:tr>
      <w:tr w14:paraId="686B6C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40" w:type="dxa"/>
            <w:vAlign w:val="center"/>
          </w:tcPr>
          <w:p w14:paraId="6D7D91F1">
            <w:pPr>
              <w:autoSpaceDE w:val="0"/>
              <w:autoSpaceDN w:val="0"/>
              <w:adjustRightInd w:val="0"/>
              <w:snapToGrid w:val="0"/>
              <w:spacing w:line="460" w:lineRule="exact"/>
              <w:jc w:val="center"/>
              <w:rPr>
                <w:rFonts w:ascii="宋体" w:hAnsi="宋体" w:cs="宋体"/>
                <w:color w:val="auto"/>
                <w:sz w:val="22"/>
                <w:szCs w:val="22"/>
                <w:lang w:val="zh-CN"/>
              </w:rPr>
            </w:pPr>
            <w:r>
              <w:rPr>
                <w:rFonts w:hint="eastAsia" w:ascii="宋体" w:hAnsi="宋体" w:cs="宋体"/>
                <w:color w:val="auto"/>
                <w:sz w:val="22"/>
                <w:szCs w:val="22"/>
                <w:lang w:val="zh-CN"/>
              </w:rPr>
              <w:t>2</w:t>
            </w:r>
          </w:p>
        </w:tc>
        <w:tc>
          <w:tcPr>
            <w:tcW w:w="1740" w:type="dxa"/>
            <w:vAlign w:val="center"/>
          </w:tcPr>
          <w:p w14:paraId="6A2CD603">
            <w:pPr>
              <w:jc w:val="center"/>
              <w:rPr>
                <w:rFonts w:ascii="宋体" w:hAnsi="宋体" w:cs="宋体"/>
                <w:color w:val="auto"/>
                <w:sz w:val="22"/>
                <w:szCs w:val="22"/>
              </w:rPr>
            </w:pPr>
            <w:r>
              <w:rPr>
                <w:rFonts w:hint="eastAsia" w:ascii="宋体" w:hAnsi="宋体" w:cs="宋体"/>
                <w:color w:val="auto"/>
                <w:sz w:val="22"/>
                <w:szCs w:val="22"/>
              </w:rPr>
              <w:t>项目编号</w:t>
            </w:r>
          </w:p>
        </w:tc>
        <w:tc>
          <w:tcPr>
            <w:tcW w:w="7691" w:type="dxa"/>
            <w:vAlign w:val="center"/>
          </w:tcPr>
          <w:p w14:paraId="613946AB">
            <w:pPr>
              <w:spacing w:line="276" w:lineRule="auto"/>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HZHQ-WZSJ-202407</w:t>
            </w:r>
          </w:p>
        </w:tc>
      </w:tr>
      <w:tr w14:paraId="2FC14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2F6E678">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3</w:t>
            </w:r>
          </w:p>
        </w:tc>
        <w:tc>
          <w:tcPr>
            <w:tcW w:w="1740" w:type="dxa"/>
            <w:vAlign w:val="center"/>
          </w:tcPr>
          <w:p w14:paraId="08CB236E">
            <w:pPr>
              <w:jc w:val="center"/>
              <w:rPr>
                <w:rFonts w:ascii="宋体" w:hAnsi="宋体" w:cs="宋体"/>
                <w:color w:val="auto"/>
                <w:sz w:val="22"/>
                <w:szCs w:val="22"/>
              </w:rPr>
            </w:pPr>
            <w:r>
              <w:rPr>
                <w:rFonts w:hint="eastAsia" w:ascii="宋体" w:hAnsi="宋体" w:cs="宋体"/>
                <w:color w:val="auto"/>
                <w:sz w:val="22"/>
                <w:szCs w:val="22"/>
              </w:rPr>
              <w:t>资金来源</w:t>
            </w:r>
          </w:p>
        </w:tc>
        <w:tc>
          <w:tcPr>
            <w:tcW w:w="7691" w:type="dxa"/>
            <w:vAlign w:val="center"/>
          </w:tcPr>
          <w:p w14:paraId="6577EB21">
            <w:pPr>
              <w:spacing w:line="276" w:lineRule="auto"/>
              <w:rPr>
                <w:rFonts w:ascii="宋体" w:hAnsi="宋体" w:cs="宋体"/>
                <w:color w:val="auto"/>
                <w:sz w:val="22"/>
                <w:szCs w:val="22"/>
              </w:rPr>
            </w:pPr>
            <w:r>
              <w:rPr>
                <w:rFonts w:hint="eastAsia" w:ascii="宋体" w:hAnsi="宋体" w:cs="宋体"/>
                <w:color w:val="auto"/>
                <w:sz w:val="22"/>
                <w:szCs w:val="22"/>
              </w:rPr>
              <w:t>财政性资金</w:t>
            </w:r>
          </w:p>
        </w:tc>
      </w:tr>
      <w:tr w14:paraId="7A7C4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286B5F87">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4</w:t>
            </w:r>
          </w:p>
        </w:tc>
        <w:tc>
          <w:tcPr>
            <w:tcW w:w="1740" w:type="dxa"/>
            <w:vAlign w:val="center"/>
          </w:tcPr>
          <w:p w14:paraId="53101D4F">
            <w:pPr>
              <w:jc w:val="center"/>
              <w:rPr>
                <w:rFonts w:ascii="宋体" w:hAnsi="宋体" w:cs="宋体"/>
                <w:color w:val="auto"/>
                <w:sz w:val="22"/>
                <w:szCs w:val="22"/>
              </w:rPr>
            </w:pPr>
            <w:r>
              <w:rPr>
                <w:rFonts w:hint="eastAsia" w:ascii="宋体" w:hAnsi="宋体" w:cs="宋体"/>
                <w:color w:val="auto"/>
                <w:sz w:val="22"/>
                <w:szCs w:val="22"/>
              </w:rPr>
              <w:t>采购预算</w:t>
            </w:r>
          </w:p>
          <w:p w14:paraId="162D5CCE">
            <w:pPr>
              <w:jc w:val="center"/>
              <w:rPr>
                <w:rFonts w:ascii="宋体" w:hAnsi="宋体" w:cs="宋体"/>
                <w:color w:val="auto"/>
                <w:sz w:val="22"/>
                <w:szCs w:val="22"/>
              </w:rPr>
            </w:pPr>
            <w:r>
              <w:rPr>
                <w:rFonts w:hint="eastAsia" w:ascii="宋体" w:hAnsi="宋体" w:cs="宋体"/>
                <w:color w:val="auto"/>
                <w:sz w:val="22"/>
                <w:szCs w:val="22"/>
              </w:rPr>
              <w:t>（最高限价）</w:t>
            </w:r>
          </w:p>
        </w:tc>
        <w:tc>
          <w:tcPr>
            <w:tcW w:w="7691" w:type="dxa"/>
            <w:vAlign w:val="center"/>
          </w:tcPr>
          <w:p w14:paraId="343A2D0D">
            <w:pPr>
              <w:spacing w:line="276" w:lineRule="auto"/>
              <w:rPr>
                <w:rFonts w:ascii="宋体" w:hAnsi="宋体" w:cs="宋体"/>
                <w:color w:val="auto"/>
                <w:sz w:val="22"/>
                <w:szCs w:val="22"/>
              </w:rPr>
            </w:pPr>
            <w:r>
              <w:rPr>
                <w:rFonts w:hint="eastAsia" w:ascii="宋体" w:hAnsi="宋体"/>
                <w:b/>
                <w:color w:val="auto"/>
                <w:sz w:val="22"/>
                <w:szCs w:val="22"/>
              </w:rPr>
              <w:t>¥</w:t>
            </w:r>
            <w:r>
              <w:rPr>
                <w:rFonts w:hint="eastAsia" w:ascii="宋体" w:hAnsi="宋体"/>
                <w:b/>
                <w:color w:val="auto"/>
                <w:sz w:val="22"/>
                <w:szCs w:val="22"/>
                <w:lang w:val="en-US" w:eastAsia="zh-CN"/>
              </w:rPr>
              <w:t>71.11</w:t>
            </w:r>
            <w:r>
              <w:rPr>
                <w:rFonts w:hint="eastAsia" w:ascii="宋体" w:hAnsi="宋体"/>
                <w:b/>
                <w:color w:val="auto"/>
                <w:sz w:val="22"/>
                <w:szCs w:val="22"/>
              </w:rPr>
              <w:t>万元</w:t>
            </w:r>
          </w:p>
        </w:tc>
      </w:tr>
      <w:tr w14:paraId="2C246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7F844B67">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5</w:t>
            </w:r>
          </w:p>
        </w:tc>
        <w:tc>
          <w:tcPr>
            <w:tcW w:w="1740" w:type="dxa"/>
            <w:vAlign w:val="center"/>
          </w:tcPr>
          <w:p w14:paraId="098C5F72">
            <w:pPr>
              <w:jc w:val="center"/>
              <w:rPr>
                <w:rFonts w:ascii="宋体" w:hAnsi="宋体" w:cs="宋体"/>
                <w:color w:val="auto"/>
                <w:sz w:val="22"/>
                <w:szCs w:val="22"/>
              </w:rPr>
            </w:pPr>
            <w:r>
              <w:rPr>
                <w:rFonts w:hint="eastAsia" w:ascii="宋体" w:hAnsi="宋体" w:cs="宋体"/>
                <w:color w:val="auto"/>
                <w:sz w:val="22"/>
                <w:szCs w:val="22"/>
              </w:rPr>
              <w:t>采购方式</w:t>
            </w:r>
          </w:p>
        </w:tc>
        <w:tc>
          <w:tcPr>
            <w:tcW w:w="7691" w:type="dxa"/>
            <w:vAlign w:val="center"/>
          </w:tcPr>
          <w:p w14:paraId="35317035">
            <w:pPr>
              <w:spacing w:line="276" w:lineRule="auto"/>
              <w:rPr>
                <w:rFonts w:ascii="宋体" w:hAnsi="宋体" w:cs="宋体"/>
                <w:color w:val="auto"/>
                <w:sz w:val="22"/>
                <w:szCs w:val="22"/>
              </w:rPr>
            </w:pPr>
            <w:r>
              <w:rPr>
                <w:rFonts w:hint="eastAsia" w:ascii="宋体" w:hAnsi="宋体" w:cs="宋体"/>
                <w:color w:val="auto"/>
                <w:sz w:val="22"/>
                <w:szCs w:val="22"/>
              </w:rPr>
              <w:t>竞争性磋商</w:t>
            </w:r>
          </w:p>
        </w:tc>
      </w:tr>
      <w:tr w14:paraId="0350D7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62788E47">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6</w:t>
            </w:r>
          </w:p>
        </w:tc>
        <w:tc>
          <w:tcPr>
            <w:tcW w:w="1740" w:type="dxa"/>
            <w:vAlign w:val="center"/>
          </w:tcPr>
          <w:p w14:paraId="2AE9559F">
            <w:pPr>
              <w:adjustRightInd w:val="0"/>
              <w:jc w:val="center"/>
              <w:rPr>
                <w:rFonts w:ascii="宋体" w:hAnsi="宋体" w:cs="宋体"/>
                <w:color w:val="auto"/>
                <w:sz w:val="22"/>
                <w:szCs w:val="22"/>
              </w:rPr>
            </w:pPr>
            <w:r>
              <w:rPr>
                <w:rFonts w:hint="eastAsia" w:ascii="宋体" w:hAnsi="宋体" w:cs="宋体"/>
                <w:color w:val="auto"/>
                <w:sz w:val="22"/>
                <w:szCs w:val="22"/>
              </w:rPr>
              <w:t>采购人</w:t>
            </w:r>
          </w:p>
        </w:tc>
        <w:tc>
          <w:tcPr>
            <w:tcW w:w="7691" w:type="dxa"/>
            <w:vAlign w:val="center"/>
          </w:tcPr>
          <w:p w14:paraId="1DFD3711">
            <w:pPr>
              <w:adjustRightInd w:val="0"/>
              <w:spacing w:line="276" w:lineRule="auto"/>
              <w:rPr>
                <w:rFonts w:hint="eastAsia" w:ascii="宋体" w:hAnsi="宋体" w:eastAsia="宋体"/>
                <w:color w:val="auto"/>
                <w:sz w:val="22"/>
                <w:szCs w:val="22"/>
                <w:lang w:eastAsia="zh-CN"/>
              </w:rPr>
            </w:pPr>
            <w:r>
              <w:rPr>
                <w:rFonts w:hint="eastAsia" w:ascii="宋体" w:hAnsi="宋体"/>
                <w:color w:val="auto"/>
                <w:sz w:val="22"/>
                <w:szCs w:val="22"/>
              </w:rPr>
              <w:t>采购人：</w:t>
            </w:r>
            <w:r>
              <w:rPr>
                <w:rFonts w:hint="eastAsia" w:ascii="宋体" w:hAnsi="宋体"/>
                <w:color w:val="auto"/>
                <w:sz w:val="22"/>
                <w:szCs w:val="22"/>
                <w:lang w:eastAsia="zh-CN"/>
              </w:rPr>
              <w:t>温州市数据局</w:t>
            </w:r>
          </w:p>
          <w:p w14:paraId="1E09D44E">
            <w:pPr>
              <w:adjustRightInd w:val="0"/>
              <w:spacing w:line="276" w:lineRule="auto"/>
              <w:rPr>
                <w:rFonts w:hint="default" w:ascii="宋体" w:hAnsi="宋体" w:eastAsia="宋体"/>
                <w:color w:val="auto"/>
                <w:sz w:val="22"/>
                <w:szCs w:val="22"/>
                <w:lang w:val="en-US" w:eastAsia="zh-CN"/>
              </w:rPr>
            </w:pPr>
            <w:r>
              <w:rPr>
                <w:rFonts w:hint="eastAsia" w:ascii="宋体" w:hAnsi="宋体"/>
                <w:color w:val="auto"/>
                <w:sz w:val="22"/>
                <w:szCs w:val="22"/>
              </w:rPr>
              <w:t>联系人：</w:t>
            </w:r>
            <w:r>
              <w:rPr>
                <w:rFonts w:hint="eastAsia" w:ascii="宋体" w:hAnsi="宋体"/>
                <w:color w:val="auto"/>
                <w:sz w:val="22"/>
                <w:szCs w:val="22"/>
                <w:lang w:val="en-US" w:eastAsia="zh-CN"/>
              </w:rPr>
              <w:t>单先生</w:t>
            </w:r>
          </w:p>
          <w:p w14:paraId="1220EC30">
            <w:pPr>
              <w:adjustRightInd w:val="0"/>
              <w:spacing w:line="276" w:lineRule="auto"/>
              <w:rPr>
                <w:rFonts w:hint="default" w:ascii="宋体" w:hAnsi="宋体" w:eastAsia="宋体" w:cs="宋体"/>
                <w:color w:val="auto"/>
                <w:sz w:val="22"/>
                <w:szCs w:val="22"/>
                <w:lang w:val="en-US" w:eastAsia="zh-CN"/>
              </w:rPr>
            </w:pPr>
            <w:r>
              <w:rPr>
                <w:rFonts w:hint="eastAsia" w:ascii="宋体" w:hAnsi="宋体"/>
                <w:color w:val="auto"/>
                <w:sz w:val="22"/>
                <w:szCs w:val="22"/>
              </w:rPr>
              <w:t>联系电话：</w:t>
            </w:r>
            <w:r>
              <w:rPr>
                <w:rFonts w:ascii="宋体" w:hAnsi="宋体"/>
                <w:color w:val="auto"/>
                <w:sz w:val="22"/>
                <w:szCs w:val="22"/>
              </w:rPr>
              <w:t>0577-8896</w:t>
            </w:r>
            <w:r>
              <w:rPr>
                <w:rFonts w:hint="eastAsia" w:ascii="宋体" w:hAnsi="宋体"/>
                <w:color w:val="auto"/>
                <w:sz w:val="22"/>
                <w:szCs w:val="22"/>
                <w:lang w:val="en-US" w:eastAsia="zh-CN"/>
              </w:rPr>
              <w:t>7360</w:t>
            </w:r>
          </w:p>
        </w:tc>
      </w:tr>
      <w:tr w14:paraId="0A0829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6300A0D">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7</w:t>
            </w:r>
          </w:p>
        </w:tc>
        <w:tc>
          <w:tcPr>
            <w:tcW w:w="1740" w:type="dxa"/>
            <w:vAlign w:val="center"/>
          </w:tcPr>
          <w:p w14:paraId="72E4FB04">
            <w:pPr>
              <w:jc w:val="center"/>
              <w:rPr>
                <w:rFonts w:ascii="宋体" w:hAnsi="宋体" w:cs="宋体"/>
                <w:color w:val="auto"/>
                <w:sz w:val="22"/>
                <w:szCs w:val="22"/>
              </w:rPr>
            </w:pPr>
            <w:r>
              <w:rPr>
                <w:rFonts w:hint="eastAsia" w:ascii="宋体" w:hAnsi="宋体" w:cs="宋体"/>
                <w:color w:val="auto"/>
                <w:sz w:val="22"/>
                <w:szCs w:val="22"/>
              </w:rPr>
              <w:t>采购代理机构</w:t>
            </w:r>
          </w:p>
        </w:tc>
        <w:tc>
          <w:tcPr>
            <w:tcW w:w="7691" w:type="dxa"/>
            <w:vAlign w:val="center"/>
          </w:tcPr>
          <w:p w14:paraId="631B9E29">
            <w:pPr>
              <w:adjustRightInd w:val="0"/>
              <w:spacing w:line="276" w:lineRule="auto"/>
              <w:rPr>
                <w:rFonts w:ascii="宋体" w:hAnsi="宋体" w:cs="宋体"/>
                <w:color w:val="auto"/>
                <w:sz w:val="22"/>
                <w:szCs w:val="22"/>
              </w:rPr>
            </w:pPr>
            <w:r>
              <w:rPr>
                <w:rFonts w:hint="eastAsia" w:ascii="宋体" w:hAnsi="宋体" w:cs="宋体"/>
                <w:color w:val="auto"/>
                <w:sz w:val="22"/>
                <w:szCs w:val="22"/>
              </w:rPr>
              <w:t>名称：杭州华旗招标代理有限公司</w:t>
            </w:r>
          </w:p>
          <w:p w14:paraId="1DE03A46">
            <w:pPr>
              <w:adjustRightInd w:val="0"/>
              <w:spacing w:line="276" w:lineRule="auto"/>
              <w:rPr>
                <w:rFonts w:ascii="宋体" w:hAnsi="宋体" w:cs="宋体"/>
                <w:color w:val="auto"/>
                <w:sz w:val="22"/>
                <w:szCs w:val="22"/>
              </w:rPr>
            </w:pPr>
            <w:r>
              <w:rPr>
                <w:rFonts w:hint="eastAsia" w:ascii="宋体" w:hAnsi="宋体" w:cs="宋体"/>
                <w:color w:val="auto"/>
                <w:sz w:val="22"/>
                <w:szCs w:val="22"/>
              </w:rPr>
              <w:t>联系人：黄先生</w:t>
            </w:r>
          </w:p>
          <w:p w14:paraId="7C2DD836">
            <w:pPr>
              <w:adjustRightInd w:val="0"/>
              <w:spacing w:line="276" w:lineRule="auto"/>
              <w:rPr>
                <w:rFonts w:ascii="宋体" w:hAnsi="宋体" w:cs="宋体"/>
                <w:color w:val="auto"/>
                <w:sz w:val="22"/>
                <w:szCs w:val="22"/>
              </w:rPr>
            </w:pPr>
            <w:r>
              <w:rPr>
                <w:rFonts w:hint="eastAsia" w:ascii="宋体" w:hAnsi="宋体" w:cs="宋体"/>
                <w:color w:val="auto"/>
                <w:sz w:val="22"/>
                <w:szCs w:val="22"/>
              </w:rPr>
              <w:t>联系电话：1</w:t>
            </w:r>
            <w:r>
              <w:rPr>
                <w:rFonts w:ascii="宋体" w:hAnsi="宋体" w:cs="宋体"/>
                <w:color w:val="auto"/>
                <w:sz w:val="22"/>
                <w:szCs w:val="22"/>
              </w:rPr>
              <w:t>3676441826</w:t>
            </w:r>
          </w:p>
          <w:p w14:paraId="156C728C">
            <w:pPr>
              <w:adjustRightInd w:val="0"/>
              <w:spacing w:line="276" w:lineRule="auto"/>
              <w:rPr>
                <w:rFonts w:ascii="宋体" w:hAnsi="宋体" w:cs="宋体"/>
                <w:color w:val="auto"/>
                <w:sz w:val="22"/>
                <w:szCs w:val="22"/>
              </w:rPr>
            </w:pPr>
            <w:r>
              <w:rPr>
                <w:rFonts w:hint="eastAsia" w:ascii="宋体" w:hAnsi="宋体" w:cs="宋体"/>
                <w:color w:val="auto"/>
                <w:sz w:val="22"/>
                <w:szCs w:val="22"/>
              </w:rPr>
              <w:t>联系传真：0577-88113837</w:t>
            </w:r>
          </w:p>
        </w:tc>
      </w:tr>
      <w:tr w14:paraId="5D8BC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4F90DF60">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8</w:t>
            </w:r>
          </w:p>
        </w:tc>
        <w:tc>
          <w:tcPr>
            <w:tcW w:w="1740" w:type="dxa"/>
            <w:vAlign w:val="center"/>
          </w:tcPr>
          <w:p w14:paraId="63610FBB">
            <w:pPr>
              <w:jc w:val="center"/>
              <w:rPr>
                <w:rFonts w:ascii="宋体" w:hAnsi="宋体" w:cs="宋体"/>
                <w:color w:val="auto"/>
                <w:sz w:val="22"/>
                <w:szCs w:val="22"/>
              </w:rPr>
            </w:pPr>
            <w:r>
              <w:rPr>
                <w:rFonts w:hint="eastAsia" w:ascii="宋体" w:hAnsi="宋体" w:cs="宋体"/>
                <w:color w:val="auto"/>
                <w:sz w:val="22"/>
                <w:szCs w:val="22"/>
              </w:rPr>
              <w:t>招标内容</w:t>
            </w:r>
          </w:p>
        </w:tc>
        <w:tc>
          <w:tcPr>
            <w:tcW w:w="7691" w:type="dxa"/>
            <w:vAlign w:val="center"/>
          </w:tcPr>
          <w:p w14:paraId="7E3C4780">
            <w:pPr>
              <w:adjustRightInd w:val="0"/>
              <w:spacing w:line="276" w:lineRule="auto"/>
              <w:rPr>
                <w:rFonts w:ascii="宋体" w:hAnsi="宋体" w:cs="宋体"/>
                <w:color w:val="auto"/>
                <w:sz w:val="22"/>
                <w:szCs w:val="22"/>
              </w:rPr>
            </w:pPr>
            <w:r>
              <w:rPr>
                <w:rFonts w:hint="eastAsia" w:ascii="宋体" w:hAnsi="宋体" w:cs="宋体"/>
                <w:color w:val="auto"/>
                <w:sz w:val="22"/>
                <w:szCs w:val="22"/>
              </w:rPr>
              <w:t>具体内容见竞争性磋商文件</w:t>
            </w:r>
          </w:p>
        </w:tc>
      </w:tr>
      <w:tr w14:paraId="6ADB3C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40" w:type="dxa"/>
            <w:vAlign w:val="center"/>
          </w:tcPr>
          <w:p w14:paraId="1E51F9B8">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9</w:t>
            </w:r>
          </w:p>
        </w:tc>
        <w:tc>
          <w:tcPr>
            <w:tcW w:w="1740" w:type="dxa"/>
            <w:vAlign w:val="center"/>
          </w:tcPr>
          <w:p w14:paraId="5008A2FC">
            <w:pPr>
              <w:jc w:val="center"/>
              <w:rPr>
                <w:rFonts w:ascii="宋体" w:hAnsi="宋体" w:cs="宋体"/>
                <w:color w:val="auto"/>
                <w:sz w:val="22"/>
                <w:szCs w:val="22"/>
              </w:rPr>
            </w:pPr>
            <w:r>
              <w:rPr>
                <w:rFonts w:hint="eastAsia" w:ascii="宋体" w:hAnsi="宋体" w:cs="宋体"/>
                <w:color w:val="auto"/>
                <w:sz w:val="22"/>
                <w:szCs w:val="22"/>
              </w:rPr>
              <w:t>评标办法</w:t>
            </w:r>
          </w:p>
        </w:tc>
        <w:tc>
          <w:tcPr>
            <w:tcW w:w="7691" w:type="dxa"/>
            <w:vAlign w:val="center"/>
          </w:tcPr>
          <w:p w14:paraId="7FCBA416">
            <w:pPr>
              <w:adjustRightInd w:val="0"/>
              <w:spacing w:line="276" w:lineRule="auto"/>
              <w:rPr>
                <w:rFonts w:ascii="宋体" w:hAnsi="宋体" w:cs="宋体"/>
                <w:color w:val="auto"/>
                <w:sz w:val="22"/>
                <w:szCs w:val="22"/>
              </w:rPr>
            </w:pPr>
            <w:r>
              <w:rPr>
                <w:rFonts w:hint="eastAsia" w:ascii="宋体" w:hAnsi="宋体" w:cs="宋体"/>
                <w:color w:val="auto"/>
                <w:sz w:val="22"/>
                <w:szCs w:val="22"/>
              </w:rPr>
              <w:t>综合评分法</w:t>
            </w:r>
          </w:p>
        </w:tc>
      </w:tr>
      <w:tr w14:paraId="6C142D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4CAC3267">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10</w:t>
            </w:r>
          </w:p>
        </w:tc>
        <w:tc>
          <w:tcPr>
            <w:tcW w:w="1740" w:type="dxa"/>
            <w:vAlign w:val="center"/>
          </w:tcPr>
          <w:p w14:paraId="2DF6A7D1">
            <w:pPr>
              <w:jc w:val="center"/>
              <w:rPr>
                <w:rFonts w:ascii="宋体" w:hAnsi="宋体" w:cs="宋体"/>
                <w:color w:val="auto"/>
                <w:sz w:val="22"/>
                <w:szCs w:val="22"/>
              </w:rPr>
            </w:pPr>
            <w:r>
              <w:rPr>
                <w:rFonts w:hint="eastAsia" w:ascii="宋体" w:hAnsi="宋体" w:cs="宋体"/>
                <w:color w:val="auto"/>
                <w:sz w:val="22"/>
                <w:szCs w:val="22"/>
              </w:rPr>
              <w:t>供应商资格要求</w:t>
            </w:r>
          </w:p>
        </w:tc>
        <w:tc>
          <w:tcPr>
            <w:tcW w:w="7691" w:type="dxa"/>
            <w:vAlign w:val="center"/>
          </w:tcPr>
          <w:p w14:paraId="4CC3C3DA">
            <w:pPr>
              <w:adjustRightInd w:val="0"/>
              <w:spacing w:line="276" w:lineRule="auto"/>
              <w:rPr>
                <w:rFonts w:ascii="宋体" w:hAnsi="宋体" w:cs="宋体"/>
                <w:color w:val="auto"/>
                <w:sz w:val="22"/>
                <w:szCs w:val="22"/>
              </w:rPr>
            </w:pPr>
            <w:r>
              <w:rPr>
                <w:rFonts w:hint="eastAsia" w:ascii="宋体" w:hAnsi="宋体" w:cs="宋体"/>
                <w:color w:val="auto"/>
                <w:sz w:val="22"/>
                <w:szCs w:val="22"/>
              </w:rPr>
              <w:t>见采购公告</w:t>
            </w:r>
          </w:p>
        </w:tc>
      </w:tr>
      <w:tr w14:paraId="14584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300B2B97">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11</w:t>
            </w:r>
          </w:p>
        </w:tc>
        <w:tc>
          <w:tcPr>
            <w:tcW w:w="1740" w:type="dxa"/>
            <w:vAlign w:val="center"/>
          </w:tcPr>
          <w:p w14:paraId="468ABDA5">
            <w:pPr>
              <w:adjustRightInd w:val="0"/>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691" w:type="dxa"/>
            <w:vAlign w:val="center"/>
          </w:tcPr>
          <w:p w14:paraId="56303991">
            <w:pPr>
              <w:adjustRightInd w:val="0"/>
              <w:spacing w:line="276" w:lineRule="auto"/>
              <w:rPr>
                <w:rFonts w:ascii="宋体" w:hAnsi="宋体" w:cs="宋体"/>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eq \o\ac(</w:instrText>
            </w:r>
            <w:r>
              <w:rPr>
                <w:rFonts w:hint="eastAsia" w:ascii="宋体" w:hAnsi="宋体" w:cs="宋体"/>
                <w:color w:val="auto"/>
                <w:position w:val="-4"/>
                <w:sz w:val="22"/>
                <w:szCs w:val="22"/>
              </w:rPr>
              <w:instrText xml:space="preserve">□</w:instrText>
            </w:r>
            <w:r>
              <w:rPr>
                <w:rFonts w:hint="eastAsia" w:ascii="宋体" w:hAnsi="宋体" w:cs="宋体"/>
                <w:color w:val="auto"/>
                <w:sz w:val="22"/>
                <w:szCs w:val="22"/>
              </w:rPr>
              <w:instrText xml:space="preserve">,√)</w:instrText>
            </w:r>
            <w:r>
              <w:rPr>
                <w:rFonts w:hint="eastAsia" w:ascii="宋体" w:hAnsi="宋体" w:cs="宋体"/>
                <w:color w:val="auto"/>
                <w:sz w:val="22"/>
                <w:szCs w:val="22"/>
              </w:rPr>
              <w:fldChar w:fldCharType="end"/>
            </w:r>
            <w:r>
              <w:rPr>
                <w:rFonts w:hint="eastAsia" w:ascii="宋体" w:hAnsi="宋体" w:cs="宋体"/>
                <w:color w:val="auto"/>
                <w:sz w:val="22"/>
                <w:szCs w:val="22"/>
              </w:rPr>
              <w:t>不接受</w:t>
            </w:r>
          </w:p>
          <w:p w14:paraId="071D1A5E">
            <w:pPr>
              <w:adjustRightInd w:val="0"/>
              <w:spacing w:line="276" w:lineRule="auto"/>
              <w:rPr>
                <w:rFonts w:hint="eastAsia"/>
                <w:color w:val="auto"/>
              </w:rPr>
            </w:pPr>
            <w:r>
              <w:rPr>
                <w:rFonts w:hint="eastAsia" w:ascii="宋体" w:hAnsi="宋体" w:cs="宋体"/>
                <w:color w:val="auto"/>
                <w:sz w:val="22"/>
                <w:szCs w:val="22"/>
              </w:rPr>
              <w:t>□接受</w:t>
            </w:r>
          </w:p>
          <w:p w14:paraId="2E16F54D">
            <w:pPr>
              <w:adjustRightInd w:val="0"/>
              <w:spacing w:line="276" w:lineRule="auto"/>
              <w:rPr>
                <w:rFonts w:hint="eastAsia" w:ascii="宋体" w:hAnsi="宋体" w:cs="宋体"/>
                <w:color w:val="auto"/>
                <w:sz w:val="22"/>
                <w:szCs w:val="22"/>
              </w:rPr>
            </w:pPr>
            <w:r>
              <w:rPr>
                <w:rFonts w:hint="eastAsia" w:ascii="宋体" w:hAnsi="宋体" w:cs="宋体"/>
                <w:color w:val="auto"/>
                <w:sz w:val="22"/>
                <w:szCs w:val="22"/>
              </w:rPr>
              <w:t>本项目采购人谢绝联合体投标，原因如下:</w:t>
            </w:r>
          </w:p>
          <w:p w14:paraId="41CD66D6">
            <w:pPr>
              <w:adjustRightInd w:val="0"/>
              <w:spacing w:line="276" w:lineRule="auto"/>
              <w:rPr>
                <w:rFonts w:hint="eastAsia" w:ascii="宋体" w:hAnsi="宋体" w:cs="宋体"/>
                <w:color w:val="auto"/>
                <w:sz w:val="22"/>
                <w:szCs w:val="22"/>
              </w:rPr>
            </w:pPr>
            <w:r>
              <w:rPr>
                <w:rFonts w:hint="eastAsia" w:ascii="宋体" w:hAnsi="宋体" w:cs="宋体"/>
                <w:color w:val="auto"/>
                <w:sz w:val="22"/>
                <w:szCs w:val="22"/>
              </w:rPr>
              <w:t>1.项目协调管理难度大:联合体投标项目需要各个成员之间密切协作，分工明确，项目管理难度大。投标人可能在组织、协调和沟通方面存在挑战，影响项目进展。</w:t>
            </w:r>
          </w:p>
          <w:p w14:paraId="7FEEEDBD">
            <w:pPr>
              <w:adjustRightInd w:val="0"/>
              <w:spacing w:line="276" w:lineRule="auto"/>
              <w:rPr>
                <w:rFonts w:hint="eastAsia" w:ascii="宋体" w:hAnsi="宋体" w:cs="宋体"/>
                <w:color w:val="auto"/>
                <w:sz w:val="22"/>
                <w:szCs w:val="22"/>
              </w:rPr>
            </w:pPr>
            <w:r>
              <w:rPr>
                <w:rFonts w:hint="eastAsia" w:ascii="宋体" w:hAnsi="宋体" w:cs="宋体"/>
                <w:color w:val="auto"/>
                <w:sz w:val="22"/>
                <w:szCs w:val="22"/>
              </w:rPr>
              <w:t>2.资源整合、协调问题:联合体投标需要各个成员整合资源以提供全面的解决方案。但是，不同成员间可能存在资源分配和协调难题，可能会因为所需资源无法得到合理配置而导致项目流程中断。软件开发作为一个整体项目，更加需要整体性。</w:t>
            </w:r>
          </w:p>
          <w:p w14:paraId="0C236F3D">
            <w:pPr>
              <w:adjustRightInd w:val="0"/>
              <w:spacing w:line="276" w:lineRule="auto"/>
              <w:rPr>
                <w:rFonts w:hint="eastAsia" w:ascii="宋体" w:hAnsi="宋体" w:cs="宋体"/>
                <w:color w:val="auto"/>
                <w:sz w:val="22"/>
                <w:szCs w:val="22"/>
              </w:rPr>
            </w:pPr>
            <w:r>
              <w:rPr>
                <w:rFonts w:hint="eastAsia" w:ascii="宋体" w:hAnsi="宋体" w:cs="宋体"/>
                <w:color w:val="auto"/>
                <w:sz w:val="22"/>
                <w:szCs w:val="22"/>
              </w:rPr>
              <w:t>3.风险分担不均:联合体成员在项目实施过程中需要共同承担风险。然而，由于各成员之间的合作程度异质，风险分担存在不均衡的风险，给项目的顺利推进带来不确定因素。</w:t>
            </w:r>
          </w:p>
          <w:p w14:paraId="22AD7558">
            <w:pPr>
              <w:pStyle w:val="2"/>
              <w:ind w:left="0" w:leftChars="0" w:firstLine="0" w:firstLineChars="0"/>
              <w:rPr>
                <w:color w:val="auto"/>
              </w:rPr>
            </w:pPr>
            <w:r>
              <w:rPr>
                <w:rFonts w:hint="eastAsia" w:ascii="宋体" w:hAnsi="宋体" w:cs="宋体"/>
                <w:color w:val="auto"/>
                <w:sz w:val="22"/>
                <w:szCs w:val="22"/>
              </w:rPr>
              <w:t>4.管理决策效率低:联合体投标可能涉及各成员之间的统筹协调和决策制定。不同组织间的管理决策效率可能存在差异，导致项目决策周期拉长，影响项目进展。</w:t>
            </w:r>
          </w:p>
        </w:tc>
      </w:tr>
      <w:tr w14:paraId="7CBDC4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40" w:type="dxa"/>
            <w:vAlign w:val="center"/>
          </w:tcPr>
          <w:p w14:paraId="7086DCA9">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12</w:t>
            </w:r>
          </w:p>
        </w:tc>
        <w:tc>
          <w:tcPr>
            <w:tcW w:w="1740" w:type="dxa"/>
            <w:vAlign w:val="center"/>
          </w:tcPr>
          <w:p w14:paraId="19DF3ACC">
            <w:pPr>
              <w:adjustRightInd w:val="0"/>
              <w:jc w:val="center"/>
              <w:rPr>
                <w:rFonts w:ascii="宋体" w:hAnsi="宋体" w:cs="宋体"/>
                <w:color w:val="auto"/>
                <w:sz w:val="22"/>
                <w:szCs w:val="22"/>
              </w:rPr>
            </w:pPr>
            <w:r>
              <w:rPr>
                <w:rFonts w:hint="eastAsia" w:ascii="宋体" w:hAnsi="宋体" w:cs="宋体"/>
                <w:color w:val="auto"/>
                <w:sz w:val="22"/>
                <w:szCs w:val="22"/>
              </w:rPr>
              <w:t>踏勘现场</w:t>
            </w:r>
          </w:p>
        </w:tc>
        <w:tc>
          <w:tcPr>
            <w:tcW w:w="7691" w:type="dxa"/>
            <w:vAlign w:val="center"/>
          </w:tcPr>
          <w:p w14:paraId="300D70A4">
            <w:pPr>
              <w:adjustRightInd w:val="0"/>
              <w:spacing w:line="276" w:lineRule="auto"/>
              <w:rPr>
                <w:rFonts w:ascii="宋体" w:hAnsi="宋体" w:cs="宋体"/>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eq \o\ac(</w:instrText>
            </w:r>
            <w:r>
              <w:rPr>
                <w:rFonts w:hint="eastAsia" w:ascii="宋体" w:hAnsi="宋体" w:cs="宋体"/>
                <w:color w:val="auto"/>
                <w:position w:val="-4"/>
                <w:sz w:val="22"/>
                <w:szCs w:val="22"/>
              </w:rPr>
              <w:instrText xml:space="preserve">□</w:instrText>
            </w:r>
            <w:r>
              <w:rPr>
                <w:rFonts w:hint="eastAsia" w:ascii="宋体" w:hAnsi="宋体" w:cs="宋体"/>
                <w:color w:val="auto"/>
                <w:sz w:val="22"/>
                <w:szCs w:val="22"/>
              </w:rPr>
              <w:instrText xml:space="preserve">,√)</w:instrText>
            </w:r>
            <w:r>
              <w:rPr>
                <w:rFonts w:hint="eastAsia" w:ascii="宋体" w:hAnsi="宋体" w:cs="宋体"/>
                <w:color w:val="auto"/>
                <w:sz w:val="22"/>
                <w:szCs w:val="22"/>
              </w:rPr>
              <w:fldChar w:fldCharType="end"/>
            </w:r>
            <w:r>
              <w:rPr>
                <w:rFonts w:hint="eastAsia" w:ascii="宋体" w:hAnsi="宋体" w:cs="宋体"/>
                <w:color w:val="auto"/>
                <w:sz w:val="22"/>
                <w:szCs w:val="22"/>
              </w:rPr>
              <w:t>不组织</w:t>
            </w:r>
          </w:p>
          <w:p w14:paraId="4D26FE51">
            <w:pPr>
              <w:adjustRightInd w:val="0"/>
              <w:spacing w:line="276" w:lineRule="auto"/>
              <w:rPr>
                <w:rFonts w:ascii="宋体" w:hAnsi="宋体" w:cs="宋体"/>
                <w:color w:val="auto"/>
                <w:sz w:val="22"/>
                <w:szCs w:val="22"/>
              </w:rPr>
            </w:pPr>
            <w:r>
              <w:rPr>
                <w:rFonts w:hint="eastAsia" w:ascii="宋体" w:hAnsi="宋体" w:cs="宋体"/>
                <w:color w:val="auto"/>
                <w:sz w:val="22"/>
                <w:szCs w:val="22"/>
              </w:rPr>
              <w:t xml:space="preserve">□组织   </w:t>
            </w:r>
          </w:p>
        </w:tc>
      </w:tr>
      <w:tr w14:paraId="57CE54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70E056AA">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13</w:t>
            </w:r>
          </w:p>
        </w:tc>
        <w:tc>
          <w:tcPr>
            <w:tcW w:w="1740" w:type="dxa"/>
            <w:vAlign w:val="center"/>
          </w:tcPr>
          <w:p w14:paraId="3A87A9BB">
            <w:pPr>
              <w:adjustRightInd w:val="0"/>
              <w:jc w:val="center"/>
              <w:rPr>
                <w:rFonts w:ascii="宋体" w:hAnsi="宋体" w:cs="宋体"/>
                <w:color w:val="auto"/>
                <w:sz w:val="22"/>
                <w:szCs w:val="22"/>
              </w:rPr>
            </w:pPr>
            <w:r>
              <w:rPr>
                <w:rFonts w:hint="eastAsia" w:ascii="宋体" w:hAnsi="宋体" w:cs="宋体"/>
                <w:color w:val="auto"/>
                <w:sz w:val="22"/>
                <w:szCs w:val="22"/>
              </w:rPr>
              <w:t>是否允许递交备选投标方案</w:t>
            </w:r>
          </w:p>
        </w:tc>
        <w:tc>
          <w:tcPr>
            <w:tcW w:w="7691" w:type="dxa"/>
            <w:vAlign w:val="center"/>
          </w:tcPr>
          <w:p w14:paraId="3EB042B4">
            <w:pPr>
              <w:adjustRightInd w:val="0"/>
              <w:spacing w:line="276" w:lineRule="auto"/>
              <w:rPr>
                <w:rFonts w:ascii="宋体" w:hAnsi="宋体" w:cs="宋体"/>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eq \o\ac(</w:instrText>
            </w:r>
            <w:r>
              <w:rPr>
                <w:rFonts w:hint="eastAsia" w:ascii="宋体" w:hAnsi="宋体" w:cs="宋体"/>
                <w:color w:val="auto"/>
                <w:position w:val="-4"/>
                <w:sz w:val="22"/>
                <w:szCs w:val="22"/>
              </w:rPr>
              <w:instrText xml:space="preserve">□</w:instrText>
            </w:r>
            <w:r>
              <w:rPr>
                <w:rFonts w:hint="eastAsia" w:ascii="宋体" w:hAnsi="宋体" w:cs="宋体"/>
                <w:color w:val="auto"/>
                <w:sz w:val="22"/>
                <w:szCs w:val="22"/>
              </w:rPr>
              <w:instrText xml:space="preserve">,√)</w:instrText>
            </w:r>
            <w:r>
              <w:rPr>
                <w:rFonts w:hint="eastAsia" w:ascii="宋体" w:hAnsi="宋体" w:cs="宋体"/>
                <w:color w:val="auto"/>
                <w:sz w:val="22"/>
                <w:szCs w:val="22"/>
              </w:rPr>
              <w:fldChar w:fldCharType="end"/>
            </w:r>
            <w:r>
              <w:rPr>
                <w:rFonts w:hint="eastAsia" w:ascii="宋体" w:hAnsi="宋体" w:cs="宋体"/>
                <w:color w:val="auto"/>
                <w:sz w:val="22"/>
                <w:szCs w:val="22"/>
              </w:rPr>
              <w:t xml:space="preserve"> 不允许</w:t>
            </w:r>
          </w:p>
          <w:p w14:paraId="730C5A4E">
            <w:pPr>
              <w:adjustRightInd w:val="0"/>
              <w:spacing w:line="276" w:lineRule="auto"/>
              <w:rPr>
                <w:rFonts w:ascii="宋体" w:hAnsi="宋体" w:cs="宋体"/>
                <w:color w:val="auto"/>
                <w:sz w:val="22"/>
                <w:szCs w:val="22"/>
              </w:rPr>
            </w:pPr>
            <w:r>
              <w:rPr>
                <w:rFonts w:hint="eastAsia" w:ascii="宋体" w:hAnsi="宋体" w:cs="宋体"/>
                <w:color w:val="auto"/>
                <w:sz w:val="22"/>
                <w:szCs w:val="22"/>
              </w:rPr>
              <w:t>□ 允许</w:t>
            </w:r>
          </w:p>
        </w:tc>
      </w:tr>
      <w:tr w14:paraId="60DE8D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40" w:type="dxa"/>
            <w:vAlign w:val="center"/>
          </w:tcPr>
          <w:p w14:paraId="5FDDA223">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14</w:t>
            </w:r>
          </w:p>
        </w:tc>
        <w:tc>
          <w:tcPr>
            <w:tcW w:w="1740" w:type="dxa"/>
            <w:vAlign w:val="center"/>
          </w:tcPr>
          <w:p w14:paraId="60023812">
            <w:pPr>
              <w:adjustRightInd w:val="0"/>
              <w:jc w:val="center"/>
              <w:rPr>
                <w:rFonts w:ascii="宋体" w:hAnsi="宋体" w:cs="宋体"/>
                <w:color w:val="auto"/>
                <w:sz w:val="22"/>
                <w:szCs w:val="22"/>
              </w:rPr>
            </w:pPr>
            <w:r>
              <w:rPr>
                <w:rFonts w:hint="eastAsia" w:ascii="宋体" w:hAnsi="宋体" w:cs="宋体"/>
                <w:color w:val="auto"/>
                <w:sz w:val="22"/>
                <w:szCs w:val="22"/>
              </w:rPr>
              <w:t>投标货币</w:t>
            </w:r>
          </w:p>
        </w:tc>
        <w:tc>
          <w:tcPr>
            <w:tcW w:w="7691" w:type="dxa"/>
            <w:vAlign w:val="center"/>
          </w:tcPr>
          <w:p w14:paraId="057CD02C">
            <w:pPr>
              <w:adjustRightInd w:val="0"/>
              <w:spacing w:line="276" w:lineRule="auto"/>
              <w:rPr>
                <w:rFonts w:ascii="宋体" w:hAnsi="宋体" w:cs="宋体"/>
                <w:color w:val="auto"/>
                <w:sz w:val="22"/>
                <w:szCs w:val="22"/>
              </w:rPr>
            </w:pPr>
            <w:r>
              <w:rPr>
                <w:rFonts w:hint="eastAsia" w:ascii="宋体" w:hAnsi="宋体" w:cs="宋体"/>
                <w:color w:val="auto"/>
                <w:sz w:val="22"/>
                <w:szCs w:val="22"/>
              </w:rPr>
              <w:t>人民币</w:t>
            </w:r>
          </w:p>
        </w:tc>
      </w:tr>
      <w:tr w14:paraId="11F32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40" w:type="dxa"/>
            <w:vAlign w:val="center"/>
          </w:tcPr>
          <w:p w14:paraId="56EB06A4">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15</w:t>
            </w:r>
          </w:p>
        </w:tc>
        <w:tc>
          <w:tcPr>
            <w:tcW w:w="1740" w:type="dxa"/>
            <w:vAlign w:val="center"/>
          </w:tcPr>
          <w:p w14:paraId="42FAE7F7">
            <w:pPr>
              <w:adjustRightInd w:val="0"/>
              <w:jc w:val="center"/>
              <w:rPr>
                <w:rFonts w:ascii="宋体" w:hAnsi="宋体" w:cs="宋体"/>
                <w:color w:val="auto"/>
                <w:sz w:val="22"/>
                <w:szCs w:val="22"/>
              </w:rPr>
            </w:pPr>
            <w:r>
              <w:rPr>
                <w:rFonts w:hint="eastAsia" w:ascii="宋体" w:hAnsi="宋体" w:cs="宋体"/>
                <w:color w:val="auto"/>
                <w:sz w:val="22"/>
                <w:szCs w:val="22"/>
              </w:rPr>
              <w:t>投标语言</w:t>
            </w:r>
          </w:p>
        </w:tc>
        <w:tc>
          <w:tcPr>
            <w:tcW w:w="7691" w:type="dxa"/>
            <w:vAlign w:val="center"/>
          </w:tcPr>
          <w:p w14:paraId="210E29F8">
            <w:pPr>
              <w:adjustRightInd w:val="0"/>
              <w:spacing w:line="276" w:lineRule="auto"/>
              <w:rPr>
                <w:rFonts w:ascii="宋体" w:hAnsi="宋体" w:cs="宋体"/>
                <w:color w:val="auto"/>
                <w:sz w:val="22"/>
                <w:szCs w:val="22"/>
              </w:rPr>
            </w:pPr>
            <w:r>
              <w:rPr>
                <w:rFonts w:hint="eastAsia" w:ascii="宋体" w:hAnsi="宋体" w:cs="宋体"/>
                <w:color w:val="auto"/>
                <w:sz w:val="22"/>
                <w:szCs w:val="22"/>
              </w:rPr>
              <w:t>中文</w:t>
            </w:r>
          </w:p>
        </w:tc>
      </w:tr>
      <w:tr w14:paraId="753167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40" w:type="dxa"/>
            <w:vAlign w:val="center"/>
          </w:tcPr>
          <w:p w14:paraId="44069BA0">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16</w:t>
            </w:r>
          </w:p>
        </w:tc>
        <w:tc>
          <w:tcPr>
            <w:tcW w:w="1740" w:type="dxa"/>
            <w:vAlign w:val="center"/>
          </w:tcPr>
          <w:p w14:paraId="25D2B0C5">
            <w:pPr>
              <w:adjustRightInd w:val="0"/>
              <w:jc w:val="center"/>
              <w:rPr>
                <w:rFonts w:ascii="宋体" w:hAnsi="宋体" w:cs="Courier New"/>
                <w:b/>
                <w:color w:val="auto"/>
                <w:sz w:val="22"/>
                <w:szCs w:val="22"/>
              </w:rPr>
            </w:pPr>
            <w:r>
              <w:rPr>
                <w:rFonts w:hint="eastAsia" w:ascii="宋体" w:hAnsi="宋体" w:cs="Courier New"/>
                <w:b/>
                <w:color w:val="auto"/>
                <w:sz w:val="22"/>
                <w:szCs w:val="22"/>
              </w:rPr>
              <w:t>磋商响应文件的形式</w:t>
            </w:r>
          </w:p>
        </w:tc>
        <w:tc>
          <w:tcPr>
            <w:tcW w:w="7691" w:type="dxa"/>
            <w:vAlign w:val="center"/>
          </w:tcPr>
          <w:p w14:paraId="2686B2E1">
            <w:pPr>
              <w:spacing w:line="276" w:lineRule="auto"/>
              <w:rPr>
                <w:rFonts w:ascii="宋体" w:hAnsi="宋体" w:cs="Courier New"/>
                <w:b/>
                <w:color w:val="auto"/>
                <w:sz w:val="22"/>
                <w:szCs w:val="22"/>
              </w:rPr>
            </w:pPr>
            <w:r>
              <w:rPr>
                <w:rFonts w:hint="eastAsia" w:ascii="宋体" w:hAnsi="宋体" w:cs="Courier New"/>
                <w:b/>
                <w:color w:val="auto"/>
                <w:sz w:val="22"/>
                <w:szCs w:val="22"/>
              </w:rPr>
              <w:t>投标供应商应准备电子磋商响应文件</w:t>
            </w:r>
          </w:p>
          <w:p w14:paraId="2B288730">
            <w:pPr>
              <w:spacing w:line="276" w:lineRule="auto"/>
              <w:rPr>
                <w:rFonts w:ascii="宋体" w:hAnsi="宋体" w:cs="Courier New"/>
                <w:b/>
                <w:color w:val="auto"/>
                <w:sz w:val="22"/>
                <w:szCs w:val="22"/>
              </w:rPr>
            </w:pPr>
            <w:r>
              <w:rPr>
                <w:rFonts w:hint="eastAsia" w:ascii="宋体" w:hAnsi="宋体" w:cs="Courier New"/>
                <w:b/>
                <w:color w:val="auto"/>
                <w:sz w:val="22"/>
                <w:szCs w:val="22"/>
              </w:rPr>
              <w:t>电子磋商响应文件是指通过“政采云电子交易客户端”完成磋商响应文件编制后生成并加密的数据电文形式的电子加密磋商响应文件</w:t>
            </w:r>
          </w:p>
        </w:tc>
      </w:tr>
      <w:tr w14:paraId="2AB640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7A2B3F95">
            <w:pPr>
              <w:autoSpaceDE w:val="0"/>
              <w:autoSpaceDN w:val="0"/>
              <w:adjustRightInd w:val="0"/>
              <w:snapToGrid w:val="0"/>
              <w:spacing w:line="460" w:lineRule="exact"/>
              <w:jc w:val="center"/>
              <w:rPr>
                <w:rFonts w:ascii="宋体" w:hAnsi="宋体" w:cs="宋体"/>
                <w:color w:val="auto"/>
                <w:sz w:val="22"/>
                <w:szCs w:val="22"/>
              </w:rPr>
            </w:pPr>
            <w:r>
              <w:rPr>
                <w:rFonts w:hint="eastAsia" w:ascii="宋体" w:hAnsi="宋体" w:cs="宋体"/>
                <w:color w:val="auto"/>
                <w:sz w:val="22"/>
                <w:szCs w:val="22"/>
              </w:rPr>
              <w:t>17</w:t>
            </w:r>
          </w:p>
        </w:tc>
        <w:tc>
          <w:tcPr>
            <w:tcW w:w="1740" w:type="dxa"/>
            <w:vAlign w:val="center"/>
          </w:tcPr>
          <w:p w14:paraId="30ECFCC2">
            <w:pPr>
              <w:adjustRightInd w:val="0"/>
              <w:jc w:val="center"/>
              <w:rPr>
                <w:rFonts w:ascii="宋体" w:hAnsi="宋体" w:cs="Courier New"/>
                <w:b/>
                <w:color w:val="auto"/>
                <w:sz w:val="22"/>
                <w:szCs w:val="22"/>
              </w:rPr>
            </w:pPr>
            <w:r>
              <w:rPr>
                <w:rFonts w:hint="eastAsia" w:ascii="宋体" w:hAnsi="宋体" w:cs="Courier New"/>
                <w:b/>
                <w:color w:val="auto"/>
                <w:sz w:val="22"/>
                <w:szCs w:val="22"/>
              </w:rPr>
              <w:t>磋商响应文件的编制</w:t>
            </w:r>
          </w:p>
        </w:tc>
        <w:tc>
          <w:tcPr>
            <w:tcW w:w="7691" w:type="dxa"/>
            <w:vAlign w:val="center"/>
          </w:tcPr>
          <w:p w14:paraId="6E0AAD32">
            <w:pPr>
              <w:adjustRightInd w:val="0"/>
              <w:spacing w:line="276" w:lineRule="auto"/>
              <w:rPr>
                <w:rFonts w:ascii="宋体" w:hAnsi="宋体" w:cs="Courier New"/>
                <w:b/>
                <w:color w:val="auto"/>
                <w:sz w:val="22"/>
                <w:szCs w:val="22"/>
              </w:rPr>
            </w:pPr>
            <w:r>
              <w:rPr>
                <w:rFonts w:hint="eastAsia" w:ascii="宋体" w:hAnsi="宋体" w:cs="Courier New"/>
                <w:b/>
                <w:color w:val="auto"/>
                <w:sz w:val="22"/>
                <w:szCs w:val="22"/>
              </w:rPr>
              <w:t>供应商应先安装“政采云电子交易客户端”，并按照本磋商文件和“政府采购云平台”的要求，通过“政采云电子交易客户端”编制并加密磋商响应文件</w:t>
            </w:r>
          </w:p>
        </w:tc>
      </w:tr>
      <w:tr w14:paraId="35638B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42EBD51">
            <w:pPr>
              <w:autoSpaceDE w:val="0"/>
              <w:autoSpaceDN w:val="0"/>
              <w:adjustRightInd w:val="0"/>
              <w:snapToGrid w:val="0"/>
              <w:spacing w:line="460" w:lineRule="exact"/>
              <w:jc w:val="center"/>
              <w:rPr>
                <w:rFonts w:ascii="宋体" w:hAnsi="宋体" w:cs="宋体"/>
                <w:color w:val="auto"/>
                <w:sz w:val="22"/>
                <w:szCs w:val="22"/>
                <w:lang w:val="zh-CN"/>
              </w:rPr>
            </w:pPr>
            <w:r>
              <w:rPr>
                <w:rFonts w:hint="eastAsia" w:ascii="宋体" w:hAnsi="宋体" w:cs="宋体"/>
                <w:color w:val="auto"/>
                <w:sz w:val="22"/>
                <w:szCs w:val="22"/>
                <w:lang w:val="zh-CN"/>
              </w:rPr>
              <w:t>18</w:t>
            </w:r>
          </w:p>
        </w:tc>
        <w:tc>
          <w:tcPr>
            <w:tcW w:w="1740" w:type="dxa"/>
            <w:vAlign w:val="center"/>
          </w:tcPr>
          <w:p w14:paraId="7FCB1DBA">
            <w:pPr>
              <w:jc w:val="center"/>
              <w:rPr>
                <w:rFonts w:ascii="宋体" w:hAnsi="宋体" w:cs="Courier New"/>
                <w:b/>
                <w:color w:val="auto"/>
                <w:sz w:val="22"/>
                <w:szCs w:val="22"/>
              </w:rPr>
            </w:pPr>
            <w:r>
              <w:rPr>
                <w:rFonts w:hint="eastAsia" w:ascii="宋体" w:hAnsi="宋体" w:cs="Courier New"/>
                <w:b/>
                <w:color w:val="auto"/>
                <w:sz w:val="22"/>
                <w:szCs w:val="22"/>
              </w:rPr>
              <w:t>磋商响应文件份数</w:t>
            </w:r>
          </w:p>
        </w:tc>
        <w:tc>
          <w:tcPr>
            <w:tcW w:w="7691" w:type="dxa"/>
            <w:vAlign w:val="center"/>
          </w:tcPr>
          <w:p w14:paraId="02F9A17E">
            <w:pPr>
              <w:pStyle w:val="34"/>
              <w:tabs>
                <w:tab w:val="right" w:leader="dot" w:pos="9118"/>
              </w:tabs>
              <w:spacing w:line="276" w:lineRule="auto"/>
              <w:rPr>
                <w:rFonts w:cs="Courier New"/>
                <w:color w:val="auto"/>
                <w:sz w:val="22"/>
                <w:szCs w:val="22"/>
              </w:rPr>
            </w:pPr>
            <w:r>
              <w:rPr>
                <w:rFonts w:hint="eastAsia" w:cs="Courier New"/>
                <w:color w:val="auto"/>
                <w:sz w:val="22"/>
                <w:szCs w:val="22"/>
              </w:rPr>
              <w:t>“电子加密磋商响应文件”：在线上传递交，一份</w:t>
            </w:r>
          </w:p>
        </w:tc>
      </w:tr>
      <w:tr w14:paraId="1422F6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53C37305">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19</w:t>
            </w:r>
          </w:p>
        </w:tc>
        <w:tc>
          <w:tcPr>
            <w:tcW w:w="1740" w:type="dxa"/>
            <w:vAlign w:val="center"/>
          </w:tcPr>
          <w:p w14:paraId="34288511">
            <w:pPr>
              <w:jc w:val="center"/>
              <w:rPr>
                <w:rFonts w:ascii="宋体" w:hAnsi="宋体" w:cs="Courier New"/>
                <w:b/>
                <w:color w:val="auto"/>
                <w:sz w:val="22"/>
                <w:szCs w:val="22"/>
              </w:rPr>
            </w:pPr>
            <w:r>
              <w:rPr>
                <w:rFonts w:hint="eastAsia" w:ascii="宋体" w:hAnsi="宋体" w:cs="Courier New"/>
                <w:b/>
                <w:color w:val="auto"/>
                <w:sz w:val="22"/>
                <w:szCs w:val="22"/>
              </w:rPr>
              <w:t>投标有效期</w:t>
            </w:r>
          </w:p>
        </w:tc>
        <w:tc>
          <w:tcPr>
            <w:tcW w:w="7691" w:type="dxa"/>
            <w:vAlign w:val="center"/>
          </w:tcPr>
          <w:p w14:paraId="17A7ACC5">
            <w:pPr>
              <w:spacing w:line="276" w:lineRule="auto"/>
              <w:rPr>
                <w:rFonts w:ascii="宋体" w:hAnsi="宋体" w:cs="Courier New"/>
                <w:b/>
                <w:color w:val="auto"/>
                <w:sz w:val="22"/>
                <w:szCs w:val="22"/>
              </w:rPr>
            </w:pPr>
            <w:r>
              <w:rPr>
                <w:rFonts w:hint="eastAsia" w:ascii="宋体" w:hAnsi="宋体" w:cs="Courier New"/>
                <w:b/>
                <w:color w:val="auto"/>
                <w:sz w:val="22"/>
                <w:szCs w:val="22"/>
              </w:rPr>
              <w:t>提交磋商响应文件截止时间起90天内。</w:t>
            </w:r>
          </w:p>
        </w:tc>
      </w:tr>
      <w:tr w14:paraId="281C58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768279B0">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20</w:t>
            </w:r>
          </w:p>
        </w:tc>
        <w:tc>
          <w:tcPr>
            <w:tcW w:w="1740" w:type="dxa"/>
            <w:vAlign w:val="center"/>
          </w:tcPr>
          <w:p w14:paraId="0373975D">
            <w:pPr>
              <w:jc w:val="center"/>
              <w:rPr>
                <w:rFonts w:ascii="宋体" w:hAnsi="宋体" w:cs="Courier New"/>
                <w:b/>
                <w:color w:val="auto"/>
                <w:sz w:val="22"/>
                <w:szCs w:val="22"/>
              </w:rPr>
            </w:pPr>
            <w:r>
              <w:rPr>
                <w:rFonts w:hint="eastAsia" w:ascii="宋体" w:hAnsi="宋体" w:cs="Courier New"/>
                <w:b/>
                <w:color w:val="auto"/>
                <w:sz w:val="22"/>
                <w:szCs w:val="22"/>
              </w:rPr>
              <w:t>磋商响应文件的签章</w:t>
            </w:r>
          </w:p>
        </w:tc>
        <w:tc>
          <w:tcPr>
            <w:tcW w:w="7691" w:type="dxa"/>
            <w:vAlign w:val="center"/>
          </w:tcPr>
          <w:p w14:paraId="3B037C93">
            <w:pPr>
              <w:spacing w:line="276" w:lineRule="auto"/>
              <w:rPr>
                <w:rFonts w:ascii="宋体" w:hAnsi="宋体" w:cs="Courier New"/>
                <w:b/>
                <w:color w:val="auto"/>
                <w:sz w:val="22"/>
                <w:szCs w:val="22"/>
              </w:rPr>
            </w:pPr>
            <w:r>
              <w:rPr>
                <w:rFonts w:hint="eastAsia" w:ascii="宋体" w:hAnsi="宋体" w:cs="Courier New"/>
                <w:b/>
                <w:color w:val="auto"/>
                <w:sz w:val="22"/>
                <w:szCs w:val="22"/>
              </w:rPr>
              <w:t>磋商响应文件中所涉及的公章均采用CA电子签章。</w:t>
            </w:r>
          </w:p>
        </w:tc>
      </w:tr>
      <w:tr w14:paraId="666B8F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40" w:type="dxa"/>
            <w:vAlign w:val="center"/>
          </w:tcPr>
          <w:p w14:paraId="449D2FAB">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21</w:t>
            </w:r>
          </w:p>
        </w:tc>
        <w:tc>
          <w:tcPr>
            <w:tcW w:w="1740" w:type="dxa"/>
            <w:vAlign w:val="center"/>
          </w:tcPr>
          <w:p w14:paraId="6A3238B2">
            <w:pPr>
              <w:jc w:val="center"/>
              <w:rPr>
                <w:rFonts w:ascii="宋体" w:hAnsi="宋体" w:cs="宋体"/>
                <w:color w:val="auto"/>
                <w:sz w:val="22"/>
                <w:szCs w:val="22"/>
              </w:rPr>
            </w:pPr>
            <w:r>
              <w:rPr>
                <w:rFonts w:hint="eastAsia" w:ascii="宋体" w:hAnsi="宋体" w:cs="宋体"/>
                <w:color w:val="auto"/>
                <w:sz w:val="22"/>
                <w:szCs w:val="22"/>
              </w:rPr>
              <w:t>投标样品</w:t>
            </w:r>
          </w:p>
        </w:tc>
        <w:tc>
          <w:tcPr>
            <w:tcW w:w="7691" w:type="dxa"/>
            <w:vAlign w:val="center"/>
          </w:tcPr>
          <w:p w14:paraId="20484DCC">
            <w:pPr>
              <w:spacing w:line="276" w:lineRule="auto"/>
              <w:rPr>
                <w:rFonts w:ascii="宋体" w:hAnsi="宋体" w:cs="宋体"/>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eq \o\ac(</w:instrText>
            </w:r>
            <w:r>
              <w:rPr>
                <w:rFonts w:hint="eastAsia" w:ascii="宋体" w:hAnsi="宋体" w:cs="宋体"/>
                <w:color w:val="auto"/>
                <w:position w:val="-4"/>
                <w:sz w:val="22"/>
                <w:szCs w:val="22"/>
              </w:rPr>
              <w:instrText xml:space="preserve">□</w:instrText>
            </w:r>
            <w:r>
              <w:rPr>
                <w:rFonts w:hint="eastAsia" w:ascii="宋体" w:hAnsi="宋体" w:cs="宋体"/>
                <w:color w:val="auto"/>
                <w:sz w:val="22"/>
                <w:szCs w:val="22"/>
              </w:rPr>
              <w:instrText xml:space="preserve">,√)</w:instrText>
            </w:r>
            <w:r>
              <w:rPr>
                <w:rFonts w:hint="eastAsia" w:ascii="宋体" w:hAnsi="宋体" w:cs="宋体"/>
                <w:color w:val="auto"/>
                <w:sz w:val="22"/>
                <w:szCs w:val="22"/>
              </w:rPr>
              <w:fldChar w:fldCharType="end"/>
            </w:r>
            <w:r>
              <w:rPr>
                <w:rFonts w:hint="eastAsia" w:ascii="宋体" w:hAnsi="宋体" w:cs="宋体"/>
                <w:color w:val="auto"/>
                <w:sz w:val="22"/>
                <w:szCs w:val="22"/>
              </w:rPr>
              <w:t>不需要</w:t>
            </w:r>
          </w:p>
          <w:p w14:paraId="663D164B">
            <w:pPr>
              <w:spacing w:line="276" w:lineRule="auto"/>
              <w:rPr>
                <w:rFonts w:ascii="宋体" w:hAnsi="宋体" w:cs="宋体"/>
                <w:color w:val="auto"/>
                <w:sz w:val="22"/>
                <w:szCs w:val="22"/>
              </w:rPr>
            </w:pPr>
            <w:r>
              <w:rPr>
                <w:rFonts w:hint="eastAsia" w:ascii="宋体" w:hAnsi="宋体" w:cs="宋体"/>
                <w:color w:val="auto"/>
                <w:sz w:val="22"/>
                <w:szCs w:val="22"/>
              </w:rPr>
              <w:t>□需要</w:t>
            </w:r>
          </w:p>
        </w:tc>
      </w:tr>
      <w:tr w14:paraId="664B1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40" w:type="dxa"/>
            <w:vAlign w:val="center"/>
          </w:tcPr>
          <w:p w14:paraId="4BBE9D14">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22</w:t>
            </w:r>
          </w:p>
        </w:tc>
        <w:tc>
          <w:tcPr>
            <w:tcW w:w="1740" w:type="dxa"/>
            <w:vAlign w:val="center"/>
          </w:tcPr>
          <w:p w14:paraId="60BEC1CC">
            <w:pPr>
              <w:jc w:val="center"/>
              <w:rPr>
                <w:rFonts w:ascii="宋体" w:hAnsi="宋体" w:cs="宋体"/>
                <w:color w:val="auto"/>
                <w:sz w:val="22"/>
                <w:szCs w:val="22"/>
              </w:rPr>
            </w:pPr>
            <w:r>
              <w:rPr>
                <w:rFonts w:hint="eastAsia" w:ascii="宋体" w:hAnsi="宋体" w:cs="宋体"/>
                <w:color w:val="auto"/>
                <w:sz w:val="22"/>
                <w:szCs w:val="22"/>
              </w:rPr>
              <w:t>保证金</w:t>
            </w:r>
          </w:p>
        </w:tc>
        <w:tc>
          <w:tcPr>
            <w:tcW w:w="7691" w:type="dxa"/>
            <w:vAlign w:val="center"/>
          </w:tcPr>
          <w:p w14:paraId="3493BA09">
            <w:pPr>
              <w:spacing w:line="276" w:lineRule="auto"/>
              <w:rPr>
                <w:rFonts w:ascii="宋体" w:hAnsi="宋体" w:cs="宋体"/>
                <w:color w:val="auto"/>
                <w:sz w:val="22"/>
                <w:szCs w:val="22"/>
              </w:rPr>
            </w:pPr>
            <w:r>
              <w:rPr>
                <w:rFonts w:hint="eastAsia" w:ascii="宋体" w:hAnsi="宋体" w:cs="宋体"/>
                <w:bCs/>
                <w:color w:val="auto"/>
                <w:sz w:val="22"/>
                <w:szCs w:val="22"/>
              </w:rPr>
              <w:t>无</w:t>
            </w:r>
          </w:p>
        </w:tc>
      </w:tr>
      <w:tr w14:paraId="44164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40" w:type="dxa"/>
            <w:vAlign w:val="center"/>
          </w:tcPr>
          <w:p w14:paraId="3B8C20F3">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23</w:t>
            </w:r>
          </w:p>
        </w:tc>
        <w:tc>
          <w:tcPr>
            <w:tcW w:w="1740" w:type="dxa"/>
            <w:vAlign w:val="center"/>
          </w:tcPr>
          <w:p w14:paraId="570F5678">
            <w:pPr>
              <w:adjustRightInd w:val="0"/>
              <w:jc w:val="center"/>
              <w:rPr>
                <w:rFonts w:ascii="宋体" w:hAnsi="宋体" w:cs="宋体"/>
                <w:color w:val="auto"/>
                <w:sz w:val="22"/>
                <w:szCs w:val="22"/>
              </w:rPr>
            </w:pPr>
            <w:r>
              <w:rPr>
                <w:rFonts w:hint="eastAsia" w:ascii="宋体" w:hAnsi="宋体" w:cs="宋体"/>
                <w:color w:val="auto"/>
                <w:sz w:val="22"/>
                <w:szCs w:val="22"/>
              </w:rPr>
              <w:t>履约担保</w:t>
            </w:r>
          </w:p>
        </w:tc>
        <w:tc>
          <w:tcPr>
            <w:tcW w:w="7691" w:type="dxa"/>
            <w:vAlign w:val="center"/>
          </w:tcPr>
          <w:p w14:paraId="06EBA386">
            <w:pPr>
              <w:spacing w:line="276" w:lineRule="auto"/>
              <w:rPr>
                <w:rFonts w:ascii="宋体" w:hAnsi="宋体" w:cs="宋体"/>
                <w:color w:val="auto"/>
                <w:sz w:val="22"/>
                <w:szCs w:val="22"/>
              </w:rPr>
            </w:pP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eq \o\ac(</w:instrText>
            </w:r>
            <w:r>
              <w:rPr>
                <w:rFonts w:hint="eastAsia" w:ascii="宋体" w:hAnsi="宋体" w:cs="宋体"/>
                <w:color w:val="auto"/>
                <w:position w:val="-4"/>
                <w:sz w:val="22"/>
                <w:szCs w:val="22"/>
              </w:rPr>
              <w:instrText xml:space="preserve">□</w:instrText>
            </w:r>
            <w:r>
              <w:rPr>
                <w:rFonts w:hint="eastAsia" w:ascii="宋体" w:hAnsi="宋体" w:cs="宋体"/>
                <w:color w:val="auto"/>
                <w:sz w:val="22"/>
                <w:szCs w:val="22"/>
              </w:rPr>
              <w:instrText xml:space="preserve">,√)</w:instrText>
            </w:r>
            <w:r>
              <w:rPr>
                <w:rFonts w:hint="eastAsia" w:ascii="宋体" w:hAnsi="宋体" w:cs="宋体"/>
                <w:color w:val="auto"/>
                <w:sz w:val="22"/>
                <w:szCs w:val="22"/>
              </w:rPr>
              <w:fldChar w:fldCharType="end"/>
            </w:r>
            <w:r>
              <w:rPr>
                <w:rFonts w:hint="eastAsia" w:ascii="宋体" w:hAnsi="宋体" w:cs="宋体"/>
                <w:color w:val="auto"/>
                <w:sz w:val="22"/>
                <w:szCs w:val="22"/>
              </w:rPr>
              <w:t>不需要</w:t>
            </w:r>
          </w:p>
          <w:p w14:paraId="7742D7C3">
            <w:pPr>
              <w:adjustRightInd w:val="0"/>
              <w:spacing w:line="276" w:lineRule="auto"/>
              <w:rPr>
                <w:rFonts w:ascii="宋体" w:hAnsi="宋体" w:cs="宋体"/>
                <w:b/>
                <w:bCs/>
                <w:color w:val="auto"/>
                <w:sz w:val="22"/>
                <w:szCs w:val="22"/>
              </w:rPr>
            </w:pPr>
            <w:r>
              <w:rPr>
                <w:rFonts w:hint="eastAsia" w:ascii="宋体" w:hAnsi="宋体" w:cs="宋体"/>
                <w:color w:val="auto"/>
                <w:sz w:val="22"/>
                <w:szCs w:val="22"/>
              </w:rPr>
              <w:t>□需要  合同签订后成交供应商应向采购人提供成交价</w:t>
            </w:r>
            <w:r>
              <w:rPr>
                <w:rFonts w:ascii="宋体" w:hAnsi="宋体" w:cs="宋体"/>
                <w:color w:val="auto"/>
                <w:sz w:val="22"/>
                <w:szCs w:val="22"/>
                <w:u w:val="single"/>
              </w:rPr>
              <w:t xml:space="preserve"> / </w:t>
            </w:r>
            <w:r>
              <w:rPr>
                <w:rFonts w:hint="eastAsia" w:ascii="宋体" w:hAnsi="宋体" w:cs="宋体"/>
                <w:color w:val="auto"/>
                <w:sz w:val="22"/>
                <w:szCs w:val="22"/>
              </w:rPr>
              <w:t>%的履约保证金，</w:t>
            </w:r>
            <w:r>
              <w:rPr>
                <w:rFonts w:hint="eastAsia" w:ascii="宋体" w:hAnsi="宋体" w:cs="Courier New"/>
                <w:color w:val="auto"/>
                <w:sz w:val="22"/>
                <w:szCs w:val="22"/>
              </w:rPr>
              <w:t>履约保证金可以采用银行或者保险公司出具的保函等形式</w:t>
            </w:r>
            <w:r>
              <w:rPr>
                <w:rFonts w:hint="eastAsia" w:ascii="宋体" w:hAnsi="宋体" w:cs="Courier New"/>
                <w:b/>
                <w:bCs/>
                <w:color w:val="auto"/>
                <w:sz w:val="22"/>
                <w:szCs w:val="22"/>
              </w:rPr>
              <w:t>。</w:t>
            </w:r>
          </w:p>
        </w:tc>
      </w:tr>
      <w:tr w14:paraId="39426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28" w:hRule="atLeast"/>
          <w:jc w:val="center"/>
        </w:trPr>
        <w:tc>
          <w:tcPr>
            <w:tcW w:w="740" w:type="dxa"/>
            <w:vAlign w:val="center"/>
          </w:tcPr>
          <w:p w14:paraId="1CAEB344">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24</w:t>
            </w:r>
          </w:p>
        </w:tc>
        <w:tc>
          <w:tcPr>
            <w:tcW w:w="1740" w:type="dxa"/>
            <w:vAlign w:val="center"/>
          </w:tcPr>
          <w:p w14:paraId="7E559C18">
            <w:pPr>
              <w:jc w:val="center"/>
              <w:rPr>
                <w:rFonts w:ascii="宋体" w:hAnsi="宋体" w:cs="宋体"/>
                <w:color w:val="auto"/>
                <w:sz w:val="22"/>
                <w:szCs w:val="22"/>
              </w:rPr>
            </w:pPr>
            <w:r>
              <w:rPr>
                <w:rFonts w:hint="eastAsia" w:ascii="宋体" w:hAnsi="宋体" w:cs="宋体"/>
                <w:color w:val="auto"/>
                <w:sz w:val="22"/>
                <w:szCs w:val="22"/>
              </w:rPr>
              <w:t>竞争性磋商文件获取方式</w:t>
            </w:r>
          </w:p>
        </w:tc>
        <w:tc>
          <w:tcPr>
            <w:tcW w:w="7691" w:type="dxa"/>
            <w:vAlign w:val="center"/>
          </w:tcPr>
          <w:p w14:paraId="4E95ACF4">
            <w:pPr>
              <w:spacing w:line="276" w:lineRule="auto"/>
              <w:rPr>
                <w:rFonts w:ascii="宋体" w:hAnsi="宋体" w:cs="宋体"/>
                <w:color w:val="auto"/>
                <w:sz w:val="22"/>
                <w:szCs w:val="22"/>
              </w:rPr>
            </w:pPr>
            <w:r>
              <w:rPr>
                <w:rFonts w:hint="eastAsia" w:ascii="宋体" w:hAnsi="宋体" w:cs="宋体"/>
                <w:color w:val="auto"/>
                <w:sz w:val="22"/>
                <w:szCs w:val="22"/>
              </w:rPr>
              <w:t>见公告具体说明。</w:t>
            </w:r>
          </w:p>
        </w:tc>
      </w:tr>
      <w:tr w14:paraId="0B5AB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3A160870">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25</w:t>
            </w:r>
          </w:p>
        </w:tc>
        <w:tc>
          <w:tcPr>
            <w:tcW w:w="1740" w:type="dxa"/>
            <w:vAlign w:val="center"/>
          </w:tcPr>
          <w:p w14:paraId="5B53F9F0">
            <w:pPr>
              <w:jc w:val="center"/>
              <w:rPr>
                <w:rFonts w:ascii="宋体" w:hAnsi="宋体" w:cs="Courier New"/>
                <w:b/>
                <w:color w:val="auto"/>
                <w:sz w:val="22"/>
                <w:szCs w:val="22"/>
              </w:rPr>
            </w:pPr>
            <w:r>
              <w:rPr>
                <w:rFonts w:hint="eastAsia" w:ascii="宋体" w:hAnsi="宋体" w:cs="Courier New"/>
                <w:b/>
                <w:color w:val="auto"/>
                <w:sz w:val="22"/>
                <w:szCs w:val="22"/>
              </w:rPr>
              <w:t>响应文件递交截止时间</w:t>
            </w:r>
          </w:p>
          <w:p w14:paraId="7D616925">
            <w:pPr>
              <w:jc w:val="center"/>
              <w:rPr>
                <w:rFonts w:ascii="宋体" w:hAnsi="宋体" w:cs="Courier New"/>
                <w:b/>
                <w:color w:val="auto"/>
                <w:sz w:val="22"/>
                <w:szCs w:val="22"/>
              </w:rPr>
            </w:pPr>
            <w:r>
              <w:rPr>
                <w:rFonts w:hint="eastAsia" w:ascii="宋体" w:hAnsi="宋体" w:cs="Courier New"/>
                <w:b/>
                <w:color w:val="auto"/>
                <w:sz w:val="22"/>
                <w:szCs w:val="22"/>
              </w:rPr>
              <w:t>投标地点</w:t>
            </w:r>
          </w:p>
        </w:tc>
        <w:tc>
          <w:tcPr>
            <w:tcW w:w="7691" w:type="dxa"/>
            <w:vAlign w:val="center"/>
          </w:tcPr>
          <w:p w14:paraId="017DF16C">
            <w:pPr>
              <w:spacing w:line="276" w:lineRule="auto"/>
              <w:rPr>
                <w:rFonts w:ascii="宋体" w:hAnsi="宋体" w:cs="Courier New"/>
                <w:b/>
                <w:color w:val="auto"/>
                <w:sz w:val="22"/>
                <w:szCs w:val="22"/>
              </w:rPr>
            </w:pPr>
            <w:r>
              <w:rPr>
                <w:rFonts w:hint="eastAsia" w:ascii="宋体" w:hAnsi="宋体" w:cs="Courier New"/>
                <w:b/>
                <w:color w:val="auto"/>
                <w:sz w:val="22"/>
                <w:szCs w:val="22"/>
              </w:rPr>
              <w:t>202</w:t>
            </w:r>
            <w:r>
              <w:rPr>
                <w:rFonts w:hint="eastAsia" w:ascii="宋体" w:hAnsi="宋体" w:cs="Courier New"/>
                <w:b/>
                <w:color w:val="auto"/>
                <w:sz w:val="22"/>
                <w:szCs w:val="22"/>
                <w:lang w:val="en-US" w:eastAsia="zh-CN"/>
              </w:rPr>
              <w:t>4</w:t>
            </w:r>
            <w:r>
              <w:rPr>
                <w:rFonts w:hint="eastAsia" w:ascii="宋体" w:hAnsi="宋体" w:cs="Courier New"/>
                <w:b/>
                <w:color w:val="auto"/>
                <w:sz w:val="22"/>
                <w:szCs w:val="22"/>
              </w:rPr>
              <w:t>年</w:t>
            </w:r>
            <w:r>
              <w:rPr>
                <w:rFonts w:hint="eastAsia" w:ascii="宋体" w:hAnsi="宋体" w:cs="Courier New"/>
                <w:b/>
                <w:color w:val="auto"/>
                <w:sz w:val="22"/>
                <w:szCs w:val="22"/>
                <w:lang w:val="en-US" w:eastAsia="zh-CN"/>
              </w:rPr>
              <w:t>12</w:t>
            </w:r>
            <w:r>
              <w:rPr>
                <w:rFonts w:hint="eastAsia" w:ascii="宋体" w:hAnsi="宋体" w:cs="Courier New"/>
                <w:b/>
                <w:color w:val="auto"/>
                <w:sz w:val="22"/>
                <w:szCs w:val="22"/>
              </w:rPr>
              <w:t>月</w:t>
            </w:r>
            <w:r>
              <w:rPr>
                <w:rFonts w:hint="eastAsia" w:ascii="宋体" w:hAnsi="宋体" w:cs="Courier New"/>
                <w:b/>
                <w:color w:val="auto"/>
                <w:sz w:val="22"/>
                <w:szCs w:val="22"/>
                <w:lang w:val="en-US" w:eastAsia="zh-CN"/>
              </w:rPr>
              <w:t>17</w:t>
            </w:r>
            <w:r>
              <w:rPr>
                <w:rFonts w:hint="eastAsia" w:ascii="宋体" w:hAnsi="宋体" w:cs="Courier New"/>
                <w:b/>
                <w:color w:val="auto"/>
                <w:sz w:val="22"/>
                <w:szCs w:val="22"/>
              </w:rPr>
              <w:t xml:space="preserve">日 </w:t>
            </w:r>
            <w:r>
              <w:rPr>
                <w:rFonts w:hint="eastAsia" w:ascii="宋体" w:hAnsi="宋体" w:cs="Courier New"/>
                <w:b/>
                <w:color w:val="auto"/>
                <w:sz w:val="22"/>
                <w:szCs w:val="22"/>
                <w:lang w:val="en-US" w:eastAsia="zh-CN"/>
              </w:rPr>
              <w:t>09</w:t>
            </w:r>
            <w:r>
              <w:rPr>
                <w:rFonts w:hint="eastAsia" w:ascii="宋体" w:hAnsi="宋体" w:cs="Courier New"/>
                <w:b/>
                <w:color w:val="auto"/>
                <w:sz w:val="22"/>
                <w:szCs w:val="22"/>
              </w:rPr>
              <w:t>:30分截止(北京时间)。</w:t>
            </w:r>
          </w:p>
          <w:p w14:paraId="7E252F8D">
            <w:pPr>
              <w:spacing w:line="276" w:lineRule="auto"/>
              <w:rPr>
                <w:rFonts w:ascii="宋体" w:hAnsi="宋体" w:cs="Courier New"/>
                <w:b/>
                <w:color w:val="auto"/>
                <w:sz w:val="22"/>
                <w:szCs w:val="22"/>
              </w:rPr>
            </w:pPr>
            <w:r>
              <w:rPr>
                <w:rFonts w:hint="eastAsia" w:ascii="宋体" w:hAnsi="宋体" w:cs="Courier New"/>
                <w:b/>
                <w:color w:val="auto"/>
                <w:sz w:val="22"/>
                <w:szCs w:val="22"/>
              </w:rPr>
              <w:t>投标地点：</w:t>
            </w:r>
            <w:r>
              <w:rPr>
                <w:rFonts w:hint="eastAsia" w:ascii="宋体" w:hAnsi="宋体"/>
                <w:b/>
                <w:color w:val="auto"/>
                <w:sz w:val="22"/>
              </w:rPr>
              <w:t>通过政府采购云平台投标客户端在线投标</w:t>
            </w:r>
          </w:p>
        </w:tc>
      </w:tr>
      <w:tr w14:paraId="7B1EE2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40" w:type="dxa"/>
            <w:vAlign w:val="center"/>
          </w:tcPr>
          <w:p w14:paraId="6DF18B19">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26</w:t>
            </w:r>
          </w:p>
        </w:tc>
        <w:tc>
          <w:tcPr>
            <w:tcW w:w="1740" w:type="dxa"/>
            <w:vAlign w:val="center"/>
          </w:tcPr>
          <w:p w14:paraId="5F410CBA">
            <w:pPr>
              <w:jc w:val="center"/>
              <w:rPr>
                <w:rFonts w:ascii="宋体" w:hAnsi="宋体" w:cs="Courier New"/>
                <w:b/>
                <w:color w:val="auto"/>
                <w:sz w:val="22"/>
                <w:szCs w:val="22"/>
              </w:rPr>
            </w:pPr>
            <w:r>
              <w:rPr>
                <w:rFonts w:hint="eastAsia" w:ascii="宋体" w:hAnsi="宋体"/>
                <w:b/>
                <w:color w:val="auto"/>
                <w:sz w:val="22"/>
                <w:szCs w:val="22"/>
              </w:rPr>
              <w:t>磋商开始</w:t>
            </w:r>
            <w:r>
              <w:rPr>
                <w:rFonts w:hint="eastAsia" w:ascii="宋体" w:hAnsi="宋体" w:cs="Courier New"/>
                <w:b/>
                <w:color w:val="auto"/>
                <w:sz w:val="22"/>
                <w:szCs w:val="22"/>
              </w:rPr>
              <w:t>时间</w:t>
            </w:r>
          </w:p>
          <w:p w14:paraId="52F083BB">
            <w:pPr>
              <w:jc w:val="center"/>
              <w:rPr>
                <w:rFonts w:ascii="宋体" w:hAnsi="宋体" w:cs="Courier New"/>
                <w:b/>
                <w:color w:val="auto"/>
                <w:sz w:val="22"/>
                <w:szCs w:val="22"/>
              </w:rPr>
            </w:pPr>
            <w:r>
              <w:rPr>
                <w:rFonts w:hint="eastAsia" w:ascii="宋体" w:hAnsi="宋体" w:cs="Courier New"/>
                <w:b/>
                <w:color w:val="auto"/>
                <w:sz w:val="22"/>
                <w:szCs w:val="22"/>
              </w:rPr>
              <w:t>磋商地点</w:t>
            </w:r>
          </w:p>
        </w:tc>
        <w:tc>
          <w:tcPr>
            <w:tcW w:w="7691" w:type="dxa"/>
            <w:vAlign w:val="center"/>
          </w:tcPr>
          <w:p w14:paraId="35412954">
            <w:pPr>
              <w:spacing w:line="276" w:lineRule="auto"/>
              <w:rPr>
                <w:rFonts w:ascii="宋体" w:hAnsi="宋体" w:cs="Courier New"/>
                <w:b/>
                <w:color w:val="auto"/>
                <w:sz w:val="22"/>
                <w:szCs w:val="22"/>
              </w:rPr>
            </w:pPr>
            <w:r>
              <w:rPr>
                <w:rFonts w:hint="eastAsia" w:ascii="宋体" w:hAnsi="宋体"/>
                <w:b/>
                <w:color w:val="auto"/>
                <w:sz w:val="22"/>
                <w:szCs w:val="22"/>
              </w:rPr>
              <w:t>磋商开始</w:t>
            </w:r>
            <w:r>
              <w:rPr>
                <w:rFonts w:hint="eastAsia" w:ascii="宋体" w:hAnsi="宋体" w:cs="Courier New"/>
                <w:b/>
                <w:color w:val="auto"/>
                <w:sz w:val="22"/>
                <w:szCs w:val="22"/>
              </w:rPr>
              <w:t>时间：202</w:t>
            </w:r>
            <w:r>
              <w:rPr>
                <w:rFonts w:hint="eastAsia" w:ascii="宋体" w:hAnsi="宋体" w:cs="Courier New"/>
                <w:b/>
                <w:color w:val="auto"/>
                <w:sz w:val="22"/>
                <w:szCs w:val="22"/>
                <w:lang w:val="en-US" w:eastAsia="zh-CN"/>
              </w:rPr>
              <w:t>4</w:t>
            </w:r>
            <w:r>
              <w:rPr>
                <w:rFonts w:hint="eastAsia" w:ascii="宋体" w:hAnsi="宋体" w:cs="Courier New"/>
                <w:b/>
                <w:color w:val="auto"/>
                <w:sz w:val="22"/>
                <w:szCs w:val="22"/>
              </w:rPr>
              <w:t>年</w:t>
            </w:r>
            <w:r>
              <w:rPr>
                <w:rFonts w:hint="eastAsia" w:ascii="宋体" w:hAnsi="宋体" w:cs="Courier New"/>
                <w:b/>
                <w:color w:val="auto"/>
                <w:sz w:val="22"/>
                <w:szCs w:val="22"/>
                <w:lang w:val="en-US" w:eastAsia="zh-CN"/>
              </w:rPr>
              <w:t>12</w:t>
            </w:r>
            <w:r>
              <w:rPr>
                <w:rFonts w:hint="eastAsia" w:ascii="宋体" w:hAnsi="宋体" w:cs="Courier New"/>
                <w:b/>
                <w:color w:val="auto"/>
                <w:sz w:val="22"/>
                <w:szCs w:val="22"/>
              </w:rPr>
              <w:t>月</w:t>
            </w:r>
            <w:r>
              <w:rPr>
                <w:rFonts w:hint="eastAsia" w:ascii="宋体" w:hAnsi="宋体" w:cs="Courier New"/>
                <w:b/>
                <w:color w:val="auto"/>
                <w:sz w:val="22"/>
                <w:szCs w:val="22"/>
                <w:lang w:val="en-US" w:eastAsia="zh-CN"/>
              </w:rPr>
              <w:t>17</w:t>
            </w:r>
            <w:r>
              <w:rPr>
                <w:rFonts w:hint="eastAsia" w:ascii="宋体" w:hAnsi="宋体" w:cs="Courier New"/>
                <w:b/>
                <w:color w:val="auto"/>
                <w:sz w:val="22"/>
                <w:szCs w:val="22"/>
              </w:rPr>
              <w:t xml:space="preserve">日 </w:t>
            </w:r>
            <w:r>
              <w:rPr>
                <w:rFonts w:hint="eastAsia" w:ascii="宋体" w:hAnsi="宋体" w:cs="Courier New"/>
                <w:b/>
                <w:color w:val="auto"/>
                <w:sz w:val="22"/>
                <w:szCs w:val="22"/>
                <w:lang w:val="en-US" w:eastAsia="zh-CN"/>
              </w:rPr>
              <w:t>09</w:t>
            </w:r>
            <w:r>
              <w:rPr>
                <w:rFonts w:hint="eastAsia" w:ascii="宋体" w:hAnsi="宋体" w:cs="Courier New"/>
                <w:b/>
                <w:color w:val="auto"/>
                <w:sz w:val="22"/>
                <w:szCs w:val="22"/>
              </w:rPr>
              <w:t>:30分  (北京时间)</w:t>
            </w:r>
          </w:p>
          <w:p w14:paraId="2AE7F03A">
            <w:pPr>
              <w:spacing w:line="276" w:lineRule="auto"/>
              <w:rPr>
                <w:rFonts w:ascii="宋体" w:hAnsi="宋体" w:cs="Courier New"/>
                <w:b/>
                <w:color w:val="auto"/>
                <w:sz w:val="22"/>
                <w:szCs w:val="22"/>
              </w:rPr>
            </w:pPr>
            <w:r>
              <w:rPr>
                <w:rFonts w:hint="eastAsia" w:ascii="宋体" w:hAnsi="宋体" w:cs="Courier New"/>
                <w:b/>
                <w:color w:val="auto"/>
                <w:sz w:val="22"/>
                <w:szCs w:val="22"/>
              </w:rPr>
              <w:t>磋商地点：</w:t>
            </w:r>
            <w:r>
              <w:rPr>
                <w:rFonts w:hint="eastAsia" w:ascii="宋体" w:hAnsi="宋体"/>
                <w:b/>
                <w:color w:val="auto"/>
                <w:sz w:val="22"/>
                <w:szCs w:val="22"/>
              </w:rPr>
              <w:t>温州市牛山北路1</w:t>
            </w:r>
            <w:r>
              <w:rPr>
                <w:rFonts w:ascii="宋体" w:hAnsi="宋体"/>
                <w:b/>
                <w:color w:val="auto"/>
                <w:sz w:val="22"/>
                <w:szCs w:val="22"/>
              </w:rPr>
              <w:t>3</w:t>
            </w:r>
            <w:r>
              <w:rPr>
                <w:rFonts w:hint="eastAsia" w:ascii="宋体" w:hAnsi="宋体"/>
                <w:b/>
                <w:color w:val="auto"/>
                <w:sz w:val="22"/>
                <w:szCs w:val="22"/>
              </w:rPr>
              <w:t>号牛山商务大厦</w:t>
            </w:r>
            <w:r>
              <w:rPr>
                <w:rFonts w:ascii="宋体" w:hAnsi="宋体"/>
                <w:b/>
                <w:color w:val="auto"/>
                <w:sz w:val="22"/>
                <w:szCs w:val="22"/>
              </w:rPr>
              <w:t>9</w:t>
            </w:r>
            <w:r>
              <w:rPr>
                <w:rFonts w:hint="eastAsia" w:ascii="宋体" w:hAnsi="宋体"/>
                <w:b/>
                <w:color w:val="auto"/>
                <w:sz w:val="22"/>
                <w:szCs w:val="22"/>
              </w:rPr>
              <w:t>楼9</w:t>
            </w:r>
            <w:r>
              <w:rPr>
                <w:rFonts w:ascii="宋体" w:hAnsi="宋体"/>
                <w:b/>
                <w:color w:val="auto"/>
                <w:sz w:val="22"/>
                <w:szCs w:val="22"/>
              </w:rPr>
              <w:t>07</w:t>
            </w:r>
          </w:p>
        </w:tc>
      </w:tr>
      <w:tr w14:paraId="0759E4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40" w:type="dxa"/>
            <w:vAlign w:val="center"/>
          </w:tcPr>
          <w:p w14:paraId="3B46BD17">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27</w:t>
            </w:r>
          </w:p>
        </w:tc>
        <w:tc>
          <w:tcPr>
            <w:tcW w:w="1740" w:type="dxa"/>
            <w:vAlign w:val="center"/>
          </w:tcPr>
          <w:p w14:paraId="13D9AF48">
            <w:pPr>
              <w:jc w:val="center"/>
              <w:rPr>
                <w:rFonts w:ascii="宋体" w:hAnsi="宋体" w:cs="Courier New"/>
                <w:b/>
                <w:color w:val="auto"/>
                <w:sz w:val="22"/>
                <w:szCs w:val="22"/>
              </w:rPr>
            </w:pPr>
            <w:r>
              <w:rPr>
                <w:rFonts w:hint="eastAsia" w:ascii="宋体" w:hAnsi="宋体" w:cs="Courier New"/>
                <w:b/>
                <w:color w:val="auto"/>
                <w:sz w:val="22"/>
                <w:szCs w:val="22"/>
              </w:rPr>
              <w:t>磋商响应文件上传和递交</w:t>
            </w:r>
          </w:p>
        </w:tc>
        <w:tc>
          <w:tcPr>
            <w:tcW w:w="7691" w:type="dxa"/>
            <w:vAlign w:val="center"/>
          </w:tcPr>
          <w:p w14:paraId="5C5C6F46">
            <w:pPr>
              <w:spacing w:line="276" w:lineRule="auto"/>
              <w:rPr>
                <w:rFonts w:ascii="宋体" w:hAnsi="宋体" w:cs="Courier New"/>
                <w:b/>
                <w:color w:val="auto"/>
                <w:sz w:val="22"/>
                <w:szCs w:val="22"/>
              </w:rPr>
            </w:pPr>
            <w:r>
              <w:rPr>
                <w:rFonts w:hint="eastAsia" w:ascii="宋体" w:hAnsi="宋体" w:cs="Courier New"/>
                <w:b/>
                <w:color w:val="auto"/>
                <w:sz w:val="22"/>
                <w:szCs w:val="22"/>
              </w:rPr>
              <w:t>本项目通过“政府采购云平台（</w:t>
            </w:r>
            <w:r>
              <w:rPr>
                <w:rFonts w:ascii="宋体" w:hAnsi="宋体" w:cs="Courier New"/>
                <w:b/>
                <w:color w:val="auto"/>
                <w:sz w:val="22"/>
                <w:szCs w:val="22"/>
              </w:rPr>
              <w:t>www.zcygov.cn）”实行在线投标响应（电子投标），投标供应商应当在响应文件递交截止时间前，将生成的“电子加密磋商响应文件”上传递交至“政府采购云平台”。</w:t>
            </w:r>
          </w:p>
          <w:p w14:paraId="389AFE76">
            <w:pPr>
              <w:spacing w:line="276" w:lineRule="auto"/>
              <w:rPr>
                <w:rFonts w:ascii="宋体" w:hAnsi="宋体" w:cs="Courier New"/>
                <w:b/>
                <w:color w:val="auto"/>
                <w:sz w:val="22"/>
                <w:szCs w:val="22"/>
              </w:rPr>
            </w:pPr>
            <w:r>
              <w:rPr>
                <w:rFonts w:hint="eastAsia" w:ascii="宋体" w:hAnsi="宋体" w:cs="Courier New"/>
                <w:b/>
                <w:color w:val="auto"/>
                <w:sz w:val="22"/>
                <w:szCs w:val="22"/>
              </w:rPr>
              <w:t>“电子加密磋商响应文件”的上传、递交：</w:t>
            </w:r>
          </w:p>
          <w:p w14:paraId="3D2FEAFF">
            <w:pPr>
              <w:spacing w:line="276" w:lineRule="auto"/>
              <w:rPr>
                <w:rFonts w:ascii="宋体" w:hAnsi="宋体" w:cs="Courier New"/>
                <w:b/>
                <w:color w:val="auto"/>
                <w:sz w:val="22"/>
                <w:szCs w:val="22"/>
              </w:rPr>
            </w:pPr>
            <w:r>
              <w:rPr>
                <w:rFonts w:hint="eastAsia" w:ascii="宋体" w:hAnsi="宋体" w:cs="Courier New"/>
                <w:b/>
                <w:color w:val="auto"/>
                <w:sz w:val="22"/>
                <w:szCs w:val="22"/>
              </w:rPr>
              <w:t>a.投标供应商应在响应文件递交截止时间前将“电子加密磋商响应文件”成功上传递交至“政府采购云平台”，否则投标无效。</w:t>
            </w:r>
          </w:p>
          <w:p w14:paraId="53407F1C">
            <w:pPr>
              <w:spacing w:line="276" w:lineRule="auto"/>
              <w:rPr>
                <w:rFonts w:ascii="宋体" w:hAnsi="宋体" w:cs="Courier New"/>
                <w:b/>
                <w:color w:val="auto"/>
                <w:sz w:val="22"/>
                <w:szCs w:val="22"/>
              </w:rPr>
            </w:pPr>
            <w:r>
              <w:rPr>
                <w:rFonts w:hint="eastAsia" w:ascii="宋体" w:hAnsi="宋体" w:cs="Courier New"/>
                <w:b/>
                <w:color w:val="auto"/>
                <w:sz w:val="22"/>
                <w:szCs w:val="22"/>
              </w:rPr>
              <w:t>b.“电子加密磋商响应文件”成功上传递交后，供应商可自行打印磋商响应文件接收回执。</w:t>
            </w:r>
          </w:p>
        </w:tc>
      </w:tr>
      <w:tr w14:paraId="38978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40" w:type="dxa"/>
            <w:vAlign w:val="center"/>
          </w:tcPr>
          <w:p w14:paraId="5249FA8A">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28</w:t>
            </w:r>
          </w:p>
        </w:tc>
        <w:tc>
          <w:tcPr>
            <w:tcW w:w="1740" w:type="dxa"/>
            <w:vAlign w:val="center"/>
          </w:tcPr>
          <w:p w14:paraId="75BD6A7A">
            <w:pPr>
              <w:jc w:val="center"/>
              <w:rPr>
                <w:rFonts w:ascii="宋体" w:hAnsi="宋体" w:cs="Courier New"/>
                <w:b/>
                <w:color w:val="auto"/>
                <w:sz w:val="22"/>
                <w:szCs w:val="22"/>
              </w:rPr>
            </w:pPr>
            <w:r>
              <w:rPr>
                <w:rFonts w:hint="eastAsia" w:ascii="宋体" w:hAnsi="宋体" w:cs="Courier New"/>
                <w:b/>
                <w:bCs/>
                <w:color w:val="auto"/>
                <w:sz w:val="22"/>
                <w:szCs w:val="22"/>
              </w:rPr>
              <w:t>电子加密磋商响应文件的解密和异常情况处理</w:t>
            </w:r>
          </w:p>
        </w:tc>
        <w:tc>
          <w:tcPr>
            <w:tcW w:w="7691" w:type="dxa"/>
            <w:vAlign w:val="center"/>
          </w:tcPr>
          <w:p w14:paraId="4D378A7B">
            <w:pPr>
              <w:spacing w:line="276" w:lineRule="auto"/>
              <w:rPr>
                <w:rFonts w:ascii="宋体" w:hAnsi="宋体" w:cs="Courier New"/>
                <w:b/>
                <w:color w:val="auto"/>
                <w:sz w:val="22"/>
                <w:szCs w:val="22"/>
              </w:rPr>
            </w:pPr>
            <w:r>
              <w:rPr>
                <w:rFonts w:hint="eastAsia" w:ascii="宋体" w:hAnsi="宋体" w:cs="Courier New"/>
                <w:b/>
                <w:color w:val="auto"/>
                <w:sz w:val="22"/>
                <w:szCs w:val="22"/>
              </w:rPr>
              <w:t>1、开标后，采购组织机构将向各投标供应商发出“电子加密磋商响应文件”的解密通知，各投标供应商代表应当在接到解密通知后系统规定的时间内自行完成“电子加密磋商响应文件”的在线解密。</w:t>
            </w:r>
          </w:p>
          <w:p w14:paraId="0855BB66">
            <w:pPr>
              <w:spacing w:line="276" w:lineRule="auto"/>
              <w:rPr>
                <w:rFonts w:ascii="宋体" w:hAnsi="宋体" w:cs="Courier New"/>
                <w:b/>
                <w:color w:val="auto"/>
                <w:sz w:val="22"/>
                <w:szCs w:val="22"/>
              </w:rPr>
            </w:pPr>
            <w:r>
              <w:rPr>
                <w:rFonts w:hint="eastAsia" w:ascii="宋体" w:hAnsi="宋体" w:cs="Courier New"/>
                <w:b/>
                <w:color w:val="auto"/>
                <w:sz w:val="22"/>
                <w:szCs w:val="22"/>
              </w:rPr>
              <w:t>2、</w:t>
            </w:r>
            <w:r>
              <w:rPr>
                <w:rFonts w:hint="eastAsia" w:ascii="宋体" w:hAnsi="宋体"/>
                <w:b/>
                <w:color w:val="auto"/>
                <w:sz w:val="22"/>
              </w:rPr>
              <w:t>通过“政府采购云平台”</w:t>
            </w:r>
            <w:r>
              <w:rPr>
                <w:rFonts w:hint="eastAsia" w:ascii="宋体" w:hAnsi="宋体"/>
                <w:color w:val="auto"/>
              </w:rPr>
              <w:t xml:space="preserve"> </w:t>
            </w:r>
            <w:r>
              <w:rPr>
                <w:rFonts w:hint="eastAsia" w:ascii="宋体" w:hAnsi="宋体"/>
                <w:b/>
                <w:color w:val="auto"/>
                <w:sz w:val="22"/>
              </w:rPr>
              <w:t>成功上传递交的“电子加密磋商响应文件”无法按时解密的，其磋商响应文件按拒收处理。</w:t>
            </w:r>
          </w:p>
        </w:tc>
      </w:tr>
      <w:tr w14:paraId="19FCA8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6389609C">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29</w:t>
            </w:r>
          </w:p>
        </w:tc>
        <w:tc>
          <w:tcPr>
            <w:tcW w:w="1740" w:type="dxa"/>
            <w:vAlign w:val="center"/>
          </w:tcPr>
          <w:p w14:paraId="7A0ACFC2">
            <w:pPr>
              <w:jc w:val="center"/>
              <w:rPr>
                <w:rFonts w:ascii="宋体" w:hAnsi="宋体" w:cs="宋体"/>
                <w:color w:val="auto"/>
                <w:sz w:val="22"/>
                <w:szCs w:val="22"/>
              </w:rPr>
            </w:pPr>
            <w:r>
              <w:rPr>
                <w:rFonts w:hint="eastAsia" w:ascii="宋体" w:hAnsi="宋体" w:cs="宋体"/>
                <w:color w:val="auto"/>
                <w:sz w:val="22"/>
                <w:szCs w:val="22"/>
              </w:rPr>
              <w:t>磋商小组的组建</w:t>
            </w:r>
          </w:p>
        </w:tc>
        <w:tc>
          <w:tcPr>
            <w:tcW w:w="7691" w:type="dxa"/>
            <w:vAlign w:val="center"/>
          </w:tcPr>
          <w:p w14:paraId="69EBA125">
            <w:pPr>
              <w:spacing w:line="276" w:lineRule="auto"/>
              <w:rPr>
                <w:rFonts w:ascii="宋体" w:hAnsi="宋体" w:cs="宋体"/>
                <w:color w:val="auto"/>
                <w:sz w:val="22"/>
                <w:szCs w:val="22"/>
              </w:rPr>
            </w:pPr>
            <w:r>
              <w:rPr>
                <w:rFonts w:hint="eastAsia" w:ascii="宋体" w:hAnsi="宋体" w:cs="宋体"/>
                <w:color w:val="auto"/>
                <w:sz w:val="22"/>
                <w:szCs w:val="22"/>
              </w:rPr>
              <w:t>磋商小组构成：由采购人代表以及有关技术、经济等方面的专家组成，成员为3人及以上单数，其中技术、经济类专家不得少于总人数的2/3；评标专家确定方式：按相关规定从专家库中抽取。</w:t>
            </w:r>
          </w:p>
        </w:tc>
      </w:tr>
      <w:tr w14:paraId="59AE70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40" w:type="dxa"/>
            <w:vAlign w:val="center"/>
          </w:tcPr>
          <w:p w14:paraId="2A6240F9">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30</w:t>
            </w:r>
          </w:p>
        </w:tc>
        <w:tc>
          <w:tcPr>
            <w:tcW w:w="1740" w:type="dxa"/>
            <w:vAlign w:val="center"/>
          </w:tcPr>
          <w:p w14:paraId="5953BEEA">
            <w:pPr>
              <w:adjustRightInd w:val="0"/>
              <w:jc w:val="center"/>
              <w:rPr>
                <w:rFonts w:ascii="宋体" w:hAnsi="宋体" w:cs="宋体"/>
                <w:color w:val="auto"/>
                <w:sz w:val="22"/>
                <w:szCs w:val="22"/>
              </w:rPr>
            </w:pPr>
            <w:r>
              <w:rPr>
                <w:rFonts w:hint="eastAsia" w:ascii="宋体" w:hAnsi="宋体" w:cs="宋体"/>
                <w:color w:val="auto"/>
                <w:sz w:val="22"/>
                <w:szCs w:val="22"/>
              </w:rPr>
              <w:t>政府采购</w:t>
            </w:r>
          </w:p>
          <w:p w14:paraId="41156A75">
            <w:pPr>
              <w:adjustRightInd w:val="0"/>
              <w:jc w:val="center"/>
              <w:rPr>
                <w:rFonts w:ascii="宋体" w:hAnsi="宋体" w:cs="宋体"/>
                <w:color w:val="auto"/>
                <w:sz w:val="22"/>
                <w:szCs w:val="22"/>
              </w:rPr>
            </w:pPr>
            <w:r>
              <w:rPr>
                <w:rFonts w:hint="eastAsia" w:ascii="宋体" w:hAnsi="宋体" w:cs="宋体"/>
                <w:color w:val="auto"/>
                <w:sz w:val="22"/>
                <w:szCs w:val="22"/>
              </w:rPr>
              <w:t>扶持政策</w:t>
            </w:r>
          </w:p>
        </w:tc>
        <w:tc>
          <w:tcPr>
            <w:tcW w:w="7691" w:type="dxa"/>
            <w:vAlign w:val="center"/>
          </w:tcPr>
          <w:p w14:paraId="06D31C9E">
            <w:pPr>
              <w:spacing w:line="276" w:lineRule="auto"/>
              <w:rPr>
                <w:rFonts w:ascii="宋体" w:hAnsi="宋体" w:cs="宋体"/>
                <w:b/>
                <w:bCs/>
                <w:color w:val="auto"/>
                <w:sz w:val="22"/>
                <w:szCs w:val="22"/>
              </w:rPr>
            </w:pPr>
            <w:r>
              <w:rPr>
                <w:rFonts w:hint="eastAsia" w:ascii="宋体" w:hAnsi="宋体" w:cs="宋体"/>
                <w:color w:val="auto"/>
                <w:sz w:val="22"/>
                <w:szCs w:val="22"/>
              </w:rPr>
              <w:t>对符合财政扶持政策的小微企业（或监狱企业或残疾人福利性单位）给予评标价格优惠。供应商企业属于以上多种性质的，不重复享受扶持政策。</w:t>
            </w:r>
          </w:p>
        </w:tc>
      </w:tr>
      <w:tr w14:paraId="2F41B7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7" w:hRule="atLeast"/>
          <w:jc w:val="center"/>
        </w:trPr>
        <w:tc>
          <w:tcPr>
            <w:tcW w:w="740" w:type="dxa"/>
            <w:vAlign w:val="center"/>
          </w:tcPr>
          <w:p w14:paraId="04A500FD">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31</w:t>
            </w:r>
          </w:p>
        </w:tc>
        <w:tc>
          <w:tcPr>
            <w:tcW w:w="1740" w:type="dxa"/>
            <w:vAlign w:val="center"/>
          </w:tcPr>
          <w:p w14:paraId="6850C3BC">
            <w:pPr>
              <w:jc w:val="center"/>
              <w:rPr>
                <w:rFonts w:ascii="宋体" w:hAnsi="宋体" w:cs="宋体"/>
                <w:color w:val="auto"/>
                <w:sz w:val="22"/>
                <w:szCs w:val="22"/>
              </w:rPr>
            </w:pPr>
            <w:r>
              <w:rPr>
                <w:rFonts w:hint="eastAsia" w:ascii="宋体" w:hAnsi="宋体" w:cs="宋体"/>
                <w:color w:val="auto"/>
                <w:sz w:val="22"/>
                <w:szCs w:val="22"/>
              </w:rPr>
              <w:t>供应商</w:t>
            </w:r>
          </w:p>
          <w:p w14:paraId="2A5F7837">
            <w:pPr>
              <w:jc w:val="center"/>
              <w:rPr>
                <w:rFonts w:ascii="宋体" w:hAnsi="宋体" w:cs="宋体"/>
                <w:color w:val="auto"/>
                <w:sz w:val="22"/>
                <w:szCs w:val="22"/>
              </w:rPr>
            </w:pPr>
            <w:r>
              <w:rPr>
                <w:rFonts w:hint="eastAsia" w:ascii="宋体" w:hAnsi="宋体" w:cs="宋体"/>
                <w:color w:val="auto"/>
                <w:sz w:val="22"/>
                <w:szCs w:val="22"/>
              </w:rPr>
              <w:t>信用查询</w:t>
            </w:r>
          </w:p>
        </w:tc>
        <w:tc>
          <w:tcPr>
            <w:tcW w:w="7691" w:type="dxa"/>
            <w:vAlign w:val="center"/>
          </w:tcPr>
          <w:p w14:paraId="43A65990">
            <w:pPr>
              <w:spacing w:line="276" w:lineRule="auto"/>
              <w:rPr>
                <w:rFonts w:ascii="宋体" w:hAnsi="宋体" w:cs="宋体"/>
                <w:color w:val="auto"/>
                <w:sz w:val="22"/>
                <w:szCs w:val="22"/>
              </w:rPr>
            </w:pPr>
            <w:r>
              <w:rPr>
                <w:rFonts w:hint="eastAsia" w:ascii="宋体" w:hAnsi="宋体" w:cs="宋体"/>
                <w:color w:val="auto"/>
                <w:sz w:val="22"/>
                <w:szCs w:val="22"/>
              </w:rPr>
              <w:t>1、投标供应商信用信息查询的查询渠道：“信用中国”(www.creditchina.gov.cn)；“中国政府采购网”（www.ccgp.gov.cn）。</w:t>
            </w:r>
          </w:p>
          <w:p w14:paraId="2AD0041B">
            <w:pPr>
              <w:spacing w:line="276" w:lineRule="auto"/>
              <w:rPr>
                <w:rFonts w:ascii="宋体" w:hAnsi="宋体" w:cs="宋体"/>
                <w:color w:val="auto"/>
                <w:sz w:val="22"/>
                <w:szCs w:val="22"/>
              </w:rPr>
            </w:pPr>
            <w:r>
              <w:rPr>
                <w:rFonts w:hint="eastAsia" w:ascii="宋体" w:hAnsi="宋体" w:cs="宋体"/>
                <w:color w:val="auto"/>
                <w:sz w:val="22"/>
                <w:szCs w:val="22"/>
              </w:rPr>
              <w:t>2、供应商信用信息查询截止时点：公告发布之日至磋商响应文件递交截止时间前。</w:t>
            </w:r>
          </w:p>
          <w:p w14:paraId="6065D4C9">
            <w:pPr>
              <w:spacing w:line="276" w:lineRule="auto"/>
              <w:rPr>
                <w:rFonts w:ascii="宋体" w:hAnsi="宋体" w:cs="宋体"/>
                <w:color w:val="auto"/>
                <w:sz w:val="22"/>
                <w:szCs w:val="22"/>
              </w:rPr>
            </w:pPr>
            <w:r>
              <w:rPr>
                <w:rFonts w:hint="eastAsia" w:ascii="宋体" w:hAnsi="宋体" w:cs="宋体"/>
                <w:color w:val="auto"/>
                <w:sz w:val="22"/>
                <w:szCs w:val="22"/>
              </w:rPr>
              <w:t>3、供应商信用信息查询记录和证据留存的具体方式：网页截图打印。</w:t>
            </w:r>
          </w:p>
          <w:p w14:paraId="280F7D37">
            <w:pPr>
              <w:spacing w:line="276" w:lineRule="auto"/>
              <w:rPr>
                <w:rFonts w:ascii="宋体" w:hAnsi="宋体" w:cs="宋体"/>
                <w:color w:val="auto"/>
                <w:sz w:val="22"/>
                <w:szCs w:val="22"/>
              </w:rPr>
            </w:pPr>
            <w:r>
              <w:rPr>
                <w:rFonts w:hint="eastAsia" w:ascii="宋体" w:hAnsi="宋体" w:cs="宋体"/>
                <w:color w:val="auto"/>
                <w:sz w:val="22"/>
                <w:szCs w:val="22"/>
              </w:rPr>
              <w:t>4、信用信息的使用规则：</w:t>
            </w:r>
            <w:r>
              <w:rPr>
                <w:rFonts w:hint="eastAsia" w:ascii="宋体" w:hAnsi="宋体"/>
                <w:color w:val="auto"/>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14:paraId="590A64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783F5C70">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32</w:t>
            </w:r>
          </w:p>
        </w:tc>
        <w:tc>
          <w:tcPr>
            <w:tcW w:w="1740" w:type="dxa"/>
            <w:vAlign w:val="center"/>
          </w:tcPr>
          <w:p w14:paraId="4FEE7E13">
            <w:pPr>
              <w:jc w:val="center"/>
              <w:rPr>
                <w:rFonts w:ascii="宋体" w:hAnsi="宋体" w:cs="宋体"/>
                <w:color w:val="auto"/>
                <w:sz w:val="22"/>
                <w:szCs w:val="22"/>
              </w:rPr>
            </w:pPr>
            <w:r>
              <w:rPr>
                <w:rFonts w:hint="eastAsia" w:ascii="宋体" w:hAnsi="宋体" w:cs="宋体"/>
                <w:color w:val="auto"/>
                <w:sz w:val="22"/>
                <w:szCs w:val="22"/>
              </w:rPr>
              <w:t>合同备案</w:t>
            </w:r>
          </w:p>
        </w:tc>
        <w:tc>
          <w:tcPr>
            <w:tcW w:w="7691" w:type="dxa"/>
            <w:vAlign w:val="center"/>
          </w:tcPr>
          <w:p w14:paraId="51CBAED7">
            <w:pPr>
              <w:spacing w:line="276" w:lineRule="auto"/>
              <w:rPr>
                <w:rFonts w:ascii="宋体" w:hAnsi="宋体" w:cs="宋体"/>
                <w:color w:val="auto"/>
                <w:sz w:val="22"/>
                <w:szCs w:val="22"/>
              </w:rPr>
            </w:pPr>
            <w:r>
              <w:rPr>
                <w:rFonts w:hint="eastAsia" w:ascii="宋体" w:hAnsi="宋体" w:cs="宋体"/>
                <w:color w:val="auto"/>
                <w:sz w:val="22"/>
                <w:szCs w:val="22"/>
              </w:rPr>
              <w:t>1、成交供应商须在中标（成交）通知书发出之日起30日历天内与采购人签订合同。</w:t>
            </w:r>
          </w:p>
          <w:p w14:paraId="4E6267DF">
            <w:pPr>
              <w:spacing w:line="276" w:lineRule="auto"/>
              <w:rPr>
                <w:rFonts w:ascii="宋体" w:hAnsi="宋体" w:cs="宋体"/>
                <w:color w:val="auto"/>
                <w:sz w:val="22"/>
                <w:szCs w:val="22"/>
              </w:rPr>
            </w:pPr>
            <w:r>
              <w:rPr>
                <w:rFonts w:hint="eastAsia" w:ascii="宋体" w:hAnsi="宋体" w:cs="宋体"/>
                <w:color w:val="auto"/>
                <w:sz w:val="22"/>
                <w:szCs w:val="22"/>
              </w:rPr>
              <w:t>2、成交供应商与采购人签订合同后，2日内将合同原件送至采购人及采购代理机构处；</w:t>
            </w:r>
          </w:p>
          <w:p w14:paraId="5E3FCD65">
            <w:pPr>
              <w:spacing w:line="276" w:lineRule="auto"/>
              <w:rPr>
                <w:rFonts w:ascii="宋体" w:hAnsi="宋体" w:cs="宋体"/>
                <w:color w:val="auto"/>
                <w:sz w:val="22"/>
                <w:szCs w:val="22"/>
              </w:rPr>
            </w:pPr>
            <w:r>
              <w:rPr>
                <w:rFonts w:hint="eastAsia" w:ascii="宋体" w:hAnsi="宋体" w:cs="宋体"/>
                <w:color w:val="auto"/>
                <w:sz w:val="22"/>
                <w:szCs w:val="22"/>
              </w:rPr>
              <w:t>3、本项目政府采购合同按规定在浙江政府采购网予以公告。</w:t>
            </w:r>
          </w:p>
        </w:tc>
      </w:tr>
      <w:tr w14:paraId="06166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1744DDBE">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33</w:t>
            </w:r>
          </w:p>
        </w:tc>
        <w:tc>
          <w:tcPr>
            <w:tcW w:w="1740" w:type="dxa"/>
            <w:vAlign w:val="center"/>
          </w:tcPr>
          <w:p w14:paraId="1D2847CD">
            <w:pPr>
              <w:jc w:val="center"/>
              <w:rPr>
                <w:rFonts w:ascii="宋体" w:hAnsi="宋体" w:cs="宋体"/>
                <w:color w:val="auto"/>
                <w:sz w:val="22"/>
                <w:szCs w:val="22"/>
              </w:rPr>
            </w:pPr>
            <w:r>
              <w:rPr>
                <w:rFonts w:hint="eastAsia" w:ascii="宋体" w:hAnsi="宋体" w:cs="宋体"/>
                <w:color w:val="auto"/>
                <w:sz w:val="22"/>
                <w:szCs w:val="22"/>
              </w:rPr>
              <w:t>合同履约管理</w:t>
            </w:r>
          </w:p>
        </w:tc>
        <w:tc>
          <w:tcPr>
            <w:tcW w:w="7691" w:type="dxa"/>
            <w:vAlign w:val="center"/>
          </w:tcPr>
          <w:p w14:paraId="13E8FEE9">
            <w:pPr>
              <w:spacing w:line="276" w:lineRule="auto"/>
              <w:rPr>
                <w:rFonts w:ascii="宋体" w:hAnsi="宋体" w:cs="宋体"/>
                <w:color w:val="auto"/>
                <w:sz w:val="22"/>
                <w:szCs w:val="22"/>
              </w:rPr>
            </w:pPr>
            <w:r>
              <w:rPr>
                <w:rFonts w:hint="eastAsia" w:ascii="宋体" w:hAnsi="宋体" w:cs="宋体"/>
                <w:color w:val="auto"/>
                <w:sz w:val="22"/>
                <w:szCs w:val="22"/>
              </w:rPr>
              <w:t>合同签订后，采购人依法加强对合同履约进行管理，并在成交单位供货、项目验收等重要关节，如实填写《合同验收报告》，并及时向同级财政部门报告验收过程中遇到的问题。</w:t>
            </w:r>
          </w:p>
        </w:tc>
      </w:tr>
      <w:tr w14:paraId="296D4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40" w:type="dxa"/>
            <w:vAlign w:val="center"/>
          </w:tcPr>
          <w:p w14:paraId="0BCF4CB2">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34</w:t>
            </w:r>
          </w:p>
        </w:tc>
        <w:tc>
          <w:tcPr>
            <w:tcW w:w="1740" w:type="dxa"/>
            <w:vAlign w:val="center"/>
          </w:tcPr>
          <w:p w14:paraId="2240323E">
            <w:pPr>
              <w:jc w:val="center"/>
              <w:rPr>
                <w:rFonts w:ascii="宋体" w:hAnsi="宋体" w:cs="宋体"/>
                <w:color w:val="auto"/>
                <w:sz w:val="22"/>
                <w:szCs w:val="22"/>
              </w:rPr>
            </w:pPr>
            <w:r>
              <w:rPr>
                <w:rFonts w:hint="eastAsia" w:ascii="宋体" w:hAnsi="宋体" w:cs="宋体"/>
                <w:color w:val="auto"/>
                <w:sz w:val="22"/>
                <w:szCs w:val="22"/>
              </w:rPr>
              <w:t>免责声明</w:t>
            </w:r>
          </w:p>
        </w:tc>
        <w:tc>
          <w:tcPr>
            <w:tcW w:w="7691" w:type="dxa"/>
            <w:vAlign w:val="center"/>
          </w:tcPr>
          <w:p w14:paraId="1E87DC1C">
            <w:pPr>
              <w:pStyle w:val="2"/>
              <w:spacing w:line="276" w:lineRule="auto"/>
              <w:ind w:firstLine="220"/>
              <w:rPr>
                <w:rFonts w:ascii="宋体" w:hAnsi="宋体"/>
                <w:color w:val="auto"/>
                <w:sz w:val="22"/>
                <w:szCs w:val="22"/>
              </w:rPr>
            </w:pPr>
            <w:r>
              <w:rPr>
                <w:rFonts w:hint="eastAsia" w:ascii="宋体" w:hAnsi="宋体"/>
                <w:color w:val="auto"/>
                <w:sz w:val="22"/>
                <w:szCs w:val="22"/>
              </w:rPr>
              <w:t>1、供应商自行承担投标过程中产生的费用。无论何种因素导致采购项目延期开标、废标（流标）、投标供应商未中标（成交）、项目终止采购的，采购人与采购代理机构均不承担供应商投标费用。</w:t>
            </w:r>
          </w:p>
          <w:p w14:paraId="3F24DFCA">
            <w:pPr>
              <w:pStyle w:val="2"/>
              <w:spacing w:line="276" w:lineRule="auto"/>
              <w:ind w:firstLine="220"/>
              <w:rPr>
                <w:rFonts w:ascii="宋体" w:hAnsi="宋体" w:cs="宋体"/>
                <w:color w:val="auto"/>
                <w:sz w:val="22"/>
                <w:szCs w:val="22"/>
              </w:rPr>
            </w:pPr>
            <w:r>
              <w:rPr>
                <w:rFonts w:hint="eastAsia" w:ascii="宋体" w:hAnsi="宋体"/>
                <w:color w:val="auto"/>
                <w:sz w:val="22"/>
                <w:szCs w:val="22"/>
              </w:rPr>
              <w:t>2、投标供应商在投标、合同履行过程中必须做好安全保障工作，不因项目实施而危及自身及第三方人员、财产安全。若发生任何安全事故，由成交供应商自行承担一切责任并赔偿损失。</w:t>
            </w:r>
          </w:p>
        </w:tc>
      </w:tr>
      <w:tr w14:paraId="08693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40" w:type="dxa"/>
            <w:vAlign w:val="center"/>
          </w:tcPr>
          <w:p w14:paraId="7EE3FDE1">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35</w:t>
            </w:r>
          </w:p>
        </w:tc>
        <w:tc>
          <w:tcPr>
            <w:tcW w:w="1740" w:type="dxa"/>
            <w:vAlign w:val="center"/>
          </w:tcPr>
          <w:p w14:paraId="48E757BA">
            <w:pPr>
              <w:jc w:val="center"/>
              <w:rPr>
                <w:rFonts w:ascii="宋体" w:hAnsi="宋体" w:cs="宋体"/>
                <w:color w:val="auto"/>
                <w:sz w:val="22"/>
                <w:szCs w:val="22"/>
              </w:rPr>
            </w:pPr>
            <w:r>
              <w:rPr>
                <w:rFonts w:hint="eastAsia" w:ascii="宋体" w:hAnsi="宋体" w:cs="宋体"/>
                <w:color w:val="auto"/>
                <w:sz w:val="22"/>
                <w:szCs w:val="22"/>
              </w:rPr>
              <w:t>竞争性磋商文件质疑时间</w:t>
            </w:r>
          </w:p>
        </w:tc>
        <w:tc>
          <w:tcPr>
            <w:tcW w:w="7691" w:type="dxa"/>
            <w:vAlign w:val="center"/>
          </w:tcPr>
          <w:p w14:paraId="355F21E1">
            <w:pPr>
              <w:spacing w:line="276" w:lineRule="auto"/>
              <w:rPr>
                <w:rFonts w:ascii="宋体" w:hAnsi="宋体" w:cs="宋体"/>
                <w:color w:val="auto"/>
                <w:sz w:val="22"/>
                <w:szCs w:val="22"/>
              </w:rPr>
            </w:pPr>
            <w:r>
              <w:rPr>
                <w:rFonts w:hint="eastAsia" w:ascii="宋体" w:hAnsi="宋体"/>
                <w:color w:val="auto"/>
                <w:sz w:val="22"/>
                <w:szCs w:val="22"/>
              </w:rPr>
              <w:t>供应商如对磋商文件有异议的，应在规定时间内</w:t>
            </w:r>
            <w:r>
              <w:rPr>
                <w:rFonts w:ascii="宋体" w:hAnsi="宋体"/>
                <w:color w:val="auto"/>
                <w:sz w:val="22"/>
                <w:szCs w:val="22"/>
              </w:rPr>
              <w:t>以书面形式加盖公章</w:t>
            </w:r>
            <w:r>
              <w:rPr>
                <w:rFonts w:hint="eastAsia" w:ascii="宋体" w:hAnsi="宋体"/>
                <w:color w:val="auto"/>
                <w:sz w:val="22"/>
                <w:szCs w:val="22"/>
              </w:rPr>
              <w:t>送达</w:t>
            </w:r>
            <w:r>
              <w:rPr>
                <w:rFonts w:ascii="宋体" w:hAnsi="宋体"/>
                <w:color w:val="auto"/>
                <w:sz w:val="22"/>
                <w:szCs w:val="22"/>
              </w:rPr>
              <w:t>至采购代理机构，逾期采购代理机构可不予受理及答复。</w:t>
            </w:r>
          </w:p>
        </w:tc>
      </w:tr>
      <w:tr w14:paraId="56E3B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6" w:hRule="atLeast"/>
          <w:jc w:val="center"/>
        </w:trPr>
        <w:tc>
          <w:tcPr>
            <w:tcW w:w="740" w:type="dxa"/>
            <w:vAlign w:val="center"/>
          </w:tcPr>
          <w:p w14:paraId="46A8BD85">
            <w:pPr>
              <w:widowControl/>
              <w:tabs>
                <w:tab w:val="left" w:pos="420"/>
                <w:tab w:val="left" w:pos="1145"/>
              </w:tabs>
              <w:spacing w:line="460" w:lineRule="exact"/>
              <w:jc w:val="center"/>
              <w:rPr>
                <w:rFonts w:ascii="宋体" w:hAnsi="宋体" w:cs="宋体"/>
                <w:color w:val="auto"/>
                <w:sz w:val="22"/>
                <w:szCs w:val="22"/>
              </w:rPr>
            </w:pPr>
            <w:r>
              <w:rPr>
                <w:rFonts w:hint="eastAsia" w:ascii="宋体" w:hAnsi="宋体" w:cs="宋体"/>
                <w:color w:val="auto"/>
                <w:sz w:val="22"/>
                <w:szCs w:val="22"/>
              </w:rPr>
              <w:t>3</w:t>
            </w:r>
            <w:r>
              <w:rPr>
                <w:rFonts w:ascii="宋体" w:hAnsi="宋体" w:cs="宋体"/>
                <w:color w:val="auto"/>
                <w:sz w:val="22"/>
                <w:szCs w:val="22"/>
              </w:rPr>
              <w:t>6</w:t>
            </w:r>
          </w:p>
        </w:tc>
        <w:tc>
          <w:tcPr>
            <w:tcW w:w="1740" w:type="dxa"/>
            <w:vAlign w:val="center"/>
          </w:tcPr>
          <w:p w14:paraId="75F86637">
            <w:pPr>
              <w:jc w:val="center"/>
              <w:rPr>
                <w:rFonts w:ascii="宋体" w:hAnsi="宋体" w:cs="宋体"/>
                <w:color w:val="auto"/>
                <w:sz w:val="22"/>
                <w:szCs w:val="22"/>
              </w:rPr>
            </w:pPr>
            <w:r>
              <w:rPr>
                <w:rFonts w:hint="eastAsia" w:ascii="宋体" w:hAnsi="宋体" w:cs="宋体"/>
                <w:color w:val="auto"/>
                <w:sz w:val="22"/>
                <w:szCs w:val="22"/>
              </w:rPr>
              <w:t>解释权</w:t>
            </w:r>
          </w:p>
        </w:tc>
        <w:tc>
          <w:tcPr>
            <w:tcW w:w="7691" w:type="dxa"/>
            <w:vAlign w:val="center"/>
          </w:tcPr>
          <w:p w14:paraId="718344E7">
            <w:pPr>
              <w:pStyle w:val="2"/>
              <w:spacing w:line="276" w:lineRule="auto"/>
              <w:ind w:firstLine="220"/>
              <w:rPr>
                <w:rFonts w:ascii="宋体" w:hAnsi="宋体" w:cs="宋体"/>
                <w:color w:val="auto"/>
                <w:sz w:val="22"/>
                <w:szCs w:val="22"/>
              </w:rPr>
            </w:pPr>
            <w:r>
              <w:rPr>
                <w:rFonts w:hint="eastAsia" w:ascii="宋体" w:hAnsi="宋体"/>
                <w:color w:val="auto"/>
                <w:sz w:val="22"/>
                <w:szCs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CE38E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46" w:hRule="atLeast"/>
          <w:jc w:val="center"/>
        </w:trPr>
        <w:tc>
          <w:tcPr>
            <w:tcW w:w="740" w:type="dxa"/>
            <w:vAlign w:val="center"/>
          </w:tcPr>
          <w:p w14:paraId="28E07155">
            <w:pPr>
              <w:widowControl/>
              <w:tabs>
                <w:tab w:val="left" w:pos="420"/>
                <w:tab w:val="left" w:pos="1145"/>
              </w:tabs>
              <w:spacing w:line="460" w:lineRule="exact"/>
              <w:jc w:val="center"/>
              <w:rPr>
                <w:rFonts w:ascii="宋体" w:hAnsi="宋体" w:cs="Courier New"/>
                <w:color w:val="auto"/>
                <w:sz w:val="22"/>
                <w:szCs w:val="22"/>
              </w:rPr>
            </w:pPr>
            <w:r>
              <w:rPr>
                <w:rFonts w:hint="eastAsia" w:ascii="宋体" w:hAnsi="宋体" w:cs="Courier New"/>
                <w:color w:val="auto"/>
                <w:sz w:val="22"/>
                <w:szCs w:val="22"/>
              </w:rPr>
              <w:t>3</w:t>
            </w:r>
            <w:r>
              <w:rPr>
                <w:rFonts w:ascii="宋体" w:hAnsi="宋体" w:cs="Courier New"/>
                <w:color w:val="auto"/>
                <w:sz w:val="22"/>
                <w:szCs w:val="22"/>
              </w:rPr>
              <w:t>7</w:t>
            </w:r>
          </w:p>
        </w:tc>
        <w:tc>
          <w:tcPr>
            <w:tcW w:w="1740" w:type="dxa"/>
            <w:vAlign w:val="center"/>
          </w:tcPr>
          <w:p w14:paraId="30652116">
            <w:pPr>
              <w:jc w:val="center"/>
              <w:rPr>
                <w:rFonts w:ascii="宋体" w:hAnsi="宋体" w:cs="Courier New"/>
                <w:b/>
                <w:color w:val="auto"/>
                <w:sz w:val="22"/>
                <w:szCs w:val="22"/>
              </w:rPr>
            </w:pPr>
            <w:r>
              <w:rPr>
                <w:rFonts w:hint="eastAsia" w:ascii="宋体" w:hAnsi="宋体"/>
                <w:b/>
                <w:color w:val="auto"/>
                <w:sz w:val="22"/>
                <w:szCs w:val="22"/>
              </w:rPr>
              <w:t>注意事项</w:t>
            </w:r>
          </w:p>
        </w:tc>
        <w:tc>
          <w:tcPr>
            <w:tcW w:w="7691" w:type="dxa"/>
            <w:vAlign w:val="center"/>
          </w:tcPr>
          <w:p w14:paraId="385A68AE">
            <w:pPr>
              <w:pStyle w:val="2"/>
              <w:spacing w:line="276" w:lineRule="auto"/>
              <w:ind w:firstLine="221"/>
              <w:rPr>
                <w:rFonts w:ascii="宋体" w:hAnsi="宋体"/>
                <w:b/>
                <w:bCs/>
                <w:color w:val="auto"/>
                <w:sz w:val="22"/>
                <w:szCs w:val="22"/>
              </w:rPr>
            </w:pPr>
            <w:r>
              <w:rPr>
                <w:rFonts w:hint="eastAsia" w:ascii="宋体" w:hAnsi="宋体"/>
                <w:b/>
                <w:bCs/>
                <w:color w:val="auto"/>
                <w:sz w:val="22"/>
                <w:szCs w:val="22"/>
              </w:rPr>
              <w:t>1.请务必确保磋商响应文件制作客户端为最新版本，旧版本可能导致磋商响应文件解密失败。</w:t>
            </w:r>
          </w:p>
          <w:p w14:paraId="75523146">
            <w:pPr>
              <w:pStyle w:val="2"/>
              <w:spacing w:line="276" w:lineRule="auto"/>
              <w:ind w:firstLine="221"/>
              <w:rPr>
                <w:rFonts w:ascii="宋体" w:hAnsi="宋体"/>
                <w:b/>
                <w:bCs/>
                <w:color w:val="auto"/>
                <w:sz w:val="22"/>
                <w:szCs w:val="22"/>
              </w:rPr>
            </w:pPr>
            <w:r>
              <w:rPr>
                <w:rFonts w:hint="eastAsia" w:ascii="宋体" w:hAnsi="宋体"/>
                <w:b/>
                <w:bCs/>
                <w:color w:val="auto"/>
                <w:sz w:val="22"/>
                <w:szCs w:val="22"/>
              </w:rPr>
              <w:t>2.请务必确保磋商响应文件制作时所用的 CA 锁与磋商响应文件解密时的 CA 锁为同一把，否则可能导致磋商响应文件解密失败。</w:t>
            </w:r>
          </w:p>
        </w:tc>
      </w:tr>
    </w:tbl>
    <w:p w14:paraId="056919C6">
      <w:pPr>
        <w:rPr>
          <w:rFonts w:hint="eastAsia" w:ascii="宋体" w:hAnsi="宋体"/>
          <w:color w:val="auto"/>
          <w:sz w:val="36"/>
        </w:rPr>
      </w:pPr>
      <w:r>
        <w:rPr>
          <w:rFonts w:hint="eastAsia" w:ascii="宋体" w:hAnsi="宋体"/>
          <w:color w:val="auto"/>
          <w:sz w:val="36"/>
        </w:rPr>
        <w:br w:type="page"/>
      </w:r>
    </w:p>
    <w:p w14:paraId="70BD895E">
      <w:pPr>
        <w:pStyle w:val="4"/>
        <w:spacing w:after="240"/>
        <w:rPr>
          <w:rFonts w:ascii="宋体" w:hAnsi="宋体"/>
          <w:color w:val="auto"/>
          <w:sz w:val="36"/>
        </w:rPr>
      </w:pPr>
      <w:bookmarkStart w:id="2" w:name="_Toc12995"/>
      <w:r>
        <w:rPr>
          <w:rFonts w:hint="eastAsia" w:ascii="宋体" w:hAnsi="宋体"/>
          <w:color w:val="auto"/>
          <w:sz w:val="36"/>
        </w:rPr>
        <w:t>第二部分</w:t>
      </w:r>
      <w:r>
        <w:rPr>
          <w:rFonts w:ascii="宋体" w:hAnsi="宋体"/>
          <w:color w:val="auto"/>
          <w:sz w:val="36"/>
        </w:rPr>
        <w:t xml:space="preserve">    </w:t>
      </w:r>
      <w:r>
        <w:rPr>
          <w:rFonts w:hint="eastAsia" w:ascii="宋体" w:hAnsi="宋体"/>
          <w:color w:val="auto"/>
          <w:sz w:val="36"/>
        </w:rPr>
        <w:t>采购内容及要求</w:t>
      </w:r>
      <w:bookmarkEnd w:id="2"/>
    </w:p>
    <w:p w14:paraId="309F1B60">
      <w:pPr>
        <w:pStyle w:val="4"/>
        <w:numPr>
          <w:ilvl w:val="0"/>
          <w:numId w:val="0"/>
        </w:numPr>
        <w:spacing w:line="440" w:lineRule="exact"/>
        <w:ind w:leftChars="0"/>
        <w:jc w:val="left"/>
        <w:rPr>
          <w:rFonts w:hint="eastAsia" w:ascii="宋体" w:hAnsi="宋体"/>
          <w:b/>
          <w:bCs/>
          <w:color w:val="auto"/>
          <w:sz w:val="22"/>
          <w:szCs w:val="22"/>
          <w:lang w:val="en-US" w:eastAsia="zh-CN"/>
        </w:rPr>
      </w:pPr>
      <w:bookmarkStart w:id="3" w:name="_Toc118922225"/>
      <w:bookmarkEnd w:id="3"/>
      <w:bookmarkStart w:id="4" w:name="_Toc118896464"/>
      <w:bookmarkEnd w:id="4"/>
      <w:bookmarkStart w:id="5" w:name="_Toc116651148"/>
      <w:bookmarkEnd w:id="5"/>
      <w:bookmarkStart w:id="6" w:name="_Toc16786"/>
      <w:bookmarkStart w:id="7" w:name="_Toc441051461"/>
      <w:bookmarkStart w:id="8" w:name="_Toc282690445"/>
      <w:bookmarkStart w:id="9" w:name="_Toc23050562"/>
      <w:bookmarkStart w:id="10" w:name="_Toc87737334"/>
      <w:bookmarkStart w:id="11" w:name="_Toc495651839"/>
      <w:bookmarkStart w:id="12" w:name="_Toc496101575"/>
      <w:bookmarkStart w:id="13" w:name="_Toc23050423"/>
      <w:bookmarkStart w:id="14" w:name="_Toc51996430"/>
      <w:bookmarkStart w:id="15" w:name="_Toc498186719"/>
      <w:bookmarkStart w:id="16" w:name="_Toc23050833"/>
      <w:bookmarkStart w:id="17" w:name="_Toc40266002"/>
      <w:bookmarkStart w:id="18" w:name="_Toc496257825"/>
      <w:bookmarkStart w:id="19" w:name="_Toc497300664"/>
      <w:bookmarkStart w:id="20" w:name="_Toc497300733"/>
      <w:bookmarkStart w:id="21" w:name="_Toc201920298"/>
      <w:bookmarkStart w:id="22" w:name="_Toc40594931"/>
      <w:bookmarkStart w:id="23" w:name="_Toc496101312"/>
      <w:bookmarkStart w:id="24" w:name="_Toc496256263"/>
      <w:bookmarkStart w:id="25" w:name="_Toc498186820"/>
      <w:bookmarkStart w:id="26" w:name="_Toc495660084"/>
      <w:bookmarkStart w:id="27" w:name="_Toc497307615"/>
      <w:bookmarkStart w:id="28" w:name="_Toc498199476"/>
      <w:bookmarkStart w:id="29" w:name="_Toc23050625"/>
      <w:r>
        <w:rPr>
          <w:rFonts w:hint="eastAsia" w:ascii="宋体" w:hAnsi="宋体"/>
          <w:b/>
          <w:bCs/>
          <w:color w:val="auto"/>
          <w:sz w:val="22"/>
          <w:szCs w:val="22"/>
          <w:lang w:val="en-US" w:eastAsia="zh-CN"/>
        </w:rPr>
        <w:t>一、项目背景</w:t>
      </w:r>
      <w:bookmarkEnd w:id="6"/>
    </w:p>
    <w:p w14:paraId="21F573BE">
      <w:pPr>
        <w:pStyle w:val="30"/>
        <w:keepNext w:val="0"/>
        <w:keepLines w:val="0"/>
        <w:pageBreakBefore w:val="0"/>
        <w:kinsoku/>
        <w:wordWrap/>
        <w:overflowPunct/>
        <w:topLinePunct w:val="0"/>
        <w:autoSpaceDE/>
        <w:autoSpaceDN/>
        <w:bidi w:val="0"/>
        <w:adjustRightInd/>
        <w:snapToGrid/>
        <w:spacing w:line="560" w:lineRule="exact"/>
        <w:ind w:firstLine="641"/>
        <w:jc w:val="left"/>
        <w:textAlignment w:val="auto"/>
        <w:rPr>
          <w:rFonts w:hint="eastAsia" w:ascii="宋体" w:hAnsi="宋体" w:eastAsia="宋体" w:cs="Times New Roman"/>
          <w:color w:val="auto"/>
          <w:kern w:val="2"/>
          <w:sz w:val="22"/>
          <w:szCs w:val="22"/>
          <w:lang w:val="en-US" w:eastAsia="zh-CN" w:bidi="ar-SA"/>
        </w:rPr>
      </w:pPr>
      <w:r>
        <w:rPr>
          <w:rFonts w:hint="eastAsia" w:ascii="宋体" w:hAnsi="宋体" w:cs="Times New Roman"/>
          <w:color w:val="auto"/>
          <w:kern w:val="2"/>
          <w:sz w:val="22"/>
          <w:szCs w:val="22"/>
          <w:lang w:val="en-US" w:eastAsia="zh-CN" w:bidi="ar-SA"/>
        </w:rPr>
        <w:t>温州</w:t>
      </w:r>
      <w:r>
        <w:rPr>
          <w:rFonts w:hint="eastAsia" w:ascii="宋体" w:hAnsi="宋体" w:eastAsia="宋体" w:cs="Times New Roman"/>
          <w:color w:val="auto"/>
          <w:kern w:val="2"/>
          <w:sz w:val="22"/>
          <w:szCs w:val="22"/>
          <w:lang w:val="en-US" w:eastAsia="zh-CN" w:bidi="ar-SA"/>
        </w:rPr>
        <w:t>市机关协同办公系统于2021年完成信创改造</w:t>
      </w:r>
      <w:r>
        <w:rPr>
          <w:rFonts w:hint="default" w:ascii="宋体" w:hAnsi="宋体" w:eastAsia="宋体" w:cs="Times New Roman"/>
          <w:color w:val="auto"/>
          <w:kern w:val="2"/>
          <w:sz w:val="22"/>
          <w:szCs w:val="22"/>
          <w:lang w:val="en-US" w:eastAsia="zh-CN" w:bidi="ar-SA"/>
        </w:rPr>
        <w:t>（含项目质保期三年）</w:t>
      </w:r>
      <w:r>
        <w:rPr>
          <w:rFonts w:hint="eastAsia" w:ascii="宋体" w:hAnsi="宋体" w:eastAsia="宋体" w:cs="Times New Roman"/>
          <w:color w:val="auto"/>
          <w:kern w:val="2"/>
          <w:sz w:val="22"/>
          <w:szCs w:val="22"/>
          <w:lang w:val="en-US" w:eastAsia="zh-CN" w:bidi="ar-SA"/>
        </w:rPr>
        <w:t>，物理机</w:t>
      </w:r>
      <w:r>
        <w:rPr>
          <w:rFonts w:hint="default" w:ascii="宋体" w:hAnsi="宋体" w:eastAsia="宋体" w:cs="Times New Roman"/>
          <w:color w:val="auto"/>
          <w:kern w:val="2"/>
          <w:sz w:val="22"/>
          <w:szCs w:val="22"/>
          <w:lang w:val="en-US" w:eastAsia="zh-CN" w:bidi="ar-SA"/>
        </w:rPr>
        <w:t>方式</w:t>
      </w:r>
      <w:r>
        <w:rPr>
          <w:rFonts w:hint="eastAsia" w:ascii="宋体" w:hAnsi="宋体" w:eastAsia="宋体" w:cs="Times New Roman"/>
          <w:color w:val="auto"/>
          <w:kern w:val="2"/>
          <w:sz w:val="22"/>
          <w:szCs w:val="22"/>
          <w:lang w:val="en-US" w:eastAsia="zh-CN" w:bidi="ar-SA"/>
        </w:rPr>
        <w:t>部署，项目投资776.94万元</w:t>
      </w:r>
      <w:r>
        <w:rPr>
          <w:rFonts w:hint="default" w:ascii="宋体" w:hAnsi="宋体" w:eastAsia="宋体"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为市本级单位提供</w:t>
      </w:r>
      <w:r>
        <w:rPr>
          <w:rFonts w:hint="default" w:ascii="宋体" w:hAnsi="宋体" w:eastAsia="宋体" w:cs="Times New Roman"/>
          <w:color w:val="auto"/>
          <w:kern w:val="2"/>
          <w:sz w:val="22"/>
          <w:szCs w:val="22"/>
          <w:lang w:val="en-US" w:eastAsia="zh-CN" w:bidi="ar-SA"/>
        </w:rPr>
        <w:t>公文流转</w:t>
      </w:r>
      <w:r>
        <w:rPr>
          <w:rFonts w:hint="eastAsia" w:ascii="宋体" w:hAnsi="宋体" w:eastAsia="宋体" w:cs="Times New Roman"/>
          <w:color w:val="auto"/>
          <w:kern w:val="2"/>
          <w:sz w:val="22"/>
          <w:szCs w:val="22"/>
          <w:lang w:val="en-US" w:eastAsia="zh-CN" w:bidi="ar-SA"/>
        </w:rPr>
        <w:t>服务，</w:t>
      </w:r>
      <w:r>
        <w:rPr>
          <w:rFonts w:hint="default" w:ascii="宋体" w:hAnsi="宋体" w:eastAsia="宋体" w:cs="Times New Roman"/>
          <w:color w:val="auto"/>
          <w:kern w:val="2"/>
          <w:sz w:val="22"/>
          <w:szCs w:val="22"/>
          <w:lang w:val="en-US" w:eastAsia="zh-CN" w:bidi="ar-SA"/>
        </w:rPr>
        <w:t>并依托</w:t>
      </w:r>
      <w:r>
        <w:rPr>
          <w:rFonts w:hint="eastAsia" w:ascii="宋体" w:hAnsi="宋体" w:eastAsia="宋体" w:cs="Times New Roman"/>
          <w:color w:val="auto"/>
          <w:kern w:val="2"/>
          <w:sz w:val="22"/>
          <w:szCs w:val="22"/>
          <w:lang w:val="en-US" w:eastAsia="zh-CN" w:bidi="ar-SA"/>
        </w:rPr>
        <w:t>平板端为市领导提供文件浏览签批</w:t>
      </w:r>
      <w:r>
        <w:rPr>
          <w:rFonts w:hint="default" w:ascii="宋体" w:hAnsi="宋体" w:eastAsia="宋体" w:cs="Times New Roman"/>
          <w:color w:val="auto"/>
          <w:kern w:val="2"/>
          <w:sz w:val="22"/>
          <w:szCs w:val="22"/>
          <w:lang w:val="en-US" w:eastAsia="zh-CN" w:bidi="ar-SA"/>
        </w:rPr>
        <w:t>服务</w:t>
      </w:r>
      <w:r>
        <w:rPr>
          <w:rFonts w:hint="eastAsia" w:ascii="宋体" w:hAnsi="宋体" w:eastAsia="宋体" w:cs="Times New Roman"/>
          <w:color w:val="auto"/>
          <w:kern w:val="2"/>
          <w:sz w:val="22"/>
          <w:szCs w:val="22"/>
          <w:lang w:val="en-US" w:eastAsia="zh-CN" w:bidi="ar-SA"/>
        </w:rPr>
        <w:t>，为市政府常务会议</w:t>
      </w:r>
      <w:r>
        <w:rPr>
          <w:rFonts w:hint="default" w:ascii="宋体" w:hAnsi="宋体" w:eastAsia="宋体" w:cs="Times New Roman"/>
          <w:color w:val="auto"/>
          <w:kern w:val="2"/>
          <w:sz w:val="22"/>
          <w:szCs w:val="22"/>
          <w:lang w:val="en-US" w:eastAsia="zh-CN" w:bidi="ar-SA"/>
        </w:rPr>
        <w:t>等</w:t>
      </w:r>
      <w:r>
        <w:rPr>
          <w:rFonts w:hint="eastAsia" w:ascii="宋体" w:hAnsi="宋体" w:eastAsia="宋体" w:cs="Times New Roman"/>
          <w:color w:val="auto"/>
          <w:kern w:val="2"/>
          <w:sz w:val="22"/>
          <w:szCs w:val="22"/>
          <w:lang w:val="en-US" w:eastAsia="zh-CN" w:bidi="ar-SA"/>
        </w:rPr>
        <w:t>重要会议提供会议资料查阅功能，持续精准服务要求高。</w:t>
      </w:r>
    </w:p>
    <w:p w14:paraId="67AF5D5F">
      <w:pPr>
        <w:pStyle w:val="4"/>
        <w:numPr>
          <w:ilvl w:val="0"/>
          <w:numId w:val="0"/>
        </w:numPr>
        <w:spacing w:line="440" w:lineRule="exact"/>
        <w:ind w:leftChars="0"/>
        <w:jc w:val="left"/>
        <w:rPr>
          <w:rFonts w:hint="eastAsia" w:ascii="宋体" w:hAnsi="宋体"/>
          <w:b/>
          <w:bCs/>
          <w:color w:val="auto"/>
          <w:sz w:val="22"/>
          <w:szCs w:val="22"/>
          <w:lang w:val="en-US" w:eastAsia="zh-CN"/>
        </w:rPr>
      </w:pPr>
      <w:bookmarkStart w:id="30" w:name="_Toc13438"/>
      <w:r>
        <w:rPr>
          <w:rFonts w:hint="eastAsia" w:ascii="宋体" w:hAnsi="宋体"/>
          <w:b/>
          <w:bCs/>
          <w:color w:val="auto"/>
          <w:sz w:val="22"/>
          <w:szCs w:val="22"/>
          <w:lang w:val="en-US" w:eastAsia="zh-CN"/>
        </w:rPr>
        <w:t>二、采购内容</w:t>
      </w:r>
      <w:bookmarkEnd w:id="30"/>
    </w:p>
    <w:p w14:paraId="77BB0933">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15" w:leftChars="0"/>
        <w:textAlignment w:val="auto"/>
        <w:rPr>
          <w:rFonts w:hint="eastAsia"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 xml:space="preserve">  </w:t>
      </w:r>
      <w:r>
        <w:rPr>
          <w:rFonts w:hint="eastAsia" w:ascii="宋体" w:hAnsi="宋体" w:eastAsia="宋体" w:cs="Times New Roman"/>
          <w:color w:val="auto"/>
          <w:kern w:val="2"/>
          <w:sz w:val="22"/>
          <w:szCs w:val="22"/>
          <w:lang w:val="en-US" w:eastAsia="zh-CN" w:bidi="ar-SA"/>
        </w:rPr>
        <w:t>（一）运维</w:t>
      </w:r>
    </w:p>
    <w:p w14:paraId="3AE578C6">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1</w:t>
      </w:r>
      <w:r>
        <w:rPr>
          <w:rFonts w:hint="default" w:ascii="宋体" w:hAnsi="宋体" w:eastAsia="宋体" w:cs="Times New Roman"/>
          <w:color w:val="auto"/>
          <w:kern w:val="2"/>
          <w:sz w:val="22"/>
          <w:szCs w:val="22"/>
          <w:lang w:val="en-US" w:eastAsia="zh-CN" w:bidi="ar-SA"/>
        </w:rPr>
        <w:t>.预防</w:t>
      </w:r>
    </w:p>
    <w:p w14:paraId="50D792A8">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（1）监测巡检。</w:t>
      </w:r>
      <w:r>
        <w:rPr>
          <w:rFonts w:hint="eastAsia" w:ascii="宋体" w:hAnsi="宋体" w:eastAsia="宋体" w:cs="Times New Roman"/>
          <w:color w:val="auto"/>
          <w:kern w:val="2"/>
          <w:sz w:val="22"/>
          <w:szCs w:val="22"/>
          <w:lang w:val="en-US" w:eastAsia="zh-CN" w:bidi="ar-SA"/>
        </w:rPr>
        <w:t>日常运行状态监控内容包括数据库、服务器、网络并完成优化任务</w:t>
      </w:r>
      <w:r>
        <w:rPr>
          <w:rFonts w:hint="default" w:ascii="宋体" w:hAnsi="宋体" w:eastAsia="宋体" w:cs="Times New Roman"/>
          <w:color w:val="auto"/>
          <w:kern w:val="2"/>
          <w:sz w:val="22"/>
          <w:szCs w:val="22"/>
          <w:lang w:val="en-US" w:eastAsia="zh-CN" w:bidi="ar-SA"/>
        </w:rPr>
        <w:t>，对潜在的问题提出预警。</w:t>
      </w:r>
    </w:p>
    <w:p w14:paraId="29993984">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（2）安全防护。</w:t>
      </w:r>
      <w:r>
        <w:rPr>
          <w:rFonts w:hint="eastAsia" w:ascii="宋体" w:hAnsi="宋体" w:eastAsia="宋体" w:cs="Times New Roman"/>
          <w:color w:val="auto"/>
          <w:kern w:val="2"/>
          <w:sz w:val="22"/>
          <w:szCs w:val="22"/>
          <w:lang w:val="en-US" w:eastAsia="zh-CN" w:bidi="ar-SA"/>
        </w:rPr>
        <w:t>用户弱密码检查和用户账号的定期检查清理</w:t>
      </w:r>
      <w:r>
        <w:rPr>
          <w:rFonts w:hint="default" w:ascii="宋体" w:hAnsi="宋体" w:eastAsia="宋体" w:cs="Times New Roman"/>
          <w:color w:val="auto"/>
          <w:kern w:val="2"/>
          <w:sz w:val="22"/>
          <w:szCs w:val="22"/>
          <w:lang w:val="en-US" w:eastAsia="zh-CN" w:bidi="ar-SA"/>
        </w:rPr>
        <w:t>，安全漏洞检查处置等。</w:t>
      </w:r>
    </w:p>
    <w:p w14:paraId="5F214CA7">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（3）软件升级。</w:t>
      </w:r>
      <w:r>
        <w:rPr>
          <w:rFonts w:hint="eastAsia" w:ascii="宋体" w:hAnsi="宋体" w:eastAsia="宋体" w:cs="Times New Roman"/>
          <w:color w:val="auto"/>
          <w:kern w:val="2"/>
          <w:sz w:val="22"/>
          <w:szCs w:val="22"/>
          <w:lang w:val="en-US" w:eastAsia="zh-CN" w:bidi="ar-SA"/>
        </w:rPr>
        <w:t>应用软件和第三方工具授权（含信创数据库）及补丁和版本日常维护等</w:t>
      </w:r>
      <w:r>
        <w:rPr>
          <w:rFonts w:hint="default" w:ascii="宋体" w:hAnsi="宋体" w:eastAsia="宋体" w:cs="Times New Roman"/>
          <w:color w:val="auto"/>
          <w:kern w:val="2"/>
          <w:sz w:val="22"/>
          <w:szCs w:val="22"/>
          <w:lang w:val="en-US" w:eastAsia="zh-CN" w:bidi="ar-SA"/>
        </w:rPr>
        <w:t>。</w:t>
      </w:r>
    </w:p>
    <w:p w14:paraId="05A70000">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（4）数据备份。</w:t>
      </w:r>
      <w:r>
        <w:rPr>
          <w:rFonts w:hint="eastAsia" w:ascii="宋体" w:hAnsi="宋体" w:eastAsia="宋体" w:cs="Times New Roman"/>
          <w:color w:val="auto"/>
          <w:kern w:val="2"/>
          <w:sz w:val="22"/>
          <w:szCs w:val="22"/>
          <w:lang w:val="en-US" w:eastAsia="zh-CN" w:bidi="ar-SA"/>
        </w:rPr>
        <w:t>提供数据库备份及维护服务。</w:t>
      </w:r>
    </w:p>
    <w:p w14:paraId="6DE77B2A">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（5）预案准备。针对系统可能出现的故障和问题，做好相应的预案准备，</w:t>
      </w:r>
      <w:r>
        <w:rPr>
          <w:rFonts w:hint="eastAsia" w:ascii="宋体" w:hAnsi="宋体" w:eastAsia="宋体" w:cs="Times New Roman"/>
          <w:color w:val="auto"/>
          <w:kern w:val="2"/>
          <w:sz w:val="22"/>
          <w:szCs w:val="22"/>
          <w:lang w:val="en-US" w:eastAsia="zh-CN" w:bidi="ar-SA"/>
        </w:rPr>
        <w:t>按需进行系统应急演练</w:t>
      </w:r>
      <w:r>
        <w:rPr>
          <w:rFonts w:hint="default" w:ascii="宋体" w:hAnsi="宋体" w:eastAsia="宋体"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保持运维手册、运维记录</w:t>
      </w:r>
      <w:r>
        <w:rPr>
          <w:rFonts w:hint="default" w:ascii="宋体" w:hAnsi="宋体" w:eastAsia="宋体" w:cs="Times New Roman"/>
          <w:color w:val="auto"/>
          <w:kern w:val="2"/>
          <w:sz w:val="22"/>
          <w:szCs w:val="22"/>
          <w:lang w:val="en-US" w:eastAsia="zh-CN" w:bidi="ar-SA"/>
        </w:rPr>
        <w:t>日常</w:t>
      </w:r>
      <w:r>
        <w:rPr>
          <w:rFonts w:hint="eastAsia" w:ascii="宋体" w:hAnsi="宋体" w:eastAsia="宋体" w:cs="Times New Roman"/>
          <w:color w:val="auto"/>
          <w:kern w:val="2"/>
          <w:sz w:val="22"/>
          <w:szCs w:val="22"/>
          <w:lang w:val="en-US" w:eastAsia="zh-CN" w:bidi="ar-SA"/>
        </w:rPr>
        <w:t>更新</w:t>
      </w:r>
      <w:r>
        <w:rPr>
          <w:rFonts w:hint="default" w:ascii="宋体" w:hAnsi="宋体" w:eastAsia="宋体" w:cs="Times New Roman"/>
          <w:color w:val="auto"/>
          <w:kern w:val="2"/>
          <w:sz w:val="22"/>
          <w:szCs w:val="22"/>
          <w:lang w:val="en-US" w:eastAsia="zh-CN" w:bidi="ar-SA"/>
        </w:rPr>
        <w:t>。</w:t>
      </w:r>
    </w:p>
    <w:p w14:paraId="0156935D">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2.</w:t>
      </w:r>
      <w:r>
        <w:rPr>
          <w:rFonts w:hint="default" w:ascii="宋体" w:hAnsi="宋体" w:eastAsia="宋体" w:cs="Times New Roman"/>
          <w:color w:val="auto"/>
          <w:kern w:val="2"/>
          <w:sz w:val="22"/>
          <w:szCs w:val="22"/>
          <w:lang w:val="en-US" w:eastAsia="zh-CN" w:bidi="ar-SA"/>
        </w:rPr>
        <w:t>故障处置</w:t>
      </w:r>
    </w:p>
    <w:p w14:paraId="49C78526">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 xml:space="preserve">    （1）</w:t>
      </w:r>
      <w:r>
        <w:rPr>
          <w:rFonts w:hint="eastAsia" w:ascii="宋体" w:hAnsi="宋体" w:eastAsia="宋体" w:cs="Times New Roman"/>
          <w:color w:val="auto"/>
          <w:kern w:val="2"/>
          <w:sz w:val="22"/>
          <w:szCs w:val="22"/>
          <w:lang w:val="en-US" w:eastAsia="zh-CN" w:bidi="ar-SA"/>
        </w:rPr>
        <w:t>提供7*24小时技术支撑</w:t>
      </w:r>
      <w:r>
        <w:rPr>
          <w:rFonts w:hint="default" w:ascii="宋体" w:hAnsi="宋体" w:eastAsia="宋体" w:cs="Times New Roman"/>
          <w:color w:val="auto"/>
          <w:kern w:val="2"/>
          <w:sz w:val="22"/>
          <w:szCs w:val="22"/>
          <w:lang w:val="en-US" w:eastAsia="zh-CN" w:bidi="ar-SA"/>
        </w:rPr>
        <w:t>。</w:t>
      </w:r>
    </w:p>
    <w:p w14:paraId="42DB0CCF">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 xml:space="preserve">    （2）</w:t>
      </w:r>
      <w:r>
        <w:rPr>
          <w:rFonts w:hint="eastAsia" w:ascii="宋体" w:hAnsi="宋体" w:eastAsia="宋体" w:cs="Times New Roman"/>
          <w:color w:val="auto"/>
          <w:kern w:val="2"/>
          <w:sz w:val="22"/>
          <w:szCs w:val="22"/>
          <w:lang w:val="en-US" w:eastAsia="zh-CN" w:bidi="ar-SA"/>
        </w:rPr>
        <w:t>完善应急措施和人员响应机制，对系统故障第一时间响应报告并通知所有关联人员</w:t>
      </w:r>
      <w:r>
        <w:rPr>
          <w:rFonts w:hint="default" w:ascii="宋体" w:hAnsi="宋体" w:eastAsia="宋体"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定期对接了解数据库系统及第三方工具厂商支撑情况，确保有专人负责响应对接系统故障原因，快速排查与处置。</w:t>
      </w:r>
    </w:p>
    <w:p w14:paraId="13787A0F">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（3）对</w:t>
      </w:r>
      <w:r>
        <w:rPr>
          <w:rFonts w:hint="eastAsia" w:ascii="宋体" w:hAnsi="宋体" w:eastAsia="宋体" w:cs="Times New Roman"/>
          <w:color w:val="auto"/>
          <w:kern w:val="2"/>
          <w:sz w:val="22"/>
          <w:szCs w:val="22"/>
          <w:lang w:val="en-US" w:eastAsia="zh-CN" w:bidi="ar-SA"/>
        </w:rPr>
        <w:t>故障、事故出具处置分析报告</w:t>
      </w:r>
      <w:r>
        <w:rPr>
          <w:rFonts w:hint="default" w:ascii="宋体" w:hAnsi="宋体" w:eastAsia="宋体" w:cs="Times New Roman"/>
          <w:color w:val="auto"/>
          <w:kern w:val="2"/>
          <w:sz w:val="22"/>
          <w:szCs w:val="22"/>
          <w:lang w:val="en-US" w:eastAsia="zh-CN" w:bidi="ar-SA"/>
        </w:rPr>
        <w:t>。</w:t>
      </w:r>
    </w:p>
    <w:p w14:paraId="5C8A6751">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（二）运营</w:t>
      </w:r>
    </w:p>
    <w:p w14:paraId="43B12449">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1.</w:t>
      </w:r>
      <w:r>
        <w:rPr>
          <w:rFonts w:hint="default" w:ascii="宋体" w:hAnsi="宋体" w:eastAsia="宋体" w:cs="Times New Roman"/>
          <w:color w:val="auto"/>
          <w:kern w:val="2"/>
          <w:sz w:val="22"/>
          <w:szCs w:val="22"/>
          <w:lang w:val="en-US" w:eastAsia="zh-CN" w:bidi="ar-SA"/>
        </w:rPr>
        <w:t>咨询及保障服务。</w:t>
      </w:r>
      <w:r>
        <w:rPr>
          <w:rFonts w:hint="eastAsia" w:ascii="宋体" w:hAnsi="宋体" w:eastAsia="宋体" w:cs="Times New Roman"/>
          <w:color w:val="auto"/>
          <w:kern w:val="2"/>
          <w:sz w:val="22"/>
          <w:szCs w:val="22"/>
          <w:lang w:val="en-US" w:eastAsia="zh-CN" w:bidi="ar-SA"/>
        </w:rPr>
        <w:t>提供7*24小时</w:t>
      </w:r>
      <w:r>
        <w:rPr>
          <w:rFonts w:hint="default" w:ascii="宋体" w:hAnsi="宋体" w:eastAsia="宋体" w:cs="Times New Roman"/>
          <w:color w:val="auto"/>
          <w:kern w:val="2"/>
          <w:sz w:val="22"/>
          <w:szCs w:val="22"/>
          <w:lang w:val="en-US" w:eastAsia="zh-CN" w:bidi="ar-SA"/>
        </w:rPr>
        <w:t>咨询和响应服务，</w:t>
      </w:r>
      <w:r>
        <w:rPr>
          <w:rFonts w:hint="eastAsia" w:ascii="宋体" w:hAnsi="宋体" w:eastAsia="宋体" w:cs="Times New Roman"/>
          <w:color w:val="auto"/>
          <w:kern w:val="2"/>
          <w:sz w:val="22"/>
          <w:szCs w:val="22"/>
          <w:lang w:val="en-US" w:eastAsia="zh-CN" w:bidi="ar-SA"/>
        </w:rPr>
        <w:t>对重要用户提供重点保障服务</w:t>
      </w:r>
      <w:r>
        <w:rPr>
          <w:rFonts w:hint="default" w:ascii="宋体" w:hAnsi="宋体" w:eastAsia="宋体" w:cs="Times New Roman"/>
          <w:color w:val="auto"/>
          <w:kern w:val="2"/>
          <w:sz w:val="22"/>
          <w:szCs w:val="22"/>
          <w:lang w:val="en-US" w:eastAsia="zh-CN" w:bidi="ar-SA"/>
        </w:rPr>
        <w:t>，记录问题及需求并分析报告。</w:t>
      </w:r>
    </w:p>
    <w:p w14:paraId="53D949A9">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2.业务配置</w:t>
      </w:r>
      <w:r>
        <w:rPr>
          <w:rFonts w:hint="default" w:ascii="宋体" w:hAnsi="宋体" w:eastAsia="宋体" w:cs="Times New Roman"/>
          <w:color w:val="auto"/>
          <w:kern w:val="2"/>
          <w:sz w:val="22"/>
          <w:szCs w:val="22"/>
          <w:lang w:val="en-US" w:eastAsia="zh-CN" w:bidi="ar-SA"/>
        </w:rPr>
        <w:t>及优化</w:t>
      </w:r>
      <w:r>
        <w:rPr>
          <w:rFonts w:hint="eastAsia" w:ascii="宋体" w:hAnsi="宋体" w:eastAsia="宋体" w:cs="Times New Roman"/>
          <w:color w:val="auto"/>
          <w:kern w:val="2"/>
          <w:sz w:val="22"/>
          <w:szCs w:val="22"/>
          <w:lang w:val="en-US" w:eastAsia="zh-CN" w:bidi="ar-SA"/>
        </w:rPr>
        <w:t>。提供日常系统业务配置，包括人员调整、流程新增或调整等服务</w:t>
      </w:r>
      <w:r>
        <w:rPr>
          <w:rFonts w:hint="default" w:ascii="宋体" w:hAnsi="宋体" w:eastAsia="宋体" w:cs="Times New Roman"/>
          <w:color w:val="auto"/>
          <w:kern w:val="2"/>
          <w:sz w:val="22"/>
          <w:szCs w:val="22"/>
          <w:lang w:val="en-US" w:eastAsia="zh-CN" w:bidi="ar-SA"/>
        </w:rPr>
        <w:t>，以及系统功能优化</w:t>
      </w:r>
      <w:r>
        <w:rPr>
          <w:rFonts w:hint="eastAsia" w:ascii="宋体" w:hAnsi="宋体" w:eastAsia="宋体" w:cs="Times New Roman"/>
          <w:color w:val="auto"/>
          <w:kern w:val="2"/>
          <w:sz w:val="22"/>
          <w:szCs w:val="22"/>
          <w:lang w:val="en-US" w:eastAsia="zh-CN" w:bidi="ar-SA"/>
        </w:rPr>
        <w:t>。</w:t>
      </w:r>
    </w:p>
    <w:p w14:paraId="1B122A9C">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（三）相关要求</w:t>
      </w:r>
    </w:p>
    <w:p w14:paraId="0FD78615">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1.</w:t>
      </w:r>
      <w:r>
        <w:rPr>
          <w:rFonts w:hint="eastAsia" w:ascii="宋体" w:hAnsi="宋体" w:eastAsia="宋体" w:cs="Times New Roman"/>
          <w:color w:val="auto"/>
          <w:kern w:val="2"/>
          <w:sz w:val="22"/>
          <w:szCs w:val="22"/>
          <w:lang w:val="en-US" w:eastAsia="zh-CN" w:bidi="ar-SA"/>
        </w:rPr>
        <w:t>实行“日巡检、月小结、半年报”制度。每日报送应用、数据库等巡检报告，每月报送上月系统运行情况及故障处理情况，每半年度出具项目总体运维情况总结</w:t>
      </w:r>
      <w:r>
        <w:rPr>
          <w:rFonts w:hint="default" w:ascii="宋体" w:hAnsi="宋体" w:eastAsia="宋体" w:cs="Times New Roman"/>
          <w:color w:val="auto"/>
          <w:kern w:val="2"/>
          <w:sz w:val="22"/>
          <w:szCs w:val="22"/>
          <w:lang w:val="en-US" w:eastAsia="zh-CN" w:bidi="ar-SA"/>
        </w:rPr>
        <w:t>。</w:t>
      </w:r>
    </w:p>
    <w:p w14:paraId="06F72DCD">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2.</w:t>
      </w:r>
      <w:r>
        <w:rPr>
          <w:rFonts w:hint="eastAsia" w:ascii="宋体" w:hAnsi="宋体" w:eastAsia="宋体" w:cs="Times New Roman"/>
          <w:color w:val="auto"/>
          <w:kern w:val="2"/>
          <w:sz w:val="22"/>
          <w:szCs w:val="22"/>
          <w:lang w:val="en-US" w:eastAsia="zh-CN" w:bidi="ar-SA"/>
        </w:rPr>
        <w:t>重保前及重保期间做好巡检和值守工作，对重要会议信息要提前掌握积极应对</w:t>
      </w:r>
      <w:r>
        <w:rPr>
          <w:rFonts w:hint="default" w:ascii="宋体" w:hAnsi="宋体" w:eastAsia="宋体" w:cs="Times New Roman"/>
          <w:color w:val="auto"/>
          <w:kern w:val="2"/>
          <w:sz w:val="22"/>
          <w:szCs w:val="22"/>
          <w:lang w:val="en-US" w:eastAsia="zh-CN" w:bidi="ar-SA"/>
        </w:rPr>
        <w:t>。</w:t>
      </w:r>
    </w:p>
    <w:p w14:paraId="62384F18">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3.</w:t>
      </w:r>
      <w:r>
        <w:rPr>
          <w:rFonts w:hint="eastAsia" w:ascii="宋体" w:hAnsi="宋体" w:eastAsia="宋体" w:cs="Times New Roman"/>
          <w:color w:val="auto"/>
          <w:kern w:val="2"/>
          <w:sz w:val="22"/>
          <w:szCs w:val="22"/>
          <w:lang w:val="en-US" w:eastAsia="zh-CN" w:bidi="ar-SA"/>
        </w:rPr>
        <w:t>考虑应用的重要性，需提供7*24小时持续服务，服务方需安排不少于2名驻场人员</w:t>
      </w:r>
      <w:r>
        <w:rPr>
          <w:rFonts w:hint="default" w:ascii="宋体" w:hAnsi="宋体" w:eastAsia="宋体" w:cs="Times New Roman"/>
          <w:color w:val="auto"/>
          <w:kern w:val="2"/>
          <w:sz w:val="22"/>
          <w:szCs w:val="22"/>
          <w:lang w:val="en-US" w:eastAsia="zh-CN" w:bidi="ar-SA"/>
        </w:rPr>
        <w:t>。</w:t>
      </w:r>
      <w:r>
        <w:rPr>
          <w:rFonts w:hint="eastAsia" w:ascii="宋体" w:hAnsi="宋体" w:eastAsia="宋体" w:cs="Times New Roman"/>
          <w:color w:val="auto"/>
          <w:kern w:val="2"/>
          <w:sz w:val="22"/>
          <w:szCs w:val="22"/>
          <w:lang w:val="en-US" w:eastAsia="zh-CN" w:bidi="ar-SA"/>
        </w:rPr>
        <w:t>对因不按规范运维造成系统故障，或因系统自身存在功能及安全缺陷，造成文件丢失或安全事件等情况进行评价，并按照评价结果给予处罚。</w:t>
      </w:r>
    </w:p>
    <w:p w14:paraId="72D7CF83">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4.质保。</w:t>
      </w:r>
    </w:p>
    <w:p w14:paraId="74B103C5">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（1）软件。含对PC端、平板端应用，信创数据库、操作系统以及第三方工具软件，提供</w:t>
      </w:r>
      <w:r>
        <w:rPr>
          <w:rFonts w:hint="eastAsia" w:ascii="宋体" w:hAnsi="宋体" w:eastAsia="宋体" w:cs="Times New Roman"/>
          <w:color w:val="auto"/>
          <w:kern w:val="2"/>
          <w:sz w:val="22"/>
          <w:szCs w:val="22"/>
          <w:lang w:val="en-US" w:eastAsia="zh-CN" w:bidi="ar-SA"/>
        </w:rPr>
        <w:t>故障</w:t>
      </w:r>
      <w:r>
        <w:rPr>
          <w:rFonts w:hint="default" w:ascii="宋体" w:hAnsi="宋体" w:eastAsia="宋体" w:cs="Times New Roman"/>
          <w:color w:val="auto"/>
          <w:kern w:val="2"/>
          <w:sz w:val="22"/>
          <w:szCs w:val="22"/>
          <w:lang w:val="en-US" w:eastAsia="zh-CN" w:bidi="ar-SA"/>
        </w:rPr>
        <w:t>排查</w:t>
      </w:r>
      <w:r>
        <w:rPr>
          <w:rFonts w:hint="eastAsia" w:ascii="宋体" w:hAnsi="宋体" w:eastAsia="宋体" w:cs="Times New Roman"/>
          <w:color w:val="auto"/>
          <w:kern w:val="2"/>
          <w:sz w:val="22"/>
          <w:szCs w:val="22"/>
          <w:lang w:val="en-US" w:eastAsia="zh-CN" w:bidi="ar-SA"/>
        </w:rPr>
        <w:t>、漏洞修复</w:t>
      </w:r>
      <w:r>
        <w:rPr>
          <w:rFonts w:hint="default" w:ascii="宋体" w:hAnsi="宋体" w:eastAsia="宋体" w:cs="Times New Roman"/>
          <w:color w:val="auto"/>
          <w:kern w:val="2"/>
          <w:sz w:val="22"/>
          <w:szCs w:val="22"/>
          <w:lang w:val="en-US" w:eastAsia="zh-CN" w:bidi="ar-SA"/>
        </w:rPr>
        <w:t>、同步升级或持续更新</w:t>
      </w:r>
      <w:r>
        <w:rPr>
          <w:rFonts w:hint="eastAsia" w:ascii="宋体" w:hAnsi="宋体" w:eastAsia="宋体" w:cs="Times New Roman"/>
          <w:color w:val="auto"/>
          <w:kern w:val="2"/>
          <w:sz w:val="22"/>
          <w:szCs w:val="22"/>
          <w:lang w:val="en-US" w:eastAsia="zh-CN" w:bidi="ar-SA"/>
        </w:rPr>
        <w:t>服务。</w:t>
      </w:r>
    </w:p>
    <w:p w14:paraId="59091D3B">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（2）</w:t>
      </w:r>
      <w:r>
        <w:rPr>
          <w:rFonts w:hint="eastAsia" w:ascii="宋体" w:hAnsi="宋体" w:eastAsia="宋体" w:cs="Times New Roman"/>
          <w:color w:val="auto"/>
          <w:kern w:val="2"/>
          <w:sz w:val="22"/>
          <w:szCs w:val="22"/>
          <w:lang w:val="en-US" w:eastAsia="zh-CN" w:bidi="ar-SA"/>
        </w:rPr>
        <w:t>硬件</w:t>
      </w:r>
      <w:r>
        <w:rPr>
          <w:rFonts w:hint="default" w:ascii="宋体" w:hAnsi="宋体" w:eastAsia="宋体" w:cs="Times New Roman"/>
          <w:color w:val="auto"/>
          <w:kern w:val="2"/>
          <w:sz w:val="22"/>
          <w:szCs w:val="22"/>
          <w:lang w:val="en-US" w:eastAsia="zh-CN" w:bidi="ar-SA"/>
        </w:rPr>
        <w:t>。含故障</w:t>
      </w:r>
      <w:r>
        <w:rPr>
          <w:rFonts w:hint="eastAsia" w:ascii="宋体" w:hAnsi="宋体" w:eastAsia="宋体" w:cs="Times New Roman"/>
          <w:color w:val="auto"/>
          <w:kern w:val="2"/>
          <w:sz w:val="22"/>
          <w:szCs w:val="22"/>
          <w:lang w:val="en-US" w:eastAsia="zh-CN" w:bidi="ar-SA"/>
        </w:rPr>
        <w:t>维修</w:t>
      </w:r>
      <w:r>
        <w:rPr>
          <w:rFonts w:hint="default" w:ascii="宋体" w:hAnsi="宋体" w:eastAsia="宋体" w:cs="Times New Roman"/>
          <w:color w:val="auto"/>
          <w:kern w:val="2"/>
          <w:sz w:val="22"/>
          <w:szCs w:val="22"/>
          <w:lang w:val="en-US" w:eastAsia="zh-CN" w:bidi="ar-SA"/>
        </w:rPr>
        <w:t>和故障件更换，及时提供备用设备</w:t>
      </w:r>
      <w:r>
        <w:rPr>
          <w:rFonts w:hint="eastAsia" w:ascii="宋体" w:hAnsi="宋体" w:eastAsia="宋体" w:cs="Times New Roman"/>
          <w:color w:val="auto"/>
          <w:kern w:val="2"/>
          <w:sz w:val="22"/>
          <w:szCs w:val="22"/>
          <w:lang w:val="en-US" w:eastAsia="zh-CN" w:bidi="ar-SA"/>
        </w:rPr>
        <w:t>，保障业务不中断</w:t>
      </w:r>
      <w:r>
        <w:rPr>
          <w:rFonts w:hint="default" w:ascii="宋体" w:hAnsi="宋体" w:eastAsia="宋体" w:cs="Times New Roman"/>
          <w:color w:val="auto"/>
          <w:kern w:val="2"/>
          <w:sz w:val="22"/>
          <w:szCs w:val="22"/>
          <w:lang w:val="en-US" w:eastAsia="zh-CN" w:bidi="ar-SA"/>
        </w:rPr>
        <w:t>。</w:t>
      </w:r>
    </w:p>
    <w:p w14:paraId="2E79AA12">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Times New Roman"/>
          <w:color w:val="auto"/>
          <w:kern w:val="2"/>
          <w:sz w:val="22"/>
          <w:szCs w:val="22"/>
          <w:lang w:val="en-US" w:eastAsia="zh-CN" w:bidi="ar-SA"/>
        </w:rPr>
      </w:pPr>
      <w:r>
        <w:rPr>
          <w:rFonts w:hint="eastAsia" w:ascii="宋体" w:hAnsi="宋体" w:eastAsia="宋体" w:cs="Times New Roman"/>
          <w:color w:val="auto"/>
          <w:kern w:val="2"/>
          <w:sz w:val="22"/>
          <w:szCs w:val="22"/>
          <w:lang w:val="en-US" w:eastAsia="zh-CN" w:bidi="ar-SA"/>
        </w:rPr>
        <w:t>（四）其他</w:t>
      </w:r>
    </w:p>
    <w:p w14:paraId="167AFB7B">
      <w:pPr>
        <w:pStyle w:val="30"/>
        <w:keepNext w:val="0"/>
        <w:keepLines w:val="0"/>
        <w:pageBreakBefore w:val="0"/>
        <w:widowControl w:val="0"/>
        <w:kinsoku/>
        <w:wordWrap/>
        <w:overflowPunct/>
        <w:topLinePunct w:val="0"/>
        <w:autoSpaceDE/>
        <w:autoSpaceDN/>
        <w:bidi w:val="0"/>
        <w:adjustRightInd/>
        <w:snapToGrid/>
        <w:spacing w:line="440" w:lineRule="exact"/>
        <w:ind w:firstLine="641"/>
        <w:jc w:val="left"/>
        <w:textAlignment w:val="auto"/>
        <w:rPr>
          <w:rFonts w:hint="default" w:ascii="宋体" w:hAnsi="宋体" w:eastAsia="宋体" w:cs="Times New Roman"/>
          <w:color w:val="auto"/>
          <w:kern w:val="2"/>
          <w:sz w:val="22"/>
          <w:szCs w:val="22"/>
          <w:lang w:val="en-US" w:eastAsia="zh-CN" w:bidi="ar-SA"/>
        </w:rPr>
      </w:pPr>
      <w:r>
        <w:rPr>
          <w:rFonts w:hint="default" w:ascii="宋体" w:hAnsi="宋体" w:eastAsia="宋体" w:cs="Times New Roman"/>
          <w:color w:val="auto"/>
          <w:kern w:val="2"/>
          <w:sz w:val="22"/>
          <w:szCs w:val="22"/>
          <w:lang w:val="en-US" w:eastAsia="zh-CN" w:bidi="ar-SA"/>
        </w:rPr>
        <w:t>1</w:t>
      </w:r>
      <w:r>
        <w:rPr>
          <w:rFonts w:hint="eastAsia" w:ascii="宋体" w:hAnsi="宋体" w:eastAsia="宋体" w:cs="Times New Roman"/>
          <w:color w:val="auto"/>
          <w:kern w:val="2"/>
          <w:sz w:val="22"/>
          <w:szCs w:val="22"/>
          <w:lang w:val="en-US" w:eastAsia="zh-CN" w:bidi="ar-SA"/>
        </w:rPr>
        <w:t>.机柜托管费</w:t>
      </w:r>
      <w:r>
        <w:rPr>
          <w:rFonts w:hint="default" w:ascii="宋体" w:hAnsi="宋体" w:eastAsia="宋体" w:cs="Times New Roman"/>
          <w:color w:val="auto"/>
          <w:kern w:val="2"/>
          <w:sz w:val="22"/>
          <w:szCs w:val="22"/>
          <w:lang w:val="en-US" w:eastAsia="zh-CN" w:bidi="ar-SA"/>
        </w:rPr>
        <w:t>，共计3个机柜。</w:t>
      </w:r>
    </w:p>
    <w:p w14:paraId="5A9CC9B3">
      <w:pPr>
        <w:pStyle w:val="30"/>
        <w:keepNext w:val="0"/>
        <w:keepLines w:val="0"/>
        <w:pageBreakBefore w:val="0"/>
        <w:widowControl w:val="0"/>
        <w:kinsoku/>
        <w:wordWrap/>
        <w:overflowPunct/>
        <w:topLinePunct w:val="0"/>
        <w:autoSpaceDE/>
        <w:autoSpaceDN/>
        <w:bidi w:val="0"/>
        <w:adjustRightInd/>
        <w:snapToGrid/>
        <w:spacing w:line="440" w:lineRule="exact"/>
        <w:ind w:firstLine="641"/>
        <w:jc w:val="left"/>
        <w:textAlignment w:val="auto"/>
        <w:rPr>
          <w:rFonts w:ascii="新宋体" w:hAnsi="新宋体" w:eastAsia="新宋体" w:cs="新宋体"/>
          <w:bCs/>
          <w:color w:val="auto"/>
          <w:sz w:val="22"/>
          <w:szCs w:val="22"/>
        </w:rPr>
      </w:pPr>
      <w:r>
        <w:rPr>
          <w:rFonts w:hint="default" w:ascii="宋体" w:hAnsi="宋体" w:eastAsia="宋体" w:cs="Times New Roman"/>
          <w:color w:val="auto"/>
          <w:kern w:val="2"/>
          <w:sz w:val="22"/>
          <w:szCs w:val="22"/>
          <w:lang w:val="en-US" w:eastAsia="zh-CN" w:bidi="ar-SA"/>
        </w:rPr>
        <w:t>2</w:t>
      </w:r>
      <w:r>
        <w:rPr>
          <w:rFonts w:hint="eastAsia" w:ascii="宋体" w:hAnsi="宋体" w:eastAsia="宋体" w:cs="Times New Roman"/>
          <w:color w:val="auto"/>
          <w:kern w:val="2"/>
          <w:sz w:val="22"/>
          <w:szCs w:val="22"/>
          <w:lang w:val="en-US" w:eastAsia="zh-CN" w:bidi="ar-SA"/>
        </w:rPr>
        <w:t>.Apple store证书续费等。</w:t>
      </w:r>
    </w:p>
    <w:p w14:paraId="61FB27D1">
      <w:pPr>
        <w:pStyle w:val="4"/>
        <w:numPr>
          <w:ilvl w:val="0"/>
          <w:numId w:val="1"/>
        </w:numPr>
        <w:spacing w:line="440" w:lineRule="exact"/>
        <w:jc w:val="left"/>
        <w:rPr>
          <w:rFonts w:ascii="宋体" w:hAnsi="宋体"/>
          <w:b/>
          <w:bCs/>
          <w:color w:val="auto"/>
          <w:sz w:val="22"/>
          <w:szCs w:val="22"/>
        </w:rPr>
      </w:pPr>
      <w:bookmarkStart w:id="31" w:name="_Toc18655"/>
      <w:r>
        <w:rPr>
          <w:rFonts w:hint="eastAsia" w:ascii="宋体" w:hAnsi="宋体"/>
          <w:b/>
          <w:bCs/>
          <w:color w:val="auto"/>
          <w:sz w:val="22"/>
          <w:szCs w:val="22"/>
        </w:rPr>
        <w:t>项目服务周期</w:t>
      </w:r>
      <w:bookmarkEnd w:id="31"/>
    </w:p>
    <w:p w14:paraId="2832E337">
      <w:pPr>
        <w:spacing w:after="120" w:line="400" w:lineRule="exact"/>
        <w:ind w:firstLine="442" w:firstLineChars="200"/>
        <w:rPr>
          <w:rFonts w:cs="仿宋_GB2312" w:asciiTheme="minorEastAsia" w:hAnsiTheme="minorEastAsia" w:eastAsiaTheme="minorEastAsia"/>
          <w:b/>
          <w:bCs/>
          <w:color w:val="auto"/>
          <w:sz w:val="22"/>
          <w:szCs w:val="22"/>
          <w:u w:val="single"/>
        </w:rPr>
      </w:pPr>
      <w:r>
        <w:rPr>
          <w:rFonts w:hint="eastAsia" w:cs="仿宋_GB2312" w:asciiTheme="minorEastAsia" w:hAnsiTheme="minorEastAsia" w:eastAsiaTheme="minorEastAsia"/>
          <w:b/>
          <w:bCs/>
          <w:color w:val="auto"/>
          <w:sz w:val="22"/>
          <w:szCs w:val="22"/>
          <w:u w:val="single"/>
        </w:rPr>
        <w:t>▲服务期限：</w:t>
      </w:r>
      <w:r>
        <w:rPr>
          <w:rFonts w:hint="eastAsia" w:cs="仿宋_GB2312" w:asciiTheme="minorEastAsia" w:hAnsiTheme="minorEastAsia" w:eastAsiaTheme="minorEastAsia"/>
          <w:b/>
          <w:bCs/>
          <w:color w:val="auto"/>
          <w:sz w:val="22"/>
          <w:szCs w:val="22"/>
          <w:u w:val="single"/>
          <w:lang w:val="en-US" w:eastAsia="zh-CN"/>
        </w:rPr>
        <w:t>9个月</w:t>
      </w:r>
      <w:r>
        <w:rPr>
          <w:rFonts w:hint="eastAsia" w:cs="仿宋_GB2312" w:asciiTheme="minorEastAsia" w:hAnsiTheme="minorEastAsia" w:eastAsiaTheme="minorEastAsia"/>
          <w:b/>
          <w:bCs/>
          <w:color w:val="auto"/>
          <w:sz w:val="22"/>
          <w:szCs w:val="22"/>
          <w:u w:val="single"/>
        </w:rPr>
        <w:t xml:space="preserve">。 </w:t>
      </w:r>
    </w:p>
    <w:p w14:paraId="5C329F4E">
      <w:pPr>
        <w:pStyle w:val="4"/>
        <w:numPr>
          <w:ilvl w:val="0"/>
          <w:numId w:val="1"/>
        </w:numPr>
        <w:spacing w:line="440" w:lineRule="exact"/>
        <w:jc w:val="left"/>
        <w:rPr>
          <w:rFonts w:ascii="宋体" w:hAnsi="宋体"/>
          <w:b/>
          <w:bCs/>
          <w:color w:val="auto"/>
          <w:sz w:val="22"/>
          <w:szCs w:val="22"/>
        </w:rPr>
      </w:pPr>
      <w:bookmarkStart w:id="32" w:name="_Toc8893"/>
      <w:r>
        <w:rPr>
          <w:rFonts w:hint="eastAsia" w:ascii="宋体" w:hAnsi="宋体"/>
          <w:b/>
          <w:bCs/>
          <w:color w:val="auto"/>
          <w:sz w:val="22"/>
          <w:szCs w:val="22"/>
        </w:rPr>
        <w:t>付款方式</w:t>
      </w:r>
      <w:bookmarkEnd w:id="32"/>
    </w:p>
    <w:p w14:paraId="0900E22A">
      <w:pPr>
        <w:spacing w:line="400" w:lineRule="exact"/>
        <w:ind w:firstLine="552" w:firstLineChars="250"/>
        <w:rPr>
          <w:rFonts w:cs="仿宋_GB2312" w:asciiTheme="minorEastAsia" w:hAnsiTheme="minorEastAsia" w:eastAsiaTheme="minorEastAsia"/>
          <w:b/>
          <w:color w:val="auto"/>
          <w:sz w:val="22"/>
          <w:szCs w:val="22"/>
          <w:u w:val="single"/>
        </w:rPr>
      </w:pPr>
      <w:r>
        <w:rPr>
          <w:rFonts w:ascii="宋体" w:hAnsi="宋体" w:cs="仿宋_GB2312"/>
          <w:b/>
          <w:color w:val="auto"/>
          <w:sz w:val="22"/>
          <w:szCs w:val="22"/>
          <w:u w:val="single"/>
        </w:rPr>
        <w:t>▲</w:t>
      </w:r>
      <w:r>
        <w:rPr>
          <w:rFonts w:hint="eastAsia" w:cs="仿宋_GB2312" w:asciiTheme="minorEastAsia" w:hAnsiTheme="minorEastAsia" w:eastAsiaTheme="minorEastAsia"/>
          <w:b/>
          <w:color w:val="auto"/>
          <w:sz w:val="22"/>
          <w:szCs w:val="22"/>
          <w:u w:val="single"/>
        </w:rPr>
        <w:t>合同签订并具备实施条件后支付中标（成交）供应商合同总价的70%作为预付款；项目服务结束时采购人对中标（成交）供应商提供的服务进行验收，合格后支付合同总价的30%。中标（成交）供应商需开具符合国家规定的发票，采购人按相关支付流程在收到相应发票后7个工作日内付款。</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C247665">
      <w:pPr>
        <w:autoSpaceDE w:val="0"/>
        <w:autoSpaceDN w:val="0"/>
        <w:adjustRightInd w:val="0"/>
        <w:spacing w:line="440" w:lineRule="exact"/>
        <w:ind w:firstLine="442" w:firstLineChars="200"/>
        <w:jc w:val="left"/>
        <w:rPr>
          <w:rFonts w:ascii="宋体" w:hAnsi="宋体" w:cs="宋体"/>
          <w:b/>
          <w:color w:val="auto"/>
          <w:sz w:val="22"/>
          <w:szCs w:val="22"/>
        </w:rPr>
      </w:pPr>
    </w:p>
    <w:p w14:paraId="7CE2986F">
      <w:pPr>
        <w:autoSpaceDE w:val="0"/>
        <w:autoSpaceDN w:val="0"/>
        <w:adjustRightInd w:val="0"/>
        <w:spacing w:line="440" w:lineRule="exact"/>
        <w:ind w:firstLine="440" w:firstLineChars="200"/>
        <w:jc w:val="left"/>
        <w:rPr>
          <w:rFonts w:hint="eastAsia" w:ascii="宋体" w:hAnsi="宋体"/>
          <w:color w:val="auto"/>
          <w:sz w:val="22"/>
        </w:rPr>
      </w:pPr>
    </w:p>
    <w:p w14:paraId="1F08BC5F">
      <w:pPr>
        <w:autoSpaceDE w:val="0"/>
        <w:autoSpaceDN w:val="0"/>
        <w:adjustRightInd w:val="0"/>
        <w:spacing w:line="440" w:lineRule="exact"/>
        <w:ind w:firstLine="440" w:firstLineChars="200"/>
        <w:jc w:val="left"/>
        <w:rPr>
          <w:rFonts w:hint="eastAsia" w:ascii="宋体" w:hAnsi="宋体"/>
          <w:color w:val="auto"/>
          <w:sz w:val="22"/>
        </w:rPr>
      </w:pPr>
    </w:p>
    <w:p w14:paraId="407168FB">
      <w:pPr>
        <w:autoSpaceDE w:val="0"/>
        <w:autoSpaceDN w:val="0"/>
        <w:adjustRightInd w:val="0"/>
        <w:spacing w:line="440" w:lineRule="exact"/>
        <w:ind w:firstLine="440" w:firstLineChars="200"/>
        <w:jc w:val="left"/>
        <w:rPr>
          <w:rFonts w:hint="eastAsia" w:ascii="宋体" w:hAnsi="宋体"/>
          <w:color w:val="auto"/>
          <w:sz w:val="22"/>
        </w:rPr>
      </w:pPr>
    </w:p>
    <w:p w14:paraId="01D9A649">
      <w:pPr>
        <w:autoSpaceDE w:val="0"/>
        <w:autoSpaceDN w:val="0"/>
        <w:adjustRightInd w:val="0"/>
        <w:spacing w:line="440" w:lineRule="exact"/>
        <w:ind w:firstLine="440" w:firstLineChars="200"/>
        <w:jc w:val="left"/>
        <w:rPr>
          <w:rFonts w:ascii="宋体" w:hAnsi="宋体"/>
          <w:color w:val="auto"/>
          <w:sz w:val="22"/>
        </w:rPr>
      </w:pPr>
      <w:r>
        <w:rPr>
          <w:rFonts w:hint="eastAsia" w:ascii="宋体" w:hAnsi="宋体"/>
          <w:color w:val="auto"/>
          <w:sz w:val="22"/>
        </w:rPr>
        <w:t>注意事项：</w:t>
      </w:r>
    </w:p>
    <w:p w14:paraId="714B77C9">
      <w:pPr>
        <w:spacing w:line="440" w:lineRule="exact"/>
        <w:ind w:firstLine="440" w:firstLineChars="200"/>
        <w:rPr>
          <w:rFonts w:ascii="宋体" w:hAnsi="宋体"/>
          <w:color w:val="auto"/>
          <w:sz w:val="22"/>
        </w:rPr>
      </w:pPr>
      <w:r>
        <w:rPr>
          <w:rFonts w:hint="eastAsia" w:ascii="宋体" w:hAnsi="宋体"/>
          <w:color w:val="auto"/>
          <w:sz w:val="22"/>
        </w:rPr>
        <w:t>为了更好地实现采购目标，磋商小组可以修改竞争性磋商文件，对采购需求、合同草案做出实质性变动，并以书面形式通知所有参加磋商的供应商。供应商收到修改采购文件的通知后，可以决定是否继续参加磋商活动。</w:t>
      </w:r>
    </w:p>
    <w:p w14:paraId="13562280">
      <w:pPr>
        <w:pStyle w:val="4"/>
        <w:spacing w:after="240" w:line="440" w:lineRule="exact"/>
        <w:rPr>
          <w:rFonts w:ascii="宋体" w:hAnsi="宋体"/>
          <w:color w:val="auto"/>
          <w:sz w:val="36"/>
        </w:rPr>
      </w:pPr>
      <w:r>
        <w:rPr>
          <w:rFonts w:ascii="宋体" w:hAnsi="宋体"/>
          <w:color w:val="auto"/>
          <w:sz w:val="36"/>
        </w:rPr>
        <w:br w:type="page"/>
      </w:r>
      <w:bookmarkStart w:id="33" w:name="_Toc29903"/>
      <w:r>
        <w:rPr>
          <w:rFonts w:hint="eastAsia" w:ascii="宋体" w:hAnsi="宋体"/>
          <w:color w:val="auto"/>
          <w:sz w:val="36"/>
        </w:rPr>
        <w:t xml:space="preserve">第三部分   </w:t>
      </w:r>
      <w:r>
        <w:rPr>
          <w:rFonts w:ascii="宋体" w:hAnsi="宋体"/>
          <w:color w:val="auto"/>
          <w:sz w:val="36"/>
        </w:rPr>
        <w:t xml:space="preserve"> </w:t>
      </w:r>
      <w:r>
        <w:rPr>
          <w:rFonts w:hint="eastAsia" w:ascii="宋体" w:hAnsi="宋体"/>
          <w:color w:val="auto"/>
          <w:sz w:val="36"/>
        </w:rPr>
        <w:t>供应商须知</w:t>
      </w:r>
      <w:bookmarkEnd w:id="33"/>
    </w:p>
    <w:p w14:paraId="69F434ED">
      <w:pPr>
        <w:pStyle w:val="4"/>
        <w:spacing w:line="440" w:lineRule="atLeast"/>
        <w:jc w:val="left"/>
        <w:rPr>
          <w:rFonts w:ascii="宋体" w:hAnsi="宋体"/>
          <w:b/>
          <w:bCs/>
          <w:color w:val="auto"/>
          <w:sz w:val="22"/>
          <w:szCs w:val="22"/>
        </w:rPr>
      </w:pPr>
      <w:bookmarkStart w:id="34" w:name="_Toc12679"/>
      <w:r>
        <w:rPr>
          <w:rFonts w:hint="eastAsia" w:ascii="宋体" w:hAnsi="宋体"/>
          <w:b/>
          <w:bCs/>
          <w:color w:val="auto"/>
          <w:sz w:val="22"/>
          <w:szCs w:val="22"/>
        </w:rPr>
        <w:t>一、说明</w:t>
      </w:r>
      <w:bookmarkEnd w:id="34"/>
    </w:p>
    <w:p w14:paraId="160B290F">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1、本次采购工作是按照《中华人民共和国政府采购法》及相关法律规章组织和实施。</w:t>
      </w:r>
    </w:p>
    <w:p w14:paraId="3CD7FB39">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2、供应商必须对所有的全部内容进行报价，只对部分内容进行报价的供应商将按无效投标处理。</w:t>
      </w:r>
    </w:p>
    <w:p w14:paraId="4B526C50">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3、无论采购过程中的做法和结果如何，供应商自行承担采购活动中所发生的全部费用。</w:t>
      </w:r>
    </w:p>
    <w:p w14:paraId="5E125039">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4、</w:t>
      </w:r>
      <w:r>
        <w:rPr>
          <w:rFonts w:hint="eastAsia" w:ascii="宋体" w:hAnsi="宋体"/>
          <w:b/>
          <w:color w:val="auto"/>
          <w:sz w:val="22"/>
          <w:szCs w:val="22"/>
        </w:rPr>
        <w:t>本次采购预算见公告，如果某个（些）供应商最终报价超出采购预算的，则该供应商的报价按无效报价处理。</w:t>
      </w:r>
    </w:p>
    <w:p w14:paraId="204261C1">
      <w:pPr>
        <w:autoSpaceDE w:val="0"/>
        <w:autoSpaceDN w:val="0"/>
        <w:adjustRightInd w:val="0"/>
        <w:snapToGrid w:val="0"/>
        <w:spacing w:line="460" w:lineRule="atLeast"/>
        <w:ind w:firstLine="431" w:firstLineChars="196"/>
        <w:textAlignment w:val="bottom"/>
        <w:rPr>
          <w:rFonts w:ascii="宋体" w:hAnsi="宋体"/>
          <w:b/>
          <w:color w:val="auto"/>
          <w:sz w:val="22"/>
          <w:szCs w:val="22"/>
        </w:rPr>
      </w:pPr>
      <w:r>
        <w:rPr>
          <w:rFonts w:hint="eastAsia" w:ascii="宋体" w:hAnsi="宋体"/>
          <w:color w:val="auto"/>
          <w:sz w:val="22"/>
          <w:szCs w:val="22"/>
        </w:rPr>
        <w:t>5、</w:t>
      </w:r>
      <w:r>
        <w:rPr>
          <w:rFonts w:hint="eastAsia" w:ascii="宋体" w:hAnsi="宋体"/>
          <w:b/>
          <w:color w:val="auto"/>
          <w:sz w:val="22"/>
          <w:szCs w:val="22"/>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1A234BB4">
      <w:pPr>
        <w:snapToGrid w:val="0"/>
        <w:spacing w:line="460" w:lineRule="atLeast"/>
        <w:ind w:firstLine="440" w:firstLineChars="200"/>
        <w:rPr>
          <w:rFonts w:ascii="宋体" w:hAnsi="宋体" w:cs="仿宋_GB2312"/>
          <w:color w:val="auto"/>
          <w:sz w:val="22"/>
          <w:lang w:val="zh-CN"/>
        </w:rPr>
      </w:pPr>
      <w:r>
        <w:rPr>
          <w:rFonts w:hint="eastAsia" w:ascii="宋体" w:hAnsi="宋体" w:cs="仿宋_GB2312"/>
          <w:color w:val="auto"/>
          <w:sz w:val="22"/>
          <w:lang w:val="zh-CN"/>
        </w:rPr>
        <w:t>6、知识产权</w:t>
      </w:r>
    </w:p>
    <w:p w14:paraId="5C3EDCA7">
      <w:pPr>
        <w:snapToGrid w:val="0"/>
        <w:spacing w:line="460" w:lineRule="atLeast"/>
        <w:ind w:firstLine="440" w:firstLineChars="200"/>
        <w:rPr>
          <w:rFonts w:ascii="宋体" w:hAnsi="宋体" w:cs="仿宋_GB2312"/>
          <w:color w:val="auto"/>
          <w:sz w:val="22"/>
          <w:lang w:val="zh-CN"/>
        </w:rPr>
      </w:pPr>
      <w:r>
        <w:rPr>
          <w:rFonts w:hint="eastAsia" w:ascii="宋体" w:hAnsi="宋体" w:cs="仿宋_GB2312"/>
          <w:color w:val="auto"/>
          <w:sz w:val="22"/>
          <w:lang w:val="zh-CN"/>
        </w:rPr>
        <w:t>6.1投标供应商应保证，采购人在中华人民共和国使用货物和服务的任何一部分时，免受第三方提出侵犯其专利权、商标权或其它知识产权的起诉。</w:t>
      </w:r>
    </w:p>
    <w:p w14:paraId="407C249B">
      <w:pPr>
        <w:snapToGrid w:val="0"/>
        <w:spacing w:line="460" w:lineRule="atLeast"/>
        <w:ind w:firstLine="440" w:firstLineChars="200"/>
        <w:rPr>
          <w:rFonts w:ascii="宋体" w:hAnsi="宋体" w:cs="仿宋_GB2312"/>
          <w:color w:val="auto"/>
          <w:sz w:val="22"/>
          <w:lang w:val="zh-CN"/>
        </w:rPr>
      </w:pPr>
      <w:r>
        <w:rPr>
          <w:rFonts w:hint="eastAsia" w:ascii="宋体" w:hAnsi="宋体" w:cs="仿宋_GB2312"/>
          <w:color w:val="auto"/>
          <w:sz w:val="22"/>
          <w:lang w:val="zh-CN"/>
        </w:rPr>
        <w:t>6.2投标供应商应对采购人在使用该产品时所涉及到的专利权负责，不损害采购人的利益。</w:t>
      </w:r>
    </w:p>
    <w:p w14:paraId="793F8223">
      <w:pPr>
        <w:snapToGrid w:val="0"/>
        <w:spacing w:line="460" w:lineRule="atLeast"/>
        <w:ind w:firstLine="440" w:firstLineChars="200"/>
        <w:rPr>
          <w:rFonts w:ascii="宋体" w:hAnsi="宋体" w:cs="仿宋_GB2312"/>
          <w:color w:val="auto"/>
          <w:sz w:val="22"/>
          <w:lang w:val="zh-CN"/>
        </w:rPr>
      </w:pPr>
      <w:r>
        <w:rPr>
          <w:rFonts w:hint="eastAsia" w:ascii="宋体" w:hAnsi="宋体" w:cs="仿宋_GB2312"/>
          <w:color w:val="auto"/>
          <w:sz w:val="22"/>
          <w:lang w:val="zh-CN"/>
        </w:rPr>
        <w:t>6.3报价应包括所有应支付的对专利权和版权、设计或其他知识产权而需要向其他方支付的版税。</w:t>
      </w:r>
    </w:p>
    <w:p w14:paraId="361ED698">
      <w:pPr>
        <w:snapToGrid w:val="0"/>
        <w:spacing w:line="460" w:lineRule="atLeast"/>
        <w:ind w:firstLine="440" w:firstLineChars="200"/>
        <w:rPr>
          <w:rFonts w:ascii="宋体" w:hAnsi="宋体" w:cs="仿宋_GB2312"/>
          <w:color w:val="auto"/>
          <w:sz w:val="22"/>
          <w:lang w:val="zh-CN"/>
        </w:rPr>
      </w:pPr>
      <w:r>
        <w:rPr>
          <w:rFonts w:hint="eastAsia" w:ascii="宋体" w:hAnsi="宋体" w:cs="仿宋_GB2312"/>
          <w:color w:val="auto"/>
          <w:sz w:val="22"/>
          <w:lang w:val="zh-CN"/>
        </w:rPr>
        <w:t>6.4投标供应商提供得货物或服务中如使用其他公司的相关专利，应在标书中出示相关授权，如未出示但使用了其他公司的专利，导致供应商中标而引起相关诉讼，由投标供应商承担。</w:t>
      </w:r>
    </w:p>
    <w:p w14:paraId="609083E7">
      <w:pPr>
        <w:adjustRightInd w:val="0"/>
        <w:spacing w:line="440" w:lineRule="atLeast"/>
        <w:ind w:firstLine="431" w:firstLineChars="196"/>
        <w:rPr>
          <w:rFonts w:ascii="宋体" w:hAnsi="宋体"/>
          <w:color w:val="auto"/>
          <w:sz w:val="22"/>
        </w:rPr>
      </w:pPr>
      <w:r>
        <w:rPr>
          <w:rFonts w:hint="eastAsia" w:ascii="宋体" w:hAnsi="宋体"/>
          <w:color w:val="auto"/>
          <w:sz w:val="22"/>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65536C13">
      <w:pPr>
        <w:snapToGrid w:val="0"/>
        <w:spacing w:line="460" w:lineRule="atLeast"/>
        <w:ind w:firstLine="440" w:firstLineChars="200"/>
        <w:rPr>
          <w:rFonts w:ascii="宋体" w:hAnsi="宋体"/>
          <w:color w:val="auto"/>
          <w:sz w:val="22"/>
        </w:rPr>
      </w:pPr>
      <w:r>
        <w:rPr>
          <w:rFonts w:hint="eastAsia" w:ascii="宋体" w:hAnsi="宋体"/>
          <w:color w:val="auto"/>
          <w:sz w:val="22"/>
        </w:rPr>
        <w:t>除单一来源采购项目外，为采购项目提供整体设计、规范编制或者项目管理、监理、检测等服务的供应商，不得再参加该采购项目的其他采购活动。</w:t>
      </w:r>
    </w:p>
    <w:p w14:paraId="5B81CFBB">
      <w:pPr>
        <w:snapToGrid w:val="0"/>
        <w:spacing w:line="460" w:lineRule="atLeast"/>
        <w:ind w:firstLine="440" w:firstLineChars="200"/>
        <w:rPr>
          <w:rFonts w:ascii="宋体" w:hAnsi="宋体"/>
          <w:color w:val="auto"/>
          <w:sz w:val="22"/>
        </w:rPr>
      </w:pPr>
      <w:r>
        <w:rPr>
          <w:rFonts w:hint="eastAsia" w:ascii="宋体" w:hAnsi="宋体"/>
          <w:color w:val="auto"/>
          <w:sz w:val="22"/>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6179358D">
      <w:pPr>
        <w:autoSpaceDE w:val="0"/>
        <w:autoSpaceDN w:val="0"/>
        <w:adjustRightInd w:val="0"/>
        <w:snapToGrid w:val="0"/>
        <w:spacing w:line="460" w:lineRule="atLeast"/>
        <w:ind w:firstLine="422" w:firstLineChars="191"/>
        <w:textAlignment w:val="bottom"/>
        <w:rPr>
          <w:rFonts w:ascii="宋体" w:hAnsi="宋体" w:cs="黑体"/>
          <w:b/>
          <w:bCs/>
          <w:color w:val="auto"/>
          <w:sz w:val="22"/>
          <w:szCs w:val="22"/>
        </w:rPr>
      </w:pPr>
      <w:r>
        <w:rPr>
          <w:rFonts w:ascii="宋体" w:hAnsi="宋体" w:cs="黑体"/>
          <w:b/>
          <w:bCs/>
          <w:color w:val="auto"/>
          <w:sz w:val="22"/>
          <w:szCs w:val="22"/>
        </w:rPr>
        <w:t>9</w:t>
      </w:r>
      <w:r>
        <w:rPr>
          <w:rFonts w:hint="eastAsia" w:ascii="宋体" w:hAnsi="宋体" w:cs="黑体"/>
          <w:b/>
          <w:bCs/>
          <w:color w:val="auto"/>
          <w:sz w:val="22"/>
          <w:szCs w:val="22"/>
        </w:rPr>
        <w:t>、根据关于印发《政府采购促进中小企业发展管理办法》的通知（财政部 工业和信息化部 财库〔2020〕46号）文件第十二条规定，</w:t>
      </w:r>
      <w:r>
        <w:rPr>
          <w:rFonts w:ascii="宋体" w:hAnsi="宋体" w:cs="黑体"/>
          <w:b/>
          <w:bCs/>
          <w:color w:val="auto"/>
          <w:sz w:val="22"/>
          <w:szCs w:val="22"/>
        </w:rPr>
        <w:t>本项目</w:t>
      </w:r>
      <w:r>
        <w:rPr>
          <w:rFonts w:hint="eastAsia" w:ascii="宋体" w:hAnsi="宋体" w:cs="黑体"/>
          <w:b/>
          <w:bCs/>
          <w:color w:val="auto"/>
          <w:sz w:val="22"/>
          <w:szCs w:val="22"/>
        </w:rPr>
        <w:t>采购标的</w:t>
      </w:r>
      <w:r>
        <w:rPr>
          <w:rFonts w:ascii="宋体" w:hAnsi="宋体" w:cs="黑体"/>
          <w:b/>
          <w:bCs/>
          <w:color w:val="auto"/>
          <w:sz w:val="22"/>
          <w:szCs w:val="22"/>
        </w:rPr>
        <w:t>所属行业为</w:t>
      </w:r>
      <w:r>
        <w:rPr>
          <w:rFonts w:hint="eastAsia" w:ascii="宋体" w:hAnsi="宋体" w:cs="黑体"/>
          <w:b/>
          <w:bCs/>
          <w:color w:val="auto"/>
          <w:sz w:val="22"/>
          <w:szCs w:val="22"/>
          <w:u w:val="single"/>
          <w:shd w:val="pct10" w:color="auto" w:fill="FFFFFF"/>
        </w:rPr>
        <w:t>软件和信息技术服务业</w:t>
      </w:r>
      <w:r>
        <w:rPr>
          <w:rFonts w:hint="eastAsia" w:ascii="宋体" w:hAnsi="宋体" w:cs="黑体"/>
          <w:b/>
          <w:bCs/>
          <w:color w:val="auto"/>
          <w:sz w:val="22"/>
          <w:szCs w:val="22"/>
        </w:rPr>
        <w:t>，投标供应商属于采购文件中明确的行业所对应的小微企业享受价格优惠折扣。</w:t>
      </w:r>
    </w:p>
    <w:p w14:paraId="4D661D0F">
      <w:pPr>
        <w:autoSpaceDE w:val="0"/>
        <w:autoSpaceDN w:val="0"/>
        <w:adjustRightInd w:val="0"/>
        <w:snapToGrid w:val="0"/>
        <w:spacing w:line="460" w:lineRule="atLeast"/>
        <w:ind w:firstLine="422" w:firstLineChars="191"/>
        <w:textAlignment w:val="bottom"/>
        <w:rPr>
          <w:rFonts w:ascii="宋体" w:hAnsi="宋体" w:cs="黑体"/>
          <w:b/>
          <w:bCs/>
          <w:color w:val="auto"/>
          <w:sz w:val="22"/>
          <w:szCs w:val="22"/>
        </w:rPr>
      </w:pPr>
      <w:r>
        <w:rPr>
          <w:rFonts w:hint="eastAsia" w:ascii="宋体" w:hAnsi="宋体" w:cs="黑体"/>
          <w:b/>
          <w:bCs/>
          <w:color w:val="auto"/>
          <w:sz w:val="22"/>
          <w:szCs w:val="22"/>
        </w:rPr>
        <w:t>供应商须对照</w:t>
      </w:r>
      <w:r>
        <w:rPr>
          <w:rFonts w:ascii="宋体" w:hAnsi="宋体" w:cs="黑体"/>
          <w:b/>
          <w:bCs/>
          <w:color w:val="auto"/>
          <w:sz w:val="22"/>
          <w:szCs w:val="22"/>
        </w:rPr>
        <w:t>《关于印发中小企业划型标准规定的通知》（工信部联企业[2011]300号）</w:t>
      </w:r>
      <w:r>
        <w:rPr>
          <w:rFonts w:hint="eastAsia" w:ascii="宋体" w:hAnsi="宋体" w:cs="黑体"/>
          <w:b/>
          <w:bCs/>
          <w:color w:val="auto"/>
          <w:sz w:val="22"/>
          <w:szCs w:val="22"/>
        </w:rPr>
        <w:t>标准根据真实情况提供《中小企业声明函》。</w:t>
      </w:r>
    </w:p>
    <w:p w14:paraId="56D0A4C2">
      <w:pPr>
        <w:autoSpaceDE w:val="0"/>
        <w:autoSpaceDN w:val="0"/>
        <w:adjustRightInd w:val="0"/>
        <w:snapToGrid w:val="0"/>
        <w:spacing w:line="460" w:lineRule="exact"/>
        <w:ind w:firstLine="442" w:firstLineChars="200"/>
        <w:textAlignment w:val="bottom"/>
        <w:rPr>
          <w:rFonts w:ascii="宋体" w:cs="Arial"/>
          <w:b/>
          <w:bCs/>
          <w:color w:val="auto"/>
          <w:sz w:val="22"/>
          <w:szCs w:val="22"/>
        </w:rPr>
      </w:pPr>
      <w:r>
        <w:rPr>
          <w:rFonts w:hint="eastAsia" w:ascii="宋体" w:cs="Arial"/>
          <w:b/>
          <w:bCs/>
          <w:color w:val="auto"/>
          <w:sz w:val="22"/>
          <w:szCs w:val="22"/>
        </w:rPr>
        <w:t>根据关于印发《政府采购促进中小企业发展管理办法》的通知（财政部 工业和信息化部 财库〔2020〕46号）文件规定，《中小企业声明函》内容不实的，属于提供虚假资料谋求中标、成交，依照《中华人民共和国政府采购法》等国家有关规定追究相应责任。</w:t>
      </w:r>
    </w:p>
    <w:p w14:paraId="10B5C77C">
      <w:pPr>
        <w:snapToGrid w:val="0"/>
        <w:spacing w:line="460" w:lineRule="atLeast"/>
        <w:ind w:firstLine="440" w:firstLineChars="200"/>
        <w:rPr>
          <w:rFonts w:ascii="宋体" w:hAnsi="宋体" w:cs="黑体"/>
          <w:color w:val="auto"/>
          <w:sz w:val="22"/>
          <w:szCs w:val="22"/>
        </w:rPr>
      </w:pPr>
      <w:r>
        <w:rPr>
          <w:rFonts w:ascii="宋体" w:hAnsi="宋体"/>
          <w:color w:val="auto"/>
          <w:sz w:val="22"/>
        </w:rPr>
        <w:t>10、</w:t>
      </w:r>
      <w:r>
        <w:rPr>
          <w:rFonts w:hint="eastAsia" w:ascii="宋体" w:hAnsi="宋体" w:cs="黑体"/>
          <w:color w:val="auto"/>
          <w:sz w:val="22"/>
          <w:szCs w:val="22"/>
        </w:rPr>
        <w:t>目采用在线投标响应方式，执行《浙江省财政厅关于印发浙江省政府采购项目电子交易管理暂行办法的通知》（浙财采监〔</w:t>
      </w:r>
      <w:r>
        <w:rPr>
          <w:rFonts w:ascii="宋体" w:hAnsi="宋体" w:cs="黑体"/>
          <w:color w:val="auto"/>
          <w:sz w:val="22"/>
          <w:szCs w:val="22"/>
        </w:rPr>
        <w:t>2019〕10 号）等相关规定。</w:t>
      </w:r>
    </w:p>
    <w:p w14:paraId="30651240">
      <w:pPr>
        <w:autoSpaceDE w:val="0"/>
        <w:autoSpaceDN w:val="0"/>
        <w:adjustRightInd w:val="0"/>
        <w:snapToGrid w:val="0"/>
        <w:spacing w:line="460" w:lineRule="atLeast"/>
        <w:ind w:firstLine="422" w:firstLineChars="191"/>
        <w:textAlignment w:val="bottom"/>
        <w:rPr>
          <w:rFonts w:ascii="宋体" w:hAnsi="宋体" w:cs="Arial"/>
          <w:b/>
          <w:bCs/>
          <w:color w:val="auto"/>
          <w:sz w:val="22"/>
          <w:szCs w:val="22"/>
        </w:rPr>
      </w:pPr>
      <w:r>
        <w:rPr>
          <w:rFonts w:hint="eastAsia" w:ascii="宋体" w:hAnsi="宋体" w:cs="黑体"/>
          <w:b/>
          <w:bCs/>
          <w:color w:val="auto"/>
          <w:sz w:val="22"/>
          <w:szCs w:val="22"/>
        </w:rPr>
        <w:t>1</w:t>
      </w:r>
      <w:r>
        <w:rPr>
          <w:rFonts w:ascii="宋体" w:hAnsi="宋体" w:cs="黑体"/>
          <w:b/>
          <w:bCs/>
          <w:color w:val="auto"/>
          <w:sz w:val="22"/>
          <w:szCs w:val="22"/>
        </w:rPr>
        <w:t>1、</w:t>
      </w:r>
      <w:r>
        <w:rPr>
          <w:rFonts w:hint="eastAsia" w:ascii="宋体" w:hAnsi="宋体" w:cs="Arial"/>
          <w:b/>
          <w:bCs/>
          <w:color w:val="auto"/>
          <w:sz w:val="22"/>
          <w:szCs w:val="22"/>
        </w:rPr>
        <w:t>项目在线开评标进行时，供应商授权代表需自行关注平台提示信息，期间如有发出“询标/澄清函”等相关线上函件时，因供应商自身原因逾期/错过回复时间，由此造成的后果由供应商自行承担。</w:t>
      </w:r>
    </w:p>
    <w:p w14:paraId="17C0108A">
      <w:pPr>
        <w:pStyle w:val="4"/>
        <w:spacing w:line="440" w:lineRule="atLeast"/>
        <w:jc w:val="left"/>
        <w:rPr>
          <w:rFonts w:ascii="宋体" w:hAnsi="宋体"/>
          <w:b/>
          <w:bCs/>
          <w:color w:val="auto"/>
          <w:sz w:val="22"/>
          <w:szCs w:val="22"/>
        </w:rPr>
      </w:pPr>
      <w:bookmarkStart w:id="35" w:name="_Toc11463"/>
      <w:r>
        <w:rPr>
          <w:rFonts w:hint="eastAsia" w:ascii="宋体" w:hAnsi="宋体"/>
          <w:b/>
          <w:bCs/>
          <w:color w:val="auto"/>
          <w:sz w:val="22"/>
          <w:szCs w:val="22"/>
        </w:rPr>
        <w:t>二、竞争性磋商文件</w:t>
      </w:r>
      <w:bookmarkEnd w:id="35"/>
    </w:p>
    <w:p w14:paraId="605E84AB">
      <w:pPr>
        <w:snapToGrid w:val="0"/>
        <w:spacing w:line="460" w:lineRule="atLeast"/>
        <w:ind w:firstLine="440" w:firstLineChars="200"/>
        <w:rPr>
          <w:rFonts w:ascii="宋体" w:hAnsi="宋体"/>
          <w:color w:val="auto"/>
          <w:sz w:val="22"/>
        </w:rPr>
      </w:pPr>
      <w:r>
        <w:rPr>
          <w:rFonts w:hint="eastAsia" w:ascii="宋体" w:hAnsi="宋体"/>
          <w:color w:val="auto"/>
          <w:sz w:val="22"/>
        </w:rPr>
        <w:t>1、竞争性磋商文件</w:t>
      </w:r>
    </w:p>
    <w:p w14:paraId="4881EC87">
      <w:pPr>
        <w:snapToGrid w:val="0"/>
        <w:spacing w:line="460" w:lineRule="atLeast"/>
        <w:ind w:firstLine="440" w:firstLineChars="200"/>
        <w:rPr>
          <w:rFonts w:ascii="宋体" w:hAnsi="宋体"/>
          <w:color w:val="auto"/>
          <w:sz w:val="22"/>
        </w:rPr>
      </w:pPr>
      <w:r>
        <w:rPr>
          <w:rFonts w:hint="eastAsia" w:ascii="宋体" w:hAnsi="宋体"/>
          <w:color w:val="auto"/>
          <w:sz w:val="22"/>
        </w:rPr>
        <w:t>1.1、磋商文件发放</w:t>
      </w:r>
    </w:p>
    <w:p w14:paraId="1C71AF94">
      <w:pPr>
        <w:snapToGrid w:val="0"/>
        <w:spacing w:line="460" w:lineRule="atLeast"/>
        <w:ind w:firstLine="440" w:firstLineChars="200"/>
        <w:rPr>
          <w:rFonts w:ascii="宋体" w:hAnsi="宋体"/>
          <w:color w:val="auto"/>
          <w:sz w:val="22"/>
        </w:rPr>
      </w:pPr>
      <w:r>
        <w:rPr>
          <w:rFonts w:hint="eastAsia" w:ascii="宋体" w:hAnsi="宋体"/>
          <w:color w:val="auto"/>
          <w:sz w:val="22"/>
        </w:rPr>
        <w:t>投标供应商网上自行下载磋商文件。</w:t>
      </w:r>
    </w:p>
    <w:p w14:paraId="02D50627">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1.2、竞争性磋商文件约束力</w:t>
      </w:r>
    </w:p>
    <w:p w14:paraId="325F33FB">
      <w:pPr>
        <w:autoSpaceDE w:val="0"/>
        <w:autoSpaceDN w:val="0"/>
        <w:adjustRightInd w:val="0"/>
        <w:snapToGrid w:val="0"/>
        <w:spacing w:line="460" w:lineRule="atLeast"/>
        <w:ind w:firstLine="431" w:firstLineChars="196"/>
        <w:textAlignment w:val="bottom"/>
        <w:rPr>
          <w:rFonts w:ascii="宋体" w:hAnsi="宋体"/>
          <w:color w:val="auto"/>
          <w:sz w:val="22"/>
          <w:szCs w:val="22"/>
          <w:u w:val="single"/>
        </w:rPr>
      </w:pPr>
      <w:r>
        <w:rPr>
          <w:rFonts w:hint="eastAsia" w:ascii="宋体" w:hAnsi="宋体"/>
          <w:color w:val="auto"/>
          <w:sz w:val="22"/>
          <w:szCs w:val="22"/>
        </w:rPr>
        <w:t>▲</w:t>
      </w:r>
      <w:r>
        <w:rPr>
          <w:rFonts w:hint="eastAsia" w:ascii="宋体" w:hAnsi="宋体"/>
          <w:color w:val="auto"/>
          <w:sz w:val="22"/>
          <w:szCs w:val="22"/>
          <w:u w:val="single"/>
        </w:rPr>
        <w:t>供应商一旦获取了本竞争性磋商文件并参加磋商采购，即被认为接受了本竞争性磋商文件中所有条款和规定。</w:t>
      </w:r>
    </w:p>
    <w:p w14:paraId="0D17ABBE">
      <w:pPr>
        <w:autoSpaceDE w:val="0"/>
        <w:autoSpaceDN w:val="0"/>
        <w:adjustRightInd w:val="0"/>
        <w:snapToGrid w:val="0"/>
        <w:spacing w:line="460" w:lineRule="atLeast"/>
        <w:textAlignment w:val="bottom"/>
        <w:rPr>
          <w:rFonts w:ascii="宋体" w:hAnsi="宋体"/>
          <w:color w:val="auto"/>
          <w:sz w:val="22"/>
          <w:szCs w:val="22"/>
        </w:rPr>
      </w:pPr>
      <w:r>
        <w:rPr>
          <w:rFonts w:hint="eastAsia" w:ascii="宋体" w:hAnsi="宋体"/>
          <w:color w:val="auto"/>
          <w:sz w:val="22"/>
          <w:szCs w:val="22"/>
        </w:rPr>
        <w:t xml:space="preserve">    1.3、竞争性磋商文件的组成</w:t>
      </w:r>
    </w:p>
    <w:p w14:paraId="0F320B7E">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竞争性磋商文件由竞争性磋商文件总目录所列内容及补充资料等组成。</w:t>
      </w:r>
    </w:p>
    <w:p w14:paraId="26D6640E">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2、竞争性磋商文件的澄清</w:t>
      </w:r>
    </w:p>
    <w:p w14:paraId="20C21E40">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b/>
          <w:color w:val="auto"/>
          <w:sz w:val="22"/>
          <w:szCs w:val="22"/>
        </w:rPr>
        <w:t>任何口头答复均不作为报价依据</w:t>
      </w:r>
      <w:r>
        <w:rPr>
          <w:rFonts w:hint="eastAsia" w:ascii="宋体" w:hAnsi="宋体"/>
          <w:color w:val="auto"/>
          <w:sz w:val="22"/>
          <w:szCs w:val="22"/>
        </w:rPr>
        <w:t>。</w:t>
      </w:r>
    </w:p>
    <w:p w14:paraId="1212580C">
      <w:pPr>
        <w:autoSpaceDE w:val="0"/>
        <w:autoSpaceDN w:val="0"/>
        <w:adjustRightInd w:val="0"/>
        <w:snapToGrid w:val="0"/>
        <w:spacing w:line="460" w:lineRule="atLeast"/>
        <w:ind w:firstLine="541" w:firstLineChars="246"/>
        <w:textAlignment w:val="bottom"/>
        <w:rPr>
          <w:rFonts w:ascii="宋体" w:hAnsi="宋体"/>
          <w:color w:val="auto"/>
          <w:sz w:val="22"/>
          <w:szCs w:val="22"/>
        </w:rPr>
      </w:pPr>
      <w:r>
        <w:rPr>
          <w:rFonts w:hint="eastAsia" w:ascii="宋体" w:hAnsi="宋体"/>
          <w:color w:val="auto"/>
          <w:sz w:val="22"/>
          <w:szCs w:val="22"/>
        </w:rPr>
        <w:t>3、竞争性磋商文件的修改</w:t>
      </w:r>
    </w:p>
    <w:p w14:paraId="4A773EB1">
      <w:pPr>
        <w:autoSpaceDE w:val="0"/>
        <w:autoSpaceDN w:val="0"/>
        <w:adjustRightInd w:val="0"/>
        <w:snapToGrid w:val="0"/>
        <w:spacing w:line="460" w:lineRule="atLeast"/>
        <w:ind w:firstLine="541" w:firstLineChars="246"/>
        <w:textAlignment w:val="bottom"/>
        <w:rPr>
          <w:rFonts w:ascii="宋体" w:hAnsi="宋体"/>
          <w:color w:val="auto"/>
          <w:sz w:val="22"/>
          <w:szCs w:val="22"/>
        </w:rPr>
      </w:pPr>
      <w:r>
        <w:rPr>
          <w:rFonts w:hint="eastAsia" w:ascii="宋体" w:hAnsi="宋体"/>
          <w:color w:val="auto"/>
          <w:sz w:val="22"/>
          <w:szCs w:val="22"/>
        </w:rPr>
        <w:t>3.1、在磋商响应文件递交截止时间前，采购人有权修改竞争性磋商文件，并通知供应商。补充文件作为竞争性磋商文件的补充和组成部分，对所有供应商均有约束力。</w:t>
      </w:r>
    </w:p>
    <w:p w14:paraId="795C7BC0">
      <w:pPr>
        <w:autoSpaceDE w:val="0"/>
        <w:autoSpaceDN w:val="0"/>
        <w:adjustRightInd w:val="0"/>
        <w:snapToGrid w:val="0"/>
        <w:spacing w:line="460" w:lineRule="atLeast"/>
        <w:ind w:firstLine="541" w:firstLineChars="246"/>
        <w:textAlignment w:val="bottom"/>
        <w:rPr>
          <w:rFonts w:ascii="宋体" w:hAnsi="宋体"/>
          <w:color w:val="auto"/>
          <w:sz w:val="22"/>
          <w:szCs w:val="22"/>
        </w:rPr>
      </w:pPr>
      <w:r>
        <w:rPr>
          <w:rFonts w:hint="eastAsia" w:ascii="宋体" w:hAnsi="宋体"/>
          <w:color w:val="auto"/>
          <w:sz w:val="22"/>
          <w:szCs w:val="22"/>
        </w:rPr>
        <w:t>3.2、为使供应商有足够的时间按竞争性磋商文件要求修正磋商响应文件，采购人可酌情推迟磋商响应文件递交截止时间和开始时间，并将此变更通知供应商。</w:t>
      </w:r>
    </w:p>
    <w:p w14:paraId="18B0F8F3">
      <w:pPr>
        <w:autoSpaceDE w:val="0"/>
        <w:autoSpaceDN w:val="0"/>
        <w:adjustRightInd w:val="0"/>
        <w:snapToGrid w:val="0"/>
        <w:spacing w:line="460" w:lineRule="atLeast"/>
        <w:ind w:firstLine="543" w:firstLineChars="246"/>
        <w:textAlignment w:val="bottom"/>
        <w:rPr>
          <w:rFonts w:ascii="宋体" w:hAnsi="宋体"/>
          <w:b/>
          <w:color w:val="auto"/>
          <w:sz w:val="22"/>
          <w:szCs w:val="22"/>
        </w:rPr>
      </w:pPr>
      <w:r>
        <w:rPr>
          <w:rFonts w:hint="eastAsia" w:ascii="宋体" w:hAnsi="宋体"/>
          <w:b/>
          <w:color w:val="auto"/>
          <w:sz w:val="22"/>
          <w:szCs w:val="22"/>
        </w:rPr>
        <w:t>3.3、本项目磋商文件如有补充、更正、澄清均见浙江政府采购网。投标供应商须在磋商响应文件递交截止前自行查看是否有补充、更正、澄清文件，并按补充、更正、澄清文件要求投标，否则责任自负。</w:t>
      </w:r>
    </w:p>
    <w:p w14:paraId="7E2537AE">
      <w:pPr>
        <w:pStyle w:val="4"/>
        <w:spacing w:line="440" w:lineRule="atLeast"/>
        <w:jc w:val="left"/>
        <w:rPr>
          <w:rFonts w:ascii="宋体" w:hAnsi="宋体"/>
          <w:b/>
          <w:bCs/>
          <w:color w:val="auto"/>
          <w:sz w:val="22"/>
          <w:szCs w:val="22"/>
        </w:rPr>
      </w:pPr>
      <w:bookmarkStart w:id="36" w:name="_Toc2108"/>
      <w:r>
        <w:rPr>
          <w:rFonts w:hint="eastAsia" w:ascii="宋体" w:hAnsi="宋体"/>
          <w:b/>
          <w:bCs/>
          <w:color w:val="auto"/>
          <w:sz w:val="22"/>
          <w:szCs w:val="22"/>
        </w:rPr>
        <w:t>三、磋商响应文件</w:t>
      </w:r>
      <w:bookmarkEnd w:id="36"/>
    </w:p>
    <w:p w14:paraId="655D2C83">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1、磋商响应文件</w:t>
      </w:r>
    </w:p>
    <w:p w14:paraId="3F64BA03">
      <w:pPr>
        <w:autoSpaceDE w:val="0"/>
        <w:autoSpaceDN w:val="0"/>
        <w:adjustRightInd w:val="0"/>
        <w:snapToGrid w:val="0"/>
        <w:spacing w:line="460" w:lineRule="atLeast"/>
        <w:ind w:firstLine="431" w:firstLineChars="196"/>
        <w:textAlignment w:val="bottom"/>
        <w:rPr>
          <w:rFonts w:ascii="宋体" w:hAnsi="宋体" w:cs="Arial"/>
          <w:color w:val="auto"/>
          <w:sz w:val="22"/>
          <w:szCs w:val="22"/>
        </w:rPr>
      </w:pPr>
      <w:r>
        <w:rPr>
          <w:rFonts w:hint="eastAsia" w:ascii="宋体" w:hAnsi="宋体"/>
          <w:color w:val="auto"/>
          <w:sz w:val="22"/>
          <w:szCs w:val="22"/>
        </w:rPr>
        <w:t>1.1、供应商应</w:t>
      </w:r>
      <w:r>
        <w:rPr>
          <w:rFonts w:hint="eastAsia" w:ascii="宋体" w:hAnsi="宋体" w:cs="Arial"/>
          <w:color w:val="auto"/>
          <w:sz w:val="22"/>
          <w:szCs w:val="22"/>
        </w:rPr>
        <w:t>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5183B60A">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仿宋_GB2312"/>
          <w:color w:val="auto"/>
          <w:sz w:val="22"/>
          <w:szCs w:val="22"/>
          <w:lang w:val="zh-CN"/>
        </w:rPr>
        <w:t>1.2、</w:t>
      </w:r>
      <w:r>
        <w:rPr>
          <w:rFonts w:hint="eastAsia" w:ascii="宋体" w:hAnsi="宋体" w:cs="Arial"/>
          <w:color w:val="auto"/>
          <w:sz w:val="22"/>
          <w:szCs w:val="22"/>
        </w:rPr>
        <w:t>供应商必须按竞争性磋商文件的要求提供相关技术参数、资料，包括采用的计量单位，并保证</w:t>
      </w:r>
      <w:r>
        <w:rPr>
          <w:rFonts w:hint="eastAsia" w:ascii="宋体" w:hAnsi="宋体"/>
          <w:color w:val="auto"/>
          <w:sz w:val="22"/>
          <w:szCs w:val="22"/>
        </w:rPr>
        <w:t>磋商响应文件</w:t>
      </w:r>
      <w:r>
        <w:rPr>
          <w:rFonts w:hint="eastAsia" w:ascii="宋体" w:hAnsi="宋体" w:cs="Arial"/>
          <w:color w:val="auto"/>
          <w:sz w:val="22"/>
          <w:szCs w:val="22"/>
        </w:rPr>
        <w:t>的正确性和真实性。</w:t>
      </w:r>
      <w:r>
        <w:rPr>
          <w:rFonts w:hint="eastAsia" w:ascii="宋体" w:hAnsi="宋体"/>
          <w:color w:val="auto"/>
          <w:sz w:val="22"/>
          <w:szCs w:val="22"/>
        </w:rPr>
        <w:t>磋商响应文件</w:t>
      </w:r>
      <w:r>
        <w:rPr>
          <w:rFonts w:hint="eastAsia" w:ascii="宋体" w:hAnsi="宋体" w:cs="Arial"/>
          <w:color w:val="auto"/>
          <w:sz w:val="22"/>
          <w:szCs w:val="22"/>
        </w:rPr>
        <w:t>全部内容应保持一致，否则可能导致对其不利评定甚至被拒绝。技术和商务如有偏离均应填写偏离表。</w:t>
      </w:r>
    </w:p>
    <w:p w14:paraId="4D638536">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s="仿宋_GB2312"/>
          <w:color w:val="auto"/>
          <w:sz w:val="22"/>
          <w:szCs w:val="22"/>
          <w:lang w:val="zh-CN"/>
        </w:rPr>
        <w:t>1.3、供应商应仔细阅读竞争性磋商文件中的所有内容，按照竞争性磋商文件要求，详细编制</w:t>
      </w:r>
      <w:r>
        <w:rPr>
          <w:rFonts w:hint="eastAsia" w:ascii="宋体" w:hAnsi="宋体"/>
          <w:color w:val="auto"/>
          <w:sz w:val="22"/>
          <w:szCs w:val="22"/>
        </w:rPr>
        <w:t>磋商响应文件</w:t>
      </w:r>
      <w:r>
        <w:rPr>
          <w:rFonts w:hint="eastAsia" w:ascii="宋体" w:hAnsi="宋体" w:cs="仿宋_GB2312"/>
          <w:color w:val="auto"/>
          <w:sz w:val="22"/>
          <w:szCs w:val="22"/>
          <w:lang w:val="zh-CN"/>
        </w:rPr>
        <w:t>，所有文件资料必须是针对本次采购。不按竞争性磋商文件的要求提供的</w:t>
      </w:r>
      <w:r>
        <w:rPr>
          <w:rFonts w:hint="eastAsia" w:ascii="宋体" w:hAnsi="宋体"/>
          <w:color w:val="auto"/>
          <w:sz w:val="22"/>
          <w:szCs w:val="22"/>
        </w:rPr>
        <w:t>磋商响应文件</w:t>
      </w:r>
      <w:r>
        <w:rPr>
          <w:rFonts w:hint="eastAsia" w:ascii="宋体" w:hAnsi="宋体" w:cs="仿宋_GB2312"/>
          <w:color w:val="auto"/>
          <w:sz w:val="22"/>
          <w:szCs w:val="22"/>
          <w:lang w:val="zh-CN"/>
        </w:rPr>
        <w:t>可能导致被拒绝。</w:t>
      </w:r>
    </w:p>
    <w:p w14:paraId="7E1085E4">
      <w:pPr>
        <w:autoSpaceDE w:val="0"/>
        <w:autoSpaceDN w:val="0"/>
        <w:adjustRightInd w:val="0"/>
        <w:snapToGrid w:val="0"/>
        <w:spacing w:line="460" w:lineRule="atLeast"/>
        <w:ind w:firstLine="431" w:firstLineChars="196"/>
        <w:textAlignment w:val="bottom"/>
        <w:rPr>
          <w:rFonts w:ascii="宋体" w:hAnsi="宋体"/>
          <w:color w:val="auto"/>
          <w:sz w:val="22"/>
          <w:szCs w:val="22"/>
        </w:rPr>
      </w:pPr>
      <w:r>
        <w:rPr>
          <w:rFonts w:hint="eastAsia" w:ascii="宋体" w:hAnsi="宋体"/>
          <w:color w:val="auto"/>
          <w:sz w:val="22"/>
          <w:szCs w:val="22"/>
        </w:rPr>
        <w:t xml:space="preserve">2、磋商响应文件的组成  </w:t>
      </w:r>
    </w:p>
    <w:p w14:paraId="4AAA1FDF">
      <w:pPr>
        <w:autoSpaceDE w:val="0"/>
        <w:autoSpaceDN w:val="0"/>
        <w:adjustRightInd w:val="0"/>
        <w:snapToGrid w:val="0"/>
        <w:spacing w:line="460" w:lineRule="atLeast"/>
        <w:ind w:firstLine="440" w:firstLineChars="200"/>
        <w:rPr>
          <w:rFonts w:ascii="宋体" w:hAnsi="宋体" w:cs="Arial"/>
          <w:b/>
          <w:bCs/>
          <w:color w:val="auto"/>
          <w:sz w:val="22"/>
          <w:szCs w:val="22"/>
          <w:u w:val="single"/>
        </w:rPr>
      </w:pPr>
      <w:r>
        <w:rPr>
          <w:rFonts w:hint="eastAsia" w:ascii="宋体" w:hAnsi="宋体"/>
          <w:color w:val="auto"/>
          <w:sz w:val="22"/>
          <w:szCs w:val="22"/>
        </w:rPr>
        <w:t>▲</w:t>
      </w:r>
      <w:r>
        <w:rPr>
          <w:rFonts w:hint="eastAsia" w:ascii="宋体" w:hAnsi="宋体" w:cs="Arial"/>
          <w:b/>
          <w:bCs/>
          <w:color w:val="auto"/>
          <w:sz w:val="22"/>
          <w:szCs w:val="22"/>
          <w:u w:val="single"/>
        </w:rPr>
        <w:t>磋商响应文件由资格文件、报价文件、商务技术文件组成。</w:t>
      </w:r>
    </w:p>
    <w:p w14:paraId="17393A58">
      <w:pPr>
        <w:autoSpaceDE w:val="0"/>
        <w:autoSpaceDN w:val="0"/>
        <w:adjustRightInd w:val="0"/>
        <w:snapToGrid w:val="0"/>
        <w:spacing w:line="460" w:lineRule="atLeast"/>
        <w:ind w:firstLine="442" w:firstLineChars="200"/>
        <w:rPr>
          <w:rFonts w:ascii="宋体" w:hAnsi="宋体" w:cs="Arial"/>
          <w:b/>
          <w:bCs/>
          <w:color w:val="auto"/>
          <w:sz w:val="22"/>
          <w:szCs w:val="22"/>
          <w:u w:val="single"/>
        </w:rPr>
      </w:pPr>
      <w:r>
        <w:rPr>
          <w:rFonts w:hint="eastAsia" w:ascii="宋体" w:hAnsi="宋体" w:cs="Arial"/>
          <w:b/>
          <w:bCs/>
          <w:color w:val="auto"/>
          <w:sz w:val="22"/>
          <w:szCs w:val="22"/>
          <w:u w:val="single"/>
        </w:rPr>
        <w:t>2.1、资格文件组成</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331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EFB51C3">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序号</w:t>
            </w:r>
          </w:p>
        </w:tc>
        <w:tc>
          <w:tcPr>
            <w:tcW w:w="8747" w:type="dxa"/>
          </w:tcPr>
          <w:p w14:paraId="57ADED02">
            <w:pPr>
              <w:autoSpaceDE w:val="0"/>
              <w:autoSpaceDN w:val="0"/>
              <w:adjustRightInd w:val="0"/>
              <w:snapToGrid w:val="0"/>
              <w:spacing w:line="430" w:lineRule="atLeast"/>
              <w:rPr>
                <w:rFonts w:ascii="宋体" w:hAnsi="宋体" w:cs="Courier New"/>
                <w:color w:val="auto"/>
                <w:sz w:val="22"/>
                <w:lang w:val="zh-CN"/>
              </w:rPr>
            </w:pPr>
            <w:r>
              <w:rPr>
                <w:rFonts w:hint="eastAsia" w:ascii="宋体" w:hAnsi="宋体" w:cs="Courier New"/>
                <w:color w:val="auto"/>
                <w:sz w:val="22"/>
                <w:lang w:val="zh-CN"/>
              </w:rPr>
              <w:t>内容（</w:t>
            </w:r>
            <w:r>
              <w:rPr>
                <w:rFonts w:hint="eastAsia" w:ascii="宋体" w:hAnsi="宋体" w:cs="Courier New"/>
                <w:b/>
                <w:color w:val="auto"/>
                <w:sz w:val="22"/>
                <w:lang w:val="zh-CN"/>
              </w:rPr>
              <w:t>以下内容投标供应商必须提供，否则不能通过资格审查的，责任自负。</w:t>
            </w:r>
            <w:r>
              <w:rPr>
                <w:rFonts w:hint="eastAsia" w:ascii="宋体" w:hAnsi="宋体" w:cs="Courier New"/>
                <w:color w:val="auto"/>
                <w:sz w:val="22"/>
                <w:lang w:val="zh-CN"/>
              </w:rPr>
              <w:t>）</w:t>
            </w:r>
          </w:p>
        </w:tc>
      </w:tr>
      <w:tr w14:paraId="01A2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3BF9E9B">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1</w:t>
            </w:r>
          </w:p>
        </w:tc>
        <w:tc>
          <w:tcPr>
            <w:tcW w:w="8747" w:type="dxa"/>
          </w:tcPr>
          <w:p w14:paraId="72818A04">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投标供应商的营业执照、税务登记证（如为多证合一仅需提供营业执照，扫描件加盖公章）</w:t>
            </w:r>
          </w:p>
        </w:tc>
      </w:tr>
      <w:tr w14:paraId="788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8A35A14">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2</w:t>
            </w:r>
          </w:p>
        </w:tc>
        <w:tc>
          <w:tcPr>
            <w:tcW w:w="8747" w:type="dxa"/>
          </w:tcPr>
          <w:p w14:paraId="17F218F4">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投标供应商参与政府采购活动投标资格声明函（附件一）</w:t>
            </w:r>
          </w:p>
        </w:tc>
      </w:tr>
      <w:tr w14:paraId="1064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AEAE59">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3</w:t>
            </w:r>
          </w:p>
        </w:tc>
        <w:tc>
          <w:tcPr>
            <w:tcW w:w="8747" w:type="dxa"/>
          </w:tcPr>
          <w:p w14:paraId="50842575">
            <w:pPr>
              <w:adjustRightInd w:val="0"/>
              <w:spacing w:line="440" w:lineRule="atLeast"/>
              <w:rPr>
                <w:rFonts w:ascii="宋体" w:hAnsi="宋体"/>
                <w:bCs/>
                <w:color w:val="auto"/>
                <w:sz w:val="22"/>
                <w:szCs w:val="22"/>
              </w:rPr>
            </w:pPr>
            <w:r>
              <w:rPr>
                <w:rFonts w:hint="eastAsia" w:ascii="宋体" w:hAnsi="宋体"/>
                <w:bCs/>
                <w:color w:val="auto"/>
                <w:sz w:val="22"/>
                <w:szCs w:val="22"/>
              </w:rPr>
              <w:t>投标单位如为金融、保险、通讯等特定行业的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1829426E">
            <w:pPr>
              <w:adjustRightInd w:val="0"/>
              <w:spacing w:line="440" w:lineRule="atLeast"/>
              <w:rPr>
                <w:rFonts w:ascii="宋体" w:hAnsi="宋体"/>
                <w:b/>
                <w:color w:val="auto"/>
                <w:sz w:val="22"/>
                <w:szCs w:val="22"/>
              </w:rPr>
            </w:pPr>
            <w:r>
              <w:rPr>
                <w:rFonts w:hint="eastAsia" w:ascii="宋体" w:hAnsi="宋体"/>
                <w:color w:val="auto"/>
                <w:sz w:val="22"/>
                <w:szCs w:val="22"/>
              </w:rPr>
              <w:t>上述单位参加本次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经</w:t>
            </w:r>
            <w:r>
              <w:rPr>
                <w:rFonts w:hint="eastAsia" w:ascii="宋体" w:hAnsi="宋体"/>
                <w:bCs/>
                <w:color w:val="auto"/>
                <w:sz w:val="22"/>
                <w:szCs w:val="22"/>
              </w:rPr>
              <w:t>总公司（总机构）</w:t>
            </w:r>
            <w:r>
              <w:rPr>
                <w:rFonts w:hint="eastAsia" w:ascii="宋体" w:hAnsi="宋体"/>
                <w:color w:val="auto"/>
                <w:sz w:val="22"/>
                <w:szCs w:val="22"/>
              </w:rPr>
              <w:t>授权参加政府采购活动，可以使用</w:t>
            </w:r>
            <w:r>
              <w:rPr>
                <w:rFonts w:hint="eastAsia" w:ascii="宋体" w:hAnsi="宋体"/>
                <w:bCs/>
                <w:color w:val="auto"/>
                <w:sz w:val="22"/>
                <w:szCs w:val="22"/>
              </w:rPr>
              <w:t>总公司（总机构）</w:t>
            </w:r>
            <w:r>
              <w:rPr>
                <w:rFonts w:hint="eastAsia" w:ascii="宋体" w:hAnsi="宋体"/>
                <w:color w:val="auto"/>
                <w:sz w:val="22"/>
                <w:szCs w:val="22"/>
              </w:rPr>
              <w:t>的相关业绩和资质。</w:t>
            </w:r>
          </w:p>
        </w:tc>
      </w:tr>
    </w:tbl>
    <w:p w14:paraId="380D2904">
      <w:pPr>
        <w:autoSpaceDE w:val="0"/>
        <w:autoSpaceDN w:val="0"/>
        <w:adjustRightInd w:val="0"/>
        <w:snapToGrid w:val="0"/>
        <w:spacing w:line="460" w:lineRule="atLeast"/>
        <w:ind w:firstLine="442" w:firstLineChars="200"/>
        <w:rPr>
          <w:rFonts w:ascii="宋体" w:hAnsi="宋体" w:cs="Arial"/>
          <w:b/>
          <w:bCs/>
          <w:color w:val="auto"/>
          <w:sz w:val="22"/>
          <w:szCs w:val="22"/>
          <w:u w:val="single"/>
        </w:rPr>
      </w:pPr>
      <w:r>
        <w:rPr>
          <w:rFonts w:hint="eastAsia" w:ascii="宋体" w:hAnsi="宋体" w:cs="Arial"/>
          <w:b/>
          <w:bCs/>
          <w:color w:val="auto"/>
          <w:sz w:val="22"/>
          <w:szCs w:val="22"/>
          <w:u w:val="single"/>
        </w:rPr>
        <w:t>2.2、报价文件组成</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0F04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181C54B4">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序号</w:t>
            </w:r>
          </w:p>
        </w:tc>
        <w:tc>
          <w:tcPr>
            <w:tcW w:w="8736" w:type="dxa"/>
          </w:tcPr>
          <w:p w14:paraId="012EAF7B">
            <w:pPr>
              <w:autoSpaceDE w:val="0"/>
              <w:autoSpaceDN w:val="0"/>
              <w:adjustRightInd w:val="0"/>
              <w:snapToGrid w:val="0"/>
              <w:spacing w:line="430" w:lineRule="atLeast"/>
              <w:rPr>
                <w:rFonts w:ascii="宋体" w:hAnsi="宋体" w:cs="Courier New"/>
                <w:color w:val="auto"/>
                <w:sz w:val="22"/>
                <w:lang w:val="zh-CN"/>
              </w:rPr>
            </w:pPr>
            <w:r>
              <w:rPr>
                <w:rFonts w:hint="eastAsia" w:ascii="宋体" w:hAnsi="宋体" w:cs="Courier New"/>
                <w:color w:val="auto"/>
                <w:sz w:val="22"/>
                <w:lang w:val="zh-CN"/>
              </w:rPr>
              <w:t>内容（▲</w:t>
            </w:r>
            <w:r>
              <w:rPr>
                <w:rFonts w:hint="eastAsia" w:ascii="宋体" w:hAnsi="宋体" w:cs="Courier New"/>
                <w:b/>
                <w:color w:val="auto"/>
                <w:sz w:val="22"/>
                <w:lang w:val="zh-CN"/>
              </w:rPr>
              <w:t>序号2-3项投标供应商必须提供，否则不能通过符合性审查的，责任自负</w:t>
            </w:r>
            <w:r>
              <w:rPr>
                <w:rFonts w:hint="eastAsia" w:ascii="宋体" w:hAnsi="宋体" w:cs="Courier New"/>
                <w:color w:val="auto"/>
                <w:sz w:val="22"/>
                <w:lang w:val="zh-CN"/>
              </w:rPr>
              <w:t>。）</w:t>
            </w:r>
          </w:p>
        </w:tc>
      </w:tr>
      <w:tr w14:paraId="2580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4101F5C3">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1</w:t>
            </w:r>
          </w:p>
        </w:tc>
        <w:tc>
          <w:tcPr>
            <w:tcW w:w="8736" w:type="dxa"/>
          </w:tcPr>
          <w:p w14:paraId="79DD61BC">
            <w:pPr>
              <w:autoSpaceDE w:val="0"/>
              <w:autoSpaceDN w:val="0"/>
              <w:adjustRightInd w:val="0"/>
              <w:snapToGrid w:val="0"/>
              <w:spacing w:line="430" w:lineRule="atLeast"/>
              <w:rPr>
                <w:rFonts w:ascii="宋体" w:hAnsi="宋体" w:cs="Courier New"/>
                <w:color w:val="auto"/>
                <w:sz w:val="22"/>
                <w:lang w:val="zh-CN"/>
              </w:rPr>
            </w:pPr>
            <w:r>
              <w:rPr>
                <w:rFonts w:hint="eastAsia" w:ascii="宋体" w:hAnsi="宋体"/>
                <w:color w:val="auto"/>
                <w:sz w:val="22"/>
                <w:szCs w:val="22"/>
              </w:rPr>
              <w:t>报价文件封面（格式自拟）</w:t>
            </w:r>
          </w:p>
        </w:tc>
      </w:tr>
      <w:tr w14:paraId="42A7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17DFD78">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2</w:t>
            </w:r>
          </w:p>
        </w:tc>
        <w:tc>
          <w:tcPr>
            <w:tcW w:w="8736" w:type="dxa"/>
          </w:tcPr>
          <w:p w14:paraId="324865BC">
            <w:pPr>
              <w:autoSpaceDE w:val="0"/>
              <w:autoSpaceDN w:val="0"/>
              <w:adjustRightInd w:val="0"/>
              <w:spacing w:line="430" w:lineRule="atLeast"/>
              <w:textAlignment w:val="bottom"/>
              <w:rPr>
                <w:rFonts w:ascii="宋体" w:hAnsi="宋体" w:cs="Courier New"/>
                <w:color w:val="auto"/>
                <w:sz w:val="22"/>
              </w:rPr>
            </w:pPr>
            <w:r>
              <w:rPr>
                <w:rFonts w:hint="eastAsia" w:ascii="宋体" w:hAnsi="宋体" w:cs="Courier New"/>
                <w:color w:val="auto"/>
                <w:sz w:val="22"/>
              </w:rPr>
              <w:t>报价一览表（附件二）</w:t>
            </w:r>
          </w:p>
        </w:tc>
      </w:tr>
      <w:tr w14:paraId="1180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8D130FF">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3</w:t>
            </w:r>
          </w:p>
        </w:tc>
        <w:tc>
          <w:tcPr>
            <w:tcW w:w="8736" w:type="dxa"/>
          </w:tcPr>
          <w:p w14:paraId="7462250F">
            <w:pPr>
              <w:autoSpaceDE w:val="0"/>
              <w:autoSpaceDN w:val="0"/>
              <w:adjustRightInd w:val="0"/>
              <w:spacing w:line="430" w:lineRule="atLeast"/>
              <w:textAlignment w:val="bottom"/>
              <w:rPr>
                <w:rFonts w:ascii="宋体" w:hAnsi="宋体"/>
                <w:color w:val="auto"/>
                <w:szCs w:val="21"/>
                <w:lang w:val="zh-CN"/>
              </w:rPr>
            </w:pPr>
            <w:r>
              <w:rPr>
                <w:rFonts w:hint="eastAsia" w:ascii="宋体" w:hAnsi="宋体"/>
                <w:color w:val="auto"/>
                <w:sz w:val="22"/>
              </w:rPr>
              <w:t>投标分项报价表</w:t>
            </w:r>
            <w:r>
              <w:rPr>
                <w:rFonts w:hint="eastAsia" w:ascii="宋体" w:hAnsi="宋体"/>
                <w:color w:val="auto"/>
                <w:szCs w:val="21"/>
              </w:rPr>
              <w:t>（附件三）</w:t>
            </w:r>
          </w:p>
        </w:tc>
      </w:tr>
      <w:tr w14:paraId="2E69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5B8CF02">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4</w:t>
            </w:r>
          </w:p>
        </w:tc>
        <w:tc>
          <w:tcPr>
            <w:tcW w:w="8736" w:type="dxa"/>
          </w:tcPr>
          <w:p w14:paraId="68E2DEC0">
            <w:pPr>
              <w:snapToGrid w:val="0"/>
              <w:spacing w:line="460" w:lineRule="atLeast"/>
              <w:rPr>
                <w:rFonts w:ascii="宋体" w:hAnsi="宋体"/>
                <w:b/>
                <w:color w:val="auto"/>
                <w:sz w:val="22"/>
              </w:rPr>
            </w:pPr>
            <w:r>
              <w:rPr>
                <w:rFonts w:hint="eastAsia" w:ascii="宋体" w:hAnsi="宋体"/>
                <w:b/>
                <w:color w:val="auto"/>
                <w:sz w:val="22"/>
              </w:rPr>
              <w:t>1、投标供应商享受小微企业价格折扣应提供以下证明材料（放在报价文件中，缺一不可）：</w:t>
            </w:r>
          </w:p>
          <w:p w14:paraId="759B8122">
            <w:pPr>
              <w:snapToGrid w:val="0"/>
              <w:spacing w:line="460" w:lineRule="atLeast"/>
              <w:rPr>
                <w:rFonts w:ascii="宋体" w:hAnsi="宋体"/>
                <w:b/>
                <w:color w:val="auto"/>
                <w:sz w:val="22"/>
              </w:rPr>
            </w:pPr>
            <w:r>
              <w:rPr>
                <w:rFonts w:hint="eastAsia" w:ascii="宋体" w:hAnsi="宋体"/>
                <w:b/>
                <w:color w:val="auto"/>
                <w:sz w:val="22"/>
              </w:rPr>
              <w:t>（</w:t>
            </w:r>
            <w:r>
              <w:rPr>
                <w:rFonts w:ascii="宋体" w:hAnsi="宋体"/>
                <w:b/>
                <w:color w:val="auto"/>
                <w:sz w:val="22"/>
              </w:rPr>
              <w:t>1）《中小企业声明函》（加盖供应商公章，</w:t>
            </w:r>
            <w:r>
              <w:rPr>
                <w:rFonts w:hint="eastAsia" w:ascii="宋体" w:hAnsi="宋体"/>
                <w:b/>
                <w:color w:val="auto"/>
                <w:sz w:val="22"/>
              </w:rPr>
              <w:t>格式见磋商文件第四部分</w:t>
            </w:r>
            <w:r>
              <w:rPr>
                <w:rFonts w:ascii="宋体" w:hAnsi="宋体"/>
                <w:b/>
                <w:color w:val="auto"/>
                <w:sz w:val="22"/>
              </w:rPr>
              <w:t>附件1）</w:t>
            </w:r>
            <w:r>
              <w:rPr>
                <w:rFonts w:hint="eastAsia" w:ascii="宋体" w:hAnsi="宋体"/>
                <w:b/>
                <w:color w:val="auto"/>
                <w:sz w:val="22"/>
              </w:rPr>
              <w:t>。</w:t>
            </w:r>
          </w:p>
          <w:p w14:paraId="5B367F02">
            <w:pPr>
              <w:snapToGrid w:val="0"/>
              <w:spacing w:line="460" w:lineRule="atLeast"/>
              <w:rPr>
                <w:rFonts w:ascii="宋体" w:hAnsi="宋体"/>
                <w:b/>
                <w:color w:val="auto"/>
                <w:sz w:val="22"/>
              </w:rPr>
            </w:pPr>
            <w:r>
              <w:rPr>
                <w:rFonts w:hint="eastAsia" w:ascii="宋体" w:hAnsi="宋体"/>
                <w:b/>
                <w:color w:val="auto"/>
                <w:sz w:val="22"/>
              </w:rPr>
              <w:t>2、投标供应商</w:t>
            </w:r>
            <w:r>
              <w:rPr>
                <w:rFonts w:ascii="宋体" w:hAnsi="宋体"/>
                <w:b/>
                <w:color w:val="auto"/>
                <w:sz w:val="22"/>
              </w:rPr>
              <w:t>享受监狱企业价格折扣应提供以下证明材料（</w:t>
            </w:r>
            <w:r>
              <w:rPr>
                <w:rFonts w:hint="eastAsia" w:ascii="宋体" w:hAnsi="宋体"/>
                <w:b/>
                <w:color w:val="auto"/>
                <w:sz w:val="22"/>
              </w:rPr>
              <w:t>放在报价文件中，</w:t>
            </w:r>
            <w:r>
              <w:rPr>
                <w:rFonts w:ascii="宋体" w:hAnsi="宋体"/>
                <w:b/>
                <w:color w:val="auto"/>
                <w:sz w:val="22"/>
              </w:rPr>
              <w:t>不提供的不享受价格折扣）：</w:t>
            </w:r>
          </w:p>
          <w:p w14:paraId="64A3973E">
            <w:pPr>
              <w:snapToGrid w:val="0"/>
              <w:spacing w:line="460" w:lineRule="atLeast"/>
              <w:rPr>
                <w:rFonts w:ascii="宋体" w:hAnsi="宋体"/>
                <w:b/>
                <w:color w:val="auto"/>
                <w:sz w:val="22"/>
              </w:rPr>
            </w:pPr>
            <w:r>
              <w:rPr>
                <w:rFonts w:hint="eastAsia" w:ascii="宋体" w:hAnsi="宋体"/>
                <w:b/>
                <w:color w:val="auto"/>
                <w:sz w:val="22"/>
              </w:rPr>
              <w:t>（</w:t>
            </w:r>
            <w:r>
              <w:rPr>
                <w:rFonts w:ascii="宋体" w:hAnsi="宋体"/>
                <w:b/>
                <w:color w:val="auto"/>
                <w:sz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4840E0BA">
            <w:pPr>
              <w:snapToGrid w:val="0"/>
              <w:spacing w:line="460" w:lineRule="atLeast"/>
              <w:rPr>
                <w:rFonts w:ascii="宋体" w:hAnsi="宋体"/>
                <w:b/>
                <w:color w:val="auto"/>
                <w:sz w:val="22"/>
              </w:rPr>
            </w:pPr>
            <w:r>
              <w:rPr>
                <w:rFonts w:hint="eastAsia" w:ascii="宋体" w:hAnsi="宋体"/>
                <w:b/>
                <w:color w:val="auto"/>
                <w:sz w:val="22"/>
              </w:rPr>
              <w:t>3、投标供应商享受</w:t>
            </w:r>
            <w:r>
              <w:rPr>
                <w:rFonts w:ascii="宋体" w:hAnsi="宋体"/>
                <w:b/>
                <w:color w:val="auto"/>
                <w:sz w:val="22"/>
              </w:rPr>
              <w:t>残疾人福利性单位价格折扣应提供以下证明材料（</w:t>
            </w:r>
            <w:r>
              <w:rPr>
                <w:rFonts w:hint="eastAsia" w:ascii="宋体" w:hAnsi="宋体"/>
                <w:b/>
                <w:color w:val="auto"/>
                <w:sz w:val="22"/>
              </w:rPr>
              <w:t>放在报价文件中，</w:t>
            </w:r>
            <w:r>
              <w:rPr>
                <w:rFonts w:ascii="宋体" w:hAnsi="宋体"/>
                <w:b/>
                <w:color w:val="auto"/>
                <w:sz w:val="22"/>
              </w:rPr>
              <w:t>不提供的不享受价格折扣）：</w:t>
            </w:r>
          </w:p>
          <w:p w14:paraId="7729FCDE">
            <w:pPr>
              <w:autoSpaceDE w:val="0"/>
              <w:autoSpaceDN w:val="0"/>
              <w:adjustRightInd w:val="0"/>
              <w:snapToGrid w:val="0"/>
              <w:spacing w:line="430" w:lineRule="atLeast"/>
              <w:rPr>
                <w:rFonts w:ascii="宋体" w:hAnsi="宋体" w:cs="Courier New"/>
                <w:b/>
                <w:color w:val="auto"/>
                <w:sz w:val="22"/>
              </w:rPr>
            </w:pPr>
            <w:r>
              <w:rPr>
                <w:rFonts w:hint="eastAsia" w:ascii="宋体" w:hAnsi="宋体"/>
                <w:b/>
                <w:color w:val="auto"/>
                <w:sz w:val="22"/>
              </w:rPr>
              <w:t>（</w:t>
            </w:r>
            <w:r>
              <w:rPr>
                <w:rFonts w:ascii="宋体" w:hAnsi="宋体"/>
                <w:b/>
                <w:color w:val="auto"/>
                <w:sz w:val="22"/>
              </w:rPr>
              <w:t>1）残疾人福利性单位声明函（加盖投标供应商公章，</w:t>
            </w:r>
            <w:r>
              <w:rPr>
                <w:rFonts w:hint="eastAsia" w:ascii="宋体" w:hAnsi="宋体"/>
                <w:b/>
                <w:color w:val="auto"/>
                <w:sz w:val="22"/>
              </w:rPr>
              <w:t>格式见磋商文件第四部分</w:t>
            </w:r>
            <w:r>
              <w:rPr>
                <w:rFonts w:ascii="宋体" w:hAnsi="宋体"/>
                <w:b/>
                <w:color w:val="auto"/>
                <w:sz w:val="22"/>
              </w:rPr>
              <w:t>附件</w:t>
            </w:r>
            <w:r>
              <w:rPr>
                <w:rFonts w:hint="eastAsia" w:ascii="宋体" w:hAnsi="宋体"/>
                <w:b/>
                <w:color w:val="auto"/>
                <w:sz w:val="22"/>
              </w:rPr>
              <w:t>2</w:t>
            </w:r>
            <w:r>
              <w:rPr>
                <w:rFonts w:ascii="宋体" w:hAnsi="宋体"/>
                <w:b/>
                <w:color w:val="auto"/>
                <w:sz w:val="22"/>
              </w:rPr>
              <w:t>）</w:t>
            </w:r>
            <w:r>
              <w:rPr>
                <w:rFonts w:hint="eastAsia" w:ascii="宋体" w:hAnsi="宋体"/>
                <w:b/>
                <w:color w:val="auto"/>
                <w:sz w:val="22"/>
              </w:rPr>
              <w:t>。</w:t>
            </w:r>
            <w:r>
              <w:rPr>
                <w:rFonts w:ascii="宋体" w:hAnsi="宋体" w:cs="Courier New"/>
                <w:b/>
                <w:color w:val="auto"/>
                <w:sz w:val="22"/>
              </w:rPr>
              <w:t>在政府采购活动中，残疾人福利性单位视同小型、微型企业，享受评审中价格扣除政策。</w:t>
            </w:r>
          </w:p>
        </w:tc>
      </w:tr>
      <w:tr w14:paraId="5A82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0B6ADD83">
            <w:pPr>
              <w:autoSpaceDE w:val="0"/>
              <w:autoSpaceDN w:val="0"/>
              <w:adjustRightInd w:val="0"/>
              <w:snapToGrid w:val="0"/>
              <w:spacing w:line="430" w:lineRule="atLeast"/>
              <w:jc w:val="center"/>
              <w:rPr>
                <w:rFonts w:ascii="宋体" w:hAnsi="宋体" w:cs="Courier New"/>
                <w:color w:val="auto"/>
                <w:sz w:val="22"/>
                <w:lang w:val="zh-CN"/>
              </w:rPr>
            </w:pPr>
            <w:r>
              <w:rPr>
                <w:rFonts w:ascii="宋体" w:hAnsi="宋体" w:cs="Courier New"/>
                <w:color w:val="auto"/>
                <w:sz w:val="22"/>
                <w:lang w:val="zh-CN"/>
              </w:rPr>
              <w:t>5</w:t>
            </w:r>
          </w:p>
        </w:tc>
        <w:tc>
          <w:tcPr>
            <w:tcW w:w="8736" w:type="dxa"/>
          </w:tcPr>
          <w:p w14:paraId="57BE355E">
            <w:pPr>
              <w:snapToGrid w:val="0"/>
              <w:spacing w:line="460" w:lineRule="atLeast"/>
              <w:rPr>
                <w:rFonts w:ascii="宋体" w:hAnsi="宋体"/>
                <w:color w:val="auto"/>
                <w:sz w:val="22"/>
              </w:rPr>
            </w:pPr>
            <w:r>
              <w:rPr>
                <w:rFonts w:hint="eastAsia" w:ascii="宋体" w:hAnsi="宋体"/>
                <w:color w:val="auto"/>
                <w:sz w:val="22"/>
              </w:rPr>
              <w:t>其他供应商须说明的资料（如有则提供）</w:t>
            </w:r>
          </w:p>
        </w:tc>
      </w:tr>
    </w:tbl>
    <w:p w14:paraId="57819524">
      <w:pPr>
        <w:autoSpaceDE w:val="0"/>
        <w:autoSpaceDN w:val="0"/>
        <w:adjustRightInd w:val="0"/>
        <w:snapToGrid w:val="0"/>
        <w:spacing w:line="460" w:lineRule="atLeast"/>
        <w:ind w:firstLine="442" w:firstLineChars="200"/>
        <w:rPr>
          <w:rFonts w:ascii="宋体" w:hAnsi="宋体" w:cs="Arial"/>
          <w:b/>
          <w:bCs/>
          <w:color w:val="auto"/>
          <w:sz w:val="22"/>
          <w:szCs w:val="22"/>
          <w:u w:val="single"/>
        </w:rPr>
      </w:pPr>
      <w:r>
        <w:rPr>
          <w:rFonts w:hint="eastAsia" w:ascii="宋体" w:hAnsi="宋体" w:cs="Arial"/>
          <w:b/>
          <w:bCs/>
          <w:color w:val="auto"/>
          <w:sz w:val="22"/>
          <w:szCs w:val="22"/>
          <w:u w:val="single"/>
        </w:rPr>
        <w:t>2.3、商务技术文件组成</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C29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95ECC80">
            <w:pPr>
              <w:autoSpaceDE w:val="0"/>
              <w:autoSpaceDN w:val="0"/>
              <w:adjustRightInd w:val="0"/>
              <w:snapToGrid w:val="0"/>
              <w:spacing w:line="430" w:lineRule="atLeast"/>
              <w:rPr>
                <w:rFonts w:ascii="宋体" w:hAnsi="宋体" w:cs="Courier New"/>
                <w:color w:val="auto"/>
                <w:sz w:val="22"/>
                <w:lang w:val="zh-CN"/>
              </w:rPr>
            </w:pPr>
            <w:r>
              <w:rPr>
                <w:rFonts w:hint="eastAsia" w:ascii="宋体" w:hAnsi="宋体" w:cs="Courier New"/>
                <w:color w:val="auto"/>
                <w:sz w:val="22"/>
                <w:lang w:val="zh-CN"/>
              </w:rPr>
              <w:t>序号</w:t>
            </w:r>
          </w:p>
        </w:tc>
        <w:tc>
          <w:tcPr>
            <w:tcW w:w="8747" w:type="dxa"/>
          </w:tcPr>
          <w:p w14:paraId="23B26234">
            <w:pPr>
              <w:autoSpaceDE w:val="0"/>
              <w:autoSpaceDN w:val="0"/>
              <w:adjustRightInd w:val="0"/>
              <w:snapToGrid w:val="0"/>
              <w:spacing w:line="430" w:lineRule="atLeast"/>
              <w:rPr>
                <w:rFonts w:ascii="宋体" w:hAnsi="宋体" w:cs="Courier New"/>
                <w:color w:val="auto"/>
                <w:sz w:val="22"/>
                <w:szCs w:val="22"/>
                <w:lang w:val="zh-CN"/>
              </w:rPr>
            </w:pPr>
            <w:r>
              <w:rPr>
                <w:rFonts w:hint="eastAsia" w:ascii="宋体" w:hAnsi="宋体" w:cs="Courier New"/>
                <w:color w:val="auto"/>
                <w:sz w:val="22"/>
                <w:lang w:val="zh-CN"/>
              </w:rPr>
              <w:t>内容</w:t>
            </w:r>
          </w:p>
        </w:tc>
      </w:tr>
      <w:tr w14:paraId="6ED8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79D75CE">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1</w:t>
            </w:r>
          </w:p>
        </w:tc>
        <w:tc>
          <w:tcPr>
            <w:tcW w:w="8747" w:type="dxa"/>
          </w:tcPr>
          <w:p w14:paraId="617EFB48">
            <w:pPr>
              <w:autoSpaceDE w:val="0"/>
              <w:autoSpaceDN w:val="0"/>
              <w:adjustRightInd w:val="0"/>
              <w:snapToGrid w:val="0"/>
              <w:spacing w:line="430" w:lineRule="atLeast"/>
              <w:rPr>
                <w:rFonts w:ascii="宋体" w:hAnsi="宋体" w:cs="Courier New"/>
                <w:color w:val="auto"/>
                <w:sz w:val="22"/>
                <w:szCs w:val="22"/>
                <w:lang w:val="zh-CN"/>
              </w:rPr>
            </w:pPr>
            <w:r>
              <w:rPr>
                <w:rFonts w:hint="eastAsia" w:ascii="宋体" w:hAnsi="宋体"/>
                <w:color w:val="auto"/>
                <w:sz w:val="22"/>
                <w:szCs w:val="22"/>
              </w:rPr>
              <w:t>商务技术文件封面（格式自拟）</w:t>
            </w:r>
          </w:p>
        </w:tc>
      </w:tr>
      <w:tr w14:paraId="51FB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8AA948D">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2</w:t>
            </w:r>
          </w:p>
        </w:tc>
        <w:tc>
          <w:tcPr>
            <w:tcW w:w="8747" w:type="dxa"/>
          </w:tcPr>
          <w:p w14:paraId="1C0786EE">
            <w:pPr>
              <w:autoSpaceDE w:val="0"/>
              <w:autoSpaceDN w:val="0"/>
              <w:adjustRightInd w:val="0"/>
              <w:snapToGrid w:val="0"/>
              <w:spacing w:line="430" w:lineRule="atLeast"/>
              <w:rPr>
                <w:rFonts w:ascii="宋体" w:hAnsi="宋体" w:cs="Courier New"/>
                <w:color w:val="auto"/>
                <w:sz w:val="22"/>
                <w:lang w:val="zh-CN"/>
              </w:rPr>
            </w:pPr>
            <w:r>
              <w:rPr>
                <w:rFonts w:hint="eastAsia" w:ascii="宋体" w:hAnsi="宋体" w:cs="Courier New"/>
                <w:color w:val="auto"/>
                <w:sz w:val="22"/>
              </w:rPr>
              <w:t>投标函（附件四）</w:t>
            </w:r>
          </w:p>
        </w:tc>
      </w:tr>
      <w:tr w14:paraId="5194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402991">
            <w:pPr>
              <w:autoSpaceDE w:val="0"/>
              <w:autoSpaceDN w:val="0"/>
              <w:adjustRightInd w:val="0"/>
              <w:snapToGrid w:val="0"/>
              <w:spacing w:line="430" w:lineRule="atLeast"/>
              <w:jc w:val="center"/>
              <w:rPr>
                <w:rFonts w:ascii="宋体" w:hAnsi="宋体" w:cs="Courier New"/>
                <w:color w:val="auto"/>
                <w:sz w:val="22"/>
                <w:lang w:val="zh-CN"/>
              </w:rPr>
            </w:pPr>
            <w:r>
              <w:rPr>
                <w:rFonts w:hint="eastAsia" w:ascii="宋体" w:hAnsi="宋体" w:cs="Courier New"/>
                <w:color w:val="auto"/>
                <w:sz w:val="22"/>
                <w:lang w:val="zh-CN"/>
              </w:rPr>
              <w:t>3</w:t>
            </w:r>
          </w:p>
        </w:tc>
        <w:tc>
          <w:tcPr>
            <w:tcW w:w="8747" w:type="dxa"/>
          </w:tcPr>
          <w:p w14:paraId="0E4E9ACF">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投标供应商法定代表人授权书（附件五）</w:t>
            </w:r>
          </w:p>
        </w:tc>
      </w:tr>
      <w:tr w14:paraId="5C55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8A28B93">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4</w:t>
            </w:r>
          </w:p>
        </w:tc>
        <w:tc>
          <w:tcPr>
            <w:tcW w:w="8747" w:type="dxa"/>
          </w:tcPr>
          <w:p w14:paraId="38DB3976">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法定代表人诚信投标承诺书（附件六）</w:t>
            </w:r>
          </w:p>
        </w:tc>
      </w:tr>
      <w:tr w14:paraId="0E23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D825D06">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5</w:t>
            </w:r>
          </w:p>
        </w:tc>
        <w:tc>
          <w:tcPr>
            <w:tcW w:w="8747" w:type="dxa"/>
          </w:tcPr>
          <w:p w14:paraId="4F25E028">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投标供应商质量体系认证证书（如有则提供，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77A7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582FA1F">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6</w:t>
            </w:r>
          </w:p>
        </w:tc>
        <w:tc>
          <w:tcPr>
            <w:tcW w:w="8747" w:type="dxa"/>
          </w:tcPr>
          <w:p w14:paraId="10F54081">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投标供应商环境体系认证证书（如有则提供，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09D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122E101">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7</w:t>
            </w:r>
          </w:p>
        </w:tc>
        <w:tc>
          <w:tcPr>
            <w:tcW w:w="8747" w:type="dxa"/>
          </w:tcPr>
          <w:p w14:paraId="7F2A2961">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投标供应商职业健康体系认证证书（如有则提供，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6265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F8D8491">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8</w:t>
            </w:r>
          </w:p>
        </w:tc>
        <w:tc>
          <w:tcPr>
            <w:tcW w:w="8747" w:type="dxa"/>
          </w:tcPr>
          <w:p w14:paraId="50833A62">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投标供应商资信等级证明等（如有则提供，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3411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465093B">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9</w:t>
            </w:r>
          </w:p>
        </w:tc>
        <w:tc>
          <w:tcPr>
            <w:tcW w:w="8747" w:type="dxa"/>
          </w:tcPr>
          <w:p w14:paraId="51BEECD9">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投标供应商曾获得的政府部门或行业协会颁发的荣誉证书（如有则提供，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5FCB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73AA6A">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10</w:t>
            </w:r>
          </w:p>
        </w:tc>
        <w:tc>
          <w:tcPr>
            <w:tcW w:w="8747" w:type="dxa"/>
          </w:tcPr>
          <w:p w14:paraId="1A22DA6A">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投标供应商具有的其它相关资质证书（如有则提供，</w:t>
            </w:r>
            <w:r>
              <w:rPr>
                <w:rFonts w:hint="eastAsia" w:ascii="宋体" w:hAnsi="宋体"/>
                <w:color w:val="auto"/>
                <w:sz w:val="22"/>
                <w:szCs w:val="22"/>
              </w:rPr>
              <w:t>扫描件</w:t>
            </w:r>
            <w:r>
              <w:rPr>
                <w:rFonts w:hint="eastAsia" w:ascii="宋体" w:hAnsi="宋体" w:cs="Courier New"/>
                <w:color w:val="auto"/>
                <w:sz w:val="22"/>
              </w:rPr>
              <w:t>加盖公章）</w:t>
            </w:r>
          </w:p>
        </w:tc>
      </w:tr>
      <w:tr w14:paraId="55D9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4EB0662">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11</w:t>
            </w:r>
          </w:p>
        </w:tc>
        <w:tc>
          <w:tcPr>
            <w:tcW w:w="8747" w:type="dxa"/>
          </w:tcPr>
          <w:p w14:paraId="5FD8C387">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投标供应商业绩（附件七，如有则提供）</w:t>
            </w:r>
          </w:p>
        </w:tc>
      </w:tr>
      <w:tr w14:paraId="207A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26062D1">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12</w:t>
            </w:r>
          </w:p>
        </w:tc>
        <w:tc>
          <w:tcPr>
            <w:tcW w:w="8747" w:type="dxa"/>
          </w:tcPr>
          <w:p w14:paraId="16885A30">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投入人员安排（附件八）</w:t>
            </w:r>
          </w:p>
        </w:tc>
      </w:tr>
      <w:tr w14:paraId="0E5E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E863CED">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w:t>
            </w:r>
            <w:r>
              <w:rPr>
                <w:rFonts w:ascii="宋体" w:hAnsi="宋体" w:cs="Courier New"/>
                <w:color w:val="auto"/>
                <w:sz w:val="22"/>
              </w:rPr>
              <w:t>3</w:t>
            </w:r>
          </w:p>
        </w:tc>
        <w:tc>
          <w:tcPr>
            <w:tcW w:w="8747" w:type="dxa"/>
          </w:tcPr>
          <w:p w14:paraId="5E8F805A">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偏离表（附件九）</w:t>
            </w:r>
          </w:p>
        </w:tc>
      </w:tr>
      <w:tr w14:paraId="7E75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1B5C402">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w:t>
            </w:r>
            <w:r>
              <w:rPr>
                <w:rFonts w:ascii="宋体" w:hAnsi="宋体" w:cs="Courier New"/>
                <w:color w:val="auto"/>
                <w:sz w:val="22"/>
              </w:rPr>
              <w:t>4</w:t>
            </w:r>
          </w:p>
        </w:tc>
        <w:tc>
          <w:tcPr>
            <w:tcW w:w="8747" w:type="dxa"/>
          </w:tcPr>
          <w:p w14:paraId="23401E13">
            <w:pPr>
              <w:autoSpaceDE w:val="0"/>
              <w:autoSpaceDN w:val="0"/>
              <w:adjustRightInd w:val="0"/>
              <w:snapToGrid w:val="0"/>
              <w:spacing w:line="430" w:lineRule="atLeast"/>
              <w:rPr>
                <w:rFonts w:ascii="宋体" w:hAnsi="宋体" w:cs="Courier New"/>
                <w:color w:val="auto"/>
                <w:sz w:val="22"/>
              </w:rPr>
            </w:pPr>
            <w:r>
              <w:rPr>
                <w:rFonts w:hint="eastAsia" w:ascii="宋体" w:hAnsi="宋体" w:cs="Courier New"/>
                <w:color w:val="auto"/>
                <w:sz w:val="22"/>
              </w:rPr>
              <w:t>项目服务、实施方案及其他方案（具体内容见评标办法，自行编制格式自拟）</w:t>
            </w:r>
          </w:p>
        </w:tc>
      </w:tr>
      <w:tr w14:paraId="0B43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AE7349">
            <w:pPr>
              <w:autoSpaceDE w:val="0"/>
              <w:autoSpaceDN w:val="0"/>
              <w:adjustRightInd w:val="0"/>
              <w:snapToGrid w:val="0"/>
              <w:spacing w:line="430" w:lineRule="atLeast"/>
              <w:jc w:val="center"/>
              <w:rPr>
                <w:rFonts w:ascii="宋体" w:hAnsi="宋体" w:cs="Courier New"/>
                <w:color w:val="auto"/>
                <w:sz w:val="22"/>
              </w:rPr>
            </w:pPr>
            <w:r>
              <w:rPr>
                <w:rFonts w:hint="eastAsia" w:ascii="宋体" w:hAnsi="宋体" w:cs="Courier New"/>
                <w:color w:val="auto"/>
                <w:sz w:val="22"/>
              </w:rPr>
              <w:t>1</w:t>
            </w:r>
            <w:r>
              <w:rPr>
                <w:rFonts w:ascii="宋体" w:hAnsi="宋体" w:cs="Courier New"/>
                <w:color w:val="auto"/>
                <w:sz w:val="22"/>
              </w:rPr>
              <w:t>5</w:t>
            </w:r>
          </w:p>
        </w:tc>
        <w:tc>
          <w:tcPr>
            <w:tcW w:w="8747" w:type="dxa"/>
          </w:tcPr>
          <w:p w14:paraId="375BF785">
            <w:pPr>
              <w:autoSpaceDE w:val="0"/>
              <w:autoSpaceDN w:val="0"/>
              <w:adjustRightInd w:val="0"/>
              <w:snapToGrid w:val="0"/>
              <w:spacing w:line="430" w:lineRule="atLeast"/>
              <w:rPr>
                <w:rFonts w:ascii="宋体" w:hAnsi="宋体"/>
                <w:color w:val="auto"/>
                <w:sz w:val="22"/>
              </w:rPr>
            </w:pPr>
            <w:r>
              <w:rPr>
                <w:rFonts w:hint="eastAsia" w:ascii="宋体" w:hAnsi="宋体"/>
                <w:color w:val="auto"/>
                <w:sz w:val="22"/>
              </w:rPr>
              <w:t>根据磋商文件中的采购内容与技术要求、评标细则，需要提供的其它文件和资料。</w:t>
            </w:r>
          </w:p>
        </w:tc>
      </w:tr>
    </w:tbl>
    <w:p w14:paraId="0646ED82">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3、采购内容填写说明</w:t>
      </w:r>
    </w:p>
    <w:p w14:paraId="2311218C">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3.1、</w:t>
      </w:r>
      <w:r>
        <w:rPr>
          <w:rFonts w:hint="eastAsia" w:ascii="宋体" w:hAnsi="宋体"/>
          <w:color w:val="auto"/>
          <w:sz w:val="22"/>
          <w:szCs w:val="22"/>
        </w:rPr>
        <w:t>磋商响应文件</w:t>
      </w:r>
      <w:r>
        <w:rPr>
          <w:rFonts w:hint="eastAsia" w:ascii="宋体" w:hAnsi="宋体" w:cs="Arial"/>
          <w:color w:val="auto"/>
          <w:sz w:val="22"/>
          <w:szCs w:val="22"/>
        </w:rPr>
        <w:t>格式</w:t>
      </w:r>
    </w:p>
    <w:p w14:paraId="51D53FB6">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供应商应按照本文件第三部分第三条第2款所列出的内容及格式</w:t>
      </w:r>
      <w:r>
        <w:rPr>
          <w:rFonts w:hint="eastAsia" w:ascii="宋体" w:hAnsi="宋体" w:cs="Arial"/>
          <w:bCs/>
          <w:color w:val="auto"/>
          <w:sz w:val="22"/>
          <w:szCs w:val="22"/>
          <w:u w:val="thick"/>
        </w:rPr>
        <w:t>逐一按顺序</w:t>
      </w:r>
      <w:r>
        <w:rPr>
          <w:rFonts w:hint="eastAsia" w:ascii="宋体" w:hAnsi="宋体" w:cs="Arial"/>
          <w:color w:val="auto"/>
          <w:sz w:val="22"/>
          <w:szCs w:val="22"/>
        </w:rPr>
        <w:t>组成</w:t>
      </w:r>
      <w:r>
        <w:rPr>
          <w:rFonts w:hint="eastAsia" w:ascii="宋体" w:hAnsi="宋体"/>
          <w:color w:val="auto"/>
          <w:sz w:val="22"/>
          <w:szCs w:val="22"/>
        </w:rPr>
        <w:t>磋商响应文件</w:t>
      </w:r>
      <w:r>
        <w:rPr>
          <w:rFonts w:hint="eastAsia" w:ascii="宋体" w:hAnsi="宋体" w:cs="Arial"/>
          <w:color w:val="auto"/>
          <w:sz w:val="22"/>
          <w:szCs w:val="22"/>
        </w:rPr>
        <w:t>。</w:t>
      </w:r>
    </w:p>
    <w:p w14:paraId="50D4DE8E">
      <w:pPr>
        <w:autoSpaceDE w:val="0"/>
        <w:autoSpaceDN w:val="0"/>
        <w:adjustRightInd w:val="0"/>
        <w:snapToGrid w:val="0"/>
        <w:spacing w:line="460" w:lineRule="atLeast"/>
        <w:ind w:firstLine="450"/>
        <w:textAlignment w:val="bottom"/>
        <w:rPr>
          <w:rFonts w:ascii="宋体" w:hAnsi="宋体" w:cs="Arial"/>
          <w:color w:val="auto"/>
          <w:sz w:val="22"/>
          <w:szCs w:val="22"/>
        </w:rPr>
      </w:pPr>
      <w:bookmarkStart w:id="37" w:name="_Toc132122412"/>
      <w:bookmarkStart w:id="38" w:name="_Toc132122115"/>
      <w:r>
        <w:rPr>
          <w:rFonts w:hint="eastAsia" w:ascii="宋体" w:hAnsi="宋体" w:cs="Arial"/>
          <w:color w:val="auto"/>
          <w:sz w:val="22"/>
          <w:szCs w:val="22"/>
        </w:rPr>
        <w:t>4、报价</w:t>
      </w:r>
      <w:bookmarkEnd w:id="37"/>
      <w:bookmarkEnd w:id="38"/>
    </w:p>
    <w:p w14:paraId="3CFD1DFE">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4.1、供应商应按磋商文件中《报价一览表》填写投标总价。</w:t>
      </w:r>
    </w:p>
    <w:p w14:paraId="3EF37CA4">
      <w:pPr>
        <w:autoSpaceDE w:val="0"/>
        <w:autoSpaceDN w:val="0"/>
        <w:adjustRightInd w:val="0"/>
        <w:snapToGrid w:val="0"/>
        <w:spacing w:line="460" w:lineRule="atLeast"/>
        <w:ind w:firstLine="440" w:firstLineChars="200"/>
        <w:textAlignment w:val="bottom"/>
        <w:rPr>
          <w:rFonts w:ascii="宋体" w:hAnsi="宋体"/>
          <w:b/>
          <w:color w:val="auto"/>
          <w:sz w:val="22"/>
          <w:szCs w:val="22"/>
        </w:rPr>
      </w:pPr>
      <w:r>
        <w:rPr>
          <w:rFonts w:hint="eastAsia" w:ascii="宋体" w:hAnsi="宋体" w:cs="Arial"/>
          <w:color w:val="auto"/>
          <w:sz w:val="22"/>
          <w:szCs w:val="22"/>
        </w:rPr>
        <w:t>4.2、</w:t>
      </w:r>
      <w:r>
        <w:rPr>
          <w:rFonts w:hint="eastAsia" w:ascii="宋体" w:hAnsi="宋体"/>
          <w:b/>
          <w:color w:val="auto"/>
          <w:sz w:val="22"/>
          <w:szCs w:val="22"/>
        </w:rPr>
        <w:t>投标报价应为完成本项目全部工作所发生的所有费用、招标代理费（磋商文件另有说明的除外）、验收评审费等，并承担一切风险责任。</w:t>
      </w:r>
    </w:p>
    <w:p w14:paraId="1166DEB4">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4.3、</w:t>
      </w:r>
      <w:r>
        <w:rPr>
          <w:rFonts w:hint="eastAsia" w:ascii="宋体" w:hAnsi="宋体" w:cs="Arial"/>
          <w:b/>
          <w:color w:val="auto"/>
          <w:sz w:val="22"/>
          <w:szCs w:val="22"/>
        </w:rPr>
        <w:t>供应商投标报价中应充分考虑所有可能发生的费用，否则采购人将视其总价中已包括所有费用。</w:t>
      </w:r>
    </w:p>
    <w:p w14:paraId="1C3FD91F">
      <w:pPr>
        <w:autoSpaceDE w:val="0"/>
        <w:autoSpaceDN w:val="0"/>
        <w:adjustRightInd w:val="0"/>
        <w:snapToGrid w:val="0"/>
        <w:spacing w:line="460" w:lineRule="atLeast"/>
        <w:ind w:firstLine="442" w:firstLineChars="200"/>
        <w:textAlignment w:val="bottom"/>
        <w:rPr>
          <w:rFonts w:ascii="宋体" w:hAnsi="宋体" w:cs="Arial"/>
          <w:b/>
          <w:color w:val="auto"/>
          <w:sz w:val="22"/>
          <w:szCs w:val="22"/>
        </w:rPr>
      </w:pPr>
      <w:r>
        <w:rPr>
          <w:rFonts w:hint="eastAsia" w:ascii="宋体" w:hAnsi="宋体" w:cs="Arial"/>
          <w:b/>
          <w:color w:val="auto"/>
          <w:sz w:val="22"/>
          <w:szCs w:val="22"/>
        </w:rPr>
        <w:t>供应商对在合同执行中，除上述费用及磋商文件规定的由成交供应商负责的工作范围以外需要采购人协调或提供便利的工作应当在磋商响应文件中说明。</w:t>
      </w:r>
    </w:p>
    <w:p w14:paraId="2B8489FE">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填写报价表格时，各项费用应如实填写。</w:t>
      </w:r>
    </w:p>
    <w:p w14:paraId="31EDC6C3">
      <w:pPr>
        <w:autoSpaceDE w:val="0"/>
        <w:autoSpaceDN w:val="0"/>
        <w:adjustRightInd w:val="0"/>
        <w:snapToGrid w:val="0"/>
        <w:spacing w:line="460" w:lineRule="atLeast"/>
        <w:ind w:firstLine="440" w:firstLineChars="200"/>
        <w:rPr>
          <w:rFonts w:ascii="宋体" w:hAnsi="宋体" w:cs="仿宋_GB2312"/>
          <w:color w:val="auto"/>
          <w:sz w:val="22"/>
          <w:szCs w:val="22"/>
          <w:lang w:val="zh-CN"/>
        </w:rPr>
      </w:pPr>
      <w:r>
        <w:rPr>
          <w:rFonts w:hint="eastAsia" w:ascii="宋体" w:hAnsi="宋体" w:cs="Arial"/>
          <w:color w:val="auto"/>
          <w:sz w:val="22"/>
          <w:szCs w:val="22"/>
        </w:rPr>
        <w:t>5、采购人要求分类报价是为了方便评审，但在任何情况下不限制采购人以其认为最合适的条款签订合同的权利。</w:t>
      </w:r>
    </w:p>
    <w:p w14:paraId="4D732AE1">
      <w:pPr>
        <w:autoSpaceDE w:val="0"/>
        <w:autoSpaceDN w:val="0"/>
        <w:adjustRightInd w:val="0"/>
        <w:snapToGrid w:val="0"/>
        <w:spacing w:line="460" w:lineRule="atLeast"/>
        <w:ind w:firstLine="450"/>
        <w:textAlignment w:val="bottom"/>
        <w:rPr>
          <w:rFonts w:ascii="宋体" w:hAnsi="宋体" w:cs="Arial"/>
          <w:color w:val="auto"/>
          <w:sz w:val="22"/>
          <w:szCs w:val="22"/>
        </w:rPr>
      </w:pPr>
      <w:bookmarkStart w:id="39" w:name="_Toc132122116"/>
      <w:bookmarkStart w:id="40" w:name="_Toc132122413"/>
      <w:r>
        <w:rPr>
          <w:rFonts w:hint="eastAsia" w:ascii="宋体" w:hAnsi="宋体" w:cs="Arial"/>
          <w:color w:val="auto"/>
          <w:sz w:val="22"/>
          <w:szCs w:val="22"/>
        </w:rPr>
        <w:t>6、保证金</w:t>
      </w:r>
      <w:bookmarkEnd w:id="39"/>
      <w:bookmarkEnd w:id="40"/>
    </w:p>
    <w:p w14:paraId="50BEDED7">
      <w:pPr>
        <w:autoSpaceDE w:val="0"/>
        <w:autoSpaceDN w:val="0"/>
        <w:adjustRightInd w:val="0"/>
        <w:snapToGrid w:val="0"/>
        <w:spacing w:line="460" w:lineRule="atLeast"/>
        <w:ind w:firstLine="440" w:firstLineChars="200"/>
        <w:textAlignment w:val="bottom"/>
        <w:rPr>
          <w:rFonts w:ascii="宋体" w:hAnsi="宋体" w:cs="Arial"/>
          <w:color w:val="auto"/>
          <w:sz w:val="22"/>
          <w:szCs w:val="22"/>
        </w:rPr>
      </w:pPr>
      <w:r>
        <w:rPr>
          <w:rFonts w:hint="eastAsia" w:ascii="宋体" w:hAnsi="宋体" w:cs="Arial"/>
          <w:color w:val="auto"/>
          <w:sz w:val="22"/>
          <w:szCs w:val="22"/>
        </w:rPr>
        <w:t>无</w:t>
      </w:r>
    </w:p>
    <w:p w14:paraId="10563E9C">
      <w:pPr>
        <w:pStyle w:val="26"/>
        <w:adjustRightInd w:val="0"/>
        <w:snapToGrid w:val="0"/>
        <w:spacing w:line="460" w:lineRule="atLeast"/>
        <w:ind w:firstLine="440" w:firstLineChars="200"/>
        <w:rPr>
          <w:rFonts w:hAnsi="宋体" w:cs="Arial"/>
          <w:color w:val="auto"/>
          <w:sz w:val="22"/>
          <w:szCs w:val="22"/>
        </w:rPr>
      </w:pPr>
      <w:bookmarkStart w:id="41" w:name="_Toc132122117"/>
      <w:bookmarkStart w:id="42" w:name="_Toc132122414"/>
      <w:r>
        <w:rPr>
          <w:rFonts w:hint="eastAsia" w:hAnsi="宋体" w:cs="Arial"/>
          <w:color w:val="auto"/>
          <w:sz w:val="22"/>
          <w:szCs w:val="22"/>
        </w:rPr>
        <w:t>7、</w:t>
      </w:r>
      <w:r>
        <w:rPr>
          <w:rFonts w:hint="eastAsia" w:hAnsi="宋体"/>
          <w:color w:val="auto"/>
          <w:sz w:val="22"/>
          <w:szCs w:val="22"/>
        </w:rPr>
        <w:t>磋商响应文件</w:t>
      </w:r>
      <w:r>
        <w:rPr>
          <w:rFonts w:hint="eastAsia" w:hAnsi="宋体" w:cs="Arial"/>
          <w:color w:val="auto"/>
          <w:sz w:val="22"/>
          <w:szCs w:val="22"/>
        </w:rPr>
        <w:t>的有效期</w:t>
      </w:r>
      <w:bookmarkEnd w:id="41"/>
      <w:bookmarkEnd w:id="42"/>
    </w:p>
    <w:p w14:paraId="33C8E899">
      <w:pPr>
        <w:pStyle w:val="26"/>
        <w:adjustRightInd w:val="0"/>
        <w:snapToGrid w:val="0"/>
        <w:spacing w:line="460" w:lineRule="atLeast"/>
        <w:ind w:firstLine="440" w:firstLineChars="200"/>
        <w:rPr>
          <w:rFonts w:hAnsi="宋体" w:cs="Arial"/>
          <w:color w:val="auto"/>
          <w:sz w:val="22"/>
          <w:szCs w:val="22"/>
        </w:rPr>
      </w:pPr>
      <w:r>
        <w:rPr>
          <w:rFonts w:hint="eastAsia" w:hAnsi="宋体" w:cs="Arial"/>
          <w:color w:val="auto"/>
          <w:sz w:val="22"/>
          <w:szCs w:val="22"/>
        </w:rPr>
        <w:t>7.1、自响应文件递交截止时间起90天内，</w:t>
      </w:r>
      <w:r>
        <w:rPr>
          <w:rFonts w:hint="eastAsia" w:hAnsi="宋体"/>
          <w:color w:val="auto"/>
          <w:sz w:val="22"/>
          <w:szCs w:val="22"/>
        </w:rPr>
        <w:t>磋商响应文件</w:t>
      </w:r>
      <w:r>
        <w:rPr>
          <w:rFonts w:hint="eastAsia" w:hAnsi="宋体" w:cs="Arial"/>
          <w:color w:val="auto"/>
          <w:sz w:val="22"/>
          <w:szCs w:val="22"/>
        </w:rPr>
        <w:t>应保持有效。有效期短于这个规定期限的</w:t>
      </w:r>
      <w:r>
        <w:rPr>
          <w:rFonts w:hint="eastAsia" w:hAnsi="宋体"/>
          <w:color w:val="auto"/>
          <w:sz w:val="22"/>
          <w:szCs w:val="22"/>
        </w:rPr>
        <w:t>磋商响应文件</w:t>
      </w:r>
      <w:r>
        <w:rPr>
          <w:rFonts w:hint="eastAsia" w:hAnsi="宋体" w:cs="Arial"/>
          <w:color w:val="auto"/>
          <w:sz w:val="22"/>
          <w:szCs w:val="22"/>
        </w:rPr>
        <w:t>将被拒绝。</w:t>
      </w:r>
    </w:p>
    <w:p w14:paraId="23BC6F0E">
      <w:pPr>
        <w:pStyle w:val="26"/>
        <w:adjustRightInd w:val="0"/>
        <w:snapToGrid w:val="0"/>
        <w:spacing w:line="460" w:lineRule="atLeast"/>
        <w:ind w:firstLine="440" w:firstLineChars="200"/>
        <w:rPr>
          <w:rFonts w:hAnsi="宋体" w:cs="Arial"/>
          <w:color w:val="auto"/>
          <w:sz w:val="22"/>
          <w:szCs w:val="22"/>
        </w:rPr>
      </w:pPr>
      <w:r>
        <w:rPr>
          <w:rFonts w:hint="eastAsia" w:hAnsi="宋体" w:cs="Arial"/>
          <w:color w:val="auto"/>
          <w:sz w:val="22"/>
          <w:szCs w:val="22"/>
        </w:rPr>
        <w:t>7.2、在特殊情况下，采购人可与供应商协商延长</w:t>
      </w:r>
      <w:r>
        <w:rPr>
          <w:rFonts w:hint="eastAsia" w:hAnsi="宋体"/>
          <w:color w:val="auto"/>
          <w:sz w:val="22"/>
          <w:szCs w:val="22"/>
        </w:rPr>
        <w:t>磋商响应文件</w:t>
      </w:r>
      <w:r>
        <w:rPr>
          <w:rFonts w:hint="eastAsia" w:hAnsi="宋体" w:cs="Arial"/>
          <w:color w:val="auto"/>
          <w:sz w:val="22"/>
          <w:szCs w:val="22"/>
        </w:rPr>
        <w:t>的有效期，这种要求和答复均应以书面形式进行。</w:t>
      </w:r>
    </w:p>
    <w:p w14:paraId="3814F2C9">
      <w:pPr>
        <w:pStyle w:val="26"/>
        <w:adjustRightInd w:val="0"/>
        <w:snapToGrid w:val="0"/>
        <w:spacing w:line="460" w:lineRule="atLeast"/>
        <w:ind w:firstLine="440" w:firstLineChars="200"/>
        <w:rPr>
          <w:rFonts w:hAnsi="宋体" w:cs="Arial"/>
          <w:color w:val="auto"/>
          <w:sz w:val="22"/>
          <w:szCs w:val="22"/>
        </w:rPr>
      </w:pPr>
      <w:r>
        <w:rPr>
          <w:rFonts w:hint="eastAsia" w:hAnsi="宋体" w:cs="Arial"/>
          <w:color w:val="auto"/>
          <w:sz w:val="22"/>
          <w:szCs w:val="22"/>
        </w:rPr>
        <w:t>7.3、供应商可拒绝接受延期要求，同意延长有效期的供应商不能修改</w:t>
      </w:r>
      <w:r>
        <w:rPr>
          <w:rFonts w:hint="eastAsia" w:hAnsi="宋体"/>
          <w:color w:val="auto"/>
          <w:sz w:val="22"/>
          <w:szCs w:val="22"/>
        </w:rPr>
        <w:t>磋商响应文件</w:t>
      </w:r>
      <w:r>
        <w:rPr>
          <w:rFonts w:hint="eastAsia" w:hAnsi="宋体" w:cs="Arial"/>
          <w:color w:val="auto"/>
          <w:sz w:val="22"/>
          <w:szCs w:val="22"/>
        </w:rPr>
        <w:t>。</w:t>
      </w:r>
    </w:p>
    <w:p w14:paraId="2E49183F">
      <w:pPr>
        <w:pStyle w:val="26"/>
        <w:adjustRightInd w:val="0"/>
        <w:snapToGrid w:val="0"/>
        <w:spacing w:line="460" w:lineRule="atLeast"/>
        <w:ind w:firstLine="440" w:firstLineChars="200"/>
        <w:rPr>
          <w:rFonts w:hAnsi="宋体" w:cs="Arial"/>
          <w:color w:val="auto"/>
          <w:sz w:val="22"/>
          <w:szCs w:val="22"/>
        </w:rPr>
      </w:pPr>
      <w:bookmarkStart w:id="43" w:name="_Toc132122118"/>
      <w:bookmarkStart w:id="44" w:name="_Toc132122415"/>
      <w:r>
        <w:rPr>
          <w:rFonts w:hAnsi="宋体" w:cs="Arial"/>
          <w:color w:val="auto"/>
          <w:sz w:val="22"/>
          <w:szCs w:val="22"/>
        </w:rPr>
        <w:t>8、磋商响应文件的</w:t>
      </w:r>
      <w:bookmarkEnd w:id="43"/>
      <w:bookmarkEnd w:id="44"/>
      <w:r>
        <w:rPr>
          <w:rFonts w:hAnsi="宋体" w:cs="Arial"/>
          <w:color w:val="auto"/>
          <w:sz w:val="22"/>
          <w:szCs w:val="22"/>
        </w:rPr>
        <w:t>编制</w:t>
      </w:r>
    </w:p>
    <w:p w14:paraId="07613D9B">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8.1、本项目通过“政府采购云平台（www.zcygov.cn）”实行在线投标响应（电子投标）。供应商应通过“政采云电子交易客户端”，并按照本</w:t>
      </w:r>
      <w:r>
        <w:rPr>
          <w:rFonts w:hint="eastAsia" w:ascii="宋体" w:hAnsi="宋体"/>
          <w:b/>
          <w:color w:val="auto"/>
          <w:sz w:val="22"/>
          <w:szCs w:val="22"/>
        </w:rPr>
        <w:t>磋商</w:t>
      </w:r>
      <w:r>
        <w:rPr>
          <w:rFonts w:ascii="宋体" w:hAnsi="宋体"/>
          <w:b/>
          <w:color w:val="auto"/>
          <w:sz w:val="22"/>
          <w:szCs w:val="22"/>
        </w:rPr>
        <w:t>文件和“政府采购云平台”的要求编制并加密磋商响应文件。</w:t>
      </w:r>
    </w:p>
    <w:p w14:paraId="1EED978F">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8.2、投标供应商应当按照本章节“磋商响应文件组成”规定的内容及顺序在“政采云电子交易客户端”编制磋商响应文件。</w:t>
      </w:r>
    </w:p>
    <w:p w14:paraId="669E0555">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8.3、本文件《第六部分 磋商响应文件格式》中有提供格式的，投标供应商参照格式进行编制（格式中要求提供相关证明材料的还需后附相关证明材料），并在指定位置根据要求进行签章，否则视为未提供；本文件《第六部分 磋商响应文件格式》未提供格式的，请各投标单位自行拟定格式。</w:t>
      </w:r>
    </w:p>
    <w:p w14:paraId="715797F6">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8.4、《磋商响应文件》内容不完整、编排混乱导致《磋商响应文件》被误读、漏读或者查找不到相关内容的，相关责任由投标供应商自负。</w:t>
      </w:r>
    </w:p>
    <w:p w14:paraId="2245B420">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8.5、《磋商响应文件》因字迹潦草或表达不清所引起的后果由投标供应商负责。</w:t>
      </w:r>
    </w:p>
    <w:p w14:paraId="11E8C298">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8.6、投标供应商没有按照本章节“磋商响应文件组成”要求提供全部资料，或者没有仔细阅读磋商文件，或者没有对磋商文件在各方面的要求作出实质性响应，由此造成的一切后果由投标供应商自行承担。</w:t>
      </w:r>
    </w:p>
    <w:p w14:paraId="080A5065">
      <w:pPr>
        <w:pStyle w:val="26"/>
        <w:adjustRightInd w:val="0"/>
        <w:snapToGrid w:val="0"/>
        <w:spacing w:line="460" w:lineRule="atLeast"/>
        <w:ind w:firstLine="422"/>
        <w:rPr>
          <w:rFonts w:hAnsi="宋体"/>
          <w:b/>
          <w:color w:val="auto"/>
          <w:sz w:val="22"/>
          <w:szCs w:val="22"/>
        </w:rPr>
      </w:pPr>
      <w:r>
        <w:rPr>
          <w:rFonts w:hAnsi="宋体"/>
          <w:b/>
          <w:color w:val="auto"/>
          <w:sz w:val="22"/>
          <w:szCs w:val="22"/>
        </w:rPr>
        <w:t>9、磋商响应文件的签章</w:t>
      </w:r>
    </w:p>
    <w:p w14:paraId="3E446D9D">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 xml:space="preserve">9.1、《磋商响应文件》的签章：见《第一部分    </w:t>
      </w:r>
      <w:r>
        <w:rPr>
          <w:rFonts w:hint="eastAsia" w:ascii="宋体" w:hAnsi="宋体"/>
          <w:b/>
          <w:color w:val="auto"/>
          <w:sz w:val="22"/>
          <w:szCs w:val="22"/>
        </w:rPr>
        <w:t>磋商邀请函（供应商须知前附表）</w:t>
      </w:r>
      <w:r>
        <w:rPr>
          <w:rFonts w:ascii="宋体" w:hAnsi="宋体"/>
          <w:b/>
          <w:color w:val="auto"/>
          <w:sz w:val="22"/>
          <w:szCs w:val="22"/>
        </w:rPr>
        <w:t>》；</w:t>
      </w:r>
    </w:p>
    <w:p w14:paraId="2151E9A9">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9.2、《磋商响应文件》</w:t>
      </w:r>
      <w:r>
        <w:rPr>
          <w:rFonts w:hint="eastAsia" w:ascii="宋体" w:hAnsi="宋体"/>
          <w:b/>
          <w:color w:val="auto"/>
          <w:sz w:val="22"/>
          <w:szCs w:val="22"/>
        </w:rPr>
        <w:t>：</w:t>
      </w:r>
      <w:r>
        <w:rPr>
          <w:rFonts w:ascii="宋体" w:hAnsi="宋体"/>
          <w:b/>
          <w:color w:val="auto"/>
          <w:sz w:val="22"/>
          <w:szCs w:val="22"/>
        </w:rPr>
        <w:t>根据</w:t>
      </w:r>
      <w:r>
        <w:rPr>
          <w:rFonts w:hint="eastAsia" w:ascii="宋体" w:hAnsi="宋体"/>
          <w:b/>
          <w:color w:val="auto"/>
          <w:sz w:val="22"/>
          <w:szCs w:val="22"/>
        </w:rPr>
        <w:t>磋商</w:t>
      </w:r>
      <w:r>
        <w:rPr>
          <w:rFonts w:ascii="宋体" w:hAnsi="宋体"/>
          <w:b/>
          <w:color w:val="auto"/>
          <w:sz w:val="22"/>
          <w:szCs w:val="22"/>
        </w:rPr>
        <w:t>文件要求在磋商响应文件相应位置由投标供应商法定代表人或授权代表签字（或盖章）</w:t>
      </w:r>
      <w:r>
        <w:rPr>
          <w:rFonts w:hint="eastAsia" w:ascii="宋体" w:hAnsi="宋体"/>
          <w:b/>
          <w:color w:val="auto"/>
          <w:sz w:val="22"/>
          <w:szCs w:val="22"/>
        </w:rPr>
        <w:t>，</w:t>
      </w:r>
      <w:r>
        <w:rPr>
          <w:rFonts w:ascii="宋体" w:hAnsi="宋体"/>
          <w:b/>
          <w:color w:val="auto"/>
          <w:sz w:val="22"/>
          <w:szCs w:val="22"/>
        </w:rPr>
        <w:t>需要加盖投标供应商公章的</w:t>
      </w:r>
      <w:r>
        <w:rPr>
          <w:rFonts w:hint="eastAsia" w:ascii="宋体" w:hAnsi="宋体"/>
          <w:b/>
          <w:color w:val="auto"/>
          <w:sz w:val="22"/>
          <w:szCs w:val="22"/>
        </w:rPr>
        <w:t>采用CA电子签章</w:t>
      </w:r>
      <w:r>
        <w:rPr>
          <w:rFonts w:ascii="宋体" w:hAnsi="宋体"/>
          <w:b/>
          <w:color w:val="auto"/>
          <w:sz w:val="22"/>
          <w:szCs w:val="22"/>
        </w:rPr>
        <w:t>。</w:t>
      </w:r>
    </w:p>
    <w:p w14:paraId="62609301">
      <w:pPr>
        <w:autoSpaceDE w:val="0"/>
        <w:autoSpaceDN w:val="0"/>
        <w:adjustRightInd w:val="0"/>
        <w:snapToGrid w:val="0"/>
        <w:spacing w:line="460" w:lineRule="atLeast"/>
        <w:ind w:firstLine="442" w:firstLineChars="200"/>
        <w:textAlignment w:val="bottom"/>
        <w:rPr>
          <w:rFonts w:ascii="宋体" w:hAnsi="宋体"/>
          <w:b/>
          <w:color w:val="auto"/>
          <w:sz w:val="22"/>
          <w:szCs w:val="22"/>
        </w:rPr>
      </w:pPr>
      <w:r>
        <w:rPr>
          <w:rFonts w:ascii="宋体" w:hAnsi="宋体"/>
          <w:b/>
          <w:color w:val="auto"/>
          <w:sz w:val="22"/>
          <w:szCs w:val="22"/>
        </w:rPr>
        <w:t>9.3、</w:t>
      </w:r>
      <w:r>
        <w:rPr>
          <w:rFonts w:hint="eastAsia" w:ascii="宋体" w:hAnsi="宋体"/>
          <w:b/>
          <w:color w:val="auto"/>
          <w:sz w:val="22"/>
          <w:szCs w:val="22"/>
        </w:rPr>
        <w:t>CA</w:t>
      </w:r>
      <w:r>
        <w:rPr>
          <w:rFonts w:ascii="宋体" w:hAnsi="宋体"/>
          <w:b/>
          <w:color w:val="auto"/>
          <w:sz w:val="22"/>
          <w:szCs w:val="22"/>
        </w:rPr>
        <w:t>电子签章操作指南详见</w:t>
      </w:r>
      <w:r>
        <w:rPr>
          <w:rFonts w:hint="eastAsia" w:ascii="宋体" w:hAnsi="宋体"/>
          <w:b/>
          <w:color w:val="auto"/>
          <w:sz w:val="22"/>
          <w:szCs w:val="22"/>
        </w:rPr>
        <w:t>政府采购云平台</w:t>
      </w:r>
    </w:p>
    <w:p w14:paraId="0FD1B2A8">
      <w:pPr>
        <w:pStyle w:val="26"/>
        <w:adjustRightInd w:val="0"/>
        <w:snapToGrid w:val="0"/>
        <w:spacing w:line="460" w:lineRule="atLeast"/>
        <w:ind w:firstLine="422"/>
        <w:rPr>
          <w:rFonts w:hAnsi="宋体"/>
          <w:b/>
          <w:color w:val="auto"/>
          <w:sz w:val="22"/>
          <w:szCs w:val="22"/>
        </w:rPr>
      </w:pPr>
      <w:r>
        <w:rPr>
          <w:rFonts w:hAnsi="宋体"/>
          <w:b/>
          <w:color w:val="auto"/>
          <w:sz w:val="22"/>
          <w:szCs w:val="22"/>
        </w:rPr>
        <w:t>10、磋商响应文件的形式</w:t>
      </w:r>
    </w:p>
    <w:p w14:paraId="1DD86CB9">
      <w:pPr>
        <w:pStyle w:val="26"/>
        <w:adjustRightInd w:val="0"/>
        <w:snapToGrid w:val="0"/>
        <w:spacing w:line="460" w:lineRule="atLeast"/>
        <w:ind w:firstLine="422"/>
        <w:rPr>
          <w:rFonts w:hAnsi="宋体"/>
          <w:b/>
          <w:color w:val="auto"/>
          <w:sz w:val="22"/>
          <w:szCs w:val="22"/>
        </w:rPr>
      </w:pPr>
      <w:r>
        <w:rPr>
          <w:rFonts w:hAnsi="宋体"/>
          <w:b/>
          <w:color w:val="auto"/>
          <w:sz w:val="22"/>
          <w:szCs w:val="22"/>
        </w:rPr>
        <w:t xml:space="preserve">10.1、磋商响应文件的形式：见《第一部分    </w:t>
      </w:r>
      <w:r>
        <w:rPr>
          <w:rFonts w:hint="eastAsia" w:hAnsi="宋体"/>
          <w:b/>
          <w:color w:val="auto"/>
          <w:sz w:val="22"/>
          <w:szCs w:val="22"/>
        </w:rPr>
        <w:t>磋商邀请函（供应商须知前附表）</w:t>
      </w:r>
      <w:r>
        <w:rPr>
          <w:rFonts w:hAnsi="宋体"/>
          <w:b/>
          <w:color w:val="auto"/>
          <w:sz w:val="22"/>
          <w:szCs w:val="22"/>
        </w:rPr>
        <w:t>》；</w:t>
      </w:r>
    </w:p>
    <w:p w14:paraId="078C30F0">
      <w:pPr>
        <w:pStyle w:val="26"/>
        <w:adjustRightInd w:val="0"/>
        <w:snapToGrid w:val="0"/>
        <w:spacing w:line="460" w:lineRule="atLeast"/>
        <w:ind w:firstLine="422"/>
        <w:rPr>
          <w:rFonts w:hAnsi="宋体"/>
          <w:b/>
          <w:color w:val="auto"/>
          <w:sz w:val="22"/>
          <w:szCs w:val="22"/>
        </w:rPr>
      </w:pPr>
      <w:r>
        <w:rPr>
          <w:rFonts w:hAnsi="宋体"/>
          <w:b/>
          <w:color w:val="auto"/>
          <w:sz w:val="22"/>
          <w:szCs w:val="22"/>
        </w:rPr>
        <w:t>10.2、“电子加密磋商响应文件”：“电子加密磋商响应文件”是指通过“政采云电子交易客户端”完成磋商响应文件编制后生成并加密的数据电文形式的磋商响应文件。</w:t>
      </w:r>
    </w:p>
    <w:p w14:paraId="4C7ADF82">
      <w:pPr>
        <w:pStyle w:val="26"/>
        <w:adjustRightInd w:val="0"/>
        <w:snapToGrid w:val="0"/>
        <w:spacing w:line="460" w:lineRule="atLeast"/>
        <w:ind w:firstLine="422"/>
        <w:rPr>
          <w:rFonts w:hAnsi="宋体"/>
          <w:b/>
          <w:color w:val="auto"/>
          <w:sz w:val="22"/>
          <w:szCs w:val="22"/>
        </w:rPr>
      </w:pPr>
      <w:r>
        <w:rPr>
          <w:rFonts w:hAnsi="宋体"/>
          <w:b/>
          <w:color w:val="auto"/>
          <w:sz w:val="22"/>
          <w:szCs w:val="22"/>
        </w:rPr>
        <w:t>10.</w:t>
      </w:r>
      <w:r>
        <w:rPr>
          <w:rFonts w:hint="eastAsia" w:hAnsi="宋体"/>
          <w:b/>
          <w:color w:val="auto"/>
          <w:sz w:val="22"/>
          <w:szCs w:val="22"/>
        </w:rPr>
        <w:t>3</w:t>
      </w:r>
      <w:r>
        <w:rPr>
          <w:rFonts w:hAnsi="宋体"/>
          <w:b/>
          <w:color w:val="auto"/>
          <w:sz w:val="22"/>
          <w:szCs w:val="22"/>
        </w:rPr>
        <w:t>磋商响应文件的份数</w:t>
      </w:r>
    </w:p>
    <w:p w14:paraId="46B999AB">
      <w:pPr>
        <w:pStyle w:val="26"/>
        <w:adjustRightInd w:val="0"/>
        <w:snapToGrid w:val="0"/>
        <w:spacing w:line="460" w:lineRule="atLeast"/>
        <w:ind w:firstLine="422"/>
        <w:rPr>
          <w:rFonts w:hAnsi="宋体"/>
          <w:b/>
          <w:color w:val="auto"/>
          <w:sz w:val="22"/>
          <w:szCs w:val="22"/>
        </w:rPr>
      </w:pPr>
      <w:r>
        <w:rPr>
          <w:rFonts w:hAnsi="宋体"/>
          <w:b/>
          <w:color w:val="auto"/>
          <w:sz w:val="22"/>
          <w:szCs w:val="22"/>
        </w:rPr>
        <w:t xml:space="preserve">磋商响应文件的份数：见《第一部分    </w:t>
      </w:r>
      <w:r>
        <w:rPr>
          <w:rFonts w:hint="eastAsia" w:hAnsi="宋体"/>
          <w:b/>
          <w:color w:val="auto"/>
          <w:sz w:val="22"/>
          <w:szCs w:val="22"/>
        </w:rPr>
        <w:t>磋商邀请函（供应商须知前附表）</w:t>
      </w:r>
      <w:r>
        <w:rPr>
          <w:rFonts w:hAnsi="宋体"/>
          <w:b/>
          <w:color w:val="auto"/>
          <w:sz w:val="22"/>
          <w:szCs w:val="22"/>
        </w:rPr>
        <w:t>》。</w:t>
      </w:r>
    </w:p>
    <w:p w14:paraId="2C3B831F">
      <w:pPr>
        <w:pStyle w:val="4"/>
        <w:spacing w:line="440" w:lineRule="atLeast"/>
        <w:jc w:val="left"/>
        <w:rPr>
          <w:rFonts w:ascii="宋体" w:hAnsi="宋体"/>
          <w:color w:val="auto"/>
          <w:sz w:val="22"/>
          <w:szCs w:val="22"/>
        </w:rPr>
      </w:pPr>
      <w:bookmarkStart w:id="45" w:name="_Toc132125983"/>
      <w:bookmarkStart w:id="46" w:name="_Toc132122416"/>
      <w:bookmarkStart w:id="47" w:name="_Toc132124594"/>
      <w:bookmarkStart w:id="48" w:name="_Toc132123838"/>
      <w:bookmarkStart w:id="49" w:name="_Toc132123881"/>
      <w:bookmarkStart w:id="50" w:name="_Toc132125574"/>
      <w:bookmarkStart w:id="51" w:name="_Toc132126154"/>
      <w:bookmarkStart w:id="52" w:name="_Toc132123439"/>
      <w:bookmarkStart w:id="53" w:name="_Toc132123547"/>
      <w:bookmarkStart w:id="54" w:name="_Toc132125037"/>
      <w:bookmarkStart w:id="55" w:name="_Toc132655776"/>
      <w:bookmarkStart w:id="56" w:name="_Toc132125095"/>
      <w:bookmarkStart w:id="57" w:name="_Toc10740"/>
      <w:bookmarkStart w:id="58" w:name="_Toc132123634"/>
      <w:bookmarkStart w:id="59" w:name="_Toc132122119"/>
      <w:bookmarkStart w:id="60" w:name="_Toc132125151"/>
      <w:r>
        <w:rPr>
          <w:rFonts w:hint="eastAsia" w:ascii="宋体" w:hAnsi="宋体"/>
          <w:b/>
          <w:bCs/>
          <w:color w:val="auto"/>
          <w:sz w:val="22"/>
          <w:szCs w:val="22"/>
        </w:rPr>
        <w:t>四、磋商响应文件递交</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C365894">
      <w:pPr>
        <w:snapToGrid w:val="0"/>
        <w:spacing w:line="460" w:lineRule="atLeast"/>
        <w:ind w:firstLine="442" w:firstLineChars="200"/>
        <w:rPr>
          <w:rFonts w:ascii="宋体" w:hAnsi="宋体"/>
          <w:b/>
          <w:color w:val="auto"/>
          <w:sz w:val="22"/>
          <w:szCs w:val="22"/>
        </w:rPr>
      </w:pPr>
      <w:r>
        <w:rPr>
          <w:rFonts w:hint="eastAsia" w:ascii="宋体" w:hAnsi="宋体"/>
          <w:b/>
          <w:color w:val="auto"/>
          <w:sz w:val="22"/>
          <w:szCs w:val="22"/>
        </w:rPr>
        <w:t>1、磋商响应文件的上传和递交</w:t>
      </w:r>
    </w:p>
    <w:p w14:paraId="3BD33F06">
      <w:pPr>
        <w:snapToGrid w:val="0"/>
        <w:spacing w:line="460" w:lineRule="atLeast"/>
        <w:ind w:firstLine="442" w:firstLineChars="200"/>
        <w:rPr>
          <w:rFonts w:ascii="宋体" w:hAnsi="宋体"/>
          <w:b/>
          <w:color w:val="auto"/>
          <w:sz w:val="22"/>
          <w:szCs w:val="22"/>
        </w:rPr>
      </w:pPr>
      <w:r>
        <w:rPr>
          <w:rFonts w:ascii="宋体" w:hAnsi="宋体"/>
          <w:b/>
          <w:color w:val="auto"/>
          <w:sz w:val="22"/>
          <w:szCs w:val="22"/>
        </w:rPr>
        <w:t>“磋商响应文件”的上传、递交：见《</w:t>
      </w:r>
      <w:r>
        <w:rPr>
          <w:rFonts w:hint="eastAsia" w:ascii="宋体" w:hAnsi="宋体"/>
          <w:b/>
          <w:color w:val="auto"/>
          <w:sz w:val="22"/>
          <w:szCs w:val="22"/>
        </w:rPr>
        <w:t>第一部分</w:t>
      </w:r>
      <w:r>
        <w:rPr>
          <w:rFonts w:ascii="宋体" w:hAnsi="宋体"/>
          <w:b/>
          <w:color w:val="auto"/>
          <w:sz w:val="22"/>
          <w:szCs w:val="22"/>
        </w:rPr>
        <w:t xml:space="preserve">    </w:t>
      </w:r>
      <w:r>
        <w:rPr>
          <w:rFonts w:hint="eastAsia" w:ascii="宋体" w:hAnsi="宋体"/>
          <w:b/>
          <w:color w:val="auto"/>
          <w:sz w:val="22"/>
          <w:szCs w:val="22"/>
        </w:rPr>
        <w:t>磋商邀请函（供应商须知前附表）</w:t>
      </w:r>
      <w:r>
        <w:rPr>
          <w:rFonts w:ascii="宋体" w:hAnsi="宋体"/>
          <w:b/>
          <w:color w:val="auto"/>
          <w:sz w:val="22"/>
          <w:szCs w:val="22"/>
        </w:rPr>
        <w:t>》。</w:t>
      </w:r>
    </w:p>
    <w:p w14:paraId="29EC482B">
      <w:pPr>
        <w:snapToGrid w:val="0"/>
        <w:spacing w:line="460" w:lineRule="atLeast"/>
        <w:ind w:firstLine="442" w:firstLineChars="200"/>
        <w:rPr>
          <w:rFonts w:ascii="宋体" w:hAnsi="宋体"/>
          <w:b/>
          <w:color w:val="auto"/>
          <w:sz w:val="22"/>
          <w:szCs w:val="22"/>
        </w:rPr>
      </w:pPr>
      <w:r>
        <w:rPr>
          <w:rFonts w:hint="eastAsia" w:ascii="宋体" w:hAnsi="宋体"/>
          <w:b/>
          <w:color w:val="auto"/>
          <w:sz w:val="22"/>
          <w:szCs w:val="22"/>
        </w:rPr>
        <w:t>2、“电子加密磋商响应文件”解密和异常情况处理</w:t>
      </w:r>
    </w:p>
    <w:p w14:paraId="7D64F817">
      <w:pPr>
        <w:snapToGrid w:val="0"/>
        <w:spacing w:line="460" w:lineRule="atLeast"/>
        <w:ind w:firstLine="442" w:firstLineChars="200"/>
        <w:rPr>
          <w:rFonts w:ascii="宋体" w:hAnsi="宋体"/>
          <w:b/>
          <w:color w:val="auto"/>
          <w:sz w:val="22"/>
          <w:szCs w:val="22"/>
        </w:rPr>
      </w:pPr>
      <w:r>
        <w:rPr>
          <w:rFonts w:ascii="宋体" w:hAnsi="宋体"/>
          <w:b/>
          <w:color w:val="auto"/>
          <w:sz w:val="22"/>
          <w:szCs w:val="22"/>
        </w:rPr>
        <w:t>“电子加密磋商响应文件”解密：见《</w:t>
      </w:r>
      <w:r>
        <w:rPr>
          <w:rFonts w:hint="eastAsia" w:ascii="宋体" w:hAnsi="宋体"/>
          <w:b/>
          <w:color w:val="auto"/>
          <w:sz w:val="22"/>
          <w:szCs w:val="22"/>
        </w:rPr>
        <w:t>第一部分</w:t>
      </w:r>
      <w:r>
        <w:rPr>
          <w:rFonts w:ascii="宋体" w:hAnsi="宋体"/>
          <w:b/>
          <w:color w:val="auto"/>
          <w:sz w:val="22"/>
          <w:szCs w:val="22"/>
        </w:rPr>
        <w:t xml:space="preserve">    </w:t>
      </w:r>
      <w:r>
        <w:rPr>
          <w:rFonts w:hint="eastAsia" w:ascii="宋体" w:hAnsi="宋体"/>
          <w:b/>
          <w:color w:val="auto"/>
          <w:sz w:val="22"/>
          <w:szCs w:val="22"/>
        </w:rPr>
        <w:t>磋商邀请函（供应商须知前附表）</w:t>
      </w:r>
      <w:r>
        <w:rPr>
          <w:rFonts w:ascii="宋体" w:hAnsi="宋体"/>
          <w:b/>
          <w:color w:val="auto"/>
          <w:sz w:val="22"/>
          <w:szCs w:val="22"/>
        </w:rPr>
        <w:t>》。</w:t>
      </w:r>
    </w:p>
    <w:p w14:paraId="75F78338">
      <w:pPr>
        <w:tabs>
          <w:tab w:val="center" w:pos="4810"/>
        </w:tabs>
        <w:snapToGrid w:val="0"/>
        <w:spacing w:line="460" w:lineRule="atLeast"/>
        <w:ind w:firstLine="442" w:firstLineChars="200"/>
        <w:rPr>
          <w:rFonts w:ascii="宋体" w:hAnsi="宋体"/>
          <w:b/>
          <w:color w:val="auto"/>
          <w:sz w:val="22"/>
          <w:szCs w:val="22"/>
        </w:rPr>
      </w:pPr>
      <w:r>
        <w:rPr>
          <w:rFonts w:hint="eastAsia" w:ascii="宋体" w:hAnsi="宋体"/>
          <w:b/>
          <w:color w:val="auto"/>
          <w:sz w:val="22"/>
          <w:szCs w:val="22"/>
        </w:rPr>
        <w:t>3、磋商响应文件的补充、修改或撤回</w:t>
      </w:r>
      <w:r>
        <w:rPr>
          <w:rFonts w:ascii="宋体" w:hAnsi="宋体"/>
          <w:b/>
          <w:color w:val="auto"/>
          <w:sz w:val="22"/>
          <w:szCs w:val="22"/>
        </w:rPr>
        <w:tab/>
      </w:r>
    </w:p>
    <w:p w14:paraId="6851DEBC">
      <w:pPr>
        <w:snapToGrid w:val="0"/>
        <w:spacing w:line="460" w:lineRule="atLeast"/>
        <w:ind w:firstLine="442" w:firstLineChars="200"/>
        <w:rPr>
          <w:rFonts w:ascii="宋体" w:hAnsi="宋体"/>
          <w:b/>
          <w:color w:val="auto"/>
          <w:sz w:val="22"/>
          <w:szCs w:val="22"/>
        </w:rPr>
      </w:pPr>
      <w:r>
        <w:rPr>
          <w:rFonts w:ascii="宋体" w:hAnsi="宋体"/>
          <w:b/>
          <w:color w:val="auto"/>
          <w:sz w:val="22"/>
          <w:szCs w:val="22"/>
        </w:rPr>
        <w:t>3.1</w:t>
      </w:r>
      <w:r>
        <w:rPr>
          <w:rFonts w:hint="eastAsia" w:ascii="宋体" w:hAnsi="宋体"/>
          <w:b/>
          <w:color w:val="auto"/>
          <w:sz w:val="22"/>
          <w:szCs w:val="22"/>
        </w:rPr>
        <w:t>、</w:t>
      </w:r>
      <w:r>
        <w:rPr>
          <w:rFonts w:ascii="宋体" w:hAnsi="宋体"/>
          <w:b/>
          <w:color w:val="auto"/>
          <w:sz w:val="22"/>
          <w:szCs w:val="22"/>
        </w:rPr>
        <w:t>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519F6294">
      <w:pPr>
        <w:snapToGrid w:val="0"/>
        <w:spacing w:line="460" w:lineRule="atLeast"/>
        <w:ind w:firstLine="442" w:firstLineChars="200"/>
        <w:rPr>
          <w:rFonts w:ascii="宋体" w:hAnsi="宋体"/>
          <w:b/>
          <w:color w:val="auto"/>
          <w:sz w:val="22"/>
          <w:szCs w:val="22"/>
        </w:rPr>
      </w:pPr>
      <w:r>
        <w:rPr>
          <w:rFonts w:ascii="宋体" w:hAnsi="宋体"/>
          <w:b/>
          <w:color w:val="auto"/>
          <w:sz w:val="22"/>
          <w:szCs w:val="22"/>
        </w:rPr>
        <w:t>3.2</w:t>
      </w:r>
      <w:r>
        <w:rPr>
          <w:rFonts w:hint="eastAsia" w:ascii="宋体" w:hAnsi="宋体"/>
          <w:b/>
          <w:color w:val="auto"/>
          <w:sz w:val="22"/>
          <w:szCs w:val="22"/>
        </w:rPr>
        <w:t>、</w:t>
      </w:r>
      <w:r>
        <w:rPr>
          <w:rFonts w:ascii="宋体" w:hAnsi="宋体"/>
          <w:b/>
          <w:color w:val="auto"/>
          <w:sz w:val="22"/>
          <w:szCs w:val="22"/>
        </w:rPr>
        <w:t>响应文件递交截止时间后，投标供应商不得撤回、修改《磋商响应文件》。</w:t>
      </w:r>
    </w:p>
    <w:p w14:paraId="72D87CAB">
      <w:pPr>
        <w:snapToGrid w:val="0"/>
        <w:spacing w:line="460" w:lineRule="atLeast"/>
        <w:ind w:firstLine="442" w:firstLineChars="200"/>
        <w:rPr>
          <w:rFonts w:ascii="宋体" w:hAnsi="宋体"/>
          <w:b/>
          <w:color w:val="auto"/>
          <w:sz w:val="22"/>
          <w:szCs w:val="22"/>
        </w:rPr>
      </w:pPr>
      <w:r>
        <w:rPr>
          <w:rFonts w:hint="eastAsia" w:ascii="宋体" w:hAnsi="宋体"/>
          <w:b/>
          <w:color w:val="auto"/>
          <w:sz w:val="22"/>
          <w:szCs w:val="22"/>
        </w:rPr>
        <w:t>4、磋商响应文件的备选方案</w:t>
      </w:r>
    </w:p>
    <w:p w14:paraId="09F5AAE7">
      <w:pPr>
        <w:pStyle w:val="3"/>
        <w:adjustRightInd w:val="0"/>
        <w:snapToGrid w:val="0"/>
        <w:spacing w:after="50" w:line="460" w:lineRule="atLeast"/>
        <w:ind w:firstLine="442" w:firstLineChars="200"/>
        <w:rPr>
          <w:rFonts w:ascii="宋体" w:hAnsi="宋体"/>
          <w:b/>
          <w:color w:val="auto"/>
          <w:sz w:val="22"/>
          <w:szCs w:val="22"/>
        </w:rPr>
      </w:pPr>
      <w:r>
        <w:rPr>
          <w:rFonts w:ascii="宋体" w:hAnsi="宋体"/>
          <w:b/>
          <w:color w:val="auto"/>
          <w:sz w:val="22"/>
          <w:szCs w:val="22"/>
        </w:rPr>
        <w:t>投标供应商不得递交任何的投标备选（替代）方案，否则其磋商响应文件将作无效标处理。</w:t>
      </w:r>
    </w:p>
    <w:p w14:paraId="191CD3F7">
      <w:pPr>
        <w:pStyle w:val="4"/>
        <w:spacing w:line="440" w:lineRule="atLeast"/>
        <w:jc w:val="left"/>
        <w:rPr>
          <w:rFonts w:ascii="宋体" w:hAnsi="宋体"/>
          <w:b/>
          <w:bCs/>
          <w:color w:val="auto"/>
          <w:sz w:val="22"/>
          <w:szCs w:val="22"/>
        </w:rPr>
      </w:pPr>
      <w:bookmarkStart w:id="61" w:name="_Toc5496"/>
      <w:r>
        <w:rPr>
          <w:rFonts w:hint="eastAsia" w:ascii="宋体" w:hAnsi="宋体"/>
          <w:b/>
          <w:bCs/>
          <w:color w:val="auto"/>
          <w:sz w:val="22"/>
          <w:szCs w:val="22"/>
        </w:rPr>
        <w:t>五、开标和评审</w:t>
      </w:r>
      <w:bookmarkEnd w:id="61"/>
    </w:p>
    <w:p w14:paraId="1542FB1A">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1、开标</w:t>
      </w:r>
    </w:p>
    <w:p w14:paraId="182623F4">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1.1、</w:t>
      </w:r>
      <w:r>
        <w:rPr>
          <w:rFonts w:hAnsi="宋体"/>
          <w:b/>
          <w:color w:val="auto"/>
          <w:sz w:val="22"/>
          <w:szCs w:val="22"/>
        </w:rPr>
        <w:t>采购代理机构按</w:t>
      </w:r>
      <w:r>
        <w:rPr>
          <w:rFonts w:hint="eastAsia" w:hAnsi="宋体"/>
          <w:b/>
          <w:color w:val="auto"/>
          <w:sz w:val="22"/>
          <w:szCs w:val="22"/>
        </w:rPr>
        <w:t>磋商</w:t>
      </w:r>
      <w:r>
        <w:rPr>
          <w:rFonts w:hAnsi="宋体"/>
          <w:b/>
          <w:color w:val="auto"/>
          <w:sz w:val="22"/>
          <w:szCs w:val="22"/>
        </w:rPr>
        <w:t>文件规定的时间、地点通过“政府采购云平台”组织开标、开启磋商响应文件，所有供应商均应当准时在线参加。投标供应商因未在线参加开标而导致磋商响应文件无法按时解密等一切后果由供应商自己承担</w:t>
      </w:r>
      <w:r>
        <w:rPr>
          <w:rFonts w:hAnsi="宋体"/>
          <w:color w:val="auto"/>
          <w:sz w:val="22"/>
          <w:szCs w:val="22"/>
        </w:rPr>
        <w:t>。</w:t>
      </w:r>
    </w:p>
    <w:p w14:paraId="6B604274">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1.</w:t>
      </w:r>
      <w:r>
        <w:rPr>
          <w:rFonts w:hint="eastAsia" w:hAnsi="宋体"/>
          <w:color w:val="auto"/>
          <w:sz w:val="22"/>
          <w:szCs w:val="22"/>
        </w:rPr>
        <w:t>2</w:t>
      </w:r>
      <w:r>
        <w:rPr>
          <w:rFonts w:hAnsi="宋体"/>
          <w:color w:val="auto"/>
          <w:sz w:val="22"/>
          <w:szCs w:val="22"/>
        </w:rPr>
        <w:t>、开标流程</w:t>
      </w:r>
    </w:p>
    <w:p w14:paraId="3601274B">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（1）向各投标供应商发出电子加密磋商响应文件【开始解密】通知，由供应商按磋商文件规定的时间内自行进行磋商响应文件解密。</w:t>
      </w:r>
      <w:r>
        <w:rPr>
          <w:rFonts w:hAnsi="宋体"/>
          <w:b/>
          <w:color w:val="auto"/>
          <w:sz w:val="22"/>
          <w:szCs w:val="22"/>
        </w:rPr>
        <w:t>投标供应商在规定的时间内无法完成已递交的“电子加密磋商响应文件”解密的，</w:t>
      </w:r>
      <w:r>
        <w:rPr>
          <w:rFonts w:hint="eastAsia" w:hAnsi="宋体"/>
          <w:b/>
          <w:color w:val="auto"/>
          <w:sz w:val="22"/>
        </w:rPr>
        <w:t>其磋商响应文件按拒收处理</w:t>
      </w:r>
      <w:r>
        <w:rPr>
          <w:rFonts w:hint="eastAsia" w:hAnsi="宋体"/>
          <w:color w:val="auto"/>
          <w:sz w:val="22"/>
          <w:szCs w:val="22"/>
        </w:rPr>
        <w:t>。</w:t>
      </w:r>
    </w:p>
    <w:p w14:paraId="3B85944A">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（2）磋商响应文件解密结束，</w:t>
      </w:r>
      <w:r>
        <w:rPr>
          <w:rFonts w:hint="eastAsia" w:hAnsi="宋体"/>
          <w:color w:val="auto"/>
          <w:sz w:val="22"/>
          <w:szCs w:val="22"/>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051E294F">
      <w:pPr>
        <w:pStyle w:val="26"/>
        <w:adjustRightInd w:val="0"/>
        <w:snapToGrid w:val="0"/>
        <w:spacing w:line="460" w:lineRule="atLeast"/>
        <w:ind w:firstLine="440" w:firstLineChars="200"/>
        <w:rPr>
          <w:rFonts w:hAnsi="宋体"/>
          <w:b/>
          <w:color w:val="auto"/>
          <w:sz w:val="22"/>
          <w:szCs w:val="22"/>
        </w:rPr>
      </w:pPr>
      <w:r>
        <w:rPr>
          <w:rFonts w:hAnsi="宋体"/>
          <w:color w:val="auto"/>
          <w:sz w:val="22"/>
          <w:szCs w:val="22"/>
        </w:rPr>
        <w:t>（</w:t>
      </w:r>
      <w:r>
        <w:rPr>
          <w:rFonts w:hint="eastAsia" w:hAnsi="宋体"/>
          <w:color w:val="auto"/>
          <w:sz w:val="22"/>
          <w:szCs w:val="22"/>
        </w:rPr>
        <w:t>3</w:t>
      </w:r>
      <w:r>
        <w:rPr>
          <w:rFonts w:hAnsi="宋体"/>
          <w:color w:val="auto"/>
          <w:sz w:val="22"/>
          <w:szCs w:val="22"/>
        </w:rPr>
        <w:t>）</w:t>
      </w:r>
      <w:r>
        <w:rPr>
          <w:rFonts w:hint="eastAsia" w:hAnsi="宋体"/>
          <w:color w:val="auto"/>
          <w:sz w:val="22"/>
          <w:szCs w:val="22"/>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b/>
          <w:color w:val="auto"/>
          <w:sz w:val="22"/>
          <w:szCs w:val="22"/>
        </w:rPr>
        <w:t>如竞争性磋商文件所列采购内容明确不需要修改的或供应商磋商响应文件清楚明确不需要澄清的，可以不进行磋商，直接要求供应商进行最终报价。</w:t>
      </w:r>
    </w:p>
    <w:p w14:paraId="356BBB3E">
      <w:pPr>
        <w:pStyle w:val="26"/>
        <w:adjustRightInd w:val="0"/>
        <w:snapToGrid w:val="0"/>
        <w:spacing w:line="460" w:lineRule="atLeast"/>
        <w:ind w:firstLine="431" w:firstLineChars="196"/>
        <w:rPr>
          <w:rFonts w:hAnsi="宋体"/>
          <w:color w:val="auto"/>
          <w:sz w:val="22"/>
          <w:szCs w:val="22"/>
        </w:rPr>
      </w:pPr>
      <w:r>
        <w:rPr>
          <w:rFonts w:hAnsi="宋体"/>
          <w:color w:val="auto"/>
          <w:sz w:val="22"/>
          <w:szCs w:val="22"/>
        </w:rPr>
        <w:t>（</w:t>
      </w:r>
      <w:r>
        <w:rPr>
          <w:rFonts w:hint="eastAsia" w:hAnsi="宋体"/>
          <w:color w:val="auto"/>
          <w:sz w:val="22"/>
          <w:szCs w:val="22"/>
        </w:rPr>
        <w:t>4</w:t>
      </w:r>
      <w:r>
        <w:rPr>
          <w:rFonts w:hAnsi="宋体"/>
          <w:color w:val="auto"/>
          <w:sz w:val="22"/>
          <w:szCs w:val="22"/>
        </w:rPr>
        <w:t>）</w:t>
      </w:r>
      <w:r>
        <w:rPr>
          <w:rFonts w:hint="eastAsia" w:hAnsi="宋体"/>
          <w:color w:val="auto"/>
          <w:sz w:val="22"/>
          <w:szCs w:val="22"/>
        </w:rPr>
        <w:t>磋商结束后，磋商小组应当要求所有实质性响应的投标供应商在规定时间内提交最终报价。投标供应商未在规定时间提交最终报价的按无效投标处理。</w:t>
      </w:r>
    </w:p>
    <w:p w14:paraId="27585699">
      <w:pPr>
        <w:pStyle w:val="26"/>
        <w:adjustRightInd w:val="0"/>
        <w:snapToGrid w:val="0"/>
        <w:spacing w:line="460" w:lineRule="atLeast"/>
        <w:ind w:firstLine="431" w:firstLineChars="196"/>
        <w:rPr>
          <w:rFonts w:hAnsi="宋体"/>
          <w:color w:val="auto"/>
          <w:sz w:val="22"/>
          <w:szCs w:val="22"/>
        </w:rPr>
      </w:pPr>
      <w:r>
        <w:rPr>
          <w:rFonts w:hint="eastAsia" w:hAnsi="宋体"/>
          <w:color w:val="auto"/>
          <w:sz w:val="22"/>
          <w:szCs w:val="22"/>
        </w:rPr>
        <w:t>（5）</w:t>
      </w:r>
      <w:r>
        <w:rPr>
          <w:rFonts w:hAnsi="宋体"/>
          <w:color w:val="auto"/>
          <w:sz w:val="22"/>
          <w:szCs w:val="22"/>
        </w:rPr>
        <w:t>开启</w:t>
      </w:r>
      <w:r>
        <w:rPr>
          <w:rFonts w:hint="eastAsia" w:hAnsi="宋体"/>
          <w:color w:val="auto"/>
          <w:sz w:val="22"/>
          <w:szCs w:val="22"/>
        </w:rPr>
        <w:t>所有实质性响应的投标供应商</w:t>
      </w:r>
      <w:r>
        <w:rPr>
          <w:rFonts w:hAnsi="宋体"/>
          <w:color w:val="auto"/>
          <w:sz w:val="22"/>
          <w:szCs w:val="22"/>
        </w:rPr>
        <w:t>的</w:t>
      </w:r>
      <w:r>
        <w:rPr>
          <w:rFonts w:hint="eastAsia" w:hAnsi="宋体"/>
          <w:color w:val="auto"/>
          <w:sz w:val="22"/>
          <w:szCs w:val="22"/>
        </w:rPr>
        <w:t>最终</w:t>
      </w:r>
      <w:r>
        <w:rPr>
          <w:rFonts w:hAnsi="宋体"/>
          <w:color w:val="auto"/>
          <w:sz w:val="22"/>
          <w:szCs w:val="22"/>
        </w:rPr>
        <w:t>报价。</w:t>
      </w:r>
    </w:p>
    <w:p w14:paraId="344DFBF1">
      <w:pPr>
        <w:pStyle w:val="26"/>
        <w:adjustRightInd w:val="0"/>
        <w:snapToGrid w:val="0"/>
        <w:spacing w:line="460" w:lineRule="atLeast"/>
        <w:ind w:firstLine="440" w:firstLineChars="200"/>
        <w:rPr>
          <w:rFonts w:hAnsi="宋体"/>
          <w:color w:val="auto"/>
          <w:sz w:val="22"/>
          <w:szCs w:val="22"/>
        </w:rPr>
      </w:pPr>
      <w:r>
        <w:rPr>
          <w:rFonts w:hAnsi="宋体"/>
          <w:color w:val="auto"/>
          <w:sz w:val="22"/>
          <w:szCs w:val="22"/>
        </w:rPr>
        <w:t>（</w:t>
      </w:r>
      <w:r>
        <w:rPr>
          <w:rFonts w:hint="eastAsia" w:hAnsi="宋体"/>
          <w:color w:val="auto"/>
          <w:sz w:val="22"/>
          <w:szCs w:val="22"/>
        </w:rPr>
        <w:t>6</w:t>
      </w:r>
      <w:r>
        <w:rPr>
          <w:rFonts w:hAnsi="宋体"/>
          <w:color w:val="auto"/>
          <w:sz w:val="22"/>
          <w:szCs w:val="22"/>
        </w:rPr>
        <w:t>）评审结束后，公布</w:t>
      </w:r>
      <w:r>
        <w:rPr>
          <w:rFonts w:hint="eastAsia" w:hAnsi="宋体"/>
          <w:color w:val="auto"/>
          <w:sz w:val="22"/>
          <w:szCs w:val="22"/>
        </w:rPr>
        <w:t>采购</w:t>
      </w:r>
      <w:r>
        <w:rPr>
          <w:rFonts w:hAnsi="宋体"/>
          <w:color w:val="auto"/>
          <w:sz w:val="22"/>
          <w:szCs w:val="22"/>
        </w:rPr>
        <w:t>结果。</w:t>
      </w:r>
    </w:p>
    <w:p w14:paraId="10BFACE1">
      <w:pPr>
        <w:pStyle w:val="26"/>
        <w:adjustRightInd w:val="0"/>
        <w:snapToGrid w:val="0"/>
        <w:spacing w:line="460" w:lineRule="atLeast"/>
        <w:ind w:firstLine="433" w:firstLineChars="196"/>
        <w:rPr>
          <w:rFonts w:hAnsi="宋体"/>
          <w:b/>
          <w:color w:val="auto"/>
          <w:sz w:val="22"/>
          <w:szCs w:val="22"/>
        </w:rPr>
      </w:pPr>
      <w:r>
        <w:rPr>
          <w:rFonts w:hAnsi="宋体"/>
          <w:b/>
          <w:color w:val="auto"/>
          <w:sz w:val="22"/>
          <w:szCs w:val="22"/>
        </w:rPr>
        <w:t>特别说明：如遇“政府采购云平台”电子化开标或评审程序调整的，按调整后程序执行。</w:t>
      </w:r>
    </w:p>
    <w:p w14:paraId="40225A42">
      <w:pPr>
        <w:pStyle w:val="26"/>
        <w:adjustRightInd w:val="0"/>
        <w:snapToGrid w:val="0"/>
        <w:spacing w:line="460" w:lineRule="atLeast"/>
        <w:ind w:firstLine="440" w:firstLineChars="200"/>
        <w:rPr>
          <w:rFonts w:hAnsi="宋体" w:cs="Arial"/>
          <w:color w:val="auto"/>
          <w:sz w:val="22"/>
          <w:szCs w:val="22"/>
        </w:rPr>
      </w:pPr>
      <w:r>
        <w:rPr>
          <w:rFonts w:hint="eastAsia" w:hAnsi="宋体" w:cs="Arial"/>
          <w:color w:val="auto"/>
          <w:sz w:val="22"/>
          <w:szCs w:val="22"/>
        </w:rPr>
        <w:t>2、评审</w:t>
      </w:r>
    </w:p>
    <w:p w14:paraId="23129D34">
      <w:pPr>
        <w:pStyle w:val="26"/>
        <w:adjustRightInd w:val="0"/>
        <w:snapToGrid w:val="0"/>
        <w:spacing w:line="460" w:lineRule="atLeast"/>
        <w:ind w:firstLine="440" w:firstLineChars="200"/>
        <w:rPr>
          <w:rFonts w:hAnsi="宋体" w:cs="Arial"/>
          <w:color w:val="auto"/>
          <w:sz w:val="22"/>
          <w:szCs w:val="22"/>
        </w:rPr>
      </w:pPr>
      <w:r>
        <w:rPr>
          <w:rFonts w:hint="eastAsia" w:hAnsi="宋体" w:cs="Arial"/>
          <w:color w:val="auto"/>
          <w:sz w:val="22"/>
          <w:szCs w:val="22"/>
        </w:rPr>
        <w:t>2.1、评审由采购人依法组建的磋商小组负责</w:t>
      </w:r>
      <w:r>
        <w:rPr>
          <w:rFonts w:hint="eastAsia" w:hAnsi="宋体"/>
          <w:color w:val="auto"/>
          <w:sz w:val="22"/>
          <w:szCs w:val="22"/>
        </w:rPr>
        <w:t>，并独立履行下列职责：</w:t>
      </w:r>
    </w:p>
    <w:p w14:paraId="61AC9F5C">
      <w:pPr>
        <w:snapToGrid w:val="0"/>
        <w:spacing w:line="460" w:lineRule="atLeast"/>
        <w:ind w:firstLine="431" w:firstLineChars="196"/>
        <w:rPr>
          <w:rFonts w:ascii="宋体" w:hAnsi="宋体"/>
          <w:color w:val="auto"/>
          <w:sz w:val="22"/>
          <w:szCs w:val="22"/>
        </w:rPr>
      </w:pPr>
      <w:r>
        <w:rPr>
          <w:rFonts w:hint="eastAsia" w:ascii="宋体" w:hAnsi="宋体"/>
          <w:color w:val="auto"/>
          <w:sz w:val="22"/>
          <w:szCs w:val="22"/>
        </w:rPr>
        <w:t>1）审查磋商响应文件是否符合竞争性磋商文件要求，并作出评价；</w:t>
      </w:r>
    </w:p>
    <w:p w14:paraId="113C2A73">
      <w:pPr>
        <w:snapToGrid w:val="0"/>
        <w:spacing w:line="460" w:lineRule="atLeast"/>
        <w:ind w:firstLine="450"/>
        <w:rPr>
          <w:rFonts w:ascii="宋体" w:hAnsi="宋体"/>
          <w:color w:val="auto"/>
          <w:sz w:val="22"/>
          <w:szCs w:val="22"/>
        </w:rPr>
      </w:pPr>
      <w:r>
        <w:rPr>
          <w:rFonts w:hint="eastAsia" w:ascii="宋体" w:hAnsi="宋体"/>
          <w:color w:val="auto"/>
          <w:sz w:val="22"/>
          <w:szCs w:val="22"/>
        </w:rPr>
        <w:t>2）要求供应商对磋商响应文件有关事项作出解释或者澄清；</w:t>
      </w:r>
    </w:p>
    <w:p w14:paraId="301CB0ED">
      <w:pPr>
        <w:snapToGrid w:val="0"/>
        <w:spacing w:line="460" w:lineRule="atLeast"/>
        <w:ind w:firstLine="450"/>
        <w:rPr>
          <w:rFonts w:ascii="宋体" w:hAnsi="宋体"/>
          <w:color w:val="auto"/>
          <w:sz w:val="22"/>
          <w:szCs w:val="22"/>
        </w:rPr>
      </w:pPr>
      <w:r>
        <w:rPr>
          <w:rFonts w:hint="eastAsia" w:ascii="宋体" w:hAnsi="宋体"/>
          <w:color w:val="auto"/>
          <w:sz w:val="22"/>
          <w:szCs w:val="22"/>
        </w:rPr>
        <w:t>3）按照竞争性磋商文件确定的评审办法对供应商进行排序，推荐候选供应商，将综合得分第一的供应商向采购人推荐其为成交供应商；</w:t>
      </w:r>
    </w:p>
    <w:p w14:paraId="2DA7D1AE">
      <w:pPr>
        <w:pStyle w:val="26"/>
        <w:adjustRightInd w:val="0"/>
        <w:snapToGrid w:val="0"/>
        <w:spacing w:line="460" w:lineRule="atLeast"/>
        <w:ind w:firstLine="431" w:firstLineChars="196"/>
        <w:rPr>
          <w:rFonts w:hAnsi="宋体"/>
          <w:color w:val="auto"/>
          <w:sz w:val="22"/>
          <w:szCs w:val="22"/>
        </w:rPr>
      </w:pPr>
      <w:r>
        <w:rPr>
          <w:rFonts w:hint="eastAsia" w:hAnsi="宋体"/>
          <w:color w:val="auto"/>
          <w:sz w:val="22"/>
          <w:szCs w:val="22"/>
        </w:rPr>
        <w:t>4）向采购代理机构或者有关部门报告非法干预评审工作的行为。</w:t>
      </w:r>
    </w:p>
    <w:p w14:paraId="6AA926F1">
      <w:pPr>
        <w:snapToGrid w:val="0"/>
        <w:spacing w:line="460" w:lineRule="atLeast"/>
        <w:ind w:firstLine="431" w:firstLineChars="196"/>
        <w:rPr>
          <w:rFonts w:ascii="宋体" w:hAnsi="宋体"/>
          <w:color w:val="auto"/>
          <w:sz w:val="22"/>
          <w:szCs w:val="22"/>
        </w:rPr>
      </w:pPr>
      <w:r>
        <w:rPr>
          <w:rFonts w:hint="eastAsia" w:ascii="宋体" w:hAnsi="宋体"/>
          <w:color w:val="auto"/>
          <w:sz w:val="22"/>
          <w:szCs w:val="22"/>
        </w:rPr>
        <w:t>2.2、评审应当遵循下列工作程序：</w:t>
      </w:r>
    </w:p>
    <w:p w14:paraId="752C2F95">
      <w:pPr>
        <w:snapToGrid w:val="0"/>
        <w:spacing w:line="460" w:lineRule="atLeast"/>
        <w:ind w:firstLine="450"/>
        <w:rPr>
          <w:rFonts w:ascii="宋体" w:hAnsi="宋体"/>
          <w:color w:val="auto"/>
          <w:sz w:val="22"/>
          <w:szCs w:val="22"/>
        </w:rPr>
      </w:pPr>
      <w:r>
        <w:rPr>
          <w:rFonts w:hint="eastAsia" w:ascii="宋体" w:hAnsi="宋体"/>
          <w:color w:val="auto"/>
          <w:sz w:val="22"/>
          <w:szCs w:val="22"/>
        </w:rPr>
        <w:t>1）磋商响应文件初审。初审分为资格性检查和符合性检查。</w:t>
      </w:r>
    </w:p>
    <w:p w14:paraId="296000C2">
      <w:pPr>
        <w:snapToGrid w:val="0"/>
        <w:spacing w:line="460" w:lineRule="atLeast"/>
        <w:rPr>
          <w:rFonts w:ascii="宋体" w:hAnsi="宋体"/>
          <w:color w:val="auto"/>
          <w:sz w:val="22"/>
          <w:szCs w:val="22"/>
        </w:rPr>
      </w:pPr>
      <w:r>
        <w:rPr>
          <w:rFonts w:hint="eastAsia" w:ascii="宋体" w:hAnsi="宋体"/>
          <w:color w:val="auto"/>
          <w:sz w:val="22"/>
          <w:szCs w:val="22"/>
        </w:rPr>
        <w:t xml:space="preserve">   （1</w:t>
      </w:r>
      <w:r>
        <w:rPr>
          <w:rFonts w:ascii="宋体" w:hAnsi="宋体"/>
          <w:color w:val="auto"/>
          <w:sz w:val="22"/>
          <w:szCs w:val="22"/>
        </w:rPr>
        <w:t>）</w:t>
      </w:r>
      <w:r>
        <w:rPr>
          <w:rFonts w:hint="eastAsia" w:ascii="宋体" w:hAnsi="宋体"/>
          <w:color w:val="auto"/>
          <w:sz w:val="22"/>
          <w:szCs w:val="22"/>
        </w:rPr>
        <w:t>资格性检查。依据法律法规和竞争性磋商文件的规定，对磋商响应文件中的资格证明等进行审查，以确定供应商是否具备参与磋商资格。</w:t>
      </w:r>
    </w:p>
    <w:p w14:paraId="4F7D17B7">
      <w:pPr>
        <w:snapToGrid w:val="0"/>
        <w:spacing w:line="460" w:lineRule="atLeast"/>
        <w:rPr>
          <w:rFonts w:ascii="宋体" w:hAnsi="宋体"/>
          <w:color w:val="auto"/>
          <w:sz w:val="22"/>
          <w:szCs w:val="22"/>
        </w:rPr>
      </w:pPr>
      <w:r>
        <w:rPr>
          <w:rFonts w:hint="eastAsia" w:ascii="宋体" w:hAnsi="宋体"/>
          <w:color w:val="auto"/>
          <w:sz w:val="22"/>
          <w:szCs w:val="22"/>
        </w:rPr>
        <w:t xml:space="preserve">   （2</w:t>
      </w:r>
      <w:r>
        <w:rPr>
          <w:rFonts w:ascii="宋体" w:hAnsi="宋体"/>
          <w:color w:val="auto"/>
          <w:sz w:val="22"/>
          <w:szCs w:val="22"/>
        </w:rPr>
        <w:t>）</w:t>
      </w:r>
      <w:r>
        <w:rPr>
          <w:rFonts w:hint="eastAsia" w:ascii="宋体" w:hAnsi="宋体"/>
          <w:color w:val="auto"/>
          <w:sz w:val="22"/>
          <w:szCs w:val="22"/>
        </w:rPr>
        <w:t>符合性检查。依据竞争性磋商文件的规定，从磋商响应文件的有效性、完整性和对竞争性磋商文件的响应程度进行审查，以确定是否对竞争性磋商文件的实质性要求作出响应。</w:t>
      </w:r>
    </w:p>
    <w:p w14:paraId="35247C1E">
      <w:pPr>
        <w:snapToGrid w:val="0"/>
        <w:spacing w:line="460" w:lineRule="atLeast"/>
        <w:ind w:firstLine="450"/>
        <w:rPr>
          <w:rFonts w:ascii="宋体" w:hAnsi="宋体"/>
          <w:color w:val="auto"/>
          <w:sz w:val="22"/>
          <w:szCs w:val="22"/>
        </w:rPr>
      </w:pPr>
      <w:r>
        <w:rPr>
          <w:rFonts w:hint="eastAsia" w:ascii="宋体" w:hAnsi="宋体"/>
          <w:color w:val="auto"/>
          <w:sz w:val="22"/>
          <w:szCs w:val="22"/>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03DC7224">
      <w:pPr>
        <w:snapToGrid w:val="0"/>
        <w:spacing w:line="460" w:lineRule="atLeast"/>
        <w:ind w:firstLine="450"/>
        <w:rPr>
          <w:rFonts w:ascii="宋体" w:hAnsi="宋体"/>
          <w:color w:val="auto"/>
          <w:sz w:val="22"/>
          <w:szCs w:val="22"/>
        </w:rPr>
      </w:pPr>
      <w:r>
        <w:rPr>
          <w:rFonts w:hint="eastAsia" w:ascii="宋体" w:hAnsi="宋体"/>
          <w:color w:val="auto"/>
          <w:sz w:val="22"/>
          <w:szCs w:val="22"/>
        </w:rPr>
        <w:t>3）比较与评价。按竞争性磋商文件中规定的评审方法和标准，对资格性检查和符合性检查合格的磋商响应文件进行商务和技术评估，综合比较与评价。</w:t>
      </w:r>
    </w:p>
    <w:p w14:paraId="3C8A73D7">
      <w:pPr>
        <w:pStyle w:val="26"/>
        <w:adjustRightInd w:val="0"/>
        <w:snapToGrid w:val="0"/>
        <w:spacing w:line="460" w:lineRule="atLeast"/>
        <w:ind w:firstLine="431" w:firstLineChars="196"/>
        <w:rPr>
          <w:rFonts w:hAnsi="宋体" w:cs="Arial"/>
          <w:color w:val="auto"/>
          <w:sz w:val="22"/>
          <w:szCs w:val="22"/>
        </w:rPr>
      </w:pPr>
      <w:r>
        <w:rPr>
          <w:rFonts w:hint="eastAsia" w:hAnsi="宋体" w:cs="Arial"/>
          <w:color w:val="auto"/>
          <w:sz w:val="22"/>
          <w:szCs w:val="22"/>
        </w:rPr>
        <w:t>2.3、</w:t>
      </w:r>
      <w:r>
        <w:rPr>
          <w:rFonts w:hint="eastAsia" w:hAnsi="宋体" w:cs="Arial"/>
          <w:b/>
          <w:color w:val="auto"/>
          <w:sz w:val="22"/>
          <w:szCs w:val="22"/>
        </w:rPr>
        <w:t>本次采购，供应商的最终报价均超出采购预算的，本次采购做废标处理。</w:t>
      </w:r>
    </w:p>
    <w:p w14:paraId="56308963">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2.4、▲</w:t>
      </w:r>
      <w:r>
        <w:rPr>
          <w:rFonts w:hint="eastAsia" w:hAnsi="宋体"/>
          <w:b/>
          <w:color w:val="auto"/>
          <w:sz w:val="22"/>
          <w:szCs w:val="22"/>
        </w:rPr>
        <w:t>供应商存在下列情况之一的，磋商响应文件按无效处理：</w:t>
      </w:r>
    </w:p>
    <w:p w14:paraId="1533EB78">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1）磋商响应文件未按磋商文件要求签署或CA电子签章的；</w:t>
      </w:r>
    </w:p>
    <w:p w14:paraId="2D1DF052">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2）不具备磋商文件中规定的资格要求的；</w:t>
      </w:r>
    </w:p>
    <w:p w14:paraId="45048171">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3）最终报价超过磋商文件中规定的预算金额或者最高限价的；</w:t>
      </w:r>
    </w:p>
    <w:p w14:paraId="74ADB2A4">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4）对关键条文的偏离、保留或反对，例如关于付款方式、完工期（服务期）、免费质保期、适用法律法规、标准、税费等其他内容；</w:t>
      </w:r>
    </w:p>
    <w:p w14:paraId="049F689D">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5）存在串标或弄虚作假情况的；</w:t>
      </w:r>
    </w:p>
    <w:p w14:paraId="4C15257B">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6）参与本项目的不同供应商单位负责人为同一人或者存在直接控股、管理关系的；</w:t>
      </w:r>
    </w:p>
    <w:p w14:paraId="0C0A7F32">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7）在竞争性磋商文件未做任何调整的情况下，参与磋商的供应商最终报价超过其磋商响应文件中报价的；</w:t>
      </w:r>
    </w:p>
    <w:p w14:paraId="1EDA9B63">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8）未在规定时间提交最终报价的；</w:t>
      </w:r>
    </w:p>
    <w:p w14:paraId="6AA4AC16">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9）法律、法规和磋商文件规定的其他无效情形（或出现重大偏差）。</w:t>
      </w:r>
    </w:p>
    <w:p w14:paraId="18C5682B">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2.5、▲</w:t>
      </w:r>
      <w:r>
        <w:rPr>
          <w:rFonts w:hint="eastAsia" w:hAnsi="宋体"/>
          <w:b/>
          <w:color w:val="auto"/>
          <w:sz w:val="22"/>
          <w:szCs w:val="22"/>
        </w:rPr>
        <w:t>磋商小组发现磋商响应文件有下列情形之一的属于重大偏差(磋商小组按少数服从多数原则认定),按照无效投标处理</w:t>
      </w:r>
      <w:r>
        <w:rPr>
          <w:rFonts w:hint="eastAsia" w:hAnsi="宋体"/>
          <w:color w:val="auto"/>
          <w:sz w:val="22"/>
          <w:szCs w:val="22"/>
        </w:rPr>
        <w:t>：</w:t>
      </w:r>
    </w:p>
    <w:p w14:paraId="4EDDCE27">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1）未按磋商文件要求编制或字迹模糊、辨认不清的磋商响应文件；</w:t>
      </w:r>
    </w:p>
    <w:p w14:paraId="0019C151">
      <w:pPr>
        <w:pStyle w:val="26"/>
        <w:adjustRightInd w:val="0"/>
        <w:snapToGrid w:val="0"/>
        <w:spacing w:line="460" w:lineRule="atLeast"/>
        <w:ind w:firstLine="442" w:firstLineChars="200"/>
        <w:rPr>
          <w:rFonts w:hAnsi="宋体"/>
          <w:b/>
          <w:color w:val="auto"/>
          <w:sz w:val="22"/>
          <w:szCs w:val="22"/>
        </w:rPr>
      </w:pPr>
      <w:r>
        <w:rPr>
          <w:rFonts w:hint="eastAsia" w:hAnsi="宋体"/>
          <w:b/>
          <w:color w:val="auto"/>
          <w:sz w:val="22"/>
          <w:szCs w:val="22"/>
        </w:rPr>
        <w:t>2）除2.4条款以外，出现其它明显不符合采购要求的磋商响应文件；</w:t>
      </w:r>
    </w:p>
    <w:p w14:paraId="77B8B084">
      <w:pPr>
        <w:pStyle w:val="26"/>
        <w:adjustRightInd w:val="0"/>
        <w:snapToGrid w:val="0"/>
        <w:spacing w:line="460" w:lineRule="atLeast"/>
        <w:ind w:firstLine="442" w:firstLineChars="200"/>
        <w:rPr>
          <w:rFonts w:hAnsi="宋体"/>
          <w:color w:val="auto"/>
          <w:sz w:val="22"/>
          <w:szCs w:val="22"/>
        </w:rPr>
      </w:pPr>
      <w:r>
        <w:rPr>
          <w:rFonts w:hint="eastAsia" w:hAnsi="宋体"/>
          <w:b/>
          <w:color w:val="auto"/>
          <w:sz w:val="22"/>
          <w:szCs w:val="22"/>
        </w:rPr>
        <w:t>3）除2.4条款以外，出现其它不符合磋商文件中规定的实质性要求的磋商响应文件，是否为偏离实质性要求由磋商小组认定。</w:t>
      </w:r>
    </w:p>
    <w:p w14:paraId="783D7224">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2.6、▲</w:t>
      </w:r>
      <w:r>
        <w:rPr>
          <w:rFonts w:hint="eastAsia" w:hAnsi="宋体"/>
          <w:b/>
          <w:color w:val="auto"/>
          <w:sz w:val="22"/>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olor w:val="auto"/>
          <w:sz w:val="22"/>
          <w:szCs w:val="22"/>
        </w:rPr>
        <w:t>。</w:t>
      </w:r>
    </w:p>
    <w:p w14:paraId="47B2CC0D">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2.7、磋商小组在评标中，不得改变磋商文件中规定的评标标准、方法和中标（成交）条件。</w:t>
      </w:r>
    </w:p>
    <w:p w14:paraId="5210C8B2">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2.8、评标时如遇到磋商文件未规定的特殊情况，由磋商小组按少数服从多数原则集体决定处理。</w:t>
      </w:r>
    </w:p>
    <w:p w14:paraId="62DCD0CF">
      <w:pPr>
        <w:pStyle w:val="26"/>
        <w:adjustRightInd w:val="0"/>
        <w:snapToGrid w:val="0"/>
        <w:spacing w:line="460" w:lineRule="atLeast"/>
        <w:ind w:firstLine="440" w:firstLineChars="200"/>
        <w:rPr>
          <w:rFonts w:hAnsi="宋体" w:cs="Arial"/>
          <w:strike/>
          <w:color w:val="auto"/>
          <w:sz w:val="22"/>
          <w:szCs w:val="22"/>
        </w:rPr>
      </w:pPr>
      <w:r>
        <w:rPr>
          <w:rFonts w:hint="eastAsia" w:hAnsi="宋体"/>
          <w:color w:val="auto"/>
          <w:sz w:val="22"/>
          <w:szCs w:val="22"/>
        </w:rPr>
        <w:t>2.9、磋商小组对未中标（成交）的供应商不作解释。</w:t>
      </w:r>
    </w:p>
    <w:p w14:paraId="202CF56F">
      <w:pPr>
        <w:pStyle w:val="26"/>
        <w:adjustRightInd w:val="0"/>
        <w:snapToGrid w:val="0"/>
        <w:spacing w:line="460" w:lineRule="atLeast"/>
        <w:ind w:firstLine="450"/>
        <w:rPr>
          <w:rFonts w:hAnsi="宋体" w:cs="Arial"/>
          <w:color w:val="auto"/>
          <w:sz w:val="22"/>
          <w:szCs w:val="22"/>
        </w:rPr>
      </w:pPr>
      <w:r>
        <w:rPr>
          <w:rFonts w:hint="eastAsia" w:hAnsi="宋体" w:cs="Arial"/>
          <w:color w:val="auto"/>
          <w:sz w:val="22"/>
          <w:szCs w:val="22"/>
        </w:rPr>
        <w:t>3、磋商响应文件的澄清</w:t>
      </w:r>
    </w:p>
    <w:p w14:paraId="3E1B17A5">
      <w:pPr>
        <w:adjustRightInd w:val="0"/>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3.1、为有利于对磋商响应文件的比较和评议，必要时磋商小组可要求投标供应商对磋商响应文件相关事宜进行澄清。磋商小组将通过“政府采购云平台”在线询标的形式要求</w:t>
      </w:r>
      <w:r>
        <w:rPr>
          <w:rFonts w:ascii="宋体" w:hAnsi="宋体"/>
          <w:color w:val="auto"/>
          <w:sz w:val="22"/>
          <w:szCs w:val="22"/>
        </w:rPr>
        <w:t>投标供应商</w:t>
      </w:r>
      <w:r>
        <w:rPr>
          <w:rFonts w:hint="eastAsia" w:ascii="宋体" w:hAnsi="宋体"/>
          <w:color w:val="auto"/>
          <w:sz w:val="22"/>
          <w:szCs w:val="22"/>
        </w:rPr>
        <w:t>在规定的时间内作出必要的澄清、说明，供投标供应商澄清、说明时间不少于30分钟。</w:t>
      </w:r>
    </w:p>
    <w:p w14:paraId="75A348D3">
      <w:pPr>
        <w:adjustRightInd w:val="0"/>
        <w:snapToGrid w:val="0"/>
        <w:spacing w:line="460" w:lineRule="atLeast"/>
        <w:ind w:firstLine="440" w:firstLineChars="200"/>
        <w:rPr>
          <w:rFonts w:ascii="宋体" w:hAnsi="宋体" w:cs="Arial"/>
          <w:color w:val="auto"/>
          <w:sz w:val="22"/>
          <w:szCs w:val="22"/>
        </w:rPr>
      </w:pPr>
      <w:r>
        <w:rPr>
          <w:rFonts w:hint="eastAsia" w:ascii="宋体" w:hAnsi="宋体"/>
          <w:color w:val="auto"/>
          <w:sz w:val="22"/>
          <w:szCs w:val="22"/>
        </w:rPr>
        <w:t>3.2、</w:t>
      </w:r>
      <w:r>
        <w:rPr>
          <w:rFonts w:ascii="宋体" w:hAnsi="宋体"/>
          <w:color w:val="auto"/>
          <w:sz w:val="22"/>
          <w:szCs w:val="22"/>
        </w:rPr>
        <w:t>投标供应商</w:t>
      </w:r>
      <w:r>
        <w:rPr>
          <w:rFonts w:hint="eastAsia" w:ascii="宋体" w:hAnsi="宋体"/>
          <w:color w:val="auto"/>
          <w:sz w:val="22"/>
          <w:szCs w:val="22"/>
        </w:rPr>
        <w:t>的澄清、说明应当通过“政府采购云平台”在线答复形式提交。</w:t>
      </w:r>
      <w:r>
        <w:rPr>
          <w:rFonts w:ascii="宋体" w:hAnsi="宋体"/>
          <w:color w:val="auto"/>
          <w:sz w:val="22"/>
          <w:szCs w:val="22"/>
        </w:rPr>
        <w:t>投标供应商</w:t>
      </w:r>
      <w:r>
        <w:rPr>
          <w:rFonts w:hint="eastAsia" w:ascii="宋体" w:hAnsi="宋体"/>
          <w:color w:val="auto"/>
          <w:sz w:val="22"/>
          <w:szCs w:val="22"/>
        </w:rPr>
        <w:t>的澄清、说明不得超出磋商响应文件的范围或者改变磋商响应文件的实质性内容。</w:t>
      </w:r>
    </w:p>
    <w:p w14:paraId="594A06F6">
      <w:pPr>
        <w:pStyle w:val="26"/>
        <w:adjustRightInd w:val="0"/>
        <w:snapToGrid w:val="0"/>
        <w:spacing w:line="440" w:lineRule="atLeast"/>
        <w:ind w:firstLine="440" w:firstLineChars="200"/>
        <w:rPr>
          <w:rFonts w:hAnsi="宋体"/>
          <w:color w:val="auto"/>
          <w:sz w:val="22"/>
          <w:szCs w:val="22"/>
        </w:rPr>
      </w:pPr>
      <w:r>
        <w:rPr>
          <w:rFonts w:hint="eastAsia" w:hAnsi="宋体"/>
          <w:color w:val="auto"/>
          <w:sz w:val="22"/>
          <w:szCs w:val="22"/>
        </w:rPr>
        <w:t>4、响应</w:t>
      </w:r>
      <w:r>
        <w:rPr>
          <w:rFonts w:hAnsi="宋体"/>
          <w:color w:val="auto"/>
          <w:sz w:val="22"/>
          <w:szCs w:val="22"/>
        </w:rPr>
        <w:t>文件递交截止时或评审过程中有效投标供应商不足三家的，不予开标或评标</w:t>
      </w:r>
      <w:r>
        <w:rPr>
          <w:rFonts w:hint="eastAsia" w:hAnsi="宋体"/>
          <w:color w:val="auto"/>
          <w:sz w:val="22"/>
          <w:szCs w:val="22"/>
        </w:rPr>
        <w:t>，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1F7D2C2">
      <w:pPr>
        <w:snapToGrid w:val="0"/>
        <w:spacing w:line="460" w:lineRule="atLeast"/>
        <w:rPr>
          <w:rFonts w:ascii="宋体" w:hAnsi="宋体"/>
          <w:color w:val="auto"/>
          <w:sz w:val="22"/>
          <w:szCs w:val="22"/>
        </w:rPr>
      </w:pPr>
      <w:r>
        <w:rPr>
          <w:rFonts w:hint="eastAsia" w:ascii="宋体" w:hAnsi="宋体"/>
          <w:color w:val="auto"/>
          <w:sz w:val="22"/>
          <w:szCs w:val="22"/>
        </w:rPr>
        <w:t xml:space="preserve">    5、评审原则</w:t>
      </w:r>
    </w:p>
    <w:p w14:paraId="3DBD655F">
      <w:pPr>
        <w:pStyle w:val="26"/>
        <w:adjustRightInd w:val="0"/>
        <w:snapToGrid w:val="0"/>
        <w:spacing w:line="460" w:lineRule="atLeast"/>
        <w:ind w:firstLine="450"/>
        <w:rPr>
          <w:rFonts w:hAnsi="宋体" w:cs="Arial"/>
          <w:color w:val="auto"/>
          <w:sz w:val="22"/>
          <w:szCs w:val="22"/>
        </w:rPr>
      </w:pPr>
      <w:r>
        <w:rPr>
          <w:rFonts w:hint="eastAsia" w:hAnsi="宋体"/>
          <w:color w:val="auto"/>
          <w:sz w:val="22"/>
          <w:szCs w:val="22"/>
        </w:rPr>
        <w:t>磋商小组按照竞争性磋商文件的要求和条件对磋商响应文件进行评估，综合比较与评价。</w:t>
      </w:r>
    </w:p>
    <w:p w14:paraId="0C357EA6">
      <w:pPr>
        <w:pStyle w:val="26"/>
        <w:adjustRightInd w:val="0"/>
        <w:snapToGrid w:val="0"/>
        <w:spacing w:line="460" w:lineRule="atLeast"/>
        <w:ind w:firstLine="450"/>
        <w:rPr>
          <w:rFonts w:hAnsi="宋体"/>
          <w:color w:val="auto"/>
          <w:sz w:val="22"/>
          <w:szCs w:val="22"/>
        </w:rPr>
      </w:pPr>
      <w:r>
        <w:rPr>
          <w:rFonts w:hint="eastAsia" w:hAnsi="宋体"/>
          <w:color w:val="auto"/>
          <w:sz w:val="22"/>
          <w:szCs w:val="22"/>
        </w:rPr>
        <w:t>5.1、磋商小组负责审查磋商响应文件是否符合竞争性磋商文件的要求，并作出评价。磋商小组认为必要时，可向供应商进行询标澄清。</w:t>
      </w:r>
    </w:p>
    <w:p w14:paraId="7CB3C582">
      <w:pPr>
        <w:pStyle w:val="26"/>
        <w:adjustRightInd w:val="0"/>
        <w:snapToGrid w:val="0"/>
        <w:spacing w:line="460" w:lineRule="atLeast"/>
        <w:ind w:firstLine="450"/>
        <w:rPr>
          <w:rFonts w:hAnsi="宋体"/>
          <w:color w:val="auto"/>
          <w:sz w:val="22"/>
          <w:szCs w:val="22"/>
        </w:rPr>
      </w:pPr>
      <w:r>
        <w:rPr>
          <w:rFonts w:hint="eastAsia" w:hAnsi="宋体"/>
          <w:color w:val="auto"/>
          <w:sz w:val="22"/>
          <w:szCs w:val="22"/>
        </w:rPr>
        <w:t xml:space="preserve">5.2、磋商小组将综合分析合格供应商的各项指标，而不是以单项指标的优劣评选出成交的供应商。   </w:t>
      </w:r>
    </w:p>
    <w:p w14:paraId="7A8DD31D">
      <w:pPr>
        <w:pStyle w:val="26"/>
        <w:adjustRightInd w:val="0"/>
        <w:snapToGrid w:val="0"/>
        <w:spacing w:line="460" w:lineRule="atLeast"/>
        <w:ind w:firstLine="450"/>
        <w:rPr>
          <w:rFonts w:hAnsi="宋体"/>
          <w:color w:val="auto"/>
          <w:sz w:val="22"/>
          <w:szCs w:val="22"/>
        </w:rPr>
      </w:pPr>
      <w:r>
        <w:rPr>
          <w:rFonts w:hint="eastAsia" w:hAnsi="宋体"/>
          <w:color w:val="auto"/>
          <w:sz w:val="22"/>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2A2DDC70">
      <w:pPr>
        <w:snapToGrid w:val="0"/>
        <w:spacing w:line="460" w:lineRule="atLeast"/>
        <w:ind w:firstLine="431" w:firstLineChars="196"/>
        <w:rPr>
          <w:rFonts w:ascii="宋体" w:hAnsi="宋体" w:cs="Arial"/>
          <w:color w:val="auto"/>
          <w:sz w:val="22"/>
          <w:szCs w:val="22"/>
        </w:rPr>
      </w:pPr>
      <w:r>
        <w:rPr>
          <w:rFonts w:hint="eastAsia" w:ascii="宋体" w:hAnsi="宋体"/>
          <w:color w:val="auto"/>
          <w:sz w:val="22"/>
          <w:szCs w:val="22"/>
        </w:rPr>
        <w:t>5.4、本次评审采用综合评分法，磋商小组根据竞争性磋商文件制定的评审办法对供应商进行评审排序，将综合得分第一的供应商向采购人推荐其为成交供应商。</w:t>
      </w:r>
    </w:p>
    <w:p w14:paraId="0EBE8C5B">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6、有下列情形之一的，视为供应商相互串通投标：</w:t>
      </w:r>
    </w:p>
    <w:p w14:paraId="4B9F0891">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6.1、不同供应商的磋商响应文件由同一单位或者个人编制；</w:t>
      </w:r>
    </w:p>
    <w:p w14:paraId="1A542D47">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6.2、不同供应商委托同一单位或者个人办理投标事宜；</w:t>
      </w:r>
    </w:p>
    <w:p w14:paraId="330C817A">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6.3、不同供应商的磋商响应文件载明的项目管理成员为同一人；</w:t>
      </w:r>
    </w:p>
    <w:p w14:paraId="2AD59286">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6.4、不同供应商的磋商响应文件异常一致或者投标报价呈规律性差异；</w:t>
      </w:r>
    </w:p>
    <w:p w14:paraId="02A8FF46">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6.5、不同供应商的磋商响应文件相互混装；</w:t>
      </w:r>
    </w:p>
    <w:p w14:paraId="7E4C539A">
      <w:pPr>
        <w:snapToGrid w:val="0"/>
        <w:spacing w:line="460" w:lineRule="atLeast"/>
        <w:ind w:firstLine="431" w:firstLineChars="196"/>
        <w:rPr>
          <w:rFonts w:ascii="宋体" w:hAnsi="宋体" w:cs="Arial"/>
          <w:color w:val="auto"/>
          <w:sz w:val="22"/>
          <w:szCs w:val="22"/>
        </w:rPr>
      </w:pPr>
      <w:r>
        <w:rPr>
          <w:rFonts w:hint="eastAsia" w:ascii="宋体" w:hAnsi="宋体" w:cs="Arial"/>
          <w:color w:val="auto"/>
          <w:sz w:val="22"/>
          <w:szCs w:val="22"/>
        </w:rPr>
        <w:t>7、经磋商小组认定供应商进行串通投标的，磋商小组可以对相关供应商做出无效投标处理，并上报政府采购管理部门进行进一步处理。</w:t>
      </w:r>
    </w:p>
    <w:p w14:paraId="22B602EE">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8、可中止电子交易活动的情形</w:t>
      </w:r>
    </w:p>
    <w:p w14:paraId="5AAE9603">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采购过程中出现以下情形，导致电子交易平台无法正常运行，或者无法保证电子交易的公平、公正和安全时，采购组织机构可中止电子交易活动：</w:t>
      </w:r>
    </w:p>
    <w:p w14:paraId="59D4A81C">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1）电子交易平台发生故障而无法登录访问的；</w:t>
      </w:r>
    </w:p>
    <w:p w14:paraId="0732B126">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2）电子交易平台应用或数据库出现错误，不能进行正常操作的；</w:t>
      </w:r>
    </w:p>
    <w:p w14:paraId="0764AE06">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3）电子交易平台发现严重安全漏洞，有潜在泄密危险的；</w:t>
      </w:r>
    </w:p>
    <w:p w14:paraId="66BF9550">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4）病毒发作导致不能进行正常操作的；</w:t>
      </w:r>
    </w:p>
    <w:p w14:paraId="4B103647">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5）其他无法保证电子交易的公平、公正和安全的情况。</w:t>
      </w:r>
    </w:p>
    <w:p w14:paraId="2F3E8D73">
      <w:pPr>
        <w:snapToGrid w:val="0"/>
        <w:spacing w:line="460" w:lineRule="atLeast"/>
        <w:ind w:firstLine="433" w:firstLineChars="196"/>
        <w:rPr>
          <w:rFonts w:ascii="宋体" w:hAnsi="宋体" w:cs="Arial"/>
          <w:b/>
          <w:color w:val="auto"/>
          <w:sz w:val="22"/>
          <w:szCs w:val="22"/>
        </w:rPr>
      </w:pPr>
      <w:r>
        <w:rPr>
          <w:rFonts w:ascii="宋体" w:hAnsi="宋体" w:cs="Arial"/>
          <w:b/>
          <w:color w:val="auto"/>
          <w:sz w:val="22"/>
          <w:szCs w:val="22"/>
        </w:rPr>
        <w:t>出现前款规定情形，不影响采购公平、公正性的，采购组织机构可以待上述情形消除后继续组织电子交易活动；影响或可能影响采购公平、公正性的，应当重新采购。</w:t>
      </w:r>
    </w:p>
    <w:p w14:paraId="0B7E2415">
      <w:pPr>
        <w:pStyle w:val="4"/>
        <w:spacing w:line="440" w:lineRule="atLeast"/>
        <w:jc w:val="left"/>
        <w:rPr>
          <w:rFonts w:ascii="宋体" w:hAnsi="宋体"/>
          <w:b/>
          <w:bCs/>
          <w:color w:val="auto"/>
          <w:sz w:val="22"/>
          <w:szCs w:val="22"/>
        </w:rPr>
      </w:pPr>
      <w:bookmarkStart w:id="62" w:name="_Toc23063"/>
      <w:r>
        <w:rPr>
          <w:rFonts w:hint="eastAsia" w:ascii="宋体" w:hAnsi="宋体"/>
          <w:b/>
          <w:bCs/>
          <w:color w:val="auto"/>
          <w:sz w:val="22"/>
          <w:szCs w:val="22"/>
        </w:rPr>
        <w:t>六、授予合同</w:t>
      </w:r>
      <w:bookmarkEnd w:id="62"/>
    </w:p>
    <w:p w14:paraId="5F3DCE4C">
      <w:pPr>
        <w:pStyle w:val="26"/>
        <w:adjustRightInd w:val="0"/>
        <w:snapToGrid w:val="0"/>
        <w:spacing w:line="440" w:lineRule="atLeast"/>
        <w:ind w:firstLine="440" w:firstLineChars="200"/>
        <w:rPr>
          <w:rFonts w:hAnsi="宋体"/>
          <w:color w:val="auto"/>
          <w:sz w:val="22"/>
          <w:szCs w:val="22"/>
        </w:rPr>
      </w:pPr>
      <w:r>
        <w:rPr>
          <w:rFonts w:hint="eastAsia" w:hAnsi="宋体"/>
          <w:color w:val="auto"/>
          <w:sz w:val="22"/>
          <w:szCs w:val="22"/>
        </w:rPr>
        <w:t>1、决标</w:t>
      </w:r>
    </w:p>
    <w:p w14:paraId="78002B45">
      <w:pPr>
        <w:pStyle w:val="26"/>
        <w:adjustRightInd w:val="0"/>
        <w:snapToGrid w:val="0"/>
        <w:spacing w:line="440" w:lineRule="atLeast"/>
        <w:rPr>
          <w:rFonts w:hAnsi="宋体"/>
          <w:b/>
          <w:color w:val="auto"/>
          <w:sz w:val="22"/>
          <w:szCs w:val="22"/>
        </w:rPr>
      </w:pPr>
      <w:r>
        <w:rPr>
          <w:rFonts w:hint="eastAsia" w:hAnsi="宋体"/>
          <w:color w:val="auto"/>
          <w:sz w:val="22"/>
          <w:szCs w:val="22"/>
        </w:rPr>
        <w:t xml:space="preserve">    磋商结束后，磋商小组按照竞争性磋商文件确定的评审办法，确定成交供应商。</w:t>
      </w:r>
    </w:p>
    <w:p w14:paraId="22DB710E">
      <w:pPr>
        <w:pStyle w:val="26"/>
        <w:adjustRightInd w:val="0"/>
        <w:snapToGrid w:val="0"/>
        <w:spacing w:line="440" w:lineRule="atLeast"/>
        <w:rPr>
          <w:rFonts w:hAnsi="宋体"/>
          <w:color w:val="auto"/>
          <w:sz w:val="22"/>
          <w:szCs w:val="22"/>
        </w:rPr>
      </w:pPr>
      <w:r>
        <w:rPr>
          <w:rFonts w:hint="eastAsia" w:hAnsi="宋体"/>
          <w:color w:val="auto"/>
          <w:sz w:val="22"/>
          <w:szCs w:val="22"/>
        </w:rPr>
        <w:t xml:space="preserve">    2、成交通知书</w:t>
      </w:r>
    </w:p>
    <w:p w14:paraId="51D9D4C9">
      <w:pPr>
        <w:pStyle w:val="3"/>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2.1、评审结束后，采购代理机构在浙江政府采购网公告采购结果，同时发出成交通知书，成交公告期限为1个工作日。</w:t>
      </w:r>
    </w:p>
    <w:p w14:paraId="538FBA1F">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2.2、成交通知书对采购人和成交供应商具有法律约束力。成交通知书发出后，采购人改变成交结果或者成交供应商放弃成交资格的，应当承担法律责任。</w:t>
      </w:r>
    </w:p>
    <w:p w14:paraId="1C468137">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2.3、成交无效</w:t>
      </w:r>
    </w:p>
    <w:p w14:paraId="08AC3386">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1）发现成交供应商资格无效或成交供应商放弃成交或拒绝与采购人签订合同的,按相关规定执行。</w:t>
      </w:r>
    </w:p>
    <w:p w14:paraId="238C6049">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2）有《中华人民共和国政府采购法实施条例》第七十一条、第七十二条、第七十三条、第七十四条规定的违法行为之一，由政府采购监管部门依法处理。</w:t>
      </w:r>
    </w:p>
    <w:p w14:paraId="0B37225C">
      <w:pPr>
        <w:adjustRightInd w:val="0"/>
        <w:snapToGrid w:val="0"/>
        <w:spacing w:line="440" w:lineRule="atLeast"/>
        <w:rPr>
          <w:rFonts w:ascii="宋体" w:hAnsi="宋体"/>
          <w:color w:val="auto"/>
          <w:sz w:val="22"/>
          <w:szCs w:val="22"/>
        </w:rPr>
      </w:pPr>
      <w:r>
        <w:rPr>
          <w:rFonts w:hint="eastAsia" w:ascii="宋体" w:hAnsi="宋体"/>
          <w:color w:val="auto"/>
          <w:sz w:val="22"/>
          <w:szCs w:val="22"/>
        </w:rPr>
        <w:t xml:space="preserve">    3、磋商小组对未成交的供应商不作落标原因解释。</w:t>
      </w:r>
    </w:p>
    <w:p w14:paraId="68BD62D5">
      <w:pPr>
        <w:pStyle w:val="26"/>
        <w:adjustRightInd w:val="0"/>
        <w:snapToGrid w:val="0"/>
        <w:spacing w:line="440" w:lineRule="atLeast"/>
        <w:rPr>
          <w:rFonts w:hAnsi="宋体"/>
          <w:color w:val="auto"/>
          <w:sz w:val="22"/>
          <w:szCs w:val="22"/>
        </w:rPr>
      </w:pPr>
      <w:r>
        <w:rPr>
          <w:rFonts w:hint="eastAsia" w:hAnsi="宋体"/>
          <w:color w:val="auto"/>
          <w:sz w:val="22"/>
          <w:szCs w:val="22"/>
        </w:rPr>
        <w:t xml:space="preserve">    4、签订合同</w:t>
      </w:r>
    </w:p>
    <w:p w14:paraId="7FA7436C">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649F728E">
      <w:pPr>
        <w:adjustRightInd w:val="0"/>
        <w:snapToGrid w:val="0"/>
        <w:spacing w:line="440" w:lineRule="atLeast"/>
        <w:ind w:firstLine="440" w:firstLineChars="200"/>
        <w:rPr>
          <w:rFonts w:ascii="宋体" w:hAnsi="宋体"/>
          <w:color w:val="auto"/>
          <w:sz w:val="22"/>
          <w:szCs w:val="22"/>
        </w:rPr>
      </w:pPr>
      <w:r>
        <w:rPr>
          <w:rFonts w:hint="eastAsia" w:ascii="宋体" w:hAnsi="宋体"/>
          <w:color w:val="auto"/>
          <w:sz w:val="22"/>
          <w:szCs w:val="22"/>
        </w:rPr>
        <w:t>4.2、磋商文件、成交供应商的磋商响应文件及投标修改文件、评标过程中有关澄清文件及经双方签字的询标纪要（承诺）和成交通知书均作为合同附件。</w:t>
      </w:r>
    </w:p>
    <w:p w14:paraId="44F9CF14">
      <w:pPr>
        <w:pStyle w:val="26"/>
        <w:adjustRightInd w:val="0"/>
        <w:snapToGrid w:val="0"/>
        <w:spacing w:line="440" w:lineRule="atLeast"/>
        <w:rPr>
          <w:rFonts w:hAnsi="宋体"/>
          <w:color w:val="auto"/>
          <w:sz w:val="22"/>
          <w:szCs w:val="22"/>
        </w:rPr>
      </w:pPr>
      <w:r>
        <w:rPr>
          <w:rFonts w:hint="eastAsia" w:hAnsi="宋体"/>
          <w:color w:val="auto"/>
          <w:sz w:val="22"/>
          <w:szCs w:val="22"/>
        </w:rPr>
        <w:t xml:space="preserve">    4.3、拒签合同的责任</w:t>
      </w:r>
    </w:p>
    <w:p w14:paraId="5FBB1AAD">
      <w:pPr>
        <w:pStyle w:val="26"/>
        <w:adjustRightInd w:val="0"/>
        <w:snapToGrid w:val="0"/>
        <w:spacing w:line="440" w:lineRule="atLeast"/>
        <w:rPr>
          <w:rFonts w:hAnsi="宋体"/>
          <w:color w:val="auto"/>
          <w:sz w:val="22"/>
          <w:szCs w:val="22"/>
        </w:rPr>
      </w:pPr>
      <w:r>
        <w:rPr>
          <w:rFonts w:hint="eastAsia" w:hAnsi="宋体"/>
          <w:color w:val="auto"/>
          <w:sz w:val="22"/>
          <w:szCs w:val="22"/>
        </w:rPr>
        <w:t xml:space="preserve">   成交供应商接到成交通知书后，在规定时间内借故否认已经承诺的条件而拒签合同，以违约处理，并赔偿采购人由此造成的直接经济损失；采购人重新组织采购的，所需费用由原成交供应商承担。</w:t>
      </w:r>
    </w:p>
    <w:p w14:paraId="19239C34">
      <w:pPr>
        <w:pStyle w:val="26"/>
        <w:adjustRightInd w:val="0"/>
        <w:snapToGrid w:val="0"/>
        <w:spacing w:line="440" w:lineRule="atLeast"/>
        <w:rPr>
          <w:rFonts w:hAnsi="宋体"/>
          <w:color w:val="auto"/>
          <w:sz w:val="22"/>
          <w:szCs w:val="22"/>
        </w:rPr>
      </w:pPr>
      <w:r>
        <w:rPr>
          <w:rFonts w:hint="eastAsia" w:hAnsi="宋体"/>
          <w:color w:val="auto"/>
          <w:sz w:val="22"/>
          <w:szCs w:val="22"/>
        </w:rPr>
        <w:t xml:space="preserve">    5、履约保证金：本项目不作要求。</w:t>
      </w:r>
    </w:p>
    <w:p w14:paraId="33FB121E">
      <w:pPr>
        <w:pStyle w:val="26"/>
        <w:adjustRightInd w:val="0"/>
        <w:snapToGrid w:val="0"/>
        <w:spacing w:line="460" w:lineRule="atLeast"/>
        <w:ind w:firstLine="440" w:firstLineChars="200"/>
        <w:rPr>
          <w:rFonts w:hAnsi="宋体"/>
          <w:color w:val="auto"/>
          <w:sz w:val="22"/>
        </w:rPr>
      </w:pPr>
      <w:r>
        <w:rPr>
          <w:rFonts w:hint="eastAsia" w:hAnsi="宋体"/>
          <w:color w:val="auto"/>
          <w:sz w:val="22"/>
        </w:rPr>
        <w:t>6、招标代理费</w:t>
      </w:r>
    </w:p>
    <w:p w14:paraId="47BBDF9C">
      <w:pPr>
        <w:autoSpaceDE w:val="0"/>
        <w:autoSpaceDN w:val="0"/>
        <w:adjustRightInd w:val="0"/>
        <w:snapToGrid w:val="0"/>
        <w:spacing w:line="410" w:lineRule="atLeast"/>
        <w:ind w:firstLine="433" w:firstLineChars="197"/>
        <w:textAlignment w:val="bottom"/>
        <w:rPr>
          <w:rFonts w:ascii="宋体"/>
          <w:color w:val="auto"/>
          <w:sz w:val="22"/>
          <w:szCs w:val="22"/>
        </w:rPr>
      </w:pPr>
      <w:bookmarkStart w:id="63" w:name="_Hlk42256931"/>
      <w:r>
        <w:rPr>
          <w:rFonts w:ascii="宋体"/>
          <w:bCs/>
          <w:color w:val="auto"/>
          <w:sz w:val="22"/>
          <w:szCs w:val="22"/>
        </w:rPr>
        <w:t>6.1</w:t>
      </w:r>
      <w:r>
        <w:rPr>
          <w:rFonts w:hint="eastAsia" w:ascii="宋体"/>
          <w:bCs/>
          <w:color w:val="auto"/>
          <w:sz w:val="22"/>
          <w:szCs w:val="22"/>
        </w:rPr>
        <w:t>、中标（成交）供应商在领取中标（成交）通知书同时向代理机构支付相应的招标代理服务费，招标代理费按照《招标代理服务收费管理暂行办法》（计价格</w:t>
      </w:r>
      <w:r>
        <w:rPr>
          <w:rFonts w:ascii="宋体"/>
          <w:bCs/>
          <w:color w:val="auto"/>
          <w:sz w:val="22"/>
          <w:szCs w:val="22"/>
        </w:rPr>
        <w:t>[2002]1980</w:t>
      </w:r>
      <w:r>
        <w:rPr>
          <w:rFonts w:hint="eastAsia" w:ascii="宋体"/>
          <w:bCs/>
          <w:color w:val="auto"/>
          <w:sz w:val="22"/>
          <w:szCs w:val="22"/>
        </w:rPr>
        <w:t>号文件）规定收取。</w:t>
      </w:r>
    </w:p>
    <w:bookmarkEnd w:id="63"/>
    <w:p w14:paraId="3591F44F">
      <w:pPr>
        <w:autoSpaceDE w:val="0"/>
        <w:autoSpaceDN w:val="0"/>
        <w:adjustRightInd w:val="0"/>
        <w:snapToGrid w:val="0"/>
        <w:spacing w:line="420" w:lineRule="exact"/>
        <w:ind w:firstLine="440" w:firstLineChars="200"/>
        <w:textAlignment w:val="bottom"/>
        <w:rPr>
          <w:rFonts w:ascii="宋体" w:hAnsi="宋体" w:cs="Arial"/>
          <w:bCs/>
          <w:color w:val="auto"/>
          <w:sz w:val="22"/>
          <w:highlight w:val="none"/>
        </w:rPr>
      </w:pPr>
      <w:r>
        <w:rPr>
          <w:rFonts w:hint="eastAsia" w:ascii="宋体" w:hAnsi="宋体" w:cs="Arial"/>
          <w:bCs/>
          <w:color w:val="auto"/>
          <w:sz w:val="22"/>
          <w:highlight w:val="none"/>
        </w:rPr>
        <w:t>招标代理服务费汇入以下账号：</w:t>
      </w:r>
    </w:p>
    <w:p w14:paraId="1E2AE775">
      <w:pPr>
        <w:autoSpaceDE w:val="0"/>
        <w:autoSpaceDN w:val="0"/>
        <w:adjustRightInd w:val="0"/>
        <w:snapToGrid w:val="0"/>
        <w:spacing w:line="420" w:lineRule="exact"/>
        <w:ind w:firstLine="440" w:firstLineChars="200"/>
        <w:textAlignment w:val="bottom"/>
        <w:rPr>
          <w:rFonts w:hint="eastAsia" w:ascii="宋体" w:hAnsi="宋体" w:cs="Arial"/>
          <w:bCs/>
          <w:color w:val="auto"/>
          <w:sz w:val="22"/>
          <w:highlight w:val="none"/>
        </w:rPr>
      </w:pPr>
      <w:r>
        <w:rPr>
          <w:rFonts w:hint="eastAsia" w:ascii="宋体" w:hAnsi="宋体" w:cs="Arial"/>
          <w:bCs/>
          <w:color w:val="auto"/>
          <w:sz w:val="22"/>
          <w:highlight w:val="none"/>
        </w:rPr>
        <w:t>账户名称:杭州华旗招标代理有限公司温州第一分公司</w:t>
      </w:r>
    </w:p>
    <w:p w14:paraId="6788CEB6">
      <w:pPr>
        <w:autoSpaceDE w:val="0"/>
        <w:autoSpaceDN w:val="0"/>
        <w:adjustRightInd w:val="0"/>
        <w:snapToGrid w:val="0"/>
        <w:spacing w:line="420" w:lineRule="exact"/>
        <w:ind w:firstLine="440" w:firstLineChars="200"/>
        <w:textAlignment w:val="bottom"/>
        <w:rPr>
          <w:rFonts w:hint="eastAsia" w:ascii="宋体" w:hAnsi="宋体" w:cs="Arial"/>
          <w:bCs/>
          <w:color w:val="auto"/>
          <w:sz w:val="22"/>
          <w:highlight w:val="none"/>
        </w:rPr>
      </w:pPr>
      <w:r>
        <w:rPr>
          <w:rFonts w:hint="eastAsia" w:ascii="宋体" w:hAnsi="宋体" w:cs="Arial"/>
          <w:bCs/>
          <w:color w:val="auto"/>
          <w:sz w:val="22"/>
          <w:highlight w:val="none"/>
        </w:rPr>
        <w:t>账户号码:1203203009200204292</w:t>
      </w:r>
    </w:p>
    <w:p w14:paraId="652E4A85">
      <w:pPr>
        <w:autoSpaceDE w:val="0"/>
        <w:autoSpaceDN w:val="0"/>
        <w:adjustRightInd w:val="0"/>
        <w:snapToGrid w:val="0"/>
        <w:spacing w:line="420" w:lineRule="exact"/>
        <w:ind w:firstLine="440" w:firstLineChars="200"/>
        <w:textAlignment w:val="bottom"/>
        <w:rPr>
          <w:rFonts w:ascii="宋体" w:hAnsi="宋体" w:cs="Arial"/>
          <w:bCs/>
          <w:color w:val="auto"/>
          <w:sz w:val="22"/>
          <w:highlight w:val="none"/>
        </w:rPr>
      </w:pPr>
      <w:r>
        <w:rPr>
          <w:rFonts w:hint="eastAsia" w:ascii="宋体" w:hAnsi="宋体" w:cs="Arial"/>
          <w:bCs/>
          <w:color w:val="auto"/>
          <w:sz w:val="22"/>
          <w:highlight w:val="none"/>
        </w:rPr>
        <w:t>开户银行:工商银行温州市中支行</w:t>
      </w:r>
    </w:p>
    <w:p w14:paraId="50D54F01">
      <w:pPr>
        <w:pStyle w:val="37"/>
        <w:pageBreakBefore/>
        <w:adjustRightInd w:val="0"/>
        <w:snapToGrid w:val="0"/>
        <w:spacing w:line="460" w:lineRule="atLeast"/>
        <w:ind w:firstLine="853" w:firstLineChars="237"/>
        <w:jc w:val="center"/>
        <w:outlineLvl w:val="0"/>
        <w:rPr>
          <w:rFonts w:ascii="宋体" w:hAnsi="宋体" w:eastAsia="宋体"/>
          <w:color w:val="auto"/>
          <w:sz w:val="36"/>
        </w:rPr>
      </w:pPr>
      <w:bookmarkStart w:id="64" w:name="_Toc19242"/>
      <w:r>
        <w:rPr>
          <w:rFonts w:hint="eastAsia" w:ascii="宋体" w:hAnsi="宋体" w:eastAsia="宋体"/>
          <w:color w:val="auto"/>
          <w:sz w:val="36"/>
        </w:rPr>
        <w:t xml:space="preserve">第四部分   </w:t>
      </w:r>
      <w:r>
        <w:rPr>
          <w:rFonts w:ascii="宋体" w:hAnsi="宋体" w:eastAsia="宋体"/>
          <w:color w:val="auto"/>
          <w:sz w:val="36"/>
        </w:rPr>
        <w:t xml:space="preserve"> </w:t>
      </w:r>
      <w:r>
        <w:rPr>
          <w:rFonts w:hint="eastAsia" w:ascii="宋体" w:hAnsi="宋体" w:eastAsia="宋体"/>
          <w:color w:val="auto"/>
          <w:sz w:val="36"/>
        </w:rPr>
        <w:t>政府采购政策功能相关说明</w:t>
      </w:r>
      <w:bookmarkEnd w:id="64"/>
    </w:p>
    <w:p w14:paraId="38A29747">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一、小、微企业（含监狱企业、残疾人福利性单位）扶持政策说明</w:t>
      </w:r>
    </w:p>
    <w:p w14:paraId="768125A4">
      <w:pPr>
        <w:snapToGrid w:val="0"/>
        <w:spacing w:line="460" w:lineRule="atLeast"/>
        <w:ind w:firstLine="440" w:firstLineChars="200"/>
        <w:rPr>
          <w:rFonts w:ascii="宋体" w:hAnsi="宋体"/>
          <w:color w:val="auto"/>
          <w:sz w:val="22"/>
          <w:szCs w:val="22"/>
        </w:rPr>
      </w:pPr>
      <w:r>
        <w:rPr>
          <w:rFonts w:ascii="宋体" w:hAnsi="宋体"/>
          <w:color w:val="auto"/>
          <w:sz w:val="22"/>
          <w:szCs w:val="22"/>
        </w:rPr>
        <w:t>1、文件依据</w:t>
      </w:r>
    </w:p>
    <w:p w14:paraId="3C2F9971">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w:t>
      </w:r>
      <w:r>
        <w:rPr>
          <w:rFonts w:ascii="宋体" w:hAnsi="宋体"/>
          <w:bCs/>
          <w:color w:val="auto"/>
          <w:sz w:val="22"/>
          <w:szCs w:val="22"/>
        </w:rPr>
        <w:t>《政府采购促进中小企业发展管理办法》（财库﹝2020﹞46 号）</w:t>
      </w:r>
    </w:p>
    <w:p w14:paraId="10E5D219">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2）浙江省省财政厅《关于开展政府采购供应商网上注册登记和诚信管理工作的通知》（浙财采监〔2010〕8号)</w:t>
      </w:r>
    </w:p>
    <w:p w14:paraId="64F5F512">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）《工业和信息化部、国家统计局、国家发展和改革委员会、财政部关于印发中小企业划型标准规定的通知》（工信部联企业[2011]300号）</w:t>
      </w:r>
    </w:p>
    <w:p w14:paraId="6A63E99D">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）财政部、司法部《关于政府采购支持监狱企业发展有关问题的通知》（财库〔2014〕68号）</w:t>
      </w:r>
    </w:p>
    <w:p w14:paraId="51160B83">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）《财政部 民政部 中国残疾人联合会关于促进残疾人就业政府采购政策的通知》（财库〔2017〕 141号）</w:t>
      </w:r>
    </w:p>
    <w:p w14:paraId="7DE15977">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在政府采购活动中，供应商提供的货物、工程或者服务符合下列情形的，享受中小企业扶持政策：</w:t>
      </w:r>
    </w:p>
    <w:p w14:paraId="1D1C94FF">
      <w:pPr>
        <w:snapToGrid w:val="0"/>
        <w:spacing w:line="460" w:lineRule="atLeast"/>
        <w:ind w:firstLine="440" w:firstLineChars="200"/>
        <w:rPr>
          <w:rFonts w:ascii="宋体" w:hAnsi="宋体"/>
          <w:color w:val="auto"/>
          <w:sz w:val="22"/>
          <w:szCs w:val="22"/>
        </w:rPr>
      </w:pPr>
      <w:r>
        <w:rPr>
          <w:rFonts w:ascii="宋体" w:hAnsi="宋体"/>
          <w:color w:val="auto"/>
          <w:sz w:val="22"/>
          <w:szCs w:val="22"/>
        </w:rPr>
        <w:t>（</w:t>
      </w:r>
      <w:r>
        <w:rPr>
          <w:rFonts w:hint="eastAsia" w:ascii="宋体" w:hAnsi="宋体"/>
          <w:color w:val="auto"/>
          <w:sz w:val="22"/>
          <w:szCs w:val="22"/>
        </w:rPr>
        <w:t>1</w:t>
      </w:r>
      <w:r>
        <w:rPr>
          <w:rFonts w:ascii="宋体" w:hAnsi="宋体"/>
          <w:color w:val="auto"/>
          <w:sz w:val="22"/>
          <w:szCs w:val="22"/>
        </w:rPr>
        <w:t xml:space="preserve">）在货物采购项目中，货物由中小企业制造，即货物由中小企业生产且使用该中小企业商号或者注册商标； </w:t>
      </w:r>
    </w:p>
    <w:p w14:paraId="377596A7">
      <w:pPr>
        <w:snapToGrid w:val="0"/>
        <w:spacing w:line="460" w:lineRule="atLeast"/>
        <w:ind w:firstLine="440" w:firstLineChars="200"/>
        <w:rPr>
          <w:rFonts w:ascii="宋体" w:hAnsi="宋体"/>
          <w:color w:val="auto"/>
          <w:sz w:val="22"/>
          <w:szCs w:val="22"/>
        </w:rPr>
      </w:pPr>
      <w:r>
        <w:rPr>
          <w:rFonts w:ascii="宋体" w:hAnsi="宋体"/>
          <w:color w:val="auto"/>
          <w:sz w:val="22"/>
          <w:szCs w:val="22"/>
        </w:rPr>
        <w:t>（</w:t>
      </w:r>
      <w:r>
        <w:rPr>
          <w:rFonts w:hint="eastAsia" w:ascii="宋体" w:hAnsi="宋体"/>
          <w:color w:val="auto"/>
          <w:sz w:val="22"/>
          <w:szCs w:val="22"/>
        </w:rPr>
        <w:t>2</w:t>
      </w:r>
      <w:r>
        <w:rPr>
          <w:rFonts w:ascii="宋体" w:hAnsi="宋体"/>
          <w:color w:val="auto"/>
          <w:sz w:val="22"/>
          <w:szCs w:val="22"/>
        </w:rPr>
        <w:t xml:space="preserve">）在工程采购项目中，工程由中小企业承建，即工程施工单位为中小企业； </w:t>
      </w:r>
    </w:p>
    <w:p w14:paraId="73DF6B0A">
      <w:pPr>
        <w:snapToGrid w:val="0"/>
        <w:spacing w:line="460" w:lineRule="atLeast"/>
        <w:ind w:firstLine="440" w:firstLineChars="200"/>
        <w:rPr>
          <w:rFonts w:ascii="宋体" w:hAnsi="宋体"/>
          <w:color w:val="auto"/>
          <w:sz w:val="22"/>
          <w:szCs w:val="22"/>
        </w:rPr>
      </w:pPr>
      <w:r>
        <w:rPr>
          <w:rFonts w:ascii="宋体" w:hAnsi="宋体"/>
          <w:color w:val="auto"/>
          <w:sz w:val="22"/>
          <w:szCs w:val="22"/>
        </w:rPr>
        <w:t>（</w:t>
      </w:r>
      <w:r>
        <w:rPr>
          <w:rFonts w:hint="eastAsia" w:ascii="宋体" w:hAnsi="宋体"/>
          <w:color w:val="auto"/>
          <w:sz w:val="22"/>
          <w:szCs w:val="22"/>
        </w:rPr>
        <w:t>3</w:t>
      </w:r>
      <w:r>
        <w:rPr>
          <w:rFonts w:ascii="宋体" w:hAnsi="宋体"/>
          <w:color w:val="auto"/>
          <w:sz w:val="22"/>
          <w:szCs w:val="22"/>
        </w:rPr>
        <w:t xml:space="preserve">）在服务采购项目中，服务由中小企业承接，即提供服务的人员为中小企业依照《中华人民共和国劳动合同法》订立劳动合同的从业人员。 </w:t>
      </w:r>
    </w:p>
    <w:p w14:paraId="5655309A">
      <w:pPr>
        <w:snapToGrid w:val="0"/>
        <w:spacing w:line="460" w:lineRule="atLeast"/>
        <w:ind w:firstLine="440" w:firstLineChars="200"/>
        <w:rPr>
          <w:rFonts w:ascii="宋体" w:hAnsi="宋体"/>
          <w:color w:val="auto"/>
          <w:sz w:val="22"/>
          <w:szCs w:val="22"/>
        </w:rPr>
      </w:pPr>
      <w:r>
        <w:rPr>
          <w:rFonts w:ascii="宋体" w:hAnsi="宋体"/>
          <w:color w:val="auto"/>
          <w:sz w:val="22"/>
          <w:szCs w:val="22"/>
        </w:rPr>
        <w:t>在货物采购项目中，供应商提供的货物既有中小企业制造货物，也有大型企业制造货物的，不享受规定的中小企业扶持政策。</w:t>
      </w:r>
    </w:p>
    <w:p w14:paraId="1AA7ED87">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3、投标供应商享受小微企业价格折扣应提供以下证明材料（放在报价文件中）：</w:t>
      </w:r>
    </w:p>
    <w:p w14:paraId="3ADBADAB">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1）《中小企业声明函》（原件，加盖供应商公章，格式见附件1）</w:t>
      </w:r>
      <w:r>
        <w:rPr>
          <w:rFonts w:hint="eastAsia" w:ascii="宋体" w:hAnsi="宋体"/>
          <w:color w:val="auto"/>
          <w:sz w:val="22"/>
          <w:szCs w:val="22"/>
        </w:rPr>
        <w:t>；</w:t>
      </w:r>
    </w:p>
    <w:p w14:paraId="034DAE92">
      <w:pPr>
        <w:snapToGrid w:val="0"/>
        <w:spacing w:line="460" w:lineRule="atLeast"/>
        <w:ind w:firstLine="440" w:firstLineChars="200"/>
        <w:rPr>
          <w:rFonts w:ascii="宋体" w:hAnsi="宋体"/>
          <w:color w:val="auto"/>
          <w:sz w:val="22"/>
          <w:szCs w:val="22"/>
        </w:rPr>
      </w:pPr>
      <w:r>
        <w:rPr>
          <w:rFonts w:ascii="宋体" w:hAnsi="宋体"/>
          <w:color w:val="auto"/>
          <w:sz w:val="22"/>
          <w:szCs w:val="22"/>
        </w:rPr>
        <w:t>4、</w:t>
      </w:r>
      <w:r>
        <w:rPr>
          <w:rFonts w:hint="eastAsia" w:ascii="宋体" w:hAnsi="宋体"/>
          <w:color w:val="auto"/>
          <w:sz w:val="22"/>
          <w:szCs w:val="22"/>
        </w:rPr>
        <w:t>投标供应商</w:t>
      </w:r>
      <w:r>
        <w:rPr>
          <w:rFonts w:ascii="宋体" w:hAnsi="宋体"/>
          <w:color w:val="auto"/>
          <w:sz w:val="22"/>
          <w:szCs w:val="22"/>
        </w:rPr>
        <w:t>享受监狱企业价格折扣应提供以下证明材料（</w:t>
      </w:r>
      <w:r>
        <w:rPr>
          <w:rFonts w:hint="eastAsia" w:ascii="宋体" w:hAnsi="宋体"/>
          <w:color w:val="auto"/>
          <w:sz w:val="22"/>
          <w:szCs w:val="22"/>
        </w:rPr>
        <w:t>放在报价文件中，</w:t>
      </w:r>
      <w:r>
        <w:rPr>
          <w:rFonts w:ascii="宋体" w:hAnsi="宋体"/>
          <w:color w:val="auto"/>
          <w:sz w:val="22"/>
          <w:szCs w:val="22"/>
        </w:rPr>
        <w:t>不提供的不享受价格折扣）：</w:t>
      </w:r>
    </w:p>
    <w:p w14:paraId="1F595AC4">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1）监狱企业参加政府采购活动时，应当提供由省级及以上监狱管理局、戒毒管理局(含新疆生产建设兵团)出具的属于监狱企业的证明文件（</w:t>
      </w:r>
      <w:r>
        <w:rPr>
          <w:rFonts w:hint="eastAsia" w:ascii="宋体" w:hAnsi="宋体"/>
          <w:color w:val="auto"/>
          <w:sz w:val="22"/>
          <w:szCs w:val="22"/>
        </w:rPr>
        <w:t>扫描</w:t>
      </w:r>
      <w:r>
        <w:rPr>
          <w:rFonts w:ascii="宋体" w:hAnsi="宋体"/>
          <w:color w:val="auto"/>
          <w:sz w:val="22"/>
          <w:szCs w:val="22"/>
        </w:rPr>
        <w:t>件加盖供应商公章）。在政府采购活动中，监狱企业视同小型、微型企业，享受评审中价格扣除政策。</w:t>
      </w:r>
    </w:p>
    <w:p w14:paraId="6284FD17">
      <w:pPr>
        <w:snapToGrid w:val="0"/>
        <w:spacing w:line="460" w:lineRule="atLeast"/>
        <w:ind w:firstLine="440" w:firstLineChars="200"/>
        <w:rPr>
          <w:rFonts w:ascii="宋体" w:hAnsi="宋体"/>
          <w:color w:val="auto"/>
          <w:sz w:val="22"/>
          <w:szCs w:val="22"/>
        </w:rPr>
      </w:pPr>
      <w:r>
        <w:rPr>
          <w:rFonts w:ascii="宋体" w:hAnsi="宋体"/>
          <w:color w:val="auto"/>
          <w:sz w:val="22"/>
          <w:szCs w:val="22"/>
        </w:rPr>
        <w:t>5、</w:t>
      </w:r>
      <w:r>
        <w:rPr>
          <w:rFonts w:hint="eastAsia" w:ascii="宋体" w:hAnsi="宋体"/>
          <w:color w:val="auto"/>
          <w:sz w:val="22"/>
          <w:szCs w:val="22"/>
        </w:rPr>
        <w:t>投标供应商</w:t>
      </w:r>
      <w:r>
        <w:rPr>
          <w:rFonts w:ascii="宋体" w:hAnsi="宋体"/>
          <w:color w:val="auto"/>
          <w:sz w:val="22"/>
          <w:szCs w:val="22"/>
        </w:rPr>
        <w:t>享受残疾人福利性单位价格折扣应提供以下证明材料（</w:t>
      </w:r>
      <w:r>
        <w:rPr>
          <w:rFonts w:hint="eastAsia" w:ascii="宋体" w:hAnsi="宋体"/>
          <w:color w:val="auto"/>
          <w:sz w:val="22"/>
          <w:szCs w:val="22"/>
        </w:rPr>
        <w:t>放在报价文件中</w:t>
      </w:r>
      <w:r>
        <w:rPr>
          <w:rFonts w:ascii="宋体" w:hAnsi="宋体"/>
          <w:color w:val="auto"/>
          <w:sz w:val="22"/>
          <w:szCs w:val="22"/>
        </w:rPr>
        <w:t>，不提供的不享受价格折扣）：</w:t>
      </w:r>
    </w:p>
    <w:p w14:paraId="11D9B19B">
      <w:pPr>
        <w:snapToGrid w:val="0"/>
        <w:spacing w:line="460" w:lineRule="atLeast"/>
        <w:ind w:firstLine="440" w:firstLineChars="200"/>
        <w:rPr>
          <w:rFonts w:ascii="宋体" w:hAnsi="宋体"/>
          <w:color w:val="auto"/>
          <w:sz w:val="22"/>
          <w:szCs w:val="22"/>
        </w:rPr>
      </w:pPr>
      <w:r>
        <w:rPr>
          <w:rFonts w:hint="eastAsia" w:ascii="宋体" w:hAnsi="宋体"/>
          <w:color w:val="auto"/>
          <w:sz w:val="22"/>
          <w:szCs w:val="22"/>
        </w:rPr>
        <w:t>（</w:t>
      </w:r>
      <w:r>
        <w:rPr>
          <w:rFonts w:ascii="宋体" w:hAnsi="宋体"/>
          <w:color w:val="auto"/>
          <w:sz w:val="22"/>
          <w:szCs w:val="22"/>
        </w:rPr>
        <w:t>1）残疾人福利性单位声明函（原件，加盖投标供应商公章，格式见附件</w:t>
      </w:r>
      <w:r>
        <w:rPr>
          <w:rFonts w:hint="eastAsia" w:ascii="宋体" w:hAnsi="宋体"/>
          <w:color w:val="auto"/>
          <w:sz w:val="22"/>
          <w:szCs w:val="22"/>
        </w:rPr>
        <w:t>2。在政府采购活动中，残疾人福利性单位视同小型、微型企业，享受评审中价格扣除政策。</w:t>
      </w:r>
    </w:p>
    <w:p w14:paraId="0CCB1830">
      <w:pPr>
        <w:snapToGrid w:val="0"/>
        <w:spacing w:line="460" w:lineRule="atLeast"/>
        <w:ind w:firstLine="440" w:firstLineChars="200"/>
        <w:rPr>
          <w:rFonts w:ascii="宋体" w:hAnsi="宋体"/>
          <w:bCs/>
          <w:color w:val="auto"/>
          <w:sz w:val="22"/>
          <w:szCs w:val="22"/>
        </w:rPr>
      </w:pPr>
      <w:r>
        <w:rPr>
          <w:rFonts w:ascii="宋体" w:hAnsi="宋体"/>
          <w:bCs/>
          <w:color w:val="auto"/>
          <w:sz w:val="22"/>
          <w:szCs w:val="22"/>
        </w:rPr>
        <w:t>6、</w:t>
      </w:r>
      <w:r>
        <w:rPr>
          <w:rFonts w:hint="eastAsia" w:ascii="宋体" w:hAnsi="宋体"/>
          <w:bCs/>
          <w:color w:val="auto"/>
          <w:sz w:val="22"/>
          <w:szCs w:val="22"/>
        </w:rPr>
        <w:t>其他说明</w:t>
      </w:r>
    </w:p>
    <w:p w14:paraId="438FEC8C">
      <w:pPr>
        <w:snapToGrid w:val="0"/>
        <w:spacing w:line="460" w:lineRule="atLeast"/>
        <w:ind w:firstLine="440" w:firstLineChars="200"/>
        <w:rPr>
          <w:rFonts w:ascii="宋体" w:hAnsi="宋体"/>
          <w:bCs/>
          <w:color w:val="auto"/>
          <w:sz w:val="22"/>
          <w:szCs w:val="22"/>
        </w:rPr>
      </w:pPr>
      <w:r>
        <w:rPr>
          <w:rFonts w:hint="eastAsia" w:ascii="宋体" w:hAnsi="宋体"/>
          <w:bCs/>
          <w:color w:val="auto"/>
          <w:sz w:val="22"/>
          <w:szCs w:val="22"/>
        </w:rPr>
        <w:t>（</w:t>
      </w:r>
      <w:r>
        <w:rPr>
          <w:rFonts w:ascii="宋体" w:hAnsi="宋体"/>
          <w:bCs/>
          <w:color w:val="auto"/>
          <w:sz w:val="22"/>
          <w:szCs w:val="22"/>
        </w:rPr>
        <w:t>1）</w:t>
      </w:r>
      <w:r>
        <w:rPr>
          <w:rFonts w:hint="eastAsia" w:ascii="宋体" w:hAnsi="宋体"/>
          <w:bCs/>
          <w:color w:val="auto"/>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8540386">
      <w:pPr>
        <w:spacing w:line="460" w:lineRule="atLeast"/>
        <w:ind w:firstLine="440" w:firstLineChars="200"/>
        <w:rPr>
          <w:rFonts w:ascii="宋体" w:hAnsi="宋体"/>
          <w:color w:val="auto"/>
          <w:sz w:val="24"/>
        </w:rPr>
      </w:pPr>
      <w:r>
        <w:rPr>
          <w:rFonts w:ascii="宋体" w:hAnsi="宋体"/>
          <w:color w:val="auto"/>
          <w:sz w:val="22"/>
          <w:szCs w:val="22"/>
        </w:rPr>
        <w:br w:type="page"/>
      </w:r>
      <w:r>
        <w:rPr>
          <w:rFonts w:hint="eastAsia" w:ascii="宋体" w:hAnsi="宋体" w:cs="宋体"/>
          <w:color w:val="auto"/>
          <w:sz w:val="22"/>
        </w:rPr>
        <w:t>附件1：</w:t>
      </w:r>
    </w:p>
    <w:p w14:paraId="0E825854">
      <w:pPr>
        <w:spacing w:line="460" w:lineRule="atLeast"/>
        <w:jc w:val="center"/>
        <w:rPr>
          <w:rFonts w:ascii="宋体" w:hAnsi="宋体"/>
          <w:bCs/>
          <w:color w:val="auto"/>
          <w:sz w:val="32"/>
          <w:szCs w:val="32"/>
        </w:rPr>
      </w:pPr>
      <w:r>
        <w:rPr>
          <w:rFonts w:hint="eastAsia" w:ascii="宋体" w:hAnsi="宋体"/>
          <w:bCs/>
          <w:color w:val="auto"/>
          <w:sz w:val="32"/>
          <w:szCs w:val="32"/>
        </w:rPr>
        <w:t>中小企业声明函（服务）</w:t>
      </w:r>
    </w:p>
    <w:p w14:paraId="4467F3FB">
      <w:pPr>
        <w:spacing w:line="460" w:lineRule="atLeast"/>
        <w:ind w:firstLine="440" w:firstLineChars="200"/>
        <w:rPr>
          <w:rFonts w:ascii="宋体" w:hAnsi="宋体" w:cs="Courier New"/>
          <w:color w:val="auto"/>
          <w:sz w:val="22"/>
        </w:rPr>
      </w:pPr>
    </w:p>
    <w:p w14:paraId="2CDB6EC5">
      <w:pPr>
        <w:spacing w:line="460" w:lineRule="atLeast"/>
        <w:ind w:firstLine="440" w:firstLineChars="200"/>
        <w:rPr>
          <w:rFonts w:ascii="宋体" w:hAnsi="宋体" w:cs="Courier New"/>
          <w:b/>
          <w:color w:val="auto"/>
          <w:sz w:val="22"/>
        </w:rPr>
      </w:pPr>
      <w:r>
        <w:rPr>
          <w:rFonts w:ascii="宋体" w:hAnsi="宋体" w:cs="Courier New"/>
          <w:color w:val="auto"/>
          <w:sz w:val="22"/>
        </w:rPr>
        <w:t>本公司（联合体）郑重声明，根据《政府采购促进中小企业发展管理办法》（财库﹝2020﹞46 号）的规定</w:t>
      </w:r>
      <w:r>
        <w:rPr>
          <w:rFonts w:hint="eastAsia" w:ascii="宋体" w:hAnsi="宋体" w:cs="Courier New"/>
          <w:color w:val="auto"/>
          <w:sz w:val="22"/>
        </w:rPr>
        <w:t>，本公司</w:t>
      </w:r>
      <w:r>
        <w:rPr>
          <w:rFonts w:ascii="宋体" w:hAnsi="宋体" w:cs="Courier New"/>
          <w:color w:val="auto"/>
          <w:sz w:val="22"/>
        </w:rPr>
        <w:t>（联合体）参加（</w:t>
      </w:r>
      <w:r>
        <w:rPr>
          <w:rFonts w:ascii="宋体" w:hAnsi="宋体" w:cs="Courier New"/>
          <w:color w:val="auto"/>
          <w:sz w:val="22"/>
          <w:u w:val="single"/>
        </w:rPr>
        <w:t>单位名称</w:t>
      </w:r>
      <w:r>
        <w:rPr>
          <w:rFonts w:ascii="宋体" w:hAnsi="宋体" w:cs="Courier New"/>
          <w:color w:val="auto"/>
          <w:sz w:val="22"/>
        </w:rPr>
        <w:t>）的（</w:t>
      </w:r>
      <w:r>
        <w:rPr>
          <w:rFonts w:ascii="宋体" w:hAnsi="宋体" w:cs="Courier New"/>
          <w:color w:val="auto"/>
          <w:sz w:val="22"/>
          <w:u w:val="single"/>
        </w:rPr>
        <w:t>项目名称）</w:t>
      </w:r>
      <w:r>
        <w:rPr>
          <w:rFonts w:ascii="宋体" w:hAnsi="宋体" w:cs="Courier New"/>
          <w:color w:val="auto"/>
          <w:sz w:val="22"/>
        </w:rPr>
        <w:t>采购活动，服务全部由符合政策要求的中小企业承接。相关企业（含联合体中的中小企业、签订分包意向协议的中小企业）的具体情况如下：</w:t>
      </w:r>
    </w:p>
    <w:p w14:paraId="3AA09AC6">
      <w:pPr>
        <w:spacing w:line="460" w:lineRule="atLeast"/>
        <w:ind w:left="420" w:leftChars="200"/>
        <w:rPr>
          <w:rFonts w:ascii="宋体" w:hAnsi="宋体" w:cs="Courier New"/>
          <w:b/>
          <w:color w:val="auto"/>
          <w:sz w:val="22"/>
        </w:rPr>
      </w:pPr>
    </w:p>
    <w:p w14:paraId="54FF2E7C">
      <w:pPr>
        <w:spacing w:line="460" w:lineRule="atLeast"/>
        <w:ind w:firstLine="440" w:firstLineChars="200"/>
        <w:rPr>
          <w:rFonts w:ascii="宋体" w:hAnsi="宋体" w:cs="Courier New"/>
          <w:b/>
          <w:color w:val="auto"/>
          <w:sz w:val="22"/>
        </w:rPr>
      </w:pPr>
      <w:r>
        <w:rPr>
          <w:rFonts w:ascii="宋体" w:hAnsi="宋体" w:cs="Courier New"/>
          <w:color w:val="auto"/>
          <w:sz w:val="22"/>
        </w:rPr>
        <w:t>1</w:t>
      </w:r>
      <w:r>
        <w:rPr>
          <w:rFonts w:hint="eastAsia" w:ascii="宋体" w:hAnsi="宋体" w:cs="Courier New"/>
          <w:color w:val="auto"/>
          <w:sz w:val="22"/>
        </w:rPr>
        <w:t xml:space="preserve">. </w:t>
      </w:r>
      <w:r>
        <w:rPr>
          <w:rFonts w:hint="eastAsia" w:ascii="宋体" w:hAnsi="宋体" w:cs="Courier New"/>
          <w:color w:val="auto"/>
          <w:sz w:val="22"/>
          <w:u w:val="single"/>
        </w:rPr>
        <w:t xml:space="preserve">（标的名称） </w:t>
      </w:r>
      <w:r>
        <w:rPr>
          <w:rFonts w:hint="eastAsia" w:ascii="宋体" w:hAnsi="宋体" w:cs="Courier New"/>
          <w:color w:val="auto"/>
          <w:sz w:val="22"/>
        </w:rPr>
        <w:t>，属于</w:t>
      </w:r>
      <w:r>
        <w:rPr>
          <w:rFonts w:hint="eastAsia" w:ascii="宋体" w:hAnsi="宋体" w:cs="Courier New"/>
          <w:color w:val="auto"/>
          <w:sz w:val="22"/>
          <w:u w:val="single"/>
        </w:rPr>
        <w:t>（采购文件中明确的所属行业）</w:t>
      </w:r>
      <w:r>
        <w:rPr>
          <w:rFonts w:hint="eastAsia" w:ascii="宋体" w:hAnsi="宋体" w:cs="Courier New"/>
          <w:color w:val="auto"/>
          <w:sz w:val="22"/>
        </w:rPr>
        <w:t>；承接企业为</w:t>
      </w:r>
      <w:r>
        <w:rPr>
          <w:rFonts w:hint="eastAsia" w:ascii="宋体" w:hAnsi="宋体" w:cs="Courier New"/>
          <w:color w:val="auto"/>
          <w:sz w:val="22"/>
          <w:u w:val="single"/>
        </w:rPr>
        <w:t>（企业名称）</w:t>
      </w:r>
      <w:r>
        <w:rPr>
          <w:rFonts w:hint="eastAsia" w:ascii="宋体" w:hAnsi="宋体" w:cs="Courier New"/>
          <w:color w:val="auto"/>
          <w:sz w:val="22"/>
        </w:rPr>
        <w:t>，从业人员</w:t>
      </w:r>
      <w:r>
        <w:rPr>
          <w:rFonts w:hint="eastAsia" w:ascii="宋体" w:hAnsi="宋体" w:cs="Courier New"/>
          <w:color w:val="auto"/>
          <w:sz w:val="22"/>
          <w:u w:val="single"/>
        </w:rPr>
        <w:t xml:space="preserve">       </w:t>
      </w:r>
      <w:r>
        <w:rPr>
          <w:rFonts w:hint="eastAsia" w:ascii="宋体" w:hAnsi="宋体" w:cs="Courier New"/>
          <w:color w:val="auto"/>
          <w:sz w:val="22"/>
        </w:rPr>
        <w:t>人，营业收入为</w:t>
      </w:r>
      <w:r>
        <w:rPr>
          <w:rFonts w:hint="eastAsia" w:ascii="宋体" w:hAnsi="宋体" w:cs="Courier New"/>
          <w:color w:val="auto"/>
          <w:sz w:val="22"/>
          <w:u w:val="single"/>
        </w:rPr>
        <w:t xml:space="preserve">       </w:t>
      </w:r>
      <w:r>
        <w:rPr>
          <w:rFonts w:hint="eastAsia" w:ascii="宋体" w:hAnsi="宋体" w:cs="Courier New"/>
          <w:color w:val="auto"/>
          <w:sz w:val="22"/>
        </w:rPr>
        <w:t>万元，资产总额为</w:t>
      </w:r>
      <w:r>
        <w:rPr>
          <w:rFonts w:hint="eastAsia" w:ascii="宋体" w:hAnsi="宋体" w:cs="Courier New"/>
          <w:color w:val="auto"/>
          <w:sz w:val="22"/>
          <w:u w:val="single"/>
        </w:rPr>
        <w:t xml:space="preserve">       </w:t>
      </w:r>
      <w:r>
        <w:rPr>
          <w:rFonts w:hint="eastAsia" w:ascii="宋体" w:hAnsi="宋体" w:cs="Courier New"/>
          <w:color w:val="auto"/>
          <w:sz w:val="22"/>
        </w:rPr>
        <w:t>万元</w:t>
      </w:r>
      <w:r>
        <w:rPr>
          <w:rFonts w:hint="eastAsia" w:ascii="宋体" w:hAnsi="宋体" w:cs="Courier New"/>
          <w:color w:val="auto"/>
          <w:sz w:val="22"/>
          <w:vertAlign w:val="superscript"/>
        </w:rPr>
        <w:t>1</w:t>
      </w:r>
      <w:r>
        <w:rPr>
          <w:rFonts w:hint="eastAsia" w:ascii="宋体" w:hAnsi="宋体" w:cs="Courier New"/>
          <w:color w:val="auto"/>
          <w:sz w:val="22"/>
        </w:rPr>
        <w:t>，属于</w:t>
      </w:r>
      <w:r>
        <w:rPr>
          <w:rFonts w:hint="eastAsia" w:ascii="宋体" w:hAnsi="宋体" w:cs="Courier New"/>
          <w:color w:val="auto"/>
          <w:sz w:val="22"/>
          <w:u w:val="single"/>
        </w:rPr>
        <w:t xml:space="preserve">     （中型企业、小型企业、微型企业）</w:t>
      </w:r>
      <w:r>
        <w:rPr>
          <w:rFonts w:hint="eastAsia" w:ascii="宋体" w:hAnsi="宋体" w:cs="Courier New"/>
          <w:color w:val="auto"/>
          <w:sz w:val="22"/>
        </w:rPr>
        <w:t>；</w:t>
      </w:r>
    </w:p>
    <w:p w14:paraId="7A9BD9D4">
      <w:pPr>
        <w:spacing w:line="460" w:lineRule="atLeast"/>
        <w:ind w:firstLine="440" w:firstLineChars="200"/>
        <w:rPr>
          <w:rFonts w:ascii="宋体" w:hAnsi="宋体" w:cs="Courier New"/>
          <w:color w:val="auto"/>
          <w:sz w:val="22"/>
        </w:rPr>
      </w:pPr>
      <w:r>
        <w:rPr>
          <w:rFonts w:hint="eastAsia" w:ascii="宋体" w:hAnsi="宋体" w:cs="Courier New"/>
          <w:color w:val="auto"/>
          <w:sz w:val="22"/>
        </w:rPr>
        <w:t xml:space="preserve">2. </w:t>
      </w:r>
      <w:r>
        <w:rPr>
          <w:rFonts w:hint="eastAsia" w:ascii="宋体" w:hAnsi="宋体" w:cs="Courier New"/>
          <w:color w:val="auto"/>
          <w:sz w:val="22"/>
          <w:u w:val="single"/>
        </w:rPr>
        <w:t xml:space="preserve">（标的名称） </w:t>
      </w:r>
      <w:r>
        <w:rPr>
          <w:rFonts w:hint="eastAsia" w:ascii="宋体" w:hAnsi="宋体" w:cs="Courier New"/>
          <w:color w:val="auto"/>
          <w:sz w:val="22"/>
        </w:rPr>
        <w:t>，属于</w:t>
      </w:r>
      <w:r>
        <w:rPr>
          <w:rFonts w:hint="eastAsia" w:ascii="宋体" w:hAnsi="宋体" w:cs="Courier New"/>
          <w:color w:val="auto"/>
          <w:sz w:val="22"/>
          <w:u w:val="single"/>
        </w:rPr>
        <w:t>（采购文件中明确的所属行业）</w:t>
      </w:r>
      <w:r>
        <w:rPr>
          <w:rFonts w:hint="eastAsia" w:ascii="宋体" w:hAnsi="宋体" w:cs="Courier New"/>
          <w:color w:val="auto"/>
          <w:sz w:val="22"/>
        </w:rPr>
        <w:t>；承接企业为</w:t>
      </w:r>
      <w:r>
        <w:rPr>
          <w:rFonts w:hint="eastAsia" w:ascii="宋体" w:hAnsi="宋体" w:cs="Courier New"/>
          <w:color w:val="auto"/>
          <w:sz w:val="22"/>
          <w:u w:val="single"/>
        </w:rPr>
        <w:t>（企业名称）</w:t>
      </w:r>
      <w:r>
        <w:rPr>
          <w:rFonts w:hint="eastAsia" w:ascii="宋体" w:hAnsi="宋体" w:cs="Courier New"/>
          <w:color w:val="auto"/>
          <w:sz w:val="22"/>
        </w:rPr>
        <w:t>，从业人员</w:t>
      </w:r>
      <w:r>
        <w:rPr>
          <w:rFonts w:hint="eastAsia" w:ascii="宋体" w:hAnsi="宋体" w:cs="Courier New"/>
          <w:color w:val="auto"/>
          <w:sz w:val="22"/>
          <w:u w:val="single"/>
        </w:rPr>
        <w:t xml:space="preserve">       </w:t>
      </w:r>
      <w:r>
        <w:rPr>
          <w:rFonts w:hint="eastAsia" w:ascii="宋体" w:hAnsi="宋体" w:cs="Courier New"/>
          <w:color w:val="auto"/>
          <w:sz w:val="22"/>
        </w:rPr>
        <w:t>人，营业收入为</w:t>
      </w:r>
      <w:r>
        <w:rPr>
          <w:rFonts w:hint="eastAsia" w:ascii="宋体" w:hAnsi="宋体" w:cs="Courier New"/>
          <w:color w:val="auto"/>
          <w:sz w:val="22"/>
          <w:u w:val="single"/>
        </w:rPr>
        <w:t xml:space="preserve">       </w:t>
      </w:r>
      <w:r>
        <w:rPr>
          <w:rFonts w:hint="eastAsia" w:ascii="宋体" w:hAnsi="宋体" w:cs="Courier New"/>
          <w:color w:val="auto"/>
          <w:sz w:val="22"/>
        </w:rPr>
        <w:t>万元，资产总额为</w:t>
      </w:r>
      <w:r>
        <w:rPr>
          <w:rFonts w:hint="eastAsia" w:ascii="宋体" w:hAnsi="宋体" w:cs="Courier New"/>
          <w:color w:val="auto"/>
          <w:sz w:val="22"/>
          <w:u w:val="single"/>
        </w:rPr>
        <w:t xml:space="preserve">       </w:t>
      </w:r>
      <w:r>
        <w:rPr>
          <w:rFonts w:hint="eastAsia" w:ascii="宋体" w:hAnsi="宋体" w:cs="Courier New"/>
          <w:color w:val="auto"/>
          <w:sz w:val="22"/>
        </w:rPr>
        <w:t>万元，属于</w:t>
      </w:r>
      <w:r>
        <w:rPr>
          <w:rFonts w:hint="eastAsia" w:ascii="宋体" w:hAnsi="宋体" w:cs="Courier New"/>
          <w:color w:val="auto"/>
          <w:sz w:val="22"/>
          <w:u w:val="single"/>
        </w:rPr>
        <w:t xml:space="preserve">     （中型企业、小型企业、微型企业）</w:t>
      </w:r>
      <w:r>
        <w:rPr>
          <w:rFonts w:hint="eastAsia" w:ascii="宋体" w:hAnsi="宋体" w:cs="Courier New"/>
          <w:color w:val="auto"/>
          <w:sz w:val="22"/>
        </w:rPr>
        <w:t>；</w:t>
      </w:r>
    </w:p>
    <w:p w14:paraId="44FFA758">
      <w:pPr>
        <w:spacing w:line="460" w:lineRule="atLeast"/>
        <w:ind w:firstLine="440" w:firstLineChars="200"/>
        <w:rPr>
          <w:rFonts w:ascii="宋体" w:hAnsi="宋体" w:cs="Courier New"/>
          <w:b/>
          <w:color w:val="auto"/>
          <w:sz w:val="22"/>
        </w:rPr>
      </w:pPr>
      <w:r>
        <w:rPr>
          <w:rFonts w:hint="eastAsia" w:ascii="宋体" w:hAnsi="宋体" w:cs="Courier New"/>
          <w:color w:val="auto"/>
          <w:sz w:val="22"/>
        </w:rPr>
        <w:t>  </w:t>
      </w:r>
      <w:r>
        <w:rPr>
          <w:rFonts w:ascii="宋体" w:hAnsi="宋体" w:cs="Courier New"/>
          <w:color w:val="auto"/>
          <w:sz w:val="22"/>
        </w:rPr>
        <w:t>……</w:t>
      </w:r>
    </w:p>
    <w:p w14:paraId="3E727A66">
      <w:pPr>
        <w:spacing w:line="460" w:lineRule="atLeast"/>
        <w:rPr>
          <w:rFonts w:ascii="宋体" w:hAnsi="宋体" w:cs="Courier New"/>
          <w:b/>
          <w:color w:val="auto"/>
          <w:sz w:val="22"/>
        </w:rPr>
      </w:pPr>
    </w:p>
    <w:p w14:paraId="27EA954C">
      <w:pPr>
        <w:spacing w:line="460" w:lineRule="atLeast"/>
        <w:ind w:firstLine="440" w:firstLineChars="200"/>
        <w:rPr>
          <w:rFonts w:ascii="宋体" w:hAnsi="宋体" w:cs="Courier New"/>
          <w:b/>
          <w:color w:val="auto"/>
          <w:sz w:val="22"/>
        </w:rPr>
      </w:pPr>
      <w:r>
        <w:rPr>
          <w:rFonts w:ascii="宋体" w:hAnsi="宋体" w:cs="Courier New"/>
          <w:color w:val="auto"/>
          <w:sz w:val="22"/>
        </w:rPr>
        <w:t xml:space="preserve">以上企业，不属于大企业的分支机构，不存在控股股东为大企业的情形，也不存在与大企业的负责人为同一人的情形。 </w:t>
      </w:r>
    </w:p>
    <w:p w14:paraId="67CE0D7E">
      <w:pPr>
        <w:spacing w:line="460" w:lineRule="atLeast"/>
        <w:ind w:firstLine="440" w:firstLineChars="200"/>
        <w:rPr>
          <w:rFonts w:ascii="宋体" w:hAnsi="宋体" w:cs="Courier New"/>
          <w:b/>
          <w:color w:val="auto"/>
          <w:sz w:val="22"/>
        </w:rPr>
      </w:pPr>
      <w:r>
        <w:rPr>
          <w:rFonts w:ascii="宋体" w:hAnsi="宋体" w:cs="Courier New"/>
          <w:color w:val="auto"/>
          <w:sz w:val="22"/>
        </w:rPr>
        <w:t xml:space="preserve">本企业对上述声明内容的真实性负责。如有虚假，将依法承担相应责任。 </w:t>
      </w:r>
    </w:p>
    <w:p w14:paraId="35AB7259">
      <w:pPr>
        <w:spacing w:line="460" w:lineRule="atLeast"/>
        <w:rPr>
          <w:rFonts w:ascii="宋体" w:hAnsi="宋体" w:cs="Courier New"/>
          <w:b/>
          <w:color w:val="auto"/>
          <w:sz w:val="22"/>
        </w:rPr>
      </w:pPr>
    </w:p>
    <w:p w14:paraId="7082F6B1">
      <w:pPr>
        <w:spacing w:line="460" w:lineRule="atLeast"/>
        <w:jc w:val="center"/>
        <w:rPr>
          <w:rFonts w:ascii="宋体" w:hAnsi="宋体" w:cs="Courier New"/>
          <w:color w:val="auto"/>
          <w:sz w:val="22"/>
        </w:rPr>
      </w:pPr>
      <w:r>
        <w:rPr>
          <w:rFonts w:hint="eastAsia" w:ascii="宋体" w:hAnsi="宋体" w:cs="Courier New"/>
          <w:color w:val="auto"/>
          <w:sz w:val="22"/>
        </w:rPr>
        <w:t xml:space="preserve"> </w:t>
      </w:r>
      <w:r>
        <w:rPr>
          <w:rFonts w:ascii="宋体" w:hAnsi="宋体" w:cs="Courier New"/>
          <w:color w:val="auto"/>
          <w:sz w:val="22"/>
        </w:rPr>
        <w:t xml:space="preserve">                         </w:t>
      </w:r>
      <w:r>
        <w:rPr>
          <w:rFonts w:hint="eastAsia" w:ascii="宋体" w:hAnsi="宋体" w:cs="Courier New"/>
          <w:color w:val="auto"/>
          <w:sz w:val="22"/>
        </w:rPr>
        <w:t>投标供应商名称（盖章）：    </w:t>
      </w:r>
    </w:p>
    <w:p w14:paraId="78E0FC9E">
      <w:pPr>
        <w:spacing w:line="460" w:lineRule="atLeast"/>
        <w:jc w:val="center"/>
        <w:rPr>
          <w:rFonts w:ascii="宋体" w:hAnsi="宋体" w:cs="Courier New"/>
          <w:color w:val="auto"/>
          <w:sz w:val="22"/>
        </w:rPr>
      </w:pPr>
      <w:r>
        <w:rPr>
          <w:rFonts w:hint="eastAsia" w:ascii="宋体" w:hAnsi="宋体" w:cs="Courier New"/>
          <w:color w:val="auto"/>
          <w:sz w:val="22"/>
        </w:rPr>
        <w:t>日期：</w:t>
      </w:r>
    </w:p>
    <w:p w14:paraId="1A71485F">
      <w:pPr>
        <w:spacing w:line="440" w:lineRule="atLeast"/>
        <w:rPr>
          <w:rFonts w:ascii="宋体" w:hAnsi="宋体" w:cs="Courier New"/>
          <w:color w:val="auto"/>
          <w:sz w:val="22"/>
        </w:rPr>
      </w:pPr>
    </w:p>
    <w:p w14:paraId="0469944C">
      <w:pPr>
        <w:spacing w:line="440" w:lineRule="atLeast"/>
        <w:rPr>
          <w:rFonts w:ascii="宋体" w:hAnsi="宋体" w:cs="Courier New"/>
          <w:color w:val="auto"/>
          <w:sz w:val="22"/>
        </w:rPr>
      </w:pPr>
    </w:p>
    <w:p w14:paraId="6369A493">
      <w:pPr>
        <w:spacing w:line="440" w:lineRule="atLeast"/>
        <w:rPr>
          <w:rFonts w:ascii="宋体" w:hAnsi="宋体" w:cs="Courier New"/>
          <w:b/>
          <w:bCs/>
          <w:color w:val="auto"/>
          <w:sz w:val="22"/>
        </w:rPr>
      </w:pPr>
      <w:r>
        <w:rPr>
          <w:rFonts w:ascii="宋体" w:hAnsi="宋体" w:cs="Courier New"/>
          <w:color w:val="auto"/>
          <w:sz w:val="22"/>
        </w:rPr>
        <w:t xml:space="preserve">   </w:t>
      </w:r>
      <w:r>
        <w:rPr>
          <w:rFonts w:ascii="宋体" w:hAnsi="宋体" w:cs="Courier New"/>
          <w:bCs/>
          <w:color w:val="auto"/>
          <w:sz w:val="22"/>
        </w:rPr>
        <w:t xml:space="preserve"> </w:t>
      </w:r>
      <w:r>
        <w:rPr>
          <w:rFonts w:hint="eastAsia" w:ascii="宋体" w:hAnsi="宋体" w:cs="Courier New"/>
          <w:bCs/>
          <w:color w:val="auto"/>
          <w:sz w:val="22"/>
        </w:rPr>
        <w:t>说明：</w:t>
      </w:r>
    </w:p>
    <w:p w14:paraId="1B92EE07">
      <w:pPr>
        <w:spacing w:line="440" w:lineRule="atLeast"/>
        <w:rPr>
          <w:rFonts w:ascii="宋体" w:hAnsi="宋体" w:cs="Courier New"/>
          <w:b/>
          <w:bCs/>
          <w:color w:val="auto"/>
          <w:sz w:val="22"/>
        </w:rPr>
      </w:pPr>
      <w:r>
        <w:rPr>
          <w:rFonts w:ascii="宋体" w:hAnsi="宋体" w:cs="Courier New"/>
          <w:bCs/>
          <w:color w:val="auto"/>
          <w:sz w:val="22"/>
        </w:rPr>
        <w:t xml:space="preserve">    1</w:t>
      </w:r>
      <w:r>
        <w:rPr>
          <w:rFonts w:hint="eastAsia" w:ascii="宋体" w:hAnsi="宋体" w:cs="Courier New"/>
          <w:bCs/>
          <w:color w:val="auto"/>
          <w:sz w:val="22"/>
        </w:rPr>
        <w:t>、从业人员、营业收入、资产总额填报上一年度数据，无上一年度数据的新成立企业可不填报。</w:t>
      </w:r>
    </w:p>
    <w:p w14:paraId="636E128E">
      <w:pPr>
        <w:spacing w:line="440" w:lineRule="atLeast"/>
        <w:rPr>
          <w:rFonts w:ascii="宋体" w:hAnsi="宋体" w:cs="Courier New"/>
          <w:b/>
          <w:bCs/>
          <w:color w:val="auto"/>
          <w:sz w:val="22"/>
        </w:rPr>
      </w:pPr>
      <w:r>
        <w:rPr>
          <w:rFonts w:ascii="宋体" w:hAnsi="宋体" w:cs="Courier New"/>
          <w:bCs/>
          <w:color w:val="auto"/>
          <w:sz w:val="22"/>
        </w:rPr>
        <w:t xml:space="preserve">    2</w:t>
      </w:r>
      <w:r>
        <w:rPr>
          <w:rFonts w:hint="eastAsia" w:ascii="宋体" w:hAnsi="宋体" w:cs="Courier New"/>
          <w:bCs/>
          <w:color w:val="auto"/>
          <w:sz w:val="22"/>
        </w:rPr>
        <w:t>、如中标（成交），将在采购结果公告中将此中小企业声明函予以公示，接受社会监督。</w:t>
      </w:r>
    </w:p>
    <w:p w14:paraId="517BB6AD">
      <w:pPr>
        <w:spacing w:line="440" w:lineRule="atLeast"/>
        <w:rPr>
          <w:rFonts w:ascii="宋体" w:hAnsi="宋体" w:cs="Courier New"/>
          <w:color w:val="auto"/>
          <w:sz w:val="22"/>
        </w:rPr>
      </w:pPr>
    </w:p>
    <w:p w14:paraId="5916A6CD">
      <w:pPr>
        <w:spacing w:line="440" w:lineRule="atLeast"/>
        <w:rPr>
          <w:rFonts w:ascii="宋体" w:hAnsi="宋体" w:cs="宋体"/>
          <w:color w:val="auto"/>
          <w:sz w:val="22"/>
        </w:rPr>
      </w:pPr>
    </w:p>
    <w:p w14:paraId="74BE812E">
      <w:pPr>
        <w:spacing w:line="440" w:lineRule="atLeast"/>
        <w:rPr>
          <w:rFonts w:ascii="宋体" w:hAnsi="宋体" w:cs="宋体"/>
          <w:color w:val="auto"/>
          <w:sz w:val="22"/>
        </w:rPr>
      </w:pPr>
    </w:p>
    <w:p w14:paraId="756D07E0">
      <w:pPr>
        <w:spacing w:line="440" w:lineRule="atLeast"/>
        <w:rPr>
          <w:rFonts w:ascii="宋体" w:hAnsi="宋体" w:cs="宋体"/>
          <w:color w:val="auto"/>
          <w:sz w:val="22"/>
        </w:rPr>
      </w:pPr>
    </w:p>
    <w:p w14:paraId="096D4F8E">
      <w:pPr>
        <w:spacing w:line="460" w:lineRule="exact"/>
        <w:rPr>
          <w:rFonts w:ascii="宋体" w:hAnsi="宋体" w:cs="宋体"/>
          <w:color w:val="auto"/>
          <w:sz w:val="22"/>
        </w:rPr>
      </w:pPr>
      <w:r>
        <w:rPr>
          <w:rFonts w:ascii="宋体" w:hAnsi="宋体" w:cs="宋体"/>
          <w:color w:val="auto"/>
          <w:sz w:val="22"/>
        </w:rPr>
        <w:br w:type="page"/>
      </w:r>
      <w:r>
        <w:rPr>
          <w:rFonts w:hint="eastAsia" w:ascii="宋体" w:hAnsi="宋体" w:cs="宋体"/>
          <w:color w:val="auto"/>
          <w:sz w:val="22"/>
        </w:rPr>
        <w:t>附件2</w:t>
      </w:r>
    </w:p>
    <w:p w14:paraId="720A23E3">
      <w:pPr>
        <w:spacing w:line="460" w:lineRule="exact"/>
        <w:jc w:val="center"/>
        <w:rPr>
          <w:rFonts w:ascii="宋体" w:hAnsi="宋体" w:cs="宋体"/>
          <w:color w:val="auto"/>
          <w:sz w:val="28"/>
          <w:szCs w:val="32"/>
        </w:rPr>
      </w:pPr>
      <w:bookmarkStart w:id="65" w:name="OLE_LINK14"/>
      <w:bookmarkStart w:id="66" w:name="OLE_LINK13"/>
      <w:r>
        <w:rPr>
          <w:rFonts w:hint="eastAsia" w:ascii="宋体" w:hAnsi="宋体" w:cs="宋体"/>
          <w:color w:val="auto"/>
          <w:sz w:val="28"/>
          <w:szCs w:val="32"/>
        </w:rPr>
        <w:t>残疾人福利性单位声明函</w:t>
      </w:r>
    </w:p>
    <w:bookmarkEnd w:id="65"/>
    <w:bookmarkEnd w:id="66"/>
    <w:p w14:paraId="100DE0CA">
      <w:pPr>
        <w:spacing w:line="588" w:lineRule="exact"/>
        <w:rPr>
          <w:rFonts w:ascii="宋体" w:hAnsi="宋体"/>
          <w:color w:val="auto"/>
          <w:spacing w:val="6"/>
          <w:sz w:val="30"/>
          <w:szCs w:val="30"/>
        </w:rPr>
      </w:pPr>
    </w:p>
    <w:p w14:paraId="301E4A50">
      <w:pPr>
        <w:spacing w:line="588" w:lineRule="exact"/>
        <w:ind w:firstLine="440" w:firstLineChars="200"/>
        <w:rPr>
          <w:rFonts w:ascii="宋体" w:hAnsi="宋体" w:cs="宋体"/>
          <w:color w:val="auto"/>
          <w:sz w:val="22"/>
        </w:rPr>
      </w:pPr>
      <w:r>
        <w:rPr>
          <w:rFonts w:hint="eastAsia" w:ascii="宋体" w:hAnsi="宋体" w:cs="宋体"/>
          <w:color w:val="auto"/>
          <w:sz w:val="22"/>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color w:val="auto"/>
          <w:sz w:val="22"/>
        </w:rPr>
        <w:t>______单位的______项目采购活动提供本单位制造的货物（由本单位承担工程/提供服务），或者提供其他残疾人福利性单位制造的货物（不包括使用非残疾人福利性单位注册商标的货物）。</w:t>
      </w:r>
    </w:p>
    <w:p w14:paraId="55B7ADE0">
      <w:pPr>
        <w:spacing w:line="588" w:lineRule="exact"/>
        <w:ind w:firstLine="440" w:firstLineChars="200"/>
        <w:rPr>
          <w:rFonts w:ascii="宋体" w:hAnsi="宋体" w:cs="宋体"/>
          <w:color w:val="auto"/>
          <w:sz w:val="22"/>
        </w:rPr>
      </w:pPr>
      <w:r>
        <w:rPr>
          <w:rFonts w:hint="eastAsia" w:ascii="宋体" w:hAnsi="宋体" w:cs="宋体"/>
          <w:color w:val="auto"/>
          <w:sz w:val="22"/>
        </w:rPr>
        <w:t>本单位对上述声明的真实性负责。如有虚假，将依法承担相应责任。</w:t>
      </w:r>
    </w:p>
    <w:p w14:paraId="2D61DD92">
      <w:pPr>
        <w:spacing w:line="588" w:lineRule="exact"/>
        <w:ind w:firstLine="624" w:firstLineChars="200"/>
        <w:rPr>
          <w:rFonts w:ascii="宋体" w:hAnsi="宋体"/>
          <w:color w:val="auto"/>
          <w:spacing w:val="6"/>
          <w:sz w:val="30"/>
          <w:szCs w:val="30"/>
        </w:rPr>
      </w:pPr>
    </w:p>
    <w:p w14:paraId="4D4E9AB6">
      <w:pPr>
        <w:spacing w:line="588" w:lineRule="exact"/>
        <w:ind w:firstLine="624" w:firstLineChars="200"/>
        <w:rPr>
          <w:rFonts w:ascii="宋体" w:hAnsi="宋体"/>
          <w:color w:val="auto"/>
          <w:spacing w:val="6"/>
          <w:sz w:val="30"/>
          <w:szCs w:val="30"/>
        </w:rPr>
      </w:pPr>
    </w:p>
    <w:p w14:paraId="108F6683">
      <w:pPr>
        <w:spacing w:line="460" w:lineRule="atLeast"/>
        <w:rPr>
          <w:rFonts w:ascii="宋体" w:hAnsi="宋体" w:cs="宋体"/>
          <w:color w:val="auto"/>
          <w:sz w:val="22"/>
        </w:rPr>
      </w:pPr>
      <w:r>
        <w:rPr>
          <w:rFonts w:hint="eastAsia" w:ascii="宋体" w:hAnsi="宋体" w:cs="宋体"/>
          <w:color w:val="auto"/>
          <w:sz w:val="22"/>
        </w:rPr>
        <w:t>供应商名称（盖章）：                </w:t>
      </w:r>
    </w:p>
    <w:p w14:paraId="7684F698">
      <w:pPr>
        <w:spacing w:line="460" w:lineRule="atLeast"/>
        <w:rPr>
          <w:rFonts w:ascii="宋体" w:hAnsi="宋体" w:cs="宋体"/>
          <w:color w:val="auto"/>
          <w:sz w:val="22"/>
        </w:rPr>
      </w:pPr>
      <w:r>
        <w:rPr>
          <w:rFonts w:hint="eastAsia" w:ascii="宋体" w:hAnsi="宋体" w:cs="宋体"/>
          <w:color w:val="auto"/>
          <w:sz w:val="22"/>
        </w:rPr>
        <w:t>日期：</w:t>
      </w:r>
    </w:p>
    <w:p w14:paraId="5DD4F245">
      <w:pPr>
        <w:tabs>
          <w:tab w:val="left" w:pos="4860"/>
        </w:tabs>
        <w:spacing w:line="588" w:lineRule="exact"/>
        <w:ind w:right="1560" w:firstLine="624" w:firstLineChars="200"/>
        <w:jc w:val="center"/>
        <w:rPr>
          <w:rFonts w:ascii="宋体" w:hAnsi="宋体"/>
          <w:color w:val="auto"/>
          <w:spacing w:val="6"/>
          <w:sz w:val="30"/>
          <w:szCs w:val="30"/>
        </w:rPr>
      </w:pPr>
    </w:p>
    <w:p w14:paraId="354709DB">
      <w:pPr>
        <w:tabs>
          <w:tab w:val="left" w:pos="4860"/>
        </w:tabs>
        <w:spacing w:line="588" w:lineRule="exact"/>
        <w:ind w:right="1560" w:firstLine="624" w:firstLineChars="200"/>
        <w:jc w:val="center"/>
        <w:rPr>
          <w:rFonts w:ascii="宋体" w:hAnsi="宋体"/>
          <w:color w:val="auto"/>
          <w:spacing w:val="6"/>
          <w:sz w:val="30"/>
          <w:szCs w:val="30"/>
        </w:rPr>
      </w:pPr>
    </w:p>
    <w:p w14:paraId="4E5D406E">
      <w:pPr>
        <w:tabs>
          <w:tab w:val="left" w:pos="4860"/>
        </w:tabs>
        <w:spacing w:line="588" w:lineRule="exact"/>
        <w:ind w:right="1560"/>
        <w:jc w:val="left"/>
        <w:rPr>
          <w:rFonts w:ascii="宋体" w:hAnsi="宋体"/>
          <w:color w:val="auto"/>
          <w:sz w:val="22"/>
          <w:szCs w:val="22"/>
        </w:rPr>
      </w:pPr>
      <w:r>
        <w:rPr>
          <w:rFonts w:hint="eastAsia" w:ascii="宋体" w:hAnsi="宋体"/>
          <w:color w:val="auto"/>
          <w:sz w:val="22"/>
          <w:szCs w:val="22"/>
        </w:rPr>
        <w:t>备注说明：</w:t>
      </w:r>
    </w:p>
    <w:p w14:paraId="1B79F18E">
      <w:pPr>
        <w:spacing w:line="588" w:lineRule="exact"/>
        <w:ind w:firstLine="440" w:firstLineChars="200"/>
        <w:rPr>
          <w:rFonts w:ascii="宋体" w:hAnsi="宋体" w:cs="宋体"/>
          <w:color w:val="auto"/>
          <w:sz w:val="22"/>
        </w:rPr>
      </w:pPr>
      <w:r>
        <w:rPr>
          <w:rFonts w:hint="eastAsia" w:ascii="宋体" w:hAnsi="宋体" w:cs="宋体"/>
          <w:color w:val="auto"/>
          <w:sz w:val="22"/>
        </w:rPr>
        <w:t>1、如中标（成交），将在成交公告中将此残疾人福利性单位声明函予以公示，接受社会监督；</w:t>
      </w:r>
    </w:p>
    <w:p w14:paraId="1508381C">
      <w:pPr>
        <w:snapToGrid w:val="0"/>
        <w:spacing w:line="460" w:lineRule="atLeast"/>
        <w:ind w:firstLine="440" w:firstLineChars="200"/>
        <w:rPr>
          <w:rFonts w:ascii="宋体" w:hAnsi="宋体" w:cs="宋体"/>
          <w:color w:val="auto"/>
          <w:sz w:val="22"/>
        </w:rPr>
      </w:pPr>
      <w:r>
        <w:rPr>
          <w:rFonts w:ascii="宋体" w:hAnsi="宋体" w:cs="宋体"/>
          <w:color w:val="auto"/>
          <w:sz w:val="22"/>
        </w:rPr>
        <w:t>2</w:t>
      </w:r>
      <w:r>
        <w:rPr>
          <w:rFonts w:hint="eastAsia" w:ascii="宋体" w:hAnsi="宋体" w:cs="宋体"/>
          <w:color w:val="auto"/>
          <w:sz w:val="22"/>
        </w:rPr>
        <w:t>、供应商提供的《残疾人福利性单位声明函》与事实不符的，依照《政府采购法》第七十七条第一款的规定追究法律责任。</w:t>
      </w:r>
    </w:p>
    <w:p w14:paraId="3AB18B44">
      <w:pPr>
        <w:snapToGrid w:val="0"/>
        <w:spacing w:line="460" w:lineRule="atLeast"/>
        <w:ind w:firstLine="440" w:firstLineChars="200"/>
        <w:rPr>
          <w:rFonts w:ascii="宋体" w:hAnsi="宋体" w:cs="宋体"/>
          <w:color w:val="auto"/>
          <w:sz w:val="22"/>
        </w:rPr>
      </w:pPr>
    </w:p>
    <w:p w14:paraId="7CCC11AF">
      <w:pPr>
        <w:spacing w:line="588" w:lineRule="exact"/>
        <w:ind w:firstLine="442" w:firstLineChars="200"/>
        <w:rPr>
          <w:rFonts w:ascii="宋体" w:hAnsi="宋体" w:cs="宋体"/>
          <w:b/>
          <w:bCs/>
          <w:color w:val="auto"/>
          <w:sz w:val="22"/>
        </w:rPr>
      </w:pPr>
      <w:r>
        <w:rPr>
          <w:rFonts w:hint="eastAsia" w:ascii="宋体" w:hAnsi="宋体" w:cs="宋体"/>
          <w:b/>
          <w:bCs/>
          <w:color w:val="auto"/>
          <w:sz w:val="22"/>
        </w:rPr>
        <w:t>二、</w:t>
      </w:r>
      <w:r>
        <w:rPr>
          <w:rFonts w:ascii="宋体" w:hAnsi="宋体" w:cs="宋体"/>
          <w:b/>
          <w:bCs/>
          <w:color w:val="auto"/>
          <w:sz w:val="22"/>
        </w:rPr>
        <w:t>信贷政策</w:t>
      </w:r>
    </w:p>
    <w:p w14:paraId="044CB22D">
      <w:pPr>
        <w:spacing w:line="588" w:lineRule="exact"/>
        <w:ind w:firstLine="440" w:firstLineChars="200"/>
        <w:rPr>
          <w:rFonts w:ascii="宋体" w:hAnsi="宋体" w:cs="宋体"/>
          <w:color w:val="auto"/>
          <w:sz w:val="22"/>
        </w:rPr>
      </w:pPr>
      <w:r>
        <w:rPr>
          <w:rFonts w:hint="eastAsia" w:ascii="宋体" w:hAnsi="宋体" w:cs="宋体"/>
          <w:color w:val="auto"/>
          <w:sz w:val="22"/>
        </w:rPr>
        <w:t>为支持和促进中小企业发展，进一步发挥政府采购政策功能，温州市财政局已出台《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AD5475F">
      <w:pPr>
        <w:pStyle w:val="37"/>
        <w:pageBreakBefore/>
        <w:adjustRightInd w:val="0"/>
        <w:snapToGrid w:val="0"/>
        <w:spacing w:line="460" w:lineRule="atLeast"/>
        <w:ind w:firstLine="0" w:firstLineChars="0"/>
        <w:jc w:val="center"/>
        <w:outlineLvl w:val="0"/>
        <w:rPr>
          <w:rFonts w:ascii="宋体" w:hAnsi="宋体"/>
          <w:color w:val="auto"/>
          <w:sz w:val="36"/>
        </w:rPr>
      </w:pPr>
      <w:bookmarkStart w:id="67" w:name="_Toc32206"/>
      <w:r>
        <w:rPr>
          <w:rFonts w:hint="eastAsia" w:ascii="宋体" w:hAnsi="宋体" w:eastAsia="宋体"/>
          <w:color w:val="auto"/>
          <w:sz w:val="36"/>
        </w:rPr>
        <w:t>第五部分</w:t>
      </w:r>
      <w:r>
        <w:rPr>
          <w:rFonts w:ascii="宋体" w:hAnsi="宋体" w:eastAsia="宋体"/>
          <w:color w:val="auto"/>
          <w:sz w:val="36"/>
        </w:rPr>
        <w:t xml:space="preserve">    </w:t>
      </w:r>
      <w:r>
        <w:rPr>
          <w:rFonts w:hint="eastAsia" w:ascii="宋体" w:hAnsi="宋体" w:eastAsia="宋体"/>
          <w:color w:val="auto"/>
          <w:sz w:val="36"/>
        </w:rPr>
        <w:t>合同格式</w:t>
      </w:r>
      <w:bookmarkEnd w:id="67"/>
    </w:p>
    <w:p w14:paraId="75D9DF02">
      <w:pPr>
        <w:tabs>
          <w:tab w:val="left" w:pos="0"/>
        </w:tabs>
        <w:spacing w:line="360" w:lineRule="auto"/>
        <w:rPr>
          <w:rFonts w:ascii="宋体" w:hAnsi="宋体"/>
          <w:bCs/>
          <w:color w:val="auto"/>
          <w:sz w:val="22"/>
          <w:szCs w:val="22"/>
        </w:rPr>
      </w:pPr>
    </w:p>
    <w:p w14:paraId="2F35295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本合同甲乙双方根据</w:t>
      </w:r>
      <w:r>
        <w:rPr>
          <w:rFonts w:hint="eastAsia" w:ascii="宋体" w:hAnsi="宋体" w:eastAsia="宋体" w:cs="宋体"/>
          <w:bCs/>
          <w:color w:val="auto"/>
          <w:sz w:val="22"/>
          <w:szCs w:val="22"/>
        </w:rPr>
        <w:t>温州市机关协同办公系统运维及运营服务项目</w:t>
      </w:r>
      <w:r>
        <w:rPr>
          <w:rFonts w:hint="eastAsia" w:ascii="宋体" w:hAnsi="宋体" w:eastAsia="宋体" w:cs="宋体"/>
          <w:color w:val="auto"/>
          <w:sz w:val="22"/>
          <w:szCs w:val="22"/>
        </w:rPr>
        <w:t>（项目编号：</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）的招标结果，并根据《中华人民共和国民法典》、</w:t>
      </w:r>
      <w:r>
        <w:rPr>
          <w:rFonts w:hint="eastAsia" w:ascii="宋体" w:hAnsi="宋体" w:eastAsia="宋体" w:cs="宋体"/>
          <w:color w:val="auto"/>
          <w:sz w:val="22"/>
          <w:szCs w:val="22"/>
          <w:lang w:bidi="ar"/>
        </w:rPr>
        <w:t>《中华人民共和国网络安全法》、《中华人民共和国数据安全法》等相关法律、法规的规定</w:t>
      </w:r>
      <w:r>
        <w:rPr>
          <w:rFonts w:hint="eastAsia" w:ascii="宋体" w:hAnsi="宋体" w:eastAsia="宋体" w:cs="宋体"/>
          <w:color w:val="auto"/>
          <w:sz w:val="22"/>
          <w:szCs w:val="22"/>
        </w:rPr>
        <w:t>，达成如下合同，并由双方共同恪守。</w:t>
      </w:r>
    </w:p>
    <w:p w14:paraId="6A1BA519">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一、服务内容</w:t>
      </w:r>
    </w:p>
    <w:p w14:paraId="5CF8255B">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315" w:leftChars="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 （一）运维</w:t>
      </w:r>
    </w:p>
    <w:p w14:paraId="313D46BB">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1.预防</w:t>
      </w:r>
    </w:p>
    <w:p w14:paraId="45251768">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（1）监测巡检。日常运行状态监控内容包括数据库、服务器、网络并完成优化任务，对潜在的问题提出预警。</w:t>
      </w:r>
    </w:p>
    <w:p w14:paraId="218982C5">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（2）安全防护。用户弱密码检查和用户账号的定期检查清理，安全漏洞检查处置等。</w:t>
      </w:r>
    </w:p>
    <w:p w14:paraId="0AD2585D">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（3）软件升级。应用软件和第三方工具授权（含信创数据库）及补丁和版本日常维护等。</w:t>
      </w:r>
    </w:p>
    <w:p w14:paraId="3E63E0E3">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（4）数据备份。提供数据库备份及维护服务。</w:t>
      </w:r>
    </w:p>
    <w:p w14:paraId="4ED4371D">
      <w:pPr>
        <w:pStyle w:val="30"/>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（5）预案准备。针对系统可能出现的故障和问题，做好相应的预案准备，按需进行系统应急演练，保持运维手册、运维记录日常更新。</w:t>
      </w:r>
    </w:p>
    <w:p w14:paraId="0FE13694">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2.故障处置</w:t>
      </w:r>
    </w:p>
    <w:p w14:paraId="1C3227B7">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    （1）提供7*24小时技术支撑。</w:t>
      </w:r>
    </w:p>
    <w:p w14:paraId="3EF1C3B9">
      <w:pPr>
        <w:pStyle w:val="30"/>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 xml:space="preserve">    （2）完善应急措施和人员响应机制，对系统故障第一时间响应报告并通知所有关联人员，定期对接了解数据库系统及第三方工具厂商支撑情况，确保有专人负责响应对接系统故障原因，快速排查与处置。</w:t>
      </w:r>
    </w:p>
    <w:p w14:paraId="53378A86">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（3）对故障、事故出具处置分析报告。</w:t>
      </w:r>
    </w:p>
    <w:p w14:paraId="5D99A241">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（二）运营</w:t>
      </w:r>
    </w:p>
    <w:p w14:paraId="1B3D2298">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1.咨询及保障服务。提供7*24小时咨询和响应服务，对重要用户提供重点保障服务，记录问题及需求并分析报告。</w:t>
      </w:r>
    </w:p>
    <w:p w14:paraId="12FD78C1">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2.业务配置及优化。提供日常系统业务配置，包括人员调整、流程新增或调整等服务，以及系统功能优化。</w:t>
      </w:r>
    </w:p>
    <w:p w14:paraId="7FA05623">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（三）相关要求</w:t>
      </w:r>
    </w:p>
    <w:p w14:paraId="1864CE18">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1.实行“日巡检、月小结、半年报”制度。每日报送应用、数据库等巡检报告，每月报送上月系统运行情况及故障处理情况，每半年度出具项目总体运维情况总结。</w:t>
      </w:r>
    </w:p>
    <w:p w14:paraId="19A1F66D">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2.重保前及重保期间做好巡检和值守工作，对重要会议信息要提前掌握积极应对。</w:t>
      </w:r>
    </w:p>
    <w:p w14:paraId="1125933C">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考虑应用的重要性，需提供7*24小时持续服务，服务方需安排不少于2名驻场人员。对因不按规范运维造成系统故障，或因系统自身存在功能及安全缺陷，造成文件丢失或安全事件等情况进行评价，并按照评价结果给予处罚。</w:t>
      </w:r>
    </w:p>
    <w:p w14:paraId="4CC04464">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4.质保。</w:t>
      </w:r>
    </w:p>
    <w:p w14:paraId="12FA0193">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（1）软件。含对PC端、平板端应用，信创数据库、操作系统以及第三方工具软件，提供故障排查、漏洞修复、同步升级或持续更新服务。</w:t>
      </w:r>
    </w:p>
    <w:p w14:paraId="2ABF3916">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（2）硬件。含故障维修和故障件更换，及时提供备用设备，保障业务不中断。</w:t>
      </w:r>
    </w:p>
    <w:p w14:paraId="09C706E8">
      <w:pPr>
        <w:pStyle w:val="3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（四）其他</w:t>
      </w:r>
    </w:p>
    <w:p w14:paraId="76271930">
      <w:pPr>
        <w:pStyle w:val="30"/>
        <w:keepNext w:val="0"/>
        <w:keepLines w:val="0"/>
        <w:pageBreakBefore w:val="0"/>
        <w:widowControl w:val="0"/>
        <w:kinsoku/>
        <w:wordWrap/>
        <w:overflowPunct/>
        <w:topLinePunct w:val="0"/>
        <w:autoSpaceDE/>
        <w:autoSpaceDN/>
        <w:bidi w:val="0"/>
        <w:adjustRightInd/>
        <w:snapToGrid/>
        <w:spacing w:line="440" w:lineRule="exact"/>
        <w:ind w:firstLine="641"/>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1.机柜托管费，共计3个机柜。</w:t>
      </w:r>
    </w:p>
    <w:p w14:paraId="2BAA1AB7">
      <w:pPr>
        <w:pStyle w:val="30"/>
        <w:keepNext w:val="0"/>
        <w:keepLines w:val="0"/>
        <w:pageBreakBefore w:val="0"/>
        <w:widowControl w:val="0"/>
        <w:kinsoku/>
        <w:wordWrap/>
        <w:overflowPunct/>
        <w:topLinePunct w:val="0"/>
        <w:autoSpaceDE/>
        <w:autoSpaceDN/>
        <w:bidi w:val="0"/>
        <w:adjustRightInd/>
        <w:snapToGrid/>
        <w:spacing w:line="440" w:lineRule="exact"/>
        <w:ind w:firstLine="641"/>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2.Apple store证书续费等。</w:t>
      </w:r>
    </w:p>
    <w:p w14:paraId="5EA71616">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上述服务内容，乙方应按照本合同与甲方招标文件的要求以及投标文件中的相应承诺尽职履行义务。</w:t>
      </w:r>
    </w:p>
    <w:p w14:paraId="555F5369">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二、甲方权利和义务</w:t>
      </w:r>
    </w:p>
    <w:p w14:paraId="5C5ADACE">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2.1甲方有权监督乙方的服务过程，检查服务质量并提出建议和意见及要求。</w:t>
      </w:r>
    </w:p>
    <w:p w14:paraId="16B44F5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2.2甲方有权对项目运行维护工作提出合理建议及要求。</w:t>
      </w:r>
    </w:p>
    <w:p w14:paraId="27017E5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2.3需现场实施运行维护的，甲方有义务为乙方运行维护人员提供办公场所和必要的办公条件。</w:t>
      </w:r>
    </w:p>
    <w:p w14:paraId="2861C7F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2.4甲方有义务及时回复或签署乙方提供运行维护服务过程中的工作文件。</w:t>
      </w:r>
    </w:p>
    <w:p w14:paraId="06864CA7">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2.5在乙方按合同约定完成运维服务的基础上，甲方有义务按期足额向乙方支付合同金额。</w:t>
      </w:r>
    </w:p>
    <w:p w14:paraId="5363B7D5">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三、乙方权利和义务</w:t>
      </w:r>
    </w:p>
    <w:p w14:paraId="7DCC1E4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3.1乙方有权在项目运行维护服务时要求甲方配合并提供工作时的便利。</w:t>
      </w:r>
    </w:p>
    <w:p w14:paraId="023FE2B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3.2在按合同约定完成运维服务的基础上，乙方有权按照合同向甲方收取运行维护费用。</w:t>
      </w:r>
    </w:p>
    <w:p w14:paraId="5EB4CCE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3.3乙方应为甲方保守商业秘密，遵守保密义务。</w:t>
      </w:r>
    </w:p>
    <w:p w14:paraId="4E2661B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3.4乙方提供运行维护服务时，有义务接受甲方的监督，并保证服务质量；按照约定及甲方要求提供服务。</w:t>
      </w:r>
    </w:p>
    <w:p w14:paraId="336701F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3.5乙方有义务及时向甲方报告突发紧急事件。</w:t>
      </w:r>
    </w:p>
    <w:p w14:paraId="29CA8CD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3.6乙方有义务协调平台软件、硬件、信息安全三方运行维护人员做好沟通协调工作。</w:t>
      </w:r>
    </w:p>
    <w:p w14:paraId="295BA79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3.7对于甲方提出非合同服务范围内要求时，乙方有权要求另行支付相关服务费用。</w:t>
      </w:r>
    </w:p>
    <w:p w14:paraId="21D2CBFE">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四、服务期限</w:t>
      </w:r>
    </w:p>
    <w:p w14:paraId="78611D3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服务期限：</w:t>
      </w:r>
      <w:r>
        <w:rPr>
          <w:rFonts w:hint="eastAsia" w:ascii="宋体" w:hAnsi="宋体" w:eastAsia="宋体" w:cs="宋体"/>
          <w:color w:val="auto"/>
          <w:sz w:val="22"/>
          <w:szCs w:val="22"/>
          <w:lang w:val="en-US" w:eastAsia="zh-CN"/>
        </w:rPr>
        <w:t>9个月。</w:t>
      </w:r>
    </w:p>
    <w:p w14:paraId="205F498E">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五、合同金额与支付方式</w:t>
      </w:r>
    </w:p>
    <w:p w14:paraId="5DA61B4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5.1合同金额</w:t>
      </w:r>
    </w:p>
    <w:p w14:paraId="5E35D96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本合同费用总额（含税价）：人民币大写[      ]，小写[￥   ]。</w:t>
      </w:r>
    </w:p>
    <w:p w14:paraId="366A288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本合同费用总额已包括甲方就乙方履行本合同所应支付的全部报酬、所需的全部费用及税费。除另有约定外，甲方无需就本合同项下事项向乙方支付上述费用之外的任何其他费用及税费。</w:t>
      </w:r>
    </w:p>
    <w:p w14:paraId="0932CF4E">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5.2支付方式</w:t>
      </w:r>
    </w:p>
    <w:p w14:paraId="4A91B07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合同签订且甲方财政资金到位的基础上，经甲方确认满足支付条件，由乙方先行按照甲方要求开具符合国家规定的发票，甲方收到该发票之日起7个工作日内支付乙方合同总价的70%，计【人民币    】，（大写：  ）。</w:t>
      </w:r>
    </w:p>
    <w:p w14:paraId="136EFC0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服务结束时甲方对乙方提供的服务进行验收，合格后且甲方财政资金到位的基础上，经甲方确认满足支付条件，由乙方先行按照甲方要求开具符合国家规定的发票，甲方收到该发票之日起7个工作日内支付合同总价的30%，计【人民币</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】，（大写：</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w:t>
      </w:r>
    </w:p>
    <w:p w14:paraId="7D41915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5.3 乙方指定收款账户信息如下：</w:t>
      </w:r>
    </w:p>
    <w:p w14:paraId="65F480B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开户名称：</w:t>
      </w:r>
    </w:p>
    <w:p w14:paraId="7093B066">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纳税人识别号：</w:t>
      </w:r>
    </w:p>
    <w:p w14:paraId="41AEF03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开户银行：</w:t>
      </w:r>
    </w:p>
    <w:p w14:paraId="0503BEE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银行账号：</w:t>
      </w:r>
    </w:p>
    <w:p w14:paraId="06F428BB">
      <w:pPr>
        <w:pStyle w:val="2"/>
        <w:keepNext w:val="0"/>
        <w:keepLines w:val="0"/>
        <w:pageBreakBefore w:val="0"/>
        <w:widowControl w:val="0"/>
        <w:kinsoku/>
        <w:wordWrap/>
        <w:overflowPunct/>
        <w:topLinePunct w:val="0"/>
        <w:autoSpaceDE/>
        <w:autoSpaceDN/>
        <w:bidi w:val="0"/>
        <w:adjustRightInd/>
        <w:snapToGrid/>
        <w:spacing w:before="120" w:line="440" w:lineRule="exact"/>
        <w:ind w:left="479" w:leftChars="228"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公司地址：</w:t>
      </w:r>
      <w:r>
        <w:rPr>
          <w:rFonts w:hint="eastAsia" w:ascii="宋体" w:hAnsi="宋体" w:eastAsia="宋体" w:cs="宋体"/>
          <w:color w:val="auto"/>
          <w:sz w:val="22"/>
          <w:szCs w:val="22"/>
        </w:rPr>
        <w:br w:type="textWrapping"/>
      </w:r>
      <w:r>
        <w:rPr>
          <w:rFonts w:hint="eastAsia" w:ascii="宋体" w:hAnsi="宋体" w:eastAsia="宋体" w:cs="宋体"/>
          <w:color w:val="auto"/>
          <w:sz w:val="22"/>
          <w:szCs w:val="22"/>
        </w:rPr>
        <w:t>电话：</w:t>
      </w:r>
    </w:p>
    <w:p w14:paraId="67FCEC3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若乙方以上收款信息发生变更的，乙方应当提前以书面形式通知甲方，并以乙方重新确认的信息为准。因乙方未及时通知甲方而导致的付款不成功或迟延付款等问题，甲方不承担任何责任。</w:t>
      </w:r>
    </w:p>
    <w:p w14:paraId="1AC448FC">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rPr>
        <w:t>六、合同生效、变更和终止</w:t>
      </w:r>
    </w:p>
    <w:p w14:paraId="2A2CA0A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6.1本合同经双方法定代表人/负责人或授权代表签字并加盖各方公章之日起生效，至合同约定事项履行完毕止。如合同生效期晚于合同约定执行起始日期的，各方确认效力追溯至合同约定的执行起始日。</w:t>
      </w:r>
    </w:p>
    <w:p w14:paraId="21E114AB">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6.2本合同签订后，经双方当事人协商一致，可以对本合同有关条款进行变更或补充，但应当以书面形式确认，此书面文件一经签署，具有法律效力并成为本合同的一部分。</w:t>
      </w:r>
    </w:p>
    <w:p w14:paraId="5C34F03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6.3在合同签订后，实际情况发生变化，使得乙方不能全部或部分执行项目时，乙方应立即通知甲方。</w:t>
      </w:r>
    </w:p>
    <w:p w14:paraId="37D7EA1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6.4乙方对在项目建设期间所获得的甲方的情报和资料有保密义务，泄露秘密所应承担的责任，不论本合同是否变更、解除、终止，本条款均有效。</w:t>
      </w:r>
    </w:p>
    <w:p w14:paraId="37C2482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6.5本合同的变更必须由双方协商一致，并以书面形式确定。</w:t>
      </w:r>
    </w:p>
    <w:p w14:paraId="5920BD5B">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七、项目服务人员要求</w:t>
      </w:r>
    </w:p>
    <w:p w14:paraId="52FC061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7.1在本合同履行期间，乙方应严格遵守有关的法律、法规及其他规定，尽职履行义务，秉持规范、科学管理的精神，保障本合同项下的服务内容达到甲方要求的标准。</w:t>
      </w:r>
    </w:p>
    <w:p w14:paraId="61CF50C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7.2 乙方就本合同项下的服务内容，应按照甲方要求组建运维团队，并提供至少2名驻场服务人员。</w:t>
      </w:r>
    </w:p>
    <w:p w14:paraId="47589B2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7.3 在本合同履行过程中，甲方发现乙方提供的运维团队服务人员不能胜任工作需要的，甲方有权要求乙方更换相关人员，乙方应按照甲方要求予以更换。</w:t>
      </w:r>
    </w:p>
    <w:p w14:paraId="4951F2F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7.4 本合同生效后，未经甲方允许，乙方不得更换、撤回已确定的运维团队服务人员。</w:t>
      </w:r>
    </w:p>
    <w:p w14:paraId="14C839D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7.5 因乙方与运维团队服务人员发生劳动纠纷的，乙方应自行负责解决。如乙方违反本条约引起的任何争议和纠纷，由乙方自行负责解决并承担相应费用，因此对甲方造成影响的，乙方应赔偿甲方相应损失。</w:t>
      </w:r>
    </w:p>
    <w:p w14:paraId="6A5B123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7.6 乙方应做好项目运维团队服务人员管理，包括但不限于项目管理、安全管理、职业素养等管理与培训，确保乙方在完成本合同约定的服务内容的同时，保证乙方人员在甲方场所提供服务期间的人身及财产安全，以及对甲方管理制度的遵守。乙方人员在为甲方提供服务期间，造成其本人、甲方及第三方人身、财产损害的，甲方不承担责任，由乙方承担全部责任与损失。</w:t>
      </w:r>
    </w:p>
    <w:p w14:paraId="0ECA99A4">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八、知识产权</w:t>
      </w:r>
    </w:p>
    <w:p w14:paraId="7B570C8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8.1 乙方在本合同履行过程中形成的与本项目有关的阶段性文档及交付的全部服务成果和作品（包括但不限于软件、程序、源代码、报告、策划方案、图标、设计成果等）（以下统称“服务成果”），以及甲方的雇员、代理机构或人员单独进行或与其他被授权的人员在合同期间及合同终止后对服务成果共同进行定制化开发成果的任何改进的成果的知识产权（包括但不限于著作权、专利权、专利申请权、专有技术、商标权以及商业秘密等）均归属于甲方，由甲方自行决定使用。</w:t>
      </w:r>
    </w:p>
    <w:p w14:paraId="58FF07A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8.2 乙方非经甲方事先书面同意，不得以任何方式公开、发表或向第三方披露、转让和许可有关的服务成果的任何部分。除履行本合同需要外，未经甲方许可，乙方不得以任何方式利用前述服务成果，乙方不得将交付的服务成果进行整体或部分的销售或许可给任何其他第三方（包括其关联方），对于已交付的代码不得实施任何的反向工程、反向编译或反汇编的行为，不得以任何形式进行出租、出借、修改、汇编、二次开发等。</w:t>
      </w:r>
    </w:p>
    <w:p w14:paraId="337E1E7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8.3 乙方交付的服务成果需真实、合法、有效，并符合甲方的要求和使用目的。乙方保证本合同履行过程中交付的服务成果不存在任何违法情形、不存在任何权利瑕疵或权利负担，没有任何第三方针对服务成果提出任何权利主张或指控其侵权，也不存在任何权利纷争，并保证服务成果本身、服务成果的安装和培训、实施服务、甲方使用服务成果及接受乙方的服务不会侵犯任何第三人的知识产权或其他任何合法权益。无论任何原因导致甲方对服务成果的所有权、相关知识产权或其他合法权益受损，或因前述内容或乙方服务的任何不符合本条款约定的权利状态导致甲方权益受损、或产生任何法律责任和后果均由乙方承担。</w:t>
      </w:r>
    </w:p>
    <w:p w14:paraId="06396DB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8.4 乙方保证在本合同履行及项目实施过程中使用的技术、材料(包括但不限于图片、文件、字体、数据、信息、工艺、技术，统称“材料”)及与技术、材料相关的所有知识产权或合法使用权，且该等知识产权合法有效；如乙方仅有合法使用权，乙方应事先告知甲方，并依照第三方对乙方就该知识产权使用的授权进行使用，乙方应将该授权的书面文件的复印件加盖乙方公章后交付甲方。乙方保证前述技术、材料不侵犯任何第三方知识产权，包括但不限于专利、专利申请权利、商标、商号、版权、商业秘密或其他专有权利或其他合法权利和利益。如果前述侵权事项发生，乙方应赔偿甲方为其抗辩，及使之免遭由此侵权行为导致、与其有关或因之产生的任何索赔、诉讼、损失、损害赔偿等法律责任、费用花销及成本的损害。但甲方自主采取措施以维护自身合法权益、获取相应补偿和赔偿的权利不因乙方前述承诺和保证而产生任何限制、减损或负面影响。</w:t>
      </w:r>
    </w:p>
    <w:p w14:paraId="6ACFC8D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8.5 背景知识产权：自本合同生效之日起，各方仍应维续拥有其专利、商标、著作权、工业设计、技术秘密、商业秘密、和其它知识产权的所有权利和利益。除非在本合同中明确规定，否则各方在本合同项下均不授予或默许对方有关专利、商标、著作权、工业设计、技术秘密、商业秘密或其它知识产权的许可。就甲方在本合同项下提供乙方的全部材料，乙方不得在本合同目的之外以任何方式使用。</w:t>
      </w:r>
    </w:p>
    <w:p w14:paraId="094D990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8.6 本条款的效力独立于本合同，不因本合同的解除、无效、终止等情形而无效。</w:t>
      </w:r>
    </w:p>
    <w:p w14:paraId="2B420A65">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九、数据保护与网络安全</w:t>
      </w:r>
    </w:p>
    <w:p w14:paraId="561532A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9.1乙方应按照《网络安全法》、《数据安全法》的要求，履行网络和数据安全保护义务。</w:t>
      </w:r>
    </w:p>
    <w:p w14:paraId="265D141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9.2乙方应当采取技术措施和其他必要措施，确保其网络和数据安全，防止信息泄露、毁损、丢失。在发生或者可能发生信息泄露、毁损、丢失的情况时，应当立即采取补救措施，并在第一时间告知甲方。</w:t>
      </w:r>
    </w:p>
    <w:p w14:paraId="3CC213F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9.3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1A9EF48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9.4乙方应及时响应、处置甲方布置的安全工作，对其主管的系统、组件、云资源等所属安全事件、隐患及时阻断、排查、处置、溯源（包括但不限于攻防演练等相关活动中发现的）。</w:t>
      </w:r>
    </w:p>
    <w:p w14:paraId="692271E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9.5乙方在履行本合同过程中收集、获取或知悉的甲方全部数据(无论是通过线上或是线下，如有)的所有权等全部权利均归属甲方所有。乙方不得在合同目的之外以任何方式使用；本合同执行完毕后，乙方应对乙方服务器存储的甲方数据（如有）或乙方知悉掌握的甲方数据进行彻底删除并向甲方提供删除报告，且不得以任何方式再行存储或使用甲方数据；如因技术限制无法删除的数据，乙方应提前告知甲方且应严格保密。</w:t>
      </w:r>
    </w:p>
    <w:p w14:paraId="3F9242A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9.6乙方承诺，对提供甲方的信息(如有)已获得信息主体的授权同意，信息处理合法、合规。乙方保证其向甲方提供的数据的合法性、真实性、完整性、准确性、及时性，并承担提供数据不真实、不完整、不准确和不及时等所带来的后果且应按本合同约定承担违约责任。乙方因履行本合同向甲方提供的算法使用数据(应取得甲方以外的其他方的许可后方能处理的数据除外)的所有权等全部权利归属甲方所有，或甲方可永久使用，由双方在合同履行中根据具体数据内容以书面方式确认。</w:t>
      </w:r>
    </w:p>
    <w:p w14:paraId="0C1E893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9.7履行本合同过程中，如甲方向乙方提供账号等信息，乙方可在规定时间内正常使用，不得以任何方式在本合同约定之外使用或向任何第三方公开或披露。本合同执行完毕后，乙方不得再以任何方式使用甲方账号信息，且应对掌握的甲方账号严格保密。</w:t>
      </w:r>
    </w:p>
    <w:p w14:paraId="050DB9E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9.8乙方应当保证其开发、交付的服务成果（如有）的安全性和可信性，符合《中华人民共和国网络安全法》、《中华人民共和国数据安全法》及相关法律、法规的规定。乙方不得在其开发、交付的服务成果中设置恶意程序。具体包括但不限于：</w:t>
      </w:r>
    </w:p>
    <w:p w14:paraId="690840F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（1）不得利用其开发的服务成果非法获取甲方数据或信息、甲方合作方或用产设备/系统中的数据或信息，以及做其他任何损害甲方对于其数据或信息的支配权的行为。</w:t>
      </w:r>
    </w:p>
    <w:p w14:paraId="5D37160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（2）不得利用其开发的服务成果的便利条件非法控制、非法操纵甲方系统、甲方合作方或用户设备/系统，以及做其他任何损害甲方对于其系统和设备支配权的行为。</w:t>
      </w:r>
    </w:p>
    <w:p w14:paraId="4B31B322">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（3）不得进行其他利用其开发的服务成果损害甲方合法利益的行为。</w:t>
      </w:r>
    </w:p>
    <w:p w14:paraId="7209CF1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9.9本条款的效力独立于本合同，不因本合同的解除、无效、终止等情形而无效。</w:t>
      </w:r>
    </w:p>
    <w:p w14:paraId="252AA5AF">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十、保密</w:t>
      </w:r>
    </w:p>
    <w:p w14:paraId="5E536AB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10.1 乙方承诺：对甲方提供的一切资料、信息履行保密义务，未经甲方书面同意，不得向任何第三方泄露。甲乙双方应对本合同合作内容严格保密。</w:t>
      </w:r>
    </w:p>
    <w:p w14:paraId="4B91E1B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10.2 乙方承诺：对甲方为履行本合同所提供的资料及其它国家秘密、商业秘密负有保密的义务，并采取一切合理的措施以便其所接受的资料免于散发、传播、披露、复制、滥用及被无关人员接触。于本合同终止之日，甲方有权要求乙方返还或销毁其所提供的资料，双方承诺在本合同终止之后仍然继续承担在此条款下的保密义务，甲乙双方有权对对方故意或过失泄露国家秘密、商业秘密所造成的损失提出赔偿。</w:t>
      </w:r>
    </w:p>
    <w:p w14:paraId="2A1961C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10.3 甲乙双方应对其通过工作接触和通过其他渠道得知的有关对方的国家秘密、商业秘密严格保密。</w:t>
      </w:r>
    </w:p>
    <w:p w14:paraId="4DFD05E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10.4 双方同意不得使第三人接触或向第三人披露上述国家秘密、商业秘密。双方承诺，本保密义务延及其人员(包括但不限于双方的股东、员工、为接收方提供服务的第三方人员等)，任何一方前述人员违反保密义务的，该方同样应承担全部法律责任。</w:t>
      </w:r>
    </w:p>
    <w:p w14:paraId="0EC986DB">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10.5 保密信息的例外：保密信息不包括能提供以下证明的信息：</w:t>
      </w:r>
    </w:p>
    <w:p w14:paraId="1F98EDAB">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（1）在不承担保密义务的情况下，接收方在从提供方收到之前就已知晓的；</w:t>
      </w:r>
    </w:p>
    <w:p w14:paraId="7A0B45D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（2）非因任何一方的过错造成的为公众所了解的；</w:t>
      </w:r>
    </w:p>
    <w:p w14:paraId="520E905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（3）提供方向公众披露的；</w:t>
      </w:r>
    </w:p>
    <w:p w14:paraId="14AEA676">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（4）在没有接触对方保密信息的情况下，由接收方独立开发取得的；</w:t>
      </w:r>
    </w:p>
    <w:p w14:paraId="5230D22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（5）接收方事先征得提供方书面同意而发布的；</w:t>
      </w:r>
    </w:p>
    <w:p w14:paraId="3F3E457E">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（6）根据法定或监管义务或为了遵守具管辖权法院的有效命令必须披露的信息（在此情况下乙方应事先通知甲方并寻求对该等信息的保密待遇)。</w:t>
      </w:r>
    </w:p>
    <w:p w14:paraId="2767E8C2">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10.6 强制披露：如果一方能够证明存在下列事项，则其可以披露保密信息，但仅限于下列事项范围内：</w:t>
      </w:r>
    </w:p>
    <w:p w14:paraId="3BB438EE">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（1）为满足政府机关、司法机关、仲裁机关的要求；</w:t>
      </w:r>
    </w:p>
    <w:p w14:paraId="159CB82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（2）为满足法律、法规的要求；</w:t>
      </w:r>
    </w:p>
    <w:p w14:paraId="3C14376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（3）向己方签署过保密协议的专业顾问或律师等第三方服务机构披露。</w:t>
      </w:r>
    </w:p>
    <w:p w14:paraId="7CC9987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10.7 无论任何原因，若本合同终止，一方必须将另一方依据本合同提供的一切“国家秘密”、“商业秘密”及其相关返还，并应立即采取有效措施删除、清除、销毁“国家秘密”、“商业秘密”的各种载体。如乙方根据商业惯例保存项目的工作底稿，乙方应事先告知甲方并承诺按照本合同约定进行保密。因乙方保存的工作底稿而为保密息的泄露，乙方应按本合同约定承担违约责任。</w:t>
      </w:r>
    </w:p>
    <w:p w14:paraId="3729951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10.8 除因本合同约定的用途所需外，未经对方事先同意，不得擅自使用、复制对方的商标、标志、商业信息、技术及其他资料。在未得到甲方联系人书面确认前，乙方(及乙方员工、董事、股东、关联公司）不得将本合同任何成果(包括但不限于被甲方采纳的，和未被甲方采纳的)通过任何方式发布(包括在各类媒体、网络平台通过公共账号、个人账号发布的)、泄露给第三方的，乙方应立即采取有效措施停止传播，并赔偿甲方因此所遭受的全部损失(包括但不限于管理机关的罚款、他方赔偿、法院判决赔偿等），而且甲方有权单方解除本合同，同时甲方不需要再向乙方支付任何费用。</w:t>
      </w:r>
    </w:p>
    <w:p w14:paraId="6981E0B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10.9 保密期限：自本合同生效之日起，至上述国家秘密、商业秘密为公众知悉为止。</w:t>
      </w:r>
    </w:p>
    <w:p w14:paraId="74EDDC2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10.10 本条款的效力独立于本合同，不因本合同的解除、无效、终止等情形而无效。</w:t>
      </w:r>
    </w:p>
    <w:p w14:paraId="5297CE83">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十一、违约责任</w:t>
      </w:r>
    </w:p>
    <w:p w14:paraId="46EADDC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11.1双方应本着诚实守信的原则履行本合同，任何一方在履行中采用欺诈、威迫或暴力手段，另一方可以终止合同，并有权要求对方赔偿损失。</w:t>
      </w:r>
    </w:p>
    <w:p w14:paraId="22F61F0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11.2任何一方在履行合同时发现或证实对方存在违约行为或将要违约，应立即通知对方，若对方继续不按合同履约，该方可终止合同，并有权要求对方赔偿损失。</w:t>
      </w:r>
    </w:p>
    <w:p w14:paraId="13C248A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11.3任何一方违反本合同，给对方造成损失的，除赔偿损失外保留追诉其他法律责任权利。</w:t>
      </w:r>
    </w:p>
    <w:p w14:paraId="0CAADB4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11.4乙方收到合同款项后，未能如期提供服务的，每日向甲方支付合同款项的千分之二作为违约金。超过10日的，则甲方有权解除本合同，乙方应当返还费用并承担违约金，最高额度不超过合同总额的30%。如乙方提供之服务存在问题的，甲方有权暂不支付后续款项。</w:t>
      </w:r>
    </w:p>
    <w:p w14:paraId="5A220C5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11.5如因甲方原因，甲方不能按合同约定的期限向乙方支付服务费用的，则甲方每日按未付金额的万分之二支付违约金。违约金最高额度不超过合同总额的30%。</w:t>
      </w:r>
    </w:p>
    <w:p w14:paraId="4E340C1D">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11.6如发生违约事件，守约方要求违约方支付违约金时，以书面方式通知违约方，内容包括违约事件、违约金、支付时间和方式等。违约方在收到上述通知后，应于7个工作日内答复对方，并支付违约金。如双方不能就此达成一致意见，将按照本合同所规定的争议解决条款解决双方的纠纷。</w:t>
      </w:r>
    </w:p>
    <w:p w14:paraId="1D6C07AF">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十二、不可抗力</w:t>
      </w:r>
    </w:p>
    <w:p w14:paraId="13520E2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12.1不可抗力事故系指双方当事人在缔结合同时所不能预见的，并且它的发生及其后果是无法避免和无法克服的事故,包括自然现象和社会现象如战争、严重火灾、洪水、台风、地震等。</w:t>
      </w:r>
    </w:p>
    <w:p w14:paraId="38957B6B">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12.2在合同有效期内，任何一方因不可抗力事件导致不能履行合同，则合同履行期可延长，其延长期与不可抗力影响期相同。</w:t>
      </w:r>
    </w:p>
    <w:p w14:paraId="3222407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12.3遇有不可抗力的一方或双方应于不可抗力发生后15日内将情况以书面形告知对方，并提供相关证明。</w:t>
      </w:r>
    </w:p>
    <w:p w14:paraId="6528EE3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12.4声称遭受不可抗力而不履行合同义务的一方应采取适当措施减少或排除不可抗力所造成影响，并在尽可能的最短时间内，尽力恢复履行受到不可抗力影响的合同义务。任何不可抗力事件导致的延迟超过连续30天的话，合同各方应通过友好协商的方式解决合同未来履行的事宜，或任何一方可以以通知的方式送达另一方终止本合同。</w:t>
      </w:r>
    </w:p>
    <w:p w14:paraId="47512E4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12.5因不可抗力导致甲乙双方或一方不能履行本合同项下有关义务时，甲乙双方相互不承担违约责任。</w:t>
      </w:r>
    </w:p>
    <w:p w14:paraId="091AE57E">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十三、争议的解决办法</w:t>
      </w:r>
    </w:p>
    <w:p w14:paraId="4899003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13.1 本合同的有效性、解释、履行和有关本合同的所有争议应受中华人民共和国有关法律所约束。</w:t>
      </w:r>
    </w:p>
    <w:p w14:paraId="201604F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13.2 任何有关本合同的争议，双方应友好协商解决，协商解决不成的，任何一方可向甲方所在地人民法院提起诉讼。</w:t>
      </w:r>
    </w:p>
    <w:p w14:paraId="6A38FDC7">
      <w:pPr>
        <w:pStyle w:val="2"/>
        <w:keepNext w:val="0"/>
        <w:keepLines w:val="0"/>
        <w:pageBreakBefore w:val="0"/>
        <w:widowControl w:val="0"/>
        <w:kinsoku/>
        <w:wordWrap/>
        <w:overflowPunct/>
        <w:topLinePunct w:val="0"/>
        <w:autoSpaceDE/>
        <w:autoSpaceDN/>
        <w:bidi w:val="0"/>
        <w:adjustRightInd/>
        <w:snapToGrid/>
        <w:spacing w:before="120" w:line="440" w:lineRule="exact"/>
        <w:ind w:firstLine="442" w:firstLineChars="200"/>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十四、其它</w:t>
      </w:r>
    </w:p>
    <w:p w14:paraId="242BEA5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14.1 若本协议的个别条款无效或失效的，该条款的无效或失效并不影响其他条款的效力。协议双方应尽力尝试达成新的具有同等法律效果的条款以便代替该等无效或失效条款。</w:t>
      </w:r>
    </w:p>
    <w:p w14:paraId="5FFE05E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14.2 本合同未尽事宜及对本合同及其附件的任何修改，由双方友好协商，以签订补充协议的方式确定。</w:t>
      </w:r>
    </w:p>
    <w:p w14:paraId="18276F4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14.3 本合同一式四份，由甲方执二份，乙方执二份，具有同等法律效力。</w:t>
      </w:r>
    </w:p>
    <w:p w14:paraId="53510A8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14.4 本合同双方通知地址及方式如下：</w:t>
      </w:r>
    </w:p>
    <w:p w14:paraId="5FB12031">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甲方：温州市数据局 </w:t>
      </w:r>
    </w:p>
    <w:p w14:paraId="7EFE7812">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地址：温州市市府路500号市行政中心1号楼7楼     </w:t>
      </w:r>
    </w:p>
    <w:p w14:paraId="5D0D169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联系人：   </w:t>
      </w:r>
    </w:p>
    <w:p w14:paraId="366DF14F">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电话：  </w:t>
      </w:r>
    </w:p>
    <w:p w14:paraId="5AE8EC0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乙方：</w:t>
      </w:r>
    </w:p>
    <w:p w14:paraId="5B70348E">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地址：  </w:t>
      </w:r>
    </w:p>
    <w:p w14:paraId="0C87CE49">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联系人： </w:t>
      </w:r>
    </w:p>
    <w:p w14:paraId="116DF8C3">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电话： </w:t>
      </w:r>
    </w:p>
    <w:p w14:paraId="421A445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上述任何信息发生变更的，变更方应及时以书面形式通知另一方，未及时通知并影响本合同履行或造成损失的，应承担相应的责任。</w:t>
      </w:r>
    </w:p>
    <w:p w14:paraId="0226EF15">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p>
    <w:p w14:paraId="7521B25A">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甲方：温州市数据局           乙方：</w:t>
      </w:r>
    </w:p>
    <w:p w14:paraId="1FCAF82C">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w:t>
      </w:r>
    </w:p>
    <w:p w14:paraId="4C4F5828">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p>
    <w:p w14:paraId="13CB1A44">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法定代表人/负责人                      法定代表人/负责人</w:t>
      </w:r>
    </w:p>
    <w:p w14:paraId="212EB120">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或授权代表：                           或授权代表：</w:t>
      </w:r>
    </w:p>
    <w:p w14:paraId="25619D22">
      <w:pPr>
        <w:pStyle w:val="2"/>
        <w:keepNext w:val="0"/>
        <w:keepLines w:val="0"/>
        <w:pageBreakBefore w:val="0"/>
        <w:widowControl w:val="0"/>
        <w:kinsoku/>
        <w:wordWrap/>
        <w:overflowPunct/>
        <w:topLinePunct w:val="0"/>
        <w:autoSpaceDE/>
        <w:autoSpaceDN/>
        <w:bidi w:val="0"/>
        <w:adjustRightInd/>
        <w:snapToGrid/>
        <w:spacing w:before="120" w:line="440" w:lineRule="exact"/>
        <w:ind w:firstLine="440" w:firstLineChars="200"/>
        <w:textAlignment w:val="auto"/>
        <w:rPr>
          <w:rFonts w:hint="eastAsia" w:ascii="宋体" w:hAnsi="宋体" w:cs="宋体"/>
          <w:color w:val="auto"/>
          <w:sz w:val="22"/>
          <w:szCs w:val="22"/>
        </w:rPr>
      </w:pPr>
      <w:r>
        <w:rPr>
          <w:rFonts w:hint="eastAsia" w:ascii="宋体" w:hAnsi="宋体" w:eastAsia="宋体" w:cs="宋体"/>
          <w:color w:val="auto"/>
          <w:sz w:val="22"/>
          <w:szCs w:val="22"/>
        </w:rPr>
        <w:t xml:space="preserve">       年  月  日                            年   月   日</w:t>
      </w:r>
    </w:p>
    <w:p w14:paraId="5DFA8137">
      <w:pPr>
        <w:adjustRightInd w:val="0"/>
        <w:snapToGrid w:val="0"/>
        <w:spacing w:before="100" w:after="50" w:line="440" w:lineRule="atLeast"/>
        <w:jc w:val="left"/>
        <w:rPr>
          <w:rFonts w:hint="eastAsia" w:ascii="宋体" w:hAnsi="宋体"/>
          <w:color w:val="auto"/>
          <w:sz w:val="36"/>
        </w:rPr>
      </w:pPr>
    </w:p>
    <w:p w14:paraId="75591894">
      <w:pPr>
        <w:pStyle w:val="2"/>
        <w:rPr>
          <w:rFonts w:hint="eastAsia" w:ascii="宋体" w:hAnsi="宋体"/>
          <w:color w:val="auto"/>
          <w:sz w:val="36"/>
        </w:rPr>
      </w:pPr>
    </w:p>
    <w:p w14:paraId="0B664025">
      <w:pPr>
        <w:pStyle w:val="2"/>
        <w:rPr>
          <w:rFonts w:hint="eastAsia" w:ascii="宋体" w:hAnsi="宋体"/>
          <w:color w:val="auto"/>
          <w:sz w:val="36"/>
        </w:rPr>
      </w:pPr>
    </w:p>
    <w:p w14:paraId="4638816B">
      <w:pPr>
        <w:spacing w:line="360" w:lineRule="auto"/>
        <w:ind w:firstLine="440" w:firstLineChars="200"/>
        <w:rPr>
          <w:rFonts w:hint="eastAsia" w:ascii="宋体" w:hAnsi="宋体"/>
          <w:b/>
          <w:color w:val="auto"/>
          <w:sz w:val="22"/>
          <w:szCs w:val="22"/>
        </w:rPr>
      </w:pPr>
      <w:r>
        <w:rPr>
          <w:rFonts w:ascii="宋体" w:hAnsi="宋体"/>
          <w:color w:val="auto"/>
          <w:sz w:val="22"/>
          <w:szCs w:val="22"/>
        </w:rPr>
        <w:t>特别提示：</w:t>
      </w:r>
      <w:r>
        <w:rPr>
          <w:rFonts w:hint="eastAsia" w:ascii="宋体" w:hAnsi="宋体"/>
          <w:color w:val="auto"/>
          <w:sz w:val="22"/>
          <w:szCs w:val="22"/>
          <w:u w:val="single"/>
        </w:rPr>
        <w:t>本合同作为示范文本，具体以</w:t>
      </w:r>
      <w:r>
        <w:rPr>
          <w:rFonts w:ascii="宋体" w:hAnsi="宋体"/>
          <w:color w:val="auto"/>
          <w:sz w:val="22"/>
          <w:szCs w:val="22"/>
          <w:u w:val="single"/>
        </w:rPr>
        <w:t>正式签订合同为准，合同条款的具体内容应严格按照招标文件、投标文件、采购结果及中标（成交）</w:t>
      </w:r>
      <w:r>
        <w:rPr>
          <w:rFonts w:hint="eastAsia" w:ascii="宋体" w:hAnsi="宋体"/>
          <w:color w:val="auto"/>
          <w:sz w:val="22"/>
          <w:szCs w:val="22"/>
          <w:u w:val="single"/>
        </w:rPr>
        <w:t>人</w:t>
      </w:r>
      <w:r>
        <w:rPr>
          <w:rFonts w:ascii="宋体" w:hAnsi="宋体"/>
          <w:color w:val="auto"/>
          <w:sz w:val="22"/>
          <w:szCs w:val="22"/>
          <w:u w:val="single"/>
        </w:rPr>
        <w:t>的承诺来拟订。</w:t>
      </w:r>
    </w:p>
    <w:p w14:paraId="59877B97">
      <w:pPr>
        <w:pStyle w:val="2"/>
        <w:ind w:firstLine="210"/>
        <w:rPr>
          <w:rFonts w:eastAsia="等线"/>
          <w:color w:val="auto"/>
        </w:rPr>
      </w:pPr>
    </w:p>
    <w:p w14:paraId="21BB0C64">
      <w:pPr>
        <w:pStyle w:val="4"/>
        <w:rPr>
          <w:rFonts w:hAnsi="宋体"/>
          <w:color w:val="auto"/>
          <w:sz w:val="36"/>
          <w:szCs w:val="36"/>
        </w:rPr>
      </w:pPr>
      <w:r>
        <w:rPr>
          <w:rFonts w:hAnsi="宋体"/>
          <w:color w:val="auto"/>
          <w:sz w:val="36"/>
          <w:szCs w:val="36"/>
        </w:rPr>
        <w:br w:type="page"/>
      </w:r>
      <w:bookmarkStart w:id="68" w:name="_Toc19514"/>
      <w:r>
        <w:rPr>
          <w:rFonts w:hint="eastAsia" w:ascii="宋体" w:hAnsi="宋体"/>
          <w:color w:val="auto"/>
          <w:sz w:val="36"/>
          <w:szCs w:val="36"/>
        </w:rPr>
        <w:t>第六部分    附件---磋商响应文件格式</w:t>
      </w:r>
      <w:bookmarkEnd w:id="68"/>
    </w:p>
    <w:p w14:paraId="3731E24B">
      <w:pPr>
        <w:pStyle w:val="4"/>
        <w:spacing w:line="276" w:lineRule="auto"/>
        <w:rPr>
          <w:rFonts w:ascii="宋体" w:hAnsi="宋体"/>
          <w:color w:val="auto"/>
          <w:sz w:val="36"/>
        </w:rPr>
      </w:pPr>
      <w:bookmarkStart w:id="69" w:name="_Toc1566"/>
      <w:r>
        <w:rPr>
          <w:rFonts w:hint="eastAsia" w:ascii="宋体" w:hAnsi="宋体"/>
          <w:color w:val="auto"/>
          <w:sz w:val="36"/>
        </w:rPr>
        <w:t>一、资格文件格式</w:t>
      </w:r>
      <w:bookmarkEnd w:id="69"/>
    </w:p>
    <w:p w14:paraId="2AE9A557">
      <w:pPr>
        <w:pStyle w:val="26"/>
        <w:adjustRightInd w:val="0"/>
        <w:snapToGrid w:val="0"/>
        <w:spacing w:line="440" w:lineRule="atLeast"/>
        <w:jc w:val="left"/>
        <w:outlineLvl w:val="1"/>
        <w:rPr>
          <w:rFonts w:hAnsi="宋体"/>
          <w:color w:val="auto"/>
          <w:sz w:val="30"/>
        </w:rPr>
      </w:pPr>
      <w:bookmarkStart w:id="70" w:name="_Toc8299"/>
      <w:r>
        <w:rPr>
          <w:rFonts w:hint="eastAsia" w:hAnsi="宋体"/>
          <w:color w:val="auto"/>
          <w:sz w:val="30"/>
        </w:rPr>
        <w:t>附件一</w:t>
      </w:r>
      <w:bookmarkEnd w:id="70"/>
    </w:p>
    <w:p w14:paraId="4EDD0F40">
      <w:pPr>
        <w:pStyle w:val="26"/>
        <w:adjustRightInd w:val="0"/>
        <w:snapToGrid w:val="0"/>
        <w:spacing w:line="440" w:lineRule="atLeast"/>
        <w:ind w:firstLine="440"/>
        <w:jc w:val="center"/>
        <w:outlineLvl w:val="1"/>
        <w:rPr>
          <w:rFonts w:hAnsi="宋体" w:cs="Arial"/>
          <w:bCs/>
          <w:color w:val="auto"/>
          <w:sz w:val="36"/>
          <w:szCs w:val="36"/>
          <w:lang w:val="zh-CN"/>
        </w:rPr>
      </w:pPr>
      <w:bookmarkStart w:id="71" w:name="_Toc4932"/>
      <w:r>
        <w:rPr>
          <w:rFonts w:hint="eastAsia" w:hAnsi="宋体" w:cs="Arial"/>
          <w:bCs/>
          <w:color w:val="auto"/>
          <w:sz w:val="36"/>
          <w:szCs w:val="36"/>
          <w:lang w:val="zh-CN"/>
        </w:rPr>
        <w:t>投标供应商参与政府采购活动投标资格声明函</w:t>
      </w:r>
      <w:bookmarkEnd w:id="71"/>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83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1B9E835B">
            <w:pPr>
              <w:pStyle w:val="26"/>
              <w:adjustRightInd w:val="0"/>
              <w:snapToGrid w:val="0"/>
              <w:spacing w:line="440" w:lineRule="exact"/>
              <w:rPr>
                <w:rFonts w:hAnsi="宋体"/>
                <w:color w:val="auto"/>
                <w:sz w:val="22"/>
                <w:szCs w:val="22"/>
              </w:rPr>
            </w:pPr>
            <w:r>
              <w:rPr>
                <w:rFonts w:hAnsi="宋体"/>
                <w:color w:val="auto"/>
                <w:sz w:val="22"/>
                <w:szCs w:val="22"/>
              </w:rPr>
              <w:t>项目名称</w:t>
            </w:r>
          </w:p>
        </w:tc>
        <w:tc>
          <w:tcPr>
            <w:tcW w:w="7992" w:type="dxa"/>
          </w:tcPr>
          <w:p w14:paraId="2EEA1A43">
            <w:pPr>
              <w:pStyle w:val="26"/>
              <w:adjustRightInd w:val="0"/>
              <w:snapToGrid w:val="0"/>
              <w:spacing w:line="440" w:lineRule="exact"/>
              <w:rPr>
                <w:rFonts w:hAnsi="宋体"/>
                <w:color w:val="auto"/>
                <w:sz w:val="22"/>
                <w:szCs w:val="22"/>
              </w:rPr>
            </w:pPr>
          </w:p>
        </w:tc>
      </w:tr>
      <w:tr w14:paraId="4342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7270EB62">
            <w:pPr>
              <w:pStyle w:val="26"/>
              <w:adjustRightInd w:val="0"/>
              <w:snapToGrid w:val="0"/>
              <w:spacing w:line="440" w:lineRule="exact"/>
              <w:rPr>
                <w:rFonts w:hAnsi="宋体"/>
                <w:color w:val="auto"/>
                <w:sz w:val="22"/>
                <w:szCs w:val="22"/>
              </w:rPr>
            </w:pPr>
            <w:r>
              <w:rPr>
                <w:rFonts w:hAnsi="宋体"/>
                <w:color w:val="auto"/>
                <w:sz w:val="22"/>
                <w:szCs w:val="22"/>
              </w:rPr>
              <w:t>招标编号</w:t>
            </w:r>
          </w:p>
        </w:tc>
        <w:tc>
          <w:tcPr>
            <w:tcW w:w="7992" w:type="dxa"/>
          </w:tcPr>
          <w:p w14:paraId="39EBB0A0">
            <w:pPr>
              <w:pStyle w:val="26"/>
              <w:adjustRightInd w:val="0"/>
              <w:snapToGrid w:val="0"/>
              <w:spacing w:line="440" w:lineRule="exact"/>
              <w:rPr>
                <w:rFonts w:hAnsi="宋体"/>
                <w:color w:val="auto"/>
                <w:sz w:val="22"/>
                <w:szCs w:val="22"/>
              </w:rPr>
            </w:pPr>
          </w:p>
        </w:tc>
      </w:tr>
      <w:tr w14:paraId="57E1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A0649B9">
            <w:pPr>
              <w:pStyle w:val="26"/>
              <w:adjustRightInd w:val="0"/>
              <w:snapToGrid w:val="0"/>
              <w:spacing w:line="440" w:lineRule="exact"/>
              <w:rPr>
                <w:rFonts w:hAnsi="宋体"/>
                <w:color w:val="auto"/>
                <w:sz w:val="22"/>
                <w:szCs w:val="22"/>
              </w:rPr>
            </w:pPr>
            <w:r>
              <w:rPr>
                <w:rFonts w:hAnsi="宋体"/>
                <w:color w:val="auto"/>
                <w:sz w:val="22"/>
                <w:szCs w:val="22"/>
              </w:rPr>
              <w:t>时    间</w:t>
            </w:r>
          </w:p>
        </w:tc>
        <w:tc>
          <w:tcPr>
            <w:tcW w:w="7992" w:type="dxa"/>
          </w:tcPr>
          <w:p w14:paraId="51C075A5">
            <w:pPr>
              <w:pStyle w:val="26"/>
              <w:adjustRightInd w:val="0"/>
              <w:snapToGrid w:val="0"/>
              <w:spacing w:line="440" w:lineRule="exact"/>
              <w:rPr>
                <w:rFonts w:hAnsi="宋体"/>
                <w:color w:val="auto"/>
                <w:sz w:val="22"/>
                <w:szCs w:val="22"/>
              </w:rPr>
            </w:pPr>
            <w:r>
              <w:rPr>
                <w:rFonts w:hAnsi="宋体" w:cs="宋体"/>
                <w:color w:val="auto"/>
                <w:sz w:val="22"/>
                <w:szCs w:val="22"/>
              </w:rPr>
              <w:t>响应文件递交截止时间前</w:t>
            </w:r>
          </w:p>
        </w:tc>
      </w:tr>
      <w:tr w14:paraId="227F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04D79120">
            <w:pPr>
              <w:pStyle w:val="26"/>
              <w:adjustRightInd w:val="0"/>
              <w:snapToGrid w:val="0"/>
              <w:spacing w:line="400" w:lineRule="exact"/>
              <w:ind w:firstLine="450"/>
              <w:rPr>
                <w:rFonts w:hAnsi="宋体"/>
                <w:color w:val="auto"/>
                <w:szCs w:val="22"/>
              </w:rPr>
            </w:pPr>
            <w:r>
              <w:rPr>
                <w:rFonts w:hAnsi="宋体"/>
                <w:color w:val="auto"/>
                <w:szCs w:val="22"/>
              </w:rPr>
              <w:t>我单位参与</w:t>
            </w:r>
            <w:r>
              <w:rPr>
                <w:rFonts w:hint="eastAsia" w:hAnsi="宋体"/>
                <w:color w:val="auto"/>
                <w:szCs w:val="22"/>
                <w:u w:val="single"/>
              </w:rPr>
              <w:t>温州市机关协同办公系统运维及运营服务项目</w:t>
            </w:r>
            <w:r>
              <w:rPr>
                <w:rFonts w:hAnsi="宋体"/>
                <w:color w:val="auto"/>
                <w:szCs w:val="22"/>
              </w:rPr>
              <w:t>投标，现声明如下：</w:t>
            </w:r>
          </w:p>
          <w:p w14:paraId="280CCFC7">
            <w:pPr>
              <w:pStyle w:val="26"/>
              <w:adjustRightInd w:val="0"/>
              <w:snapToGrid w:val="0"/>
              <w:spacing w:line="400" w:lineRule="exact"/>
              <w:ind w:firstLine="450"/>
              <w:rPr>
                <w:rFonts w:hAnsi="宋体"/>
                <w:color w:val="auto"/>
                <w:szCs w:val="22"/>
              </w:rPr>
            </w:pPr>
            <w:r>
              <w:rPr>
                <w:rFonts w:hAnsi="宋体"/>
                <w:color w:val="auto"/>
                <w:szCs w:val="22"/>
              </w:rPr>
              <w:t>1、我单位符合政府采购法第二十二条规定。</w:t>
            </w:r>
          </w:p>
          <w:p w14:paraId="49979190">
            <w:pPr>
              <w:pStyle w:val="26"/>
              <w:adjustRightInd w:val="0"/>
              <w:snapToGrid w:val="0"/>
              <w:spacing w:line="400" w:lineRule="exact"/>
              <w:ind w:firstLine="450"/>
              <w:rPr>
                <w:rFonts w:hAnsi="宋体"/>
                <w:color w:val="auto"/>
                <w:szCs w:val="22"/>
              </w:rPr>
            </w:pPr>
            <w:r>
              <w:rPr>
                <w:rFonts w:hAnsi="宋体"/>
                <w:color w:val="auto"/>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color w:val="auto"/>
                <w:u w:val="single"/>
              </w:rPr>
              <w:t>□</w:t>
            </w:r>
            <w:r>
              <w:rPr>
                <w:rFonts w:hAnsi="宋体"/>
                <w:color w:val="auto"/>
                <w:szCs w:val="22"/>
                <w:u w:val="single"/>
              </w:rPr>
              <w:t>存在</w:t>
            </w:r>
            <w:r>
              <w:rPr>
                <w:rFonts w:hint="eastAsia" w:hAnsi="宋体"/>
                <w:color w:val="auto"/>
                <w:szCs w:val="22"/>
                <w:u w:val="single"/>
                <w:lang w:val="en-US" w:eastAsia="zh-CN"/>
              </w:rPr>
              <w:t xml:space="preserve">   </w:t>
            </w:r>
            <w:r>
              <w:rPr>
                <w:rFonts w:hAnsi="宋体"/>
                <w:color w:val="auto"/>
                <w:szCs w:val="22"/>
                <w:u w:val="single"/>
              </w:rPr>
              <w:t>/</w:t>
            </w:r>
            <w:r>
              <w:rPr>
                <w:rFonts w:hint="eastAsia" w:hAnsi="宋体"/>
                <w:color w:val="auto"/>
                <w:szCs w:val="22"/>
                <w:u w:val="single"/>
                <w:lang w:val="en-US" w:eastAsia="zh-CN"/>
              </w:rPr>
              <w:t xml:space="preserve">   </w:t>
            </w:r>
            <w:r>
              <w:rPr>
                <w:rFonts w:hint="eastAsia" w:hAnsi="宋体"/>
                <w:color w:val="auto"/>
                <w:u w:val="single"/>
                <w:lang w:eastAsia="zh-CN"/>
              </w:rPr>
              <w:t>□</w:t>
            </w:r>
            <w:r>
              <w:rPr>
                <w:rFonts w:hAnsi="宋体"/>
                <w:color w:val="auto"/>
                <w:szCs w:val="22"/>
                <w:u w:val="single"/>
              </w:rPr>
              <w:t>不存在</w:t>
            </w:r>
            <w:r>
              <w:rPr>
                <w:rFonts w:hAnsi="宋体"/>
                <w:color w:val="auto"/>
                <w:szCs w:val="22"/>
              </w:rPr>
              <w:t>上述文件规定依法限制参与政府采购的情况。（说明：在</w:t>
            </w:r>
            <w:r>
              <w:rPr>
                <w:rFonts w:hAnsi="宋体"/>
                <w:color w:val="auto"/>
              </w:rPr>
              <w:t>□</w:t>
            </w:r>
            <w:r>
              <w:rPr>
                <w:rFonts w:hAnsi="宋体"/>
                <w:color w:val="auto"/>
                <w:szCs w:val="22"/>
              </w:rPr>
              <w:t>上打</w:t>
            </w:r>
            <w:r>
              <w:rPr>
                <w:rFonts w:hAnsi="宋体"/>
                <w:color w:val="auto"/>
              </w:rPr>
              <w:t>√</w:t>
            </w:r>
            <w:r>
              <w:rPr>
                <w:rFonts w:hAnsi="宋体" w:cs="MS Mincho"/>
                <w:color w:val="auto"/>
                <w:szCs w:val="22"/>
              </w:rPr>
              <w:t>。</w:t>
            </w:r>
            <w:r>
              <w:rPr>
                <w:rFonts w:hAnsi="宋体"/>
                <w:color w:val="auto"/>
                <w:szCs w:val="22"/>
              </w:rPr>
              <w:t>）</w:t>
            </w:r>
          </w:p>
          <w:p w14:paraId="4C7DBB77">
            <w:pPr>
              <w:tabs>
                <w:tab w:val="center" w:pos="4483"/>
              </w:tabs>
              <w:adjustRightInd w:val="0"/>
              <w:spacing w:line="400" w:lineRule="exact"/>
              <w:ind w:firstLine="400"/>
              <w:rPr>
                <w:rFonts w:ascii="宋体" w:hAnsi="宋体"/>
                <w:color w:val="auto"/>
              </w:rPr>
            </w:pPr>
            <w:r>
              <w:rPr>
                <w:rFonts w:ascii="宋体" w:hAnsi="宋体"/>
                <w:color w:val="auto"/>
              </w:rPr>
              <w:t>3、我单位□没有被限制参加政府采购活动</w:t>
            </w:r>
            <w:r>
              <w:rPr>
                <w:rFonts w:hint="eastAsia" w:ascii="宋体" w:hAnsi="宋体"/>
                <w:color w:val="auto"/>
                <w:lang w:val="en-US" w:eastAsia="zh-CN"/>
              </w:rPr>
              <w:t xml:space="preserve">  </w:t>
            </w:r>
            <w:r>
              <w:rPr>
                <w:rFonts w:ascii="宋体" w:hAnsi="宋体"/>
                <w:color w:val="auto"/>
              </w:rPr>
              <w:t>/</w:t>
            </w:r>
            <w:r>
              <w:rPr>
                <w:rFonts w:hint="eastAsia" w:ascii="宋体" w:hAnsi="宋体"/>
                <w:color w:val="auto"/>
                <w:lang w:val="en-US" w:eastAsia="zh-CN"/>
              </w:rPr>
              <w:t xml:space="preserve">  </w:t>
            </w:r>
            <w:r>
              <w:rPr>
                <w:rFonts w:hint="eastAsia" w:ascii="宋体" w:hAnsi="宋体"/>
                <w:color w:val="auto"/>
                <w:lang w:eastAsia="zh-CN"/>
              </w:rPr>
              <w:t>□</w:t>
            </w:r>
            <w:r>
              <w:rPr>
                <w:rFonts w:ascii="宋体" w:hAnsi="宋体"/>
                <w:color w:val="auto"/>
              </w:rPr>
              <w:t>在参加政府采购活动前3年内因违法经营被禁止在一定期限内参加政府采购活动，但期限届满，已可以参加政府采购活动。（说明：在□上打√</w:t>
            </w:r>
            <w:r>
              <w:rPr>
                <w:rFonts w:ascii="宋体" w:hAnsi="宋体" w:cs="MS Mincho"/>
                <w:color w:val="auto"/>
              </w:rPr>
              <w:t>。</w:t>
            </w:r>
            <w:r>
              <w:rPr>
                <w:rFonts w:ascii="宋体" w:hAnsi="宋体"/>
                <w:color w:val="auto"/>
              </w:rPr>
              <w:t>）</w:t>
            </w:r>
          </w:p>
          <w:p w14:paraId="3D756EFC">
            <w:pPr>
              <w:tabs>
                <w:tab w:val="center" w:pos="4483"/>
              </w:tabs>
              <w:adjustRightInd w:val="0"/>
              <w:spacing w:line="400" w:lineRule="exact"/>
              <w:ind w:firstLine="400"/>
              <w:rPr>
                <w:rFonts w:ascii="宋体" w:hAnsi="宋体" w:cs="宋体"/>
                <w:color w:val="auto"/>
                <w:sz w:val="20"/>
                <w:u w:val="single"/>
              </w:rPr>
            </w:pPr>
            <w:r>
              <w:rPr>
                <w:rFonts w:hint="eastAsia" w:ascii="宋体" w:hAnsi="宋体" w:cs="宋体"/>
                <w:color w:val="auto"/>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auto"/>
                <w:sz w:val="20"/>
                <w:u w:val="single"/>
              </w:rPr>
              <w:t xml:space="preserve">                    </w:t>
            </w:r>
          </w:p>
          <w:p w14:paraId="7B18DD49">
            <w:pPr>
              <w:tabs>
                <w:tab w:val="center" w:pos="4483"/>
              </w:tabs>
              <w:adjustRightInd w:val="0"/>
              <w:spacing w:line="400" w:lineRule="exact"/>
              <w:ind w:firstLine="400"/>
              <w:rPr>
                <w:rFonts w:ascii="宋体" w:hAnsi="宋体" w:cs="宋体"/>
                <w:color w:val="auto"/>
                <w:sz w:val="20"/>
              </w:rPr>
            </w:pPr>
            <w:r>
              <w:rPr>
                <w:rFonts w:hint="eastAsia" w:ascii="宋体" w:hAnsi="宋体" w:cs="宋体"/>
                <w:color w:val="auto"/>
                <w:sz w:val="20"/>
              </w:rPr>
              <w:t>5、我单位符合本项目特定资格条件：</w:t>
            </w:r>
            <w:r>
              <w:rPr>
                <w:rFonts w:hint="eastAsia" w:ascii="宋体" w:hAnsi="宋体" w:cs="宋体"/>
                <w:color w:val="auto"/>
                <w:sz w:val="20"/>
                <w:u w:val="single"/>
              </w:rPr>
              <w:t xml:space="preserve">               </w:t>
            </w:r>
            <w:r>
              <w:rPr>
                <w:rFonts w:hint="eastAsia" w:ascii="宋体" w:hAnsi="宋体" w:cs="宋体"/>
                <w:color w:val="auto"/>
                <w:sz w:val="20"/>
              </w:rPr>
              <w:t>的要求，并在磋商响应文件中提供了相应的证明材料（磋商文件没有要求特定资格条件的，本条款空格处可以空白）</w:t>
            </w:r>
          </w:p>
          <w:p w14:paraId="2FCE0DF3">
            <w:pPr>
              <w:tabs>
                <w:tab w:val="center" w:pos="4483"/>
              </w:tabs>
              <w:adjustRightInd w:val="0"/>
              <w:spacing w:line="400" w:lineRule="exact"/>
              <w:ind w:firstLine="400" w:firstLineChars="200"/>
              <w:rPr>
                <w:rFonts w:ascii="宋体" w:hAnsi="宋体" w:cs="宋体"/>
                <w:color w:val="auto"/>
                <w:sz w:val="20"/>
              </w:rPr>
            </w:pPr>
            <w:r>
              <w:rPr>
                <w:rFonts w:hint="eastAsia" w:ascii="宋体" w:hAnsi="宋体" w:cs="宋体"/>
                <w:color w:val="auto"/>
                <w:sz w:val="20"/>
              </w:rPr>
              <w:t>6、我单位与参加本次项目同一合同项下政府采购活动的其他供应商不存在单位负责人为同一人或者直接控股、管理关系。</w:t>
            </w:r>
          </w:p>
          <w:p w14:paraId="36E5F788">
            <w:pPr>
              <w:tabs>
                <w:tab w:val="center" w:pos="4483"/>
              </w:tabs>
              <w:adjustRightInd w:val="0"/>
              <w:spacing w:line="400" w:lineRule="exact"/>
              <w:ind w:firstLine="400" w:firstLineChars="200"/>
              <w:rPr>
                <w:rFonts w:ascii="宋体" w:hAnsi="宋体"/>
                <w:bCs/>
                <w:color w:val="auto"/>
                <w:sz w:val="20"/>
              </w:rPr>
            </w:pPr>
            <w:r>
              <w:rPr>
                <w:rFonts w:hint="eastAsia" w:ascii="宋体" w:hAnsi="宋体" w:cs="宋体"/>
                <w:color w:val="auto"/>
                <w:sz w:val="20"/>
              </w:rPr>
              <w:t>7、本公司所提交的声明和陈述均是真实的、准确的。若与真实情况不符，本公司愿意承担由此而产生的一切后果。</w:t>
            </w:r>
          </w:p>
        </w:tc>
      </w:tr>
      <w:tr w14:paraId="34DC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179BAB34">
            <w:pPr>
              <w:pStyle w:val="26"/>
              <w:adjustRightInd w:val="0"/>
              <w:snapToGrid w:val="0"/>
              <w:spacing w:line="440" w:lineRule="exact"/>
              <w:rPr>
                <w:rFonts w:hAnsi="宋体"/>
                <w:color w:val="auto"/>
                <w:sz w:val="22"/>
                <w:szCs w:val="22"/>
              </w:rPr>
            </w:pPr>
            <w:r>
              <w:rPr>
                <w:rFonts w:hint="eastAsia" w:hAnsi="宋体"/>
                <w:color w:val="auto"/>
                <w:sz w:val="22"/>
                <w:szCs w:val="22"/>
                <w:lang w:val="zh-CN"/>
              </w:rPr>
              <w:t>投标供应商（盖章）：</w:t>
            </w:r>
          </w:p>
        </w:tc>
      </w:tr>
      <w:tr w14:paraId="0D39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1627BE46">
            <w:pPr>
              <w:pStyle w:val="26"/>
              <w:adjustRightInd w:val="0"/>
              <w:snapToGrid w:val="0"/>
              <w:spacing w:line="440" w:lineRule="exact"/>
              <w:rPr>
                <w:rFonts w:hAnsi="宋体"/>
                <w:color w:val="auto"/>
                <w:sz w:val="22"/>
                <w:szCs w:val="22"/>
              </w:rPr>
            </w:pPr>
            <w:r>
              <w:rPr>
                <w:rFonts w:hAnsi="宋体"/>
                <w:color w:val="auto"/>
              </w:rPr>
              <w:t>法定代表人或授权代表（签字或盖章）</w:t>
            </w:r>
            <w:r>
              <w:rPr>
                <w:rFonts w:hAnsi="宋体"/>
                <w:color w:val="auto"/>
                <w:sz w:val="22"/>
                <w:szCs w:val="22"/>
              </w:rPr>
              <w:t>：</w:t>
            </w:r>
          </w:p>
        </w:tc>
      </w:tr>
      <w:tr w14:paraId="19A6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50D94013">
            <w:pPr>
              <w:pStyle w:val="26"/>
              <w:adjustRightInd w:val="0"/>
              <w:snapToGrid w:val="0"/>
              <w:spacing w:line="440" w:lineRule="exact"/>
              <w:rPr>
                <w:rFonts w:hAnsi="宋体"/>
                <w:color w:val="auto"/>
                <w:sz w:val="22"/>
                <w:szCs w:val="22"/>
              </w:rPr>
            </w:pPr>
            <w:r>
              <w:rPr>
                <w:rFonts w:hAnsi="宋体"/>
                <w:color w:val="auto"/>
                <w:sz w:val="22"/>
                <w:szCs w:val="22"/>
              </w:rPr>
              <w:t>签署日期：</w:t>
            </w:r>
          </w:p>
        </w:tc>
      </w:tr>
    </w:tbl>
    <w:p w14:paraId="75273D27">
      <w:pPr>
        <w:pStyle w:val="26"/>
        <w:adjustRightInd w:val="0"/>
        <w:snapToGrid w:val="0"/>
        <w:spacing w:line="460" w:lineRule="atLeast"/>
        <w:jc w:val="center"/>
        <w:rPr>
          <w:rFonts w:hAnsi="宋体"/>
          <w:color w:val="auto"/>
          <w:sz w:val="36"/>
          <w:szCs w:val="36"/>
        </w:rPr>
      </w:pPr>
    </w:p>
    <w:p w14:paraId="415DEAC4">
      <w:pPr>
        <w:pStyle w:val="4"/>
        <w:spacing w:line="276" w:lineRule="auto"/>
        <w:rPr>
          <w:rFonts w:hAnsi="宋体"/>
          <w:color w:val="auto"/>
          <w:sz w:val="36"/>
        </w:rPr>
      </w:pPr>
      <w:r>
        <w:rPr>
          <w:rFonts w:hAnsi="宋体"/>
          <w:color w:val="auto"/>
          <w:sz w:val="36"/>
        </w:rPr>
        <w:br w:type="page"/>
      </w:r>
      <w:bookmarkStart w:id="72" w:name="_Toc26730"/>
      <w:bookmarkStart w:id="73" w:name="_Toc493530212"/>
      <w:r>
        <w:rPr>
          <w:rFonts w:hint="eastAsia" w:ascii="宋体" w:hAnsi="宋体"/>
          <w:color w:val="auto"/>
          <w:sz w:val="36"/>
        </w:rPr>
        <w:t>二、报价文件格式</w:t>
      </w:r>
      <w:bookmarkEnd w:id="72"/>
    </w:p>
    <w:p w14:paraId="4725E2EB">
      <w:pPr>
        <w:pStyle w:val="26"/>
        <w:adjustRightInd w:val="0"/>
        <w:snapToGrid w:val="0"/>
        <w:spacing w:line="440" w:lineRule="atLeast"/>
        <w:jc w:val="left"/>
        <w:outlineLvl w:val="1"/>
        <w:rPr>
          <w:rFonts w:hAnsi="宋体"/>
          <w:color w:val="auto"/>
          <w:sz w:val="30"/>
          <w:lang w:val="zh-CN"/>
        </w:rPr>
      </w:pPr>
      <w:bookmarkStart w:id="74" w:name="_Toc18200"/>
      <w:r>
        <w:rPr>
          <w:rFonts w:hint="eastAsia" w:hAnsi="宋体"/>
          <w:color w:val="auto"/>
          <w:sz w:val="30"/>
        </w:rPr>
        <w:t>附件</w:t>
      </w:r>
      <w:r>
        <w:rPr>
          <w:rFonts w:hint="eastAsia" w:hAnsi="宋体"/>
          <w:color w:val="auto"/>
          <w:sz w:val="30"/>
          <w:lang w:val="zh-CN"/>
        </w:rPr>
        <w:t>二</w:t>
      </w:r>
      <w:bookmarkEnd w:id="74"/>
    </w:p>
    <w:p w14:paraId="616D28F0">
      <w:pPr>
        <w:pStyle w:val="26"/>
        <w:adjustRightInd w:val="0"/>
        <w:snapToGrid w:val="0"/>
        <w:spacing w:line="440" w:lineRule="atLeast"/>
        <w:ind w:firstLine="440"/>
        <w:jc w:val="center"/>
        <w:outlineLvl w:val="1"/>
        <w:rPr>
          <w:rFonts w:hAnsi="宋体" w:cs="Arial"/>
          <w:bCs/>
          <w:color w:val="auto"/>
          <w:sz w:val="36"/>
          <w:szCs w:val="36"/>
          <w:lang w:val="zh-CN"/>
        </w:rPr>
      </w:pPr>
      <w:bookmarkStart w:id="75" w:name="_Toc6942"/>
      <w:r>
        <w:rPr>
          <w:rFonts w:hint="eastAsia" w:hAnsi="宋体" w:cs="Arial"/>
          <w:bCs/>
          <w:color w:val="auto"/>
          <w:sz w:val="36"/>
          <w:szCs w:val="36"/>
          <w:lang w:val="zh-CN"/>
        </w:rPr>
        <w:t>报价一览表</w:t>
      </w:r>
      <w:bookmarkEnd w:id="73"/>
      <w:bookmarkEnd w:id="75"/>
    </w:p>
    <w:p w14:paraId="6668FC56">
      <w:pPr>
        <w:pStyle w:val="26"/>
        <w:spacing w:line="460" w:lineRule="exact"/>
        <w:rPr>
          <w:rFonts w:hAnsi="宋体"/>
          <w:color w:val="auto"/>
        </w:rPr>
      </w:pPr>
      <w:r>
        <w:rPr>
          <w:rFonts w:hint="eastAsia" w:hAnsi="宋体"/>
          <w:color w:val="auto"/>
        </w:rPr>
        <w:t>项目名称：                                 采购编号：                        单位：元</w:t>
      </w:r>
    </w:p>
    <w:tbl>
      <w:tblPr>
        <w:tblStyle w:val="47"/>
        <w:tblW w:w="98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9"/>
        <w:gridCol w:w="6054"/>
      </w:tblGrid>
      <w:tr w14:paraId="3FCD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799" w:type="dxa"/>
            <w:vAlign w:val="center"/>
          </w:tcPr>
          <w:p w14:paraId="6F4FF643">
            <w:pPr>
              <w:pStyle w:val="26"/>
              <w:ind w:firstLine="442"/>
              <w:jc w:val="center"/>
              <w:rPr>
                <w:rFonts w:hAnsi="宋体" w:cs="宋体"/>
                <w:color w:val="auto"/>
                <w:sz w:val="22"/>
              </w:rPr>
            </w:pPr>
            <w:r>
              <w:rPr>
                <w:rFonts w:hint="eastAsia" w:hAnsi="宋体" w:cs="宋体"/>
                <w:color w:val="auto"/>
                <w:sz w:val="22"/>
              </w:rPr>
              <w:t>项目名称</w:t>
            </w:r>
          </w:p>
        </w:tc>
        <w:tc>
          <w:tcPr>
            <w:tcW w:w="6054" w:type="dxa"/>
            <w:vAlign w:val="center"/>
          </w:tcPr>
          <w:p w14:paraId="43EA3CFD">
            <w:pPr>
              <w:pStyle w:val="26"/>
              <w:ind w:firstLine="442"/>
              <w:jc w:val="center"/>
              <w:rPr>
                <w:rFonts w:hAnsi="宋体" w:cs="宋体"/>
                <w:color w:val="auto"/>
                <w:sz w:val="22"/>
              </w:rPr>
            </w:pPr>
            <w:r>
              <w:rPr>
                <w:rFonts w:hint="eastAsia" w:hAnsi="宋体" w:cs="宋体"/>
                <w:color w:val="auto"/>
                <w:sz w:val="22"/>
              </w:rPr>
              <w:t>投标价（元人民币）</w:t>
            </w:r>
          </w:p>
        </w:tc>
      </w:tr>
      <w:tr w14:paraId="3C61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3799" w:type="dxa"/>
            <w:vAlign w:val="center"/>
          </w:tcPr>
          <w:p w14:paraId="33B1C63A">
            <w:pPr>
              <w:pStyle w:val="26"/>
              <w:jc w:val="center"/>
              <w:rPr>
                <w:rFonts w:hAnsi="宋体" w:cs="宋体"/>
                <w:color w:val="auto"/>
                <w:sz w:val="22"/>
              </w:rPr>
            </w:pPr>
            <w:r>
              <w:rPr>
                <w:rFonts w:hint="eastAsia" w:hAnsi="宋体" w:cs="宋体"/>
                <w:color w:val="auto"/>
                <w:sz w:val="22"/>
              </w:rPr>
              <w:t>温州市机关协同办公系统运维及运营服务项目</w:t>
            </w:r>
          </w:p>
        </w:tc>
        <w:tc>
          <w:tcPr>
            <w:tcW w:w="6054" w:type="dxa"/>
            <w:vAlign w:val="center"/>
          </w:tcPr>
          <w:p w14:paraId="22606E90">
            <w:pPr>
              <w:pStyle w:val="26"/>
              <w:jc w:val="left"/>
              <w:rPr>
                <w:rFonts w:hAnsi="宋体" w:cs="宋体"/>
                <w:color w:val="auto"/>
                <w:sz w:val="22"/>
              </w:rPr>
            </w:pPr>
            <w:r>
              <w:rPr>
                <w:rFonts w:hint="eastAsia" w:hAnsi="宋体" w:cs="宋体"/>
                <w:color w:val="auto"/>
                <w:sz w:val="22"/>
              </w:rPr>
              <w:t>大写：</w:t>
            </w:r>
          </w:p>
          <w:p w14:paraId="7C697F00">
            <w:pPr>
              <w:pStyle w:val="26"/>
              <w:jc w:val="left"/>
              <w:rPr>
                <w:rFonts w:hAnsi="宋体" w:cs="宋体"/>
                <w:color w:val="auto"/>
                <w:sz w:val="22"/>
              </w:rPr>
            </w:pPr>
          </w:p>
          <w:p w14:paraId="0955B66A">
            <w:pPr>
              <w:pStyle w:val="26"/>
              <w:jc w:val="left"/>
              <w:rPr>
                <w:rFonts w:hAnsi="宋体" w:cs="宋体"/>
                <w:color w:val="auto"/>
                <w:sz w:val="22"/>
              </w:rPr>
            </w:pPr>
          </w:p>
          <w:p w14:paraId="0B50EB05">
            <w:pPr>
              <w:pStyle w:val="26"/>
              <w:jc w:val="left"/>
              <w:rPr>
                <w:rFonts w:hAnsi="宋体" w:cs="宋体"/>
                <w:color w:val="auto"/>
                <w:sz w:val="22"/>
              </w:rPr>
            </w:pPr>
            <w:r>
              <w:rPr>
                <w:rFonts w:hint="eastAsia" w:hAnsi="宋体" w:cs="宋体"/>
                <w:color w:val="auto"/>
                <w:sz w:val="22"/>
              </w:rPr>
              <w:t>小写：</w:t>
            </w:r>
          </w:p>
        </w:tc>
      </w:tr>
    </w:tbl>
    <w:p w14:paraId="4461BA14">
      <w:pPr>
        <w:spacing w:line="460" w:lineRule="exact"/>
        <w:rPr>
          <w:rFonts w:ascii="宋体" w:hAnsi="宋体" w:cs="仿宋_GB2312"/>
          <w:b/>
          <w:bCs/>
          <w:color w:val="auto"/>
          <w:sz w:val="22"/>
        </w:rPr>
      </w:pPr>
      <w:r>
        <w:rPr>
          <w:rFonts w:hint="eastAsia" w:ascii="宋体" w:hAnsi="宋体" w:cs="仿宋_GB2312"/>
          <w:b/>
          <w:bCs/>
          <w:color w:val="auto"/>
          <w:sz w:val="22"/>
        </w:rPr>
        <w:t>说明：</w:t>
      </w:r>
    </w:p>
    <w:p w14:paraId="50A811DB">
      <w:pPr>
        <w:spacing w:line="460" w:lineRule="atLeast"/>
        <w:rPr>
          <w:rFonts w:ascii="宋体" w:hAnsi="宋体"/>
          <w:color w:val="auto"/>
          <w:kern w:val="0"/>
          <w:sz w:val="22"/>
        </w:rPr>
      </w:pPr>
      <w:r>
        <w:rPr>
          <w:rFonts w:hint="eastAsia" w:ascii="宋体" w:hAnsi="宋体"/>
          <w:color w:val="auto"/>
          <w:kern w:val="0"/>
          <w:sz w:val="22"/>
        </w:rPr>
        <w:t>▲报价一览表中投标价为符合磋商文件要求的全部费用。</w:t>
      </w:r>
    </w:p>
    <w:p w14:paraId="2BF0ED37">
      <w:pPr>
        <w:spacing w:line="460" w:lineRule="atLeast"/>
        <w:rPr>
          <w:rFonts w:ascii="宋体" w:hAnsi="宋体"/>
          <w:color w:val="auto"/>
          <w:kern w:val="0"/>
          <w:sz w:val="22"/>
        </w:rPr>
      </w:pPr>
      <w:r>
        <w:rPr>
          <w:rFonts w:hint="eastAsia" w:ascii="宋体" w:hAnsi="宋体"/>
          <w:color w:val="auto"/>
          <w:kern w:val="0"/>
          <w:sz w:val="22"/>
        </w:rPr>
        <w:t xml:space="preserve">▲此报价一览表中投标价应与“投标分项报价表”中“合计报价”相一致。 </w:t>
      </w:r>
    </w:p>
    <w:p w14:paraId="71934A7E">
      <w:pPr>
        <w:spacing w:line="440" w:lineRule="atLeast"/>
        <w:rPr>
          <w:rFonts w:ascii="宋体" w:hAnsi="宋体"/>
          <w:b/>
          <w:color w:val="auto"/>
          <w:kern w:val="0"/>
          <w:sz w:val="22"/>
        </w:rPr>
      </w:pPr>
      <w:r>
        <w:rPr>
          <w:rFonts w:hint="eastAsia" w:ascii="宋体" w:hAnsi="宋体"/>
          <w:color w:val="auto"/>
          <w:kern w:val="0"/>
          <w:sz w:val="22"/>
        </w:rPr>
        <w:t>▲不提供此表格的将视为没有实质性响应磋商文件。</w:t>
      </w:r>
    </w:p>
    <w:p w14:paraId="208318CF">
      <w:pPr>
        <w:spacing w:line="460" w:lineRule="exact"/>
        <w:rPr>
          <w:rFonts w:ascii="宋体" w:hAnsi="宋体" w:cs="仿宋_GB2312"/>
          <w:b/>
          <w:bCs/>
          <w:color w:val="auto"/>
          <w:sz w:val="22"/>
        </w:rPr>
      </w:pPr>
    </w:p>
    <w:p w14:paraId="3E76C673">
      <w:pPr>
        <w:spacing w:line="460" w:lineRule="exact"/>
        <w:rPr>
          <w:rFonts w:ascii="宋体" w:hAnsi="宋体" w:cs="仿宋_GB2312"/>
          <w:b/>
          <w:bCs/>
          <w:color w:val="auto"/>
          <w:sz w:val="22"/>
        </w:rPr>
      </w:pPr>
    </w:p>
    <w:p w14:paraId="3F845413">
      <w:pPr>
        <w:spacing w:line="460" w:lineRule="exact"/>
        <w:rPr>
          <w:rFonts w:ascii="宋体" w:hAnsi="宋体" w:cs="仿宋_GB2312"/>
          <w:bCs/>
          <w:color w:val="auto"/>
          <w:sz w:val="22"/>
        </w:rPr>
      </w:pPr>
      <w:r>
        <w:rPr>
          <w:rFonts w:hint="eastAsia" w:ascii="宋体" w:hAnsi="宋体"/>
          <w:color w:val="auto"/>
          <w:sz w:val="22"/>
          <w:szCs w:val="22"/>
          <w:lang w:val="zh-CN"/>
        </w:rPr>
        <w:t>投标供应商（盖章）：</w:t>
      </w:r>
    </w:p>
    <w:p w14:paraId="1499DC03">
      <w:pPr>
        <w:spacing w:line="460" w:lineRule="exact"/>
        <w:rPr>
          <w:rFonts w:ascii="宋体" w:hAnsi="宋体" w:cs="仿宋_GB2312"/>
          <w:bCs/>
          <w:color w:val="auto"/>
          <w:sz w:val="22"/>
        </w:rPr>
      </w:pPr>
      <w:r>
        <w:rPr>
          <w:rFonts w:hint="eastAsia" w:ascii="宋体" w:hAnsi="宋体" w:cs="仿宋_GB2312"/>
          <w:bCs/>
          <w:color w:val="auto"/>
          <w:sz w:val="22"/>
        </w:rPr>
        <w:t>法定代表人或授权代表（签字或盖章）：</w:t>
      </w:r>
    </w:p>
    <w:p w14:paraId="6F14271B">
      <w:pPr>
        <w:spacing w:line="460" w:lineRule="exact"/>
        <w:rPr>
          <w:rFonts w:ascii="宋体" w:hAnsi="宋体" w:cs="仿宋_GB2312"/>
          <w:bCs/>
          <w:color w:val="auto"/>
          <w:sz w:val="22"/>
        </w:rPr>
      </w:pPr>
      <w:r>
        <w:rPr>
          <w:rFonts w:hint="eastAsia" w:ascii="宋体" w:hAnsi="宋体" w:cs="仿宋_GB2312"/>
          <w:bCs/>
          <w:color w:val="auto"/>
          <w:sz w:val="22"/>
        </w:rPr>
        <w:t>日期：</w:t>
      </w:r>
      <w:r>
        <w:rPr>
          <w:rFonts w:ascii="宋体" w:hAnsi="宋体" w:cs="仿宋_GB2312"/>
          <w:bCs/>
          <w:color w:val="auto"/>
          <w:sz w:val="22"/>
        </w:rPr>
        <w:t xml:space="preserve"> </w:t>
      </w:r>
    </w:p>
    <w:p w14:paraId="1212441F">
      <w:pPr>
        <w:pStyle w:val="26"/>
        <w:spacing w:line="460" w:lineRule="atLeast"/>
        <w:ind w:firstLine="550" w:firstLineChars="250"/>
        <w:rPr>
          <w:rFonts w:hAnsi="宋体"/>
          <w:color w:val="auto"/>
          <w:sz w:val="22"/>
          <w:szCs w:val="22"/>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720" w:footer="720" w:gutter="0"/>
          <w:pgNumType w:start="0"/>
          <w:cols w:space="720" w:num="1"/>
          <w:titlePg/>
          <w:docGrid w:linePitch="286" w:charSpace="-3831"/>
        </w:sectPr>
      </w:pPr>
    </w:p>
    <w:p w14:paraId="59F8BFC5">
      <w:pPr>
        <w:pStyle w:val="26"/>
        <w:adjustRightInd w:val="0"/>
        <w:snapToGrid w:val="0"/>
        <w:spacing w:line="440" w:lineRule="atLeast"/>
        <w:jc w:val="left"/>
        <w:outlineLvl w:val="1"/>
        <w:rPr>
          <w:rFonts w:hAnsi="宋体"/>
          <w:color w:val="auto"/>
          <w:sz w:val="30"/>
        </w:rPr>
      </w:pPr>
      <w:bookmarkStart w:id="76" w:name="_Toc28554"/>
      <w:r>
        <w:rPr>
          <w:rFonts w:hint="eastAsia" w:hAnsi="宋体"/>
          <w:color w:val="auto"/>
          <w:sz w:val="30"/>
        </w:rPr>
        <w:t>附件三</w:t>
      </w:r>
      <w:bookmarkEnd w:id="76"/>
    </w:p>
    <w:p w14:paraId="69DE2EEC">
      <w:pPr>
        <w:pStyle w:val="26"/>
        <w:adjustRightInd w:val="0"/>
        <w:snapToGrid w:val="0"/>
        <w:spacing w:line="440" w:lineRule="atLeast"/>
        <w:ind w:firstLine="440"/>
        <w:jc w:val="center"/>
        <w:outlineLvl w:val="1"/>
        <w:rPr>
          <w:rFonts w:hAnsi="宋体" w:cs="Arial"/>
          <w:bCs/>
          <w:color w:val="auto"/>
          <w:sz w:val="36"/>
          <w:szCs w:val="36"/>
          <w:lang w:val="zh-CN"/>
        </w:rPr>
      </w:pPr>
      <w:bookmarkStart w:id="77" w:name="_Toc24250"/>
      <w:r>
        <w:rPr>
          <w:rFonts w:hint="eastAsia" w:hAnsi="宋体" w:cs="Arial"/>
          <w:bCs/>
          <w:color w:val="auto"/>
          <w:sz w:val="36"/>
          <w:szCs w:val="36"/>
          <w:lang w:val="zh-CN"/>
        </w:rPr>
        <w:t>投标分项报价表</w:t>
      </w:r>
      <w:bookmarkEnd w:id="77"/>
    </w:p>
    <w:p w14:paraId="644148C8">
      <w:pPr>
        <w:pStyle w:val="26"/>
        <w:adjustRightInd w:val="0"/>
        <w:snapToGrid w:val="0"/>
        <w:spacing w:line="440" w:lineRule="atLeast"/>
        <w:jc w:val="both"/>
        <w:rPr>
          <w:rFonts w:hAnsi="宋体"/>
          <w:color w:val="auto"/>
          <w:sz w:val="22"/>
          <w:szCs w:val="22"/>
        </w:rPr>
      </w:pPr>
      <w:r>
        <w:rPr>
          <w:rFonts w:hint="eastAsia" w:hAnsi="宋体"/>
          <w:color w:val="auto"/>
        </w:rPr>
        <w:t xml:space="preserve">项目名称：                                 采购编号：      </w:t>
      </w:r>
      <w:r>
        <w:rPr>
          <w:rFonts w:hint="eastAsia" w:hAnsi="宋体"/>
          <w:color w:val="auto"/>
          <w:lang w:val="en-US" w:eastAsia="zh-CN"/>
        </w:rPr>
        <w:t xml:space="preserve">        </w:t>
      </w:r>
      <w:r>
        <w:rPr>
          <w:rFonts w:hint="eastAsia" w:hAnsi="宋体"/>
          <w:color w:val="auto"/>
          <w:sz w:val="22"/>
          <w:szCs w:val="22"/>
        </w:rPr>
        <w:t>（价格单位：元）</w:t>
      </w:r>
    </w:p>
    <w:tbl>
      <w:tblPr>
        <w:tblStyle w:val="47"/>
        <w:tblW w:w="95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1250"/>
        <w:gridCol w:w="1810"/>
        <w:gridCol w:w="3283"/>
      </w:tblGrid>
      <w:tr w14:paraId="4066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3200" w:type="dxa"/>
            <w:vAlign w:val="center"/>
          </w:tcPr>
          <w:p w14:paraId="35F72387">
            <w:pPr>
              <w:spacing w:line="360" w:lineRule="exact"/>
              <w:jc w:val="center"/>
              <w:rPr>
                <w:rFonts w:ascii="宋体"/>
                <w:color w:val="auto"/>
                <w:sz w:val="22"/>
              </w:rPr>
            </w:pPr>
            <w:r>
              <w:rPr>
                <w:rFonts w:hint="eastAsia" w:ascii="宋体"/>
                <w:color w:val="auto"/>
                <w:sz w:val="22"/>
              </w:rPr>
              <w:t>工作内容</w:t>
            </w:r>
          </w:p>
        </w:tc>
        <w:tc>
          <w:tcPr>
            <w:tcW w:w="1250" w:type="dxa"/>
            <w:vAlign w:val="center"/>
          </w:tcPr>
          <w:p w14:paraId="122C7DA2">
            <w:pPr>
              <w:spacing w:line="360" w:lineRule="exact"/>
              <w:jc w:val="center"/>
              <w:rPr>
                <w:rFonts w:ascii="宋体"/>
                <w:color w:val="auto"/>
                <w:sz w:val="22"/>
              </w:rPr>
            </w:pPr>
            <w:r>
              <w:rPr>
                <w:rFonts w:hint="eastAsia" w:ascii="宋体"/>
                <w:color w:val="auto"/>
                <w:sz w:val="22"/>
              </w:rPr>
              <w:t>数量</w:t>
            </w:r>
          </w:p>
        </w:tc>
        <w:tc>
          <w:tcPr>
            <w:tcW w:w="1809" w:type="dxa"/>
            <w:vAlign w:val="center"/>
          </w:tcPr>
          <w:p w14:paraId="4791AD8A">
            <w:pPr>
              <w:spacing w:line="360" w:lineRule="exact"/>
              <w:jc w:val="center"/>
              <w:rPr>
                <w:rFonts w:ascii="宋体"/>
                <w:color w:val="auto"/>
                <w:sz w:val="22"/>
              </w:rPr>
            </w:pPr>
            <w:r>
              <w:rPr>
                <w:rFonts w:hint="eastAsia" w:ascii="宋体"/>
                <w:color w:val="auto"/>
                <w:sz w:val="22"/>
              </w:rPr>
              <w:t>单价</w:t>
            </w:r>
          </w:p>
        </w:tc>
        <w:tc>
          <w:tcPr>
            <w:tcW w:w="3283" w:type="dxa"/>
            <w:vAlign w:val="center"/>
          </w:tcPr>
          <w:p w14:paraId="43E9BCB1">
            <w:pPr>
              <w:spacing w:line="360" w:lineRule="exact"/>
              <w:jc w:val="center"/>
              <w:rPr>
                <w:rFonts w:ascii="宋体"/>
                <w:color w:val="auto"/>
                <w:sz w:val="22"/>
              </w:rPr>
            </w:pPr>
            <w:r>
              <w:rPr>
                <w:rFonts w:hint="eastAsia" w:ascii="宋体"/>
                <w:color w:val="auto"/>
                <w:sz w:val="22"/>
              </w:rPr>
              <w:t>总价</w:t>
            </w:r>
          </w:p>
        </w:tc>
      </w:tr>
      <w:tr w14:paraId="28FBD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609F6A01">
            <w:pPr>
              <w:spacing w:line="360" w:lineRule="exact"/>
              <w:jc w:val="center"/>
              <w:rPr>
                <w:rFonts w:ascii="宋体"/>
                <w:color w:val="auto"/>
                <w:sz w:val="22"/>
              </w:rPr>
            </w:pPr>
          </w:p>
        </w:tc>
        <w:tc>
          <w:tcPr>
            <w:tcW w:w="1250" w:type="dxa"/>
            <w:vAlign w:val="center"/>
          </w:tcPr>
          <w:p w14:paraId="123C8F74">
            <w:pPr>
              <w:spacing w:line="360" w:lineRule="exact"/>
              <w:jc w:val="center"/>
              <w:rPr>
                <w:rFonts w:ascii="宋体"/>
                <w:color w:val="auto"/>
                <w:sz w:val="22"/>
              </w:rPr>
            </w:pPr>
          </w:p>
        </w:tc>
        <w:tc>
          <w:tcPr>
            <w:tcW w:w="1809" w:type="dxa"/>
            <w:vAlign w:val="center"/>
          </w:tcPr>
          <w:p w14:paraId="5F83FF26">
            <w:pPr>
              <w:spacing w:line="360" w:lineRule="exact"/>
              <w:jc w:val="center"/>
              <w:rPr>
                <w:rFonts w:ascii="宋体"/>
                <w:color w:val="auto"/>
                <w:sz w:val="22"/>
              </w:rPr>
            </w:pPr>
          </w:p>
        </w:tc>
        <w:tc>
          <w:tcPr>
            <w:tcW w:w="3283" w:type="dxa"/>
            <w:vAlign w:val="center"/>
          </w:tcPr>
          <w:p w14:paraId="67EF7967">
            <w:pPr>
              <w:spacing w:line="360" w:lineRule="exact"/>
              <w:jc w:val="center"/>
              <w:rPr>
                <w:rFonts w:ascii="宋体"/>
                <w:color w:val="auto"/>
                <w:sz w:val="22"/>
              </w:rPr>
            </w:pPr>
          </w:p>
        </w:tc>
      </w:tr>
      <w:tr w14:paraId="0C6F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0263EBD2">
            <w:pPr>
              <w:spacing w:line="360" w:lineRule="exact"/>
              <w:jc w:val="center"/>
              <w:rPr>
                <w:rFonts w:ascii="宋体"/>
                <w:color w:val="auto"/>
                <w:sz w:val="22"/>
              </w:rPr>
            </w:pPr>
          </w:p>
        </w:tc>
        <w:tc>
          <w:tcPr>
            <w:tcW w:w="1250" w:type="dxa"/>
            <w:vAlign w:val="center"/>
          </w:tcPr>
          <w:p w14:paraId="1B43E9C3">
            <w:pPr>
              <w:spacing w:line="360" w:lineRule="exact"/>
              <w:jc w:val="center"/>
              <w:rPr>
                <w:rFonts w:ascii="宋体"/>
                <w:color w:val="auto"/>
                <w:sz w:val="22"/>
              </w:rPr>
            </w:pPr>
          </w:p>
        </w:tc>
        <w:tc>
          <w:tcPr>
            <w:tcW w:w="1809" w:type="dxa"/>
            <w:vAlign w:val="center"/>
          </w:tcPr>
          <w:p w14:paraId="01AEE441">
            <w:pPr>
              <w:spacing w:line="360" w:lineRule="exact"/>
              <w:jc w:val="center"/>
              <w:rPr>
                <w:rFonts w:ascii="宋体"/>
                <w:color w:val="auto"/>
                <w:sz w:val="22"/>
              </w:rPr>
            </w:pPr>
          </w:p>
        </w:tc>
        <w:tc>
          <w:tcPr>
            <w:tcW w:w="3283" w:type="dxa"/>
            <w:vAlign w:val="center"/>
          </w:tcPr>
          <w:p w14:paraId="2AAA0E3B">
            <w:pPr>
              <w:spacing w:line="360" w:lineRule="exact"/>
              <w:jc w:val="center"/>
              <w:rPr>
                <w:rFonts w:ascii="宋体"/>
                <w:color w:val="auto"/>
                <w:sz w:val="22"/>
              </w:rPr>
            </w:pPr>
          </w:p>
        </w:tc>
      </w:tr>
      <w:tr w14:paraId="44E9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206E268D">
            <w:pPr>
              <w:spacing w:line="360" w:lineRule="exact"/>
              <w:jc w:val="center"/>
              <w:rPr>
                <w:rFonts w:ascii="宋体"/>
                <w:b/>
                <w:bCs/>
                <w:color w:val="auto"/>
                <w:sz w:val="22"/>
              </w:rPr>
            </w:pPr>
          </w:p>
        </w:tc>
        <w:tc>
          <w:tcPr>
            <w:tcW w:w="1250" w:type="dxa"/>
            <w:vAlign w:val="center"/>
          </w:tcPr>
          <w:p w14:paraId="178FFFEC">
            <w:pPr>
              <w:spacing w:line="360" w:lineRule="exact"/>
              <w:jc w:val="center"/>
              <w:rPr>
                <w:rFonts w:ascii="宋体"/>
                <w:color w:val="auto"/>
                <w:sz w:val="22"/>
              </w:rPr>
            </w:pPr>
          </w:p>
        </w:tc>
        <w:tc>
          <w:tcPr>
            <w:tcW w:w="1809" w:type="dxa"/>
            <w:vAlign w:val="center"/>
          </w:tcPr>
          <w:p w14:paraId="658E2035">
            <w:pPr>
              <w:spacing w:line="360" w:lineRule="exact"/>
              <w:jc w:val="center"/>
              <w:rPr>
                <w:rFonts w:ascii="宋体"/>
                <w:color w:val="auto"/>
                <w:sz w:val="22"/>
              </w:rPr>
            </w:pPr>
          </w:p>
        </w:tc>
        <w:tc>
          <w:tcPr>
            <w:tcW w:w="3283" w:type="dxa"/>
            <w:vAlign w:val="center"/>
          </w:tcPr>
          <w:p w14:paraId="1E27BD9D">
            <w:pPr>
              <w:spacing w:line="360" w:lineRule="exact"/>
              <w:jc w:val="center"/>
              <w:rPr>
                <w:rFonts w:ascii="宋体"/>
                <w:color w:val="auto"/>
                <w:sz w:val="22"/>
              </w:rPr>
            </w:pPr>
          </w:p>
        </w:tc>
      </w:tr>
      <w:tr w14:paraId="6029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1D04CC0E">
            <w:pPr>
              <w:spacing w:line="360" w:lineRule="exact"/>
              <w:jc w:val="center"/>
              <w:rPr>
                <w:rFonts w:ascii="宋体"/>
                <w:b/>
                <w:bCs/>
                <w:color w:val="auto"/>
                <w:sz w:val="22"/>
              </w:rPr>
            </w:pPr>
          </w:p>
        </w:tc>
        <w:tc>
          <w:tcPr>
            <w:tcW w:w="1250" w:type="dxa"/>
            <w:vAlign w:val="center"/>
          </w:tcPr>
          <w:p w14:paraId="02E19EA0">
            <w:pPr>
              <w:spacing w:line="360" w:lineRule="exact"/>
              <w:jc w:val="center"/>
              <w:rPr>
                <w:rFonts w:ascii="宋体"/>
                <w:color w:val="auto"/>
                <w:sz w:val="22"/>
              </w:rPr>
            </w:pPr>
          </w:p>
        </w:tc>
        <w:tc>
          <w:tcPr>
            <w:tcW w:w="1809" w:type="dxa"/>
            <w:vAlign w:val="center"/>
          </w:tcPr>
          <w:p w14:paraId="0477D7DA">
            <w:pPr>
              <w:spacing w:line="360" w:lineRule="exact"/>
              <w:jc w:val="center"/>
              <w:rPr>
                <w:rFonts w:ascii="宋体"/>
                <w:color w:val="auto"/>
                <w:sz w:val="22"/>
              </w:rPr>
            </w:pPr>
          </w:p>
        </w:tc>
        <w:tc>
          <w:tcPr>
            <w:tcW w:w="3283" w:type="dxa"/>
            <w:vAlign w:val="center"/>
          </w:tcPr>
          <w:p w14:paraId="7AEBEB01">
            <w:pPr>
              <w:spacing w:line="360" w:lineRule="exact"/>
              <w:jc w:val="center"/>
              <w:rPr>
                <w:rFonts w:ascii="宋体"/>
                <w:color w:val="auto"/>
                <w:sz w:val="22"/>
              </w:rPr>
            </w:pPr>
          </w:p>
        </w:tc>
      </w:tr>
      <w:tr w14:paraId="78B2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5CC89754">
            <w:pPr>
              <w:spacing w:line="360" w:lineRule="exact"/>
              <w:jc w:val="center"/>
              <w:rPr>
                <w:rFonts w:ascii="宋体"/>
                <w:color w:val="auto"/>
                <w:sz w:val="22"/>
              </w:rPr>
            </w:pPr>
          </w:p>
        </w:tc>
        <w:tc>
          <w:tcPr>
            <w:tcW w:w="1250" w:type="dxa"/>
            <w:vAlign w:val="center"/>
          </w:tcPr>
          <w:p w14:paraId="02AE7E53">
            <w:pPr>
              <w:spacing w:line="360" w:lineRule="exact"/>
              <w:jc w:val="center"/>
              <w:rPr>
                <w:rFonts w:ascii="宋体"/>
                <w:color w:val="auto"/>
                <w:sz w:val="22"/>
              </w:rPr>
            </w:pPr>
          </w:p>
        </w:tc>
        <w:tc>
          <w:tcPr>
            <w:tcW w:w="1809" w:type="dxa"/>
            <w:vAlign w:val="center"/>
          </w:tcPr>
          <w:p w14:paraId="29450434">
            <w:pPr>
              <w:spacing w:line="360" w:lineRule="exact"/>
              <w:jc w:val="center"/>
              <w:rPr>
                <w:rFonts w:ascii="宋体"/>
                <w:color w:val="auto"/>
                <w:sz w:val="22"/>
              </w:rPr>
            </w:pPr>
          </w:p>
        </w:tc>
        <w:tc>
          <w:tcPr>
            <w:tcW w:w="3283" w:type="dxa"/>
            <w:vAlign w:val="center"/>
          </w:tcPr>
          <w:p w14:paraId="26931950">
            <w:pPr>
              <w:spacing w:line="360" w:lineRule="exact"/>
              <w:jc w:val="center"/>
              <w:rPr>
                <w:rFonts w:ascii="宋体"/>
                <w:color w:val="auto"/>
                <w:sz w:val="22"/>
              </w:rPr>
            </w:pPr>
          </w:p>
        </w:tc>
      </w:tr>
      <w:tr w14:paraId="2B2C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3A2D519D">
            <w:pPr>
              <w:spacing w:line="360" w:lineRule="exact"/>
              <w:jc w:val="center"/>
              <w:rPr>
                <w:rFonts w:ascii="宋体"/>
                <w:color w:val="auto"/>
                <w:sz w:val="22"/>
              </w:rPr>
            </w:pPr>
          </w:p>
        </w:tc>
        <w:tc>
          <w:tcPr>
            <w:tcW w:w="1250" w:type="dxa"/>
            <w:vAlign w:val="center"/>
          </w:tcPr>
          <w:p w14:paraId="194749AE">
            <w:pPr>
              <w:spacing w:line="360" w:lineRule="exact"/>
              <w:jc w:val="center"/>
              <w:rPr>
                <w:rFonts w:ascii="宋体"/>
                <w:color w:val="auto"/>
                <w:sz w:val="22"/>
              </w:rPr>
            </w:pPr>
          </w:p>
        </w:tc>
        <w:tc>
          <w:tcPr>
            <w:tcW w:w="1809" w:type="dxa"/>
            <w:vAlign w:val="center"/>
          </w:tcPr>
          <w:p w14:paraId="53E514FD">
            <w:pPr>
              <w:spacing w:line="360" w:lineRule="exact"/>
              <w:jc w:val="center"/>
              <w:rPr>
                <w:rFonts w:ascii="宋体"/>
                <w:color w:val="auto"/>
                <w:sz w:val="22"/>
              </w:rPr>
            </w:pPr>
          </w:p>
        </w:tc>
        <w:tc>
          <w:tcPr>
            <w:tcW w:w="3283" w:type="dxa"/>
            <w:vAlign w:val="center"/>
          </w:tcPr>
          <w:p w14:paraId="2191BD6F">
            <w:pPr>
              <w:spacing w:line="360" w:lineRule="exact"/>
              <w:jc w:val="center"/>
              <w:rPr>
                <w:rFonts w:ascii="宋体"/>
                <w:color w:val="auto"/>
                <w:sz w:val="22"/>
              </w:rPr>
            </w:pPr>
          </w:p>
        </w:tc>
      </w:tr>
      <w:tr w14:paraId="54E3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40686698">
            <w:pPr>
              <w:spacing w:line="360" w:lineRule="exact"/>
              <w:jc w:val="center"/>
              <w:rPr>
                <w:rFonts w:ascii="宋体"/>
                <w:color w:val="auto"/>
                <w:sz w:val="22"/>
              </w:rPr>
            </w:pPr>
          </w:p>
        </w:tc>
        <w:tc>
          <w:tcPr>
            <w:tcW w:w="1250" w:type="dxa"/>
            <w:vAlign w:val="center"/>
          </w:tcPr>
          <w:p w14:paraId="7BC4CAF3">
            <w:pPr>
              <w:spacing w:line="360" w:lineRule="exact"/>
              <w:jc w:val="center"/>
              <w:rPr>
                <w:rFonts w:ascii="宋体"/>
                <w:color w:val="auto"/>
                <w:sz w:val="22"/>
              </w:rPr>
            </w:pPr>
          </w:p>
        </w:tc>
        <w:tc>
          <w:tcPr>
            <w:tcW w:w="1809" w:type="dxa"/>
            <w:vAlign w:val="center"/>
          </w:tcPr>
          <w:p w14:paraId="12EAA104">
            <w:pPr>
              <w:spacing w:line="360" w:lineRule="exact"/>
              <w:jc w:val="center"/>
              <w:rPr>
                <w:rFonts w:ascii="宋体"/>
                <w:color w:val="auto"/>
                <w:sz w:val="22"/>
              </w:rPr>
            </w:pPr>
          </w:p>
        </w:tc>
        <w:tc>
          <w:tcPr>
            <w:tcW w:w="3283" w:type="dxa"/>
            <w:vAlign w:val="center"/>
          </w:tcPr>
          <w:p w14:paraId="309FB07F">
            <w:pPr>
              <w:spacing w:line="360" w:lineRule="exact"/>
              <w:jc w:val="center"/>
              <w:rPr>
                <w:rFonts w:ascii="宋体"/>
                <w:color w:val="auto"/>
                <w:sz w:val="22"/>
              </w:rPr>
            </w:pPr>
          </w:p>
        </w:tc>
      </w:tr>
      <w:tr w14:paraId="4FCC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01CFFE0C">
            <w:pPr>
              <w:spacing w:line="360" w:lineRule="exact"/>
              <w:jc w:val="center"/>
              <w:rPr>
                <w:rFonts w:ascii="宋体"/>
                <w:color w:val="auto"/>
                <w:sz w:val="22"/>
              </w:rPr>
            </w:pPr>
          </w:p>
        </w:tc>
        <w:tc>
          <w:tcPr>
            <w:tcW w:w="1250" w:type="dxa"/>
            <w:vAlign w:val="center"/>
          </w:tcPr>
          <w:p w14:paraId="217F3E6C">
            <w:pPr>
              <w:spacing w:line="360" w:lineRule="exact"/>
              <w:jc w:val="center"/>
              <w:rPr>
                <w:rFonts w:ascii="宋体"/>
                <w:color w:val="auto"/>
                <w:sz w:val="22"/>
              </w:rPr>
            </w:pPr>
          </w:p>
        </w:tc>
        <w:tc>
          <w:tcPr>
            <w:tcW w:w="1809" w:type="dxa"/>
            <w:vAlign w:val="center"/>
          </w:tcPr>
          <w:p w14:paraId="284AD874">
            <w:pPr>
              <w:spacing w:line="360" w:lineRule="exact"/>
              <w:jc w:val="center"/>
              <w:rPr>
                <w:rFonts w:ascii="宋体"/>
                <w:color w:val="auto"/>
                <w:sz w:val="22"/>
              </w:rPr>
            </w:pPr>
          </w:p>
        </w:tc>
        <w:tc>
          <w:tcPr>
            <w:tcW w:w="3283" w:type="dxa"/>
            <w:vAlign w:val="center"/>
          </w:tcPr>
          <w:p w14:paraId="3EF3DA9A">
            <w:pPr>
              <w:spacing w:line="360" w:lineRule="exact"/>
              <w:jc w:val="center"/>
              <w:rPr>
                <w:rFonts w:ascii="宋体"/>
                <w:color w:val="auto"/>
                <w:sz w:val="22"/>
              </w:rPr>
            </w:pPr>
          </w:p>
        </w:tc>
      </w:tr>
      <w:tr w14:paraId="0B8D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00" w:type="dxa"/>
            <w:vAlign w:val="center"/>
          </w:tcPr>
          <w:p w14:paraId="0F7325D0">
            <w:pPr>
              <w:spacing w:line="360" w:lineRule="exact"/>
              <w:jc w:val="center"/>
              <w:rPr>
                <w:rFonts w:ascii="宋体"/>
                <w:color w:val="auto"/>
                <w:sz w:val="22"/>
              </w:rPr>
            </w:pPr>
          </w:p>
        </w:tc>
        <w:tc>
          <w:tcPr>
            <w:tcW w:w="1250" w:type="dxa"/>
            <w:vAlign w:val="center"/>
          </w:tcPr>
          <w:p w14:paraId="1E5FE826">
            <w:pPr>
              <w:spacing w:line="360" w:lineRule="exact"/>
              <w:jc w:val="center"/>
              <w:rPr>
                <w:rFonts w:ascii="宋体"/>
                <w:color w:val="auto"/>
                <w:sz w:val="22"/>
              </w:rPr>
            </w:pPr>
          </w:p>
        </w:tc>
        <w:tc>
          <w:tcPr>
            <w:tcW w:w="1809" w:type="dxa"/>
            <w:vAlign w:val="center"/>
          </w:tcPr>
          <w:p w14:paraId="33647775">
            <w:pPr>
              <w:spacing w:line="360" w:lineRule="exact"/>
              <w:jc w:val="center"/>
              <w:rPr>
                <w:rFonts w:ascii="宋体"/>
                <w:color w:val="auto"/>
                <w:sz w:val="22"/>
              </w:rPr>
            </w:pPr>
          </w:p>
        </w:tc>
        <w:tc>
          <w:tcPr>
            <w:tcW w:w="3283" w:type="dxa"/>
            <w:vAlign w:val="center"/>
          </w:tcPr>
          <w:p w14:paraId="7E92A9A6">
            <w:pPr>
              <w:spacing w:line="360" w:lineRule="exact"/>
              <w:jc w:val="center"/>
              <w:rPr>
                <w:rFonts w:ascii="宋体"/>
                <w:color w:val="auto"/>
                <w:sz w:val="22"/>
              </w:rPr>
            </w:pPr>
          </w:p>
        </w:tc>
      </w:tr>
      <w:tr w14:paraId="1EEB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260" w:type="dxa"/>
            <w:gridSpan w:val="3"/>
            <w:vAlign w:val="center"/>
          </w:tcPr>
          <w:p w14:paraId="4E1CDC67">
            <w:pPr>
              <w:spacing w:line="360" w:lineRule="exact"/>
              <w:jc w:val="center"/>
              <w:rPr>
                <w:rFonts w:ascii="宋体"/>
                <w:color w:val="auto"/>
                <w:sz w:val="22"/>
              </w:rPr>
            </w:pPr>
            <w:r>
              <w:rPr>
                <w:rFonts w:hint="eastAsia" w:ascii="宋体"/>
                <w:color w:val="auto"/>
                <w:sz w:val="22"/>
              </w:rPr>
              <w:t>合计报价</w:t>
            </w:r>
          </w:p>
        </w:tc>
        <w:tc>
          <w:tcPr>
            <w:tcW w:w="3283" w:type="dxa"/>
            <w:vAlign w:val="center"/>
          </w:tcPr>
          <w:p w14:paraId="56845600">
            <w:pPr>
              <w:spacing w:line="360" w:lineRule="exact"/>
              <w:jc w:val="center"/>
              <w:rPr>
                <w:rFonts w:ascii="宋体"/>
                <w:color w:val="auto"/>
                <w:sz w:val="22"/>
              </w:rPr>
            </w:pPr>
          </w:p>
        </w:tc>
      </w:tr>
    </w:tbl>
    <w:p w14:paraId="5AD51A85">
      <w:pPr>
        <w:spacing w:line="460" w:lineRule="exact"/>
        <w:rPr>
          <w:rFonts w:ascii="宋体" w:hAnsi="宋体" w:cs="仿宋_GB2312"/>
          <w:bCs/>
          <w:color w:val="auto"/>
          <w:sz w:val="22"/>
        </w:rPr>
      </w:pPr>
    </w:p>
    <w:p w14:paraId="18D5DE37">
      <w:pPr>
        <w:spacing w:line="460" w:lineRule="exact"/>
        <w:rPr>
          <w:rFonts w:ascii="宋体" w:hAnsi="宋体" w:cs="仿宋_GB2312"/>
          <w:bCs/>
          <w:color w:val="auto"/>
          <w:sz w:val="22"/>
        </w:rPr>
      </w:pPr>
      <w:r>
        <w:rPr>
          <w:rFonts w:hint="eastAsia" w:ascii="宋体" w:hAnsi="宋体" w:cs="仿宋_GB2312"/>
          <w:bCs/>
          <w:color w:val="auto"/>
          <w:sz w:val="22"/>
        </w:rPr>
        <w:t>说明：</w:t>
      </w:r>
    </w:p>
    <w:p w14:paraId="2ED02AB9">
      <w:pPr>
        <w:numPr>
          <w:ilvl w:val="0"/>
          <w:numId w:val="2"/>
        </w:numPr>
        <w:spacing w:line="460" w:lineRule="exact"/>
        <w:rPr>
          <w:rFonts w:ascii="宋体" w:hAnsi="宋体" w:cs="仿宋_GB2312"/>
          <w:bCs/>
          <w:color w:val="auto"/>
          <w:sz w:val="22"/>
        </w:rPr>
      </w:pPr>
      <w:r>
        <w:rPr>
          <w:rFonts w:hint="eastAsia" w:ascii="宋体" w:hAnsi="宋体" w:cs="仿宋_GB2312"/>
          <w:bCs/>
          <w:color w:val="auto"/>
          <w:sz w:val="22"/>
        </w:rPr>
        <w:t>合计</w:t>
      </w:r>
      <w:r>
        <w:rPr>
          <w:rFonts w:ascii="宋体" w:hAnsi="宋体" w:cs="仿宋_GB2312"/>
          <w:bCs/>
          <w:color w:val="auto"/>
          <w:sz w:val="22"/>
        </w:rPr>
        <w:t>报价应与</w:t>
      </w:r>
      <w:r>
        <w:rPr>
          <w:rFonts w:hint="eastAsia" w:ascii="宋体" w:hAnsi="宋体" w:cs="仿宋_GB2312"/>
          <w:bCs/>
          <w:color w:val="auto"/>
          <w:sz w:val="22"/>
        </w:rPr>
        <w:t>《报价</w:t>
      </w:r>
      <w:r>
        <w:rPr>
          <w:rFonts w:ascii="宋体" w:hAnsi="宋体" w:cs="仿宋_GB2312"/>
          <w:bCs/>
          <w:color w:val="auto"/>
          <w:sz w:val="22"/>
        </w:rPr>
        <w:t>一览表</w:t>
      </w:r>
      <w:r>
        <w:rPr>
          <w:rFonts w:hint="eastAsia" w:ascii="宋体" w:hAnsi="宋体" w:cs="仿宋_GB2312"/>
          <w:bCs/>
          <w:color w:val="auto"/>
          <w:sz w:val="22"/>
        </w:rPr>
        <w:t>》</w:t>
      </w:r>
      <w:r>
        <w:rPr>
          <w:rFonts w:ascii="宋体" w:hAnsi="宋体" w:cs="仿宋_GB2312"/>
          <w:bCs/>
          <w:color w:val="auto"/>
          <w:sz w:val="22"/>
        </w:rPr>
        <w:t>中投标价相一致。</w:t>
      </w:r>
    </w:p>
    <w:p w14:paraId="2845267F">
      <w:pPr>
        <w:numPr>
          <w:ilvl w:val="0"/>
          <w:numId w:val="2"/>
        </w:numPr>
        <w:spacing w:line="460" w:lineRule="exact"/>
        <w:rPr>
          <w:rFonts w:ascii="宋体" w:hAnsi="宋体"/>
          <w:b/>
          <w:color w:val="auto"/>
          <w:sz w:val="22"/>
          <w:szCs w:val="22"/>
        </w:rPr>
      </w:pPr>
      <w:r>
        <w:rPr>
          <w:rFonts w:hint="eastAsia" w:ascii="宋体" w:hAnsi="宋体"/>
          <w:b/>
          <w:color w:val="auto"/>
          <w:sz w:val="22"/>
          <w:szCs w:val="22"/>
        </w:rPr>
        <w:t>▲超过预算则按无效报价处理。</w:t>
      </w:r>
    </w:p>
    <w:p w14:paraId="01FA1296">
      <w:pPr>
        <w:spacing w:line="460" w:lineRule="exact"/>
        <w:ind w:firstLine="646" w:firstLineChars="294"/>
        <w:rPr>
          <w:rFonts w:ascii="宋体" w:hAnsi="宋体" w:cs="仿宋_GB2312"/>
          <w:bCs/>
          <w:color w:val="auto"/>
          <w:sz w:val="22"/>
        </w:rPr>
      </w:pPr>
      <w:r>
        <w:rPr>
          <w:rFonts w:ascii="宋体" w:hAnsi="宋体" w:cs="仿宋_GB2312"/>
          <w:bCs/>
          <w:color w:val="auto"/>
          <w:sz w:val="22"/>
        </w:rPr>
        <w:t>3、本表所列费用为本项目的全部费用，未列费用均视为综合考虑包含在投标报价内。</w:t>
      </w:r>
    </w:p>
    <w:p w14:paraId="0018F9D5">
      <w:pPr>
        <w:spacing w:line="460" w:lineRule="exact"/>
        <w:ind w:firstLine="646" w:firstLineChars="294"/>
        <w:rPr>
          <w:rFonts w:ascii="宋体" w:hAnsi="宋体" w:cs="仿宋_GB2312"/>
          <w:bCs/>
          <w:color w:val="auto"/>
          <w:sz w:val="22"/>
        </w:rPr>
      </w:pPr>
      <w:r>
        <w:rPr>
          <w:rFonts w:ascii="宋体" w:hAnsi="宋体" w:cs="仿宋_GB2312"/>
          <w:bCs/>
          <w:color w:val="auto"/>
          <w:sz w:val="22"/>
        </w:rPr>
        <w:t>4</w:t>
      </w:r>
      <w:r>
        <w:rPr>
          <w:rFonts w:hint="eastAsia" w:ascii="宋体" w:hAnsi="宋体" w:cs="仿宋_GB2312"/>
          <w:bCs/>
          <w:color w:val="auto"/>
          <w:sz w:val="22"/>
        </w:rPr>
        <w:t>、投标供应商可根据本表结合实际自行扩充。</w:t>
      </w:r>
    </w:p>
    <w:p w14:paraId="1F2AAB11">
      <w:pPr>
        <w:spacing w:line="460" w:lineRule="exact"/>
        <w:ind w:firstLine="646" w:firstLineChars="294"/>
        <w:rPr>
          <w:rFonts w:ascii="宋体" w:hAnsi="宋体" w:cs="仿宋_GB2312"/>
          <w:bCs/>
          <w:color w:val="auto"/>
          <w:sz w:val="22"/>
        </w:rPr>
      </w:pPr>
    </w:p>
    <w:p w14:paraId="0CAC0C3E">
      <w:pPr>
        <w:spacing w:line="460" w:lineRule="exact"/>
        <w:ind w:firstLine="646" w:firstLineChars="294"/>
        <w:rPr>
          <w:rFonts w:ascii="宋体" w:hAnsi="宋体" w:cs="仿宋_GB2312"/>
          <w:bCs/>
          <w:color w:val="auto"/>
          <w:sz w:val="22"/>
        </w:rPr>
      </w:pPr>
    </w:p>
    <w:p w14:paraId="2041BC2F">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投标供应商（盖章）：</w:t>
      </w:r>
    </w:p>
    <w:p w14:paraId="7A5C2230">
      <w:pPr>
        <w:spacing w:line="460" w:lineRule="exact"/>
        <w:rPr>
          <w:rFonts w:ascii="宋体" w:hAnsi="宋体" w:cs="仿宋_GB2312"/>
          <w:bCs/>
          <w:color w:val="auto"/>
          <w:sz w:val="22"/>
        </w:rPr>
      </w:pPr>
      <w:r>
        <w:rPr>
          <w:rFonts w:hint="eastAsia" w:ascii="宋体" w:hAnsi="宋体" w:cs="仿宋_GB2312"/>
          <w:bCs/>
          <w:color w:val="auto"/>
          <w:sz w:val="22"/>
        </w:rPr>
        <w:t>法定代表人或授权代表（签字或盖章）：</w:t>
      </w:r>
    </w:p>
    <w:p w14:paraId="5D8D3EC0">
      <w:pPr>
        <w:spacing w:line="460" w:lineRule="exact"/>
        <w:rPr>
          <w:rFonts w:ascii="宋体" w:hAnsi="宋体" w:cs="仿宋_GB2312"/>
          <w:bCs/>
          <w:color w:val="auto"/>
          <w:sz w:val="22"/>
        </w:rPr>
      </w:pPr>
      <w:r>
        <w:rPr>
          <w:rFonts w:hint="eastAsia" w:ascii="宋体" w:hAnsi="宋体" w:cs="仿宋_GB2312"/>
          <w:bCs/>
          <w:color w:val="auto"/>
          <w:sz w:val="22"/>
        </w:rPr>
        <w:t>日期：</w:t>
      </w:r>
    </w:p>
    <w:p w14:paraId="5C7FE857">
      <w:pPr>
        <w:rPr>
          <w:rFonts w:hAnsi="宋体" w:cs="仿宋_GB2312"/>
          <w:bCs/>
          <w:color w:val="auto"/>
          <w:sz w:val="22"/>
        </w:rPr>
      </w:pPr>
      <w:r>
        <w:rPr>
          <w:rFonts w:hint="eastAsia" w:hAnsi="宋体" w:cs="仿宋_GB2312"/>
          <w:bCs/>
          <w:color w:val="auto"/>
          <w:sz w:val="22"/>
        </w:rPr>
        <w:br w:type="page"/>
      </w:r>
    </w:p>
    <w:p w14:paraId="46E4F5E1">
      <w:pPr>
        <w:pStyle w:val="4"/>
        <w:spacing w:line="276" w:lineRule="auto"/>
        <w:rPr>
          <w:rFonts w:ascii="宋体" w:hAnsi="宋体"/>
          <w:color w:val="auto"/>
          <w:sz w:val="36"/>
        </w:rPr>
      </w:pPr>
      <w:bookmarkStart w:id="78" w:name="_Toc29184"/>
      <w:r>
        <w:rPr>
          <w:rFonts w:hint="eastAsia" w:ascii="宋体" w:hAnsi="宋体"/>
          <w:color w:val="auto"/>
          <w:sz w:val="36"/>
        </w:rPr>
        <w:t>三、商务技术文件格式</w:t>
      </w:r>
      <w:bookmarkEnd w:id="78"/>
    </w:p>
    <w:p w14:paraId="6B24FF44">
      <w:pPr>
        <w:pStyle w:val="26"/>
        <w:adjustRightInd w:val="0"/>
        <w:snapToGrid w:val="0"/>
        <w:spacing w:line="440" w:lineRule="atLeast"/>
        <w:jc w:val="left"/>
        <w:outlineLvl w:val="1"/>
        <w:rPr>
          <w:rFonts w:hAnsi="宋体"/>
          <w:color w:val="auto"/>
          <w:sz w:val="30"/>
        </w:rPr>
      </w:pPr>
      <w:bookmarkStart w:id="79" w:name="_Toc25376"/>
      <w:r>
        <w:rPr>
          <w:rFonts w:hint="eastAsia" w:hAnsi="宋体"/>
          <w:color w:val="auto"/>
          <w:sz w:val="30"/>
        </w:rPr>
        <w:t>附件四</w:t>
      </w:r>
      <w:bookmarkEnd w:id="79"/>
    </w:p>
    <w:p w14:paraId="66CF4777">
      <w:pPr>
        <w:pStyle w:val="26"/>
        <w:adjustRightInd w:val="0"/>
        <w:snapToGrid w:val="0"/>
        <w:spacing w:line="440" w:lineRule="atLeast"/>
        <w:ind w:firstLine="440"/>
        <w:jc w:val="center"/>
        <w:outlineLvl w:val="1"/>
        <w:rPr>
          <w:rFonts w:hAnsi="宋体" w:cs="Arial"/>
          <w:bCs/>
          <w:color w:val="auto"/>
          <w:sz w:val="36"/>
          <w:szCs w:val="36"/>
          <w:lang w:val="zh-CN"/>
        </w:rPr>
      </w:pPr>
      <w:bookmarkStart w:id="80" w:name="_Toc26264"/>
      <w:r>
        <w:rPr>
          <w:rFonts w:hint="eastAsia" w:hAnsi="宋体" w:cs="Arial"/>
          <w:bCs/>
          <w:color w:val="auto"/>
          <w:sz w:val="36"/>
          <w:szCs w:val="36"/>
          <w:lang w:val="zh-CN"/>
        </w:rPr>
        <w:t>投</w:t>
      </w:r>
      <w:r>
        <w:rPr>
          <w:rFonts w:hAnsi="宋体" w:cs="Arial"/>
          <w:bCs/>
          <w:color w:val="auto"/>
          <w:sz w:val="36"/>
          <w:szCs w:val="36"/>
          <w:lang w:val="zh-CN"/>
        </w:rPr>
        <w:t xml:space="preserve">  </w:t>
      </w:r>
      <w:r>
        <w:rPr>
          <w:rFonts w:hint="eastAsia" w:hAnsi="宋体" w:cs="Arial"/>
          <w:bCs/>
          <w:color w:val="auto"/>
          <w:sz w:val="36"/>
          <w:szCs w:val="36"/>
          <w:lang w:val="zh-CN"/>
        </w:rPr>
        <w:t>标</w:t>
      </w:r>
      <w:r>
        <w:rPr>
          <w:rFonts w:hAnsi="宋体" w:cs="Arial"/>
          <w:bCs/>
          <w:color w:val="auto"/>
          <w:sz w:val="36"/>
          <w:szCs w:val="36"/>
          <w:lang w:val="zh-CN"/>
        </w:rPr>
        <w:t xml:space="preserve">  </w:t>
      </w:r>
      <w:r>
        <w:rPr>
          <w:rFonts w:hint="eastAsia" w:hAnsi="宋体" w:cs="Arial"/>
          <w:bCs/>
          <w:color w:val="auto"/>
          <w:sz w:val="36"/>
          <w:szCs w:val="36"/>
          <w:lang w:val="zh-CN"/>
        </w:rPr>
        <w:t>函</w:t>
      </w:r>
      <w:bookmarkEnd w:id="80"/>
    </w:p>
    <w:p w14:paraId="54951B35">
      <w:pPr>
        <w:autoSpaceDE w:val="0"/>
        <w:autoSpaceDN w:val="0"/>
        <w:adjustRightInd w:val="0"/>
        <w:spacing w:line="460" w:lineRule="atLeast"/>
        <w:rPr>
          <w:rFonts w:ascii="宋体" w:hAnsi="宋体"/>
          <w:color w:val="auto"/>
          <w:sz w:val="22"/>
          <w:szCs w:val="22"/>
          <w:u w:val="single"/>
          <w:lang w:val="zh-CN"/>
        </w:rPr>
      </w:pPr>
      <w:r>
        <w:rPr>
          <w:rFonts w:hint="eastAsia" w:ascii="宋体" w:hAnsi="宋体"/>
          <w:color w:val="auto"/>
          <w:sz w:val="22"/>
          <w:szCs w:val="22"/>
          <w:u w:val="single"/>
          <w:lang w:val="zh-CN"/>
        </w:rPr>
        <w:t>温州市数据局</w:t>
      </w:r>
    </w:p>
    <w:p w14:paraId="3D7C5B17">
      <w:pPr>
        <w:autoSpaceDE w:val="0"/>
        <w:autoSpaceDN w:val="0"/>
        <w:adjustRightInd w:val="0"/>
        <w:spacing w:line="460" w:lineRule="atLeast"/>
        <w:rPr>
          <w:rFonts w:ascii="宋体" w:hAnsi="宋体"/>
          <w:color w:val="auto"/>
          <w:sz w:val="22"/>
          <w:szCs w:val="22"/>
          <w:u w:val="single"/>
          <w:lang w:val="zh-CN"/>
        </w:rPr>
      </w:pPr>
      <w:r>
        <w:rPr>
          <w:rFonts w:hint="eastAsia" w:ascii="宋体" w:hAnsi="宋体"/>
          <w:color w:val="auto"/>
          <w:sz w:val="22"/>
          <w:szCs w:val="22"/>
          <w:u w:val="single"/>
          <w:lang w:val="zh-CN"/>
        </w:rPr>
        <w:t>杭州华旗招标代理有限公司：</w:t>
      </w:r>
    </w:p>
    <w:p w14:paraId="1FB793FB">
      <w:pPr>
        <w:autoSpaceDE w:val="0"/>
        <w:autoSpaceDN w:val="0"/>
        <w:adjustRightInd w:val="0"/>
        <w:spacing w:line="460" w:lineRule="atLeast"/>
        <w:rPr>
          <w:rFonts w:ascii="宋体" w:hAnsi="宋体"/>
          <w:color w:val="auto"/>
          <w:sz w:val="22"/>
          <w:szCs w:val="22"/>
          <w:lang w:val="zh-CN"/>
        </w:rPr>
      </w:pPr>
      <w:r>
        <w:rPr>
          <w:rFonts w:ascii="宋体" w:hAnsi="宋体"/>
          <w:color w:val="auto"/>
          <w:sz w:val="22"/>
          <w:szCs w:val="22"/>
          <w:lang w:val="zh-CN"/>
        </w:rPr>
        <w:t xml:space="preserve">    </w:t>
      </w:r>
      <w:r>
        <w:rPr>
          <w:rFonts w:ascii="宋体" w:hAnsi="宋体"/>
          <w:color w:val="auto"/>
          <w:sz w:val="22"/>
          <w:szCs w:val="22"/>
          <w:u w:val="single"/>
          <w:lang w:val="zh-CN"/>
        </w:rPr>
        <w:t xml:space="preserve">                    </w:t>
      </w:r>
      <w:r>
        <w:rPr>
          <w:rFonts w:hint="eastAsia" w:ascii="宋体" w:hAnsi="宋体"/>
          <w:color w:val="auto"/>
          <w:sz w:val="22"/>
          <w:szCs w:val="22"/>
          <w:lang w:val="zh-CN"/>
        </w:rPr>
        <w:t>（投标供应商全称）授权</w:t>
      </w:r>
      <w:r>
        <w:rPr>
          <w:rFonts w:ascii="宋体" w:hAnsi="宋体"/>
          <w:color w:val="auto"/>
          <w:sz w:val="22"/>
          <w:szCs w:val="22"/>
          <w:u w:val="single"/>
          <w:lang w:val="zh-CN"/>
        </w:rPr>
        <w:t xml:space="preserve">         </w:t>
      </w:r>
      <w:r>
        <w:rPr>
          <w:rFonts w:ascii="宋体" w:hAnsi="宋体"/>
          <w:color w:val="auto"/>
          <w:sz w:val="22"/>
          <w:szCs w:val="22"/>
          <w:lang w:val="zh-CN"/>
        </w:rPr>
        <w:t xml:space="preserve"> </w:t>
      </w:r>
      <w:r>
        <w:rPr>
          <w:rFonts w:hint="eastAsia" w:ascii="宋体" w:hAnsi="宋体"/>
          <w:color w:val="auto"/>
          <w:sz w:val="22"/>
          <w:szCs w:val="22"/>
          <w:lang w:val="zh-CN"/>
        </w:rPr>
        <w:t>（授权代表名称）</w:t>
      </w:r>
      <w:r>
        <w:rPr>
          <w:rFonts w:ascii="宋体" w:hAnsi="宋体"/>
          <w:color w:val="auto"/>
          <w:sz w:val="22"/>
          <w:szCs w:val="22"/>
          <w:u w:val="single"/>
          <w:lang w:val="zh-CN"/>
        </w:rPr>
        <w:t xml:space="preserve">         </w:t>
      </w:r>
      <w:r>
        <w:rPr>
          <w:rFonts w:hint="eastAsia" w:ascii="宋体" w:hAnsi="宋体"/>
          <w:color w:val="auto"/>
          <w:sz w:val="22"/>
          <w:szCs w:val="22"/>
          <w:lang w:val="zh-CN"/>
        </w:rPr>
        <w:t>（职务、职称）为授权代表，参加贵方组织的</w:t>
      </w:r>
      <w:r>
        <w:rPr>
          <w:rFonts w:ascii="宋体" w:hAnsi="宋体"/>
          <w:color w:val="auto"/>
          <w:sz w:val="22"/>
          <w:szCs w:val="22"/>
          <w:u w:val="single"/>
          <w:lang w:val="zh-CN"/>
        </w:rPr>
        <w:t xml:space="preserve">    </w:t>
      </w:r>
      <w:r>
        <w:rPr>
          <w:rFonts w:hint="eastAsia" w:ascii="宋体" w:hAnsi="宋体"/>
          <w:color w:val="auto"/>
          <w:sz w:val="22"/>
          <w:szCs w:val="22"/>
          <w:u w:val="single"/>
          <w:lang w:val="zh-CN"/>
        </w:rPr>
        <w:t>（招标项目名称）（括号内填招标编号）</w:t>
      </w:r>
      <w:r>
        <w:rPr>
          <w:rFonts w:hint="eastAsia" w:ascii="宋体" w:hAnsi="宋体"/>
          <w:color w:val="auto"/>
          <w:sz w:val="22"/>
          <w:szCs w:val="22"/>
          <w:lang w:val="zh-CN"/>
        </w:rPr>
        <w:t>招标的有关活动，并对此进行投标。为此：</w:t>
      </w:r>
      <w:r>
        <w:rPr>
          <w:rFonts w:ascii="宋体" w:hAnsi="宋体"/>
          <w:color w:val="auto"/>
          <w:sz w:val="22"/>
          <w:szCs w:val="22"/>
          <w:lang w:val="zh-CN"/>
        </w:rPr>
        <w:t xml:space="preserve">    </w:t>
      </w:r>
    </w:p>
    <w:p w14:paraId="3D02E89D">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1、提供磋商文件要求的全部磋商响应文件。</w:t>
      </w:r>
    </w:p>
    <w:p w14:paraId="379A289E">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2、保证遵守磋商文件中的有关规定和约定。</w:t>
      </w:r>
    </w:p>
    <w:p w14:paraId="726D2B0F">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3、保证忠实地执行双方所签的合同，并承担合同规定的责任义务。</w:t>
      </w:r>
    </w:p>
    <w:p w14:paraId="38910CEB">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4、如我单位中标（成交），我方承诺按磋商文件要求提供各项服务</w:t>
      </w:r>
      <w:r>
        <w:rPr>
          <w:rFonts w:ascii="宋体" w:hAnsi="宋体"/>
          <w:color w:val="auto"/>
          <w:sz w:val="22"/>
          <w:szCs w:val="22"/>
          <w:lang w:val="zh-CN"/>
        </w:rPr>
        <w:t>。</w:t>
      </w:r>
    </w:p>
    <w:p w14:paraId="26321639">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5、我方已详细审查全部磋商文件，包括磋商文件补充文件（如果有的话）。我方完全理解并同意放弃对这方面有不明及误解的权力。如果磋商文件有相互矛盾之处，我方同意按采购人的理解处理。</w:t>
      </w:r>
    </w:p>
    <w:p w14:paraId="44A7D061">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6、愿意向贵方提供任何与该项投标有关的数据、情况和技术资料，完全理解贵方不一定接受最低价的投标或收到的任何投标。</w:t>
      </w:r>
    </w:p>
    <w:p w14:paraId="0A05CEDE">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7、利益冲突：近三年内直至目前，我公司与本项目的采购人、采购代理机构没有任何的隶属关系。</w:t>
      </w:r>
    </w:p>
    <w:p w14:paraId="48D56B6E">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8、我公司没有被财政部门限制参加政府采购活动或曾被财政部门限制参加政府采购活动但已不在限制期内。</w:t>
      </w:r>
    </w:p>
    <w:p w14:paraId="40AD7D61">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9、磋商响应文件自提交响应文件递交截止时间起90天内有效。</w:t>
      </w:r>
    </w:p>
    <w:p w14:paraId="3E15C331">
      <w:pPr>
        <w:autoSpaceDE w:val="0"/>
        <w:autoSpaceDN w:val="0"/>
        <w:adjustRightInd w:val="0"/>
        <w:spacing w:line="460" w:lineRule="atLeast"/>
        <w:ind w:firstLine="465"/>
        <w:rPr>
          <w:rFonts w:ascii="宋体" w:hAnsi="宋体"/>
          <w:color w:val="auto"/>
          <w:sz w:val="22"/>
          <w:szCs w:val="22"/>
          <w:lang w:val="zh-CN"/>
        </w:rPr>
      </w:pPr>
      <w:r>
        <w:rPr>
          <w:rFonts w:hint="eastAsia" w:ascii="宋体" w:hAnsi="宋体"/>
          <w:color w:val="auto"/>
          <w:sz w:val="22"/>
          <w:szCs w:val="22"/>
          <w:lang w:val="zh-CN"/>
        </w:rPr>
        <w:t>10、与本采购有关的一切往来通讯请寄：</w:t>
      </w:r>
    </w:p>
    <w:p w14:paraId="2E8C8976">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地址：</w:t>
      </w:r>
      <w:r>
        <w:rPr>
          <w:rFonts w:ascii="宋体" w:hAnsi="宋体"/>
          <w:color w:val="auto"/>
          <w:sz w:val="22"/>
          <w:szCs w:val="22"/>
          <w:u w:val="single"/>
          <w:lang w:val="zh-CN"/>
        </w:rPr>
        <w:t xml:space="preserve">                                 </w:t>
      </w:r>
    </w:p>
    <w:p w14:paraId="4967331A">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邮编：</w:t>
      </w:r>
      <w:r>
        <w:rPr>
          <w:rFonts w:ascii="宋体" w:hAnsi="宋体"/>
          <w:color w:val="auto"/>
          <w:sz w:val="22"/>
          <w:szCs w:val="22"/>
          <w:u w:val="single"/>
          <w:lang w:val="zh-CN"/>
        </w:rPr>
        <w:t xml:space="preserve">               </w:t>
      </w:r>
      <w:r>
        <w:rPr>
          <w:rFonts w:hint="eastAsia" w:ascii="宋体" w:hAnsi="宋体"/>
          <w:color w:val="auto"/>
          <w:sz w:val="22"/>
          <w:szCs w:val="22"/>
          <w:lang w:val="zh-CN"/>
        </w:rPr>
        <w:t>电话：</w:t>
      </w:r>
      <w:r>
        <w:rPr>
          <w:rFonts w:ascii="宋体" w:hAnsi="宋体"/>
          <w:color w:val="auto"/>
          <w:sz w:val="22"/>
          <w:szCs w:val="22"/>
          <w:u w:val="single"/>
          <w:lang w:val="zh-CN"/>
        </w:rPr>
        <w:t xml:space="preserve">                 </w:t>
      </w:r>
      <w:r>
        <w:rPr>
          <w:rFonts w:hint="eastAsia" w:ascii="宋体" w:hAnsi="宋体"/>
          <w:color w:val="auto"/>
          <w:sz w:val="22"/>
          <w:szCs w:val="22"/>
          <w:lang w:val="zh-CN"/>
        </w:rPr>
        <w:t>传真：</w:t>
      </w:r>
      <w:r>
        <w:rPr>
          <w:rFonts w:ascii="宋体" w:hAnsi="宋体"/>
          <w:color w:val="auto"/>
          <w:sz w:val="22"/>
          <w:szCs w:val="22"/>
          <w:u w:val="single"/>
          <w:lang w:val="zh-CN"/>
        </w:rPr>
        <w:t xml:space="preserve">                 </w:t>
      </w:r>
    </w:p>
    <w:p w14:paraId="5C59746E">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投标供应商（盖章）：</w:t>
      </w:r>
    </w:p>
    <w:p w14:paraId="102450A0">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法定代表人或授权代表（签字或盖章）：</w:t>
      </w:r>
    </w:p>
    <w:p w14:paraId="631B4259">
      <w:pPr>
        <w:autoSpaceDE w:val="0"/>
        <w:autoSpaceDN w:val="0"/>
        <w:adjustRightInd w:val="0"/>
        <w:spacing w:line="460" w:lineRule="atLeast"/>
        <w:rPr>
          <w:rFonts w:ascii="宋体" w:hAnsi="宋体"/>
          <w:color w:val="auto"/>
          <w:sz w:val="22"/>
          <w:szCs w:val="22"/>
          <w:lang w:val="zh-CN"/>
        </w:rPr>
      </w:pPr>
      <w:r>
        <w:rPr>
          <w:rFonts w:hint="eastAsia" w:ascii="宋体" w:hAnsi="宋体"/>
          <w:color w:val="auto"/>
          <w:sz w:val="22"/>
          <w:szCs w:val="22"/>
          <w:lang w:val="zh-CN"/>
        </w:rPr>
        <w:t>日期：</w:t>
      </w:r>
    </w:p>
    <w:p w14:paraId="46CF3491">
      <w:pPr>
        <w:snapToGrid w:val="0"/>
        <w:spacing w:line="500" w:lineRule="atLeast"/>
        <w:rPr>
          <w:rFonts w:ascii="宋体" w:hAnsi="宋体"/>
          <w:color w:val="auto"/>
          <w:sz w:val="30"/>
          <w:szCs w:val="30"/>
        </w:rPr>
      </w:pPr>
    </w:p>
    <w:p w14:paraId="5EA1D657">
      <w:pPr>
        <w:pStyle w:val="2"/>
        <w:ind w:firstLine="210"/>
        <w:rPr>
          <w:rFonts w:ascii="宋体" w:hAnsi="宋体"/>
          <w:color w:val="auto"/>
        </w:rPr>
      </w:pPr>
    </w:p>
    <w:p w14:paraId="156CDC18">
      <w:pPr>
        <w:pStyle w:val="2"/>
        <w:ind w:firstLine="210"/>
        <w:rPr>
          <w:rFonts w:ascii="宋体" w:hAnsi="宋体"/>
          <w:color w:val="auto"/>
        </w:rPr>
      </w:pPr>
    </w:p>
    <w:p w14:paraId="7053A58F">
      <w:pPr>
        <w:pStyle w:val="26"/>
        <w:adjustRightInd w:val="0"/>
        <w:snapToGrid w:val="0"/>
        <w:spacing w:line="440" w:lineRule="atLeast"/>
        <w:jc w:val="left"/>
        <w:outlineLvl w:val="1"/>
        <w:rPr>
          <w:rFonts w:hAnsi="宋体"/>
          <w:color w:val="auto"/>
          <w:sz w:val="30"/>
        </w:rPr>
      </w:pPr>
      <w:bookmarkStart w:id="81" w:name="_Toc4244"/>
      <w:r>
        <w:rPr>
          <w:rFonts w:hint="eastAsia" w:hAnsi="宋体"/>
          <w:color w:val="auto"/>
          <w:sz w:val="30"/>
        </w:rPr>
        <w:t>附件五</w:t>
      </w:r>
      <w:bookmarkEnd w:id="81"/>
    </w:p>
    <w:p w14:paraId="4B6FA744">
      <w:pPr>
        <w:pStyle w:val="26"/>
        <w:adjustRightInd w:val="0"/>
        <w:snapToGrid w:val="0"/>
        <w:spacing w:line="440" w:lineRule="atLeast"/>
        <w:ind w:firstLine="440"/>
        <w:jc w:val="center"/>
        <w:outlineLvl w:val="1"/>
        <w:rPr>
          <w:rFonts w:hAnsi="宋体" w:cs="Arial"/>
          <w:bCs/>
          <w:color w:val="auto"/>
          <w:sz w:val="36"/>
          <w:szCs w:val="36"/>
          <w:lang w:val="zh-CN"/>
        </w:rPr>
      </w:pPr>
      <w:bookmarkStart w:id="82" w:name="_Toc2725"/>
      <w:r>
        <w:rPr>
          <w:rFonts w:hint="eastAsia" w:hAnsi="宋体" w:cs="Arial"/>
          <w:bCs/>
          <w:color w:val="auto"/>
          <w:sz w:val="36"/>
          <w:szCs w:val="36"/>
          <w:lang w:val="zh-CN"/>
        </w:rPr>
        <w:t>法定代表人授权书</w:t>
      </w:r>
      <w:bookmarkEnd w:id="82"/>
    </w:p>
    <w:p w14:paraId="0114D2C2">
      <w:pPr>
        <w:autoSpaceDE w:val="0"/>
        <w:autoSpaceDN w:val="0"/>
        <w:adjustRightInd w:val="0"/>
        <w:spacing w:line="460" w:lineRule="atLeast"/>
        <w:rPr>
          <w:rFonts w:ascii="宋体" w:hAnsi="宋体"/>
          <w:color w:val="auto"/>
          <w:sz w:val="22"/>
          <w:szCs w:val="22"/>
          <w:u w:val="single"/>
          <w:lang w:val="zh-CN"/>
        </w:rPr>
      </w:pPr>
      <w:r>
        <w:rPr>
          <w:rFonts w:hint="eastAsia" w:ascii="宋体" w:hAnsi="宋体"/>
          <w:color w:val="auto"/>
          <w:sz w:val="22"/>
          <w:szCs w:val="22"/>
          <w:u w:val="single"/>
          <w:lang w:val="zh-CN"/>
        </w:rPr>
        <w:t>温州市数据局</w:t>
      </w:r>
    </w:p>
    <w:p w14:paraId="3C4A3852">
      <w:pPr>
        <w:autoSpaceDE w:val="0"/>
        <w:autoSpaceDN w:val="0"/>
        <w:adjustRightInd w:val="0"/>
        <w:spacing w:line="460" w:lineRule="atLeast"/>
        <w:rPr>
          <w:rFonts w:ascii="宋体" w:hAnsi="宋体"/>
          <w:color w:val="auto"/>
          <w:sz w:val="22"/>
          <w:szCs w:val="22"/>
          <w:u w:val="single"/>
          <w:lang w:val="zh-CN"/>
        </w:rPr>
      </w:pPr>
      <w:r>
        <w:rPr>
          <w:rFonts w:hint="eastAsia" w:ascii="宋体" w:hAnsi="宋体"/>
          <w:color w:val="auto"/>
          <w:sz w:val="22"/>
          <w:szCs w:val="22"/>
          <w:u w:val="single"/>
          <w:lang w:val="zh-CN"/>
        </w:rPr>
        <w:t>杭州华旗招标代理有限公司：</w:t>
      </w:r>
    </w:p>
    <w:p w14:paraId="2A7CEBAB">
      <w:pPr>
        <w:snapToGrid w:val="0"/>
        <w:spacing w:line="580" w:lineRule="atLeast"/>
        <w:ind w:firstLine="440" w:firstLineChars="200"/>
        <w:rPr>
          <w:rFonts w:ascii="宋体" w:hAnsi="宋体"/>
          <w:color w:val="auto"/>
          <w:sz w:val="22"/>
          <w:szCs w:val="22"/>
        </w:rPr>
      </w:pPr>
      <w:r>
        <w:rPr>
          <w:rFonts w:hint="eastAsia" w:ascii="宋体" w:hAnsi="宋体"/>
          <w:color w:val="auto"/>
          <w:sz w:val="22"/>
          <w:szCs w:val="22"/>
        </w:rPr>
        <w:t>本授权委托书声明：我</w:t>
      </w:r>
      <w:r>
        <w:rPr>
          <w:rFonts w:hint="eastAsia" w:ascii="宋体" w:hAnsi="宋体"/>
          <w:color w:val="auto"/>
          <w:sz w:val="22"/>
          <w:szCs w:val="22"/>
          <w:u w:val="single"/>
        </w:rPr>
        <w:t xml:space="preserve">   （法定代表人姓名）   </w:t>
      </w:r>
      <w:r>
        <w:rPr>
          <w:rFonts w:hint="eastAsia" w:ascii="宋体" w:hAnsi="宋体"/>
          <w:color w:val="auto"/>
          <w:sz w:val="22"/>
          <w:szCs w:val="22"/>
        </w:rPr>
        <w:t>系</w:t>
      </w:r>
      <w:r>
        <w:rPr>
          <w:rFonts w:hint="eastAsia" w:ascii="宋体" w:hAnsi="宋体"/>
          <w:color w:val="auto"/>
          <w:sz w:val="22"/>
          <w:szCs w:val="22"/>
          <w:u w:val="single"/>
        </w:rPr>
        <w:t xml:space="preserve">   （供 应 商 名 称）  </w:t>
      </w:r>
      <w:r>
        <w:rPr>
          <w:rFonts w:hint="eastAsia" w:ascii="宋体" w:hAnsi="宋体"/>
          <w:color w:val="auto"/>
          <w:sz w:val="22"/>
          <w:szCs w:val="22"/>
        </w:rPr>
        <w:t>的法定代表人，现授权委托</w:t>
      </w:r>
      <w:r>
        <w:rPr>
          <w:rFonts w:hint="eastAsia" w:ascii="宋体" w:hAnsi="宋体"/>
          <w:color w:val="auto"/>
          <w:sz w:val="22"/>
          <w:szCs w:val="22"/>
          <w:u w:val="single"/>
        </w:rPr>
        <w:t xml:space="preserve">  （单 位 名 称）   </w:t>
      </w:r>
      <w:r>
        <w:rPr>
          <w:rFonts w:hint="eastAsia" w:ascii="宋体" w:hAnsi="宋体"/>
          <w:color w:val="auto"/>
          <w:sz w:val="22"/>
          <w:szCs w:val="22"/>
        </w:rPr>
        <w:t>的</w:t>
      </w:r>
      <w:r>
        <w:rPr>
          <w:rFonts w:hint="eastAsia" w:ascii="宋体" w:hAnsi="宋体"/>
          <w:color w:val="auto"/>
          <w:sz w:val="22"/>
          <w:szCs w:val="22"/>
          <w:u w:val="single"/>
        </w:rPr>
        <w:t xml:space="preserve">  （授权代表姓名）  </w:t>
      </w:r>
      <w:r>
        <w:rPr>
          <w:rFonts w:hint="eastAsia" w:ascii="宋体" w:hAnsi="宋体"/>
          <w:color w:val="auto"/>
          <w:sz w:val="22"/>
          <w:szCs w:val="22"/>
        </w:rPr>
        <w:t>为我公司法定代表人授权代表，参加贵处组织的</w:t>
      </w:r>
      <w:r>
        <w:rPr>
          <w:rFonts w:hint="eastAsia" w:ascii="宋体" w:hAnsi="宋体"/>
          <w:color w:val="auto"/>
          <w:sz w:val="22"/>
          <w:szCs w:val="22"/>
          <w:u w:val="single"/>
        </w:rPr>
        <w:t xml:space="preserve">  （招标项目名称，括号中填写项目编号）  </w:t>
      </w:r>
      <w:r>
        <w:rPr>
          <w:rFonts w:hint="eastAsia" w:ascii="宋体" w:hAnsi="宋体"/>
          <w:color w:val="auto"/>
          <w:sz w:val="22"/>
          <w:szCs w:val="22"/>
        </w:rPr>
        <w:t>项目投标，全权处理本次招投标活动中的一切事宜，我承认授权代表全权代表我所签署的本项目的磋商响应文件的内容。</w:t>
      </w:r>
    </w:p>
    <w:p w14:paraId="1FF028FF">
      <w:pPr>
        <w:snapToGrid w:val="0"/>
        <w:spacing w:line="580" w:lineRule="atLeast"/>
        <w:ind w:firstLine="440" w:firstLineChars="200"/>
        <w:rPr>
          <w:rFonts w:ascii="宋体" w:hAnsi="宋体"/>
          <w:color w:val="auto"/>
          <w:sz w:val="22"/>
          <w:szCs w:val="22"/>
        </w:rPr>
      </w:pPr>
      <w:r>
        <w:rPr>
          <w:rFonts w:hint="eastAsia" w:ascii="宋体" w:hAnsi="宋体"/>
          <w:color w:val="auto"/>
          <w:sz w:val="22"/>
          <w:szCs w:val="22"/>
        </w:rPr>
        <w:t>授权代表无转授权，特此授权。</w:t>
      </w:r>
    </w:p>
    <w:p w14:paraId="73B27ED1">
      <w:pPr>
        <w:snapToGrid w:val="0"/>
        <w:spacing w:line="580" w:lineRule="atLeast"/>
        <w:ind w:left="1260"/>
        <w:rPr>
          <w:rFonts w:ascii="宋体" w:hAnsi="宋体"/>
          <w:color w:val="auto"/>
          <w:sz w:val="22"/>
          <w:szCs w:val="22"/>
        </w:rPr>
      </w:pPr>
    </w:p>
    <w:p w14:paraId="6A0D050B">
      <w:pPr>
        <w:snapToGrid w:val="0"/>
        <w:spacing w:line="580" w:lineRule="atLeast"/>
        <w:ind w:left="2092" w:leftChars="996" w:firstLine="330" w:firstLineChars="150"/>
        <w:rPr>
          <w:rFonts w:ascii="宋体" w:hAnsi="宋体"/>
          <w:color w:val="auto"/>
          <w:sz w:val="22"/>
          <w:szCs w:val="22"/>
          <w:u w:val="single"/>
        </w:rPr>
      </w:pPr>
      <w:r>
        <w:rPr>
          <w:rFonts w:hint="eastAsia" w:ascii="宋体" w:hAnsi="宋体"/>
          <w:color w:val="auto"/>
          <w:sz w:val="22"/>
          <w:szCs w:val="22"/>
        </w:rPr>
        <w:t xml:space="preserve"> 授权代表：</w:t>
      </w:r>
      <w:r>
        <w:rPr>
          <w:rFonts w:hint="eastAsia" w:ascii="宋体" w:hAnsi="宋体"/>
          <w:color w:val="auto"/>
          <w:sz w:val="22"/>
          <w:szCs w:val="22"/>
          <w:u w:val="single"/>
        </w:rPr>
        <w:t xml:space="preserve">          </w:t>
      </w:r>
      <w:r>
        <w:rPr>
          <w:rFonts w:hint="eastAsia" w:ascii="宋体" w:hAnsi="宋体"/>
          <w:color w:val="auto"/>
          <w:sz w:val="22"/>
          <w:szCs w:val="22"/>
        </w:rPr>
        <w:t xml:space="preserve"> 性别 ：</w:t>
      </w:r>
      <w:r>
        <w:rPr>
          <w:rFonts w:hint="eastAsia" w:ascii="宋体" w:hAnsi="宋体"/>
          <w:color w:val="auto"/>
          <w:sz w:val="22"/>
          <w:szCs w:val="22"/>
          <w:u w:val="single"/>
        </w:rPr>
        <w:t xml:space="preserve">         </w:t>
      </w:r>
      <w:r>
        <w:rPr>
          <w:rFonts w:hint="eastAsia" w:ascii="宋体" w:hAnsi="宋体"/>
          <w:color w:val="auto"/>
          <w:sz w:val="22"/>
          <w:szCs w:val="22"/>
        </w:rPr>
        <w:t xml:space="preserve"> 年龄：</w:t>
      </w:r>
      <w:r>
        <w:rPr>
          <w:rFonts w:hint="eastAsia" w:ascii="宋体" w:hAnsi="宋体"/>
          <w:color w:val="auto"/>
          <w:sz w:val="22"/>
          <w:szCs w:val="22"/>
          <w:u w:val="single"/>
        </w:rPr>
        <w:t xml:space="preserve">         </w:t>
      </w:r>
      <w:r>
        <w:rPr>
          <w:rFonts w:hint="eastAsia" w:ascii="宋体" w:hAnsi="宋体"/>
          <w:color w:val="auto"/>
          <w:sz w:val="22"/>
          <w:szCs w:val="22"/>
        </w:rPr>
        <w:t xml:space="preserve"> </w:t>
      </w:r>
    </w:p>
    <w:p w14:paraId="1666B1EB">
      <w:pPr>
        <w:snapToGrid w:val="0"/>
        <w:spacing w:line="580" w:lineRule="atLeast"/>
        <w:ind w:left="2100" w:leftChars="1000" w:firstLine="440" w:firstLineChars="200"/>
        <w:rPr>
          <w:rFonts w:ascii="宋体" w:hAnsi="宋体"/>
          <w:color w:val="auto"/>
          <w:sz w:val="22"/>
          <w:szCs w:val="22"/>
          <w:u w:val="single"/>
        </w:rPr>
      </w:pPr>
      <w:r>
        <w:rPr>
          <w:rFonts w:hint="eastAsia" w:ascii="宋体" w:hAnsi="宋体"/>
          <w:color w:val="auto"/>
          <w:sz w:val="22"/>
          <w:szCs w:val="22"/>
        </w:rPr>
        <w:t>详细通讯地址：</w:t>
      </w:r>
      <w:r>
        <w:rPr>
          <w:rFonts w:hint="eastAsia" w:ascii="宋体" w:hAnsi="宋体"/>
          <w:color w:val="auto"/>
          <w:sz w:val="22"/>
          <w:szCs w:val="22"/>
          <w:u w:val="single"/>
        </w:rPr>
        <w:t xml:space="preserve">                  </w:t>
      </w:r>
      <w:r>
        <w:rPr>
          <w:rFonts w:hint="eastAsia" w:ascii="宋体" w:hAnsi="宋体"/>
          <w:color w:val="auto"/>
          <w:sz w:val="22"/>
          <w:szCs w:val="22"/>
        </w:rPr>
        <w:t xml:space="preserve"> 邮政编码：</w:t>
      </w:r>
      <w:r>
        <w:rPr>
          <w:rFonts w:hint="eastAsia" w:ascii="宋体" w:hAnsi="宋体"/>
          <w:color w:val="auto"/>
          <w:sz w:val="22"/>
          <w:szCs w:val="22"/>
          <w:u w:val="single"/>
        </w:rPr>
        <w:t xml:space="preserve">           </w:t>
      </w:r>
    </w:p>
    <w:p w14:paraId="0F06D838">
      <w:pPr>
        <w:snapToGrid w:val="0"/>
        <w:spacing w:line="580" w:lineRule="atLeast"/>
        <w:ind w:left="1" w:firstLine="2510" w:firstLineChars="1141"/>
        <w:rPr>
          <w:rFonts w:ascii="宋体" w:hAnsi="宋体"/>
          <w:color w:val="auto"/>
          <w:sz w:val="22"/>
          <w:szCs w:val="22"/>
          <w:u w:val="single"/>
        </w:rPr>
      </w:pPr>
      <w:r>
        <w:rPr>
          <w:rFonts w:hint="eastAsia" w:ascii="宋体" w:hAnsi="宋体"/>
          <w:color w:val="auto"/>
          <w:sz w:val="22"/>
          <w:szCs w:val="22"/>
        </w:rPr>
        <w:t>电话：</w:t>
      </w:r>
      <w:r>
        <w:rPr>
          <w:rFonts w:hint="eastAsia" w:ascii="宋体" w:hAnsi="宋体"/>
          <w:color w:val="auto"/>
          <w:sz w:val="22"/>
          <w:szCs w:val="22"/>
          <w:u w:val="single"/>
        </w:rPr>
        <w:t xml:space="preserve">                   </w:t>
      </w:r>
      <w:r>
        <w:rPr>
          <w:rFonts w:hint="eastAsia" w:ascii="宋体" w:hAnsi="宋体"/>
          <w:color w:val="auto"/>
          <w:sz w:val="22"/>
          <w:szCs w:val="22"/>
        </w:rPr>
        <w:t xml:space="preserve"> 传真：</w:t>
      </w:r>
      <w:r>
        <w:rPr>
          <w:rFonts w:hint="eastAsia" w:ascii="宋体" w:hAnsi="宋体"/>
          <w:color w:val="auto"/>
          <w:sz w:val="22"/>
          <w:szCs w:val="22"/>
          <w:u w:val="single"/>
        </w:rPr>
        <w:t xml:space="preserve">                      </w:t>
      </w:r>
    </w:p>
    <w:p w14:paraId="2BA56705">
      <w:pPr>
        <w:snapToGrid w:val="0"/>
        <w:spacing w:line="580" w:lineRule="atLeast"/>
        <w:ind w:left="1" w:firstLine="422" w:firstLineChars="192"/>
        <w:rPr>
          <w:rFonts w:ascii="宋体" w:hAnsi="宋体"/>
          <w:color w:val="auto"/>
          <w:sz w:val="22"/>
          <w:szCs w:val="22"/>
        </w:rPr>
      </w:pPr>
      <w:r>
        <w:rPr>
          <w:rFonts w:hint="eastAsia" w:ascii="宋体" w:hAnsi="宋体"/>
          <w:color w:val="auto"/>
          <w:sz w:val="22"/>
          <w:szCs w:val="22"/>
        </w:rPr>
        <w:t xml:space="preserve">                   投标供应商：</w:t>
      </w:r>
      <w:r>
        <w:rPr>
          <w:rFonts w:hint="eastAsia" w:ascii="宋体" w:hAnsi="宋体"/>
          <w:color w:val="auto"/>
          <w:sz w:val="22"/>
          <w:szCs w:val="22"/>
          <w:u w:val="single"/>
        </w:rPr>
        <w:t xml:space="preserve">                                      （盖章）</w:t>
      </w:r>
    </w:p>
    <w:p w14:paraId="406AA67B">
      <w:pPr>
        <w:snapToGrid w:val="0"/>
        <w:spacing w:line="580" w:lineRule="atLeast"/>
        <w:ind w:left="2100" w:right="440"/>
        <w:jc w:val="center"/>
        <w:rPr>
          <w:rFonts w:ascii="宋体" w:hAnsi="宋体"/>
          <w:color w:val="auto"/>
          <w:sz w:val="22"/>
          <w:szCs w:val="22"/>
        </w:rPr>
      </w:pPr>
      <w:r>
        <w:rPr>
          <w:rFonts w:hint="eastAsia" w:ascii="宋体" w:hAnsi="宋体"/>
          <w:color w:val="auto"/>
          <w:sz w:val="22"/>
          <w:szCs w:val="22"/>
        </w:rPr>
        <w:t>法定代表人：</w:t>
      </w:r>
      <w:r>
        <w:rPr>
          <w:rFonts w:hint="eastAsia" w:ascii="宋体" w:hAnsi="宋体"/>
          <w:color w:val="auto"/>
          <w:sz w:val="22"/>
          <w:szCs w:val="22"/>
          <w:u w:val="single"/>
        </w:rPr>
        <w:t xml:space="preserve">                                 （签字或盖章）</w:t>
      </w:r>
    </w:p>
    <w:p w14:paraId="6A48B8D1">
      <w:pPr>
        <w:pStyle w:val="26"/>
        <w:adjustRightInd w:val="0"/>
        <w:snapToGrid w:val="0"/>
        <w:spacing w:line="580" w:lineRule="atLeast"/>
        <w:ind w:firstLine="2530" w:firstLineChars="1150"/>
        <w:rPr>
          <w:rFonts w:hAnsi="宋体"/>
          <w:color w:val="auto"/>
          <w:sz w:val="22"/>
          <w:szCs w:val="22"/>
        </w:rPr>
      </w:pPr>
      <w:r>
        <w:rPr>
          <w:rFonts w:hAnsi="宋体"/>
          <w:color w:val="auto"/>
          <w:sz w:val="22"/>
          <w:szCs w:val="22"/>
        </w:rPr>
        <w:t>授权委托日期：</w:t>
      </w:r>
      <w:r>
        <w:rPr>
          <w:rFonts w:hAnsi="宋体"/>
          <w:color w:val="auto"/>
          <w:sz w:val="22"/>
          <w:szCs w:val="22"/>
          <w:u w:val="single"/>
        </w:rPr>
        <w:t xml:space="preserve">     </w:t>
      </w:r>
      <w:r>
        <w:rPr>
          <w:rFonts w:hAnsi="宋体"/>
          <w:color w:val="auto"/>
          <w:sz w:val="22"/>
          <w:szCs w:val="22"/>
        </w:rPr>
        <w:t xml:space="preserve">年 </w:t>
      </w:r>
      <w:r>
        <w:rPr>
          <w:rFonts w:hAnsi="宋体"/>
          <w:color w:val="auto"/>
          <w:sz w:val="22"/>
          <w:szCs w:val="22"/>
          <w:u w:val="single"/>
        </w:rPr>
        <w:t xml:space="preserve">    </w:t>
      </w:r>
      <w:r>
        <w:rPr>
          <w:rFonts w:hAnsi="宋体"/>
          <w:color w:val="auto"/>
          <w:sz w:val="22"/>
          <w:szCs w:val="22"/>
        </w:rPr>
        <w:t>月</w:t>
      </w:r>
      <w:r>
        <w:rPr>
          <w:rFonts w:hAnsi="宋体"/>
          <w:color w:val="auto"/>
          <w:sz w:val="22"/>
          <w:szCs w:val="22"/>
          <w:u w:val="single"/>
        </w:rPr>
        <w:t xml:space="preserve">     </w:t>
      </w:r>
      <w:r>
        <w:rPr>
          <w:rFonts w:hAnsi="宋体"/>
          <w:color w:val="auto"/>
          <w:sz w:val="22"/>
          <w:szCs w:val="22"/>
        </w:rPr>
        <w:t>日</w:t>
      </w: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2B58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6C9BBB2E">
            <w:pPr>
              <w:pStyle w:val="26"/>
              <w:spacing w:line="440" w:lineRule="atLeast"/>
              <w:jc w:val="center"/>
              <w:rPr>
                <w:rFonts w:hAnsi="宋体"/>
                <w:color w:val="auto"/>
                <w:sz w:val="36"/>
                <w:szCs w:val="22"/>
              </w:rPr>
            </w:pPr>
            <w:r>
              <w:rPr>
                <w:rFonts w:hAnsi="宋体"/>
                <w:color w:val="auto"/>
                <w:sz w:val="36"/>
                <w:szCs w:val="22"/>
              </w:rPr>
              <w:t>粘贴授权代表身份证复印件或影印件</w:t>
            </w:r>
          </w:p>
        </w:tc>
      </w:tr>
    </w:tbl>
    <w:p w14:paraId="3F236F25">
      <w:pPr>
        <w:pStyle w:val="26"/>
        <w:adjustRightInd w:val="0"/>
        <w:snapToGrid w:val="0"/>
        <w:spacing w:line="580" w:lineRule="atLeast"/>
        <w:jc w:val="center"/>
        <w:rPr>
          <w:rFonts w:hAnsi="宋体"/>
          <w:color w:val="auto"/>
          <w:sz w:val="22"/>
          <w:szCs w:val="22"/>
        </w:rPr>
      </w:pPr>
    </w:p>
    <w:p w14:paraId="14621984">
      <w:pPr>
        <w:pStyle w:val="26"/>
        <w:snapToGrid w:val="0"/>
        <w:spacing w:line="580" w:lineRule="atLeast"/>
        <w:rPr>
          <w:rFonts w:hAnsi="宋体" w:cs="黑体"/>
          <w:color w:val="auto"/>
          <w:sz w:val="22"/>
          <w:szCs w:val="22"/>
          <w:u w:val="thick"/>
        </w:rPr>
      </w:pPr>
    </w:p>
    <w:p w14:paraId="1DD811DD">
      <w:pPr>
        <w:pStyle w:val="26"/>
        <w:snapToGrid w:val="0"/>
        <w:spacing w:line="580" w:lineRule="atLeast"/>
        <w:rPr>
          <w:rFonts w:hAnsi="宋体" w:cs="黑体"/>
          <w:color w:val="auto"/>
          <w:sz w:val="22"/>
          <w:szCs w:val="22"/>
          <w:u w:val="thick"/>
        </w:rPr>
      </w:pPr>
    </w:p>
    <w:p w14:paraId="6BF64C72">
      <w:pPr>
        <w:pStyle w:val="26"/>
        <w:snapToGrid w:val="0"/>
        <w:spacing w:line="580" w:lineRule="atLeast"/>
        <w:rPr>
          <w:rFonts w:hAnsi="宋体" w:cs="黑体"/>
          <w:color w:val="auto"/>
          <w:sz w:val="22"/>
          <w:szCs w:val="22"/>
          <w:u w:val="thick"/>
        </w:rPr>
      </w:pPr>
    </w:p>
    <w:p w14:paraId="50ACD69D">
      <w:pPr>
        <w:pStyle w:val="26"/>
        <w:adjustRightInd w:val="0"/>
        <w:snapToGrid w:val="0"/>
        <w:spacing w:line="360" w:lineRule="exact"/>
        <w:rPr>
          <w:rFonts w:hAnsi="宋体"/>
          <w:color w:val="auto"/>
          <w:sz w:val="22"/>
        </w:rPr>
      </w:pPr>
    </w:p>
    <w:tbl>
      <w:tblPr>
        <w:tblStyle w:val="47"/>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1FAF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vAlign w:val="center"/>
          </w:tcPr>
          <w:p w14:paraId="2EAA4B22">
            <w:pPr>
              <w:pStyle w:val="26"/>
              <w:spacing w:line="440" w:lineRule="atLeast"/>
              <w:jc w:val="center"/>
              <w:rPr>
                <w:rFonts w:hAnsi="宋体"/>
                <w:color w:val="auto"/>
                <w:sz w:val="36"/>
                <w:szCs w:val="22"/>
              </w:rPr>
            </w:pPr>
            <w:r>
              <w:rPr>
                <w:rFonts w:hAnsi="宋体"/>
                <w:color w:val="auto"/>
                <w:sz w:val="36"/>
                <w:szCs w:val="22"/>
              </w:rPr>
              <w:t>粘贴法定代表人身份证复印件或影印件</w:t>
            </w:r>
          </w:p>
        </w:tc>
      </w:tr>
    </w:tbl>
    <w:p w14:paraId="08F73EE1">
      <w:pPr>
        <w:pStyle w:val="26"/>
        <w:snapToGrid w:val="0"/>
        <w:spacing w:line="580" w:lineRule="atLeast"/>
        <w:rPr>
          <w:rFonts w:hAnsi="宋体" w:cs="黑体"/>
          <w:color w:val="auto"/>
          <w:sz w:val="22"/>
          <w:szCs w:val="22"/>
          <w:u w:val="thick"/>
        </w:rPr>
      </w:pPr>
    </w:p>
    <w:p w14:paraId="7F9D0AE4">
      <w:pPr>
        <w:pStyle w:val="26"/>
        <w:snapToGrid w:val="0"/>
        <w:spacing w:line="580" w:lineRule="atLeast"/>
        <w:rPr>
          <w:rFonts w:hAnsi="宋体" w:cs="黑体"/>
          <w:color w:val="auto"/>
          <w:sz w:val="22"/>
          <w:szCs w:val="22"/>
          <w:u w:val="thick"/>
        </w:rPr>
      </w:pPr>
    </w:p>
    <w:p w14:paraId="33C4815D">
      <w:pPr>
        <w:snapToGrid w:val="0"/>
        <w:spacing w:line="500" w:lineRule="atLeast"/>
        <w:rPr>
          <w:rFonts w:ascii="宋体" w:hAnsi="宋体"/>
          <w:color w:val="auto"/>
          <w:sz w:val="30"/>
          <w:szCs w:val="30"/>
        </w:rPr>
      </w:pPr>
    </w:p>
    <w:p w14:paraId="4CCDD4B5">
      <w:pPr>
        <w:snapToGrid w:val="0"/>
        <w:spacing w:line="500" w:lineRule="atLeast"/>
        <w:rPr>
          <w:rFonts w:ascii="宋体" w:hAnsi="宋体"/>
          <w:color w:val="auto"/>
          <w:sz w:val="30"/>
          <w:szCs w:val="30"/>
        </w:rPr>
      </w:pPr>
    </w:p>
    <w:p w14:paraId="602A1314">
      <w:pPr>
        <w:pStyle w:val="26"/>
        <w:adjustRightInd w:val="0"/>
        <w:snapToGrid w:val="0"/>
        <w:spacing w:line="440" w:lineRule="atLeast"/>
        <w:jc w:val="left"/>
        <w:outlineLvl w:val="1"/>
        <w:rPr>
          <w:rFonts w:hAnsi="宋体"/>
          <w:color w:val="auto"/>
          <w:sz w:val="30"/>
        </w:rPr>
      </w:pPr>
      <w:bookmarkStart w:id="83" w:name="_Toc13522"/>
      <w:r>
        <w:rPr>
          <w:rFonts w:hint="eastAsia" w:hAnsi="宋体"/>
          <w:color w:val="auto"/>
          <w:sz w:val="30"/>
        </w:rPr>
        <w:t>附件六</w:t>
      </w:r>
      <w:bookmarkEnd w:id="83"/>
    </w:p>
    <w:p w14:paraId="7796F78B">
      <w:pPr>
        <w:pStyle w:val="26"/>
        <w:adjustRightInd w:val="0"/>
        <w:snapToGrid w:val="0"/>
        <w:spacing w:line="440" w:lineRule="atLeast"/>
        <w:ind w:firstLine="440"/>
        <w:jc w:val="center"/>
        <w:outlineLvl w:val="1"/>
        <w:rPr>
          <w:rFonts w:hAnsi="宋体" w:cs="Arial"/>
          <w:bCs/>
          <w:color w:val="auto"/>
          <w:sz w:val="36"/>
          <w:szCs w:val="36"/>
          <w:lang w:val="zh-CN"/>
        </w:rPr>
      </w:pPr>
      <w:bookmarkStart w:id="84" w:name="_Toc11227"/>
      <w:r>
        <w:rPr>
          <w:rFonts w:hint="eastAsia" w:hAnsi="宋体" w:cs="Arial"/>
          <w:bCs/>
          <w:color w:val="auto"/>
          <w:sz w:val="36"/>
          <w:szCs w:val="36"/>
          <w:lang w:val="zh-CN"/>
        </w:rPr>
        <w:t>法定代表人诚信投标承诺书</w:t>
      </w:r>
      <w:bookmarkEnd w:id="84"/>
    </w:p>
    <w:p w14:paraId="21896AA5">
      <w:pPr>
        <w:spacing w:line="460" w:lineRule="atLeast"/>
        <w:jc w:val="left"/>
        <w:rPr>
          <w:rFonts w:ascii="宋体" w:hAnsi="宋体"/>
          <w:color w:val="auto"/>
          <w:sz w:val="22"/>
        </w:rPr>
      </w:pPr>
      <w:r>
        <w:rPr>
          <w:rFonts w:hint="eastAsia" w:ascii="宋体" w:hAnsi="宋体"/>
          <w:color w:val="auto"/>
          <w:sz w:val="22"/>
        </w:rPr>
        <w:t>本人以企业法定代表人的身份郑重承诺：</w:t>
      </w:r>
    </w:p>
    <w:p w14:paraId="0920EC60">
      <w:pPr>
        <w:spacing w:line="460" w:lineRule="atLeast"/>
        <w:ind w:firstLine="440" w:firstLineChars="200"/>
        <w:jc w:val="left"/>
        <w:rPr>
          <w:rFonts w:ascii="宋体" w:hAnsi="宋体"/>
          <w:color w:val="auto"/>
          <w:sz w:val="22"/>
        </w:rPr>
      </w:pPr>
      <w:r>
        <w:rPr>
          <w:rFonts w:hint="eastAsia" w:ascii="宋体" w:hAnsi="宋体"/>
          <w:color w:val="auto"/>
          <w:sz w:val="22"/>
        </w:rPr>
        <w:t>将遵循公开、公平、公正和诚信信用的原则参加</w:t>
      </w:r>
      <w:r>
        <w:rPr>
          <w:rFonts w:hint="eastAsia" w:ascii="宋体" w:hAnsi="宋体" w:cs="Calibri"/>
          <w:color w:val="auto"/>
          <w:sz w:val="22"/>
          <w:u w:val="single"/>
        </w:rPr>
        <w:t xml:space="preserve">              项目（招标编号： </w:t>
      </w:r>
      <w:r>
        <w:rPr>
          <w:rFonts w:ascii="宋体" w:hAnsi="宋体" w:cs="Calibri"/>
          <w:color w:val="auto"/>
          <w:sz w:val="22"/>
          <w:u w:val="single"/>
        </w:rPr>
        <w:t xml:space="preserve"> </w:t>
      </w:r>
      <w:r>
        <w:rPr>
          <w:rFonts w:hint="eastAsia" w:ascii="宋体" w:hAnsi="宋体" w:cs="Calibri"/>
          <w:color w:val="auto"/>
          <w:sz w:val="22"/>
          <w:u w:val="single"/>
        </w:rPr>
        <w:t xml:space="preserve">  ）</w:t>
      </w:r>
      <w:r>
        <w:rPr>
          <w:rFonts w:hint="eastAsia" w:ascii="宋体" w:hAnsi="宋体"/>
          <w:color w:val="auto"/>
          <w:sz w:val="22"/>
        </w:rPr>
        <w:t>的投标：</w:t>
      </w:r>
    </w:p>
    <w:p w14:paraId="620FFB7C">
      <w:pPr>
        <w:spacing w:line="460" w:lineRule="atLeast"/>
        <w:ind w:firstLine="440" w:firstLineChars="200"/>
        <w:jc w:val="left"/>
        <w:rPr>
          <w:rFonts w:ascii="宋体" w:hAnsi="宋体"/>
          <w:color w:val="auto"/>
          <w:sz w:val="22"/>
          <w:u w:val="single"/>
        </w:rPr>
      </w:pPr>
      <w:r>
        <w:rPr>
          <w:rFonts w:hint="eastAsia" w:ascii="宋体" w:hAnsi="宋体"/>
          <w:color w:val="auto"/>
          <w:sz w:val="22"/>
        </w:rPr>
        <w:t>一、杜绝以收取管理费等形式的一切挂靠、违法转包、分包行为。</w:t>
      </w:r>
    </w:p>
    <w:p w14:paraId="0EBE846D">
      <w:pPr>
        <w:spacing w:line="460" w:lineRule="atLeast"/>
        <w:ind w:firstLine="440" w:firstLineChars="200"/>
        <w:jc w:val="left"/>
        <w:rPr>
          <w:rFonts w:ascii="宋体" w:hAnsi="宋体"/>
          <w:color w:val="auto"/>
          <w:sz w:val="22"/>
        </w:rPr>
      </w:pPr>
      <w:r>
        <w:rPr>
          <w:rFonts w:hint="eastAsia" w:ascii="宋体" w:hAnsi="宋体"/>
          <w:color w:val="auto"/>
          <w:sz w:val="22"/>
        </w:rPr>
        <w:t>二、磋商响应文件所提供的一切材料都是真实、有效、合法的。</w:t>
      </w:r>
    </w:p>
    <w:p w14:paraId="42A18386">
      <w:pPr>
        <w:spacing w:line="460" w:lineRule="atLeast"/>
        <w:ind w:firstLine="440" w:firstLineChars="200"/>
        <w:jc w:val="left"/>
        <w:rPr>
          <w:rFonts w:ascii="宋体" w:hAnsi="宋体"/>
          <w:color w:val="auto"/>
          <w:sz w:val="22"/>
        </w:rPr>
      </w:pPr>
      <w:r>
        <w:rPr>
          <w:rFonts w:hint="eastAsia" w:ascii="宋体" w:hAnsi="宋体"/>
          <w:color w:val="auto"/>
          <w:sz w:val="22"/>
        </w:rPr>
        <w:t>三、不与其他投标供应商相互串通投标报价，不排挤其他投标供应商的公平竞争，不损害招标人或其他投标供应商的合法权益。</w:t>
      </w:r>
    </w:p>
    <w:p w14:paraId="1072D022">
      <w:pPr>
        <w:spacing w:line="460" w:lineRule="atLeast"/>
        <w:ind w:firstLine="440" w:firstLineChars="200"/>
        <w:jc w:val="left"/>
        <w:rPr>
          <w:rFonts w:ascii="宋体" w:hAnsi="宋体"/>
          <w:color w:val="auto"/>
          <w:sz w:val="22"/>
        </w:rPr>
      </w:pPr>
      <w:r>
        <w:rPr>
          <w:rFonts w:hint="eastAsia" w:ascii="宋体" w:hAnsi="宋体"/>
          <w:color w:val="auto"/>
          <w:sz w:val="22"/>
        </w:rPr>
        <w:t>四、不与采购人或采购代理机构串通投标，不损害国家利益，社会公共利益或其他人的合法权益。</w:t>
      </w:r>
    </w:p>
    <w:p w14:paraId="20B479A8">
      <w:pPr>
        <w:spacing w:line="460" w:lineRule="atLeast"/>
        <w:ind w:firstLine="440" w:firstLineChars="200"/>
        <w:jc w:val="left"/>
        <w:rPr>
          <w:rFonts w:ascii="宋体" w:hAnsi="宋体"/>
          <w:color w:val="auto"/>
          <w:sz w:val="22"/>
        </w:rPr>
      </w:pPr>
      <w:r>
        <w:rPr>
          <w:rFonts w:hint="eastAsia" w:ascii="宋体" w:hAnsi="宋体"/>
          <w:color w:val="auto"/>
          <w:sz w:val="22"/>
        </w:rPr>
        <w:t>五、不向采购人或者评标委员会成员行贿以牟取中标（成交）。</w:t>
      </w:r>
    </w:p>
    <w:p w14:paraId="1BD576B2">
      <w:pPr>
        <w:spacing w:line="460" w:lineRule="atLeast"/>
        <w:ind w:firstLine="440" w:firstLineChars="200"/>
        <w:jc w:val="left"/>
        <w:rPr>
          <w:rFonts w:ascii="宋体" w:hAnsi="宋体"/>
          <w:color w:val="auto"/>
          <w:sz w:val="22"/>
        </w:rPr>
      </w:pPr>
      <w:r>
        <w:rPr>
          <w:rFonts w:hint="eastAsia" w:ascii="宋体" w:hAnsi="宋体"/>
          <w:color w:val="auto"/>
          <w:sz w:val="22"/>
        </w:rPr>
        <w:t>六、不以其他人名义投标或者以其他方式弄虚作假，骗取中标（成交）。</w:t>
      </w:r>
    </w:p>
    <w:p w14:paraId="2DC9704C">
      <w:pPr>
        <w:spacing w:line="460" w:lineRule="atLeast"/>
        <w:ind w:firstLine="440" w:firstLineChars="200"/>
        <w:jc w:val="left"/>
        <w:rPr>
          <w:rFonts w:ascii="宋体" w:hAnsi="宋体"/>
          <w:color w:val="auto"/>
          <w:sz w:val="22"/>
        </w:rPr>
      </w:pPr>
      <w:r>
        <w:rPr>
          <w:rFonts w:hint="eastAsia" w:ascii="宋体" w:hAnsi="宋体"/>
          <w:color w:val="auto"/>
          <w:sz w:val="22"/>
        </w:rPr>
        <w:t>七、不在开标后进行虚假恶意投诉。</w:t>
      </w:r>
    </w:p>
    <w:p w14:paraId="68249499">
      <w:pPr>
        <w:spacing w:line="460" w:lineRule="atLeast"/>
        <w:ind w:firstLine="440" w:firstLineChars="200"/>
        <w:jc w:val="left"/>
        <w:rPr>
          <w:rFonts w:ascii="宋体" w:hAnsi="宋体"/>
          <w:color w:val="auto"/>
          <w:sz w:val="22"/>
        </w:rPr>
      </w:pPr>
      <w:r>
        <w:rPr>
          <w:rFonts w:hint="eastAsia" w:ascii="宋体" w:hAnsi="宋体"/>
          <w:color w:val="auto"/>
          <w:sz w:val="22"/>
        </w:rPr>
        <w:t>八、我单位没有被政府机关</w:t>
      </w:r>
      <w:r>
        <w:rPr>
          <w:rFonts w:ascii="宋体" w:hAnsi="宋体"/>
          <w:color w:val="auto"/>
          <w:sz w:val="22"/>
        </w:rPr>
        <w:t>列入失信被执行人</w:t>
      </w:r>
      <w:r>
        <w:rPr>
          <w:rFonts w:hint="eastAsia" w:ascii="宋体" w:hAnsi="宋体"/>
          <w:color w:val="auto"/>
          <w:sz w:val="22"/>
        </w:rPr>
        <w:t>名单</w:t>
      </w:r>
      <w:r>
        <w:rPr>
          <w:rFonts w:ascii="宋体" w:hAnsi="宋体"/>
          <w:color w:val="auto"/>
          <w:sz w:val="22"/>
        </w:rPr>
        <w:t>、重大税收违法案件当事人名单、政府采购严重违法失信行为记录名单及其他不符合《中华人民共和国政府采购法》第二十二条规定条件</w:t>
      </w:r>
      <w:r>
        <w:rPr>
          <w:rFonts w:hint="eastAsia" w:ascii="宋体" w:hAnsi="宋体"/>
          <w:color w:val="auto"/>
          <w:sz w:val="22"/>
        </w:rPr>
        <w:t>的情形（《中华人民共和国政府采购法实施条例》第十九条规定的情形除外）。</w:t>
      </w:r>
    </w:p>
    <w:p w14:paraId="0ECC4582">
      <w:pPr>
        <w:spacing w:line="460" w:lineRule="atLeast"/>
        <w:ind w:firstLine="440" w:firstLineChars="200"/>
        <w:rPr>
          <w:rFonts w:ascii="宋体" w:hAnsi="宋体"/>
          <w:color w:val="auto"/>
          <w:sz w:val="22"/>
        </w:rPr>
      </w:pPr>
      <w:r>
        <w:rPr>
          <w:rFonts w:hint="eastAsia" w:ascii="宋体" w:hAnsi="宋体"/>
          <w:color w:val="auto"/>
          <w:sz w:val="22"/>
        </w:rPr>
        <w:t>本公司若有违反本承诺内容的行为，愿意承担法律责任，包括不限于：愿意接受相关行政主管部门作出的处罚；给采购人造成损失的，依法承担相应的赔偿责任。</w:t>
      </w:r>
    </w:p>
    <w:p w14:paraId="1B1FCF02">
      <w:pPr>
        <w:spacing w:line="460" w:lineRule="atLeast"/>
        <w:ind w:right="1120"/>
        <w:rPr>
          <w:rFonts w:ascii="宋体" w:hAnsi="宋体"/>
          <w:color w:val="auto"/>
          <w:sz w:val="22"/>
        </w:rPr>
      </w:pPr>
    </w:p>
    <w:p w14:paraId="5AA12485">
      <w:pPr>
        <w:spacing w:line="460" w:lineRule="atLeast"/>
        <w:ind w:right="1120"/>
        <w:rPr>
          <w:rFonts w:ascii="宋体" w:hAnsi="宋体"/>
          <w:color w:val="auto"/>
          <w:sz w:val="22"/>
        </w:rPr>
      </w:pPr>
      <w:r>
        <w:rPr>
          <w:rFonts w:hint="eastAsia" w:ascii="宋体" w:hAnsi="宋体"/>
          <w:color w:val="auto"/>
          <w:sz w:val="22"/>
        </w:rPr>
        <w:t>投标供应商（盖章）</w:t>
      </w:r>
    </w:p>
    <w:p w14:paraId="75CDD9FB">
      <w:pPr>
        <w:spacing w:line="460" w:lineRule="atLeast"/>
        <w:ind w:right="1120"/>
        <w:rPr>
          <w:rFonts w:ascii="宋体" w:hAnsi="宋体"/>
          <w:color w:val="auto"/>
          <w:sz w:val="22"/>
        </w:rPr>
      </w:pPr>
      <w:r>
        <w:rPr>
          <w:rFonts w:hint="eastAsia" w:ascii="宋体" w:hAnsi="宋体"/>
          <w:color w:val="auto"/>
          <w:sz w:val="22"/>
        </w:rPr>
        <w:t>法定代表人（签字或盖章）：</w:t>
      </w:r>
    </w:p>
    <w:p w14:paraId="6AB474ED">
      <w:pPr>
        <w:snapToGrid w:val="0"/>
        <w:spacing w:line="500" w:lineRule="atLeast"/>
        <w:rPr>
          <w:rFonts w:ascii="宋体" w:hAnsi="宋体"/>
          <w:color w:val="auto"/>
          <w:sz w:val="30"/>
          <w:szCs w:val="30"/>
        </w:rPr>
      </w:pPr>
      <w:r>
        <w:rPr>
          <w:rFonts w:hint="eastAsia" w:ascii="宋体" w:hAnsi="宋体"/>
          <w:color w:val="auto"/>
          <w:sz w:val="22"/>
        </w:rPr>
        <w:t xml:space="preserve">承诺书签署日期：  </w:t>
      </w:r>
    </w:p>
    <w:p w14:paraId="6A71F268">
      <w:pPr>
        <w:autoSpaceDE w:val="0"/>
        <w:autoSpaceDN w:val="0"/>
        <w:adjustRightInd w:val="0"/>
        <w:spacing w:line="460" w:lineRule="atLeast"/>
        <w:jc w:val="left"/>
        <w:rPr>
          <w:rFonts w:ascii="宋体" w:hAnsi="宋体"/>
          <w:color w:val="auto"/>
          <w:sz w:val="32"/>
        </w:rPr>
      </w:pPr>
    </w:p>
    <w:p w14:paraId="29AB8317">
      <w:pPr>
        <w:autoSpaceDE w:val="0"/>
        <w:autoSpaceDN w:val="0"/>
        <w:adjustRightInd w:val="0"/>
        <w:spacing w:line="460" w:lineRule="atLeast"/>
        <w:rPr>
          <w:rFonts w:ascii="宋体" w:hAnsi="宋体"/>
          <w:color w:val="auto"/>
          <w:sz w:val="30"/>
          <w:lang w:val="zh-CN"/>
        </w:rPr>
      </w:pPr>
    </w:p>
    <w:p w14:paraId="4DA957C2">
      <w:pPr>
        <w:autoSpaceDE w:val="0"/>
        <w:autoSpaceDN w:val="0"/>
        <w:adjustRightInd w:val="0"/>
        <w:spacing w:line="460" w:lineRule="atLeast"/>
        <w:rPr>
          <w:rFonts w:ascii="宋体" w:hAnsi="宋体"/>
          <w:color w:val="auto"/>
          <w:sz w:val="30"/>
          <w:lang w:val="zh-CN"/>
        </w:rPr>
      </w:pPr>
    </w:p>
    <w:p w14:paraId="2D32D380">
      <w:pPr>
        <w:autoSpaceDE w:val="0"/>
        <w:autoSpaceDN w:val="0"/>
        <w:adjustRightInd w:val="0"/>
        <w:spacing w:line="460" w:lineRule="atLeast"/>
        <w:rPr>
          <w:rFonts w:ascii="宋体" w:hAnsi="宋体"/>
          <w:color w:val="auto"/>
          <w:sz w:val="30"/>
          <w:lang w:val="zh-CN"/>
        </w:rPr>
      </w:pPr>
    </w:p>
    <w:p w14:paraId="18318769">
      <w:pPr>
        <w:autoSpaceDE w:val="0"/>
        <w:autoSpaceDN w:val="0"/>
        <w:adjustRightInd w:val="0"/>
        <w:spacing w:line="460" w:lineRule="atLeast"/>
        <w:rPr>
          <w:rFonts w:ascii="宋体" w:hAnsi="宋体"/>
          <w:color w:val="auto"/>
          <w:sz w:val="30"/>
          <w:lang w:val="zh-CN"/>
        </w:rPr>
      </w:pPr>
    </w:p>
    <w:p w14:paraId="2DE39E1F">
      <w:pPr>
        <w:autoSpaceDE w:val="0"/>
        <w:autoSpaceDN w:val="0"/>
        <w:adjustRightInd w:val="0"/>
        <w:spacing w:line="460" w:lineRule="atLeast"/>
        <w:rPr>
          <w:rFonts w:ascii="宋体" w:hAnsi="宋体"/>
          <w:color w:val="auto"/>
          <w:sz w:val="30"/>
          <w:lang w:val="zh-CN"/>
        </w:rPr>
      </w:pPr>
    </w:p>
    <w:p w14:paraId="1359A340">
      <w:pPr>
        <w:autoSpaceDE w:val="0"/>
        <w:autoSpaceDN w:val="0"/>
        <w:adjustRightInd w:val="0"/>
        <w:spacing w:line="460" w:lineRule="atLeast"/>
        <w:rPr>
          <w:rFonts w:ascii="宋体" w:hAnsi="宋体"/>
          <w:color w:val="auto"/>
          <w:sz w:val="30"/>
          <w:lang w:val="zh-CN"/>
        </w:rPr>
      </w:pPr>
    </w:p>
    <w:p w14:paraId="00856DDE">
      <w:pPr>
        <w:autoSpaceDE w:val="0"/>
        <w:autoSpaceDN w:val="0"/>
        <w:adjustRightInd w:val="0"/>
        <w:spacing w:line="460" w:lineRule="atLeast"/>
        <w:rPr>
          <w:rFonts w:ascii="宋体" w:hAnsi="宋体"/>
          <w:color w:val="auto"/>
          <w:sz w:val="30"/>
          <w:lang w:val="zh-CN"/>
        </w:rPr>
      </w:pPr>
    </w:p>
    <w:p w14:paraId="0F966D4D">
      <w:pPr>
        <w:autoSpaceDE w:val="0"/>
        <w:autoSpaceDN w:val="0"/>
        <w:adjustRightInd w:val="0"/>
        <w:spacing w:line="460" w:lineRule="atLeast"/>
        <w:jc w:val="left"/>
        <w:rPr>
          <w:rFonts w:ascii="宋体" w:hAnsi="宋体"/>
          <w:color w:val="auto"/>
          <w:sz w:val="32"/>
        </w:rPr>
      </w:pPr>
    </w:p>
    <w:p w14:paraId="603C9F54">
      <w:pPr>
        <w:pStyle w:val="26"/>
        <w:adjustRightInd w:val="0"/>
        <w:snapToGrid w:val="0"/>
        <w:spacing w:line="440" w:lineRule="atLeast"/>
        <w:jc w:val="left"/>
        <w:outlineLvl w:val="1"/>
        <w:rPr>
          <w:rFonts w:hAnsi="宋体"/>
          <w:color w:val="auto"/>
          <w:sz w:val="30"/>
        </w:rPr>
      </w:pPr>
      <w:bookmarkStart w:id="85" w:name="_Toc27137"/>
      <w:r>
        <w:rPr>
          <w:rFonts w:hAnsi="宋体"/>
          <w:color w:val="auto"/>
          <w:sz w:val="30"/>
        </w:rPr>
        <w:t>附件</w:t>
      </w:r>
      <w:r>
        <w:rPr>
          <w:rFonts w:hint="eastAsia" w:hAnsi="宋体"/>
          <w:color w:val="auto"/>
          <w:sz w:val="30"/>
        </w:rPr>
        <w:t>七</w:t>
      </w:r>
      <w:bookmarkEnd w:id="85"/>
    </w:p>
    <w:p w14:paraId="04689DEB">
      <w:pPr>
        <w:pStyle w:val="26"/>
        <w:adjustRightInd w:val="0"/>
        <w:snapToGrid w:val="0"/>
        <w:spacing w:line="440" w:lineRule="atLeast"/>
        <w:ind w:firstLine="440"/>
        <w:jc w:val="center"/>
        <w:outlineLvl w:val="1"/>
        <w:rPr>
          <w:rFonts w:hAnsi="宋体" w:cs="Arial"/>
          <w:bCs/>
          <w:color w:val="auto"/>
          <w:sz w:val="36"/>
          <w:szCs w:val="36"/>
          <w:lang w:val="zh-CN"/>
        </w:rPr>
      </w:pPr>
      <w:bookmarkStart w:id="86" w:name="_Toc31232"/>
      <w:r>
        <w:rPr>
          <w:rFonts w:hint="eastAsia" w:hAnsi="宋体" w:cs="Arial"/>
          <w:bCs/>
          <w:color w:val="auto"/>
          <w:sz w:val="36"/>
          <w:szCs w:val="36"/>
          <w:lang w:val="zh-CN"/>
        </w:rPr>
        <w:t>投标供应商业绩</w:t>
      </w:r>
      <w:bookmarkEnd w:id="86"/>
    </w:p>
    <w:tbl>
      <w:tblPr>
        <w:tblStyle w:val="47"/>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76"/>
        <w:gridCol w:w="1360"/>
        <w:gridCol w:w="1568"/>
        <w:gridCol w:w="1635"/>
        <w:gridCol w:w="1636"/>
        <w:gridCol w:w="1636"/>
      </w:tblGrid>
      <w:tr w14:paraId="2A50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6FF3C5B8">
            <w:pPr>
              <w:pStyle w:val="26"/>
              <w:adjustRightInd w:val="0"/>
              <w:snapToGrid w:val="0"/>
              <w:spacing w:line="440" w:lineRule="atLeast"/>
              <w:jc w:val="center"/>
              <w:rPr>
                <w:rFonts w:hAnsi="宋体"/>
                <w:color w:val="auto"/>
                <w:sz w:val="22"/>
                <w:szCs w:val="22"/>
              </w:rPr>
            </w:pPr>
            <w:r>
              <w:rPr>
                <w:rFonts w:hint="eastAsia" w:hAnsi="宋体"/>
                <w:color w:val="auto"/>
                <w:sz w:val="22"/>
                <w:szCs w:val="22"/>
              </w:rPr>
              <w:t>序号</w:t>
            </w:r>
          </w:p>
        </w:tc>
        <w:tc>
          <w:tcPr>
            <w:tcW w:w="1276" w:type="dxa"/>
            <w:tcBorders>
              <w:right w:val="single" w:color="000000" w:sz="4" w:space="0"/>
            </w:tcBorders>
          </w:tcPr>
          <w:p w14:paraId="29333EA9">
            <w:pPr>
              <w:pStyle w:val="26"/>
              <w:adjustRightInd w:val="0"/>
              <w:snapToGrid w:val="0"/>
              <w:spacing w:line="440" w:lineRule="atLeast"/>
              <w:jc w:val="center"/>
              <w:rPr>
                <w:rFonts w:hAnsi="宋体"/>
                <w:color w:val="auto"/>
                <w:sz w:val="22"/>
                <w:szCs w:val="22"/>
              </w:rPr>
            </w:pPr>
            <w:r>
              <w:rPr>
                <w:rFonts w:hint="eastAsia" w:hAnsi="宋体"/>
                <w:color w:val="auto"/>
                <w:sz w:val="22"/>
                <w:szCs w:val="22"/>
              </w:rPr>
              <w:t>签订时间</w:t>
            </w:r>
          </w:p>
        </w:tc>
        <w:tc>
          <w:tcPr>
            <w:tcW w:w="1360" w:type="dxa"/>
            <w:tcBorders>
              <w:left w:val="single" w:color="000000" w:sz="4" w:space="0"/>
            </w:tcBorders>
          </w:tcPr>
          <w:p w14:paraId="10B51C5F">
            <w:pPr>
              <w:pStyle w:val="26"/>
              <w:adjustRightInd w:val="0"/>
              <w:snapToGrid w:val="0"/>
              <w:spacing w:line="440" w:lineRule="atLeast"/>
              <w:jc w:val="center"/>
              <w:rPr>
                <w:rFonts w:hAnsi="宋体"/>
                <w:color w:val="auto"/>
                <w:sz w:val="22"/>
                <w:szCs w:val="22"/>
              </w:rPr>
            </w:pPr>
            <w:r>
              <w:rPr>
                <w:rFonts w:hint="eastAsia" w:hAnsi="宋体"/>
                <w:color w:val="auto"/>
                <w:sz w:val="22"/>
                <w:szCs w:val="22"/>
              </w:rPr>
              <w:t>用户名称</w:t>
            </w:r>
          </w:p>
        </w:tc>
        <w:tc>
          <w:tcPr>
            <w:tcW w:w="1568" w:type="dxa"/>
          </w:tcPr>
          <w:p w14:paraId="3470E190">
            <w:pPr>
              <w:pStyle w:val="26"/>
              <w:adjustRightInd w:val="0"/>
              <w:snapToGrid w:val="0"/>
              <w:spacing w:line="440" w:lineRule="atLeast"/>
              <w:jc w:val="center"/>
              <w:rPr>
                <w:rFonts w:hAnsi="宋体"/>
                <w:color w:val="auto"/>
                <w:sz w:val="22"/>
                <w:szCs w:val="22"/>
              </w:rPr>
            </w:pPr>
            <w:r>
              <w:rPr>
                <w:rFonts w:hint="eastAsia" w:hAnsi="宋体"/>
                <w:color w:val="auto"/>
                <w:sz w:val="22"/>
                <w:szCs w:val="22"/>
              </w:rPr>
              <w:t>合同金额</w:t>
            </w:r>
          </w:p>
        </w:tc>
        <w:tc>
          <w:tcPr>
            <w:tcW w:w="1635" w:type="dxa"/>
          </w:tcPr>
          <w:p w14:paraId="676FE437">
            <w:pPr>
              <w:pStyle w:val="26"/>
              <w:adjustRightInd w:val="0"/>
              <w:snapToGrid w:val="0"/>
              <w:spacing w:line="440" w:lineRule="atLeast"/>
              <w:jc w:val="center"/>
              <w:rPr>
                <w:rFonts w:hAnsi="宋体"/>
                <w:color w:val="auto"/>
                <w:sz w:val="22"/>
                <w:szCs w:val="22"/>
              </w:rPr>
            </w:pPr>
            <w:r>
              <w:rPr>
                <w:rFonts w:hint="eastAsia" w:hAnsi="宋体"/>
                <w:color w:val="auto"/>
                <w:sz w:val="22"/>
                <w:szCs w:val="22"/>
              </w:rPr>
              <w:t>联系人</w:t>
            </w:r>
          </w:p>
        </w:tc>
        <w:tc>
          <w:tcPr>
            <w:tcW w:w="1636" w:type="dxa"/>
          </w:tcPr>
          <w:p w14:paraId="4E6136A4">
            <w:pPr>
              <w:pStyle w:val="26"/>
              <w:adjustRightInd w:val="0"/>
              <w:snapToGrid w:val="0"/>
              <w:spacing w:line="440" w:lineRule="atLeast"/>
              <w:jc w:val="center"/>
              <w:rPr>
                <w:rFonts w:hAnsi="宋体"/>
                <w:color w:val="auto"/>
                <w:sz w:val="22"/>
                <w:szCs w:val="22"/>
              </w:rPr>
            </w:pPr>
            <w:r>
              <w:rPr>
                <w:rFonts w:hint="eastAsia" w:hAnsi="宋体"/>
                <w:color w:val="auto"/>
                <w:sz w:val="22"/>
                <w:szCs w:val="22"/>
              </w:rPr>
              <w:t>联系电话</w:t>
            </w:r>
          </w:p>
        </w:tc>
        <w:tc>
          <w:tcPr>
            <w:tcW w:w="1636" w:type="dxa"/>
          </w:tcPr>
          <w:p w14:paraId="23B10F3B">
            <w:pPr>
              <w:pStyle w:val="26"/>
              <w:adjustRightInd w:val="0"/>
              <w:snapToGrid w:val="0"/>
              <w:spacing w:line="440" w:lineRule="atLeast"/>
              <w:jc w:val="center"/>
              <w:rPr>
                <w:rFonts w:hAnsi="宋体"/>
                <w:color w:val="auto"/>
                <w:sz w:val="22"/>
                <w:szCs w:val="22"/>
              </w:rPr>
            </w:pPr>
            <w:r>
              <w:rPr>
                <w:rFonts w:hint="eastAsia" w:hAnsi="宋体"/>
                <w:color w:val="auto"/>
                <w:sz w:val="22"/>
                <w:szCs w:val="22"/>
              </w:rPr>
              <w:t>备注</w:t>
            </w:r>
          </w:p>
        </w:tc>
      </w:tr>
      <w:tr w14:paraId="6A75E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7510FDA0">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1EA6012D">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1B8949C2">
            <w:pPr>
              <w:pStyle w:val="26"/>
              <w:adjustRightInd w:val="0"/>
              <w:snapToGrid w:val="0"/>
              <w:spacing w:line="440" w:lineRule="atLeast"/>
              <w:rPr>
                <w:rFonts w:hAnsi="宋体"/>
                <w:color w:val="auto"/>
                <w:sz w:val="22"/>
                <w:szCs w:val="22"/>
              </w:rPr>
            </w:pPr>
          </w:p>
        </w:tc>
        <w:tc>
          <w:tcPr>
            <w:tcW w:w="1568" w:type="dxa"/>
          </w:tcPr>
          <w:p w14:paraId="172C9F46">
            <w:pPr>
              <w:pStyle w:val="26"/>
              <w:adjustRightInd w:val="0"/>
              <w:snapToGrid w:val="0"/>
              <w:spacing w:line="440" w:lineRule="atLeast"/>
              <w:rPr>
                <w:rFonts w:hAnsi="宋体"/>
                <w:color w:val="auto"/>
                <w:sz w:val="22"/>
                <w:szCs w:val="22"/>
              </w:rPr>
            </w:pPr>
          </w:p>
        </w:tc>
        <w:tc>
          <w:tcPr>
            <w:tcW w:w="1635" w:type="dxa"/>
          </w:tcPr>
          <w:p w14:paraId="20B7AAD6">
            <w:pPr>
              <w:pStyle w:val="26"/>
              <w:adjustRightInd w:val="0"/>
              <w:snapToGrid w:val="0"/>
              <w:spacing w:line="440" w:lineRule="atLeast"/>
              <w:rPr>
                <w:rFonts w:hAnsi="宋体"/>
                <w:color w:val="auto"/>
                <w:sz w:val="22"/>
                <w:szCs w:val="22"/>
              </w:rPr>
            </w:pPr>
          </w:p>
        </w:tc>
        <w:tc>
          <w:tcPr>
            <w:tcW w:w="1636" w:type="dxa"/>
          </w:tcPr>
          <w:p w14:paraId="18C7138A">
            <w:pPr>
              <w:pStyle w:val="26"/>
              <w:adjustRightInd w:val="0"/>
              <w:snapToGrid w:val="0"/>
              <w:spacing w:line="440" w:lineRule="atLeast"/>
              <w:rPr>
                <w:rFonts w:hAnsi="宋体"/>
                <w:color w:val="auto"/>
                <w:sz w:val="22"/>
                <w:szCs w:val="22"/>
              </w:rPr>
            </w:pPr>
          </w:p>
        </w:tc>
        <w:tc>
          <w:tcPr>
            <w:tcW w:w="1636" w:type="dxa"/>
          </w:tcPr>
          <w:p w14:paraId="1F9A71D6">
            <w:pPr>
              <w:pStyle w:val="26"/>
              <w:adjustRightInd w:val="0"/>
              <w:snapToGrid w:val="0"/>
              <w:spacing w:line="440" w:lineRule="atLeast"/>
              <w:rPr>
                <w:rFonts w:hAnsi="宋体"/>
                <w:color w:val="auto"/>
                <w:sz w:val="22"/>
                <w:szCs w:val="22"/>
              </w:rPr>
            </w:pPr>
          </w:p>
        </w:tc>
      </w:tr>
      <w:tr w14:paraId="5A7F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0893CEDF">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11FCFCB3">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369CBD51">
            <w:pPr>
              <w:pStyle w:val="26"/>
              <w:adjustRightInd w:val="0"/>
              <w:snapToGrid w:val="0"/>
              <w:spacing w:line="440" w:lineRule="atLeast"/>
              <w:rPr>
                <w:rFonts w:hAnsi="宋体"/>
                <w:color w:val="auto"/>
                <w:sz w:val="22"/>
                <w:szCs w:val="22"/>
              </w:rPr>
            </w:pPr>
          </w:p>
        </w:tc>
        <w:tc>
          <w:tcPr>
            <w:tcW w:w="1568" w:type="dxa"/>
          </w:tcPr>
          <w:p w14:paraId="3A466DCE">
            <w:pPr>
              <w:pStyle w:val="26"/>
              <w:adjustRightInd w:val="0"/>
              <w:snapToGrid w:val="0"/>
              <w:spacing w:line="440" w:lineRule="atLeast"/>
              <w:rPr>
                <w:rFonts w:hAnsi="宋体"/>
                <w:color w:val="auto"/>
                <w:sz w:val="22"/>
                <w:szCs w:val="22"/>
              </w:rPr>
            </w:pPr>
          </w:p>
        </w:tc>
        <w:tc>
          <w:tcPr>
            <w:tcW w:w="1635" w:type="dxa"/>
          </w:tcPr>
          <w:p w14:paraId="6155CED7">
            <w:pPr>
              <w:pStyle w:val="26"/>
              <w:adjustRightInd w:val="0"/>
              <w:snapToGrid w:val="0"/>
              <w:spacing w:line="440" w:lineRule="atLeast"/>
              <w:rPr>
                <w:rFonts w:hAnsi="宋体"/>
                <w:color w:val="auto"/>
                <w:sz w:val="22"/>
                <w:szCs w:val="22"/>
              </w:rPr>
            </w:pPr>
          </w:p>
        </w:tc>
        <w:tc>
          <w:tcPr>
            <w:tcW w:w="1636" w:type="dxa"/>
          </w:tcPr>
          <w:p w14:paraId="335763EF">
            <w:pPr>
              <w:pStyle w:val="26"/>
              <w:adjustRightInd w:val="0"/>
              <w:snapToGrid w:val="0"/>
              <w:spacing w:line="440" w:lineRule="atLeast"/>
              <w:rPr>
                <w:rFonts w:hAnsi="宋体"/>
                <w:color w:val="auto"/>
                <w:sz w:val="22"/>
                <w:szCs w:val="22"/>
              </w:rPr>
            </w:pPr>
          </w:p>
        </w:tc>
        <w:tc>
          <w:tcPr>
            <w:tcW w:w="1636" w:type="dxa"/>
          </w:tcPr>
          <w:p w14:paraId="67C482C4">
            <w:pPr>
              <w:pStyle w:val="26"/>
              <w:adjustRightInd w:val="0"/>
              <w:snapToGrid w:val="0"/>
              <w:spacing w:line="440" w:lineRule="atLeast"/>
              <w:rPr>
                <w:rFonts w:hAnsi="宋体"/>
                <w:color w:val="auto"/>
                <w:sz w:val="22"/>
                <w:szCs w:val="22"/>
              </w:rPr>
            </w:pPr>
          </w:p>
        </w:tc>
      </w:tr>
      <w:tr w14:paraId="6638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646C65D4">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18F75D7A">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4ECF183C">
            <w:pPr>
              <w:pStyle w:val="26"/>
              <w:adjustRightInd w:val="0"/>
              <w:snapToGrid w:val="0"/>
              <w:spacing w:line="440" w:lineRule="atLeast"/>
              <w:rPr>
                <w:rFonts w:hAnsi="宋体"/>
                <w:color w:val="auto"/>
                <w:sz w:val="22"/>
                <w:szCs w:val="22"/>
              </w:rPr>
            </w:pPr>
          </w:p>
        </w:tc>
        <w:tc>
          <w:tcPr>
            <w:tcW w:w="1568" w:type="dxa"/>
          </w:tcPr>
          <w:p w14:paraId="248B9423">
            <w:pPr>
              <w:pStyle w:val="26"/>
              <w:adjustRightInd w:val="0"/>
              <w:snapToGrid w:val="0"/>
              <w:spacing w:line="440" w:lineRule="atLeast"/>
              <w:rPr>
                <w:rFonts w:hAnsi="宋体"/>
                <w:color w:val="auto"/>
                <w:sz w:val="22"/>
                <w:szCs w:val="22"/>
              </w:rPr>
            </w:pPr>
          </w:p>
        </w:tc>
        <w:tc>
          <w:tcPr>
            <w:tcW w:w="1635" w:type="dxa"/>
          </w:tcPr>
          <w:p w14:paraId="15B07858">
            <w:pPr>
              <w:pStyle w:val="26"/>
              <w:adjustRightInd w:val="0"/>
              <w:snapToGrid w:val="0"/>
              <w:spacing w:line="440" w:lineRule="atLeast"/>
              <w:rPr>
                <w:rFonts w:hAnsi="宋体"/>
                <w:color w:val="auto"/>
                <w:sz w:val="22"/>
                <w:szCs w:val="22"/>
              </w:rPr>
            </w:pPr>
          </w:p>
        </w:tc>
        <w:tc>
          <w:tcPr>
            <w:tcW w:w="1636" w:type="dxa"/>
          </w:tcPr>
          <w:p w14:paraId="26600B36">
            <w:pPr>
              <w:pStyle w:val="26"/>
              <w:adjustRightInd w:val="0"/>
              <w:snapToGrid w:val="0"/>
              <w:spacing w:line="440" w:lineRule="atLeast"/>
              <w:rPr>
                <w:rFonts w:hAnsi="宋体"/>
                <w:color w:val="auto"/>
                <w:sz w:val="22"/>
                <w:szCs w:val="22"/>
              </w:rPr>
            </w:pPr>
          </w:p>
        </w:tc>
        <w:tc>
          <w:tcPr>
            <w:tcW w:w="1636" w:type="dxa"/>
          </w:tcPr>
          <w:p w14:paraId="53FC73C6">
            <w:pPr>
              <w:pStyle w:val="26"/>
              <w:adjustRightInd w:val="0"/>
              <w:snapToGrid w:val="0"/>
              <w:spacing w:line="440" w:lineRule="atLeast"/>
              <w:rPr>
                <w:rFonts w:hAnsi="宋体"/>
                <w:color w:val="auto"/>
                <w:sz w:val="22"/>
                <w:szCs w:val="22"/>
              </w:rPr>
            </w:pPr>
          </w:p>
        </w:tc>
      </w:tr>
      <w:tr w14:paraId="06157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2A44C7E6">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52A290B9">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01E56E95">
            <w:pPr>
              <w:pStyle w:val="26"/>
              <w:adjustRightInd w:val="0"/>
              <w:snapToGrid w:val="0"/>
              <w:spacing w:line="440" w:lineRule="atLeast"/>
              <w:rPr>
                <w:rFonts w:hAnsi="宋体"/>
                <w:color w:val="auto"/>
                <w:sz w:val="22"/>
                <w:szCs w:val="22"/>
              </w:rPr>
            </w:pPr>
          </w:p>
        </w:tc>
        <w:tc>
          <w:tcPr>
            <w:tcW w:w="1568" w:type="dxa"/>
          </w:tcPr>
          <w:p w14:paraId="7354F4CE">
            <w:pPr>
              <w:pStyle w:val="26"/>
              <w:adjustRightInd w:val="0"/>
              <w:snapToGrid w:val="0"/>
              <w:spacing w:line="440" w:lineRule="atLeast"/>
              <w:rPr>
                <w:rFonts w:hAnsi="宋体"/>
                <w:color w:val="auto"/>
                <w:sz w:val="22"/>
                <w:szCs w:val="22"/>
              </w:rPr>
            </w:pPr>
          </w:p>
        </w:tc>
        <w:tc>
          <w:tcPr>
            <w:tcW w:w="1635" w:type="dxa"/>
          </w:tcPr>
          <w:p w14:paraId="4BB26E90">
            <w:pPr>
              <w:pStyle w:val="26"/>
              <w:adjustRightInd w:val="0"/>
              <w:snapToGrid w:val="0"/>
              <w:spacing w:line="440" w:lineRule="atLeast"/>
              <w:rPr>
                <w:rFonts w:hAnsi="宋体"/>
                <w:color w:val="auto"/>
                <w:sz w:val="22"/>
                <w:szCs w:val="22"/>
              </w:rPr>
            </w:pPr>
          </w:p>
        </w:tc>
        <w:tc>
          <w:tcPr>
            <w:tcW w:w="1636" w:type="dxa"/>
          </w:tcPr>
          <w:p w14:paraId="67896AD7">
            <w:pPr>
              <w:pStyle w:val="26"/>
              <w:adjustRightInd w:val="0"/>
              <w:snapToGrid w:val="0"/>
              <w:spacing w:line="440" w:lineRule="atLeast"/>
              <w:rPr>
                <w:rFonts w:hAnsi="宋体"/>
                <w:color w:val="auto"/>
                <w:sz w:val="22"/>
                <w:szCs w:val="22"/>
              </w:rPr>
            </w:pPr>
          </w:p>
        </w:tc>
        <w:tc>
          <w:tcPr>
            <w:tcW w:w="1636" w:type="dxa"/>
          </w:tcPr>
          <w:p w14:paraId="02212D1B">
            <w:pPr>
              <w:pStyle w:val="26"/>
              <w:adjustRightInd w:val="0"/>
              <w:snapToGrid w:val="0"/>
              <w:spacing w:line="440" w:lineRule="atLeast"/>
              <w:rPr>
                <w:rFonts w:hAnsi="宋体"/>
                <w:color w:val="auto"/>
                <w:sz w:val="22"/>
                <w:szCs w:val="22"/>
              </w:rPr>
            </w:pPr>
          </w:p>
        </w:tc>
      </w:tr>
      <w:tr w14:paraId="5D84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3E963557">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2F182412">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18105232">
            <w:pPr>
              <w:pStyle w:val="26"/>
              <w:adjustRightInd w:val="0"/>
              <w:snapToGrid w:val="0"/>
              <w:spacing w:line="440" w:lineRule="atLeast"/>
              <w:rPr>
                <w:rFonts w:hAnsi="宋体"/>
                <w:color w:val="auto"/>
                <w:sz w:val="22"/>
                <w:szCs w:val="22"/>
              </w:rPr>
            </w:pPr>
          </w:p>
        </w:tc>
        <w:tc>
          <w:tcPr>
            <w:tcW w:w="1568" w:type="dxa"/>
          </w:tcPr>
          <w:p w14:paraId="4059BA7A">
            <w:pPr>
              <w:pStyle w:val="26"/>
              <w:adjustRightInd w:val="0"/>
              <w:snapToGrid w:val="0"/>
              <w:spacing w:line="440" w:lineRule="atLeast"/>
              <w:rPr>
                <w:rFonts w:hAnsi="宋体"/>
                <w:color w:val="auto"/>
                <w:sz w:val="22"/>
                <w:szCs w:val="22"/>
              </w:rPr>
            </w:pPr>
          </w:p>
        </w:tc>
        <w:tc>
          <w:tcPr>
            <w:tcW w:w="1635" w:type="dxa"/>
          </w:tcPr>
          <w:p w14:paraId="18E44940">
            <w:pPr>
              <w:pStyle w:val="26"/>
              <w:adjustRightInd w:val="0"/>
              <w:snapToGrid w:val="0"/>
              <w:spacing w:line="440" w:lineRule="atLeast"/>
              <w:rPr>
                <w:rFonts w:hAnsi="宋体"/>
                <w:color w:val="auto"/>
                <w:sz w:val="22"/>
                <w:szCs w:val="22"/>
              </w:rPr>
            </w:pPr>
          </w:p>
        </w:tc>
        <w:tc>
          <w:tcPr>
            <w:tcW w:w="1636" w:type="dxa"/>
          </w:tcPr>
          <w:p w14:paraId="7FA04488">
            <w:pPr>
              <w:pStyle w:val="26"/>
              <w:adjustRightInd w:val="0"/>
              <w:snapToGrid w:val="0"/>
              <w:spacing w:line="440" w:lineRule="atLeast"/>
              <w:rPr>
                <w:rFonts w:hAnsi="宋体"/>
                <w:color w:val="auto"/>
                <w:sz w:val="22"/>
                <w:szCs w:val="22"/>
              </w:rPr>
            </w:pPr>
          </w:p>
        </w:tc>
        <w:tc>
          <w:tcPr>
            <w:tcW w:w="1636" w:type="dxa"/>
          </w:tcPr>
          <w:p w14:paraId="4C523148">
            <w:pPr>
              <w:pStyle w:val="26"/>
              <w:adjustRightInd w:val="0"/>
              <w:snapToGrid w:val="0"/>
              <w:spacing w:line="440" w:lineRule="atLeast"/>
              <w:rPr>
                <w:rFonts w:hAnsi="宋体"/>
                <w:color w:val="auto"/>
                <w:sz w:val="22"/>
                <w:szCs w:val="22"/>
              </w:rPr>
            </w:pPr>
          </w:p>
        </w:tc>
      </w:tr>
      <w:tr w14:paraId="469D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681AC0CC">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6F32520C">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21CEC827">
            <w:pPr>
              <w:pStyle w:val="26"/>
              <w:adjustRightInd w:val="0"/>
              <w:snapToGrid w:val="0"/>
              <w:spacing w:line="440" w:lineRule="atLeast"/>
              <w:rPr>
                <w:rFonts w:hAnsi="宋体"/>
                <w:color w:val="auto"/>
                <w:sz w:val="22"/>
                <w:szCs w:val="22"/>
              </w:rPr>
            </w:pPr>
          </w:p>
        </w:tc>
        <w:tc>
          <w:tcPr>
            <w:tcW w:w="1568" w:type="dxa"/>
          </w:tcPr>
          <w:p w14:paraId="35657D93">
            <w:pPr>
              <w:pStyle w:val="26"/>
              <w:adjustRightInd w:val="0"/>
              <w:snapToGrid w:val="0"/>
              <w:spacing w:line="440" w:lineRule="atLeast"/>
              <w:rPr>
                <w:rFonts w:hAnsi="宋体"/>
                <w:color w:val="auto"/>
                <w:sz w:val="22"/>
                <w:szCs w:val="22"/>
              </w:rPr>
            </w:pPr>
          </w:p>
        </w:tc>
        <w:tc>
          <w:tcPr>
            <w:tcW w:w="1635" w:type="dxa"/>
          </w:tcPr>
          <w:p w14:paraId="05B41A29">
            <w:pPr>
              <w:pStyle w:val="26"/>
              <w:adjustRightInd w:val="0"/>
              <w:snapToGrid w:val="0"/>
              <w:spacing w:line="440" w:lineRule="atLeast"/>
              <w:rPr>
                <w:rFonts w:hAnsi="宋体"/>
                <w:color w:val="auto"/>
                <w:sz w:val="22"/>
                <w:szCs w:val="22"/>
              </w:rPr>
            </w:pPr>
          </w:p>
        </w:tc>
        <w:tc>
          <w:tcPr>
            <w:tcW w:w="1636" w:type="dxa"/>
          </w:tcPr>
          <w:p w14:paraId="20019DCD">
            <w:pPr>
              <w:pStyle w:val="26"/>
              <w:adjustRightInd w:val="0"/>
              <w:snapToGrid w:val="0"/>
              <w:spacing w:line="440" w:lineRule="atLeast"/>
              <w:rPr>
                <w:rFonts w:hAnsi="宋体"/>
                <w:color w:val="auto"/>
                <w:sz w:val="22"/>
                <w:szCs w:val="22"/>
              </w:rPr>
            </w:pPr>
          </w:p>
        </w:tc>
        <w:tc>
          <w:tcPr>
            <w:tcW w:w="1636" w:type="dxa"/>
          </w:tcPr>
          <w:p w14:paraId="41D59DAC">
            <w:pPr>
              <w:pStyle w:val="26"/>
              <w:adjustRightInd w:val="0"/>
              <w:snapToGrid w:val="0"/>
              <w:spacing w:line="440" w:lineRule="atLeast"/>
              <w:rPr>
                <w:rFonts w:hAnsi="宋体"/>
                <w:color w:val="auto"/>
                <w:sz w:val="22"/>
                <w:szCs w:val="22"/>
              </w:rPr>
            </w:pPr>
          </w:p>
        </w:tc>
      </w:tr>
      <w:tr w14:paraId="0300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2ECF65E7">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3384975A">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68463971">
            <w:pPr>
              <w:pStyle w:val="26"/>
              <w:adjustRightInd w:val="0"/>
              <w:snapToGrid w:val="0"/>
              <w:spacing w:line="440" w:lineRule="atLeast"/>
              <w:rPr>
                <w:rFonts w:hAnsi="宋体"/>
                <w:color w:val="auto"/>
                <w:sz w:val="22"/>
                <w:szCs w:val="22"/>
              </w:rPr>
            </w:pPr>
          </w:p>
        </w:tc>
        <w:tc>
          <w:tcPr>
            <w:tcW w:w="1568" w:type="dxa"/>
          </w:tcPr>
          <w:p w14:paraId="467F8389">
            <w:pPr>
              <w:pStyle w:val="26"/>
              <w:adjustRightInd w:val="0"/>
              <w:snapToGrid w:val="0"/>
              <w:spacing w:line="440" w:lineRule="atLeast"/>
              <w:rPr>
                <w:rFonts w:hAnsi="宋体"/>
                <w:color w:val="auto"/>
                <w:sz w:val="22"/>
                <w:szCs w:val="22"/>
              </w:rPr>
            </w:pPr>
          </w:p>
        </w:tc>
        <w:tc>
          <w:tcPr>
            <w:tcW w:w="1635" w:type="dxa"/>
          </w:tcPr>
          <w:p w14:paraId="2C68C831">
            <w:pPr>
              <w:pStyle w:val="26"/>
              <w:adjustRightInd w:val="0"/>
              <w:snapToGrid w:val="0"/>
              <w:spacing w:line="440" w:lineRule="atLeast"/>
              <w:rPr>
                <w:rFonts w:hAnsi="宋体"/>
                <w:color w:val="auto"/>
                <w:sz w:val="22"/>
                <w:szCs w:val="22"/>
              </w:rPr>
            </w:pPr>
          </w:p>
        </w:tc>
        <w:tc>
          <w:tcPr>
            <w:tcW w:w="1636" w:type="dxa"/>
          </w:tcPr>
          <w:p w14:paraId="3343975C">
            <w:pPr>
              <w:pStyle w:val="26"/>
              <w:adjustRightInd w:val="0"/>
              <w:snapToGrid w:val="0"/>
              <w:spacing w:line="440" w:lineRule="atLeast"/>
              <w:rPr>
                <w:rFonts w:hAnsi="宋体"/>
                <w:color w:val="auto"/>
                <w:sz w:val="22"/>
                <w:szCs w:val="22"/>
              </w:rPr>
            </w:pPr>
          </w:p>
        </w:tc>
        <w:tc>
          <w:tcPr>
            <w:tcW w:w="1636" w:type="dxa"/>
          </w:tcPr>
          <w:p w14:paraId="7A692BA2">
            <w:pPr>
              <w:pStyle w:val="26"/>
              <w:adjustRightInd w:val="0"/>
              <w:snapToGrid w:val="0"/>
              <w:spacing w:line="440" w:lineRule="atLeast"/>
              <w:rPr>
                <w:rFonts w:hAnsi="宋体"/>
                <w:color w:val="auto"/>
                <w:sz w:val="22"/>
                <w:szCs w:val="22"/>
              </w:rPr>
            </w:pPr>
          </w:p>
        </w:tc>
      </w:tr>
      <w:tr w14:paraId="1ED37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104336FD">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03DA2C86">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751E4CC1">
            <w:pPr>
              <w:pStyle w:val="26"/>
              <w:adjustRightInd w:val="0"/>
              <w:snapToGrid w:val="0"/>
              <w:spacing w:line="440" w:lineRule="atLeast"/>
              <w:rPr>
                <w:rFonts w:hAnsi="宋体"/>
                <w:color w:val="auto"/>
                <w:sz w:val="22"/>
                <w:szCs w:val="22"/>
              </w:rPr>
            </w:pPr>
          </w:p>
        </w:tc>
        <w:tc>
          <w:tcPr>
            <w:tcW w:w="1568" w:type="dxa"/>
          </w:tcPr>
          <w:p w14:paraId="550FE0EA">
            <w:pPr>
              <w:pStyle w:val="26"/>
              <w:adjustRightInd w:val="0"/>
              <w:snapToGrid w:val="0"/>
              <w:spacing w:line="440" w:lineRule="atLeast"/>
              <w:rPr>
                <w:rFonts w:hAnsi="宋体"/>
                <w:color w:val="auto"/>
                <w:sz w:val="22"/>
                <w:szCs w:val="22"/>
              </w:rPr>
            </w:pPr>
          </w:p>
        </w:tc>
        <w:tc>
          <w:tcPr>
            <w:tcW w:w="1635" w:type="dxa"/>
          </w:tcPr>
          <w:p w14:paraId="7E2CDDF1">
            <w:pPr>
              <w:pStyle w:val="26"/>
              <w:adjustRightInd w:val="0"/>
              <w:snapToGrid w:val="0"/>
              <w:spacing w:line="440" w:lineRule="atLeast"/>
              <w:rPr>
                <w:rFonts w:hAnsi="宋体"/>
                <w:color w:val="auto"/>
                <w:sz w:val="22"/>
                <w:szCs w:val="22"/>
              </w:rPr>
            </w:pPr>
          </w:p>
        </w:tc>
        <w:tc>
          <w:tcPr>
            <w:tcW w:w="1636" w:type="dxa"/>
          </w:tcPr>
          <w:p w14:paraId="72D7662A">
            <w:pPr>
              <w:pStyle w:val="26"/>
              <w:adjustRightInd w:val="0"/>
              <w:snapToGrid w:val="0"/>
              <w:spacing w:line="440" w:lineRule="atLeast"/>
              <w:rPr>
                <w:rFonts w:hAnsi="宋体"/>
                <w:color w:val="auto"/>
                <w:sz w:val="22"/>
                <w:szCs w:val="22"/>
              </w:rPr>
            </w:pPr>
          </w:p>
        </w:tc>
        <w:tc>
          <w:tcPr>
            <w:tcW w:w="1636" w:type="dxa"/>
          </w:tcPr>
          <w:p w14:paraId="3CF474F4">
            <w:pPr>
              <w:pStyle w:val="26"/>
              <w:adjustRightInd w:val="0"/>
              <w:snapToGrid w:val="0"/>
              <w:spacing w:line="440" w:lineRule="atLeast"/>
              <w:rPr>
                <w:rFonts w:hAnsi="宋体"/>
                <w:color w:val="auto"/>
                <w:sz w:val="22"/>
                <w:szCs w:val="22"/>
              </w:rPr>
            </w:pPr>
          </w:p>
        </w:tc>
      </w:tr>
      <w:tr w14:paraId="7A8A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0DC12AF5">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308C137B">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645005EE">
            <w:pPr>
              <w:pStyle w:val="26"/>
              <w:adjustRightInd w:val="0"/>
              <w:snapToGrid w:val="0"/>
              <w:spacing w:line="440" w:lineRule="atLeast"/>
              <w:rPr>
                <w:rFonts w:hAnsi="宋体"/>
                <w:color w:val="auto"/>
                <w:sz w:val="22"/>
                <w:szCs w:val="22"/>
              </w:rPr>
            </w:pPr>
          </w:p>
        </w:tc>
        <w:tc>
          <w:tcPr>
            <w:tcW w:w="1568" w:type="dxa"/>
          </w:tcPr>
          <w:p w14:paraId="11F12490">
            <w:pPr>
              <w:pStyle w:val="26"/>
              <w:adjustRightInd w:val="0"/>
              <w:snapToGrid w:val="0"/>
              <w:spacing w:line="440" w:lineRule="atLeast"/>
              <w:rPr>
                <w:rFonts w:hAnsi="宋体"/>
                <w:color w:val="auto"/>
                <w:sz w:val="22"/>
                <w:szCs w:val="22"/>
              </w:rPr>
            </w:pPr>
          </w:p>
        </w:tc>
        <w:tc>
          <w:tcPr>
            <w:tcW w:w="1635" w:type="dxa"/>
          </w:tcPr>
          <w:p w14:paraId="5C83FDE3">
            <w:pPr>
              <w:pStyle w:val="26"/>
              <w:adjustRightInd w:val="0"/>
              <w:snapToGrid w:val="0"/>
              <w:spacing w:line="440" w:lineRule="atLeast"/>
              <w:rPr>
                <w:rFonts w:hAnsi="宋体"/>
                <w:color w:val="auto"/>
                <w:sz w:val="22"/>
                <w:szCs w:val="22"/>
              </w:rPr>
            </w:pPr>
          </w:p>
        </w:tc>
        <w:tc>
          <w:tcPr>
            <w:tcW w:w="1636" w:type="dxa"/>
          </w:tcPr>
          <w:p w14:paraId="5FD194E2">
            <w:pPr>
              <w:pStyle w:val="26"/>
              <w:adjustRightInd w:val="0"/>
              <w:snapToGrid w:val="0"/>
              <w:spacing w:line="440" w:lineRule="atLeast"/>
              <w:rPr>
                <w:rFonts w:hAnsi="宋体"/>
                <w:color w:val="auto"/>
                <w:sz w:val="22"/>
                <w:szCs w:val="22"/>
              </w:rPr>
            </w:pPr>
          </w:p>
        </w:tc>
        <w:tc>
          <w:tcPr>
            <w:tcW w:w="1636" w:type="dxa"/>
          </w:tcPr>
          <w:p w14:paraId="71EAB4BB">
            <w:pPr>
              <w:pStyle w:val="26"/>
              <w:adjustRightInd w:val="0"/>
              <w:snapToGrid w:val="0"/>
              <w:spacing w:line="440" w:lineRule="atLeast"/>
              <w:rPr>
                <w:rFonts w:hAnsi="宋体"/>
                <w:color w:val="auto"/>
                <w:sz w:val="22"/>
                <w:szCs w:val="22"/>
              </w:rPr>
            </w:pPr>
          </w:p>
        </w:tc>
      </w:tr>
      <w:tr w14:paraId="0980C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709" w:type="dxa"/>
          </w:tcPr>
          <w:p w14:paraId="4A5F0CCA">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06619D50">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63A58E27">
            <w:pPr>
              <w:pStyle w:val="26"/>
              <w:adjustRightInd w:val="0"/>
              <w:snapToGrid w:val="0"/>
              <w:spacing w:line="440" w:lineRule="atLeast"/>
              <w:rPr>
                <w:rFonts w:hAnsi="宋体"/>
                <w:color w:val="auto"/>
                <w:sz w:val="22"/>
                <w:szCs w:val="22"/>
              </w:rPr>
            </w:pPr>
          </w:p>
        </w:tc>
        <w:tc>
          <w:tcPr>
            <w:tcW w:w="1568" w:type="dxa"/>
          </w:tcPr>
          <w:p w14:paraId="300BA221">
            <w:pPr>
              <w:pStyle w:val="26"/>
              <w:adjustRightInd w:val="0"/>
              <w:snapToGrid w:val="0"/>
              <w:spacing w:line="440" w:lineRule="atLeast"/>
              <w:rPr>
                <w:rFonts w:hAnsi="宋体"/>
                <w:color w:val="auto"/>
                <w:sz w:val="22"/>
                <w:szCs w:val="22"/>
              </w:rPr>
            </w:pPr>
          </w:p>
        </w:tc>
        <w:tc>
          <w:tcPr>
            <w:tcW w:w="1635" w:type="dxa"/>
          </w:tcPr>
          <w:p w14:paraId="306831FD">
            <w:pPr>
              <w:pStyle w:val="26"/>
              <w:adjustRightInd w:val="0"/>
              <w:snapToGrid w:val="0"/>
              <w:spacing w:line="440" w:lineRule="atLeast"/>
              <w:rPr>
                <w:rFonts w:hAnsi="宋体"/>
                <w:color w:val="auto"/>
                <w:sz w:val="22"/>
                <w:szCs w:val="22"/>
              </w:rPr>
            </w:pPr>
          </w:p>
        </w:tc>
        <w:tc>
          <w:tcPr>
            <w:tcW w:w="1636" w:type="dxa"/>
          </w:tcPr>
          <w:p w14:paraId="72007DA9">
            <w:pPr>
              <w:pStyle w:val="26"/>
              <w:adjustRightInd w:val="0"/>
              <w:snapToGrid w:val="0"/>
              <w:spacing w:line="440" w:lineRule="atLeast"/>
              <w:rPr>
                <w:rFonts w:hAnsi="宋体"/>
                <w:color w:val="auto"/>
                <w:sz w:val="22"/>
                <w:szCs w:val="22"/>
              </w:rPr>
            </w:pPr>
          </w:p>
        </w:tc>
        <w:tc>
          <w:tcPr>
            <w:tcW w:w="1636" w:type="dxa"/>
          </w:tcPr>
          <w:p w14:paraId="39F9D3A8">
            <w:pPr>
              <w:pStyle w:val="26"/>
              <w:adjustRightInd w:val="0"/>
              <w:snapToGrid w:val="0"/>
              <w:spacing w:line="440" w:lineRule="atLeast"/>
              <w:rPr>
                <w:rFonts w:hAnsi="宋体"/>
                <w:color w:val="auto"/>
                <w:sz w:val="22"/>
                <w:szCs w:val="22"/>
              </w:rPr>
            </w:pPr>
          </w:p>
        </w:tc>
      </w:tr>
      <w:tr w14:paraId="2151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09" w:type="dxa"/>
          </w:tcPr>
          <w:p w14:paraId="182E84A8">
            <w:pPr>
              <w:pStyle w:val="26"/>
              <w:adjustRightInd w:val="0"/>
              <w:snapToGrid w:val="0"/>
              <w:spacing w:line="440" w:lineRule="atLeast"/>
              <w:rPr>
                <w:rFonts w:hAnsi="宋体"/>
                <w:color w:val="auto"/>
                <w:sz w:val="22"/>
                <w:szCs w:val="22"/>
              </w:rPr>
            </w:pPr>
          </w:p>
        </w:tc>
        <w:tc>
          <w:tcPr>
            <w:tcW w:w="1276" w:type="dxa"/>
            <w:tcBorders>
              <w:right w:val="single" w:color="000000" w:sz="4" w:space="0"/>
            </w:tcBorders>
          </w:tcPr>
          <w:p w14:paraId="6BDD03D4">
            <w:pPr>
              <w:pStyle w:val="26"/>
              <w:adjustRightInd w:val="0"/>
              <w:snapToGrid w:val="0"/>
              <w:spacing w:line="440" w:lineRule="atLeast"/>
              <w:rPr>
                <w:rFonts w:hAnsi="宋体"/>
                <w:color w:val="auto"/>
                <w:sz w:val="22"/>
                <w:szCs w:val="22"/>
              </w:rPr>
            </w:pPr>
          </w:p>
        </w:tc>
        <w:tc>
          <w:tcPr>
            <w:tcW w:w="1360" w:type="dxa"/>
            <w:tcBorders>
              <w:left w:val="single" w:color="000000" w:sz="4" w:space="0"/>
            </w:tcBorders>
          </w:tcPr>
          <w:p w14:paraId="31C2369D">
            <w:pPr>
              <w:pStyle w:val="26"/>
              <w:adjustRightInd w:val="0"/>
              <w:snapToGrid w:val="0"/>
              <w:spacing w:line="440" w:lineRule="atLeast"/>
              <w:rPr>
                <w:rFonts w:hAnsi="宋体"/>
                <w:color w:val="auto"/>
                <w:sz w:val="22"/>
                <w:szCs w:val="22"/>
              </w:rPr>
            </w:pPr>
          </w:p>
        </w:tc>
        <w:tc>
          <w:tcPr>
            <w:tcW w:w="1568" w:type="dxa"/>
          </w:tcPr>
          <w:p w14:paraId="47531704">
            <w:pPr>
              <w:pStyle w:val="26"/>
              <w:adjustRightInd w:val="0"/>
              <w:snapToGrid w:val="0"/>
              <w:spacing w:line="440" w:lineRule="atLeast"/>
              <w:rPr>
                <w:rFonts w:hAnsi="宋体"/>
                <w:color w:val="auto"/>
                <w:sz w:val="22"/>
                <w:szCs w:val="22"/>
              </w:rPr>
            </w:pPr>
          </w:p>
        </w:tc>
        <w:tc>
          <w:tcPr>
            <w:tcW w:w="1635" w:type="dxa"/>
          </w:tcPr>
          <w:p w14:paraId="0CE25AE4">
            <w:pPr>
              <w:pStyle w:val="26"/>
              <w:adjustRightInd w:val="0"/>
              <w:snapToGrid w:val="0"/>
              <w:spacing w:line="440" w:lineRule="atLeast"/>
              <w:rPr>
                <w:rFonts w:hAnsi="宋体"/>
                <w:color w:val="auto"/>
                <w:sz w:val="22"/>
                <w:szCs w:val="22"/>
              </w:rPr>
            </w:pPr>
          </w:p>
        </w:tc>
        <w:tc>
          <w:tcPr>
            <w:tcW w:w="1636" w:type="dxa"/>
          </w:tcPr>
          <w:p w14:paraId="7F0BF6DA">
            <w:pPr>
              <w:pStyle w:val="26"/>
              <w:adjustRightInd w:val="0"/>
              <w:snapToGrid w:val="0"/>
              <w:spacing w:line="440" w:lineRule="atLeast"/>
              <w:rPr>
                <w:rFonts w:hAnsi="宋体"/>
                <w:color w:val="auto"/>
                <w:sz w:val="22"/>
                <w:szCs w:val="22"/>
              </w:rPr>
            </w:pPr>
          </w:p>
        </w:tc>
        <w:tc>
          <w:tcPr>
            <w:tcW w:w="1636" w:type="dxa"/>
          </w:tcPr>
          <w:p w14:paraId="2CB58D90">
            <w:pPr>
              <w:pStyle w:val="26"/>
              <w:adjustRightInd w:val="0"/>
              <w:snapToGrid w:val="0"/>
              <w:spacing w:line="440" w:lineRule="atLeast"/>
              <w:rPr>
                <w:rFonts w:hAnsi="宋体"/>
                <w:color w:val="auto"/>
                <w:sz w:val="22"/>
                <w:szCs w:val="22"/>
              </w:rPr>
            </w:pPr>
          </w:p>
        </w:tc>
      </w:tr>
    </w:tbl>
    <w:p w14:paraId="1D0FE2EA">
      <w:pPr>
        <w:pStyle w:val="26"/>
        <w:spacing w:line="440" w:lineRule="atLeast"/>
        <w:rPr>
          <w:rFonts w:hAnsi="宋体" w:cs="Arial"/>
          <w:bCs/>
          <w:color w:val="auto"/>
          <w:sz w:val="22"/>
          <w:szCs w:val="22"/>
        </w:rPr>
      </w:pPr>
      <w:r>
        <w:rPr>
          <w:rFonts w:hint="eastAsia" w:hAnsi="宋体" w:cs="Arial"/>
          <w:bCs/>
          <w:color w:val="auto"/>
          <w:sz w:val="22"/>
          <w:szCs w:val="22"/>
        </w:rPr>
        <w:t>说明：1、表后提供相关证明材料，不允许只提供此表。</w:t>
      </w:r>
    </w:p>
    <w:p w14:paraId="6894B184">
      <w:pPr>
        <w:pStyle w:val="26"/>
        <w:spacing w:line="440" w:lineRule="atLeast"/>
        <w:ind w:firstLine="660" w:firstLineChars="300"/>
        <w:rPr>
          <w:rFonts w:hAnsi="宋体" w:cs="Arial"/>
          <w:bCs/>
          <w:color w:val="auto"/>
          <w:sz w:val="36"/>
          <w:szCs w:val="36"/>
        </w:rPr>
      </w:pPr>
      <w:r>
        <w:rPr>
          <w:rFonts w:hint="eastAsia" w:hAnsi="宋体" w:cs="Arial"/>
          <w:bCs/>
          <w:color w:val="auto"/>
          <w:sz w:val="22"/>
          <w:szCs w:val="22"/>
        </w:rPr>
        <w:t>2、表格可以延续。</w:t>
      </w:r>
    </w:p>
    <w:p w14:paraId="3B93FFD0">
      <w:pPr>
        <w:pStyle w:val="26"/>
        <w:spacing w:line="440" w:lineRule="atLeast"/>
        <w:jc w:val="center"/>
        <w:rPr>
          <w:rFonts w:hAnsi="宋体" w:cs="Arial"/>
          <w:bCs/>
          <w:color w:val="auto"/>
          <w:sz w:val="36"/>
          <w:szCs w:val="36"/>
        </w:rPr>
      </w:pPr>
    </w:p>
    <w:p w14:paraId="2ACD89FD">
      <w:pPr>
        <w:autoSpaceDE w:val="0"/>
        <w:autoSpaceDN w:val="0"/>
        <w:adjustRightInd w:val="0"/>
        <w:spacing w:line="440" w:lineRule="atLeast"/>
        <w:ind w:firstLine="442" w:firstLineChars="201"/>
        <w:rPr>
          <w:rFonts w:ascii="宋体" w:hAnsi="宋体"/>
          <w:color w:val="auto"/>
          <w:kern w:val="0"/>
          <w:sz w:val="22"/>
          <w:szCs w:val="20"/>
          <w:lang w:val="zh-CN"/>
        </w:rPr>
      </w:pPr>
      <w:r>
        <w:rPr>
          <w:rFonts w:hint="eastAsia" w:ascii="宋体" w:hAnsi="宋体"/>
          <w:color w:val="auto"/>
          <w:sz w:val="22"/>
          <w:szCs w:val="22"/>
          <w:lang w:val="zh-CN"/>
        </w:rPr>
        <w:t>投标供应商（盖章）</w:t>
      </w:r>
      <w:r>
        <w:rPr>
          <w:rFonts w:hint="eastAsia" w:ascii="宋体" w:hAnsi="宋体"/>
          <w:color w:val="auto"/>
          <w:kern w:val="0"/>
          <w:sz w:val="22"/>
          <w:szCs w:val="20"/>
          <w:lang w:val="zh-CN"/>
        </w:rPr>
        <w:t>：</w:t>
      </w:r>
    </w:p>
    <w:p w14:paraId="7C2361EC">
      <w:pPr>
        <w:autoSpaceDE w:val="0"/>
        <w:autoSpaceDN w:val="0"/>
        <w:adjustRightInd w:val="0"/>
        <w:spacing w:line="440" w:lineRule="atLeast"/>
        <w:ind w:firstLine="442" w:firstLineChars="201"/>
        <w:rPr>
          <w:rFonts w:ascii="宋体" w:hAnsi="宋体"/>
          <w:color w:val="auto"/>
          <w:kern w:val="0"/>
          <w:sz w:val="22"/>
          <w:szCs w:val="20"/>
          <w:lang w:val="zh-CN"/>
        </w:rPr>
      </w:pPr>
      <w:r>
        <w:rPr>
          <w:rFonts w:hint="eastAsia" w:ascii="宋体" w:hAnsi="宋体"/>
          <w:color w:val="auto"/>
          <w:kern w:val="0"/>
          <w:sz w:val="22"/>
          <w:szCs w:val="20"/>
          <w:lang w:val="zh-CN"/>
        </w:rPr>
        <w:t>法定代表人或授权代表（签字或盖章）：</w:t>
      </w:r>
    </w:p>
    <w:p w14:paraId="613DE6DB">
      <w:pPr>
        <w:autoSpaceDE w:val="0"/>
        <w:autoSpaceDN w:val="0"/>
        <w:adjustRightInd w:val="0"/>
        <w:snapToGrid w:val="0"/>
        <w:spacing w:line="480" w:lineRule="atLeast"/>
        <w:ind w:firstLine="440" w:firstLineChars="200"/>
        <w:jc w:val="left"/>
        <w:rPr>
          <w:rFonts w:ascii="宋体" w:hAnsi="宋体" w:cs="仿宋_GB2312"/>
          <w:color w:val="auto"/>
          <w:sz w:val="22"/>
          <w:lang w:val="zh-CN"/>
        </w:rPr>
      </w:pPr>
      <w:r>
        <w:rPr>
          <w:rFonts w:hint="eastAsia" w:ascii="宋体" w:hAnsi="宋体"/>
          <w:color w:val="auto"/>
          <w:kern w:val="0"/>
          <w:sz w:val="22"/>
          <w:szCs w:val="20"/>
          <w:lang w:val="zh-CN"/>
        </w:rPr>
        <w:t>日期：</w:t>
      </w:r>
    </w:p>
    <w:p w14:paraId="2E9D8E14">
      <w:pPr>
        <w:pStyle w:val="26"/>
        <w:spacing w:line="440" w:lineRule="atLeast"/>
        <w:jc w:val="center"/>
        <w:rPr>
          <w:rFonts w:hAnsi="宋体" w:cs="Arial"/>
          <w:bCs/>
          <w:color w:val="auto"/>
          <w:sz w:val="36"/>
          <w:szCs w:val="36"/>
        </w:rPr>
      </w:pPr>
    </w:p>
    <w:p w14:paraId="17C84CE8">
      <w:pPr>
        <w:pStyle w:val="26"/>
        <w:spacing w:line="440" w:lineRule="atLeast"/>
        <w:jc w:val="center"/>
        <w:rPr>
          <w:rFonts w:hAnsi="宋体" w:cs="Arial"/>
          <w:bCs/>
          <w:color w:val="auto"/>
          <w:sz w:val="36"/>
          <w:szCs w:val="36"/>
        </w:rPr>
      </w:pPr>
    </w:p>
    <w:p w14:paraId="404418D1">
      <w:pPr>
        <w:pStyle w:val="26"/>
        <w:spacing w:line="440" w:lineRule="atLeast"/>
        <w:jc w:val="center"/>
        <w:rPr>
          <w:rFonts w:hAnsi="宋体" w:cs="Arial"/>
          <w:bCs/>
          <w:color w:val="auto"/>
          <w:sz w:val="36"/>
          <w:szCs w:val="36"/>
        </w:rPr>
      </w:pPr>
    </w:p>
    <w:p w14:paraId="0E5C7B33">
      <w:pPr>
        <w:pStyle w:val="26"/>
        <w:spacing w:line="440" w:lineRule="atLeast"/>
        <w:jc w:val="center"/>
        <w:rPr>
          <w:rFonts w:hAnsi="宋体" w:cs="Arial"/>
          <w:bCs/>
          <w:color w:val="auto"/>
          <w:sz w:val="36"/>
          <w:szCs w:val="36"/>
        </w:rPr>
      </w:pPr>
    </w:p>
    <w:p w14:paraId="79F0A1A9">
      <w:pPr>
        <w:pStyle w:val="26"/>
        <w:adjustRightInd w:val="0"/>
        <w:snapToGrid w:val="0"/>
        <w:spacing w:line="440" w:lineRule="atLeast"/>
        <w:jc w:val="left"/>
        <w:outlineLvl w:val="1"/>
        <w:rPr>
          <w:rFonts w:hAnsi="宋体"/>
          <w:color w:val="auto"/>
          <w:sz w:val="30"/>
          <w:szCs w:val="30"/>
        </w:rPr>
      </w:pPr>
      <w:r>
        <w:rPr>
          <w:rFonts w:hAnsi="宋体" w:cs="Arial"/>
          <w:bCs/>
          <w:color w:val="auto"/>
          <w:sz w:val="22"/>
          <w:szCs w:val="22"/>
        </w:rPr>
        <w:br w:type="page"/>
      </w:r>
      <w:bookmarkStart w:id="87" w:name="_Toc3613"/>
      <w:r>
        <w:rPr>
          <w:rFonts w:hAnsi="宋体"/>
          <w:color w:val="auto"/>
          <w:sz w:val="30"/>
        </w:rPr>
        <w:t>附件</w:t>
      </w:r>
      <w:r>
        <w:rPr>
          <w:rFonts w:hint="eastAsia" w:hAnsi="宋体"/>
          <w:color w:val="auto"/>
          <w:sz w:val="30"/>
        </w:rPr>
        <w:t>八</w:t>
      </w:r>
      <w:bookmarkEnd w:id="87"/>
    </w:p>
    <w:p w14:paraId="2F663CA3">
      <w:pPr>
        <w:pStyle w:val="26"/>
        <w:adjustRightInd w:val="0"/>
        <w:snapToGrid w:val="0"/>
        <w:spacing w:line="440" w:lineRule="atLeast"/>
        <w:ind w:firstLine="440"/>
        <w:jc w:val="center"/>
        <w:outlineLvl w:val="1"/>
        <w:rPr>
          <w:rFonts w:hAnsi="宋体" w:cs="Arial"/>
          <w:bCs/>
          <w:color w:val="auto"/>
          <w:sz w:val="36"/>
          <w:szCs w:val="36"/>
          <w:lang w:val="zh-CN"/>
        </w:rPr>
      </w:pPr>
      <w:bookmarkStart w:id="88" w:name="_Toc23338"/>
      <w:r>
        <w:rPr>
          <w:rFonts w:hAnsi="宋体" w:cs="Arial"/>
          <w:bCs/>
          <w:color w:val="auto"/>
          <w:sz w:val="36"/>
          <w:szCs w:val="36"/>
          <w:lang w:val="zh-CN"/>
        </w:rPr>
        <w:t>人员配置情况表</w:t>
      </w:r>
      <w:bookmarkEnd w:id="88"/>
    </w:p>
    <w:tbl>
      <w:tblPr>
        <w:tblStyle w:val="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128"/>
        <w:gridCol w:w="892"/>
        <w:gridCol w:w="892"/>
        <w:gridCol w:w="1145"/>
        <w:gridCol w:w="1417"/>
        <w:gridCol w:w="1140"/>
      </w:tblGrid>
      <w:tr w14:paraId="0B6D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26" w:type="dxa"/>
            <w:tcBorders>
              <w:top w:val="single" w:color="auto" w:sz="4" w:space="0"/>
              <w:left w:val="single" w:color="auto" w:sz="4" w:space="0"/>
              <w:bottom w:val="single" w:color="auto" w:sz="4" w:space="0"/>
              <w:right w:val="single" w:color="auto" w:sz="4" w:space="0"/>
            </w:tcBorders>
            <w:vAlign w:val="center"/>
          </w:tcPr>
          <w:p w14:paraId="1EC27B81">
            <w:pPr>
              <w:jc w:val="center"/>
              <w:rPr>
                <w:rFonts w:ascii="宋体"/>
                <w:bCs/>
                <w:color w:val="auto"/>
                <w:sz w:val="22"/>
              </w:rPr>
            </w:pPr>
            <w:r>
              <w:rPr>
                <w:rFonts w:hint="eastAsia" w:ascii="宋体"/>
                <w:bCs/>
                <w:color w:val="auto"/>
                <w:sz w:val="22"/>
              </w:rPr>
              <w:t>姓名</w:t>
            </w:r>
          </w:p>
        </w:tc>
        <w:tc>
          <w:tcPr>
            <w:tcW w:w="3128" w:type="dxa"/>
            <w:tcBorders>
              <w:top w:val="single" w:color="auto" w:sz="4" w:space="0"/>
              <w:left w:val="single" w:color="auto" w:sz="4" w:space="0"/>
              <w:bottom w:val="single" w:color="auto" w:sz="4" w:space="0"/>
              <w:right w:val="single" w:color="auto" w:sz="4" w:space="0"/>
            </w:tcBorders>
            <w:vAlign w:val="center"/>
          </w:tcPr>
          <w:p w14:paraId="5A0817F2">
            <w:pPr>
              <w:jc w:val="center"/>
              <w:rPr>
                <w:rFonts w:ascii="宋体"/>
                <w:bCs/>
                <w:color w:val="auto"/>
                <w:sz w:val="22"/>
              </w:rPr>
            </w:pPr>
            <w:r>
              <w:rPr>
                <w:rFonts w:hint="eastAsia" w:ascii="宋体"/>
                <w:bCs/>
                <w:color w:val="auto"/>
                <w:sz w:val="22"/>
              </w:rPr>
              <w:t>本项目主要工作</w:t>
            </w:r>
          </w:p>
        </w:tc>
        <w:tc>
          <w:tcPr>
            <w:tcW w:w="892" w:type="dxa"/>
            <w:tcBorders>
              <w:top w:val="single" w:color="auto" w:sz="4" w:space="0"/>
              <w:left w:val="single" w:color="auto" w:sz="4" w:space="0"/>
              <w:bottom w:val="single" w:color="auto" w:sz="4" w:space="0"/>
              <w:right w:val="single" w:color="auto" w:sz="4" w:space="0"/>
            </w:tcBorders>
            <w:vAlign w:val="center"/>
          </w:tcPr>
          <w:p w14:paraId="4091406C">
            <w:pPr>
              <w:jc w:val="center"/>
              <w:rPr>
                <w:rFonts w:ascii="宋体"/>
                <w:bCs/>
                <w:color w:val="auto"/>
                <w:sz w:val="22"/>
              </w:rPr>
            </w:pPr>
            <w:r>
              <w:rPr>
                <w:rFonts w:hint="eastAsia" w:ascii="宋体"/>
                <w:bCs/>
                <w:color w:val="auto"/>
                <w:sz w:val="22"/>
              </w:rPr>
              <w:t>年龄</w:t>
            </w:r>
          </w:p>
        </w:tc>
        <w:tc>
          <w:tcPr>
            <w:tcW w:w="892" w:type="dxa"/>
            <w:tcBorders>
              <w:top w:val="single" w:color="auto" w:sz="4" w:space="0"/>
              <w:left w:val="single" w:color="auto" w:sz="4" w:space="0"/>
              <w:bottom w:val="single" w:color="auto" w:sz="4" w:space="0"/>
              <w:right w:val="single" w:color="auto" w:sz="4" w:space="0"/>
            </w:tcBorders>
            <w:vAlign w:val="center"/>
          </w:tcPr>
          <w:p w14:paraId="27921958">
            <w:pPr>
              <w:jc w:val="center"/>
              <w:rPr>
                <w:rFonts w:ascii="宋体"/>
                <w:bCs/>
                <w:color w:val="auto"/>
                <w:sz w:val="22"/>
              </w:rPr>
            </w:pPr>
            <w:r>
              <w:rPr>
                <w:rFonts w:hint="eastAsia" w:ascii="宋体"/>
                <w:bCs/>
                <w:color w:val="auto"/>
                <w:sz w:val="22"/>
              </w:rPr>
              <w:t>性别</w:t>
            </w:r>
          </w:p>
        </w:tc>
        <w:tc>
          <w:tcPr>
            <w:tcW w:w="1145" w:type="dxa"/>
            <w:tcBorders>
              <w:top w:val="single" w:color="auto" w:sz="4" w:space="0"/>
              <w:left w:val="single" w:color="auto" w:sz="4" w:space="0"/>
              <w:bottom w:val="single" w:color="auto" w:sz="4" w:space="0"/>
              <w:right w:val="single" w:color="auto" w:sz="4" w:space="0"/>
            </w:tcBorders>
            <w:vAlign w:val="center"/>
          </w:tcPr>
          <w:p w14:paraId="54E8F4FF">
            <w:pPr>
              <w:jc w:val="center"/>
              <w:rPr>
                <w:rFonts w:ascii="宋体"/>
                <w:bCs/>
                <w:color w:val="auto"/>
                <w:sz w:val="22"/>
              </w:rPr>
            </w:pPr>
            <w:r>
              <w:rPr>
                <w:rFonts w:hint="eastAsia" w:ascii="宋体"/>
                <w:bCs/>
                <w:color w:val="auto"/>
                <w:sz w:val="22"/>
              </w:rPr>
              <w:t>专业</w:t>
            </w:r>
          </w:p>
        </w:tc>
        <w:tc>
          <w:tcPr>
            <w:tcW w:w="1417" w:type="dxa"/>
            <w:tcBorders>
              <w:top w:val="single" w:color="auto" w:sz="4" w:space="0"/>
              <w:left w:val="single" w:color="auto" w:sz="4" w:space="0"/>
              <w:bottom w:val="single" w:color="auto" w:sz="4" w:space="0"/>
              <w:right w:val="single" w:color="auto" w:sz="4" w:space="0"/>
            </w:tcBorders>
            <w:vAlign w:val="center"/>
          </w:tcPr>
          <w:p w14:paraId="650DC23C">
            <w:pPr>
              <w:jc w:val="center"/>
              <w:rPr>
                <w:rFonts w:ascii="宋体"/>
                <w:bCs/>
                <w:color w:val="auto"/>
                <w:sz w:val="22"/>
              </w:rPr>
            </w:pPr>
            <w:r>
              <w:rPr>
                <w:rFonts w:hint="eastAsia" w:ascii="宋体"/>
                <w:bCs/>
                <w:color w:val="auto"/>
                <w:sz w:val="22"/>
              </w:rPr>
              <w:t>专业</w:t>
            </w:r>
          </w:p>
          <w:p w14:paraId="34B590E0">
            <w:pPr>
              <w:jc w:val="center"/>
              <w:rPr>
                <w:rFonts w:ascii="宋体"/>
                <w:bCs/>
                <w:color w:val="auto"/>
                <w:sz w:val="22"/>
              </w:rPr>
            </w:pPr>
            <w:r>
              <w:rPr>
                <w:rFonts w:hint="eastAsia" w:ascii="宋体"/>
                <w:bCs/>
                <w:color w:val="auto"/>
                <w:sz w:val="22"/>
              </w:rPr>
              <w:t>年限</w:t>
            </w:r>
          </w:p>
        </w:tc>
        <w:tc>
          <w:tcPr>
            <w:tcW w:w="1140" w:type="dxa"/>
            <w:tcBorders>
              <w:top w:val="single" w:color="auto" w:sz="4" w:space="0"/>
              <w:left w:val="single" w:color="auto" w:sz="4" w:space="0"/>
              <w:bottom w:val="single" w:color="auto" w:sz="4" w:space="0"/>
              <w:right w:val="single" w:color="auto" w:sz="4" w:space="0"/>
            </w:tcBorders>
            <w:vAlign w:val="center"/>
          </w:tcPr>
          <w:p w14:paraId="3D5E8039">
            <w:pPr>
              <w:jc w:val="center"/>
              <w:rPr>
                <w:rFonts w:ascii="宋体"/>
                <w:bCs/>
                <w:color w:val="auto"/>
                <w:sz w:val="22"/>
              </w:rPr>
            </w:pPr>
            <w:r>
              <w:rPr>
                <w:rFonts w:hint="eastAsia" w:ascii="宋体"/>
                <w:bCs/>
                <w:color w:val="auto"/>
                <w:sz w:val="22"/>
              </w:rPr>
              <w:t>学历</w:t>
            </w:r>
          </w:p>
        </w:tc>
      </w:tr>
      <w:tr w14:paraId="7F8B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1201BFC1">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6106C231">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48BD82F">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65511C42">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C6F6307">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8044C37">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4EC48C49">
            <w:pPr>
              <w:spacing w:line="360" w:lineRule="auto"/>
              <w:ind w:left="5250"/>
              <w:rPr>
                <w:rFonts w:ascii="宋体"/>
                <w:color w:val="auto"/>
                <w:spacing w:val="12"/>
                <w:sz w:val="22"/>
              </w:rPr>
            </w:pPr>
          </w:p>
        </w:tc>
      </w:tr>
      <w:tr w14:paraId="21F4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1444994C">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3222D978">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889A217">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37BC8BA1">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47FD4FBE">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FECF5CC">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6220E9BD">
            <w:pPr>
              <w:spacing w:line="360" w:lineRule="auto"/>
              <w:rPr>
                <w:rFonts w:ascii="宋体"/>
                <w:color w:val="auto"/>
                <w:sz w:val="22"/>
              </w:rPr>
            </w:pPr>
          </w:p>
        </w:tc>
      </w:tr>
      <w:tr w14:paraId="5B51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7C56736">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5623254C">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2336548">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0097057">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6F9D9DF">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0D35865">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316724AC">
            <w:pPr>
              <w:spacing w:line="360" w:lineRule="auto"/>
              <w:rPr>
                <w:rFonts w:ascii="宋体"/>
                <w:color w:val="auto"/>
                <w:sz w:val="22"/>
              </w:rPr>
            </w:pPr>
          </w:p>
        </w:tc>
      </w:tr>
      <w:tr w14:paraId="1F05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613E854">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0592C00F">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33E8834">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618F6CE">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67E148C4">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381830C">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709A1EC4">
            <w:pPr>
              <w:spacing w:line="360" w:lineRule="auto"/>
              <w:rPr>
                <w:rFonts w:ascii="宋体"/>
                <w:color w:val="auto"/>
                <w:sz w:val="22"/>
              </w:rPr>
            </w:pPr>
          </w:p>
        </w:tc>
      </w:tr>
      <w:tr w14:paraId="26CD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673C496">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4DB6AB00">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4546B97B">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45EEAC4">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FE95311">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F2E436A">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139104BD">
            <w:pPr>
              <w:spacing w:line="360" w:lineRule="auto"/>
              <w:rPr>
                <w:rFonts w:ascii="宋体"/>
                <w:color w:val="auto"/>
                <w:sz w:val="22"/>
              </w:rPr>
            </w:pPr>
          </w:p>
        </w:tc>
      </w:tr>
      <w:tr w14:paraId="7DD0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1ADA2D6B">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52D91526">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347E1A0E">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B8EB3D3">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0B115C64">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BDC7B54">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3D7E7979">
            <w:pPr>
              <w:spacing w:line="360" w:lineRule="auto"/>
              <w:rPr>
                <w:rFonts w:ascii="宋体"/>
                <w:color w:val="auto"/>
                <w:sz w:val="22"/>
              </w:rPr>
            </w:pPr>
          </w:p>
        </w:tc>
      </w:tr>
      <w:tr w14:paraId="3877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131D962F">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3B2F45D2">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98F78F6">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10B9DA82">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5901A434">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8567651">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0921B107">
            <w:pPr>
              <w:spacing w:line="360" w:lineRule="auto"/>
              <w:rPr>
                <w:rFonts w:ascii="宋体"/>
                <w:color w:val="auto"/>
                <w:sz w:val="22"/>
              </w:rPr>
            </w:pPr>
          </w:p>
        </w:tc>
      </w:tr>
      <w:tr w14:paraId="2ECD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5585E869">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67E8497B">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34601668">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ECCC3DE">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4DE06D66">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0214B6E2">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76D8BF9B">
            <w:pPr>
              <w:spacing w:line="360" w:lineRule="auto"/>
              <w:rPr>
                <w:rFonts w:ascii="宋体"/>
                <w:color w:val="auto"/>
                <w:sz w:val="22"/>
              </w:rPr>
            </w:pPr>
          </w:p>
        </w:tc>
      </w:tr>
      <w:tr w14:paraId="5693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60AFCA94">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626CB099">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14A3D097">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B1A034B">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55227169">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30F377B">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6FDBE1A7">
            <w:pPr>
              <w:spacing w:line="360" w:lineRule="auto"/>
              <w:rPr>
                <w:rFonts w:ascii="宋体"/>
                <w:color w:val="auto"/>
                <w:sz w:val="22"/>
              </w:rPr>
            </w:pPr>
          </w:p>
        </w:tc>
      </w:tr>
      <w:tr w14:paraId="78C4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4EE5D30">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28ACFD0B">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78302048">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77795D3D">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5B0BD5B6">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39FBA7A">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3C477714">
            <w:pPr>
              <w:spacing w:line="360" w:lineRule="auto"/>
              <w:rPr>
                <w:rFonts w:ascii="宋体"/>
                <w:color w:val="auto"/>
                <w:sz w:val="22"/>
              </w:rPr>
            </w:pPr>
          </w:p>
        </w:tc>
      </w:tr>
      <w:tr w14:paraId="331A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BFF02AC">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2AED83DA">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570E3524">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3AE169F8">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E6073DE">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CF142B2">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01F38DD1">
            <w:pPr>
              <w:spacing w:line="360" w:lineRule="auto"/>
              <w:rPr>
                <w:rFonts w:ascii="宋体"/>
                <w:color w:val="auto"/>
                <w:sz w:val="22"/>
              </w:rPr>
            </w:pPr>
          </w:p>
        </w:tc>
      </w:tr>
      <w:tr w14:paraId="0B34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078BD63A">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195CCB50">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6644161D">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2CEECCC5">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7EA0DBF5">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3E82373">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5A9328BE">
            <w:pPr>
              <w:spacing w:line="360" w:lineRule="auto"/>
              <w:rPr>
                <w:rFonts w:ascii="宋体"/>
                <w:color w:val="auto"/>
                <w:sz w:val="22"/>
              </w:rPr>
            </w:pPr>
          </w:p>
        </w:tc>
      </w:tr>
      <w:tr w14:paraId="4E8F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560C2548">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3418B503">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6D471787">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352E467E">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7A0349FA">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DDC74AA">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14867ACF">
            <w:pPr>
              <w:spacing w:line="360" w:lineRule="auto"/>
              <w:rPr>
                <w:rFonts w:ascii="宋体"/>
                <w:color w:val="auto"/>
                <w:sz w:val="22"/>
              </w:rPr>
            </w:pPr>
          </w:p>
        </w:tc>
      </w:tr>
      <w:tr w14:paraId="4EC4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3B34C606">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798C631E">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2DEE422F">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704567D">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62D437F">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3229C78">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4B0B1207">
            <w:pPr>
              <w:spacing w:line="360" w:lineRule="auto"/>
              <w:rPr>
                <w:rFonts w:ascii="宋体"/>
                <w:color w:val="auto"/>
                <w:sz w:val="22"/>
              </w:rPr>
            </w:pPr>
          </w:p>
        </w:tc>
      </w:tr>
      <w:tr w14:paraId="690D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6" w:type="dxa"/>
            <w:tcBorders>
              <w:top w:val="single" w:color="auto" w:sz="4" w:space="0"/>
              <w:left w:val="single" w:color="auto" w:sz="4" w:space="0"/>
              <w:bottom w:val="single" w:color="auto" w:sz="4" w:space="0"/>
              <w:right w:val="single" w:color="auto" w:sz="4" w:space="0"/>
            </w:tcBorders>
            <w:vAlign w:val="center"/>
          </w:tcPr>
          <w:p w14:paraId="21696D3D">
            <w:pPr>
              <w:spacing w:line="360" w:lineRule="auto"/>
              <w:rPr>
                <w:rFonts w:ascii="宋体"/>
                <w:color w:val="auto"/>
                <w:sz w:val="22"/>
              </w:rPr>
            </w:pPr>
          </w:p>
        </w:tc>
        <w:tc>
          <w:tcPr>
            <w:tcW w:w="3128" w:type="dxa"/>
            <w:tcBorders>
              <w:top w:val="single" w:color="auto" w:sz="4" w:space="0"/>
              <w:left w:val="single" w:color="auto" w:sz="4" w:space="0"/>
              <w:bottom w:val="single" w:color="auto" w:sz="4" w:space="0"/>
              <w:right w:val="single" w:color="auto" w:sz="4" w:space="0"/>
            </w:tcBorders>
            <w:vAlign w:val="center"/>
          </w:tcPr>
          <w:p w14:paraId="6954A737">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60E6062F">
            <w:pPr>
              <w:spacing w:line="360" w:lineRule="auto"/>
              <w:rPr>
                <w:rFonts w:ascii="宋体"/>
                <w:color w:val="auto"/>
                <w:sz w:val="22"/>
              </w:rPr>
            </w:pPr>
          </w:p>
        </w:tc>
        <w:tc>
          <w:tcPr>
            <w:tcW w:w="892" w:type="dxa"/>
            <w:tcBorders>
              <w:top w:val="single" w:color="auto" w:sz="4" w:space="0"/>
              <w:left w:val="single" w:color="auto" w:sz="4" w:space="0"/>
              <w:bottom w:val="single" w:color="auto" w:sz="4" w:space="0"/>
              <w:right w:val="single" w:color="auto" w:sz="4" w:space="0"/>
            </w:tcBorders>
            <w:vAlign w:val="center"/>
          </w:tcPr>
          <w:p w14:paraId="0F62D9D2">
            <w:pPr>
              <w:spacing w:line="360" w:lineRule="auto"/>
              <w:rPr>
                <w:rFonts w:ascii="宋体"/>
                <w:color w:val="auto"/>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6407688E">
            <w:pPr>
              <w:spacing w:line="360" w:lineRule="auto"/>
              <w:rPr>
                <w:rFonts w:ascii="宋体"/>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8BE5BB2">
            <w:pPr>
              <w:spacing w:line="360" w:lineRule="auto"/>
              <w:rPr>
                <w:rFonts w:ascii="宋体"/>
                <w:color w:val="auto"/>
                <w:sz w:val="22"/>
              </w:rPr>
            </w:pPr>
          </w:p>
        </w:tc>
        <w:tc>
          <w:tcPr>
            <w:tcW w:w="1140" w:type="dxa"/>
            <w:tcBorders>
              <w:top w:val="single" w:color="auto" w:sz="4" w:space="0"/>
              <w:left w:val="single" w:color="auto" w:sz="4" w:space="0"/>
              <w:bottom w:val="single" w:color="auto" w:sz="4" w:space="0"/>
              <w:right w:val="single" w:color="auto" w:sz="4" w:space="0"/>
            </w:tcBorders>
            <w:vAlign w:val="center"/>
          </w:tcPr>
          <w:p w14:paraId="2A5A6D4F">
            <w:pPr>
              <w:spacing w:line="360" w:lineRule="auto"/>
              <w:rPr>
                <w:rFonts w:ascii="宋体"/>
                <w:color w:val="auto"/>
                <w:sz w:val="22"/>
              </w:rPr>
            </w:pPr>
          </w:p>
        </w:tc>
      </w:tr>
    </w:tbl>
    <w:p w14:paraId="2F656139">
      <w:pPr>
        <w:spacing w:line="360" w:lineRule="exact"/>
        <w:ind w:left="968" w:hanging="968" w:hangingChars="440"/>
        <w:rPr>
          <w:rFonts w:ascii="宋体" w:cs="Arial"/>
          <w:color w:val="auto"/>
          <w:sz w:val="22"/>
        </w:rPr>
      </w:pPr>
      <w:r>
        <w:rPr>
          <w:rFonts w:hint="eastAsia" w:ascii="宋体" w:cs="Arial"/>
          <w:color w:val="auto"/>
          <w:sz w:val="22"/>
        </w:rPr>
        <w:t>附注：1. 项目负责人、以及各主要专业工种负责人均应列入；</w:t>
      </w:r>
    </w:p>
    <w:p w14:paraId="64315D2B">
      <w:pPr>
        <w:spacing w:line="360" w:lineRule="exact"/>
        <w:ind w:left="718" w:leftChars="321" w:hanging="44" w:hangingChars="20"/>
        <w:rPr>
          <w:rFonts w:ascii="宋体" w:cs="Arial"/>
          <w:color w:val="auto"/>
          <w:sz w:val="22"/>
        </w:rPr>
      </w:pPr>
      <w:r>
        <w:rPr>
          <w:rFonts w:hint="eastAsia" w:ascii="宋体" w:cs="Arial"/>
          <w:color w:val="auto"/>
          <w:sz w:val="22"/>
        </w:rPr>
        <w:t>2. 相关证书等人员证件复印件附后。</w:t>
      </w:r>
    </w:p>
    <w:p w14:paraId="0FC7B358">
      <w:pPr>
        <w:spacing w:line="360" w:lineRule="exact"/>
        <w:ind w:left="718" w:leftChars="321" w:hanging="44" w:hangingChars="20"/>
        <w:rPr>
          <w:rFonts w:ascii="宋体" w:cs="Arial"/>
          <w:color w:val="auto"/>
          <w:sz w:val="22"/>
        </w:rPr>
      </w:pPr>
      <w:r>
        <w:rPr>
          <w:rFonts w:hint="eastAsia" w:ascii="宋体" w:cs="Arial"/>
          <w:color w:val="auto"/>
          <w:sz w:val="22"/>
        </w:rPr>
        <w:t>3</w:t>
      </w:r>
      <w:r>
        <w:rPr>
          <w:rFonts w:ascii="宋体" w:cs="Arial"/>
          <w:color w:val="auto"/>
          <w:sz w:val="22"/>
        </w:rPr>
        <w:t xml:space="preserve">. </w:t>
      </w:r>
      <w:r>
        <w:rPr>
          <w:rFonts w:hint="eastAsia" w:ascii="宋体" w:cs="Arial"/>
          <w:color w:val="auto"/>
          <w:sz w:val="22"/>
        </w:rPr>
        <w:t>以上人员社保缴纳证明在技术资信标中提供。</w:t>
      </w:r>
    </w:p>
    <w:p w14:paraId="5EA1661B">
      <w:pPr>
        <w:spacing w:line="360" w:lineRule="exact"/>
        <w:ind w:left="718" w:leftChars="321" w:hanging="44" w:hangingChars="20"/>
        <w:rPr>
          <w:rFonts w:ascii="宋体" w:cs="Arial"/>
          <w:color w:val="auto"/>
          <w:sz w:val="22"/>
        </w:rPr>
      </w:pPr>
      <w:r>
        <w:rPr>
          <w:rFonts w:hint="eastAsia" w:ascii="宋体" w:cs="Arial"/>
          <w:color w:val="auto"/>
          <w:sz w:val="22"/>
        </w:rPr>
        <w:t>4、表格可以延续。</w:t>
      </w:r>
    </w:p>
    <w:p w14:paraId="61C26EEB">
      <w:pPr>
        <w:autoSpaceDE w:val="0"/>
        <w:autoSpaceDN w:val="0"/>
        <w:adjustRightInd w:val="0"/>
        <w:spacing w:line="460" w:lineRule="atLeast"/>
        <w:ind w:firstLine="440" w:firstLineChars="200"/>
        <w:rPr>
          <w:rFonts w:ascii="宋体" w:hAnsi="宋体"/>
          <w:color w:val="auto"/>
          <w:sz w:val="22"/>
          <w:szCs w:val="22"/>
        </w:rPr>
      </w:pPr>
    </w:p>
    <w:p w14:paraId="704DB227">
      <w:pPr>
        <w:autoSpaceDE w:val="0"/>
        <w:autoSpaceDN w:val="0"/>
        <w:adjustRightInd w:val="0"/>
        <w:spacing w:line="460" w:lineRule="atLeast"/>
        <w:ind w:firstLine="440" w:firstLineChars="200"/>
        <w:rPr>
          <w:rFonts w:ascii="宋体" w:hAnsi="宋体"/>
          <w:color w:val="auto"/>
          <w:sz w:val="36"/>
        </w:rPr>
      </w:pPr>
      <w:r>
        <w:rPr>
          <w:rFonts w:hint="eastAsia" w:ascii="宋体" w:hAnsi="宋体"/>
          <w:color w:val="auto"/>
          <w:sz w:val="22"/>
          <w:szCs w:val="22"/>
          <w:lang w:val="zh-CN"/>
        </w:rPr>
        <w:t>投标供应商（盖章）：</w:t>
      </w:r>
    </w:p>
    <w:p w14:paraId="2FA1A694">
      <w:pPr>
        <w:autoSpaceDE w:val="0"/>
        <w:autoSpaceDN w:val="0"/>
        <w:adjustRightInd w:val="0"/>
        <w:spacing w:line="460" w:lineRule="atLeast"/>
        <w:ind w:firstLine="3592" w:firstLineChars="998"/>
        <w:rPr>
          <w:rFonts w:ascii="宋体" w:hAnsi="宋体"/>
          <w:color w:val="auto"/>
          <w:sz w:val="36"/>
        </w:rPr>
      </w:pPr>
    </w:p>
    <w:p w14:paraId="1ED10920">
      <w:pPr>
        <w:autoSpaceDE w:val="0"/>
        <w:autoSpaceDN w:val="0"/>
        <w:adjustRightInd w:val="0"/>
        <w:spacing w:line="460" w:lineRule="atLeast"/>
        <w:ind w:firstLine="3592" w:firstLineChars="998"/>
        <w:rPr>
          <w:rFonts w:ascii="宋体" w:hAnsi="宋体"/>
          <w:color w:val="auto"/>
          <w:sz w:val="36"/>
        </w:rPr>
      </w:pPr>
    </w:p>
    <w:p w14:paraId="6F6E88A1">
      <w:pPr>
        <w:autoSpaceDE w:val="0"/>
        <w:autoSpaceDN w:val="0"/>
        <w:adjustRightInd w:val="0"/>
        <w:spacing w:line="460" w:lineRule="atLeast"/>
        <w:ind w:firstLine="3592" w:firstLineChars="998"/>
        <w:rPr>
          <w:rFonts w:ascii="宋体" w:hAnsi="宋体"/>
          <w:color w:val="auto"/>
          <w:sz w:val="36"/>
        </w:rPr>
      </w:pPr>
    </w:p>
    <w:p w14:paraId="2DD5516F">
      <w:pPr>
        <w:pStyle w:val="26"/>
        <w:adjustRightInd w:val="0"/>
        <w:snapToGrid w:val="0"/>
        <w:spacing w:line="440" w:lineRule="atLeast"/>
        <w:jc w:val="left"/>
        <w:outlineLvl w:val="1"/>
        <w:rPr>
          <w:rFonts w:hAnsi="宋体"/>
          <w:color w:val="auto"/>
          <w:sz w:val="30"/>
        </w:rPr>
      </w:pPr>
      <w:bookmarkStart w:id="89" w:name="_Toc5834"/>
      <w:r>
        <w:rPr>
          <w:rFonts w:hAnsi="宋体"/>
          <w:color w:val="auto"/>
          <w:sz w:val="30"/>
        </w:rPr>
        <w:t>附件九</w:t>
      </w:r>
      <w:bookmarkEnd w:id="89"/>
    </w:p>
    <w:p w14:paraId="665D8688">
      <w:pPr>
        <w:pStyle w:val="26"/>
        <w:adjustRightInd w:val="0"/>
        <w:snapToGrid w:val="0"/>
        <w:spacing w:line="440" w:lineRule="atLeast"/>
        <w:ind w:firstLine="440"/>
        <w:jc w:val="center"/>
        <w:outlineLvl w:val="1"/>
        <w:rPr>
          <w:rFonts w:hAnsi="宋体" w:cs="Arial"/>
          <w:bCs/>
          <w:color w:val="auto"/>
          <w:sz w:val="36"/>
          <w:szCs w:val="36"/>
          <w:lang w:val="zh-CN"/>
        </w:rPr>
      </w:pPr>
      <w:bookmarkStart w:id="90" w:name="_Toc32453"/>
      <w:r>
        <w:rPr>
          <w:rFonts w:hint="eastAsia" w:hAnsi="宋体" w:cs="Arial"/>
          <w:bCs/>
          <w:color w:val="auto"/>
          <w:sz w:val="36"/>
          <w:szCs w:val="36"/>
          <w:lang w:val="zh-CN"/>
        </w:rPr>
        <w:t>偏离表</w:t>
      </w:r>
      <w:bookmarkEnd w:id="90"/>
    </w:p>
    <w:tbl>
      <w:tblPr>
        <w:tblStyle w:val="47"/>
        <w:tblW w:w="967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2175"/>
        <w:gridCol w:w="2175"/>
        <w:gridCol w:w="2175"/>
        <w:gridCol w:w="2181"/>
      </w:tblGrid>
      <w:tr w14:paraId="72E9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9671" w:type="dxa"/>
            <w:gridSpan w:val="5"/>
            <w:vAlign w:val="center"/>
          </w:tcPr>
          <w:p w14:paraId="3FED3672">
            <w:pPr>
              <w:autoSpaceDE w:val="0"/>
              <w:autoSpaceDN w:val="0"/>
              <w:adjustRightInd w:val="0"/>
              <w:spacing w:line="460" w:lineRule="atLeast"/>
              <w:jc w:val="center"/>
              <w:rPr>
                <w:rFonts w:ascii="宋体" w:hAnsi="宋体"/>
                <w:color w:val="auto"/>
                <w:sz w:val="22"/>
                <w:lang w:val="zh-CN"/>
              </w:rPr>
            </w:pPr>
            <w:r>
              <w:rPr>
                <w:rFonts w:ascii="宋体" w:hAnsi="宋体"/>
                <w:color w:val="auto"/>
                <w:sz w:val="22"/>
                <w:lang w:val="zh-CN"/>
              </w:rPr>
              <w:t>商务</w:t>
            </w:r>
            <w:r>
              <w:rPr>
                <w:rFonts w:hint="eastAsia" w:ascii="宋体" w:hAnsi="宋体"/>
                <w:color w:val="auto"/>
                <w:sz w:val="22"/>
                <w:lang w:val="zh-CN"/>
              </w:rPr>
              <w:t>偏离</w:t>
            </w:r>
          </w:p>
        </w:tc>
      </w:tr>
      <w:tr w14:paraId="677C5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vAlign w:val="center"/>
          </w:tcPr>
          <w:p w14:paraId="1B143379">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序</w:t>
            </w:r>
            <w:r>
              <w:rPr>
                <w:rFonts w:ascii="宋体" w:hAnsi="宋体"/>
                <w:color w:val="auto"/>
                <w:sz w:val="22"/>
                <w:lang w:val="zh-CN"/>
              </w:rPr>
              <w:t xml:space="preserve"> </w:t>
            </w:r>
            <w:r>
              <w:rPr>
                <w:rFonts w:hint="eastAsia" w:ascii="宋体" w:hAnsi="宋体"/>
                <w:color w:val="auto"/>
                <w:sz w:val="22"/>
                <w:lang w:val="zh-CN"/>
              </w:rPr>
              <w:t>号</w:t>
            </w:r>
          </w:p>
        </w:tc>
        <w:tc>
          <w:tcPr>
            <w:tcW w:w="2175" w:type="dxa"/>
            <w:vAlign w:val="center"/>
          </w:tcPr>
          <w:p w14:paraId="6AFAE4C6">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内容</w:t>
            </w:r>
          </w:p>
        </w:tc>
        <w:tc>
          <w:tcPr>
            <w:tcW w:w="2175" w:type="dxa"/>
            <w:vAlign w:val="center"/>
          </w:tcPr>
          <w:p w14:paraId="36B5A193">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磋商文件要求</w:t>
            </w:r>
          </w:p>
        </w:tc>
        <w:tc>
          <w:tcPr>
            <w:tcW w:w="2175" w:type="dxa"/>
            <w:vAlign w:val="center"/>
          </w:tcPr>
          <w:p w14:paraId="0D7B75AB">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磋商响应文件对应</w:t>
            </w:r>
          </w:p>
        </w:tc>
        <w:tc>
          <w:tcPr>
            <w:tcW w:w="2181" w:type="dxa"/>
            <w:vAlign w:val="center"/>
          </w:tcPr>
          <w:p w14:paraId="5F94EE2F">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备</w:t>
            </w:r>
            <w:r>
              <w:rPr>
                <w:rFonts w:ascii="宋体" w:hAnsi="宋体"/>
                <w:color w:val="auto"/>
                <w:sz w:val="22"/>
                <w:lang w:val="zh-CN"/>
              </w:rPr>
              <w:t xml:space="preserve"> </w:t>
            </w:r>
            <w:r>
              <w:rPr>
                <w:rFonts w:hint="eastAsia" w:ascii="宋体" w:hAnsi="宋体"/>
                <w:color w:val="auto"/>
                <w:sz w:val="22"/>
                <w:lang w:val="zh-CN"/>
              </w:rPr>
              <w:t>注</w:t>
            </w:r>
          </w:p>
        </w:tc>
      </w:tr>
      <w:tr w14:paraId="0F5DE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06D67972">
            <w:pPr>
              <w:autoSpaceDE w:val="0"/>
              <w:autoSpaceDN w:val="0"/>
              <w:adjustRightInd w:val="0"/>
              <w:spacing w:line="460" w:lineRule="atLeast"/>
              <w:jc w:val="center"/>
              <w:rPr>
                <w:rFonts w:ascii="宋体" w:hAnsi="宋体"/>
                <w:color w:val="auto"/>
                <w:sz w:val="22"/>
                <w:lang w:val="zh-CN"/>
              </w:rPr>
            </w:pPr>
          </w:p>
        </w:tc>
        <w:tc>
          <w:tcPr>
            <w:tcW w:w="2175" w:type="dxa"/>
          </w:tcPr>
          <w:p w14:paraId="00CB98A5">
            <w:pPr>
              <w:autoSpaceDE w:val="0"/>
              <w:autoSpaceDN w:val="0"/>
              <w:adjustRightInd w:val="0"/>
              <w:spacing w:line="460" w:lineRule="atLeast"/>
              <w:jc w:val="center"/>
              <w:rPr>
                <w:rFonts w:ascii="宋体" w:hAnsi="宋体"/>
                <w:color w:val="auto"/>
                <w:sz w:val="22"/>
                <w:lang w:val="zh-CN"/>
              </w:rPr>
            </w:pPr>
          </w:p>
        </w:tc>
        <w:tc>
          <w:tcPr>
            <w:tcW w:w="2175" w:type="dxa"/>
          </w:tcPr>
          <w:p w14:paraId="725801B4">
            <w:pPr>
              <w:autoSpaceDE w:val="0"/>
              <w:autoSpaceDN w:val="0"/>
              <w:adjustRightInd w:val="0"/>
              <w:spacing w:line="460" w:lineRule="atLeast"/>
              <w:jc w:val="center"/>
              <w:rPr>
                <w:rFonts w:ascii="宋体" w:hAnsi="宋体"/>
                <w:color w:val="auto"/>
                <w:sz w:val="22"/>
                <w:lang w:val="zh-CN"/>
              </w:rPr>
            </w:pPr>
          </w:p>
        </w:tc>
        <w:tc>
          <w:tcPr>
            <w:tcW w:w="2175" w:type="dxa"/>
          </w:tcPr>
          <w:p w14:paraId="6507C504">
            <w:pPr>
              <w:autoSpaceDE w:val="0"/>
              <w:autoSpaceDN w:val="0"/>
              <w:adjustRightInd w:val="0"/>
              <w:spacing w:line="460" w:lineRule="atLeast"/>
              <w:jc w:val="center"/>
              <w:rPr>
                <w:rFonts w:ascii="宋体" w:hAnsi="宋体"/>
                <w:color w:val="auto"/>
                <w:sz w:val="22"/>
                <w:lang w:val="zh-CN"/>
              </w:rPr>
            </w:pPr>
          </w:p>
        </w:tc>
        <w:tc>
          <w:tcPr>
            <w:tcW w:w="2181" w:type="dxa"/>
          </w:tcPr>
          <w:p w14:paraId="31D38043">
            <w:pPr>
              <w:autoSpaceDE w:val="0"/>
              <w:autoSpaceDN w:val="0"/>
              <w:adjustRightInd w:val="0"/>
              <w:spacing w:line="460" w:lineRule="atLeast"/>
              <w:jc w:val="center"/>
              <w:rPr>
                <w:rFonts w:ascii="宋体" w:hAnsi="宋体"/>
                <w:color w:val="auto"/>
                <w:sz w:val="22"/>
                <w:lang w:val="zh-CN"/>
              </w:rPr>
            </w:pPr>
          </w:p>
        </w:tc>
      </w:tr>
      <w:tr w14:paraId="0AA76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5BEC3F2C">
            <w:pPr>
              <w:autoSpaceDE w:val="0"/>
              <w:autoSpaceDN w:val="0"/>
              <w:adjustRightInd w:val="0"/>
              <w:spacing w:line="460" w:lineRule="atLeast"/>
              <w:jc w:val="center"/>
              <w:rPr>
                <w:rFonts w:ascii="宋体" w:hAnsi="宋体"/>
                <w:color w:val="auto"/>
                <w:sz w:val="22"/>
                <w:lang w:val="zh-CN"/>
              </w:rPr>
            </w:pPr>
          </w:p>
        </w:tc>
        <w:tc>
          <w:tcPr>
            <w:tcW w:w="2175" w:type="dxa"/>
          </w:tcPr>
          <w:p w14:paraId="72546738">
            <w:pPr>
              <w:autoSpaceDE w:val="0"/>
              <w:autoSpaceDN w:val="0"/>
              <w:adjustRightInd w:val="0"/>
              <w:spacing w:line="460" w:lineRule="atLeast"/>
              <w:jc w:val="center"/>
              <w:rPr>
                <w:rFonts w:ascii="宋体" w:hAnsi="宋体"/>
                <w:color w:val="auto"/>
                <w:sz w:val="22"/>
                <w:lang w:val="zh-CN"/>
              </w:rPr>
            </w:pPr>
          </w:p>
        </w:tc>
        <w:tc>
          <w:tcPr>
            <w:tcW w:w="2175" w:type="dxa"/>
          </w:tcPr>
          <w:p w14:paraId="5CEA8BDD">
            <w:pPr>
              <w:autoSpaceDE w:val="0"/>
              <w:autoSpaceDN w:val="0"/>
              <w:adjustRightInd w:val="0"/>
              <w:spacing w:line="460" w:lineRule="atLeast"/>
              <w:jc w:val="center"/>
              <w:rPr>
                <w:rFonts w:ascii="宋体" w:hAnsi="宋体"/>
                <w:color w:val="auto"/>
                <w:sz w:val="22"/>
                <w:lang w:val="zh-CN"/>
              </w:rPr>
            </w:pPr>
          </w:p>
        </w:tc>
        <w:tc>
          <w:tcPr>
            <w:tcW w:w="2175" w:type="dxa"/>
          </w:tcPr>
          <w:p w14:paraId="29AA1565">
            <w:pPr>
              <w:autoSpaceDE w:val="0"/>
              <w:autoSpaceDN w:val="0"/>
              <w:adjustRightInd w:val="0"/>
              <w:spacing w:line="460" w:lineRule="atLeast"/>
              <w:jc w:val="center"/>
              <w:rPr>
                <w:rFonts w:ascii="宋体" w:hAnsi="宋体"/>
                <w:color w:val="auto"/>
                <w:sz w:val="22"/>
                <w:lang w:val="zh-CN"/>
              </w:rPr>
            </w:pPr>
          </w:p>
        </w:tc>
        <w:tc>
          <w:tcPr>
            <w:tcW w:w="2181" w:type="dxa"/>
          </w:tcPr>
          <w:p w14:paraId="36C7D83D">
            <w:pPr>
              <w:autoSpaceDE w:val="0"/>
              <w:autoSpaceDN w:val="0"/>
              <w:adjustRightInd w:val="0"/>
              <w:spacing w:line="460" w:lineRule="atLeast"/>
              <w:jc w:val="center"/>
              <w:rPr>
                <w:rFonts w:ascii="宋体" w:hAnsi="宋体"/>
                <w:color w:val="auto"/>
                <w:sz w:val="22"/>
                <w:lang w:val="zh-CN"/>
              </w:rPr>
            </w:pPr>
          </w:p>
        </w:tc>
      </w:tr>
      <w:tr w14:paraId="0771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072073E1">
            <w:pPr>
              <w:autoSpaceDE w:val="0"/>
              <w:autoSpaceDN w:val="0"/>
              <w:adjustRightInd w:val="0"/>
              <w:spacing w:line="460" w:lineRule="atLeast"/>
              <w:jc w:val="center"/>
              <w:rPr>
                <w:rFonts w:ascii="宋体" w:hAnsi="宋体"/>
                <w:color w:val="auto"/>
                <w:sz w:val="22"/>
                <w:lang w:val="zh-CN"/>
              </w:rPr>
            </w:pPr>
          </w:p>
        </w:tc>
        <w:tc>
          <w:tcPr>
            <w:tcW w:w="2175" w:type="dxa"/>
          </w:tcPr>
          <w:p w14:paraId="23E0F66C">
            <w:pPr>
              <w:autoSpaceDE w:val="0"/>
              <w:autoSpaceDN w:val="0"/>
              <w:adjustRightInd w:val="0"/>
              <w:spacing w:line="460" w:lineRule="atLeast"/>
              <w:jc w:val="center"/>
              <w:rPr>
                <w:rFonts w:ascii="宋体" w:hAnsi="宋体"/>
                <w:color w:val="auto"/>
                <w:sz w:val="22"/>
                <w:lang w:val="zh-CN"/>
              </w:rPr>
            </w:pPr>
          </w:p>
        </w:tc>
        <w:tc>
          <w:tcPr>
            <w:tcW w:w="2175" w:type="dxa"/>
          </w:tcPr>
          <w:p w14:paraId="6648AF65">
            <w:pPr>
              <w:autoSpaceDE w:val="0"/>
              <w:autoSpaceDN w:val="0"/>
              <w:adjustRightInd w:val="0"/>
              <w:spacing w:line="460" w:lineRule="atLeast"/>
              <w:jc w:val="center"/>
              <w:rPr>
                <w:rFonts w:ascii="宋体" w:hAnsi="宋体"/>
                <w:color w:val="auto"/>
                <w:sz w:val="22"/>
                <w:lang w:val="zh-CN"/>
              </w:rPr>
            </w:pPr>
          </w:p>
        </w:tc>
        <w:tc>
          <w:tcPr>
            <w:tcW w:w="2175" w:type="dxa"/>
          </w:tcPr>
          <w:p w14:paraId="241CC38E">
            <w:pPr>
              <w:autoSpaceDE w:val="0"/>
              <w:autoSpaceDN w:val="0"/>
              <w:adjustRightInd w:val="0"/>
              <w:spacing w:line="460" w:lineRule="atLeast"/>
              <w:jc w:val="center"/>
              <w:rPr>
                <w:rFonts w:ascii="宋体" w:hAnsi="宋体"/>
                <w:color w:val="auto"/>
                <w:sz w:val="22"/>
                <w:lang w:val="zh-CN"/>
              </w:rPr>
            </w:pPr>
          </w:p>
        </w:tc>
        <w:tc>
          <w:tcPr>
            <w:tcW w:w="2181" w:type="dxa"/>
          </w:tcPr>
          <w:p w14:paraId="5A50AC64">
            <w:pPr>
              <w:autoSpaceDE w:val="0"/>
              <w:autoSpaceDN w:val="0"/>
              <w:adjustRightInd w:val="0"/>
              <w:spacing w:line="460" w:lineRule="atLeast"/>
              <w:jc w:val="center"/>
              <w:rPr>
                <w:rFonts w:ascii="宋体" w:hAnsi="宋体"/>
                <w:color w:val="auto"/>
                <w:sz w:val="22"/>
                <w:lang w:val="zh-CN"/>
              </w:rPr>
            </w:pPr>
          </w:p>
        </w:tc>
      </w:tr>
      <w:tr w14:paraId="36540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15DE9994">
            <w:pPr>
              <w:autoSpaceDE w:val="0"/>
              <w:autoSpaceDN w:val="0"/>
              <w:adjustRightInd w:val="0"/>
              <w:spacing w:line="460" w:lineRule="atLeast"/>
              <w:jc w:val="center"/>
              <w:rPr>
                <w:rFonts w:ascii="宋体" w:hAnsi="宋体"/>
                <w:color w:val="auto"/>
                <w:sz w:val="22"/>
                <w:lang w:val="zh-CN"/>
              </w:rPr>
            </w:pPr>
          </w:p>
        </w:tc>
        <w:tc>
          <w:tcPr>
            <w:tcW w:w="2175" w:type="dxa"/>
          </w:tcPr>
          <w:p w14:paraId="59CDDAD3">
            <w:pPr>
              <w:autoSpaceDE w:val="0"/>
              <w:autoSpaceDN w:val="0"/>
              <w:adjustRightInd w:val="0"/>
              <w:spacing w:line="460" w:lineRule="atLeast"/>
              <w:jc w:val="center"/>
              <w:rPr>
                <w:rFonts w:ascii="宋体" w:hAnsi="宋体"/>
                <w:color w:val="auto"/>
                <w:sz w:val="22"/>
                <w:lang w:val="zh-CN"/>
              </w:rPr>
            </w:pPr>
          </w:p>
        </w:tc>
        <w:tc>
          <w:tcPr>
            <w:tcW w:w="2175" w:type="dxa"/>
          </w:tcPr>
          <w:p w14:paraId="71022551">
            <w:pPr>
              <w:autoSpaceDE w:val="0"/>
              <w:autoSpaceDN w:val="0"/>
              <w:adjustRightInd w:val="0"/>
              <w:spacing w:line="460" w:lineRule="atLeast"/>
              <w:jc w:val="center"/>
              <w:rPr>
                <w:rFonts w:ascii="宋体" w:hAnsi="宋体"/>
                <w:color w:val="auto"/>
                <w:sz w:val="22"/>
                <w:lang w:val="zh-CN"/>
              </w:rPr>
            </w:pPr>
          </w:p>
        </w:tc>
        <w:tc>
          <w:tcPr>
            <w:tcW w:w="2175" w:type="dxa"/>
          </w:tcPr>
          <w:p w14:paraId="7310B644">
            <w:pPr>
              <w:autoSpaceDE w:val="0"/>
              <w:autoSpaceDN w:val="0"/>
              <w:adjustRightInd w:val="0"/>
              <w:spacing w:line="460" w:lineRule="atLeast"/>
              <w:jc w:val="center"/>
              <w:rPr>
                <w:rFonts w:ascii="宋体" w:hAnsi="宋体"/>
                <w:color w:val="auto"/>
                <w:sz w:val="22"/>
                <w:lang w:val="zh-CN"/>
              </w:rPr>
            </w:pPr>
          </w:p>
        </w:tc>
        <w:tc>
          <w:tcPr>
            <w:tcW w:w="2181" w:type="dxa"/>
          </w:tcPr>
          <w:p w14:paraId="0C6D5B53">
            <w:pPr>
              <w:autoSpaceDE w:val="0"/>
              <w:autoSpaceDN w:val="0"/>
              <w:adjustRightInd w:val="0"/>
              <w:spacing w:line="460" w:lineRule="atLeast"/>
              <w:jc w:val="center"/>
              <w:rPr>
                <w:rFonts w:ascii="宋体" w:hAnsi="宋体"/>
                <w:color w:val="auto"/>
                <w:sz w:val="22"/>
                <w:lang w:val="zh-CN"/>
              </w:rPr>
            </w:pPr>
          </w:p>
        </w:tc>
      </w:tr>
      <w:tr w14:paraId="07BB5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1748AB7B">
            <w:pPr>
              <w:autoSpaceDE w:val="0"/>
              <w:autoSpaceDN w:val="0"/>
              <w:adjustRightInd w:val="0"/>
              <w:spacing w:line="460" w:lineRule="atLeast"/>
              <w:jc w:val="center"/>
              <w:rPr>
                <w:rFonts w:ascii="宋体" w:hAnsi="宋体"/>
                <w:color w:val="auto"/>
                <w:sz w:val="22"/>
                <w:lang w:val="zh-CN"/>
              </w:rPr>
            </w:pPr>
          </w:p>
        </w:tc>
        <w:tc>
          <w:tcPr>
            <w:tcW w:w="2175" w:type="dxa"/>
          </w:tcPr>
          <w:p w14:paraId="300139BD">
            <w:pPr>
              <w:autoSpaceDE w:val="0"/>
              <w:autoSpaceDN w:val="0"/>
              <w:adjustRightInd w:val="0"/>
              <w:spacing w:line="460" w:lineRule="atLeast"/>
              <w:jc w:val="center"/>
              <w:rPr>
                <w:rFonts w:ascii="宋体" w:hAnsi="宋体"/>
                <w:color w:val="auto"/>
                <w:sz w:val="22"/>
                <w:lang w:val="zh-CN"/>
              </w:rPr>
            </w:pPr>
          </w:p>
        </w:tc>
        <w:tc>
          <w:tcPr>
            <w:tcW w:w="2175" w:type="dxa"/>
          </w:tcPr>
          <w:p w14:paraId="049EDFF8">
            <w:pPr>
              <w:autoSpaceDE w:val="0"/>
              <w:autoSpaceDN w:val="0"/>
              <w:adjustRightInd w:val="0"/>
              <w:spacing w:line="460" w:lineRule="atLeast"/>
              <w:jc w:val="center"/>
              <w:rPr>
                <w:rFonts w:ascii="宋体" w:hAnsi="宋体"/>
                <w:color w:val="auto"/>
                <w:sz w:val="22"/>
                <w:lang w:val="zh-CN"/>
              </w:rPr>
            </w:pPr>
          </w:p>
        </w:tc>
        <w:tc>
          <w:tcPr>
            <w:tcW w:w="2175" w:type="dxa"/>
          </w:tcPr>
          <w:p w14:paraId="6491382B">
            <w:pPr>
              <w:autoSpaceDE w:val="0"/>
              <w:autoSpaceDN w:val="0"/>
              <w:adjustRightInd w:val="0"/>
              <w:spacing w:line="460" w:lineRule="atLeast"/>
              <w:jc w:val="center"/>
              <w:rPr>
                <w:rFonts w:ascii="宋体" w:hAnsi="宋体"/>
                <w:color w:val="auto"/>
                <w:sz w:val="22"/>
                <w:lang w:val="zh-CN"/>
              </w:rPr>
            </w:pPr>
          </w:p>
        </w:tc>
        <w:tc>
          <w:tcPr>
            <w:tcW w:w="2181" w:type="dxa"/>
          </w:tcPr>
          <w:p w14:paraId="05C81201">
            <w:pPr>
              <w:autoSpaceDE w:val="0"/>
              <w:autoSpaceDN w:val="0"/>
              <w:adjustRightInd w:val="0"/>
              <w:spacing w:line="460" w:lineRule="atLeast"/>
              <w:jc w:val="center"/>
              <w:rPr>
                <w:rFonts w:ascii="宋体" w:hAnsi="宋体"/>
                <w:color w:val="auto"/>
                <w:sz w:val="22"/>
                <w:lang w:val="zh-CN"/>
              </w:rPr>
            </w:pPr>
          </w:p>
        </w:tc>
      </w:tr>
      <w:tr w14:paraId="62789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5" w:type="dxa"/>
          </w:tcPr>
          <w:p w14:paraId="7DEBC37A">
            <w:pPr>
              <w:autoSpaceDE w:val="0"/>
              <w:autoSpaceDN w:val="0"/>
              <w:adjustRightInd w:val="0"/>
              <w:spacing w:line="460" w:lineRule="atLeast"/>
              <w:jc w:val="center"/>
              <w:rPr>
                <w:rFonts w:ascii="宋体" w:hAnsi="宋体"/>
                <w:color w:val="auto"/>
                <w:sz w:val="22"/>
                <w:lang w:val="zh-CN"/>
              </w:rPr>
            </w:pPr>
          </w:p>
        </w:tc>
        <w:tc>
          <w:tcPr>
            <w:tcW w:w="2175" w:type="dxa"/>
          </w:tcPr>
          <w:p w14:paraId="3D7913EB">
            <w:pPr>
              <w:autoSpaceDE w:val="0"/>
              <w:autoSpaceDN w:val="0"/>
              <w:adjustRightInd w:val="0"/>
              <w:spacing w:line="460" w:lineRule="atLeast"/>
              <w:jc w:val="center"/>
              <w:rPr>
                <w:rFonts w:ascii="宋体" w:hAnsi="宋体"/>
                <w:color w:val="auto"/>
                <w:sz w:val="22"/>
                <w:lang w:val="zh-CN"/>
              </w:rPr>
            </w:pPr>
          </w:p>
        </w:tc>
        <w:tc>
          <w:tcPr>
            <w:tcW w:w="2175" w:type="dxa"/>
          </w:tcPr>
          <w:p w14:paraId="2076B9E1">
            <w:pPr>
              <w:autoSpaceDE w:val="0"/>
              <w:autoSpaceDN w:val="0"/>
              <w:adjustRightInd w:val="0"/>
              <w:spacing w:line="460" w:lineRule="atLeast"/>
              <w:jc w:val="center"/>
              <w:rPr>
                <w:rFonts w:ascii="宋体" w:hAnsi="宋体"/>
                <w:color w:val="auto"/>
                <w:sz w:val="22"/>
                <w:lang w:val="zh-CN"/>
              </w:rPr>
            </w:pPr>
          </w:p>
        </w:tc>
        <w:tc>
          <w:tcPr>
            <w:tcW w:w="2175" w:type="dxa"/>
          </w:tcPr>
          <w:p w14:paraId="05A5BF51">
            <w:pPr>
              <w:autoSpaceDE w:val="0"/>
              <w:autoSpaceDN w:val="0"/>
              <w:adjustRightInd w:val="0"/>
              <w:spacing w:line="460" w:lineRule="atLeast"/>
              <w:jc w:val="center"/>
              <w:rPr>
                <w:rFonts w:ascii="宋体" w:hAnsi="宋体"/>
                <w:color w:val="auto"/>
                <w:sz w:val="22"/>
                <w:lang w:val="zh-CN"/>
              </w:rPr>
            </w:pPr>
          </w:p>
        </w:tc>
        <w:tc>
          <w:tcPr>
            <w:tcW w:w="2181" w:type="dxa"/>
          </w:tcPr>
          <w:p w14:paraId="243F618F">
            <w:pPr>
              <w:autoSpaceDE w:val="0"/>
              <w:autoSpaceDN w:val="0"/>
              <w:adjustRightInd w:val="0"/>
              <w:spacing w:line="460" w:lineRule="atLeast"/>
              <w:jc w:val="center"/>
              <w:rPr>
                <w:rFonts w:ascii="宋体" w:hAnsi="宋体"/>
                <w:color w:val="auto"/>
                <w:sz w:val="22"/>
                <w:lang w:val="zh-CN"/>
              </w:rPr>
            </w:pPr>
          </w:p>
        </w:tc>
      </w:tr>
      <w:tr w14:paraId="3BFA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5" w:type="dxa"/>
          </w:tcPr>
          <w:p w14:paraId="588BE50A">
            <w:pPr>
              <w:autoSpaceDE w:val="0"/>
              <w:autoSpaceDN w:val="0"/>
              <w:adjustRightInd w:val="0"/>
              <w:spacing w:line="460" w:lineRule="atLeast"/>
              <w:jc w:val="center"/>
              <w:rPr>
                <w:rFonts w:ascii="宋体" w:hAnsi="宋体"/>
                <w:color w:val="auto"/>
                <w:sz w:val="22"/>
                <w:lang w:val="zh-CN"/>
              </w:rPr>
            </w:pPr>
          </w:p>
        </w:tc>
        <w:tc>
          <w:tcPr>
            <w:tcW w:w="2175" w:type="dxa"/>
          </w:tcPr>
          <w:p w14:paraId="3875BF6F">
            <w:pPr>
              <w:autoSpaceDE w:val="0"/>
              <w:autoSpaceDN w:val="0"/>
              <w:adjustRightInd w:val="0"/>
              <w:spacing w:line="460" w:lineRule="atLeast"/>
              <w:jc w:val="center"/>
              <w:rPr>
                <w:rFonts w:ascii="宋体" w:hAnsi="宋体"/>
                <w:color w:val="auto"/>
                <w:sz w:val="22"/>
                <w:lang w:val="zh-CN"/>
              </w:rPr>
            </w:pPr>
          </w:p>
        </w:tc>
        <w:tc>
          <w:tcPr>
            <w:tcW w:w="2175" w:type="dxa"/>
          </w:tcPr>
          <w:p w14:paraId="06585CFA">
            <w:pPr>
              <w:autoSpaceDE w:val="0"/>
              <w:autoSpaceDN w:val="0"/>
              <w:adjustRightInd w:val="0"/>
              <w:spacing w:line="460" w:lineRule="atLeast"/>
              <w:jc w:val="center"/>
              <w:rPr>
                <w:rFonts w:ascii="宋体" w:hAnsi="宋体"/>
                <w:color w:val="auto"/>
                <w:sz w:val="22"/>
                <w:lang w:val="zh-CN"/>
              </w:rPr>
            </w:pPr>
          </w:p>
        </w:tc>
        <w:tc>
          <w:tcPr>
            <w:tcW w:w="2175" w:type="dxa"/>
          </w:tcPr>
          <w:p w14:paraId="00631052">
            <w:pPr>
              <w:autoSpaceDE w:val="0"/>
              <w:autoSpaceDN w:val="0"/>
              <w:adjustRightInd w:val="0"/>
              <w:spacing w:line="460" w:lineRule="atLeast"/>
              <w:jc w:val="center"/>
              <w:rPr>
                <w:rFonts w:ascii="宋体" w:hAnsi="宋体"/>
                <w:color w:val="auto"/>
                <w:sz w:val="22"/>
                <w:lang w:val="zh-CN"/>
              </w:rPr>
            </w:pPr>
          </w:p>
        </w:tc>
        <w:tc>
          <w:tcPr>
            <w:tcW w:w="2181" w:type="dxa"/>
          </w:tcPr>
          <w:p w14:paraId="54700795">
            <w:pPr>
              <w:autoSpaceDE w:val="0"/>
              <w:autoSpaceDN w:val="0"/>
              <w:adjustRightInd w:val="0"/>
              <w:spacing w:line="460" w:lineRule="atLeast"/>
              <w:jc w:val="center"/>
              <w:rPr>
                <w:rFonts w:ascii="宋体" w:hAnsi="宋体"/>
                <w:color w:val="auto"/>
                <w:sz w:val="22"/>
                <w:lang w:val="zh-CN"/>
              </w:rPr>
            </w:pPr>
          </w:p>
        </w:tc>
      </w:tr>
      <w:tr w14:paraId="784D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71" w:type="dxa"/>
            <w:gridSpan w:val="5"/>
          </w:tcPr>
          <w:p w14:paraId="4D9591C9">
            <w:pPr>
              <w:autoSpaceDE w:val="0"/>
              <w:autoSpaceDN w:val="0"/>
              <w:adjustRightInd w:val="0"/>
              <w:spacing w:line="460" w:lineRule="atLeast"/>
              <w:jc w:val="center"/>
              <w:rPr>
                <w:rFonts w:ascii="宋体" w:hAnsi="宋体"/>
                <w:color w:val="auto"/>
                <w:sz w:val="22"/>
                <w:lang w:val="zh-CN"/>
              </w:rPr>
            </w:pPr>
            <w:r>
              <w:rPr>
                <w:rFonts w:ascii="宋体" w:hAnsi="宋体"/>
                <w:color w:val="auto"/>
                <w:sz w:val="22"/>
                <w:lang w:val="zh-CN"/>
              </w:rPr>
              <w:t>技术</w:t>
            </w:r>
            <w:r>
              <w:rPr>
                <w:rFonts w:hint="eastAsia" w:ascii="宋体" w:hAnsi="宋体"/>
                <w:color w:val="auto"/>
                <w:sz w:val="22"/>
                <w:lang w:val="zh-CN"/>
              </w:rPr>
              <w:t>偏离</w:t>
            </w:r>
          </w:p>
        </w:tc>
      </w:tr>
      <w:tr w14:paraId="4173F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5" w:type="dxa"/>
            <w:vAlign w:val="center"/>
          </w:tcPr>
          <w:p w14:paraId="09C41D57">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序</w:t>
            </w:r>
            <w:r>
              <w:rPr>
                <w:rFonts w:ascii="宋体" w:hAnsi="宋体"/>
                <w:color w:val="auto"/>
                <w:sz w:val="22"/>
                <w:lang w:val="zh-CN"/>
              </w:rPr>
              <w:t xml:space="preserve"> </w:t>
            </w:r>
            <w:r>
              <w:rPr>
                <w:rFonts w:hint="eastAsia" w:ascii="宋体" w:hAnsi="宋体"/>
                <w:color w:val="auto"/>
                <w:sz w:val="22"/>
                <w:lang w:val="zh-CN"/>
              </w:rPr>
              <w:t>号</w:t>
            </w:r>
          </w:p>
        </w:tc>
        <w:tc>
          <w:tcPr>
            <w:tcW w:w="2175" w:type="dxa"/>
            <w:vAlign w:val="center"/>
          </w:tcPr>
          <w:p w14:paraId="0B26C1F5">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内容</w:t>
            </w:r>
          </w:p>
        </w:tc>
        <w:tc>
          <w:tcPr>
            <w:tcW w:w="2175" w:type="dxa"/>
            <w:vAlign w:val="center"/>
          </w:tcPr>
          <w:p w14:paraId="0396BE30">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磋商文件要求</w:t>
            </w:r>
          </w:p>
        </w:tc>
        <w:tc>
          <w:tcPr>
            <w:tcW w:w="2175" w:type="dxa"/>
            <w:vAlign w:val="center"/>
          </w:tcPr>
          <w:p w14:paraId="1D90D89E">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磋商响应文件对应</w:t>
            </w:r>
          </w:p>
        </w:tc>
        <w:tc>
          <w:tcPr>
            <w:tcW w:w="2181" w:type="dxa"/>
            <w:vAlign w:val="center"/>
          </w:tcPr>
          <w:p w14:paraId="73FFF56E">
            <w:pPr>
              <w:autoSpaceDE w:val="0"/>
              <w:autoSpaceDN w:val="0"/>
              <w:adjustRightInd w:val="0"/>
              <w:spacing w:line="460" w:lineRule="atLeast"/>
              <w:jc w:val="center"/>
              <w:rPr>
                <w:rFonts w:ascii="宋体" w:hAnsi="宋体"/>
                <w:color w:val="auto"/>
                <w:sz w:val="22"/>
                <w:lang w:val="zh-CN"/>
              </w:rPr>
            </w:pPr>
            <w:r>
              <w:rPr>
                <w:rFonts w:hint="eastAsia" w:ascii="宋体" w:hAnsi="宋体"/>
                <w:color w:val="auto"/>
                <w:sz w:val="22"/>
                <w:lang w:val="zh-CN"/>
              </w:rPr>
              <w:t>备</w:t>
            </w:r>
            <w:r>
              <w:rPr>
                <w:rFonts w:ascii="宋体" w:hAnsi="宋体"/>
                <w:color w:val="auto"/>
                <w:sz w:val="22"/>
                <w:lang w:val="zh-CN"/>
              </w:rPr>
              <w:t xml:space="preserve"> </w:t>
            </w:r>
            <w:r>
              <w:rPr>
                <w:rFonts w:hint="eastAsia" w:ascii="宋体" w:hAnsi="宋体"/>
                <w:color w:val="auto"/>
                <w:sz w:val="22"/>
                <w:lang w:val="zh-CN"/>
              </w:rPr>
              <w:t>注</w:t>
            </w:r>
          </w:p>
        </w:tc>
      </w:tr>
      <w:tr w14:paraId="511D8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024CB9BC">
            <w:pPr>
              <w:autoSpaceDE w:val="0"/>
              <w:autoSpaceDN w:val="0"/>
              <w:adjustRightInd w:val="0"/>
              <w:spacing w:line="460" w:lineRule="atLeast"/>
              <w:jc w:val="center"/>
              <w:rPr>
                <w:rFonts w:ascii="宋体" w:hAnsi="宋体"/>
                <w:color w:val="auto"/>
                <w:sz w:val="22"/>
                <w:lang w:val="zh-CN"/>
              </w:rPr>
            </w:pPr>
          </w:p>
        </w:tc>
        <w:tc>
          <w:tcPr>
            <w:tcW w:w="2175" w:type="dxa"/>
          </w:tcPr>
          <w:p w14:paraId="21F2B65C">
            <w:pPr>
              <w:autoSpaceDE w:val="0"/>
              <w:autoSpaceDN w:val="0"/>
              <w:adjustRightInd w:val="0"/>
              <w:spacing w:line="460" w:lineRule="atLeast"/>
              <w:jc w:val="center"/>
              <w:rPr>
                <w:rFonts w:ascii="宋体" w:hAnsi="宋体"/>
                <w:color w:val="auto"/>
                <w:sz w:val="22"/>
                <w:lang w:val="zh-CN"/>
              </w:rPr>
            </w:pPr>
          </w:p>
        </w:tc>
        <w:tc>
          <w:tcPr>
            <w:tcW w:w="2175" w:type="dxa"/>
          </w:tcPr>
          <w:p w14:paraId="33DE0CD6">
            <w:pPr>
              <w:autoSpaceDE w:val="0"/>
              <w:autoSpaceDN w:val="0"/>
              <w:adjustRightInd w:val="0"/>
              <w:spacing w:line="460" w:lineRule="atLeast"/>
              <w:jc w:val="center"/>
              <w:rPr>
                <w:rFonts w:ascii="宋体" w:hAnsi="宋体"/>
                <w:color w:val="auto"/>
                <w:sz w:val="22"/>
                <w:lang w:val="zh-CN"/>
              </w:rPr>
            </w:pPr>
          </w:p>
        </w:tc>
        <w:tc>
          <w:tcPr>
            <w:tcW w:w="2175" w:type="dxa"/>
          </w:tcPr>
          <w:p w14:paraId="2839CD18">
            <w:pPr>
              <w:autoSpaceDE w:val="0"/>
              <w:autoSpaceDN w:val="0"/>
              <w:adjustRightInd w:val="0"/>
              <w:spacing w:line="460" w:lineRule="atLeast"/>
              <w:jc w:val="center"/>
              <w:rPr>
                <w:rFonts w:ascii="宋体" w:hAnsi="宋体"/>
                <w:color w:val="auto"/>
                <w:sz w:val="22"/>
                <w:lang w:val="zh-CN"/>
              </w:rPr>
            </w:pPr>
          </w:p>
        </w:tc>
        <w:tc>
          <w:tcPr>
            <w:tcW w:w="2181" w:type="dxa"/>
          </w:tcPr>
          <w:p w14:paraId="7CCF857E">
            <w:pPr>
              <w:autoSpaceDE w:val="0"/>
              <w:autoSpaceDN w:val="0"/>
              <w:adjustRightInd w:val="0"/>
              <w:spacing w:line="460" w:lineRule="atLeast"/>
              <w:jc w:val="center"/>
              <w:rPr>
                <w:rFonts w:ascii="宋体" w:hAnsi="宋体"/>
                <w:color w:val="auto"/>
                <w:sz w:val="22"/>
                <w:lang w:val="zh-CN"/>
              </w:rPr>
            </w:pPr>
          </w:p>
        </w:tc>
      </w:tr>
      <w:tr w14:paraId="325B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3A716079">
            <w:pPr>
              <w:autoSpaceDE w:val="0"/>
              <w:autoSpaceDN w:val="0"/>
              <w:adjustRightInd w:val="0"/>
              <w:spacing w:line="460" w:lineRule="atLeast"/>
              <w:jc w:val="center"/>
              <w:rPr>
                <w:rFonts w:ascii="宋体" w:hAnsi="宋体"/>
                <w:color w:val="auto"/>
                <w:sz w:val="22"/>
                <w:lang w:val="zh-CN"/>
              </w:rPr>
            </w:pPr>
          </w:p>
        </w:tc>
        <w:tc>
          <w:tcPr>
            <w:tcW w:w="2175" w:type="dxa"/>
          </w:tcPr>
          <w:p w14:paraId="21BF754B">
            <w:pPr>
              <w:autoSpaceDE w:val="0"/>
              <w:autoSpaceDN w:val="0"/>
              <w:adjustRightInd w:val="0"/>
              <w:spacing w:line="460" w:lineRule="atLeast"/>
              <w:jc w:val="center"/>
              <w:rPr>
                <w:rFonts w:ascii="宋体" w:hAnsi="宋体"/>
                <w:color w:val="auto"/>
                <w:sz w:val="22"/>
                <w:lang w:val="zh-CN"/>
              </w:rPr>
            </w:pPr>
          </w:p>
        </w:tc>
        <w:tc>
          <w:tcPr>
            <w:tcW w:w="2175" w:type="dxa"/>
          </w:tcPr>
          <w:p w14:paraId="263CC9A8">
            <w:pPr>
              <w:autoSpaceDE w:val="0"/>
              <w:autoSpaceDN w:val="0"/>
              <w:adjustRightInd w:val="0"/>
              <w:spacing w:line="460" w:lineRule="atLeast"/>
              <w:jc w:val="center"/>
              <w:rPr>
                <w:rFonts w:ascii="宋体" w:hAnsi="宋体"/>
                <w:color w:val="auto"/>
                <w:sz w:val="22"/>
                <w:lang w:val="zh-CN"/>
              </w:rPr>
            </w:pPr>
          </w:p>
        </w:tc>
        <w:tc>
          <w:tcPr>
            <w:tcW w:w="2175" w:type="dxa"/>
          </w:tcPr>
          <w:p w14:paraId="62DFB40F">
            <w:pPr>
              <w:autoSpaceDE w:val="0"/>
              <w:autoSpaceDN w:val="0"/>
              <w:adjustRightInd w:val="0"/>
              <w:spacing w:line="460" w:lineRule="atLeast"/>
              <w:jc w:val="center"/>
              <w:rPr>
                <w:rFonts w:ascii="宋体" w:hAnsi="宋体"/>
                <w:color w:val="auto"/>
                <w:sz w:val="22"/>
                <w:lang w:val="zh-CN"/>
              </w:rPr>
            </w:pPr>
          </w:p>
        </w:tc>
        <w:tc>
          <w:tcPr>
            <w:tcW w:w="2181" w:type="dxa"/>
          </w:tcPr>
          <w:p w14:paraId="695148A2">
            <w:pPr>
              <w:autoSpaceDE w:val="0"/>
              <w:autoSpaceDN w:val="0"/>
              <w:adjustRightInd w:val="0"/>
              <w:spacing w:line="460" w:lineRule="atLeast"/>
              <w:jc w:val="center"/>
              <w:rPr>
                <w:rFonts w:ascii="宋体" w:hAnsi="宋体"/>
                <w:color w:val="auto"/>
                <w:sz w:val="22"/>
                <w:lang w:val="zh-CN"/>
              </w:rPr>
            </w:pPr>
          </w:p>
        </w:tc>
      </w:tr>
      <w:tr w14:paraId="517E8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42D094E0">
            <w:pPr>
              <w:autoSpaceDE w:val="0"/>
              <w:autoSpaceDN w:val="0"/>
              <w:adjustRightInd w:val="0"/>
              <w:spacing w:line="460" w:lineRule="atLeast"/>
              <w:jc w:val="center"/>
              <w:rPr>
                <w:rFonts w:ascii="宋体" w:hAnsi="宋体"/>
                <w:color w:val="auto"/>
                <w:sz w:val="22"/>
                <w:lang w:val="zh-CN"/>
              </w:rPr>
            </w:pPr>
          </w:p>
        </w:tc>
        <w:tc>
          <w:tcPr>
            <w:tcW w:w="2175" w:type="dxa"/>
          </w:tcPr>
          <w:p w14:paraId="05AEA494">
            <w:pPr>
              <w:autoSpaceDE w:val="0"/>
              <w:autoSpaceDN w:val="0"/>
              <w:adjustRightInd w:val="0"/>
              <w:spacing w:line="460" w:lineRule="atLeast"/>
              <w:jc w:val="center"/>
              <w:rPr>
                <w:rFonts w:ascii="宋体" w:hAnsi="宋体"/>
                <w:color w:val="auto"/>
                <w:sz w:val="22"/>
                <w:lang w:val="zh-CN"/>
              </w:rPr>
            </w:pPr>
          </w:p>
        </w:tc>
        <w:tc>
          <w:tcPr>
            <w:tcW w:w="2175" w:type="dxa"/>
          </w:tcPr>
          <w:p w14:paraId="77066DA1">
            <w:pPr>
              <w:autoSpaceDE w:val="0"/>
              <w:autoSpaceDN w:val="0"/>
              <w:adjustRightInd w:val="0"/>
              <w:spacing w:line="460" w:lineRule="atLeast"/>
              <w:jc w:val="center"/>
              <w:rPr>
                <w:rFonts w:ascii="宋体" w:hAnsi="宋体"/>
                <w:color w:val="auto"/>
                <w:sz w:val="22"/>
                <w:lang w:val="zh-CN"/>
              </w:rPr>
            </w:pPr>
          </w:p>
        </w:tc>
        <w:tc>
          <w:tcPr>
            <w:tcW w:w="2175" w:type="dxa"/>
          </w:tcPr>
          <w:p w14:paraId="3DD4617C">
            <w:pPr>
              <w:autoSpaceDE w:val="0"/>
              <w:autoSpaceDN w:val="0"/>
              <w:adjustRightInd w:val="0"/>
              <w:spacing w:line="460" w:lineRule="atLeast"/>
              <w:jc w:val="center"/>
              <w:rPr>
                <w:rFonts w:ascii="宋体" w:hAnsi="宋体"/>
                <w:color w:val="auto"/>
                <w:sz w:val="22"/>
                <w:lang w:val="zh-CN"/>
              </w:rPr>
            </w:pPr>
          </w:p>
        </w:tc>
        <w:tc>
          <w:tcPr>
            <w:tcW w:w="2181" w:type="dxa"/>
          </w:tcPr>
          <w:p w14:paraId="500C4757">
            <w:pPr>
              <w:autoSpaceDE w:val="0"/>
              <w:autoSpaceDN w:val="0"/>
              <w:adjustRightInd w:val="0"/>
              <w:spacing w:line="460" w:lineRule="atLeast"/>
              <w:jc w:val="center"/>
              <w:rPr>
                <w:rFonts w:ascii="宋体" w:hAnsi="宋体"/>
                <w:color w:val="auto"/>
                <w:sz w:val="22"/>
                <w:lang w:val="zh-CN"/>
              </w:rPr>
            </w:pPr>
          </w:p>
        </w:tc>
      </w:tr>
      <w:tr w14:paraId="256FD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53CBF7C6">
            <w:pPr>
              <w:autoSpaceDE w:val="0"/>
              <w:autoSpaceDN w:val="0"/>
              <w:adjustRightInd w:val="0"/>
              <w:spacing w:line="460" w:lineRule="atLeast"/>
              <w:jc w:val="center"/>
              <w:rPr>
                <w:rFonts w:ascii="宋体" w:hAnsi="宋体"/>
                <w:color w:val="auto"/>
                <w:sz w:val="22"/>
                <w:lang w:val="zh-CN"/>
              </w:rPr>
            </w:pPr>
          </w:p>
        </w:tc>
        <w:tc>
          <w:tcPr>
            <w:tcW w:w="2175" w:type="dxa"/>
          </w:tcPr>
          <w:p w14:paraId="6E12BC66">
            <w:pPr>
              <w:autoSpaceDE w:val="0"/>
              <w:autoSpaceDN w:val="0"/>
              <w:adjustRightInd w:val="0"/>
              <w:spacing w:line="460" w:lineRule="atLeast"/>
              <w:jc w:val="center"/>
              <w:rPr>
                <w:rFonts w:ascii="宋体" w:hAnsi="宋体"/>
                <w:color w:val="auto"/>
                <w:sz w:val="22"/>
                <w:lang w:val="zh-CN"/>
              </w:rPr>
            </w:pPr>
          </w:p>
        </w:tc>
        <w:tc>
          <w:tcPr>
            <w:tcW w:w="2175" w:type="dxa"/>
          </w:tcPr>
          <w:p w14:paraId="7EB13B0F">
            <w:pPr>
              <w:autoSpaceDE w:val="0"/>
              <w:autoSpaceDN w:val="0"/>
              <w:adjustRightInd w:val="0"/>
              <w:spacing w:line="460" w:lineRule="atLeast"/>
              <w:jc w:val="center"/>
              <w:rPr>
                <w:rFonts w:ascii="宋体" w:hAnsi="宋体"/>
                <w:color w:val="auto"/>
                <w:sz w:val="22"/>
                <w:lang w:val="zh-CN"/>
              </w:rPr>
            </w:pPr>
          </w:p>
        </w:tc>
        <w:tc>
          <w:tcPr>
            <w:tcW w:w="2175" w:type="dxa"/>
          </w:tcPr>
          <w:p w14:paraId="08141CBE">
            <w:pPr>
              <w:autoSpaceDE w:val="0"/>
              <w:autoSpaceDN w:val="0"/>
              <w:adjustRightInd w:val="0"/>
              <w:spacing w:line="460" w:lineRule="atLeast"/>
              <w:jc w:val="center"/>
              <w:rPr>
                <w:rFonts w:ascii="宋体" w:hAnsi="宋体"/>
                <w:color w:val="auto"/>
                <w:sz w:val="22"/>
                <w:lang w:val="zh-CN"/>
              </w:rPr>
            </w:pPr>
          </w:p>
        </w:tc>
        <w:tc>
          <w:tcPr>
            <w:tcW w:w="2181" w:type="dxa"/>
          </w:tcPr>
          <w:p w14:paraId="22A8FD3C">
            <w:pPr>
              <w:autoSpaceDE w:val="0"/>
              <w:autoSpaceDN w:val="0"/>
              <w:adjustRightInd w:val="0"/>
              <w:spacing w:line="460" w:lineRule="atLeast"/>
              <w:jc w:val="center"/>
              <w:rPr>
                <w:rFonts w:ascii="宋体" w:hAnsi="宋体"/>
                <w:color w:val="auto"/>
                <w:sz w:val="22"/>
                <w:lang w:val="zh-CN"/>
              </w:rPr>
            </w:pPr>
          </w:p>
        </w:tc>
      </w:tr>
      <w:tr w14:paraId="36BA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965" w:type="dxa"/>
          </w:tcPr>
          <w:p w14:paraId="1A08CB65">
            <w:pPr>
              <w:autoSpaceDE w:val="0"/>
              <w:autoSpaceDN w:val="0"/>
              <w:adjustRightInd w:val="0"/>
              <w:spacing w:line="460" w:lineRule="atLeast"/>
              <w:jc w:val="center"/>
              <w:rPr>
                <w:rFonts w:ascii="宋体" w:hAnsi="宋体"/>
                <w:color w:val="auto"/>
                <w:sz w:val="22"/>
                <w:lang w:val="zh-CN"/>
              </w:rPr>
            </w:pPr>
          </w:p>
        </w:tc>
        <w:tc>
          <w:tcPr>
            <w:tcW w:w="2175" w:type="dxa"/>
          </w:tcPr>
          <w:p w14:paraId="5AB5C45C">
            <w:pPr>
              <w:autoSpaceDE w:val="0"/>
              <w:autoSpaceDN w:val="0"/>
              <w:adjustRightInd w:val="0"/>
              <w:spacing w:line="460" w:lineRule="atLeast"/>
              <w:jc w:val="center"/>
              <w:rPr>
                <w:rFonts w:ascii="宋体" w:hAnsi="宋体"/>
                <w:color w:val="auto"/>
                <w:sz w:val="22"/>
                <w:lang w:val="zh-CN"/>
              </w:rPr>
            </w:pPr>
          </w:p>
        </w:tc>
        <w:tc>
          <w:tcPr>
            <w:tcW w:w="2175" w:type="dxa"/>
          </w:tcPr>
          <w:p w14:paraId="681C87AD">
            <w:pPr>
              <w:autoSpaceDE w:val="0"/>
              <w:autoSpaceDN w:val="0"/>
              <w:adjustRightInd w:val="0"/>
              <w:spacing w:line="460" w:lineRule="atLeast"/>
              <w:jc w:val="center"/>
              <w:rPr>
                <w:rFonts w:ascii="宋体" w:hAnsi="宋体"/>
                <w:color w:val="auto"/>
                <w:sz w:val="22"/>
                <w:lang w:val="zh-CN"/>
              </w:rPr>
            </w:pPr>
          </w:p>
        </w:tc>
        <w:tc>
          <w:tcPr>
            <w:tcW w:w="2175" w:type="dxa"/>
          </w:tcPr>
          <w:p w14:paraId="4D0B1BC9">
            <w:pPr>
              <w:autoSpaceDE w:val="0"/>
              <w:autoSpaceDN w:val="0"/>
              <w:adjustRightInd w:val="0"/>
              <w:spacing w:line="460" w:lineRule="atLeast"/>
              <w:jc w:val="center"/>
              <w:rPr>
                <w:rFonts w:ascii="宋体" w:hAnsi="宋体"/>
                <w:color w:val="auto"/>
                <w:sz w:val="22"/>
                <w:lang w:val="zh-CN"/>
              </w:rPr>
            </w:pPr>
          </w:p>
        </w:tc>
        <w:tc>
          <w:tcPr>
            <w:tcW w:w="2181" w:type="dxa"/>
          </w:tcPr>
          <w:p w14:paraId="77AFBA88">
            <w:pPr>
              <w:autoSpaceDE w:val="0"/>
              <w:autoSpaceDN w:val="0"/>
              <w:adjustRightInd w:val="0"/>
              <w:spacing w:line="460" w:lineRule="atLeast"/>
              <w:jc w:val="center"/>
              <w:rPr>
                <w:rFonts w:ascii="宋体" w:hAnsi="宋体"/>
                <w:color w:val="auto"/>
                <w:sz w:val="22"/>
                <w:lang w:val="zh-CN"/>
              </w:rPr>
            </w:pPr>
          </w:p>
        </w:tc>
      </w:tr>
      <w:tr w14:paraId="77C26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5" w:type="dxa"/>
          </w:tcPr>
          <w:p w14:paraId="33D61A18">
            <w:pPr>
              <w:autoSpaceDE w:val="0"/>
              <w:autoSpaceDN w:val="0"/>
              <w:adjustRightInd w:val="0"/>
              <w:spacing w:line="460" w:lineRule="atLeast"/>
              <w:jc w:val="center"/>
              <w:rPr>
                <w:rFonts w:ascii="宋体" w:hAnsi="宋体"/>
                <w:color w:val="auto"/>
                <w:sz w:val="22"/>
                <w:lang w:val="zh-CN"/>
              </w:rPr>
            </w:pPr>
          </w:p>
        </w:tc>
        <w:tc>
          <w:tcPr>
            <w:tcW w:w="2175" w:type="dxa"/>
          </w:tcPr>
          <w:p w14:paraId="2F041B7D">
            <w:pPr>
              <w:autoSpaceDE w:val="0"/>
              <w:autoSpaceDN w:val="0"/>
              <w:adjustRightInd w:val="0"/>
              <w:spacing w:line="460" w:lineRule="atLeast"/>
              <w:jc w:val="center"/>
              <w:rPr>
                <w:rFonts w:ascii="宋体" w:hAnsi="宋体"/>
                <w:color w:val="auto"/>
                <w:sz w:val="22"/>
                <w:lang w:val="zh-CN"/>
              </w:rPr>
            </w:pPr>
          </w:p>
        </w:tc>
        <w:tc>
          <w:tcPr>
            <w:tcW w:w="2175" w:type="dxa"/>
          </w:tcPr>
          <w:p w14:paraId="54EC6AF0">
            <w:pPr>
              <w:autoSpaceDE w:val="0"/>
              <w:autoSpaceDN w:val="0"/>
              <w:adjustRightInd w:val="0"/>
              <w:spacing w:line="460" w:lineRule="atLeast"/>
              <w:jc w:val="center"/>
              <w:rPr>
                <w:rFonts w:ascii="宋体" w:hAnsi="宋体"/>
                <w:color w:val="auto"/>
                <w:sz w:val="22"/>
                <w:lang w:val="zh-CN"/>
              </w:rPr>
            </w:pPr>
          </w:p>
        </w:tc>
        <w:tc>
          <w:tcPr>
            <w:tcW w:w="2175" w:type="dxa"/>
          </w:tcPr>
          <w:p w14:paraId="79799971">
            <w:pPr>
              <w:autoSpaceDE w:val="0"/>
              <w:autoSpaceDN w:val="0"/>
              <w:adjustRightInd w:val="0"/>
              <w:spacing w:line="460" w:lineRule="atLeast"/>
              <w:jc w:val="center"/>
              <w:rPr>
                <w:rFonts w:ascii="宋体" w:hAnsi="宋体"/>
                <w:color w:val="auto"/>
                <w:sz w:val="22"/>
                <w:lang w:val="zh-CN"/>
              </w:rPr>
            </w:pPr>
          </w:p>
        </w:tc>
        <w:tc>
          <w:tcPr>
            <w:tcW w:w="2181" w:type="dxa"/>
          </w:tcPr>
          <w:p w14:paraId="1D91B1E7">
            <w:pPr>
              <w:autoSpaceDE w:val="0"/>
              <w:autoSpaceDN w:val="0"/>
              <w:adjustRightInd w:val="0"/>
              <w:spacing w:line="460" w:lineRule="atLeast"/>
              <w:jc w:val="center"/>
              <w:rPr>
                <w:rFonts w:ascii="宋体" w:hAnsi="宋体"/>
                <w:color w:val="auto"/>
                <w:sz w:val="22"/>
                <w:lang w:val="zh-CN"/>
              </w:rPr>
            </w:pPr>
          </w:p>
        </w:tc>
      </w:tr>
      <w:tr w14:paraId="76C79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965" w:type="dxa"/>
          </w:tcPr>
          <w:p w14:paraId="6FBA112E">
            <w:pPr>
              <w:autoSpaceDE w:val="0"/>
              <w:autoSpaceDN w:val="0"/>
              <w:adjustRightInd w:val="0"/>
              <w:spacing w:line="460" w:lineRule="atLeast"/>
              <w:jc w:val="center"/>
              <w:rPr>
                <w:rFonts w:ascii="宋体" w:hAnsi="宋体"/>
                <w:color w:val="auto"/>
                <w:sz w:val="22"/>
                <w:lang w:val="zh-CN"/>
              </w:rPr>
            </w:pPr>
          </w:p>
        </w:tc>
        <w:tc>
          <w:tcPr>
            <w:tcW w:w="2175" w:type="dxa"/>
          </w:tcPr>
          <w:p w14:paraId="7845EFCD">
            <w:pPr>
              <w:autoSpaceDE w:val="0"/>
              <w:autoSpaceDN w:val="0"/>
              <w:adjustRightInd w:val="0"/>
              <w:spacing w:line="460" w:lineRule="atLeast"/>
              <w:jc w:val="center"/>
              <w:rPr>
                <w:rFonts w:ascii="宋体" w:hAnsi="宋体"/>
                <w:color w:val="auto"/>
                <w:sz w:val="22"/>
                <w:lang w:val="zh-CN"/>
              </w:rPr>
            </w:pPr>
          </w:p>
        </w:tc>
        <w:tc>
          <w:tcPr>
            <w:tcW w:w="2175" w:type="dxa"/>
          </w:tcPr>
          <w:p w14:paraId="77CDCD15">
            <w:pPr>
              <w:autoSpaceDE w:val="0"/>
              <w:autoSpaceDN w:val="0"/>
              <w:adjustRightInd w:val="0"/>
              <w:spacing w:line="460" w:lineRule="atLeast"/>
              <w:jc w:val="center"/>
              <w:rPr>
                <w:rFonts w:ascii="宋体" w:hAnsi="宋体"/>
                <w:color w:val="auto"/>
                <w:sz w:val="22"/>
                <w:lang w:val="zh-CN"/>
              </w:rPr>
            </w:pPr>
          </w:p>
        </w:tc>
        <w:tc>
          <w:tcPr>
            <w:tcW w:w="2175" w:type="dxa"/>
          </w:tcPr>
          <w:p w14:paraId="68376E90">
            <w:pPr>
              <w:autoSpaceDE w:val="0"/>
              <w:autoSpaceDN w:val="0"/>
              <w:adjustRightInd w:val="0"/>
              <w:spacing w:line="460" w:lineRule="atLeast"/>
              <w:jc w:val="center"/>
              <w:rPr>
                <w:rFonts w:ascii="宋体" w:hAnsi="宋体"/>
                <w:color w:val="auto"/>
                <w:sz w:val="22"/>
                <w:lang w:val="zh-CN"/>
              </w:rPr>
            </w:pPr>
          </w:p>
        </w:tc>
        <w:tc>
          <w:tcPr>
            <w:tcW w:w="2181" w:type="dxa"/>
          </w:tcPr>
          <w:p w14:paraId="74348195">
            <w:pPr>
              <w:autoSpaceDE w:val="0"/>
              <w:autoSpaceDN w:val="0"/>
              <w:adjustRightInd w:val="0"/>
              <w:spacing w:line="460" w:lineRule="atLeast"/>
              <w:jc w:val="center"/>
              <w:rPr>
                <w:rFonts w:ascii="宋体" w:hAnsi="宋体"/>
                <w:color w:val="auto"/>
                <w:sz w:val="22"/>
                <w:lang w:val="zh-CN"/>
              </w:rPr>
            </w:pPr>
          </w:p>
        </w:tc>
      </w:tr>
    </w:tbl>
    <w:p w14:paraId="62C558EE">
      <w:pPr>
        <w:spacing w:before="120" w:beforeLines="50" w:after="120" w:afterLines="50" w:line="460" w:lineRule="atLeast"/>
        <w:ind w:right="-10"/>
        <w:rPr>
          <w:rFonts w:ascii="宋体" w:hAnsi="宋体"/>
          <w:color w:val="auto"/>
          <w:sz w:val="36"/>
        </w:rPr>
      </w:pPr>
      <w:r>
        <w:rPr>
          <w:rFonts w:hint="eastAsia" w:ascii="宋体" w:hAnsi="宋体"/>
          <w:color w:val="auto"/>
          <w:sz w:val="22"/>
          <w:szCs w:val="22"/>
          <w:lang w:val="zh-CN"/>
        </w:rPr>
        <w:t>投标供应商（盖章）：</w:t>
      </w:r>
    </w:p>
    <w:p w14:paraId="09A11526">
      <w:pPr>
        <w:spacing w:before="120" w:beforeLines="50" w:after="120" w:afterLines="50" w:line="460" w:lineRule="atLeast"/>
        <w:ind w:right="-10"/>
        <w:jc w:val="center"/>
        <w:rPr>
          <w:rFonts w:ascii="宋体" w:hAnsi="宋体"/>
          <w:color w:val="auto"/>
          <w:sz w:val="36"/>
        </w:rPr>
      </w:pPr>
    </w:p>
    <w:p w14:paraId="027D297F">
      <w:pPr>
        <w:spacing w:before="120" w:beforeLines="50" w:after="120" w:afterLines="50" w:line="460" w:lineRule="atLeast"/>
        <w:ind w:right="-10"/>
        <w:jc w:val="center"/>
        <w:rPr>
          <w:rFonts w:ascii="宋体" w:hAnsi="宋体"/>
          <w:color w:val="auto"/>
          <w:sz w:val="36"/>
        </w:rPr>
      </w:pPr>
    </w:p>
    <w:p w14:paraId="6633CC60">
      <w:pPr>
        <w:spacing w:before="120" w:beforeLines="50" w:after="120" w:afterLines="50" w:line="460" w:lineRule="atLeast"/>
        <w:ind w:right="-10"/>
        <w:jc w:val="center"/>
        <w:rPr>
          <w:rFonts w:ascii="宋体" w:hAnsi="宋体"/>
          <w:b/>
          <w:color w:val="auto"/>
          <w:sz w:val="36"/>
        </w:rPr>
      </w:pPr>
    </w:p>
    <w:p w14:paraId="57AE2000">
      <w:pPr>
        <w:spacing w:before="120" w:beforeLines="50" w:after="120" w:afterLines="50" w:line="460" w:lineRule="atLeast"/>
        <w:ind w:right="-10"/>
        <w:jc w:val="center"/>
        <w:rPr>
          <w:rFonts w:ascii="宋体" w:hAnsi="宋体"/>
          <w:b/>
          <w:color w:val="auto"/>
          <w:sz w:val="36"/>
        </w:rPr>
      </w:pPr>
    </w:p>
    <w:p w14:paraId="3F6A2BEF">
      <w:pPr>
        <w:spacing w:before="120" w:beforeLines="50" w:after="120" w:afterLines="50" w:line="460" w:lineRule="atLeast"/>
        <w:ind w:right="-10"/>
        <w:jc w:val="center"/>
        <w:rPr>
          <w:rFonts w:ascii="宋体" w:hAnsi="宋体"/>
          <w:b/>
          <w:color w:val="auto"/>
          <w:sz w:val="36"/>
        </w:rPr>
      </w:pPr>
    </w:p>
    <w:p w14:paraId="6CA1C155">
      <w:pPr>
        <w:spacing w:before="120" w:beforeLines="50" w:after="120" w:afterLines="50" w:line="460" w:lineRule="atLeast"/>
        <w:ind w:right="-10"/>
        <w:jc w:val="center"/>
        <w:rPr>
          <w:rFonts w:ascii="宋体" w:hAnsi="宋体"/>
          <w:b/>
          <w:color w:val="auto"/>
          <w:sz w:val="36"/>
        </w:rPr>
      </w:pPr>
    </w:p>
    <w:p w14:paraId="2ACDF8FF">
      <w:pPr>
        <w:pStyle w:val="4"/>
        <w:spacing w:after="240"/>
        <w:rPr>
          <w:rFonts w:ascii="宋体" w:hAnsi="宋体"/>
          <w:color w:val="auto"/>
          <w:sz w:val="36"/>
          <w:szCs w:val="36"/>
        </w:rPr>
      </w:pPr>
      <w:r>
        <w:rPr>
          <w:rFonts w:ascii="宋体" w:hAnsi="宋体"/>
          <w:color w:val="auto"/>
          <w:spacing w:val="20"/>
          <w:sz w:val="22"/>
          <w:szCs w:val="22"/>
        </w:rPr>
        <w:br w:type="page"/>
      </w:r>
      <w:bookmarkStart w:id="91" w:name="_Toc11443"/>
      <w:r>
        <w:rPr>
          <w:rFonts w:hint="eastAsia" w:ascii="宋体" w:hAnsi="宋体"/>
          <w:color w:val="auto"/>
          <w:sz w:val="36"/>
          <w:szCs w:val="36"/>
        </w:rPr>
        <w:t>第七部分   确定成交供应商办法</w:t>
      </w:r>
      <w:bookmarkEnd w:id="91"/>
    </w:p>
    <w:p w14:paraId="4F310DC1">
      <w:pPr>
        <w:snapToGrid w:val="0"/>
        <w:spacing w:line="460" w:lineRule="atLeast"/>
        <w:ind w:firstLine="540"/>
        <w:rPr>
          <w:rFonts w:ascii="宋体" w:hAnsi="宋体"/>
          <w:color w:val="auto"/>
          <w:sz w:val="22"/>
          <w:szCs w:val="22"/>
        </w:rPr>
      </w:pPr>
      <w:r>
        <w:rPr>
          <w:rFonts w:hint="eastAsia" w:ascii="宋体" w:hAnsi="宋体"/>
          <w:color w:val="auto"/>
          <w:sz w:val="22"/>
          <w:szCs w:val="22"/>
        </w:rPr>
        <w:t>根据《中华人民共和国政府采购法》等有关政府采购法规，结合本次所要采购服务的实际，按照公平、公正、科学、择优的原则选择成交单位，特制定本评审办法。</w:t>
      </w:r>
    </w:p>
    <w:p w14:paraId="35D8FCEE">
      <w:pPr>
        <w:snapToGrid w:val="0"/>
        <w:spacing w:line="460" w:lineRule="atLeast"/>
        <w:ind w:firstLine="3795" w:firstLineChars="1725"/>
        <w:rPr>
          <w:rFonts w:ascii="宋体" w:hAnsi="宋体"/>
          <w:color w:val="auto"/>
          <w:sz w:val="22"/>
          <w:szCs w:val="22"/>
        </w:rPr>
      </w:pPr>
      <w:r>
        <w:rPr>
          <w:rFonts w:hint="eastAsia" w:ascii="宋体" w:hAnsi="宋体"/>
          <w:color w:val="auto"/>
          <w:sz w:val="22"/>
          <w:szCs w:val="22"/>
        </w:rPr>
        <w:t>一、总则</w:t>
      </w:r>
    </w:p>
    <w:p w14:paraId="0EB89259">
      <w:pPr>
        <w:snapToGrid w:val="0"/>
        <w:spacing w:line="460" w:lineRule="atLeast"/>
        <w:ind w:firstLine="540"/>
        <w:rPr>
          <w:rFonts w:ascii="宋体" w:hAnsi="宋体"/>
          <w:color w:val="auto"/>
          <w:sz w:val="22"/>
          <w:szCs w:val="22"/>
        </w:rPr>
      </w:pPr>
      <w:r>
        <w:rPr>
          <w:rFonts w:hint="eastAsia" w:ascii="宋体" w:hAnsi="宋体"/>
          <w:color w:val="auto"/>
          <w:sz w:val="22"/>
          <w:szCs w:val="22"/>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28A9B154">
      <w:pPr>
        <w:snapToGrid w:val="0"/>
        <w:spacing w:line="460" w:lineRule="atLeast"/>
        <w:ind w:firstLine="3795" w:firstLineChars="1725"/>
        <w:rPr>
          <w:rFonts w:ascii="宋体" w:hAnsi="宋体"/>
          <w:color w:val="auto"/>
          <w:sz w:val="22"/>
          <w:szCs w:val="22"/>
        </w:rPr>
      </w:pPr>
      <w:r>
        <w:rPr>
          <w:rFonts w:hint="eastAsia" w:ascii="宋体" w:hAnsi="宋体"/>
          <w:color w:val="auto"/>
          <w:sz w:val="22"/>
          <w:szCs w:val="22"/>
        </w:rPr>
        <w:t>二、评审组织</w:t>
      </w:r>
    </w:p>
    <w:p w14:paraId="31411B1C">
      <w:pPr>
        <w:snapToGrid w:val="0"/>
        <w:spacing w:line="460" w:lineRule="atLeast"/>
        <w:ind w:firstLine="540"/>
        <w:rPr>
          <w:rFonts w:ascii="宋体" w:hAnsi="宋体"/>
          <w:color w:val="auto"/>
          <w:sz w:val="22"/>
          <w:szCs w:val="22"/>
        </w:rPr>
      </w:pPr>
      <w:r>
        <w:rPr>
          <w:rFonts w:hint="eastAsia" w:ascii="宋体" w:hAnsi="宋体"/>
          <w:color w:val="auto"/>
          <w:sz w:val="22"/>
          <w:szCs w:val="22"/>
        </w:rPr>
        <w:t>评审工作由采购人依法组建的磋商小组负责，磋商小组由采购人代表以及评审专家库中随机抽取的有关技术、经济专家共同组成。评审全过程由采购管理部门全程监督。</w:t>
      </w:r>
    </w:p>
    <w:p w14:paraId="3A033465">
      <w:pPr>
        <w:snapToGrid w:val="0"/>
        <w:spacing w:line="460" w:lineRule="atLeast"/>
        <w:jc w:val="center"/>
        <w:rPr>
          <w:rFonts w:ascii="宋体" w:hAnsi="宋体"/>
          <w:color w:val="auto"/>
          <w:sz w:val="22"/>
          <w:szCs w:val="22"/>
        </w:rPr>
      </w:pPr>
      <w:r>
        <w:rPr>
          <w:rFonts w:hint="eastAsia" w:ascii="宋体" w:hAnsi="宋体"/>
          <w:color w:val="auto"/>
          <w:sz w:val="22"/>
          <w:szCs w:val="22"/>
        </w:rPr>
        <w:t>三、响应文件递交截止、磋商程序、磋商原则和方式</w:t>
      </w:r>
    </w:p>
    <w:p w14:paraId="5D75DE33">
      <w:pPr>
        <w:snapToGrid w:val="0"/>
        <w:spacing w:line="460" w:lineRule="atLeast"/>
        <w:ind w:firstLine="540"/>
        <w:rPr>
          <w:rFonts w:ascii="宋体" w:hAnsi="宋体"/>
          <w:color w:val="auto"/>
          <w:sz w:val="22"/>
          <w:szCs w:val="22"/>
        </w:rPr>
      </w:pPr>
      <w:r>
        <w:rPr>
          <w:rFonts w:hint="eastAsia" w:ascii="宋体" w:hAnsi="宋体"/>
          <w:color w:val="auto"/>
          <w:sz w:val="22"/>
          <w:szCs w:val="22"/>
        </w:rPr>
        <w:t>具体见本磋商文件第三部分相关内容描述。</w:t>
      </w:r>
    </w:p>
    <w:p w14:paraId="7B14D96C">
      <w:pPr>
        <w:snapToGrid w:val="0"/>
        <w:spacing w:line="460" w:lineRule="atLeast"/>
        <w:ind w:firstLine="3795" w:firstLineChars="1725"/>
        <w:rPr>
          <w:rFonts w:ascii="宋体" w:hAnsi="宋体"/>
          <w:color w:val="auto"/>
          <w:sz w:val="22"/>
          <w:szCs w:val="22"/>
        </w:rPr>
      </w:pPr>
      <w:r>
        <w:rPr>
          <w:rFonts w:hint="eastAsia" w:ascii="宋体" w:hAnsi="宋体"/>
          <w:color w:val="auto"/>
          <w:sz w:val="22"/>
          <w:szCs w:val="22"/>
        </w:rPr>
        <w:t>四、评分细则</w:t>
      </w:r>
    </w:p>
    <w:p w14:paraId="6EDB4E24">
      <w:pPr>
        <w:pStyle w:val="26"/>
        <w:adjustRightInd w:val="0"/>
        <w:snapToGrid w:val="0"/>
        <w:spacing w:line="460" w:lineRule="atLeast"/>
        <w:ind w:firstLine="442" w:firstLineChars="200"/>
        <w:rPr>
          <w:rFonts w:hAnsi="宋体"/>
          <w:b/>
          <w:bCs/>
          <w:color w:val="auto"/>
          <w:sz w:val="22"/>
          <w:szCs w:val="22"/>
        </w:rPr>
      </w:pPr>
      <w:r>
        <w:rPr>
          <w:rFonts w:hint="eastAsia" w:hAnsi="宋体"/>
          <w:b/>
          <w:bCs/>
          <w:color w:val="auto"/>
          <w:sz w:val="22"/>
          <w:szCs w:val="22"/>
        </w:rPr>
        <w:t xml:space="preserve">一）、报价评分  </w:t>
      </w:r>
      <w:r>
        <w:rPr>
          <w:rFonts w:hAnsi="宋体"/>
          <w:b/>
          <w:bCs/>
          <w:color w:val="auto"/>
          <w:sz w:val="22"/>
          <w:szCs w:val="22"/>
        </w:rPr>
        <w:t>10</w:t>
      </w:r>
      <w:r>
        <w:rPr>
          <w:rFonts w:hint="eastAsia" w:hAnsi="宋体"/>
          <w:b/>
          <w:bCs/>
          <w:color w:val="auto"/>
          <w:sz w:val="22"/>
          <w:szCs w:val="22"/>
        </w:rPr>
        <w:t xml:space="preserve">分  </w:t>
      </w:r>
      <w:r>
        <w:rPr>
          <w:rFonts w:hAnsi="宋体"/>
          <w:b/>
          <w:bCs/>
          <w:color w:val="auto"/>
          <w:sz w:val="22"/>
          <w:szCs w:val="22"/>
        </w:rPr>
        <w:tab/>
      </w:r>
    </w:p>
    <w:p w14:paraId="69DFE06D">
      <w:pPr>
        <w:pStyle w:val="26"/>
        <w:adjustRightInd w:val="0"/>
        <w:snapToGrid w:val="0"/>
        <w:spacing w:line="460" w:lineRule="atLeast"/>
        <w:ind w:firstLine="440" w:firstLineChars="200"/>
        <w:rPr>
          <w:rFonts w:hAnsi="宋体"/>
          <w:color w:val="auto"/>
          <w:sz w:val="22"/>
          <w:szCs w:val="22"/>
        </w:rPr>
      </w:pPr>
      <w:r>
        <w:rPr>
          <w:rFonts w:hint="eastAsia" w:hAnsi="宋体"/>
          <w:color w:val="auto"/>
          <w:sz w:val="22"/>
          <w:szCs w:val="22"/>
        </w:rPr>
        <w:t>以满足磋商文件要求且最后报价最低的供应商的价格为磋商基准价，其价格分为满分。其他供应商的价格分统一按照下列公式计算：</w:t>
      </w:r>
    </w:p>
    <w:p w14:paraId="4D2CF45E">
      <w:pPr>
        <w:pStyle w:val="26"/>
        <w:adjustRightInd w:val="0"/>
        <w:snapToGrid w:val="0"/>
        <w:spacing w:line="460" w:lineRule="atLeast"/>
        <w:ind w:firstLine="450"/>
        <w:rPr>
          <w:rFonts w:hAnsi="宋体"/>
          <w:color w:val="auto"/>
          <w:sz w:val="22"/>
          <w:szCs w:val="22"/>
        </w:rPr>
      </w:pPr>
      <w:r>
        <w:rPr>
          <w:rFonts w:hint="eastAsia" w:hAnsi="宋体"/>
          <w:color w:val="auto"/>
          <w:sz w:val="22"/>
          <w:szCs w:val="22"/>
        </w:rPr>
        <w:t>磋商报价得分</w:t>
      </w:r>
      <w:r>
        <w:rPr>
          <w:rFonts w:hAnsi="宋体"/>
          <w:color w:val="auto"/>
          <w:sz w:val="22"/>
          <w:szCs w:val="22"/>
        </w:rPr>
        <w:t>=</w:t>
      </w:r>
      <w:r>
        <w:rPr>
          <w:rFonts w:hint="eastAsia" w:hAnsi="宋体"/>
          <w:color w:val="auto"/>
          <w:sz w:val="22"/>
          <w:szCs w:val="22"/>
        </w:rPr>
        <w:t>（磋商基准价</w:t>
      </w:r>
      <w:r>
        <w:rPr>
          <w:rFonts w:hAnsi="宋体"/>
          <w:color w:val="auto"/>
          <w:sz w:val="22"/>
          <w:szCs w:val="22"/>
        </w:rPr>
        <w:t>/</w:t>
      </w:r>
      <w:r>
        <w:rPr>
          <w:rFonts w:hint="eastAsia" w:hAnsi="宋体"/>
          <w:color w:val="auto"/>
          <w:sz w:val="22"/>
          <w:szCs w:val="22"/>
        </w:rPr>
        <w:t>最后磋商报价）×</w:t>
      </w:r>
      <w:r>
        <w:rPr>
          <w:rFonts w:hAnsi="宋体"/>
          <w:color w:val="auto"/>
          <w:sz w:val="22"/>
          <w:szCs w:val="22"/>
        </w:rPr>
        <w:t>1</w:t>
      </w:r>
      <w:r>
        <w:rPr>
          <w:rFonts w:hint="eastAsia" w:hAnsi="宋体"/>
          <w:color w:val="auto"/>
          <w:sz w:val="22"/>
          <w:szCs w:val="22"/>
        </w:rPr>
        <w:t>0%×</w:t>
      </w:r>
      <w:r>
        <w:rPr>
          <w:rFonts w:hAnsi="宋体"/>
          <w:color w:val="auto"/>
          <w:sz w:val="22"/>
          <w:szCs w:val="22"/>
        </w:rPr>
        <w:t>100</w:t>
      </w:r>
    </w:p>
    <w:p w14:paraId="3EE69190">
      <w:pPr>
        <w:pStyle w:val="26"/>
        <w:adjustRightInd w:val="0"/>
        <w:snapToGrid w:val="0"/>
        <w:spacing w:line="460" w:lineRule="atLeast"/>
        <w:ind w:firstLine="450"/>
        <w:rPr>
          <w:rFonts w:hAnsi="宋体"/>
          <w:b/>
          <w:color w:val="auto"/>
          <w:sz w:val="22"/>
          <w:szCs w:val="22"/>
        </w:rPr>
      </w:pPr>
      <w:r>
        <w:rPr>
          <w:rFonts w:hint="eastAsia" w:hAnsi="宋体"/>
          <w:b/>
          <w:color w:val="auto"/>
          <w:sz w:val="22"/>
          <w:szCs w:val="22"/>
        </w:rPr>
        <w:t>本项目对符合磋商文件规定条件的小、微企业（或监狱企业或残疾人福利性单位）所投的价格给予</w:t>
      </w:r>
      <w:r>
        <w:rPr>
          <w:rFonts w:hint="eastAsia" w:hAnsi="宋体"/>
          <w:b/>
          <w:color w:val="auto"/>
          <w:sz w:val="22"/>
          <w:szCs w:val="22"/>
          <w:u w:val="single"/>
          <w:lang w:val="en-US" w:eastAsia="zh-CN"/>
        </w:rPr>
        <w:t>2</w:t>
      </w:r>
      <w:r>
        <w:rPr>
          <w:rFonts w:hAnsi="宋体"/>
          <w:b/>
          <w:color w:val="auto"/>
          <w:sz w:val="22"/>
          <w:szCs w:val="22"/>
          <w:u w:val="single"/>
        </w:rPr>
        <w:t>0</w:t>
      </w:r>
      <w:r>
        <w:rPr>
          <w:rFonts w:hint="eastAsia" w:hAnsi="宋体"/>
          <w:b/>
          <w:color w:val="auto"/>
          <w:sz w:val="22"/>
          <w:szCs w:val="22"/>
          <w:u w:val="single"/>
        </w:rPr>
        <w:t>%</w:t>
      </w:r>
      <w:r>
        <w:rPr>
          <w:rFonts w:hint="eastAsia" w:hAnsi="宋体"/>
          <w:b/>
          <w:color w:val="auto"/>
          <w:sz w:val="22"/>
          <w:szCs w:val="22"/>
        </w:rPr>
        <w:t>的扣除，用扣除后的价格参与评审，如中标（成交）签订合同时以其最终报价作为签订合同价。因落实政府采购政策进行价格调整的，以调整后的价格计算评标基准价和投标报价。</w:t>
      </w:r>
    </w:p>
    <w:p w14:paraId="76C51B47">
      <w:pPr>
        <w:pStyle w:val="26"/>
        <w:numPr>
          <w:ilvl w:val="0"/>
          <w:numId w:val="3"/>
        </w:numPr>
        <w:adjustRightInd w:val="0"/>
        <w:snapToGrid w:val="0"/>
        <w:spacing w:line="460" w:lineRule="atLeast"/>
        <w:ind w:firstLine="450"/>
        <w:rPr>
          <w:rFonts w:hint="eastAsia" w:cs="Arial Unicode MS"/>
          <w:b/>
          <w:bCs/>
          <w:color w:val="auto"/>
          <w:sz w:val="22"/>
          <w:szCs w:val="22"/>
        </w:rPr>
      </w:pPr>
      <w:r>
        <w:rPr>
          <w:rFonts w:hint="eastAsia" w:cs="Arial Unicode MS"/>
          <w:b/>
          <w:bCs/>
          <w:color w:val="auto"/>
          <w:sz w:val="22"/>
          <w:szCs w:val="22"/>
        </w:rPr>
        <w:t xml:space="preserve">、商务、技术综合评分 </w:t>
      </w:r>
      <w:r>
        <w:rPr>
          <w:rFonts w:cs="Arial Unicode MS"/>
          <w:b/>
          <w:bCs/>
          <w:color w:val="auto"/>
          <w:sz w:val="22"/>
          <w:szCs w:val="22"/>
        </w:rPr>
        <w:t>9</w:t>
      </w:r>
      <w:r>
        <w:rPr>
          <w:rFonts w:hint="eastAsia" w:cs="Arial Unicode MS"/>
          <w:b/>
          <w:bCs/>
          <w:color w:val="auto"/>
          <w:sz w:val="22"/>
          <w:szCs w:val="22"/>
        </w:rPr>
        <w:t>0分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10"/>
        <w:gridCol w:w="6190"/>
        <w:gridCol w:w="675"/>
      </w:tblGrid>
      <w:tr w14:paraId="33DD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85" w:type="dxa"/>
            <w:vAlign w:val="center"/>
          </w:tcPr>
          <w:p w14:paraId="408E6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bookmarkStart w:id="92" w:name="RANGE!A1"/>
            <w:r>
              <w:rPr>
                <w:rFonts w:hint="eastAsia" w:ascii="宋体" w:hAnsi="宋体" w:eastAsia="宋体" w:cs="宋体"/>
                <w:color w:val="auto"/>
                <w:kern w:val="0"/>
                <w:sz w:val="22"/>
                <w:szCs w:val="22"/>
                <w:lang w:bidi="ar"/>
              </w:rPr>
              <w:t>序号</w:t>
            </w:r>
            <w:bookmarkEnd w:id="92"/>
          </w:p>
        </w:tc>
        <w:tc>
          <w:tcPr>
            <w:tcW w:w="1410" w:type="dxa"/>
            <w:vAlign w:val="center"/>
          </w:tcPr>
          <w:p w14:paraId="7956C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评分项</w:t>
            </w:r>
          </w:p>
        </w:tc>
        <w:tc>
          <w:tcPr>
            <w:tcW w:w="6190" w:type="dxa"/>
            <w:vAlign w:val="center"/>
          </w:tcPr>
          <w:p w14:paraId="64534DB4">
            <w:pPr>
              <w:keepNext w:val="0"/>
              <w:keepLines w:val="0"/>
              <w:widowControl/>
              <w:suppressLineNumbers w:val="0"/>
              <w:spacing w:before="0" w:beforeAutospacing="0" w:after="0" w:afterAutospacing="0" w:line="276" w:lineRule="auto"/>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评分标准</w:t>
            </w:r>
          </w:p>
        </w:tc>
        <w:tc>
          <w:tcPr>
            <w:tcW w:w="675" w:type="dxa"/>
            <w:vAlign w:val="center"/>
          </w:tcPr>
          <w:p w14:paraId="46DFD6CF">
            <w:pPr>
              <w:keepNext w:val="0"/>
              <w:keepLines w:val="0"/>
              <w:widowControl/>
              <w:suppressLineNumbers w:val="0"/>
              <w:spacing w:before="0" w:beforeAutospacing="0" w:after="0" w:afterAutospacing="0"/>
              <w:ind w:left="0" w:right="0"/>
              <w:jc w:val="center"/>
              <w:textAlignment w:val="center"/>
              <w:rPr>
                <w:rFonts w:hint="eastAsia" w:ascii="宋体" w:hAnsi="宋体" w:cs="微软雅黑"/>
                <w:color w:val="auto"/>
                <w:kern w:val="0"/>
                <w:sz w:val="22"/>
                <w:szCs w:val="22"/>
                <w:lang w:bidi="ar"/>
              </w:rPr>
            </w:pPr>
            <w:r>
              <w:rPr>
                <w:rFonts w:hint="eastAsia" w:ascii="宋体" w:hAnsi="宋体" w:cs="微软雅黑"/>
                <w:color w:val="auto"/>
                <w:kern w:val="0"/>
                <w:sz w:val="22"/>
                <w:szCs w:val="22"/>
                <w:lang w:bidi="ar"/>
              </w:rPr>
              <w:t>分值</w:t>
            </w:r>
          </w:p>
        </w:tc>
      </w:tr>
      <w:tr w14:paraId="2192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85" w:type="dxa"/>
            <w:vAlign w:val="center"/>
          </w:tcPr>
          <w:p w14:paraId="02C01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1410" w:type="dxa"/>
            <w:vAlign w:val="center"/>
          </w:tcPr>
          <w:p w14:paraId="13C22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供应商情况</w:t>
            </w:r>
          </w:p>
        </w:tc>
        <w:tc>
          <w:tcPr>
            <w:tcW w:w="6190" w:type="dxa"/>
            <w:vAlign w:val="center"/>
          </w:tcPr>
          <w:p w14:paraId="01E2A787">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投标人持有信息技术服务管理体系认证证书（ISO20000）、信息安全管理体系认证证书（ISO27001）、质量管理体系认证证书（ISO9001）、环境管理体系认证证书（ISO14001）、职业健康安全管理体系认证证书（ISO45001）, 每个证书得1分，最高5分。</w:t>
            </w:r>
          </w:p>
          <w:p w14:paraId="5546AC09">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sz w:val="22"/>
                <w:szCs w:val="22"/>
              </w:rPr>
              <w:t>以上证书均需在有效期内，提供扫描件或复印件并加盖公章</w:t>
            </w:r>
            <w:r>
              <w:rPr>
                <w:rFonts w:hint="eastAsia" w:ascii="宋体" w:hAnsi="宋体" w:cs="宋体"/>
                <w:color w:val="auto"/>
                <w:sz w:val="22"/>
                <w:szCs w:val="22"/>
                <w:lang w:eastAsia="zh-CN"/>
              </w:rPr>
              <w:t>。</w:t>
            </w:r>
          </w:p>
        </w:tc>
        <w:tc>
          <w:tcPr>
            <w:tcW w:w="675" w:type="dxa"/>
            <w:vAlign w:val="center"/>
          </w:tcPr>
          <w:p w14:paraId="38468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微软雅黑"/>
                <w:color w:val="auto"/>
                <w:kern w:val="0"/>
                <w:sz w:val="22"/>
                <w:szCs w:val="22"/>
                <w:lang w:eastAsia="zh-CN" w:bidi="ar"/>
              </w:rPr>
            </w:pPr>
            <w:r>
              <w:rPr>
                <w:rFonts w:hint="eastAsia" w:ascii="宋体" w:hAnsi="宋体" w:cs="微软雅黑"/>
                <w:color w:val="auto"/>
                <w:kern w:val="0"/>
                <w:sz w:val="22"/>
                <w:szCs w:val="22"/>
                <w:lang w:val="en-US" w:eastAsia="zh-CN" w:bidi="ar"/>
              </w:rPr>
              <w:t>5</w:t>
            </w:r>
          </w:p>
        </w:tc>
      </w:tr>
      <w:tr w14:paraId="05DA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85" w:type="dxa"/>
            <w:vAlign w:val="center"/>
          </w:tcPr>
          <w:p w14:paraId="58053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w:t>
            </w:r>
          </w:p>
        </w:tc>
        <w:tc>
          <w:tcPr>
            <w:tcW w:w="1410" w:type="dxa"/>
            <w:vAlign w:val="center"/>
          </w:tcPr>
          <w:p w14:paraId="25546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供应商技术团队实力</w:t>
            </w:r>
          </w:p>
        </w:tc>
        <w:tc>
          <w:tcPr>
            <w:tcW w:w="6190" w:type="dxa"/>
            <w:vAlign w:val="center"/>
          </w:tcPr>
          <w:p w14:paraId="651B2D9F">
            <w:pPr>
              <w:keepNext w:val="0"/>
              <w:keepLines w:val="0"/>
              <w:widowControl/>
              <w:suppressLineNumbers w:val="0"/>
              <w:spacing w:before="0" w:beforeAutospacing="0" w:after="0" w:afterAutospacing="0" w:line="273" w:lineRule="auto"/>
              <w:ind w:left="0" w:right="0"/>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bidi="ar"/>
              </w:rPr>
              <w:t>项目负责人（一名）</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bidi="ar"/>
              </w:rPr>
              <w:t>具备高级工程师（信息技术）、软件设计师、国际项目管理专业人士（PMP），每具备其中1个证书得</w:t>
            </w:r>
            <w:r>
              <w:rPr>
                <w:rFonts w:hint="default" w:ascii="宋体" w:hAnsi="宋体" w:cs="宋体"/>
                <w:color w:val="auto"/>
                <w:kern w:val="0"/>
                <w:sz w:val="22"/>
                <w:szCs w:val="22"/>
                <w:lang w:bidi="ar"/>
              </w:rPr>
              <w:t>1</w:t>
            </w: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分，最高</w:t>
            </w:r>
            <w:r>
              <w:rPr>
                <w:rFonts w:hint="default" w:ascii="宋体" w:hAnsi="宋体" w:cs="宋体"/>
                <w:color w:val="auto"/>
                <w:kern w:val="0"/>
                <w:sz w:val="22"/>
                <w:szCs w:val="22"/>
                <w:lang w:bidi="ar"/>
              </w:rPr>
              <w:t>得</w:t>
            </w:r>
            <w:r>
              <w:rPr>
                <w:rFonts w:hint="eastAsia" w:ascii="宋体" w:hAnsi="宋体" w:cs="宋体"/>
                <w:color w:val="auto"/>
                <w:kern w:val="0"/>
                <w:sz w:val="22"/>
                <w:szCs w:val="22"/>
                <w:lang w:val="en-US" w:eastAsia="zh-CN" w:bidi="ar"/>
              </w:rPr>
              <w:t>4.5</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val="en-US" w:eastAsia="zh-CN" w:bidi="ar"/>
              </w:rPr>
              <w:t>；</w:t>
            </w:r>
          </w:p>
          <w:p w14:paraId="7DB9BC9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软件开发负责人（一名）</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bidi="ar"/>
              </w:rPr>
              <w:t>具有信息系统监理师证书、IT服务项目经理、信创集成项目管理师，每个证书得</w:t>
            </w:r>
            <w:r>
              <w:rPr>
                <w:rFonts w:hint="default" w:ascii="宋体" w:hAnsi="宋体" w:cs="宋体"/>
                <w:color w:val="auto"/>
                <w:kern w:val="0"/>
                <w:sz w:val="22"/>
                <w:szCs w:val="22"/>
                <w:lang w:bidi="ar"/>
              </w:rPr>
              <w:t>1</w:t>
            </w:r>
            <w:r>
              <w:rPr>
                <w:rFonts w:hint="eastAsia" w:ascii="宋体" w:hAnsi="宋体" w:cs="宋体"/>
                <w:color w:val="auto"/>
                <w:kern w:val="0"/>
                <w:sz w:val="22"/>
                <w:szCs w:val="22"/>
                <w:lang w:val="en-US" w:eastAsia="zh-CN" w:bidi="ar"/>
              </w:rPr>
              <w:t>.5</w:t>
            </w:r>
            <w:r>
              <w:rPr>
                <w:rFonts w:hint="eastAsia" w:ascii="宋体" w:hAnsi="宋体" w:eastAsia="宋体" w:cs="宋体"/>
                <w:color w:val="auto"/>
                <w:kern w:val="0"/>
                <w:sz w:val="22"/>
                <w:szCs w:val="22"/>
                <w:lang w:bidi="ar"/>
              </w:rPr>
              <w:t>分，最高</w:t>
            </w:r>
            <w:r>
              <w:rPr>
                <w:rFonts w:hint="default" w:ascii="宋体" w:hAnsi="宋体" w:cs="宋体"/>
                <w:color w:val="auto"/>
                <w:kern w:val="0"/>
                <w:sz w:val="22"/>
                <w:szCs w:val="22"/>
                <w:lang w:bidi="ar"/>
              </w:rPr>
              <w:t>得</w:t>
            </w:r>
            <w:r>
              <w:rPr>
                <w:rFonts w:hint="eastAsia" w:ascii="宋体" w:hAnsi="宋体" w:cs="宋体"/>
                <w:color w:val="auto"/>
                <w:kern w:val="0"/>
                <w:sz w:val="22"/>
                <w:szCs w:val="22"/>
                <w:lang w:val="en-US" w:eastAsia="zh-CN" w:bidi="ar"/>
              </w:rPr>
              <w:t>4.5</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val="en-US" w:eastAsia="zh-CN" w:bidi="ar"/>
              </w:rPr>
              <w:t>；</w:t>
            </w:r>
          </w:p>
          <w:p w14:paraId="5170CE4E">
            <w:pPr>
              <w:keepNext w:val="0"/>
              <w:keepLines w:val="0"/>
              <w:widowControl w:val="0"/>
              <w:suppressLineNumbers w:val="0"/>
              <w:spacing w:before="0" w:beforeAutospacing="0" w:after="0" w:afterAutospacing="0"/>
              <w:ind w:left="0" w:right="0"/>
              <w:jc w:val="both"/>
              <w:rPr>
                <w:rFonts w:hint="default" w:ascii="宋体" w:hAnsi="宋体" w:eastAsia="宋体" w:cs="宋体"/>
                <w:color w:val="auto"/>
                <w:sz w:val="22"/>
                <w:szCs w:val="22"/>
                <w:lang w:val="en-US"/>
              </w:rPr>
            </w:pPr>
            <w:r>
              <w:rPr>
                <w:rFonts w:hint="eastAsia" w:ascii="宋体" w:hAnsi="宋体" w:eastAsia="宋体" w:cs="宋体"/>
                <w:color w:val="auto"/>
                <w:kern w:val="0"/>
                <w:sz w:val="22"/>
                <w:szCs w:val="22"/>
                <w:lang w:val="en-US" w:eastAsia="zh-CN" w:bidi="ar"/>
              </w:rPr>
              <w:t>3、运维团队成员中具有高级数据库管理工程师、信息安全工程师（中）、IT服务工程师，</w:t>
            </w:r>
            <w:r>
              <w:rPr>
                <w:rFonts w:hint="eastAsia" w:ascii="宋体" w:hAnsi="宋体" w:eastAsia="宋体" w:cs="宋体"/>
                <w:color w:val="auto"/>
                <w:kern w:val="0"/>
                <w:sz w:val="22"/>
                <w:szCs w:val="22"/>
                <w:lang w:bidi="ar"/>
              </w:rPr>
              <w:t>每</w:t>
            </w:r>
            <w:r>
              <w:rPr>
                <w:rFonts w:hint="eastAsia" w:ascii="宋体" w:hAnsi="宋体" w:cs="宋体"/>
                <w:color w:val="auto"/>
                <w:kern w:val="0"/>
                <w:sz w:val="22"/>
                <w:szCs w:val="22"/>
                <w:lang w:val="en-US" w:eastAsia="zh-CN" w:bidi="ar"/>
              </w:rPr>
              <w:t>种</w:t>
            </w:r>
            <w:r>
              <w:rPr>
                <w:rFonts w:hint="eastAsia" w:ascii="宋体" w:hAnsi="宋体" w:eastAsia="宋体" w:cs="宋体"/>
                <w:color w:val="auto"/>
                <w:kern w:val="0"/>
                <w:sz w:val="22"/>
                <w:szCs w:val="22"/>
                <w:lang w:bidi="ar"/>
              </w:rPr>
              <w:t>证书得1分，</w:t>
            </w:r>
            <w:r>
              <w:rPr>
                <w:rFonts w:hint="eastAsia" w:ascii="宋体" w:hAnsi="宋体" w:eastAsia="宋体" w:cs="宋体"/>
                <w:color w:val="auto"/>
                <w:kern w:val="0"/>
                <w:sz w:val="22"/>
                <w:szCs w:val="22"/>
                <w:lang w:val="en-US" w:eastAsia="zh-CN" w:bidi="ar"/>
              </w:rPr>
              <w:t>可单人多证或多人多证，</w:t>
            </w:r>
            <w:r>
              <w:rPr>
                <w:rFonts w:hint="eastAsia" w:ascii="宋体" w:hAnsi="宋体" w:eastAsia="宋体" w:cs="宋体"/>
                <w:color w:val="auto"/>
                <w:kern w:val="0"/>
                <w:sz w:val="22"/>
                <w:szCs w:val="22"/>
                <w:lang w:bidi="ar"/>
              </w:rPr>
              <w:t>最高</w:t>
            </w:r>
            <w:r>
              <w:rPr>
                <w:rFonts w:hint="default" w:ascii="宋体" w:hAnsi="宋体" w:cs="宋体"/>
                <w:color w:val="auto"/>
                <w:kern w:val="0"/>
                <w:sz w:val="22"/>
                <w:szCs w:val="22"/>
                <w:lang w:bidi="ar"/>
              </w:rPr>
              <w:t>得3</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val="en-US" w:eastAsia="zh-CN" w:bidi="ar"/>
              </w:rPr>
              <w:t>；</w:t>
            </w:r>
          </w:p>
          <w:p w14:paraId="207C5900">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投标文件中</w:t>
            </w:r>
            <w:r>
              <w:rPr>
                <w:rFonts w:hint="eastAsia" w:ascii="宋体" w:hAnsi="宋体" w:eastAsia="宋体" w:cs="宋体"/>
                <w:color w:val="auto"/>
                <w:kern w:val="0"/>
                <w:sz w:val="22"/>
                <w:szCs w:val="22"/>
                <w:lang w:val="en-US" w:eastAsia="zh-CN" w:bidi="ar"/>
              </w:rPr>
              <w:t>明确人员岗位，提供</w:t>
            </w:r>
            <w:r>
              <w:rPr>
                <w:rFonts w:hint="eastAsia" w:ascii="宋体" w:hAnsi="宋体" w:eastAsia="宋体" w:cs="宋体"/>
                <w:color w:val="auto"/>
                <w:kern w:val="0"/>
                <w:sz w:val="22"/>
                <w:szCs w:val="22"/>
                <w:lang w:bidi="ar"/>
              </w:rPr>
              <w:t>开标前3个月社保缴纳证明</w:t>
            </w:r>
            <w:r>
              <w:rPr>
                <w:rFonts w:hint="default" w:ascii="宋体" w:hAnsi="宋体" w:cs="宋体"/>
                <w:color w:val="auto"/>
                <w:kern w:val="0"/>
                <w:sz w:val="22"/>
                <w:szCs w:val="22"/>
                <w:lang w:bidi="ar"/>
              </w:rPr>
              <w:t>和</w:t>
            </w:r>
            <w:r>
              <w:rPr>
                <w:rFonts w:hint="eastAsia" w:ascii="宋体" w:hAnsi="宋体" w:eastAsia="宋体" w:cs="宋体"/>
                <w:color w:val="auto"/>
                <w:kern w:val="0"/>
                <w:sz w:val="22"/>
                <w:szCs w:val="22"/>
                <w:lang w:bidi="ar"/>
              </w:rPr>
              <w:t>相关证书扫描件</w:t>
            </w:r>
            <w:r>
              <w:rPr>
                <w:rFonts w:hint="eastAsia" w:ascii="宋体" w:hAnsi="宋体" w:cs="宋体"/>
                <w:color w:val="auto"/>
                <w:kern w:val="0"/>
                <w:sz w:val="22"/>
                <w:szCs w:val="22"/>
                <w:lang w:val="en-US" w:eastAsia="zh-CN" w:bidi="ar"/>
              </w:rPr>
              <w:t>并加盖投标单位公章</w:t>
            </w:r>
            <w:r>
              <w:rPr>
                <w:rFonts w:hint="eastAsia" w:ascii="宋体" w:hAnsi="宋体" w:eastAsia="宋体" w:cs="宋体"/>
                <w:color w:val="auto"/>
                <w:kern w:val="0"/>
                <w:sz w:val="22"/>
                <w:szCs w:val="22"/>
                <w:lang w:bidi="ar"/>
              </w:rPr>
              <w:t>。</w:t>
            </w:r>
          </w:p>
        </w:tc>
        <w:tc>
          <w:tcPr>
            <w:tcW w:w="675" w:type="dxa"/>
            <w:vAlign w:val="center"/>
          </w:tcPr>
          <w:p w14:paraId="094C86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微软雅黑"/>
                <w:color w:val="auto"/>
                <w:kern w:val="0"/>
                <w:sz w:val="22"/>
                <w:szCs w:val="22"/>
                <w:lang w:val="en-US" w:eastAsia="zh-CN" w:bidi="ar"/>
              </w:rPr>
            </w:pPr>
            <w:r>
              <w:rPr>
                <w:rFonts w:hint="eastAsia" w:ascii="宋体" w:hAnsi="宋体" w:cs="微软雅黑"/>
                <w:color w:val="auto"/>
                <w:kern w:val="0"/>
                <w:sz w:val="22"/>
                <w:szCs w:val="22"/>
                <w:lang w:val="en-US" w:eastAsia="zh-CN" w:bidi="ar"/>
              </w:rPr>
              <w:t>12</w:t>
            </w:r>
          </w:p>
        </w:tc>
      </w:tr>
      <w:tr w14:paraId="1CAD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5" w:type="dxa"/>
            <w:vAlign w:val="center"/>
          </w:tcPr>
          <w:p w14:paraId="16673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w:t>
            </w:r>
          </w:p>
        </w:tc>
        <w:tc>
          <w:tcPr>
            <w:tcW w:w="1410" w:type="dxa"/>
            <w:vAlign w:val="center"/>
          </w:tcPr>
          <w:p w14:paraId="2C66F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同类项目业绩</w:t>
            </w:r>
          </w:p>
        </w:tc>
        <w:tc>
          <w:tcPr>
            <w:tcW w:w="6190" w:type="dxa"/>
            <w:vAlign w:val="center"/>
          </w:tcPr>
          <w:p w14:paraId="24B10A80">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根据磋商供应商202</w:t>
            </w: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bidi="ar"/>
              </w:rPr>
              <w:t>年1月1日以来签订的同类项目业绩，每提供一个得1分，本项最高</w:t>
            </w:r>
            <w:r>
              <w:rPr>
                <w:rFonts w:hint="eastAsia" w:ascii="宋体" w:hAnsi="宋体" w:eastAsia="宋体" w:cs="宋体"/>
                <w:color w:val="auto"/>
                <w:kern w:val="0"/>
                <w:sz w:val="22"/>
                <w:szCs w:val="22"/>
                <w:lang w:val="en-US" w:eastAsia="zh-CN" w:bidi="ar"/>
              </w:rPr>
              <w:t>1</w:t>
            </w:r>
            <w:r>
              <w:rPr>
                <w:rFonts w:hint="eastAsia" w:ascii="宋体" w:hAnsi="宋体" w:eastAsia="宋体" w:cs="宋体"/>
                <w:color w:val="auto"/>
                <w:kern w:val="0"/>
                <w:sz w:val="22"/>
                <w:szCs w:val="22"/>
                <w:lang w:bidi="ar"/>
              </w:rPr>
              <w:t>分。（提供合同复印件，加盖公章）</w:t>
            </w:r>
          </w:p>
        </w:tc>
        <w:tc>
          <w:tcPr>
            <w:tcW w:w="675" w:type="dxa"/>
            <w:vAlign w:val="center"/>
          </w:tcPr>
          <w:p w14:paraId="3D047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微软雅黑"/>
                <w:color w:val="auto"/>
                <w:kern w:val="0"/>
                <w:sz w:val="22"/>
                <w:szCs w:val="22"/>
                <w:lang w:eastAsia="zh-CN" w:bidi="ar"/>
              </w:rPr>
            </w:pPr>
            <w:r>
              <w:rPr>
                <w:rFonts w:hint="eastAsia" w:ascii="宋体" w:hAnsi="宋体" w:cs="微软雅黑"/>
                <w:color w:val="auto"/>
                <w:kern w:val="0"/>
                <w:sz w:val="22"/>
                <w:szCs w:val="22"/>
                <w:lang w:val="en-US" w:eastAsia="zh-CN" w:bidi="ar"/>
              </w:rPr>
              <w:t>1</w:t>
            </w:r>
          </w:p>
        </w:tc>
      </w:tr>
      <w:tr w14:paraId="57661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85" w:type="dxa"/>
            <w:vAlign w:val="center"/>
          </w:tcPr>
          <w:p w14:paraId="793D5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4</w:t>
            </w:r>
          </w:p>
        </w:tc>
        <w:tc>
          <w:tcPr>
            <w:tcW w:w="1410" w:type="dxa"/>
            <w:vAlign w:val="center"/>
          </w:tcPr>
          <w:p w14:paraId="7557B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针对本项目的理解</w:t>
            </w:r>
          </w:p>
        </w:tc>
        <w:tc>
          <w:tcPr>
            <w:tcW w:w="6190" w:type="dxa"/>
            <w:vAlign w:val="center"/>
          </w:tcPr>
          <w:p w14:paraId="3A9781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根据投标人对温州市机关协同办公系统的基本情况、现状、功能定位及相关维保工作的理解描述情况进行综合打分。</w:t>
            </w:r>
            <w:r>
              <w:rPr>
                <w:rFonts w:hint="eastAsia" w:ascii="宋体" w:hAnsi="宋体" w:eastAsia="宋体" w:cs="宋体"/>
                <w:color w:val="auto"/>
                <w:kern w:val="0"/>
                <w:sz w:val="22"/>
                <w:szCs w:val="22"/>
                <w:lang w:val="en-US" w:eastAsia="zh-CN" w:bidi="ar"/>
              </w:rPr>
              <w:t>综合评价量化打分（评分范围：5,3,1,0）</w:t>
            </w:r>
          </w:p>
        </w:tc>
        <w:tc>
          <w:tcPr>
            <w:tcW w:w="675" w:type="dxa"/>
            <w:vAlign w:val="center"/>
          </w:tcPr>
          <w:p w14:paraId="28DEA2A7">
            <w:pPr>
              <w:keepNext w:val="0"/>
              <w:keepLines w:val="0"/>
              <w:widowControl/>
              <w:suppressLineNumbers w:val="0"/>
              <w:spacing w:before="0" w:beforeAutospacing="0" w:after="0" w:afterAutospacing="0"/>
              <w:ind w:left="0" w:right="0"/>
              <w:jc w:val="center"/>
              <w:textAlignment w:val="center"/>
              <w:rPr>
                <w:rFonts w:hint="eastAsia" w:ascii="宋体" w:hAnsi="宋体" w:cs="微软雅黑"/>
                <w:color w:val="auto"/>
                <w:kern w:val="0"/>
                <w:sz w:val="22"/>
                <w:szCs w:val="22"/>
                <w:lang w:bidi="ar"/>
              </w:rPr>
            </w:pPr>
            <w:r>
              <w:rPr>
                <w:rFonts w:hint="default" w:ascii="宋体" w:hAnsi="宋体" w:cs="微软雅黑"/>
                <w:color w:val="auto"/>
                <w:kern w:val="0"/>
                <w:sz w:val="22"/>
                <w:szCs w:val="22"/>
                <w:lang w:bidi="ar"/>
              </w:rPr>
              <w:t>5</w:t>
            </w:r>
          </w:p>
        </w:tc>
      </w:tr>
      <w:tr w14:paraId="7590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5" w:type="dxa"/>
            <w:vAlign w:val="center"/>
          </w:tcPr>
          <w:p w14:paraId="32514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p>
        </w:tc>
        <w:tc>
          <w:tcPr>
            <w:tcW w:w="1410" w:type="dxa"/>
            <w:vAlign w:val="center"/>
          </w:tcPr>
          <w:p w14:paraId="661A6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highlight w:val="none"/>
                <w:lang w:bidi="ar"/>
              </w:rPr>
              <w:t>运维及运营总体方案</w:t>
            </w:r>
          </w:p>
        </w:tc>
        <w:tc>
          <w:tcPr>
            <w:tcW w:w="6190" w:type="dxa"/>
            <w:vAlign w:val="center"/>
          </w:tcPr>
          <w:p w14:paraId="0112A3E0">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投标人运维及运营服务方案包含：</w:t>
            </w:r>
          </w:p>
          <w:p w14:paraId="0D4408BC">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1、日常运维方案、措施和制度</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val="en-US" w:eastAsia="zh-CN" w:bidi="ar"/>
              </w:rPr>
              <w:t>综合评价量化打分（评分范围：5,3,1,0）</w:t>
            </w:r>
          </w:p>
          <w:p w14:paraId="2828FF6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2、运行维护文档情况</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val="en-US" w:eastAsia="zh-CN" w:bidi="ar"/>
              </w:rPr>
              <w:t>综合评价量化打分（评分范围：4,2,1,0）</w:t>
            </w:r>
          </w:p>
          <w:p w14:paraId="086A9A85">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3、故障分析处理及预防、应急措施等内容；</w:t>
            </w:r>
            <w:r>
              <w:rPr>
                <w:rFonts w:hint="eastAsia" w:ascii="宋体" w:hAnsi="宋体" w:eastAsia="宋体" w:cs="宋体"/>
                <w:color w:val="auto"/>
                <w:kern w:val="0"/>
                <w:sz w:val="22"/>
                <w:szCs w:val="22"/>
                <w:lang w:val="en-US" w:eastAsia="zh-CN" w:bidi="ar"/>
              </w:rPr>
              <w:t>综合评价量化打分（评分范围：4,2,1,0）</w:t>
            </w:r>
          </w:p>
          <w:p w14:paraId="7D09C7F1">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bidi="ar"/>
              </w:rPr>
              <w:t>4</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业务配置</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val="en-US" w:eastAsia="zh-CN" w:bidi="ar"/>
              </w:rPr>
              <w:t>综合评价量化打分（评分范围：4,2,1,0）</w:t>
            </w:r>
          </w:p>
          <w:p w14:paraId="3C2B8933">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r>
              <w:rPr>
                <w:rFonts w:hint="eastAsia"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bidi="ar"/>
              </w:rPr>
              <w:t>根据是否有完善运维服务保障能力，是否有稳定的技术服务团队、本地化服务能力等方面进行综合评分</w:t>
            </w:r>
            <w:r>
              <w:rPr>
                <w:rFonts w:hint="default" w:ascii="宋体" w:hAnsi="宋体" w:cs="宋体"/>
                <w:color w:val="auto"/>
                <w:kern w:val="0"/>
                <w:sz w:val="22"/>
                <w:szCs w:val="22"/>
                <w:lang w:bidi="ar"/>
              </w:rPr>
              <w:t>，</w:t>
            </w:r>
            <w:r>
              <w:rPr>
                <w:rFonts w:hint="eastAsia" w:ascii="宋体" w:hAnsi="宋体" w:eastAsia="宋体" w:cs="宋体"/>
                <w:color w:val="auto"/>
                <w:kern w:val="0"/>
                <w:sz w:val="22"/>
                <w:szCs w:val="22"/>
                <w:lang w:val="en-US" w:eastAsia="zh-CN" w:bidi="ar"/>
              </w:rPr>
              <w:t>综合评价量化打分（评分范围：4,2,1,0）</w:t>
            </w:r>
          </w:p>
        </w:tc>
        <w:tc>
          <w:tcPr>
            <w:tcW w:w="675" w:type="dxa"/>
            <w:vAlign w:val="center"/>
          </w:tcPr>
          <w:p w14:paraId="7FC64EED">
            <w:pPr>
              <w:keepNext w:val="0"/>
              <w:keepLines w:val="0"/>
              <w:widowControl/>
              <w:suppressLineNumbers w:val="0"/>
              <w:spacing w:before="0" w:beforeAutospacing="0" w:after="0" w:afterAutospacing="0"/>
              <w:ind w:left="0" w:right="0"/>
              <w:jc w:val="center"/>
              <w:textAlignment w:val="center"/>
              <w:rPr>
                <w:rFonts w:hint="eastAsia" w:ascii="宋体" w:hAnsi="宋体" w:cs="微软雅黑"/>
                <w:color w:val="auto"/>
                <w:kern w:val="0"/>
                <w:sz w:val="22"/>
                <w:szCs w:val="22"/>
                <w:lang w:bidi="ar"/>
              </w:rPr>
            </w:pPr>
            <w:r>
              <w:rPr>
                <w:rFonts w:hint="default" w:ascii="宋体" w:hAnsi="宋体" w:cs="微软雅黑"/>
                <w:color w:val="auto"/>
                <w:kern w:val="0"/>
                <w:sz w:val="22"/>
                <w:szCs w:val="22"/>
                <w:lang w:bidi="ar"/>
              </w:rPr>
              <w:t>21</w:t>
            </w:r>
          </w:p>
        </w:tc>
      </w:tr>
      <w:tr w14:paraId="49B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jc w:val="center"/>
        </w:trPr>
        <w:tc>
          <w:tcPr>
            <w:tcW w:w="785" w:type="dxa"/>
            <w:noWrap/>
            <w:vAlign w:val="center"/>
          </w:tcPr>
          <w:p w14:paraId="781CE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6</w:t>
            </w:r>
          </w:p>
        </w:tc>
        <w:tc>
          <w:tcPr>
            <w:tcW w:w="1410" w:type="dxa"/>
            <w:shd w:val="clear" w:color="auto" w:fill="auto"/>
            <w:noWrap/>
            <w:vAlign w:val="center"/>
          </w:tcPr>
          <w:p w14:paraId="1F97C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highlight w:val="none"/>
                <w:lang w:bidi="ar"/>
              </w:rPr>
              <w:t>功能优化和实施部署说明</w:t>
            </w:r>
          </w:p>
        </w:tc>
        <w:tc>
          <w:tcPr>
            <w:tcW w:w="6190" w:type="dxa"/>
            <w:vAlign w:val="center"/>
          </w:tcPr>
          <w:p w14:paraId="055C1F8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根据供应商提供的功能优化及实施部署说明进行打分：</w:t>
            </w:r>
          </w:p>
          <w:p w14:paraId="7C36ABF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1、某单位需要新增平板OA公文待办列表</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根据紧急程度进行排序的功能</w:t>
            </w:r>
            <w:r>
              <w:rPr>
                <w:rFonts w:hint="default" w:ascii="宋体" w:hAnsi="宋体" w:eastAsia="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p>
          <w:p w14:paraId="6065AC2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2、某单位需要修改收文流程，原先</w:t>
            </w:r>
            <w:r>
              <w:rPr>
                <w:rFonts w:hint="eastAsia" w:ascii="宋体" w:hAnsi="宋体" w:eastAsia="宋体" w:cs="宋体"/>
                <w:color w:val="auto"/>
                <w:kern w:val="0"/>
                <w:sz w:val="22"/>
                <w:szCs w:val="22"/>
                <w:highlight w:val="none"/>
                <w:lang w:val="en-US" w:eastAsia="zh-CN" w:bidi="ar"/>
              </w:rPr>
              <w:t>流程是先送审阅后送办理，修改成送审阅同时送办理，</w:t>
            </w:r>
            <w:r>
              <w:rPr>
                <w:rFonts w:hint="eastAsia" w:ascii="宋体" w:hAnsi="宋体" w:eastAsia="宋体" w:cs="宋体"/>
                <w:color w:val="auto"/>
                <w:kern w:val="0"/>
                <w:sz w:val="22"/>
                <w:szCs w:val="22"/>
                <w:lang w:val="en-US" w:eastAsia="zh-CN" w:bidi="ar"/>
              </w:rPr>
              <w:t>提高办文效率</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r>
              <w:rPr>
                <w:rFonts w:hint="eastAsia" w:ascii="宋体" w:hAnsi="宋体" w:cs="宋体"/>
                <w:color w:val="auto"/>
                <w:kern w:val="0"/>
                <w:sz w:val="22"/>
                <w:szCs w:val="22"/>
                <w:lang w:val="en-US" w:eastAsia="zh-CN" w:bidi="ar"/>
              </w:rPr>
              <w:t>。</w:t>
            </w:r>
          </w:p>
          <w:p w14:paraId="04919B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3、某单位需要新增内部文件库，上传文件后本单位人员都有权限可以查询</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合评价量化打分（评分范围：4,2,1,0）</w:t>
            </w:r>
            <w:r>
              <w:rPr>
                <w:rFonts w:hint="eastAsia" w:ascii="宋体" w:hAnsi="宋体" w:cs="宋体"/>
                <w:color w:val="auto"/>
                <w:kern w:val="0"/>
                <w:sz w:val="22"/>
                <w:szCs w:val="22"/>
                <w:lang w:val="en-US" w:eastAsia="zh-CN" w:bidi="ar"/>
              </w:rPr>
              <w:t>。</w:t>
            </w:r>
          </w:p>
          <w:p w14:paraId="7F4DE25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4、某单位需要新增平板OA公文签批流程</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r>
              <w:rPr>
                <w:rFonts w:hint="eastAsia" w:ascii="宋体" w:hAnsi="宋体" w:cs="宋体"/>
                <w:color w:val="auto"/>
                <w:kern w:val="0"/>
                <w:sz w:val="22"/>
                <w:szCs w:val="22"/>
                <w:lang w:val="en-US" w:eastAsia="zh-CN" w:bidi="ar"/>
              </w:rPr>
              <w:t>。</w:t>
            </w:r>
          </w:p>
          <w:p w14:paraId="11C9F6E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5、某单位需要新增收发文内部公文流转流程</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r>
              <w:rPr>
                <w:rFonts w:hint="eastAsia" w:ascii="宋体" w:hAnsi="宋体" w:cs="宋体"/>
                <w:color w:val="auto"/>
                <w:kern w:val="0"/>
                <w:sz w:val="22"/>
                <w:szCs w:val="22"/>
                <w:lang w:val="en-US" w:eastAsia="zh-CN" w:bidi="ar"/>
              </w:rPr>
              <w:t>。</w:t>
            </w:r>
          </w:p>
          <w:p w14:paraId="3410BB7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6、某单位需要新增处室内部拟稿签发流程</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r>
              <w:rPr>
                <w:rFonts w:hint="eastAsia" w:ascii="宋体" w:hAnsi="宋体" w:cs="宋体"/>
                <w:color w:val="auto"/>
                <w:kern w:val="0"/>
                <w:sz w:val="22"/>
                <w:szCs w:val="22"/>
                <w:lang w:val="en-US" w:eastAsia="zh-CN" w:bidi="ar"/>
              </w:rPr>
              <w:t>。</w:t>
            </w:r>
          </w:p>
          <w:p w14:paraId="712FFB2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val="en-US" w:eastAsia="zh-CN" w:bidi="ar"/>
              </w:rPr>
              <w:t>7、某单位需要新增接待方案审批流程</w:t>
            </w:r>
            <w:r>
              <w:rPr>
                <w:rFonts w:hint="default" w:ascii="宋体" w:hAnsi="宋体" w:cs="宋体"/>
                <w:color w:val="auto"/>
                <w:kern w:val="0"/>
                <w:sz w:val="22"/>
                <w:szCs w:val="22"/>
                <w:lang w:eastAsia="zh-CN" w:bidi="ar"/>
              </w:rPr>
              <w:t>，</w:t>
            </w:r>
            <w:r>
              <w:rPr>
                <w:rFonts w:hint="eastAsia" w:ascii="宋体" w:hAnsi="宋体" w:eastAsia="宋体" w:cs="宋体"/>
                <w:color w:val="auto"/>
                <w:kern w:val="0"/>
                <w:sz w:val="22"/>
                <w:szCs w:val="22"/>
                <w:lang w:val="en-US" w:eastAsia="zh-CN" w:bidi="ar"/>
              </w:rPr>
              <w:t>综合评价量化打分（评分范围：4,2,1,0）</w:t>
            </w:r>
            <w:r>
              <w:rPr>
                <w:rFonts w:hint="eastAsia" w:ascii="宋体" w:hAnsi="宋体" w:cs="宋体"/>
                <w:color w:val="auto"/>
                <w:kern w:val="0"/>
                <w:sz w:val="22"/>
                <w:szCs w:val="22"/>
                <w:lang w:val="en-US" w:eastAsia="zh-CN" w:bidi="ar"/>
              </w:rPr>
              <w:t>。</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highlight w:val="none"/>
                <w:lang w:bidi="ar"/>
              </w:rPr>
              <w:t xml:space="preserve">   </w:t>
            </w:r>
            <w:r>
              <w:rPr>
                <w:rFonts w:hint="eastAsia" w:ascii="宋体" w:hAnsi="宋体" w:eastAsia="宋体" w:cs="宋体"/>
                <w:color w:val="auto"/>
                <w:kern w:val="0"/>
                <w:sz w:val="22"/>
                <w:szCs w:val="22"/>
                <w:lang w:bidi="ar"/>
              </w:rPr>
              <w:t xml:space="preserve">                 </w:t>
            </w:r>
          </w:p>
        </w:tc>
        <w:tc>
          <w:tcPr>
            <w:tcW w:w="675" w:type="dxa"/>
            <w:noWrap/>
            <w:vAlign w:val="center"/>
          </w:tcPr>
          <w:p w14:paraId="3CAAA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微软雅黑"/>
                <w:color w:val="auto"/>
                <w:kern w:val="0"/>
                <w:sz w:val="22"/>
                <w:szCs w:val="22"/>
                <w:lang w:eastAsia="zh-CN" w:bidi="ar"/>
              </w:rPr>
            </w:pPr>
            <w:r>
              <w:rPr>
                <w:rFonts w:hint="default" w:ascii="宋体" w:hAnsi="宋体" w:cs="微软雅黑"/>
                <w:color w:val="auto"/>
                <w:kern w:val="0"/>
                <w:sz w:val="22"/>
                <w:szCs w:val="22"/>
                <w:lang w:eastAsia="zh-CN" w:bidi="ar"/>
              </w:rPr>
              <w:t>28</w:t>
            </w:r>
          </w:p>
        </w:tc>
      </w:tr>
      <w:tr w14:paraId="4C60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85" w:type="dxa"/>
            <w:noWrap/>
            <w:vAlign w:val="center"/>
          </w:tcPr>
          <w:p w14:paraId="68E35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7</w:t>
            </w:r>
          </w:p>
        </w:tc>
        <w:tc>
          <w:tcPr>
            <w:tcW w:w="1410" w:type="dxa"/>
            <w:noWrap/>
            <w:vAlign w:val="center"/>
          </w:tcPr>
          <w:p w14:paraId="10C7E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巡检方案</w:t>
            </w:r>
          </w:p>
        </w:tc>
        <w:tc>
          <w:tcPr>
            <w:tcW w:w="6190" w:type="dxa"/>
            <w:vAlign w:val="center"/>
          </w:tcPr>
          <w:p w14:paraId="0BC4C384">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根据供应商对应用、数据库等系统的测试、巡检方案进行综合打分：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1、根据供应商对应用、数据库等系统的测试、巡检方案符合本项目要求且具有科学性、可行性、合理性得</w:t>
            </w:r>
            <w:r>
              <w:rPr>
                <w:rFonts w:hint="eastAsia" w:ascii="宋体" w:hAnsi="宋体" w:eastAsia="宋体" w:cs="宋体"/>
                <w:color w:val="auto"/>
                <w:kern w:val="0"/>
                <w:sz w:val="22"/>
                <w:szCs w:val="22"/>
                <w:lang w:val="en-US" w:eastAsia="zh-CN" w:bidi="ar"/>
              </w:rPr>
              <w:t>6</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2、根据供应商对应用、数据库等系统的测试、巡检方案基本符合本项目要求的得</w:t>
            </w:r>
            <w:r>
              <w:rPr>
                <w:rFonts w:hint="eastAsia" w:ascii="宋体" w:hAnsi="宋体" w:eastAsia="宋体" w:cs="宋体"/>
                <w:color w:val="auto"/>
                <w:kern w:val="0"/>
                <w:sz w:val="22"/>
                <w:szCs w:val="22"/>
                <w:lang w:val="en-US" w:eastAsia="zh-CN" w:bidi="ar"/>
              </w:rPr>
              <w:t>4</w:t>
            </w:r>
            <w:r>
              <w:rPr>
                <w:rFonts w:hint="eastAsia" w:ascii="宋体" w:hAnsi="宋体" w:eastAsia="宋体" w:cs="宋体"/>
                <w:color w:val="auto"/>
                <w:kern w:val="0"/>
                <w:sz w:val="22"/>
                <w:szCs w:val="22"/>
                <w:lang w:bidi="ar"/>
              </w:rPr>
              <w:t>分；</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3、根据供应商对应用、数据库等系统的测试、巡检方案部分符合本项目要求的得</w:t>
            </w:r>
            <w:r>
              <w:rPr>
                <w:rFonts w:hint="eastAsia" w:ascii="宋体" w:hAnsi="宋体" w:eastAsia="宋体" w:cs="宋体"/>
                <w:color w:val="auto"/>
                <w:kern w:val="0"/>
                <w:sz w:val="22"/>
                <w:szCs w:val="22"/>
                <w:lang w:val="en-US" w:eastAsia="zh-CN" w:bidi="ar"/>
              </w:rPr>
              <w:t>2</w:t>
            </w:r>
            <w:r>
              <w:rPr>
                <w:rFonts w:hint="eastAsia" w:ascii="宋体" w:hAnsi="宋体" w:eastAsia="宋体" w:cs="宋体"/>
                <w:color w:val="auto"/>
                <w:kern w:val="0"/>
                <w:sz w:val="22"/>
                <w:szCs w:val="22"/>
                <w:lang w:bidi="ar"/>
              </w:rPr>
              <w:t>分。</w:t>
            </w:r>
          </w:p>
          <w:p w14:paraId="4F24BC9B">
            <w:pPr>
              <w:pStyle w:val="2"/>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bidi="ar"/>
              </w:rPr>
              <w:t>4、不提供方案的，不得分。</w:t>
            </w:r>
          </w:p>
        </w:tc>
        <w:tc>
          <w:tcPr>
            <w:tcW w:w="675" w:type="dxa"/>
            <w:noWrap/>
            <w:vAlign w:val="center"/>
          </w:tcPr>
          <w:p w14:paraId="1E1304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微软雅黑"/>
                <w:color w:val="auto"/>
                <w:kern w:val="0"/>
                <w:sz w:val="22"/>
                <w:szCs w:val="22"/>
                <w:lang w:val="en-US" w:eastAsia="zh-CN" w:bidi="ar"/>
              </w:rPr>
            </w:pPr>
            <w:r>
              <w:rPr>
                <w:rFonts w:hint="eastAsia" w:ascii="宋体" w:hAnsi="宋体" w:eastAsia="宋体" w:cs="微软雅黑"/>
                <w:color w:val="auto"/>
                <w:kern w:val="0"/>
                <w:sz w:val="22"/>
                <w:szCs w:val="22"/>
                <w:lang w:val="en-US" w:eastAsia="zh-CN" w:bidi="ar"/>
              </w:rPr>
              <w:t>6</w:t>
            </w:r>
          </w:p>
        </w:tc>
      </w:tr>
      <w:tr w14:paraId="6A62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5" w:type="dxa"/>
            <w:noWrap/>
            <w:vAlign w:val="center"/>
          </w:tcPr>
          <w:p w14:paraId="0771C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8</w:t>
            </w:r>
          </w:p>
        </w:tc>
        <w:tc>
          <w:tcPr>
            <w:tcW w:w="1410" w:type="dxa"/>
            <w:noWrap/>
            <w:vAlign w:val="center"/>
          </w:tcPr>
          <w:p w14:paraId="1B78B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服务质量</w:t>
            </w:r>
          </w:p>
        </w:tc>
        <w:tc>
          <w:tcPr>
            <w:tcW w:w="6190" w:type="dxa"/>
            <w:vAlign w:val="center"/>
          </w:tcPr>
          <w:p w14:paraId="3C778E23">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根据提供的服务质量承诺，安全管理办法、工程师现场操作规范、硬件设备的安全操作等保证措施进行综合打分：</w:t>
            </w:r>
            <w:r>
              <w:rPr>
                <w:rFonts w:hint="eastAsia" w:ascii="宋体" w:hAnsi="宋体" w:eastAsia="宋体" w:cs="宋体"/>
                <w:color w:val="auto"/>
                <w:kern w:val="0"/>
                <w:sz w:val="22"/>
                <w:szCs w:val="22"/>
              </w:rPr>
              <w:br w:type="textWrapping"/>
            </w: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rPr>
              <w:t>根据磋商供应商对服务质量的承诺、保证措施符合本项目要求且具有科学性、可行性、合理性得</w:t>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rPr>
              <w:br w:type="textWrapping"/>
            </w: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根据磋商供应商对服务质量的承诺、保证措施基本符合本项要求的得</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rPr>
              <w:br w:type="textWrapping"/>
            </w:r>
            <w:r>
              <w:rPr>
                <w:rFonts w:hint="eastAsia" w:ascii="宋体" w:hAnsi="宋体" w:cs="宋体"/>
                <w:color w:val="auto"/>
                <w:kern w:val="0"/>
                <w:sz w:val="22"/>
                <w:szCs w:val="22"/>
                <w:lang w:val="en-US" w:eastAsia="zh-CN"/>
              </w:rPr>
              <w:t>3、</w:t>
            </w:r>
            <w:r>
              <w:rPr>
                <w:rFonts w:hint="eastAsia" w:ascii="宋体" w:hAnsi="宋体" w:eastAsia="宋体" w:cs="宋体"/>
                <w:color w:val="auto"/>
                <w:kern w:val="0"/>
                <w:sz w:val="22"/>
                <w:szCs w:val="22"/>
              </w:rPr>
              <w:t>根据磋商供应商对服务质量的承诺、保证措施部分符合本项目要求的得</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p>
          <w:p w14:paraId="24E347FC">
            <w:pPr>
              <w:pStyle w:val="2"/>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4、不提供方案的，不得分。</w:t>
            </w:r>
          </w:p>
        </w:tc>
        <w:tc>
          <w:tcPr>
            <w:tcW w:w="675" w:type="dxa"/>
            <w:noWrap/>
            <w:vAlign w:val="center"/>
          </w:tcPr>
          <w:p w14:paraId="47ED98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微软雅黑"/>
                <w:color w:val="auto"/>
                <w:kern w:val="0"/>
                <w:sz w:val="22"/>
                <w:szCs w:val="22"/>
                <w:lang w:val="en-US" w:eastAsia="zh-CN" w:bidi="ar"/>
              </w:rPr>
            </w:pPr>
            <w:r>
              <w:rPr>
                <w:rFonts w:hint="eastAsia" w:ascii="宋体" w:hAnsi="宋体" w:eastAsia="宋体" w:cs="微软雅黑"/>
                <w:color w:val="auto"/>
                <w:kern w:val="0"/>
                <w:sz w:val="22"/>
                <w:szCs w:val="22"/>
                <w:lang w:val="en-US" w:eastAsia="zh-CN" w:bidi="ar"/>
              </w:rPr>
              <w:t>6</w:t>
            </w:r>
          </w:p>
        </w:tc>
      </w:tr>
      <w:tr w14:paraId="6B18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85" w:type="dxa"/>
            <w:noWrap/>
            <w:vAlign w:val="center"/>
          </w:tcPr>
          <w:p w14:paraId="37E59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9</w:t>
            </w:r>
          </w:p>
        </w:tc>
        <w:tc>
          <w:tcPr>
            <w:tcW w:w="1410" w:type="dxa"/>
            <w:noWrap/>
            <w:vAlign w:val="center"/>
          </w:tcPr>
          <w:p w14:paraId="6353E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管理制度</w:t>
            </w:r>
          </w:p>
        </w:tc>
        <w:tc>
          <w:tcPr>
            <w:tcW w:w="6190" w:type="dxa"/>
            <w:vAlign w:val="center"/>
          </w:tcPr>
          <w:p w14:paraId="3DCD5418">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根据供应商是否具有严格的服务管理制度、维保操作规程及切实可行的考核办法进行综合打分：</w:t>
            </w:r>
          </w:p>
          <w:p w14:paraId="45F67B0A">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1、</w:t>
            </w:r>
            <w:r>
              <w:rPr>
                <w:rFonts w:hint="eastAsia" w:ascii="宋体" w:hAnsi="宋体" w:eastAsia="宋体" w:cs="宋体"/>
                <w:color w:val="auto"/>
                <w:kern w:val="0"/>
                <w:sz w:val="22"/>
                <w:szCs w:val="22"/>
              </w:rPr>
              <w:t>供应商管理体制符合本项目要求且具有科学性、可行性、合理性得</w:t>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分；</w:t>
            </w:r>
          </w:p>
          <w:p w14:paraId="18D985C3">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rPr>
            </w:pPr>
            <w:r>
              <w:rPr>
                <w:rFonts w:hint="eastAsia" w:ascii="宋体" w:hAnsi="宋体" w:cs="宋体"/>
                <w:color w:val="auto"/>
                <w:kern w:val="0"/>
                <w:sz w:val="22"/>
                <w:szCs w:val="22"/>
                <w:lang w:val="en-US" w:eastAsia="zh-CN"/>
              </w:rPr>
              <w:t>2、</w:t>
            </w:r>
            <w:r>
              <w:rPr>
                <w:rFonts w:hint="eastAsia" w:ascii="宋体" w:hAnsi="宋体" w:eastAsia="宋体" w:cs="宋体"/>
                <w:color w:val="auto"/>
                <w:kern w:val="0"/>
                <w:sz w:val="22"/>
                <w:szCs w:val="22"/>
              </w:rPr>
              <w:t>供应商管理体制基本符合本项目要求的得</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分；</w:t>
            </w:r>
          </w:p>
          <w:p w14:paraId="52F287A8">
            <w:pPr>
              <w:keepNext w:val="0"/>
              <w:keepLines w:val="0"/>
              <w:widowControl/>
              <w:suppressLineNumbers w:val="0"/>
              <w:spacing w:before="0" w:beforeAutospacing="0" w:after="0" w:afterAutospacing="0" w:line="276" w:lineRule="auto"/>
              <w:ind w:left="0" w:right="0"/>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3、</w:t>
            </w:r>
            <w:r>
              <w:rPr>
                <w:rFonts w:hint="eastAsia" w:ascii="宋体" w:hAnsi="宋体" w:eastAsia="宋体" w:cs="宋体"/>
                <w:color w:val="auto"/>
                <w:kern w:val="0"/>
                <w:sz w:val="22"/>
                <w:szCs w:val="22"/>
              </w:rPr>
              <w:t>供应商管理体制部分符合本项目要求的得</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lang w:eastAsia="zh-CN"/>
              </w:rPr>
              <w:t>；</w:t>
            </w:r>
          </w:p>
          <w:p w14:paraId="48CCBC98">
            <w:pPr>
              <w:pStyle w:val="2"/>
              <w:keepNext w:val="0"/>
              <w:keepLines w:val="0"/>
              <w:suppressLineNumbers w:val="0"/>
              <w:spacing w:before="0" w:beforeAutospacing="0" w:afterAutospacing="0"/>
              <w:ind w:left="0" w:leftChars="0" w:right="0" w:firstLine="0" w:firstLineChars="0"/>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en-US" w:eastAsia="zh-CN"/>
              </w:rPr>
              <w:t>不提供的，不得分。</w:t>
            </w:r>
          </w:p>
        </w:tc>
        <w:tc>
          <w:tcPr>
            <w:tcW w:w="675" w:type="dxa"/>
            <w:noWrap/>
            <w:vAlign w:val="center"/>
          </w:tcPr>
          <w:p w14:paraId="0216C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微软雅黑"/>
                <w:color w:val="auto"/>
                <w:kern w:val="0"/>
                <w:sz w:val="22"/>
                <w:szCs w:val="22"/>
                <w:lang w:eastAsia="zh-CN" w:bidi="ar"/>
              </w:rPr>
            </w:pPr>
            <w:r>
              <w:rPr>
                <w:rFonts w:hint="eastAsia" w:ascii="宋体" w:hAnsi="宋体" w:cs="微软雅黑"/>
                <w:color w:val="auto"/>
                <w:kern w:val="0"/>
                <w:sz w:val="22"/>
                <w:szCs w:val="22"/>
                <w:lang w:val="en-US" w:eastAsia="zh-CN" w:bidi="ar"/>
              </w:rPr>
              <w:t>6</w:t>
            </w:r>
          </w:p>
        </w:tc>
      </w:tr>
    </w:tbl>
    <w:p w14:paraId="233630AB">
      <w:pPr>
        <w:pStyle w:val="26"/>
        <w:adjustRightInd w:val="0"/>
        <w:snapToGrid w:val="0"/>
        <w:spacing w:line="460" w:lineRule="atLeast"/>
        <w:ind w:firstLine="450"/>
        <w:rPr>
          <w:rFonts w:hint="eastAsia" w:ascii="宋体" w:hAnsi="Courier New" w:eastAsia="宋体" w:cs="Arial Unicode MS"/>
          <w:b/>
          <w:bCs/>
          <w:color w:val="auto"/>
          <w:sz w:val="22"/>
          <w:szCs w:val="22"/>
        </w:rPr>
      </w:pPr>
      <w:r>
        <w:rPr>
          <w:rFonts w:hint="eastAsia" w:ascii="宋体" w:hAnsi="Courier New" w:eastAsia="宋体" w:cs="Arial Unicode MS"/>
          <w:b/>
          <w:bCs/>
          <w:color w:val="auto"/>
          <w:sz w:val="22"/>
          <w:szCs w:val="22"/>
        </w:rPr>
        <w:t>三）、说明</w:t>
      </w:r>
    </w:p>
    <w:p w14:paraId="1185ED1C">
      <w:pPr>
        <w:adjustRightInd w:val="0"/>
        <w:snapToGrid w:val="0"/>
        <w:spacing w:before="100" w:after="50" w:line="440" w:lineRule="atLeast"/>
        <w:ind w:firstLine="431" w:firstLineChars="196"/>
        <w:rPr>
          <w:rFonts w:ascii="宋体" w:hAnsi="宋体" w:cs="Arial"/>
          <w:color w:val="auto"/>
          <w:sz w:val="22"/>
          <w:szCs w:val="22"/>
        </w:rPr>
      </w:pPr>
      <w:r>
        <w:rPr>
          <w:rFonts w:hint="eastAsia" w:ascii="宋体" w:hAnsi="宋体" w:cs="Arial"/>
          <w:color w:val="auto"/>
          <w:sz w:val="22"/>
          <w:szCs w:val="22"/>
        </w:rPr>
        <w:t>1、每个供应商的综合得分=商务技术得分（所有磋商小组成员打分的算术平均值）＋报价得分。</w:t>
      </w:r>
    </w:p>
    <w:p w14:paraId="18A85D03">
      <w:pPr>
        <w:adjustRightInd w:val="0"/>
        <w:snapToGrid w:val="0"/>
        <w:spacing w:before="100" w:after="50" w:line="440" w:lineRule="atLeast"/>
        <w:ind w:firstLine="440" w:firstLineChars="200"/>
        <w:rPr>
          <w:rFonts w:ascii="宋体" w:hAnsi="宋体" w:cs="Arial"/>
          <w:color w:val="auto"/>
          <w:sz w:val="22"/>
          <w:szCs w:val="22"/>
        </w:rPr>
      </w:pPr>
      <w:r>
        <w:rPr>
          <w:rFonts w:hint="eastAsia" w:ascii="宋体" w:hAnsi="宋体" w:cs="Arial"/>
          <w:color w:val="auto"/>
          <w:sz w:val="22"/>
          <w:szCs w:val="22"/>
        </w:rPr>
        <w:t>2、磋商小组推荐综合得分最高的供应商为成交供应商（如果得分相同则按最终磋商报价从低到高顺序依次推荐为中标（成交）候选供应商；如果综合得分相同最终磋商报价也相同，则抽签决定），并编写评审报告。</w:t>
      </w:r>
    </w:p>
    <w:p w14:paraId="335F988B">
      <w:pPr>
        <w:adjustRightInd w:val="0"/>
        <w:snapToGrid w:val="0"/>
        <w:spacing w:before="100" w:after="50" w:line="440" w:lineRule="atLeast"/>
        <w:ind w:firstLine="420"/>
        <w:rPr>
          <w:rFonts w:ascii="宋体" w:hAnsi="宋体" w:cs="Arial"/>
          <w:color w:val="auto"/>
          <w:sz w:val="22"/>
          <w:szCs w:val="22"/>
        </w:rPr>
      </w:pPr>
      <w:r>
        <w:rPr>
          <w:rFonts w:hint="eastAsia" w:ascii="宋体" w:hAnsi="宋体" w:cs="Arial"/>
          <w:color w:val="auto"/>
          <w:sz w:val="22"/>
          <w:szCs w:val="22"/>
        </w:rPr>
        <w:t>3、所有分值计算保留小数点后二位，小数点后第三位起四舍五入。</w:t>
      </w:r>
    </w:p>
    <w:p w14:paraId="0CBA12DF">
      <w:pPr>
        <w:adjustRightInd w:val="0"/>
        <w:snapToGrid w:val="0"/>
        <w:spacing w:before="100" w:after="50" w:line="440" w:lineRule="atLeast"/>
        <w:ind w:firstLine="440" w:firstLineChars="200"/>
        <w:rPr>
          <w:rFonts w:ascii="宋体" w:hAnsi="宋体" w:cs="Arial"/>
          <w:color w:val="auto"/>
          <w:sz w:val="22"/>
          <w:szCs w:val="22"/>
        </w:rPr>
      </w:pPr>
      <w:r>
        <w:rPr>
          <w:rFonts w:hint="eastAsia" w:ascii="宋体" w:hAnsi="宋体" w:cs="Arial"/>
          <w:color w:val="auto"/>
          <w:sz w:val="22"/>
          <w:szCs w:val="22"/>
        </w:rPr>
        <w:t xml:space="preserve">其它参见本磋商文件第三部分：“供应商须知” 中的相关内容，未尽事宜按有关法律规定处理。 </w:t>
      </w:r>
    </w:p>
    <w:sectPr>
      <w:headerReference r:id="rId9" w:type="default"/>
      <w:footerReference r:id="rId10" w:type="default"/>
      <w:footerReference r:id="rId11" w:type="even"/>
      <w:pgSz w:w="11907" w:h="16840"/>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6D3F">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4</w:t>
    </w:r>
    <w:r>
      <w:fldChar w:fldCharType="end"/>
    </w:r>
  </w:p>
  <w:p w14:paraId="100D7296">
    <w:pPr>
      <w:pStyle w:val="32"/>
      <w:jc w:val="both"/>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column">
                <wp:posOffset>66675</wp:posOffset>
              </wp:positionH>
              <wp:positionV relativeFrom="paragraph">
                <wp:posOffset>-35560</wp:posOffset>
              </wp:positionV>
              <wp:extent cx="5934075" cy="0"/>
              <wp:effectExtent l="9525" t="12065" r="9525" b="6985"/>
              <wp:wrapNone/>
              <wp:docPr id="4097" name="直线 1"/>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1" o:spid="_x0000_s1026" o:spt="20" style="position:absolute;left:0pt;flip:x;margin-left:5.25pt;margin-top:-2.8pt;height:0pt;width:467.25pt;z-index:251659264;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5hzU9UAAAAIAQAADwAAAAAAAAABACAAAAAiAAAAZHJzL2Rvd25yZXYueG1sUEsBAhQAFAAAAAgA&#10;h07iQP9lL2PvAQAA5gMAAA4AAAAAAAAAAQAgAAAAJAEAAGRycy9lMm9Eb2MueG1sUEsFBgAAAAAG&#10;AAYAWQEAAIUFAAAAAA==&#10;">
              <v:fill on="f" focussize="0,0"/>
              <v:stroke color="#000000" joinstyle="round"/>
              <v:imagedata o:title=""/>
              <o:lock v:ext="edit" aspectratio="f"/>
            </v:lin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B12E">
    <w:pPr>
      <w:pStyle w:val="32"/>
      <w:framePr w:wrap="around" w:vAnchor="text" w:hAnchor="margin" w:xAlign="center" w:y="1"/>
      <w:rPr>
        <w:rStyle w:val="52"/>
      </w:rPr>
    </w:pPr>
    <w:r>
      <w:fldChar w:fldCharType="begin"/>
    </w:r>
    <w:r>
      <w:rPr>
        <w:rStyle w:val="52"/>
      </w:rPr>
      <w:instrText xml:space="preserve">PAGE  </w:instrText>
    </w:r>
    <w:r>
      <w:fldChar w:fldCharType="end"/>
    </w:r>
  </w:p>
  <w:p w14:paraId="5A878339">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837E">
    <w:pPr>
      <w:pStyle w:val="32"/>
      <w:jc w:val="right"/>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7527">
    <w:pPr>
      <w:pStyle w:val="32"/>
      <w:framePr w:wrap="around" w:vAnchor="text" w:hAnchor="margin" w:xAlign="center" w:y="1"/>
      <w:rPr>
        <w:rStyle w:val="52"/>
        <w:rFonts w:ascii="宋体" w:hAnsi="宋体"/>
      </w:rPr>
    </w:pPr>
    <w:r>
      <w:rPr>
        <w:rFonts w:ascii="宋体" w:hAnsi="宋体"/>
      </w:rPr>
      <w:fldChar w:fldCharType="begin"/>
    </w:r>
    <w:r>
      <w:rPr>
        <w:rStyle w:val="52"/>
        <w:rFonts w:ascii="宋体" w:hAnsi="宋体"/>
      </w:rPr>
      <w:instrText xml:space="preserve">PAGE  </w:instrText>
    </w:r>
    <w:r>
      <w:rPr>
        <w:rFonts w:ascii="宋体" w:hAnsi="宋体"/>
      </w:rPr>
      <w:fldChar w:fldCharType="separate"/>
    </w:r>
    <w:r>
      <w:rPr>
        <w:rStyle w:val="52"/>
        <w:rFonts w:ascii="宋体" w:hAnsi="宋体"/>
      </w:rPr>
      <w:t>43</w:t>
    </w:r>
    <w:r>
      <w:rPr>
        <w:rFonts w:ascii="宋体" w:hAnsi="宋体"/>
      </w:rPr>
      <w:fldChar w:fldCharType="end"/>
    </w:r>
  </w:p>
  <w:p w14:paraId="5574420D">
    <w:pPr>
      <w:pStyle w:val="32"/>
      <w:ind w:firstLine="7200" w:firstLineChars="4000"/>
      <w:jc w:val="both"/>
    </w:pP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-3175</wp:posOffset>
              </wp:positionV>
              <wp:extent cx="5934075" cy="0"/>
              <wp:effectExtent l="9525" t="6350" r="9525" b="12700"/>
              <wp:wrapNone/>
              <wp:docPr id="4098" name="直线 2"/>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flip:x;margin-left:0pt;margin-top:-0.25pt;height:0pt;width:467.25pt;z-index:251660288;mso-width-relative:page;mso-height-relative:page;" filled="f" stroked="t" coordsize="21600,21600" o:gfxdata="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9&#10;GWXTAAAABAEAAA8AAAAAAAAAAQAgAAAAIgAAAGRycy9kb3ducmV2LnhtbFBLAQIUABQAAAAIAIdO&#10;4kCHzSR77wEAAOYDAAAOAAAAAAAAAAEAIAAAACIBAABkcnMvZTJvRG9jLnhtbFBLBQYAAAAABgAG&#10;AFkBAACDBQ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FF19">
    <w:pPr>
      <w:pStyle w:val="32"/>
      <w:framePr w:wrap="around" w:vAnchor="text" w:hAnchor="margin" w:xAlign="center" w:y="1"/>
      <w:rPr>
        <w:rStyle w:val="52"/>
      </w:rPr>
    </w:pPr>
    <w:r>
      <w:fldChar w:fldCharType="begin"/>
    </w:r>
    <w:r>
      <w:rPr>
        <w:rStyle w:val="52"/>
      </w:rPr>
      <w:instrText xml:space="preserve">PAGE  </w:instrText>
    </w:r>
    <w:r>
      <w:fldChar w:fldCharType="end"/>
    </w:r>
  </w:p>
  <w:p w14:paraId="4C73DF79">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FB1E">
    <w:pPr>
      <w:pStyle w:val="33"/>
      <w:jc w:val="both"/>
      <w:rPr>
        <w:b/>
      </w:rPr>
    </w:pPr>
    <w:r>
      <w:rPr>
        <w:rFonts w:hint="eastAsia"/>
        <w:b/>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29E6E">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8EC5">
    <w:pPr>
      <w:pStyle w:val="33"/>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E2EF">
    <w:pPr>
      <w:pStyle w:val="33"/>
      <w:jc w:val="both"/>
      <w:rPr>
        <w:b/>
      </w:rPr>
    </w:pPr>
    <w:r>
      <w:rPr>
        <w:rFonts w:hint="eastAsia"/>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1462"/>
    <w:multiLevelType w:val="multilevel"/>
    <w:tmpl w:val="87C51462"/>
    <w:lvl w:ilvl="0" w:tentative="0">
      <w:start w:val="3"/>
      <w:numFmt w:val="japaneseCounting"/>
      <w:lvlText w:val="%1、"/>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0000004"/>
    <w:multiLevelType w:val="multilevel"/>
    <w:tmpl w:val="00000004"/>
    <w:lvl w:ilvl="0" w:tentative="0">
      <w:start w:val="1"/>
      <w:numFmt w:val="decimal"/>
      <w:lvlText w:val="%1、"/>
      <w:lvlJc w:val="left"/>
      <w:pPr>
        <w:ind w:left="1007" w:hanging="360"/>
      </w:pPr>
      <w:rPr>
        <w:rFonts w:hint="default"/>
      </w:rPr>
    </w:lvl>
    <w:lvl w:ilvl="1" w:tentative="0">
      <w:start w:val="1"/>
      <w:numFmt w:val="lowerLetter"/>
      <w:lvlText w:val="%2)"/>
      <w:lvlJc w:val="left"/>
      <w:pPr>
        <w:ind w:left="1487" w:hanging="420"/>
      </w:pPr>
    </w:lvl>
    <w:lvl w:ilvl="2" w:tentative="0">
      <w:start w:val="1"/>
      <w:numFmt w:val="lowerRoman"/>
      <w:lvlText w:val="%3."/>
      <w:lvlJc w:val="right"/>
      <w:pPr>
        <w:ind w:left="1907" w:hanging="420"/>
      </w:pPr>
    </w:lvl>
    <w:lvl w:ilvl="3" w:tentative="0">
      <w:start w:val="1"/>
      <w:numFmt w:val="decimal"/>
      <w:lvlText w:val="%4."/>
      <w:lvlJc w:val="left"/>
      <w:pPr>
        <w:ind w:left="2327" w:hanging="420"/>
      </w:pPr>
    </w:lvl>
    <w:lvl w:ilvl="4" w:tentative="0">
      <w:start w:val="1"/>
      <w:numFmt w:val="lowerLetter"/>
      <w:lvlText w:val="%5)"/>
      <w:lvlJc w:val="left"/>
      <w:pPr>
        <w:ind w:left="2747" w:hanging="420"/>
      </w:pPr>
    </w:lvl>
    <w:lvl w:ilvl="5" w:tentative="0">
      <w:start w:val="1"/>
      <w:numFmt w:val="lowerRoman"/>
      <w:lvlText w:val="%6."/>
      <w:lvlJc w:val="right"/>
      <w:pPr>
        <w:ind w:left="3167" w:hanging="420"/>
      </w:pPr>
    </w:lvl>
    <w:lvl w:ilvl="6" w:tentative="0">
      <w:start w:val="1"/>
      <w:numFmt w:val="decimal"/>
      <w:lvlText w:val="%7."/>
      <w:lvlJc w:val="left"/>
      <w:pPr>
        <w:ind w:left="3587" w:hanging="420"/>
      </w:pPr>
    </w:lvl>
    <w:lvl w:ilvl="7" w:tentative="0">
      <w:start w:val="1"/>
      <w:numFmt w:val="lowerLetter"/>
      <w:lvlText w:val="%8)"/>
      <w:lvlJc w:val="left"/>
      <w:pPr>
        <w:ind w:left="4007" w:hanging="420"/>
      </w:pPr>
    </w:lvl>
    <w:lvl w:ilvl="8" w:tentative="0">
      <w:start w:val="1"/>
      <w:numFmt w:val="lowerRoman"/>
      <w:lvlText w:val="%9."/>
      <w:lvlJc w:val="right"/>
      <w:pPr>
        <w:ind w:left="4427" w:hanging="420"/>
      </w:pPr>
    </w:lvl>
  </w:abstractNum>
  <w:abstractNum w:abstractNumId="2">
    <w:nsid w:val="4FAB581B"/>
    <w:multiLevelType w:val="singleLevel"/>
    <w:tmpl w:val="4FAB581B"/>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MDE4N2Q0ODIwOWJhZGQ3ZDZhZTVhNDI4OWMzZDYifQ=="/>
  </w:docVars>
  <w:rsids>
    <w:rsidRoot w:val="003D0AFF"/>
    <w:rsid w:val="00006013"/>
    <w:rsid w:val="00047FE2"/>
    <w:rsid w:val="000755A3"/>
    <w:rsid w:val="000E1749"/>
    <w:rsid w:val="001141B7"/>
    <w:rsid w:val="001404B8"/>
    <w:rsid w:val="00147391"/>
    <w:rsid w:val="00152AD2"/>
    <w:rsid w:val="00181BE2"/>
    <w:rsid w:val="001A341F"/>
    <w:rsid w:val="001C08F9"/>
    <w:rsid w:val="001C6B13"/>
    <w:rsid w:val="001D468C"/>
    <w:rsid w:val="00217C45"/>
    <w:rsid w:val="00223543"/>
    <w:rsid w:val="00273E09"/>
    <w:rsid w:val="00274B3B"/>
    <w:rsid w:val="00277167"/>
    <w:rsid w:val="00284D22"/>
    <w:rsid w:val="0029580B"/>
    <w:rsid w:val="002A7EA2"/>
    <w:rsid w:val="002D6145"/>
    <w:rsid w:val="002E6304"/>
    <w:rsid w:val="00300640"/>
    <w:rsid w:val="0032027F"/>
    <w:rsid w:val="003478AD"/>
    <w:rsid w:val="003526E4"/>
    <w:rsid w:val="00365687"/>
    <w:rsid w:val="00367689"/>
    <w:rsid w:val="00371F56"/>
    <w:rsid w:val="003803CC"/>
    <w:rsid w:val="0039373E"/>
    <w:rsid w:val="00395598"/>
    <w:rsid w:val="003B200C"/>
    <w:rsid w:val="003B773D"/>
    <w:rsid w:val="003D0AFF"/>
    <w:rsid w:val="00452346"/>
    <w:rsid w:val="004658C3"/>
    <w:rsid w:val="00487E6E"/>
    <w:rsid w:val="00496051"/>
    <w:rsid w:val="00496EDE"/>
    <w:rsid w:val="004A5B1D"/>
    <w:rsid w:val="0050108E"/>
    <w:rsid w:val="005135E2"/>
    <w:rsid w:val="00547A96"/>
    <w:rsid w:val="00556501"/>
    <w:rsid w:val="00563440"/>
    <w:rsid w:val="005820F0"/>
    <w:rsid w:val="005C7CD1"/>
    <w:rsid w:val="006145C1"/>
    <w:rsid w:val="00676E11"/>
    <w:rsid w:val="00690521"/>
    <w:rsid w:val="00691BCD"/>
    <w:rsid w:val="006D1DB1"/>
    <w:rsid w:val="006D27F5"/>
    <w:rsid w:val="006F14F6"/>
    <w:rsid w:val="006F7386"/>
    <w:rsid w:val="00705D0E"/>
    <w:rsid w:val="00733CA9"/>
    <w:rsid w:val="007410B9"/>
    <w:rsid w:val="007444CF"/>
    <w:rsid w:val="00771E5C"/>
    <w:rsid w:val="007A7A21"/>
    <w:rsid w:val="007C583F"/>
    <w:rsid w:val="00804BC1"/>
    <w:rsid w:val="0082287D"/>
    <w:rsid w:val="00825B44"/>
    <w:rsid w:val="008322BB"/>
    <w:rsid w:val="0083347F"/>
    <w:rsid w:val="00837A5C"/>
    <w:rsid w:val="008516BC"/>
    <w:rsid w:val="0085277E"/>
    <w:rsid w:val="0085281C"/>
    <w:rsid w:val="00852DAB"/>
    <w:rsid w:val="008638C8"/>
    <w:rsid w:val="008C18E5"/>
    <w:rsid w:val="009006F6"/>
    <w:rsid w:val="009052FC"/>
    <w:rsid w:val="00911F3C"/>
    <w:rsid w:val="00933C93"/>
    <w:rsid w:val="00934EB1"/>
    <w:rsid w:val="0094482B"/>
    <w:rsid w:val="00965237"/>
    <w:rsid w:val="009D3071"/>
    <w:rsid w:val="009D501A"/>
    <w:rsid w:val="009E54F2"/>
    <w:rsid w:val="00A0775A"/>
    <w:rsid w:val="00A149EC"/>
    <w:rsid w:val="00A1762E"/>
    <w:rsid w:val="00A656EC"/>
    <w:rsid w:val="00AB5C44"/>
    <w:rsid w:val="00AB643A"/>
    <w:rsid w:val="00AC716E"/>
    <w:rsid w:val="00AD0FB5"/>
    <w:rsid w:val="00AD1E48"/>
    <w:rsid w:val="00AD33B8"/>
    <w:rsid w:val="00AF5D81"/>
    <w:rsid w:val="00B26F23"/>
    <w:rsid w:val="00BB6E69"/>
    <w:rsid w:val="00BD65E2"/>
    <w:rsid w:val="00BE05BA"/>
    <w:rsid w:val="00C17A6A"/>
    <w:rsid w:val="00C20603"/>
    <w:rsid w:val="00C815EB"/>
    <w:rsid w:val="00D02DE1"/>
    <w:rsid w:val="00D15A5D"/>
    <w:rsid w:val="00D20445"/>
    <w:rsid w:val="00D20D0B"/>
    <w:rsid w:val="00DA11B5"/>
    <w:rsid w:val="00DC1DBD"/>
    <w:rsid w:val="00DE2FE0"/>
    <w:rsid w:val="00DF6EFE"/>
    <w:rsid w:val="00E222E7"/>
    <w:rsid w:val="00E52166"/>
    <w:rsid w:val="00E64141"/>
    <w:rsid w:val="00E92B62"/>
    <w:rsid w:val="00EB0C2D"/>
    <w:rsid w:val="00EC4CCF"/>
    <w:rsid w:val="00EC6F9A"/>
    <w:rsid w:val="00ED4AF4"/>
    <w:rsid w:val="00EE6D95"/>
    <w:rsid w:val="00EF0512"/>
    <w:rsid w:val="00EF5113"/>
    <w:rsid w:val="00F16DDB"/>
    <w:rsid w:val="00F21FFA"/>
    <w:rsid w:val="00F27C77"/>
    <w:rsid w:val="00F74B24"/>
    <w:rsid w:val="00FB1F80"/>
    <w:rsid w:val="00FC7F3F"/>
    <w:rsid w:val="00FE06CF"/>
    <w:rsid w:val="044F3D6C"/>
    <w:rsid w:val="08602083"/>
    <w:rsid w:val="090E68BB"/>
    <w:rsid w:val="0E8545B0"/>
    <w:rsid w:val="175F225E"/>
    <w:rsid w:val="1E6A5E28"/>
    <w:rsid w:val="1F422EEA"/>
    <w:rsid w:val="20B00E2B"/>
    <w:rsid w:val="20F85F56"/>
    <w:rsid w:val="27F37477"/>
    <w:rsid w:val="328217B0"/>
    <w:rsid w:val="351B56D0"/>
    <w:rsid w:val="35C91817"/>
    <w:rsid w:val="39851768"/>
    <w:rsid w:val="39D80804"/>
    <w:rsid w:val="3AD0189E"/>
    <w:rsid w:val="423A69D4"/>
    <w:rsid w:val="432942A4"/>
    <w:rsid w:val="436332AB"/>
    <w:rsid w:val="4668387C"/>
    <w:rsid w:val="49CA4F9B"/>
    <w:rsid w:val="4A163CEA"/>
    <w:rsid w:val="4A2C6C37"/>
    <w:rsid w:val="4C993332"/>
    <w:rsid w:val="511D2CEB"/>
    <w:rsid w:val="555E35AD"/>
    <w:rsid w:val="5DC82E59"/>
    <w:rsid w:val="5E5B4E53"/>
    <w:rsid w:val="66EE0895"/>
    <w:rsid w:val="693A326B"/>
    <w:rsid w:val="6D7E4C16"/>
    <w:rsid w:val="743D707D"/>
    <w:rsid w:val="747C716C"/>
    <w:rsid w:val="78D05A45"/>
    <w:rsid w:val="7BFF1BFC"/>
    <w:rsid w:val="7DEFE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
    <w:pPr>
      <w:keepNext/>
      <w:jc w:val="center"/>
      <w:outlineLvl w:val="0"/>
    </w:pPr>
    <w:rPr>
      <w:sz w:val="28"/>
    </w:rPr>
  </w:style>
  <w:style w:type="paragraph" w:styleId="5">
    <w:name w:val="heading 2"/>
    <w:basedOn w:val="1"/>
    <w:next w:val="1"/>
    <w:link w:val="58"/>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9"/>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0"/>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1"/>
    <w:semiHidden/>
    <w:unhideWhenUsed/>
    <w:qFormat/>
    <w:uiPriority w:val="9"/>
    <w:pPr>
      <w:keepNext/>
      <w:keepLines/>
      <w:spacing w:before="280" w:after="290" w:line="376" w:lineRule="auto"/>
      <w:outlineLvl w:val="4"/>
    </w:pPr>
    <w:rPr>
      <w:b/>
      <w:bCs/>
      <w:sz w:val="28"/>
      <w:szCs w:val="28"/>
    </w:rPr>
  </w:style>
  <w:style w:type="paragraph" w:styleId="9">
    <w:name w:val="heading 6"/>
    <w:basedOn w:val="1"/>
    <w:next w:val="10"/>
    <w:link w:val="62"/>
    <w:semiHidden/>
    <w:unhideWhenUsed/>
    <w:qFormat/>
    <w:uiPriority w:val="9"/>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11">
    <w:name w:val="heading 7"/>
    <w:basedOn w:val="1"/>
    <w:next w:val="10"/>
    <w:link w:val="64"/>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2">
    <w:name w:val="heading 8"/>
    <w:basedOn w:val="1"/>
    <w:next w:val="10"/>
    <w:link w:val="65"/>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3">
    <w:name w:val="heading 9"/>
    <w:basedOn w:val="1"/>
    <w:next w:val="10"/>
    <w:link w:val="66"/>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2"/>
    <w:qFormat/>
    <w:uiPriority w:val="0"/>
    <w:pPr>
      <w:spacing w:after="120"/>
      <w:ind w:firstLine="420" w:firstLineChars="100"/>
    </w:pPr>
    <w:rPr>
      <w:rFonts w:ascii="Times New Roman" w:hAnsi="Times New Roman"/>
      <w:bCs w:val="0"/>
      <w:sz w:val="21"/>
    </w:rPr>
  </w:style>
  <w:style w:type="paragraph" w:styleId="3">
    <w:name w:val="Body Text"/>
    <w:basedOn w:val="1"/>
    <w:next w:val="1"/>
    <w:link w:val="70"/>
    <w:qFormat/>
    <w:uiPriority w:val="99"/>
    <w:rPr>
      <w:rFonts w:ascii="Arial" w:hAnsi="Arial"/>
      <w:bCs/>
      <w:sz w:val="24"/>
    </w:rPr>
  </w:style>
  <w:style w:type="paragraph" w:styleId="10">
    <w:name w:val="Normal Indent"/>
    <w:basedOn w:val="1"/>
    <w:link w:val="63"/>
    <w:qFormat/>
    <w:uiPriority w:val="0"/>
    <w:pPr>
      <w:spacing w:after="50"/>
      <w:ind w:firstLine="200" w:firstLineChars="200"/>
    </w:pPr>
    <w:rPr>
      <w:sz w:val="24"/>
      <w:szCs w:val="20"/>
    </w:rPr>
  </w:style>
  <w:style w:type="paragraph" w:styleId="14">
    <w:name w:val="List 3"/>
    <w:basedOn w:val="1"/>
    <w:qFormat/>
    <w:uiPriority w:val="0"/>
    <w:pPr>
      <w:ind w:left="100" w:leftChars="400" w:hanging="200" w:hangingChars="200"/>
    </w:pPr>
  </w:style>
  <w:style w:type="paragraph" w:styleId="15">
    <w:name w:val="toc 7"/>
    <w:basedOn w:val="1"/>
    <w:next w:val="1"/>
    <w:qFormat/>
    <w:uiPriority w:val="0"/>
    <w:pPr>
      <w:ind w:left="1260"/>
      <w:jc w:val="left"/>
    </w:pPr>
    <w:rPr>
      <w:sz w:val="18"/>
      <w:szCs w:val="18"/>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7"/>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68"/>
    <w:qFormat/>
    <w:uiPriority w:val="99"/>
    <w:pPr>
      <w:jc w:val="left"/>
    </w:pPr>
  </w:style>
  <w:style w:type="paragraph" w:styleId="20">
    <w:name w:val="Body Text 3"/>
    <w:basedOn w:val="1"/>
    <w:link w:val="69"/>
    <w:qFormat/>
    <w:uiPriority w:val="0"/>
    <w:pPr>
      <w:spacing w:before="312" w:beforeLines="100" w:after="312" w:afterLines="100" w:line="400" w:lineRule="exact"/>
    </w:pPr>
    <w:rPr>
      <w:rFonts w:ascii="宋体" w:hAnsi="宋体"/>
      <w:sz w:val="24"/>
    </w:rPr>
  </w:style>
  <w:style w:type="paragraph" w:styleId="21">
    <w:name w:val="Body Text Indent"/>
    <w:basedOn w:val="1"/>
    <w:link w:val="71"/>
    <w:qFormat/>
    <w:uiPriority w:val="0"/>
    <w:pPr>
      <w:autoSpaceDE w:val="0"/>
      <w:autoSpaceDN w:val="0"/>
      <w:adjustRightInd w:val="0"/>
      <w:snapToGrid w:val="0"/>
      <w:spacing w:line="320" w:lineRule="atLeast"/>
      <w:ind w:firstLine="480"/>
      <w:textAlignment w:val="bottom"/>
    </w:pPr>
    <w:rPr>
      <w:rFonts w:ascii="仿宋_GB2312" w:eastAsia="仿宋_GB2312"/>
      <w:b/>
      <w:bCs/>
      <w:color w:val="000000"/>
      <w:sz w:val="24"/>
    </w:rPr>
  </w:style>
  <w:style w:type="paragraph" w:styleId="22">
    <w:name w:val="List Number 3"/>
    <w:basedOn w:val="1"/>
    <w:qFormat/>
    <w:uiPriority w:val="0"/>
    <w:pPr>
      <w:widowControl/>
      <w:tabs>
        <w:tab w:val="left" w:pos="1080"/>
        <w:tab w:val="left" w:pos="1200"/>
      </w:tabs>
      <w:ind w:left="1080" w:hanging="1080"/>
      <w:contextualSpacing/>
      <w:jc w:val="left"/>
    </w:pPr>
    <w:rPr>
      <w:kern w:val="0"/>
      <w:szCs w:val="20"/>
    </w:rPr>
  </w:style>
  <w:style w:type="paragraph" w:styleId="23">
    <w:name w:val="List 2"/>
    <w:basedOn w:val="1"/>
    <w:qFormat/>
    <w:uiPriority w:val="0"/>
    <w:pPr>
      <w:ind w:left="100" w:leftChars="200" w:hanging="200" w:hangingChars="200"/>
    </w:pPr>
    <w:rPr>
      <w:rFonts w:ascii="Calibri" w:hAnsi="Calibri"/>
      <w:szCs w:val="22"/>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72"/>
    <w:qFormat/>
    <w:uiPriority w:val="0"/>
    <w:rPr>
      <w:rFonts w:ascii="宋体" w:hAnsi="Courier New"/>
      <w:szCs w:val="20"/>
    </w:rPr>
  </w:style>
  <w:style w:type="paragraph" w:styleId="27">
    <w:name w:val="toc 8"/>
    <w:basedOn w:val="1"/>
    <w:next w:val="1"/>
    <w:qFormat/>
    <w:uiPriority w:val="0"/>
    <w:pPr>
      <w:ind w:left="1470"/>
      <w:jc w:val="left"/>
    </w:pPr>
    <w:rPr>
      <w:sz w:val="18"/>
      <w:szCs w:val="18"/>
    </w:rPr>
  </w:style>
  <w:style w:type="paragraph" w:styleId="28">
    <w:name w:val="Date"/>
    <w:basedOn w:val="1"/>
    <w:next w:val="1"/>
    <w:link w:val="73"/>
    <w:qFormat/>
    <w:uiPriority w:val="0"/>
    <w:pPr>
      <w:ind w:left="100" w:leftChars="2500"/>
    </w:pPr>
    <w:rPr>
      <w:color w:val="000000"/>
      <w:sz w:val="24"/>
    </w:rPr>
  </w:style>
  <w:style w:type="paragraph" w:styleId="29">
    <w:name w:val="Body Text Indent 2"/>
    <w:basedOn w:val="1"/>
    <w:link w:val="74"/>
    <w:qFormat/>
    <w:uiPriority w:val="0"/>
    <w:pPr>
      <w:widowControl/>
      <w:spacing w:line="480" w:lineRule="atLeast"/>
      <w:ind w:firstLine="480"/>
    </w:pPr>
    <w:rPr>
      <w:rFonts w:ascii="宋体"/>
      <w:kern w:val="0"/>
      <w:sz w:val="24"/>
      <w:szCs w:val="20"/>
    </w:rPr>
  </w:style>
  <w:style w:type="paragraph" w:styleId="30">
    <w:name w:val="endnote text"/>
    <w:basedOn w:val="1"/>
    <w:link w:val="234"/>
    <w:unhideWhenUsed/>
    <w:qFormat/>
    <w:uiPriority w:val="0"/>
    <w:pPr>
      <w:snapToGrid w:val="0"/>
      <w:jc w:val="left"/>
    </w:pPr>
    <w:rPr>
      <w:rFonts w:ascii="Calibri" w:hAnsi="Calibri"/>
      <w:szCs w:val="21"/>
    </w:rPr>
  </w:style>
  <w:style w:type="paragraph" w:styleId="31">
    <w:name w:val="Balloon Text"/>
    <w:basedOn w:val="1"/>
    <w:link w:val="75"/>
    <w:qFormat/>
    <w:uiPriority w:val="0"/>
    <w:rPr>
      <w:sz w:val="18"/>
      <w:szCs w:val="18"/>
    </w:rPr>
  </w:style>
  <w:style w:type="paragraph" w:styleId="32">
    <w:name w:val="footer"/>
    <w:basedOn w:val="1"/>
    <w:link w:val="76"/>
    <w:qFormat/>
    <w:uiPriority w:val="99"/>
    <w:pPr>
      <w:tabs>
        <w:tab w:val="center" w:pos="4153"/>
        <w:tab w:val="right" w:pos="8306"/>
      </w:tabs>
      <w:snapToGrid w:val="0"/>
      <w:jc w:val="left"/>
    </w:pPr>
    <w:rPr>
      <w:sz w:val="18"/>
      <w:szCs w:val="18"/>
    </w:rPr>
  </w:style>
  <w:style w:type="paragraph" w:styleId="33">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rPr>
      <w:rFonts w:ascii="宋体" w:hAnsi="宋体"/>
      <w:b/>
      <w:sz w:val="24"/>
    </w:rPr>
  </w:style>
  <w:style w:type="paragraph" w:styleId="35">
    <w:name w:val="toc 4"/>
    <w:basedOn w:val="1"/>
    <w:next w:val="1"/>
    <w:qFormat/>
    <w:uiPriority w:val="0"/>
    <w:pPr>
      <w:ind w:left="630"/>
      <w:jc w:val="left"/>
    </w:pPr>
    <w:rPr>
      <w:sz w:val="18"/>
      <w:szCs w:val="18"/>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78"/>
    <w:qFormat/>
    <w:uiPriority w:val="0"/>
    <w:pPr>
      <w:autoSpaceDE w:val="0"/>
      <w:autoSpaceDN w:val="0"/>
      <w:spacing w:line="400" w:lineRule="atLeast"/>
      <w:ind w:firstLine="443" w:firstLineChars="200"/>
      <w:textAlignment w:val="bottom"/>
    </w:pPr>
    <w:rPr>
      <w:rFonts w:eastAsia="黑体"/>
      <w:color w:val="000000"/>
      <w:sz w:val="24"/>
    </w:rPr>
  </w:style>
  <w:style w:type="paragraph" w:styleId="38">
    <w:name w:val="table of figures"/>
    <w:basedOn w:val="1"/>
    <w:next w:val="1"/>
    <w:qFormat/>
    <w:uiPriority w:val="0"/>
    <w:pPr>
      <w:widowControl/>
      <w:ind w:left="840" w:leftChars="200" w:hanging="420" w:hangingChars="200"/>
      <w:jc w:val="left"/>
    </w:pPr>
    <w:rPr>
      <w:kern w:val="0"/>
      <w:szCs w:val="20"/>
    </w:rPr>
  </w:style>
  <w:style w:type="paragraph" w:styleId="39">
    <w:name w:val="toc 2"/>
    <w:basedOn w:val="1"/>
    <w:next w:val="1"/>
    <w:qFormat/>
    <w:uiPriority w:val="39"/>
    <w:pPr>
      <w:ind w:left="420" w:leftChars="200"/>
    </w:pPr>
  </w:style>
  <w:style w:type="paragraph" w:styleId="40">
    <w:name w:val="toc 9"/>
    <w:basedOn w:val="1"/>
    <w:next w:val="1"/>
    <w:qFormat/>
    <w:uiPriority w:val="0"/>
    <w:pPr>
      <w:ind w:left="1680"/>
      <w:jc w:val="left"/>
    </w:pPr>
    <w:rPr>
      <w:sz w:val="18"/>
      <w:szCs w:val="18"/>
    </w:rPr>
  </w:style>
  <w:style w:type="paragraph" w:styleId="41">
    <w:name w:val="Body Text 2"/>
    <w:basedOn w:val="1"/>
    <w:link w:val="79"/>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3">
    <w:name w:val="Normal (Web)"/>
    <w:basedOn w:val="1"/>
    <w:qFormat/>
    <w:uiPriority w:val="0"/>
    <w:pPr>
      <w:widowControl/>
      <w:spacing w:before="100" w:beforeAutospacing="1" w:after="100" w:afterAutospacing="1"/>
      <w:jc w:val="left"/>
    </w:pPr>
    <w:rPr>
      <w:rFonts w:ascii="宋体" w:hAnsi="宋体"/>
      <w:kern w:val="0"/>
      <w:sz w:val="24"/>
    </w:rPr>
  </w:style>
  <w:style w:type="paragraph" w:styleId="44">
    <w:name w:val="Title"/>
    <w:basedOn w:val="1"/>
    <w:link w:val="80"/>
    <w:qFormat/>
    <w:uiPriority w:val="10"/>
    <w:pPr>
      <w:spacing w:before="240" w:after="60"/>
      <w:jc w:val="center"/>
      <w:outlineLvl w:val="0"/>
    </w:pPr>
    <w:rPr>
      <w:rFonts w:ascii="Arial" w:hAnsi="Arial"/>
      <w:b/>
      <w:bCs/>
      <w:sz w:val="32"/>
      <w:szCs w:val="32"/>
    </w:rPr>
  </w:style>
  <w:style w:type="paragraph" w:styleId="45">
    <w:name w:val="annotation subject"/>
    <w:basedOn w:val="19"/>
    <w:next w:val="19"/>
    <w:link w:val="81"/>
    <w:qFormat/>
    <w:uiPriority w:val="0"/>
    <w:rPr>
      <w:b/>
      <w:bCs/>
    </w:rPr>
  </w:style>
  <w:style w:type="paragraph" w:styleId="46">
    <w:name w:val="Body Text First Indent 2"/>
    <w:basedOn w:val="21"/>
    <w:link w:val="83"/>
    <w:qFormat/>
    <w:uiPriority w:val="0"/>
    <w:pPr>
      <w:autoSpaceDE/>
      <w:autoSpaceDN/>
      <w:adjustRightInd/>
      <w:snapToGrid/>
      <w:spacing w:after="120" w:line="240" w:lineRule="auto"/>
      <w:ind w:left="420" w:leftChars="200" w:firstLine="420" w:firstLineChars="200"/>
      <w:textAlignment w:val="auto"/>
    </w:pPr>
    <w:rPr>
      <w:b w:val="0"/>
      <w:bCs w:val="0"/>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Theme"/>
    <w:basedOn w:val="47"/>
    <w:qFormat/>
    <w:uiPriority w:val="99"/>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rFonts w:eastAsia="宋体"/>
      <w:color w:val="800080"/>
      <w:kern w:val="2"/>
      <w:sz w:val="24"/>
      <w:szCs w:val="24"/>
      <w:u w:val="single"/>
      <w:lang w:val="en-US" w:eastAsia="zh-CN" w:bidi="ar-SA"/>
    </w:rPr>
  </w:style>
  <w:style w:type="character" w:styleId="54">
    <w:name w:val="Emphasis"/>
    <w:qFormat/>
    <w:uiPriority w:val="20"/>
    <w:rPr>
      <w:rFonts w:eastAsia="宋体"/>
      <w:color w:val="CC0033"/>
      <w:kern w:val="2"/>
      <w:sz w:val="24"/>
      <w:szCs w:val="24"/>
      <w:lang w:val="en-US" w:eastAsia="zh-CN" w:bidi="ar-SA"/>
    </w:rPr>
  </w:style>
  <w:style w:type="character" w:styleId="55">
    <w:name w:val="Hyperlink"/>
    <w:qFormat/>
    <w:uiPriority w:val="99"/>
    <w:rPr>
      <w:color w:val="0000FF"/>
      <w:u w:val="single"/>
    </w:rPr>
  </w:style>
  <w:style w:type="character" w:styleId="56">
    <w:name w:val="annotation reference"/>
    <w:qFormat/>
    <w:uiPriority w:val="0"/>
    <w:rPr>
      <w:rFonts w:eastAsia="宋体"/>
      <w:kern w:val="2"/>
      <w:sz w:val="21"/>
      <w:szCs w:val="21"/>
      <w:lang w:val="en-US" w:eastAsia="zh-CN" w:bidi="ar-SA"/>
    </w:rPr>
  </w:style>
  <w:style w:type="character" w:customStyle="1" w:styleId="57">
    <w:name w:val="标题 1 字符"/>
    <w:link w:val="4"/>
    <w:qFormat/>
    <w:uiPriority w:val="0"/>
    <w:rPr>
      <w:rFonts w:eastAsia="宋体"/>
      <w:kern w:val="2"/>
      <w:sz w:val="28"/>
      <w:szCs w:val="24"/>
      <w:lang w:val="en-US" w:eastAsia="zh-CN" w:bidi="ar-SA"/>
    </w:rPr>
  </w:style>
  <w:style w:type="character" w:customStyle="1" w:styleId="58">
    <w:name w:val="标题 2 字符"/>
    <w:link w:val="5"/>
    <w:qFormat/>
    <w:uiPriority w:val="9"/>
    <w:rPr>
      <w:rFonts w:ascii="Arial" w:hAnsi="Arial" w:eastAsia="黑体"/>
      <w:b/>
      <w:bCs/>
      <w:kern w:val="2"/>
      <w:sz w:val="32"/>
      <w:szCs w:val="32"/>
      <w:lang w:val="en-US" w:eastAsia="zh-CN" w:bidi="ar-SA"/>
    </w:rPr>
  </w:style>
  <w:style w:type="character" w:customStyle="1" w:styleId="59">
    <w:name w:val="标题 3 字符"/>
    <w:link w:val="6"/>
    <w:qFormat/>
    <w:uiPriority w:val="0"/>
    <w:rPr>
      <w:b/>
      <w:bCs/>
      <w:kern w:val="2"/>
      <w:sz w:val="32"/>
      <w:szCs w:val="32"/>
    </w:rPr>
  </w:style>
  <w:style w:type="character" w:customStyle="1" w:styleId="60">
    <w:name w:val="标题 4 字符"/>
    <w:link w:val="7"/>
    <w:qFormat/>
    <w:uiPriority w:val="0"/>
    <w:rPr>
      <w:rFonts w:ascii="Arial" w:hAnsi="Arial" w:eastAsia="黑体"/>
      <w:b/>
      <w:bCs/>
      <w:kern w:val="2"/>
      <w:sz w:val="28"/>
      <w:szCs w:val="28"/>
    </w:rPr>
  </w:style>
  <w:style w:type="character" w:customStyle="1" w:styleId="61">
    <w:name w:val="标题 5 字符"/>
    <w:link w:val="8"/>
    <w:qFormat/>
    <w:uiPriority w:val="0"/>
    <w:rPr>
      <w:b/>
      <w:bCs/>
      <w:kern w:val="2"/>
      <w:sz w:val="28"/>
      <w:szCs w:val="28"/>
    </w:rPr>
  </w:style>
  <w:style w:type="character" w:customStyle="1" w:styleId="62">
    <w:name w:val="标题 6 字符"/>
    <w:link w:val="9"/>
    <w:qFormat/>
    <w:uiPriority w:val="0"/>
    <w:rPr>
      <w:rFonts w:ascii="Arial" w:hAnsi="Arial" w:eastAsia="黑体"/>
      <w:b/>
      <w:bCs/>
      <w:spacing w:val="6"/>
      <w:kern w:val="2"/>
      <w:sz w:val="24"/>
      <w:szCs w:val="24"/>
    </w:rPr>
  </w:style>
  <w:style w:type="character" w:customStyle="1" w:styleId="63">
    <w:name w:val="正文缩进 字符"/>
    <w:link w:val="10"/>
    <w:qFormat/>
    <w:uiPriority w:val="0"/>
    <w:rPr>
      <w:rFonts w:eastAsia="宋体"/>
      <w:kern w:val="2"/>
      <w:sz w:val="24"/>
      <w:lang w:val="en-US" w:eastAsia="zh-CN" w:bidi="ar-SA"/>
    </w:rPr>
  </w:style>
  <w:style w:type="character" w:customStyle="1" w:styleId="64">
    <w:name w:val="标题 7 字符"/>
    <w:link w:val="11"/>
    <w:qFormat/>
    <w:uiPriority w:val="0"/>
    <w:rPr>
      <w:b/>
      <w:bCs/>
      <w:spacing w:val="6"/>
      <w:kern w:val="2"/>
      <w:sz w:val="24"/>
      <w:szCs w:val="24"/>
    </w:rPr>
  </w:style>
  <w:style w:type="character" w:customStyle="1" w:styleId="65">
    <w:name w:val="标题 8 字符"/>
    <w:link w:val="12"/>
    <w:qFormat/>
    <w:uiPriority w:val="0"/>
    <w:rPr>
      <w:rFonts w:ascii="Arial" w:hAnsi="Arial" w:eastAsia="黑体"/>
      <w:spacing w:val="6"/>
      <w:kern w:val="2"/>
      <w:sz w:val="24"/>
      <w:szCs w:val="24"/>
    </w:rPr>
  </w:style>
  <w:style w:type="character" w:customStyle="1" w:styleId="66">
    <w:name w:val="标题 9 字符"/>
    <w:link w:val="13"/>
    <w:qFormat/>
    <w:uiPriority w:val="0"/>
    <w:rPr>
      <w:rFonts w:ascii="Arial" w:hAnsi="Arial" w:eastAsia="黑体"/>
      <w:spacing w:val="6"/>
      <w:kern w:val="2"/>
      <w:sz w:val="24"/>
      <w:szCs w:val="24"/>
    </w:rPr>
  </w:style>
  <w:style w:type="character" w:customStyle="1" w:styleId="67">
    <w:name w:val="文档结构图 字符"/>
    <w:link w:val="17"/>
    <w:qFormat/>
    <w:uiPriority w:val="0"/>
    <w:rPr>
      <w:kern w:val="2"/>
      <w:sz w:val="21"/>
      <w:szCs w:val="24"/>
      <w:shd w:val="clear" w:color="auto" w:fill="000080"/>
    </w:rPr>
  </w:style>
  <w:style w:type="character" w:customStyle="1" w:styleId="68">
    <w:name w:val="批注文字 字符"/>
    <w:link w:val="19"/>
    <w:qFormat/>
    <w:uiPriority w:val="99"/>
    <w:rPr>
      <w:kern w:val="2"/>
      <w:sz w:val="21"/>
      <w:szCs w:val="24"/>
    </w:rPr>
  </w:style>
  <w:style w:type="character" w:customStyle="1" w:styleId="69">
    <w:name w:val="正文文本 3 字符"/>
    <w:link w:val="20"/>
    <w:qFormat/>
    <w:uiPriority w:val="0"/>
    <w:rPr>
      <w:rFonts w:ascii="宋体" w:hAnsi="宋体"/>
      <w:kern w:val="2"/>
      <w:sz w:val="24"/>
      <w:szCs w:val="24"/>
    </w:rPr>
  </w:style>
  <w:style w:type="character" w:customStyle="1" w:styleId="70">
    <w:name w:val="正文文本 字符"/>
    <w:link w:val="3"/>
    <w:qFormat/>
    <w:uiPriority w:val="99"/>
    <w:rPr>
      <w:rFonts w:ascii="Arial" w:hAnsi="Arial"/>
      <w:bCs/>
      <w:kern w:val="2"/>
      <w:sz w:val="24"/>
      <w:szCs w:val="24"/>
    </w:rPr>
  </w:style>
  <w:style w:type="character" w:customStyle="1" w:styleId="71">
    <w:name w:val="正文文本缩进 字符"/>
    <w:link w:val="21"/>
    <w:qFormat/>
    <w:uiPriority w:val="0"/>
    <w:rPr>
      <w:rFonts w:ascii="仿宋_GB2312" w:eastAsia="仿宋_GB2312"/>
      <w:b/>
      <w:bCs/>
      <w:color w:val="000000"/>
      <w:kern w:val="2"/>
      <w:sz w:val="24"/>
      <w:szCs w:val="24"/>
    </w:rPr>
  </w:style>
  <w:style w:type="character" w:customStyle="1" w:styleId="72">
    <w:name w:val="纯文本 字符2"/>
    <w:link w:val="26"/>
    <w:qFormat/>
    <w:uiPriority w:val="0"/>
    <w:rPr>
      <w:rFonts w:ascii="宋体" w:hAnsi="Courier New" w:eastAsia="宋体"/>
      <w:kern w:val="2"/>
      <w:sz w:val="21"/>
      <w:lang w:val="en-US" w:eastAsia="zh-CN" w:bidi="ar-SA"/>
    </w:rPr>
  </w:style>
  <w:style w:type="character" w:customStyle="1" w:styleId="73">
    <w:name w:val="日期 字符"/>
    <w:link w:val="28"/>
    <w:qFormat/>
    <w:uiPriority w:val="0"/>
    <w:rPr>
      <w:rFonts w:eastAsia="宋体"/>
      <w:color w:val="000000"/>
      <w:kern w:val="2"/>
      <w:sz w:val="24"/>
      <w:szCs w:val="24"/>
      <w:lang w:val="en-US" w:eastAsia="zh-CN" w:bidi="ar-SA"/>
    </w:rPr>
  </w:style>
  <w:style w:type="character" w:customStyle="1" w:styleId="74">
    <w:name w:val="正文文本缩进 2 字符"/>
    <w:link w:val="29"/>
    <w:qFormat/>
    <w:uiPriority w:val="0"/>
    <w:rPr>
      <w:rFonts w:ascii="宋体"/>
      <w:sz w:val="24"/>
    </w:rPr>
  </w:style>
  <w:style w:type="character" w:customStyle="1" w:styleId="75">
    <w:name w:val="批注框文本 字符"/>
    <w:link w:val="31"/>
    <w:qFormat/>
    <w:uiPriority w:val="0"/>
    <w:rPr>
      <w:kern w:val="2"/>
      <w:sz w:val="18"/>
      <w:szCs w:val="18"/>
    </w:rPr>
  </w:style>
  <w:style w:type="character" w:customStyle="1" w:styleId="76">
    <w:name w:val="页脚 字符"/>
    <w:link w:val="32"/>
    <w:qFormat/>
    <w:uiPriority w:val="99"/>
    <w:rPr>
      <w:kern w:val="2"/>
      <w:sz w:val="18"/>
      <w:szCs w:val="18"/>
    </w:rPr>
  </w:style>
  <w:style w:type="character" w:customStyle="1" w:styleId="77">
    <w:name w:val="页眉 字符"/>
    <w:link w:val="33"/>
    <w:qFormat/>
    <w:uiPriority w:val="99"/>
    <w:rPr>
      <w:rFonts w:eastAsia="宋体"/>
      <w:kern w:val="2"/>
      <w:sz w:val="18"/>
      <w:szCs w:val="18"/>
      <w:lang w:val="en-US" w:eastAsia="zh-CN" w:bidi="ar-SA"/>
    </w:rPr>
  </w:style>
  <w:style w:type="character" w:customStyle="1" w:styleId="78">
    <w:name w:val="正文文本缩进 3 字符"/>
    <w:link w:val="37"/>
    <w:qFormat/>
    <w:uiPriority w:val="0"/>
    <w:rPr>
      <w:rFonts w:eastAsia="黑体"/>
      <w:color w:val="000000"/>
      <w:kern w:val="2"/>
      <w:sz w:val="24"/>
      <w:szCs w:val="24"/>
    </w:rPr>
  </w:style>
  <w:style w:type="character" w:customStyle="1" w:styleId="79">
    <w:name w:val="正文文本 2 字符"/>
    <w:link w:val="41"/>
    <w:qFormat/>
    <w:uiPriority w:val="0"/>
    <w:rPr>
      <w:kern w:val="2"/>
      <w:sz w:val="21"/>
      <w:szCs w:val="24"/>
    </w:rPr>
  </w:style>
  <w:style w:type="character" w:customStyle="1" w:styleId="80">
    <w:name w:val="标题 字符"/>
    <w:link w:val="44"/>
    <w:qFormat/>
    <w:uiPriority w:val="0"/>
    <w:rPr>
      <w:rFonts w:ascii="Arial" w:hAnsi="Arial" w:cs="Arial"/>
      <w:b/>
      <w:bCs/>
      <w:kern w:val="2"/>
      <w:sz w:val="32"/>
      <w:szCs w:val="32"/>
    </w:rPr>
  </w:style>
  <w:style w:type="character" w:customStyle="1" w:styleId="81">
    <w:name w:val="批注主题 字符"/>
    <w:link w:val="45"/>
    <w:qFormat/>
    <w:uiPriority w:val="0"/>
    <w:rPr>
      <w:b/>
      <w:bCs/>
      <w:kern w:val="2"/>
      <w:sz w:val="21"/>
      <w:szCs w:val="24"/>
    </w:rPr>
  </w:style>
  <w:style w:type="character" w:customStyle="1" w:styleId="82">
    <w:name w:val="正文文本首行缩进 字符"/>
    <w:link w:val="2"/>
    <w:qFormat/>
    <w:uiPriority w:val="0"/>
    <w:rPr>
      <w:kern w:val="2"/>
      <w:sz w:val="21"/>
      <w:szCs w:val="24"/>
    </w:rPr>
  </w:style>
  <w:style w:type="character" w:customStyle="1" w:styleId="83">
    <w:name w:val="正文文本首行缩进 2 字符"/>
    <w:link w:val="46"/>
    <w:qFormat/>
    <w:uiPriority w:val="0"/>
    <w:rPr>
      <w:rFonts w:ascii="仿宋_GB2312" w:eastAsia="仿宋_GB2312"/>
      <w:color w:val="000000"/>
      <w:kern w:val="2"/>
      <w:sz w:val="21"/>
      <w:szCs w:val="24"/>
    </w:rPr>
  </w:style>
  <w:style w:type="character" w:customStyle="1" w:styleId="84">
    <w:name w:val="纯文本 Char"/>
    <w:qFormat/>
    <w:uiPriority w:val="0"/>
    <w:rPr>
      <w:rFonts w:ascii="宋体" w:hAnsi="Courier New" w:eastAsia="宋体"/>
      <w:kern w:val="2"/>
      <w:sz w:val="21"/>
      <w:lang w:val="en-US" w:eastAsia="zh-CN" w:bidi="ar-SA"/>
    </w:rPr>
  </w:style>
  <w:style w:type="character" w:customStyle="1" w:styleId="85">
    <w:name w:val="纯文本 Char2"/>
    <w:qFormat/>
    <w:uiPriority w:val="0"/>
    <w:rPr>
      <w:rFonts w:hint="eastAsia" w:ascii="宋体" w:hAnsi="Courier New" w:eastAsia="仿宋_GB2312" w:cs="宋体"/>
      <w:b/>
      <w:color w:val="000000"/>
      <w:kern w:val="0"/>
      <w:szCs w:val="21"/>
    </w:rPr>
  </w:style>
  <w:style w:type="character" w:customStyle="1" w:styleId="86">
    <w:name w:val="正文文本缩进 3 Char"/>
    <w:qFormat/>
    <w:uiPriority w:val="0"/>
    <w:rPr>
      <w:rFonts w:eastAsia="黑体"/>
      <w:color w:val="000000"/>
      <w:kern w:val="2"/>
      <w:sz w:val="24"/>
      <w:szCs w:val="24"/>
    </w:rPr>
  </w:style>
  <w:style w:type="character" w:customStyle="1" w:styleId="87">
    <w:name w:val="Footer-Even Char Char"/>
    <w:qFormat/>
    <w:uiPriority w:val="0"/>
    <w:rPr>
      <w:rFonts w:ascii="Times New Roman" w:hAnsi="Times New Roman" w:eastAsia="宋体" w:cs="Times New Roman"/>
      <w:kern w:val="0"/>
      <w:sz w:val="18"/>
      <w:szCs w:val="20"/>
    </w:rPr>
  </w:style>
  <w:style w:type="character" w:customStyle="1" w:styleId="88">
    <w:name w:val="z-窗体顶端 Char1"/>
    <w:qFormat/>
    <w:uiPriority w:val="0"/>
    <w:rPr>
      <w:rFonts w:ascii="Arial" w:hAnsi="Arial" w:cs="Arial"/>
      <w:vanish/>
      <w:kern w:val="2"/>
      <w:sz w:val="16"/>
      <w:szCs w:val="16"/>
    </w:rPr>
  </w:style>
  <w:style w:type="character" w:customStyle="1" w:styleId="89">
    <w:name w:val="纯文本 字符"/>
    <w:qFormat/>
    <w:uiPriority w:val="0"/>
    <w:rPr>
      <w:rFonts w:ascii="宋体" w:hAnsi="Courier New" w:eastAsia="仿宋_GB2312" w:cs="宋体"/>
      <w:b/>
      <w:bCs/>
      <w:color w:val="000000"/>
      <w:kern w:val="2"/>
      <w:sz w:val="21"/>
      <w:szCs w:val="22"/>
    </w:rPr>
  </w:style>
  <w:style w:type="character" w:customStyle="1" w:styleId="90">
    <w:name w:val="Char Char17"/>
    <w:qFormat/>
    <w:uiPriority w:val="0"/>
    <w:rPr>
      <w:rFonts w:ascii="宋体" w:eastAsia="宋体"/>
      <w:b/>
      <w:kern w:val="44"/>
      <w:sz w:val="24"/>
      <w:lang w:val="en-US" w:eastAsia="zh-CN" w:bidi="ar-SA"/>
    </w:rPr>
  </w:style>
  <w:style w:type="character" w:customStyle="1" w:styleId="91">
    <w:name w:val="页眉 Char1"/>
    <w:qFormat/>
    <w:uiPriority w:val="0"/>
    <w:rPr>
      <w:sz w:val="18"/>
    </w:rPr>
  </w:style>
  <w:style w:type="character" w:customStyle="1" w:styleId="92">
    <w:name w:val="Char Char6"/>
    <w:qFormat/>
    <w:uiPriority w:val="0"/>
    <w:rPr>
      <w:rFonts w:ascii="宋体" w:eastAsia="宋体"/>
      <w:b/>
      <w:kern w:val="44"/>
      <w:sz w:val="24"/>
      <w:lang w:val="en-US" w:eastAsia="zh-CN" w:bidi="ar-SA"/>
    </w:rPr>
  </w:style>
  <w:style w:type="character" w:customStyle="1" w:styleId="93">
    <w:name w:val="自定义正文 Char Char"/>
    <w:link w:val="94"/>
    <w:qFormat/>
    <w:uiPriority w:val="0"/>
    <w:rPr>
      <w:kern w:val="2"/>
      <w:sz w:val="24"/>
    </w:rPr>
  </w:style>
  <w:style w:type="paragraph" w:customStyle="1" w:styleId="94">
    <w:name w:val="自定义正文"/>
    <w:basedOn w:val="1"/>
    <w:link w:val="93"/>
    <w:qFormat/>
    <w:uiPriority w:val="0"/>
    <w:pPr>
      <w:spacing w:after="156" w:afterLines="50" w:line="360" w:lineRule="auto"/>
      <w:ind w:firstLine="200" w:firstLineChars="200"/>
      <w:jc w:val="left"/>
    </w:pPr>
    <w:rPr>
      <w:sz w:val="24"/>
      <w:szCs w:val="20"/>
    </w:rPr>
  </w:style>
  <w:style w:type="character" w:customStyle="1" w:styleId="95">
    <w:name w:val="op-map-singlepoint-info-right1"/>
    <w:qFormat/>
    <w:uiPriority w:val="0"/>
  </w:style>
  <w:style w:type="character" w:customStyle="1" w:styleId="96">
    <w:name w:val="Char Char8"/>
    <w:qFormat/>
    <w:uiPriority w:val="0"/>
    <w:rPr>
      <w:rFonts w:ascii="Cambria" w:hAnsi="Cambria" w:eastAsia="宋体" w:cs="Times New Roman"/>
      <w:b/>
      <w:bCs/>
      <w:sz w:val="32"/>
      <w:szCs w:val="32"/>
    </w:rPr>
  </w:style>
  <w:style w:type="character" w:customStyle="1" w:styleId="97">
    <w:name w:val="v151"/>
    <w:qFormat/>
    <w:uiPriority w:val="0"/>
    <w:rPr>
      <w:rFonts w:eastAsia="宋体"/>
      <w:kern w:val="2"/>
      <w:sz w:val="18"/>
      <w:szCs w:val="18"/>
      <w:lang w:val="en-US" w:eastAsia="zh-CN" w:bidi="ar-SA"/>
    </w:rPr>
  </w:style>
  <w:style w:type="character" w:customStyle="1" w:styleId="98">
    <w:name w:val="纯文本 Char1"/>
    <w:qFormat/>
    <w:uiPriority w:val="0"/>
    <w:rPr>
      <w:rFonts w:ascii="宋体" w:hAnsi="Courier New" w:eastAsia="宋体"/>
      <w:kern w:val="2"/>
      <w:sz w:val="21"/>
      <w:lang w:val="en-US" w:eastAsia="zh-CN" w:bidi="ar-SA"/>
    </w:rPr>
  </w:style>
  <w:style w:type="character" w:customStyle="1" w:styleId="99">
    <w:name w:val="font61"/>
    <w:qFormat/>
    <w:uiPriority w:val="0"/>
    <w:rPr>
      <w:rFonts w:hint="eastAsia" w:ascii="宋体" w:hAnsi="宋体" w:eastAsia="宋体" w:cs="宋体"/>
      <w:color w:val="000000"/>
      <w:sz w:val="24"/>
      <w:szCs w:val="24"/>
      <w:u w:val="none"/>
    </w:rPr>
  </w:style>
  <w:style w:type="character" w:customStyle="1" w:styleId="100">
    <w:name w:val="Default 1"/>
    <w:qFormat/>
    <w:uiPriority w:val="0"/>
    <w:rPr>
      <w:rFonts w:cs="Verdana"/>
      <w:sz w:val="16"/>
      <w:szCs w:val="16"/>
    </w:rPr>
  </w:style>
  <w:style w:type="character" w:customStyle="1" w:styleId="101">
    <w:name w:val="正文文字首行缩进 Char"/>
    <w:qFormat/>
    <w:uiPriority w:val="0"/>
    <w:rPr>
      <w:rFonts w:ascii="Times New Roman" w:hAnsi="Times New Roman"/>
      <w:sz w:val="21"/>
    </w:rPr>
  </w:style>
  <w:style w:type="character" w:customStyle="1" w:styleId="102">
    <w:name w:val="font11"/>
    <w:qFormat/>
    <w:uiPriority w:val="0"/>
    <w:rPr>
      <w:rFonts w:hint="eastAsia" w:ascii="宋体" w:hAnsi="宋体" w:eastAsia="宋体" w:cs="宋体"/>
      <w:b/>
      <w:color w:val="000000"/>
      <w:sz w:val="24"/>
      <w:szCs w:val="24"/>
      <w:u w:val="none"/>
    </w:rPr>
  </w:style>
  <w:style w:type="character" w:customStyle="1" w:styleId="103">
    <w:name w:val="Char Char2"/>
    <w:qFormat/>
    <w:uiPriority w:val="0"/>
    <w:rPr>
      <w:rFonts w:eastAsia="宋体"/>
      <w:kern w:val="2"/>
      <w:sz w:val="18"/>
      <w:szCs w:val="18"/>
      <w:lang w:val="en-US" w:eastAsia="zh-CN" w:bidi="ar-SA"/>
    </w:rPr>
  </w:style>
  <w:style w:type="character" w:customStyle="1" w:styleId="104">
    <w:name w:val="para"/>
    <w:qFormat/>
    <w:uiPriority w:val="0"/>
    <w:rPr>
      <w:rFonts w:eastAsia="宋体"/>
      <w:kern w:val="2"/>
      <w:sz w:val="24"/>
      <w:szCs w:val="24"/>
      <w:lang w:val="en-US" w:eastAsia="zh-CN" w:bidi="ar-SA"/>
    </w:rPr>
  </w:style>
  <w:style w:type="character" w:customStyle="1" w:styleId="105">
    <w:name w:val="12blk1"/>
    <w:qFormat/>
    <w:uiPriority w:val="0"/>
    <w:rPr>
      <w:rFonts w:hint="default"/>
      <w:color w:val="000000"/>
      <w:sz w:val="24"/>
      <w:szCs w:val="24"/>
      <w:u w:val="none"/>
    </w:rPr>
  </w:style>
  <w:style w:type="character" w:customStyle="1" w:styleId="106">
    <w:name w:val="contentheaderrev1"/>
    <w:qFormat/>
    <w:uiPriority w:val="0"/>
    <w:rPr>
      <w:rFonts w:hint="default" w:ascii="Arial" w:hAnsi="Arial" w:cs="Arial"/>
      <w:b/>
      <w:bCs/>
      <w:color w:val="FFFFFF"/>
      <w:sz w:val="24"/>
      <w:szCs w:val="24"/>
      <w:u w:val="none"/>
    </w:rPr>
  </w:style>
  <w:style w:type="character" w:customStyle="1" w:styleId="107">
    <w:name w:val="纯文本字符"/>
    <w:qFormat/>
    <w:uiPriority w:val="0"/>
    <w:rPr>
      <w:rFonts w:ascii="宋体" w:hAnsi="Courier New"/>
      <w:kern w:val="2"/>
      <w:sz w:val="24"/>
      <w:szCs w:val="24"/>
      <w:lang w:bidi="ar-SA"/>
    </w:rPr>
  </w:style>
  <w:style w:type="character" w:customStyle="1" w:styleId="108">
    <w:name w:val="z-窗体底端 Char1"/>
    <w:qFormat/>
    <w:uiPriority w:val="0"/>
    <w:rPr>
      <w:rFonts w:ascii="Arial" w:hAnsi="Arial" w:cs="Arial"/>
      <w:vanish/>
      <w:kern w:val="2"/>
      <w:sz w:val="16"/>
      <w:szCs w:val="16"/>
    </w:rPr>
  </w:style>
  <w:style w:type="character" w:customStyle="1" w:styleId="109">
    <w:name w:val="Char Char12"/>
    <w:qFormat/>
    <w:uiPriority w:val="0"/>
    <w:rPr>
      <w:rFonts w:eastAsia="宋体"/>
      <w:kern w:val="2"/>
      <w:sz w:val="18"/>
      <w:szCs w:val="18"/>
      <w:lang w:val="en-US" w:eastAsia="zh-CN" w:bidi="ar-SA"/>
    </w:rPr>
  </w:style>
  <w:style w:type="character" w:customStyle="1" w:styleId="110">
    <w:name w:val="标题 1 Char Char"/>
    <w:qFormat/>
    <w:uiPriority w:val="0"/>
    <w:rPr>
      <w:rFonts w:eastAsia="宋体"/>
      <w:b/>
      <w:spacing w:val="-2"/>
      <w:sz w:val="24"/>
      <w:lang w:val="en-US" w:eastAsia="zh-CN" w:bidi="ar-SA"/>
    </w:rPr>
  </w:style>
  <w:style w:type="character" w:customStyle="1" w:styleId="111">
    <w:name w:val="普通文字 Char Char Char Char1"/>
    <w:qFormat/>
    <w:uiPriority w:val="0"/>
    <w:rPr>
      <w:rFonts w:ascii="宋体" w:hAnsi="Courier New" w:eastAsia="仿宋_GB2312"/>
      <w:b/>
      <w:color w:val="000000"/>
      <w:sz w:val="21"/>
    </w:rPr>
  </w:style>
  <w:style w:type="character" w:customStyle="1" w:styleId="112">
    <w:name w:val="列表段落 字符"/>
    <w:link w:val="113"/>
    <w:qFormat/>
    <w:uiPriority w:val="34"/>
    <w:rPr>
      <w:rFonts w:ascii="Calibri" w:hAnsi="Calibri"/>
      <w:kern w:val="2"/>
      <w:sz w:val="21"/>
      <w:szCs w:val="22"/>
    </w:rPr>
  </w:style>
  <w:style w:type="paragraph" w:styleId="113">
    <w:name w:val="List Paragraph"/>
    <w:basedOn w:val="1"/>
    <w:link w:val="112"/>
    <w:qFormat/>
    <w:uiPriority w:val="34"/>
    <w:pPr>
      <w:ind w:firstLine="420" w:firstLineChars="200"/>
    </w:pPr>
    <w:rPr>
      <w:rFonts w:ascii="Calibri" w:hAnsi="Calibri"/>
      <w:szCs w:val="22"/>
    </w:rPr>
  </w:style>
  <w:style w:type="character" w:customStyle="1" w:styleId="114">
    <w:name w:val="Char Char7"/>
    <w:qFormat/>
    <w:uiPriority w:val="0"/>
    <w:rPr>
      <w:rFonts w:ascii="Cambria" w:hAnsi="Cambria" w:eastAsia="宋体"/>
      <w:b/>
      <w:bCs/>
      <w:sz w:val="32"/>
      <w:szCs w:val="32"/>
      <w:lang w:val="en-US" w:eastAsia="zh-CN" w:bidi="ar-SA"/>
    </w:rPr>
  </w:style>
  <w:style w:type="character" w:customStyle="1" w:styleId="115">
    <w:name w:val="日期 Char"/>
    <w:qFormat/>
    <w:uiPriority w:val="0"/>
    <w:rPr>
      <w:rFonts w:eastAsia="宋体"/>
      <w:color w:val="000000"/>
      <w:kern w:val="2"/>
      <w:sz w:val="24"/>
      <w:szCs w:val="24"/>
      <w:lang w:val="en-US" w:eastAsia="zh-CN" w:bidi="ar-SA"/>
    </w:rPr>
  </w:style>
  <w:style w:type="character" w:customStyle="1" w:styleId="116">
    <w:name w:val="unnamed51"/>
    <w:qFormat/>
    <w:uiPriority w:val="0"/>
    <w:rPr>
      <w:sz w:val="22"/>
      <w:szCs w:val="22"/>
    </w:rPr>
  </w:style>
  <w:style w:type="character" w:customStyle="1" w:styleId="117">
    <w:name w:val="纯文本 Char Char Char"/>
    <w:qFormat/>
    <w:uiPriority w:val="0"/>
    <w:rPr>
      <w:rFonts w:ascii="宋体" w:hAnsi="Courier New" w:eastAsia="宋体"/>
      <w:kern w:val="2"/>
      <w:sz w:val="21"/>
      <w:lang w:val="en-US" w:eastAsia="zh-CN" w:bidi="ar-SA"/>
    </w:rPr>
  </w:style>
  <w:style w:type="character" w:customStyle="1" w:styleId="118">
    <w:name w:val="列出段落 Char"/>
    <w:qFormat/>
    <w:uiPriority w:val="34"/>
    <w:rPr>
      <w:kern w:val="2"/>
      <w:sz w:val="21"/>
    </w:rPr>
  </w:style>
  <w:style w:type="character" w:customStyle="1" w:styleId="119">
    <w:name w:val="纯文本 字符1"/>
    <w:qFormat/>
    <w:uiPriority w:val="0"/>
    <w:rPr>
      <w:rFonts w:hint="eastAsia" w:ascii="宋体" w:hAnsi="Courier New" w:eastAsia="仿宋_GB2312" w:cs="宋体"/>
      <w:b/>
      <w:color w:val="000000"/>
      <w:kern w:val="0"/>
      <w:szCs w:val="21"/>
    </w:rPr>
  </w:style>
  <w:style w:type="character" w:customStyle="1" w:styleId="120">
    <w:name w:val="wj1"/>
    <w:qFormat/>
    <w:uiPriority w:val="0"/>
    <w:rPr>
      <w:color w:val="000000"/>
      <w:sz w:val="18"/>
      <w:szCs w:val="18"/>
      <w:u w:val="none"/>
    </w:rPr>
  </w:style>
  <w:style w:type="character" w:customStyle="1" w:styleId="121">
    <w:name w:val="themebody1"/>
    <w:qFormat/>
    <w:uiPriority w:val="0"/>
    <w:rPr>
      <w:rFonts w:eastAsia="宋体"/>
      <w:color w:val="FFFFFF"/>
      <w:kern w:val="2"/>
      <w:sz w:val="24"/>
      <w:szCs w:val="24"/>
      <w:lang w:val="en-US" w:eastAsia="zh-CN" w:bidi="ar-SA"/>
    </w:rPr>
  </w:style>
  <w:style w:type="character" w:customStyle="1" w:styleId="122">
    <w:name w:val="small"/>
    <w:qFormat/>
    <w:uiPriority w:val="0"/>
    <w:rPr>
      <w:rFonts w:eastAsia="宋体"/>
      <w:kern w:val="2"/>
      <w:sz w:val="24"/>
      <w:szCs w:val="24"/>
      <w:lang w:val="en-US" w:eastAsia="zh-CN" w:bidi="ar-SA"/>
    </w:rPr>
  </w:style>
  <w:style w:type="character" w:customStyle="1" w:styleId="123">
    <w:name w:val="标题2 Char1"/>
    <w:qFormat/>
    <w:uiPriority w:val="0"/>
    <w:rPr>
      <w:rFonts w:ascii="Cambria" w:hAnsi="Cambria" w:eastAsia="宋体" w:cs="Times New Roman"/>
      <w:b/>
      <w:bCs/>
      <w:sz w:val="32"/>
      <w:szCs w:val="32"/>
    </w:rPr>
  </w:style>
  <w:style w:type="character" w:customStyle="1" w:styleId="124">
    <w:name w:val="z-窗体顶端 字符"/>
    <w:link w:val="125"/>
    <w:qFormat/>
    <w:uiPriority w:val="0"/>
    <w:rPr>
      <w:rFonts w:ascii="Arial" w:hAnsi="Arial" w:cs="Arial"/>
      <w:vanish/>
      <w:sz w:val="16"/>
      <w:szCs w:val="16"/>
    </w:rPr>
  </w:style>
  <w:style w:type="paragraph" w:customStyle="1" w:styleId="125">
    <w:name w:val="z-窗体顶端1"/>
    <w:basedOn w:val="1"/>
    <w:next w:val="1"/>
    <w:link w:val="124"/>
    <w:qFormat/>
    <w:uiPriority w:val="0"/>
    <w:pPr>
      <w:widowControl/>
      <w:pBdr>
        <w:bottom w:val="single" w:color="auto" w:sz="6" w:space="1"/>
      </w:pBdr>
      <w:jc w:val="center"/>
    </w:pPr>
    <w:rPr>
      <w:rFonts w:ascii="Arial" w:hAnsi="Arial"/>
      <w:vanish/>
      <w:kern w:val="0"/>
      <w:sz w:val="16"/>
      <w:szCs w:val="16"/>
    </w:rPr>
  </w:style>
  <w:style w:type="character" w:customStyle="1" w:styleId="126">
    <w:name w:val="ft"/>
    <w:qFormat/>
    <w:uiPriority w:val="0"/>
  </w:style>
  <w:style w:type="character" w:customStyle="1" w:styleId="127">
    <w:name w:val="批注主题 Char"/>
    <w:qFormat/>
    <w:uiPriority w:val="0"/>
    <w:rPr>
      <w:b/>
      <w:bCs/>
      <w:kern w:val="2"/>
      <w:sz w:val="21"/>
      <w:szCs w:val="24"/>
    </w:rPr>
  </w:style>
  <w:style w:type="character" w:customStyle="1" w:styleId="128">
    <w:name w:val="grame"/>
    <w:qFormat/>
    <w:uiPriority w:val="0"/>
  </w:style>
  <w:style w:type="character" w:customStyle="1" w:styleId="129">
    <w:name w:val="biaoti-red"/>
    <w:qFormat/>
    <w:uiPriority w:val="0"/>
  </w:style>
  <w:style w:type="character" w:customStyle="1" w:styleId="130">
    <w:name w:val="text1"/>
    <w:qFormat/>
    <w:uiPriority w:val="0"/>
    <w:rPr>
      <w:rFonts w:hint="default"/>
      <w:color w:val="666666"/>
      <w:sz w:val="18"/>
      <w:szCs w:val="18"/>
      <w:u w:val="none"/>
    </w:rPr>
  </w:style>
  <w:style w:type="character" w:customStyle="1" w:styleId="131">
    <w:name w:val="z-窗体底端 字符"/>
    <w:link w:val="132"/>
    <w:qFormat/>
    <w:uiPriority w:val="0"/>
    <w:rPr>
      <w:rFonts w:ascii="Arial" w:hAnsi="Arial" w:cs="Arial"/>
      <w:vanish/>
      <w:sz w:val="16"/>
      <w:szCs w:val="16"/>
    </w:rPr>
  </w:style>
  <w:style w:type="paragraph" w:customStyle="1" w:styleId="132">
    <w:name w:val="z-窗体底端1"/>
    <w:basedOn w:val="1"/>
    <w:next w:val="1"/>
    <w:link w:val="131"/>
    <w:qFormat/>
    <w:uiPriority w:val="0"/>
    <w:pPr>
      <w:widowControl/>
      <w:pBdr>
        <w:top w:val="single" w:color="auto" w:sz="6" w:space="1"/>
      </w:pBdr>
      <w:jc w:val="center"/>
    </w:pPr>
    <w:rPr>
      <w:rFonts w:ascii="Arial" w:hAnsi="Arial"/>
      <w:vanish/>
      <w:kern w:val="0"/>
      <w:sz w:val="16"/>
      <w:szCs w:val="16"/>
    </w:rPr>
  </w:style>
  <w:style w:type="character" w:customStyle="1" w:styleId="133">
    <w:name w:val="标题 2 Char1"/>
    <w:qFormat/>
    <w:uiPriority w:val="9"/>
    <w:rPr>
      <w:rFonts w:ascii="Cambria" w:hAnsi="Cambria"/>
      <w:b/>
      <w:bCs/>
      <w:sz w:val="32"/>
      <w:szCs w:val="32"/>
    </w:rPr>
  </w:style>
  <w:style w:type="character" w:customStyle="1" w:styleId="134">
    <w:name w:val="段 Char"/>
    <w:link w:val="135"/>
    <w:qFormat/>
    <w:uiPriority w:val="0"/>
    <w:rPr>
      <w:rFonts w:ascii="宋体"/>
      <w:lang w:val="en-US" w:eastAsia="zh-CN" w:bidi="ar-SA"/>
    </w:rPr>
  </w:style>
  <w:style w:type="paragraph" w:customStyle="1" w:styleId="135">
    <w:name w:val="段"/>
    <w:link w:val="1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36">
    <w:name w:val="标题1"/>
    <w:basedOn w:val="1"/>
    <w:qFormat/>
    <w:uiPriority w:val="0"/>
    <w:pPr>
      <w:widowControl/>
      <w:spacing w:before="100" w:beforeAutospacing="1" w:after="100" w:afterAutospacing="1"/>
      <w:jc w:val="left"/>
    </w:pPr>
    <w:rPr>
      <w:rFonts w:ascii="宋体" w:hAnsi="宋体"/>
      <w:b/>
      <w:bCs/>
      <w:color w:val="0000CC"/>
      <w:kern w:val="0"/>
      <w:sz w:val="34"/>
      <w:szCs w:val="34"/>
    </w:rPr>
  </w:style>
  <w:style w:type="paragraph" w:customStyle="1" w:styleId="13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38">
    <w:name w:val="Char Char Char Char1 Char Char Char Char"/>
    <w:basedOn w:val="17"/>
    <w:qFormat/>
    <w:uiPriority w:val="0"/>
    <w:rPr>
      <w:szCs w:val="20"/>
    </w:rPr>
  </w:style>
  <w:style w:type="paragraph" w:customStyle="1" w:styleId="13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40">
    <w:name w:val="px12l140"/>
    <w:basedOn w:val="1"/>
    <w:qFormat/>
    <w:uiPriority w:val="0"/>
    <w:pPr>
      <w:widowControl/>
      <w:spacing w:before="100" w:beforeAutospacing="1" w:after="100" w:afterAutospacing="1" w:line="336" w:lineRule="auto"/>
      <w:jc w:val="left"/>
    </w:pPr>
    <w:rPr>
      <w:kern w:val="0"/>
      <w:sz w:val="20"/>
      <w:szCs w:val="20"/>
    </w:rPr>
  </w:style>
  <w:style w:type="paragraph" w:customStyle="1" w:styleId="141">
    <w:name w:val="zoey楷体正文"/>
    <w:basedOn w:val="4"/>
    <w:qFormat/>
    <w:uiPriority w:val="0"/>
    <w:pPr>
      <w:keepNext w:val="0"/>
      <w:spacing w:line="360" w:lineRule="auto"/>
      <w:ind w:firstLine="420" w:firstLineChars="200"/>
      <w:contextualSpacing/>
      <w:jc w:val="left"/>
      <w:outlineLvl w:val="9"/>
    </w:pPr>
    <w:rPr>
      <w:rFonts w:ascii="宋体" w:hAnsi="宋体" w:eastAsia="楷体_GB2312"/>
      <w:color w:val="000000"/>
      <w:sz w:val="24"/>
      <w:szCs w:val="21"/>
    </w:rPr>
  </w:style>
  <w:style w:type="paragraph" w:customStyle="1" w:styleId="142">
    <w:name w:val="Char Char Char Char Char Char Char"/>
    <w:basedOn w:val="1"/>
    <w:qFormat/>
    <w:uiPriority w:val="0"/>
    <w:rPr>
      <w:rFonts w:ascii="仿宋_GB2312" w:eastAsia="仿宋_GB2312"/>
      <w:b/>
      <w:sz w:val="32"/>
      <w:szCs w:val="32"/>
    </w:rPr>
  </w:style>
  <w:style w:type="paragraph" w:customStyle="1" w:styleId="14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Char Char Char Char1"/>
    <w:basedOn w:val="17"/>
    <w:qFormat/>
    <w:uiPriority w:val="0"/>
    <w:rPr>
      <w:szCs w:val="20"/>
    </w:rPr>
  </w:style>
  <w:style w:type="paragraph" w:customStyle="1" w:styleId="145">
    <w:name w:val="p14"/>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46">
    <w:name w:val="样式1"/>
    <w:basedOn w:val="7"/>
    <w:qFormat/>
    <w:uiPriority w:val="0"/>
    <w:pPr>
      <w:spacing w:line="374" w:lineRule="auto"/>
    </w:pPr>
  </w:style>
  <w:style w:type="paragraph" w:customStyle="1" w:styleId="147">
    <w:name w:val="Figure Desription Char"/>
    <w:basedOn w:val="1"/>
    <w:qFormat/>
    <w:uiPriority w:val="0"/>
  </w:style>
  <w:style w:type="paragraph" w:customStyle="1" w:styleId="148">
    <w:name w:val="默认段落字体 Para Char Char Char Char Char Char Char Char Char1 Char Char Char Char"/>
    <w:basedOn w:val="1"/>
    <w:qFormat/>
    <w:uiPriority w:val="0"/>
    <w:rPr>
      <w:rFonts w:ascii="Tahoma" w:hAnsi="Tahoma"/>
      <w:sz w:val="24"/>
      <w:szCs w:val="20"/>
    </w:rPr>
  </w:style>
  <w:style w:type="paragraph" w:customStyle="1" w:styleId="14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样式2"/>
    <w:basedOn w:val="7"/>
    <w:qFormat/>
    <w:uiPriority w:val="0"/>
    <w:pPr>
      <w:keepLines w:val="0"/>
      <w:widowControl/>
      <w:tabs>
        <w:tab w:val="left" w:pos="425"/>
      </w:tabs>
      <w:spacing w:before="240" w:after="60" w:line="240" w:lineRule="auto"/>
      <w:ind w:left="425" w:hanging="425"/>
      <w:jc w:val="left"/>
    </w:pPr>
    <w:rPr>
      <w:rFonts w:eastAsia="宋体"/>
      <w:bCs w:val="0"/>
      <w:kern w:val="0"/>
      <w:sz w:val="24"/>
      <w:szCs w:val="20"/>
      <w:lang w:eastAsia="en-US"/>
    </w:rPr>
  </w:style>
  <w:style w:type="paragraph" w:customStyle="1" w:styleId="151">
    <w:name w:val="标题 1 + 仿宋_GB2312"/>
    <w:basedOn w:val="4"/>
    <w:qFormat/>
    <w:uiPriority w:val="0"/>
    <w:pPr>
      <w:keepLines/>
      <w:spacing w:before="340" w:after="330" w:line="578" w:lineRule="auto"/>
      <w:jc w:val="both"/>
    </w:pPr>
    <w:rPr>
      <w:rFonts w:ascii="仿宋_GB2312" w:eastAsia="仿宋_GB2312"/>
      <w:b/>
      <w:bCs/>
      <w:kern w:val="44"/>
      <w:sz w:val="32"/>
      <w:szCs w:val="32"/>
    </w:rPr>
  </w:style>
  <w:style w:type="paragraph" w:customStyle="1" w:styleId="152">
    <w:name w:val="Char Char1"/>
    <w:basedOn w:val="1"/>
    <w:qFormat/>
    <w:uiPriority w:val="0"/>
    <w:rPr>
      <w:rFonts w:ascii="Tahoma" w:hAnsi="Tahoma"/>
      <w:sz w:val="24"/>
      <w:szCs w:val="20"/>
    </w:rPr>
  </w:style>
  <w:style w:type="paragraph" w:customStyle="1" w:styleId="153">
    <w:name w:val="Char Char4"/>
    <w:basedOn w:val="1"/>
    <w:qFormat/>
    <w:uiPriority w:val="0"/>
    <w:rPr>
      <w:rFonts w:ascii="Tahoma" w:hAnsi="Tahoma"/>
      <w:sz w:val="24"/>
      <w:szCs w:val="20"/>
    </w:rPr>
  </w:style>
  <w:style w:type="paragraph" w:customStyle="1" w:styleId="154">
    <w:name w:val="list_sx"/>
    <w:basedOn w:val="1"/>
    <w:qFormat/>
    <w:uiPriority w:val="0"/>
    <w:pPr>
      <w:widowControl/>
      <w:spacing w:before="100" w:beforeAutospacing="1" w:after="100" w:afterAutospacing="1"/>
      <w:jc w:val="left"/>
    </w:pPr>
    <w:rPr>
      <w:rFonts w:ascii="宋体" w:hAnsi="宋体"/>
      <w:color w:val="3166CE"/>
      <w:kern w:val="0"/>
      <w:sz w:val="24"/>
    </w:rPr>
  </w:style>
  <w:style w:type="paragraph" w:customStyle="1" w:styleId="155">
    <w:name w:val="Char Char7 Char"/>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56">
    <w:name w:val="p14a"/>
    <w:basedOn w:val="1"/>
    <w:qFormat/>
    <w:uiPriority w:val="0"/>
    <w:pPr>
      <w:widowControl/>
      <w:spacing w:before="100" w:beforeAutospacing="1" w:after="100" w:afterAutospacing="1" w:line="411" w:lineRule="atLeast"/>
      <w:jc w:val="left"/>
    </w:pPr>
    <w:rPr>
      <w:rFonts w:ascii="宋体" w:hAnsi="宋体"/>
      <w:kern w:val="0"/>
      <w:sz w:val="26"/>
      <w:szCs w:val="26"/>
    </w:rPr>
  </w:style>
  <w:style w:type="paragraph" w:customStyle="1" w:styleId="157">
    <w:name w:val="14shadhxxx"/>
    <w:basedOn w:val="1"/>
    <w:qFormat/>
    <w:uiPriority w:val="0"/>
    <w:pPr>
      <w:widowControl/>
      <w:spacing w:before="100" w:beforeAutospacing="1" w:after="100" w:afterAutospacing="1"/>
      <w:jc w:val="left"/>
    </w:pPr>
    <w:rPr>
      <w:rFonts w:ascii="宋体" w:hAnsi="宋体"/>
      <w:b/>
      <w:bCs/>
      <w:color w:val="000000"/>
      <w:kern w:val="0"/>
      <w:sz w:val="26"/>
      <w:szCs w:val="26"/>
    </w:rPr>
  </w:style>
  <w:style w:type="paragraph" w:customStyle="1" w:styleId="15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159">
    <w:name w:val="默认段落字体 Para Char Char Char Char"/>
    <w:basedOn w:val="1"/>
    <w:qFormat/>
    <w:uiPriority w:val="0"/>
    <w:rPr>
      <w:szCs w:val="20"/>
    </w:rPr>
  </w:style>
  <w:style w:type="paragraph" w:customStyle="1" w:styleId="160">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1">
    <w:name w:val="p14_1"/>
    <w:basedOn w:val="1"/>
    <w:qFormat/>
    <w:uiPriority w:val="0"/>
    <w:pPr>
      <w:widowControl/>
      <w:spacing w:before="100" w:beforeAutospacing="1" w:after="100" w:afterAutospacing="1"/>
      <w:jc w:val="left"/>
    </w:pPr>
    <w:rPr>
      <w:rFonts w:ascii="宋体" w:hAnsi="宋体"/>
      <w:color w:val="000000"/>
      <w:kern w:val="0"/>
      <w:sz w:val="26"/>
      <w:szCs w:val="26"/>
    </w:rPr>
  </w:style>
  <w:style w:type="paragraph" w:customStyle="1" w:styleId="162">
    <w:name w:val="p0"/>
    <w:basedOn w:val="1"/>
    <w:uiPriority w:val="0"/>
    <w:pPr>
      <w:widowControl/>
    </w:pPr>
    <w:rPr>
      <w:rFonts w:ascii="Calibri" w:hAnsi="Calibri" w:cs="宋体"/>
      <w:kern w:val="0"/>
      <w:szCs w:val="21"/>
    </w:rPr>
  </w:style>
  <w:style w:type="paragraph" w:customStyle="1" w:styleId="163">
    <w:name w:val="_Style 50"/>
    <w:next w:val="1"/>
    <w:qFormat/>
    <w:uiPriority w:val="0"/>
    <w:rPr>
      <w:rFonts w:ascii="Times New Roman" w:hAnsi="Times New Roman" w:eastAsia="宋体" w:cs="Times New Roman"/>
      <w:sz w:val="21"/>
      <w:lang w:val="en-US" w:eastAsia="zh-CN" w:bidi="ar-SA"/>
    </w:rPr>
  </w:style>
  <w:style w:type="paragraph" w:customStyle="1" w:styleId="164">
    <w:name w:val="font2"/>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165">
    <w:name w:val="Char Char7 Char1"/>
    <w:basedOn w:val="1"/>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166">
    <w:name w:val="Char2"/>
    <w:basedOn w:val="1"/>
    <w:qFormat/>
    <w:uiPriority w:val="0"/>
    <w:rPr>
      <w:rFonts w:ascii="仿宋_GB2312" w:eastAsia="仿宋_GB2312"/>
      <w:b/>
      <w:sz w:val="32"/>
      <w:szCs w:val="32"/>
    </w:rPr>
  </w:style>
  <w:style w:type="paragraph" w:customStyle="1" w:styleId="167">
    <w:name w:val="font15"/>
    <w:basedOn w:val="1"/>
    <w:qFormat/>
    <w:uiPriority w:val="0"/>
    <w:pPr>
      <w:widowControl/>
      <w:spacing w:before="100" w:beforeAutospacing="1" w:after="100" w:afterAutospacing="1"/>
      <w:jc w:val="left"/>
    </w:pPr>
    <w:rPr>
      <w:rFonts w:ascii="宋体" w:hAnsi="宋体"/>
      <w:b/>
      <w:bCs/>
      <w:color w:val="5C9DDF"/>
      <w:kern w:val="0"/>
      <w:sz w:val="24"/>
    </w:rPr>
  </w:style>
  <w:style w:type="paragraph" w:customStyle="1" w:styleId="168">
    <w:name w:val="Char"/>
    <w:basedOn w:val="1"/>
    <w:qFormat/>
    <w:uiPriority w:val="0"/>
    <w:rPr>
      <w:rFonts w:ascii="仿宋_GB2312" w:eastAsia="仿宋_GB2312"/>
      <w:b/>
      <w:sz w:val="32"/>
      <w:szCs w:val="32"/>
    </w:rPr>
  </w:style>
  <w:style w:type="paragraph" w:customStyle="1" w:styleId="169">
    <w:name w:val="表格文字"/>
    <w:basedOn w:val="1"/>
    <w:next w:val="3"/>
    <w:qFormat/>
    <w:uiPriority w:val="0"/>
    <w:pPr>
      <w:widowControl/>
      <w:adjustRightInd w:val="0"/>
      <w:spacing w:line="420" w:lineRule="atLeast"/>
      <w:jc w:val="left"/>
      <w:textAlignment w:val="baseline"/>
    </w:pPr>
    <w:rPr>
      <w:kern w:val="0"/>
    </w:rPr>
  </w:style>
  <w:style w:type="paragraph" w:customStyle="1" w:styleId="170">
    <w:name w:val="12shad"/>
    <w:basedOn w:val="1"/>
    <w:qFormat/>
    <w:uiPriority w:val="0"/>
    <w:pPr>
      <w:widowControl/>
      <w:spacing w:before="100" w:beforeAutospacing="1" w:after="100" w:afterAutospacing="1"/>
      <w:jc w:val="left"/>
    </w:pPr>
    <w:rPr>
      <w:rFonts w:ascii="宋体" w:hAnsi="宋体"/>
      <w:color w:val="FFFFFF"/>
      <w:kern w:val="0"/>
      <w:sz w:val="22"/>
      <w:szCs w:val="22"/>
    </w:rPr>
  </w:style>
  <w:style w:type="paragraph" w:customStyle="1" w:styleId="171">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72">
    <w:name w:val="Char Char Char Char Char Char Char Char Char Char"/>
    <w:basedOn w:val="17"/>
    <w:qFormat/>
    <w:uiPriority w:val="0"/>
  </w:style>
  <w:style w:type="paragraph" w:customStyle="1" w:styleId="173">
    <w:name w:val="l17"/>
    <w:basedOn w:val="1"/>
    <w:qFormat/>
    <w:uiPriority w:val="0"/>
    <w:pPr>
      <w:widowControl/>
      <w:spacing w:before="100" w:beforeAutospacing="1" w:after="100" w:afterAutospacing="1" w:line="318" w:lineRule="atLeast"/>
      <w:jc w:val="left"/>
    </w:pPr>
    <w:rPr>
      <w:rFonts w:ascii="宋体" w:hAnsi="宋体"/>
      <w:kern w:val="0"/>
      <w:sz w:val="24"/>
    </w:rPr>
  </w:style>
  <w:style w:type="paragraph" w:customStyle="1" w:styleId="174">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175">
    <w:name w:val="l18"/>
    <w:basedOn w:val="1"/>
    <w:qFormat/>
    <w:uiPriority w:val="0"/>
    <w:pPr>
      <w:widowControl/>
      <w:spacing w:before="100" w:beforeAutospacing="1" w:after="100" w:afterAutospacing="1" w:line="337" w:lineRule="atLeast"/>
      <w:jc w:val="left"/>
    </w:pPr>
    <w:rPr>
      <w:rFonts w:ascii="宋体" w:hAnsi="宋体"/>
      <w:kern w:val="0"/>
      <w:sz w:val="24"/>
    </w:rPr>
  </w:style>
  <w:style w:type="paragraph" w:customStyle="1" w:styleId="176">
    <w:name w:val="b3-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77">
    <w:name w:val="Char3"/>
    <w:basedOn w:val="1"/>
    <w:qFormat/>
    <w:uiPriority w:val="0"/>
    <w:rPr>
      <w:rFonts w:ascii="仿宋_GB2312" w:eastAsia="仿宋_GB2312"/>
      <w:b/>
      <w:sz w:val="32"/>
      <w:szCs w:val="32"/>
    </w:rPr>
  </w:style>
  <w:style w:type="paragraph" w:customStyle="1" w:styleId="178">
    <w:name w:val="right"/>
    <w:basedOn w:val="1"/>
    <w:qFormat/>
    <w:uiPriority w:val="0"/>
    <w:pPr>
      <w:widowControl/>
      <w:spacing w:before="100" w:beforeAutospacing="1" w:after="100" w:afterAutospacing="1"/>
      <w:jc w:val="left"/>
    </w:pPr>
    <w:rPr>
      <w:rFonts w:ascii="宋体" w:hAnsi="宋体"/>
      <w:kern w:val="0"/>
      <w:sz w:val="24"/>
    </w:rPr>
  </w:style>
  <w:style w:type="paragraph" w:customStyle="1" w:styleId="17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80">
    <w:name w:val="b2-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81">
    <w:name w:val="Fließtext"/>
    <w:basedOn w:val="1"/>
    <w:qFormat/>
    <w:uiPriority w:val="0"/>
    <w:pPr>
      <w:widowControl/>
      <w:overflowPunct w:val="0"/>
      <w:autoSpaceDE w:val="0"/>
      <w:autoSpaceDN w:val="0"/>
      <w:adjustRightInd w:val="0"/>
      <w:jc w:val="left"/>
      <w:textAlignment w:val="baseline"/>
    </w:pPr>
    <w:rPr>
      <w:kern w:val="28"/>
      <w:szCs w:val="20"/>
    </w:rPr>
  </w:style>
  <w:style w:type="paragraph" w:customStyle="1" w:styleId="182">
    <w:name w:val="纯文本1"/>
    <w:basedOn w:val="1"/>
    <w:qFormat/>
    <w:uiPriority w:val="0"/>
    <w:pPr>
      <w:widowControl/>
      <w:spacing w:before="100" w:beforeAutospacing="1" w:after="100" w:afterAutospacing="1"/>
      <w:jc w:val="left"/>
    </w:pPr>
    <w:rPr>
      <w:rFonts w:ascii="宋体" w:hAnsi="宋体"/>
      <w:sz w:val="24"/>
    </w:rPr>
  </w:style>
  <w:style w:type="paragraph" w:customStyle="1" w:styleId="183">
    <w:name w:val="标题 61"/>
    <w:basedOn w:val="1"/>
    <w:qFormat/>
    <w:uiPriority w:val="0"/>
    <w:pPr>
      <w:widowControl/>
      <w:jc w:val="left"/>
      <w:outlineLvl w:val="6"/>
    </w:pPr>
    <w:rPr>
      <w:rFonts w:ascii="宋体" w:hAnsi="宋体" w:cs="宋体"/>
      <w:color w:val="00569B"/>
      <w:kern w:val="0"/>
      <w:sz w:val="17"/>
      <w:szCs w:val="17"/>
    </w:rPr>
  </w:style>
  <w:style w:type="paragraph" w:customStyle="1" w:styleId="184">
    <w:name w:val="列出段落1"/>
    <w:basedOn w:val="1"/>
    <w:qFormat/>
    <w:uiPriority w:val="0"/>
    <w:pPr>
      <w:ind w:firstLine="420" w:firstLineChars="200"/>
    </w:pPr>
    <w:rPr>
      <w:szCs w:val="20"/>
    </w:rPr>
  </w:style>
  <w:style w:type="paragraph" w:customStyle="1" w:styleId="185">
    <w:name w:val="文档正文"/>
    <w:basedOn w:val="1"/>
    <w:qFormat/>
    <w:uiPriority w:val="0"/>
    <w:pPr>
      <w:adjustRightInd w:val="0"/>
      <w:spacing w:line="480" w:lineRule="atLeast"/>
      <w:ind w:firstLine="567"/>
      <w:textAlignment w:val="baseline"/>
    </w:pPr>
    <w:rPr>
      <w:kern w:val="0"/>
      <w:sz w:val="24"/>
      <w:szCs w:val="20"/>
    </w:rPr>
  </w:style>
  <w:style w:type="paragraph" w:customStyle="1" w:styleId="186">
    <w:name w:val="TOC 标题1"/>
    <w:basedOn w:val="4"/>
    <w:next w:val="1"/>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187">
    <w:name w:val="模板正文缩进"/>
    <w:basedOn w:val="1"/>
    <w:qFormat/>
    <w:uiPriority w:val="0"/>
    <w:pPr>
      <w:spacing w:before="156" w:beforeLines="50" w:after="156" w:afterLines="50" w:line="520" w:lineRule="exact"/>
      <w:ind w:left="1049" w:hanging="420"/>
    </w:pPr>
    <w:rPr>
      <w:rFonts w:ascii="宋体" w:hAnsi="宋体"/>
      <w:kern w:val="0"/>
      <w:sz w:val="24"/>
    </w:rPr>
  </w:style>
  <w:style w:type="paragraph" w:customStyle="1" w:styleId="188">
    <w:name w:val="附件"/>
    <w:basedOn w:val="4"/>
    <w:qFormat/>
    <w:uiPriority w:val="0"/>
    <w:pPr>
      <w:keepNext w:val="0"/>
      <w:pageBreakBefore/>
      <w:tabs>
        <w:tab w:val="left" w:pos="840"/>
      </w:tabs>
      <w:adjustRightInd w:val="0"/>
      <w:snapToGrid w:val="0"/>
      <w:spacing w:before="312" w:beforeLines="100" w:after="312" w:afterLines="100"/>
    </w:pPr>
    <w:rPr>
      <w:rFonts w:ascii="宋体" w:hAnsi="宋体"/>
      <w:b/>
      <w:kern w:val="44"/>
      <w:szCs w:val="36"/>
    </w:rPr>
  </w:style>
  <w:style w:type="paragraph" w:customStyle="1" w:styleId="189">
    <w:name w:val="font4_1"/>
    <w:basedOn w:val="1"/>
    <w:qFormat/>
    <w:uiPriority w:val="0"/>
    <w:pPr>
      <w:widowControl/>
      <w:spacing w:before="100" w:beforeAutospacing="1" w:after="100" w:afterAutospacing="1"/>
      <w:jc w:val="left"/>
    </w:pPr>
    <w:rPr>
      <w:rFonts w:ascii="宋体" w:hAnsi="宋体"/>
      <w:color w:val="FFFFFF"/>
      <w:kern w:val="0"/>
      <w:sz w:val="24"/>
    </w:rPr>
  </w:style>
  <w:style w:type="paragraph" w:customStyle="1" w:styleId="190">
    <w:name w:val="正文段"/>
    <w:basedOn w:val="1"/>
    <w:qFormat/>
    <w:uiPriority w:val="0"/>
    <w:pPr>
      <w:widowControl/>
      <w:snapToGrid w:val="0"/>
      <w:spacing w:after="50"/>
      <w:ind w:firstLine="200" w:firstLineChars="200"/>
    </w:pPr>
    <w:rPr>
      <w:kern w:val="0"/>
      <w:sz w:val="24"/>
      <w:szCs w:val="20"/>
    </w:rPr>
  </w:style>
  <w:style w:type="paragraph" w:customStyle="1" w:styleId="191">
    <w:name w:val="b5-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192">
    <w:name w:val="中等深浅网格 1 - 强调文字颜色 21"/>
    <w:basedOn w:val="1"/>
    <w:qFormat/>
    <w:uiPriority w:val="34"/>
    <w:pPr>
      <w:widowControl/>
      <w:ind w:firstLine="420" w:firstLineChars="200"/>
      <w:jc w:val="left"/>
    </w:pPr>
    <w:rPr>
      <w:kern w:val="0"/>
      <w:szCs w:val="20"/>
    </w:rPr>
  </w:style>
  <w:style w:type="paragraph" w:customStyle="1" w:styleId="193">
    <w:name w:val="_Style 32"/>
    <w:basedOn w:val="1"/>
    <w:qFormat/>
    <w:uiPriority w:val="0"/>
    <w:rPr>
      <w:rFonts w:ascii="仿宋_GB2312" w:hAnsi="仿宋_GB2312" w:cs="宋体"/>
      <w:b/>
      <w:bCs/>
      <w:color w:val="000000"/>
      <w:kern w:val="0"/>
      <w:sz w:val="22"/>
      <w:szCs w:val="21"/>
    </w:rPr>
  </w:style>
  <w:style w:type="paragraph" w:customStyle="1" w:styleId="194">
    <w:name w:val="Char Char"/>
    <w:basedOn w:val="1"/>
    <w:qFormat/>
    <w:uiPriority w:val="0"/>
    <w:rPr>
      <w:rFonts w:ascii="Tahoma" w:hAnsi="Tahoma"/>
      <w:sz w:val="24"/>
      <w:szCs w:val="20"/>
    </w:rPr>
  </w:style>
  <w:style w:type="paragraph" w:customStyle="1" w:styleId="195">
    <w:name w:val="Char1 Char Char Char1"/>
    <w:basedOn w:val="1"/>
    <w:qFormat/>
    <w:uiPriority w:val="0"/>
    <w:rPr>
      <w:rFonts w:ascii="Tahoma" w:hAnsi="Tahoma"/>
      <w:sz w:val="24"/>
      <w:szCs w:val="20"/>
    </w:rPr>
  </w:style>
  <w:style w:type="paragraph" w:customStyle="1" w:styleId="196">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97">
    <w:name w:val="标准正文格式"/>
    <w:basedOn w:val="1"/>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paragraph" w:customStyle="1" w:styleId="198">
    <w:name w:val="我的正文"/>
    <w:qFormat/>
    <w:uiPriority w:val="0"/>
    <w:pPr>
      <w:spacing w:line="360" w:lineRule="auto"/>
      <w:ind w:firstLine="200" w:firstLineChars="200"/>
      <w:jc w:val="both"/>
    </w:pPr>
    <w:rPr>
      <w:rFonts w:ascii="Times New Roman" w:hAnsi="Times New Roman" w:eastAsia="华文仿宋" w:cs="Times New Roman"/>
      <w:kern w:val="2"/>
      <w:sz w:val="28"/>
      <w:szCs w:val="28"/>
      <w:lang w:val="en-US" w:eastAsia="zh-CN" w:bidi="ar-SA"/>
    </w:rPr>
  </w:style>
  <w:style w:type="paragraph" w:customStyle="1" w:styleId="199">
    <w:name w:val="Char Char2 Char"/>
    <w:basedOn w:val="1"/>
    <w:qFormat/>
    <w:uiPriority w:val="0"/>
    <w:pPr>
      <w:keepNext/>
      <w:keepLines/>
      <w:pageBreakBefore/>
      <w:tabs>
        <w:tab w:val="left" w:pos="845"/>
      </w:tabs>
      <w:ind w:left="845" w:hanging="420"/>
    </w:pPr>
    <w:rPr>
      <w:rFonts w:ascii="仿宋_GB2312" w:hAnsi="宋体" w:eastAsia="仿宋_GB2312"/>
      <w:b/>
      <w:color w:val="000000"/>
      <w:kern w:val="0"/>
      <w:szCs w:val="20"/>
    </w:rPr>
  </w:style>
  <w:style w:type="paragraph" w:customStyle="1" w:styleId="200">
    <w:name w:val="Char1"/>
    <w:basedOn w:val="1"/>
    <w:qFormat/>
    <w:uiPriority w:val="0"/>
    <w:rPr>
      <w:rFonts w:ascii="仿宋_GB2312" w:eastAsia="仿宋_GB2312"/>
      <w:b/>
      <w:sz w:val="32"/>
      <w:szCs w:val="32"/>
    </w:rPr>
  </w:style>
  <w:style w:type="paragraph" w:customStyle="1" w:styleId="201">
    <w:name w:val="产品手册技术规格类别"/>
    <w:basedOn w:val="1"/>
    <w:qFormat/>
    <w:uiPriority w:val="0"/>
    <w:pPr>
      <w:tabs>
        <w:tab w:val="left" w:pos="420"/>
      </w:tabs>
      <w:spacing w:line="400" w:lineRule="exact"/>
      <w:ind w:left="432" w:hanging="432"/>
    </w:pPr>
    <w:rPr>
      <w:rFonts w:ascii="Arial" w:hAnsi="Arial" w:eastAsia="黑体"/>
      <w:b/>
      <w:szCs w:val="21"/>
    </w:rPr>
  </w:style>
  <w:style w:type="paragraph" w:customStyle="1" w:styleId="202">
    <w:name w:val="列表段落1"/>
    <w:basedOn w:val="1"/>
    <w:qFormat/>
    <w:uiPriority w:val="0"/>
    <w:pPr>
      <w:widowControl/>
      <w:ind w:firstLine="420" w:firstLineChars="200"/>
      <w:jc w:val="left"/>
    </w:pPr>
    <w:rPr>
      <w:kern w:val="0"/>
      <w:sz w:val="24"/>
      <w:szCs w:val="20"/>
    </w:rPr>
  </w:style>
  <w:style w:type="paragraph" w:customStyle="1" w:styleId="203">
    <w:name w:val="表内文字"/>
    <w:basedOn w:val="1"/>
    <w:qFormat/>
    <w:uiPriority w:val="0"/>
    <w:pPr>
      <w:jc w:val="center"/>
    </w:pPr>
    <w:rPr>
      <w:rFonts w:ascii="仿宋_GB2312" w:eastAsia="仿宋_GB2312"/>
      <w:sz w:val="24"/>
    </w:rPr>
  </w:style>
  <w:style w:type="paragraph" w:customStyle="1" w:styleId="204">
    <w:name w:val="正文文字表格居中"/>
    <w:basedOn w:val="1"/>
    <w:next w:val="41"/>
    <w:qFormat/>
    <w:uiPriority w:val="0"/>
    <w:pPr>
      <w:spacing w:line="400" w:lineRule="exact"/>
      <w:jc w:val="center"/>
    </w:pPr>
    <w:rPr>
      <w:b/>
      <w:bCs/>
      <w:sz w:val="24"/>
    </w:rPr>
  </w:style>
  <w:style w:type="paragraph" w:customStyle="1" w:styleId="205">
    <w:name w:val="Char Char Char Char11"/>
    <w:basedOn w:val="1"/>
    <w:qFormat/>
    <w:uiPriority w:val="0"/>
    <w:rPr>
      <w:rFonts w:ascii="Tahoma" w:hAnsi="Tahoma"/>
      <w:sz w:val="24"/>
      <w:szCs w:val="20"/>
    </w:rPr>
  </w:style>
  <w:style w:type="paragraph" w:customStyle="1" w:styleId="206">
    <w:name w:val="12shad1"/>
    <w:basedOn w:val="1"/>
    <w:qFormat/>
    <w:uiPriority w:val="0"/>
    <w:pPr>
      <w:widowControl/>
      <w:spacing w:before="100" w:beforeAutospacing="1" w:after="100" w:afterAutospacing="1"/>
      <w:jc w:val="left"/>
    </w:pPr>
    <w:rPr>
      <w:rFonts w:ascii="宋体" w:hAnsi="宋体"/>
      <w:b/>
      <w:bCs/>
      <w:color w:val="FFFFFF"/>
      <w:kern w:val="0"/>
      <w:sz w:val="22"/>
      <w:szCs w:val="22"/>
    </w:rPr>
  </w:style>
  <w:style w:type="paragraph" w:customStyle="1" w:styleId="207">
    <w:name w:val="b3-2"/>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0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Char Char1 Char Char"/>
    <w:basedOn w:val="1"/>
    <w:qFormat/>
    <w:uiPriority w:val="0"/>
    <w:pPr>
      <w:ind w:left="100" w:leftChars="100" w:right="100" w:rightChars="100"/>
      <w:jc w:val="left"/>
    </w:pPr>
    <w:rPr>
      <w:rFonts w:ascii="Tahoma" w:hAnsi="Tahoma"/>
      <w:sz w:val="24"/>
      <w:szCs w:val="20"/>
    </w:rPr>
  </w:style>
  <w:style w:type="paragraph" w:customStyle="1" w:styleId="210">
    <w:name w:val="Char Char3"/>
    <w:basedOn w:val="1"/>
    <w:qFormat/>
    <w:uiPriority w:val="0"/>
    <w:rPr>
      <w:rFonts w:ascii="仿宋_GB2312" w:eastAsia="仿宋_GB2312"/>
      <w:b/>
      <w:sz w:val="32"/>
      <w:szCs w:val="32"/>
    </w:rPr>
  </w:style>
  <w:style w:type="paragraph" w:customStyle="1" w:styleId="211">
    <w:name w:val="left"/>
    <w:basedOn w:val="1"/>
    <w:qFormat/>
    <w:uiPriority w:val="0"/>
    <w:pPr>
      <w:widowControl/>
      <w:spacing w:before="100" w:beforeAutospacing="1" w:after="100" w:afterAutospacing="1"/>
      <w:jc w:val="left"/>
    </w:pPr>
    <w:rPr>
      <w:rFonts w:ascii="宋体" w:hAnsi="宋体"/>
      <w:kern w:val="0"/>
      <w:sz w:val="24"/>
    </w:rPr>
  </w:style>
  <w:style w:type="paragraph" w:customStyle="1" w:styleId="212">
    <w:name w:val="Char Char Char Char"/>
    <w:basedOn w:val="17"/>
    <w:qFormat/>
    <w:uiPriority w:val="0"/>
    <w:rPr>
      <w:rFonts w:ascii="Tahoma" w:hAnsi="Tahoma"/>
      <w:sz w:val="24"/>
    </w:rPr>
  </w:style>
  <w:style w:type="paragraph" w:customStyle="1" w:styleId="213">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14">
    <w:name w:val="Paragraph Style"/>
    <w:qFormat/>
    <w:uiPriority w:val="0"/>
    <w:pPr>
      <w:widowControl w:val="0"/>
      <w:autoSpaceDE w:val="0"/>
      <w:autoSpaceDN w:val="0"/>
      <w:adjustRightInd w:val="0"/>
    </w:pPr>
    <w:rPr>
      <w:rFonts w:ascii="Verdana" w:hAnsi="Verdana" w:eastAsia="宋体" w:cs="Times New Roman"/>
      <w:sz w:val="24"/>
      <w:szCs w:val="24"/>
      <w:lang w:val="en-US" w:eastAsia="zh-CN" w:bidi="ar-SA"/>
    </w:rPr>
  </w:style>
  <w:style w:type="paragraph" w:customStyle="1" w:styleId="215">
    <w:name w:val="小点说明"/>
    <w:basedOn w:val="1"/>
    <w:qFormat/>
    <w:uiPriority w:val="0"/>
    <w:pPr>
      <w:adjustRightInd w:val="0"/>
      <w:snapToGrid w:val="0"/>
    </w:pPr>
    <w:rPr>
      <w:rFonts w:ascii="仿宋_GB2312" w:eastAsia="仿宋_GB2312"/>
      <w:color w:val="000000"/>
      <w:szCs w:val="18"/>
    </w:rPr>
  </w:style>
  <w:style w:type="paragraph" w:customStyle="1" w:styleId="216">
    <w:name w:val="Char Char Char"/>
    <w:basedOn w:val="1"/>
    <w:qFormat/>
    <w:uiPriority w:val="0"/>
    <w:rPr>
      <w:rFonts w:ascii="Tahoma" w:hAnsi="Tahoma"/>
      <w:sz w:val="24"/>
      <w:szCs w:val="20"/>
    </w:rPr>
  </w:style>
  <w:style w:type="paragraph" w:customStyle="1" w:styleId="217">
    <w:name w:val="b2-1"/>
    <w:basedOn w:val="1"/>
    <w:qFormat/>
    <w:uiPriority w:val="0"/>
    <w:pPr>
      <w:widowControl/>
      <w:spacing w:before="100" w:beforeAutospacing="1" w:after="100" w:afterAutospacing="1" w:line="355" w:lineRule="atLeast"/>
      <w:jc w:val="left"/>
    </w:pPr>
    <w:rPr>
      <w:rFonts w:ascii="宋体" w:hAnsi="宋体"/>
      <w:kern w:val="0"/>
      <w:sz w:val="24"/>
    </w:rPr>
  </w:style>
  <w:style w:type="paragraph" w:customStyle="1" w:styleId="218">
    <w:name w:val="_Style 70"/>
    <w:basedOn w:val="1"/>
    <w:qFormat/>
    <w:uiPriority w:val="0"/>
    <w:rPr>
      <w:szCs w:val="20"/>
    </w:rPr>
  </w:style>
  <w:style w:type="paragraph" w:customStyle="1" w:styleId="219">
    <w:name w:val="正文2"/>
    <w:basedOn w:val="1"/>
    <w:qFormat/>
    <w:uiPriority w:val="0"/>
    <w:pPr>
      <w:spacing w:before="156" w:line="360" w:lineRule="auto"/>
      <w:ind w:firstLine="510" w:firstLineChars="200"/>
    </w:pPr>
    <w:rPr>
      <w:sz w:val="24"/>
      <w:szCs w:val="20"/>
    </w:rPr>
  </w:style>
  <w:style w:type="paragraph" w:customStyle="1" w:styleId="220">
    <w:name w:val="彩色底纹 - 强调文字颜色 11"/>
    <w:qFormat/>
    <w:uiPriority w:val="71"/>
    <w:rPr>
      <w:rFonts w:ascii="Times New Roman" w:hAnsi="Times New Roman" w:eastAsia="宋体" w:cs="Times New Roman"/>
      <w:sz w:val="21"/>
      <w:lang w:val="en-US" w:eastAsia="zh-CN" w:bidi="ar-SA"/>
    </w:rPr>
  </w:style>
  <w:style w:type="paragraph" w:customStyle="1" w:styleId="22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2">
    <w:name w:val="Char11"/>
    <w:basedOn w:val="1"/>
    <w:qFormat/>
    <w:uiPriority w:val="0"/>
    <w:rPr>
      <w:rFonts w:ascii="Tahoma" w:hAnsi="Tahoma"/>
      <w:sz w:val="24"/>
      <w:szCs w:val="20"/>
    </w:rPr>
  </w:style>
  <w:style w:type="paragraph" w:customStyle="1" w:styleId="223">
    <w:name w:val="正文格式"/>
    <w:basedOn w:val="1"/>
    <w:qFormat/>
    <w:uiPriority w:val="0"/>
    <w:pPr>
      <w:spacing w:before="120" w:after="120" w:line="360" w:lineRule="auto"/>
      <w:ind w:firstLine="482"/>
      <w:jc w:val="left"/>
    </w:pPr>
    <w:rPr>
      <w:sz w:val="24"/>
      <w:szCs w:val="20"/>
    </w:rPr>
  </w:style>
  <w:style w:type="paragraph" w:customStyle="1" w:styleId="224">
    <w:name w:val="Char Char9"/>
    <w:basedOn w:val="1"/>
    <w:qFormat/>
    <w:uiPriority w:val="0"/>
    <w:rPr>
      <w:rFonts w:ascii="宋体" w:hAnsi="宋体" w:cs="宋体"/>
      <w:b/>
      <w:bCs/>
      <w:color w:val="000000"/>
      <w:sz w:val="22"/>
      <w:szCs w:val="22"/>
    </w:rPr>
  </w:style>
  <w:style w:type="paragraph" w:customStyle="1" w:styleId="225">
    <w:name w:val="1.1.1B"/>
    <w:basedOn w:val="6"/>
    <w:qFormat/>
    <w:uiPriority w:val="0"/>
    <w:pPr>
      <w:tabs>
        <w:tab w:val="left" w:pos="567"/>
      </w:tabs>
      <w:spacing w:before="240" w:after="240" w:line="240" w:lineRule="auto"/>
      <w:ind w:left="567" w:hanging="567"/>
    </w:pPr>
    <w:rPr>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GP正文(首行缩进)"/>
    <w:basedOn w:val="1"/>
    <w:qFormat/>
    <w:uiPriority w:val="0"/>
    <w:pPr>
      <w:widowControl/>
      <w:spacing w:line="360" w:lineRule="auto"/>
      <w:ind w:firstLine="480" w:firstLineChars="200"/>
      <w:jc w:val="left"/>
    </w:pPr>
    <w:rPr>
      <w:rFonts w:hAnsi="宋体"/>
      <w:kern w:val="0"/>
      <w:sz w:val="24"/>
      <w:szCs w:val="20"/>
    </w:rPr>
  </w:style>
  <w:style w:type="paragraph" w:customStyle="1" w:styleId="228">
    <w:name w:val="正文－恩普"/>
    <w:basedOn w:val="10"/>
    <w:qFormat/>
    <w:uiPriority w:val="0"/>
    <w:pPr>
      <w:framePr w:wrap="around" w:vAnchor="text" w:hAnchor="text" w:y="1"/>
      <w:spacing w:after="0" w:line="360" w:lineRule="auto"/>
    </w:pPr>
    <w:rPr>
      <w:szCs w:val="24"/>
    </w:rPr>
  </w:style>
  <w:style w:type="paragraph" w:customStyle="1" w:styleId="229">
    <w:name w:val="font14"/>
    <w:basedOn w:val="1"/>
    <w:qFormat/>
    <w:uiPriority w:val="0"/>
    <w:pPr>
      <w:widowControl/>
      <w:spacing w:before="100" w:beforeAutospacing="1" w:after="100" w:afterAutospacing="1"/>
      <w:jc w:val="left"/>
    </w:pPr>
    <w:rPr>
      <w:rFonts w:ascii="宋体" w:hAnsi="宋体"/>
      <w:color w:val="AECFEE"/>
      <w:kern w:val="0"/>
      <w:sz w:val="24"/>
    </w:rPr>
  </w:style>
  <w:style w:type="paragraph" w:customStyle="1" w:styleId="230">
    <w:name w:val="默认段落字体 Para Char Char Char Char Char Char Char"/>
    <w:basedOn w:val="1"/>
    <w:qFormat/>
    <w:uiPriority w:val="0"/>
    <w:rPr>
      <w:rFonts w:ascii="Tahoma" w:hAnsi="Tahoma"/>
      <w:sz w:val="24"/>
      <w:szCs w:val="20"/>
    </w:rPr>
  </w:style>
  <w:style w:type="paragraph" w:customStyle="1" w:styleId="231">
    <w:name w:val="修订1"/>
    <w:qFormat/>
    <w:uiPriority w:val="99"/>
    <w:rPr>
      <w:rFonts w:ascii="Times New Roman" w:hAnsi="Times New Roman" w:eastAsia="宋体" w:cs="Times New Roman"/>
      <w:kern w:val="2"/>
      <w:sz w:val="21"/>
      <w:szCs w:val="24"/>
      <w:lang w:val="en-US" w:eastAsia="zh-CN" w:bidi="ar-SA"/>
    </w:rPr>
  </w:style>
  <w:style w:type="paragraph" w:customStyle="1" w:styleId="23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34">
    <w:name w:val="尾注文本 字符"/>
    <w:basedOn w:val="50"/>
    <w:link w:val="30"/>
    <w:qFormat/>
    <w:uiPriority w:val="0"/>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HZHQ</Company>
  <Pages>45</Pages>
  <Words>28485</Words>
  <Characters>29419</Characters>
  <Lines>1</Lines>
  <Paragraphs>1</Paragraphs>
  <TotalTime>20</TotalTime>
  <ScaleCrop>false</ScaleCrop>
  <LinksUpToDate>false</LinksUpToDate>
  <CharactersWithSpaces>30526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2022-10-13T03:21:00Z</dcterms:created>
  <dc:creator>William</dc:creator>
  <cp:lastModifiedBy>Hpwilliam</cp:lastModifiedBy>
  <cp:lastPrinted>2022-05-11T16:30:00Z</cp:lastPrinted>
  <dcterms:modified xsi:type="dcterms:W3CDTF">2024-12-06T12:12:18Z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77A3A0009B7041209C352A5B715D9367_13</vt:lpwstr>
  </property>
</Properties>
</file>