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2E4B4">
      <w:pPr>
        <w:jc w:val="center"/>
        <w:rPr>
          <w:rFonts w:ascii="宋体"/>
          <w:b/>
          <w:bCs/>
          <w:color w:val="auto"/>
          <w:sz w:val="84"/>
          <w:szCs w:val="84"/>
          <w:highlight w:val="none"/>
        </w:rPr>
      </w:pPr>
    </w:p>
    <w:p w14:paraId="08365BC6">
      <w:pPr>
        <w:spacing w:line="460" w:lineRule="atLeast"/>
        <w:jc w:val="center"/>
        <w:rPr>
          <w:rFonts w:ascii="宋体" w:hAnsi="宋体"/>
          <w:b/>
          <w:color w:val="auto"/>
          <w:sz w:val="84"/>
          <w:szCs w:val="84"/>
          <w:highlight w:val="none"/>
        </w:rPr>
      </w:pPr>
      <w:r>
        <w:rPr>
          <w:rFonts w:hint="eastAsia" w:ascii="宋体" w:hAnsi="宋体"/>
          <w:b/>
          <w:color w:val="auto"/>
          <w:sz w:val="84"/>
          <w:szCs w:val="84"/>
          <w:highlight w:val="none"/>
        </w:rPr>
        <w:t>温州市政府采购（分散）</w:t>
      </w:r>
    </w:p>
    <w:p w14:paraId="07CFDCAF">
      <w:pPr>
        <w:spacing w:line="460" w:lineRule="atLeast"/>
        <w:jc w:val="center"/>
        <w:rPr>
          <w:rFonts w:ascii="宋体" w:hAnsi="宋体"/>
          <w:b/>
          <w:color w:val="auto"/>
          <w:sz w:val="84"/>
          <w:szCs w:val="84"/>
          <w:highlight w:val="none"/>
        </w:rPr>
      </w:pPr>
      <w:r>
        <w:rPr>
          <w:rFonts w:hint="eastAsia" w:ascii="宋体" w:hAnsi="宋体"/>
          <w:b/>
          <w:color w:val="auto"/>
          <w:sz w:val="84"/>
          <w:szCs w:val="84"/>
          <w:highlight w:val="none"/>
        </w:rPr>
        <w:t>竞争性磋商文件</w:t>
      </w:r>
    </w:p>
    <w:p w14:paraId="3D930FE2">
      <w:pPr>
        <w:spacing w:line="460" w:lineRule="atLeast"/>
        <w:jc w:val="center"/>
        <w:rPr>
          <w:rFonts w:ascii="宋体" w:hAnsi="宋体"/>
          <w:b/>
          <w:bCs/>
          <w:color w:val="auto"/>
          <w:sz w:val="44"/>
          <w:szCs w:val="44"/>
          <w:highlight w:val="none"/>
        </w:rPr>
      </w:pPr>
      <w:r>
        <w:rPr>
          <w:rFonts w:hint="eastAsia" w:ascii="宋体" w:hAnsi="宋体"/>
          <w:color w:val="auto"/>
          <w:sz w:val="44"/>
          <w:szCs w:val="44"/>
          <w:highlight w:val="none"/>
        </w:rPr>
        <w:t>（</w:t>
      </w:r>
      <w:r>
        <w:rPr>
          <w:rFonts w:hint="eastAsia" w:ascii="宋体" w:hAnsi="宋体"/>
          <w:b/>
          <w:color w:val="auto"/>
          <w:sz w:val="44"/>
          <w:szCs w:val="44"/>
          <w:highlight w:val="none"/>
        </w:rPr>
        <w:t>线上电子招投标</w:t>
      </w:r>
      <w:r>
        <w:rPr>
          <w:rFonts w:hint="eastAsia" w:ascii="宋体" w:hAnsi="宋体"/>
          <w:color w:val="auto"/>
          <w:sz w:val="44"/>
          <w:szCs w:val="44"/>
          <w:highlight w:val="none"/>
        </w:rPr>
        <w:t>）</w:t>
      </w:r>
    </w:p>
    <w:p w14:paraId="0A7F352D">
      <w:pPr>
        <w:spacing w:line="460" w:lineRule="atLeast"/>
        <w:jc w:val="center"/>
        <w:rPr>
          <w:rFonts w:ascii="宋体" w:hAnsi="宋体"/>
          <w:b/>
          <w:bCs/>
          <w:color w:val="auto"/>
          <w:sz w:val="28"/>
          <w:highlight w:val="none"/>
        </w:rPr>
      </w:pPr>
    </w:p>
    <w:p w14:paraId="37AC2D63">
      <w:pPr>
        <w:spacing w:line="460" w:lineRule="atLeast"/>
        <w:jc w:val="center"/>
        <w:rPr>
          <w:rFonts w:ascii="宋体" w:hAnsi="宋体"/>
          <w:b/>
          <w:bCs/>
          <w:color w:val="auto"/>
          <w:sz w:val="28"/>
          <w:highlight w:val="none"/>
        </w:rPr>
      </w:pPr>
    </w:p>
    <w:p w14:paraId="599B232E">
      <w:pPr>
        <w:spacing w:line="460" w:lineRule="atLeast"/>
        <w:jc w:val="center"/>
        <w:rPr>
          <w:rFonts w:ascii="宋体" w:hAnsi="宋体"/>
          <w:b/>
          <w:bCs/>
          <w:color w:val="auto"/>
          <w:sz w:val="28"/>
          <w:highlight w:val="none"/>
        </w:rPr>
      </w:pPr>
    </w:p>
    <w:p w14:paraId="0F765DE2">
      <w:pPr>
        <w:spacing w:line="460" w:lineRule="atLeast"/>
        <w:jc w:val="center"/>
        <w:rPr>
          <w:rFonts w:ascii="宋体" w:hAnsi="宋体"/>
          <w:b/>
          <w:bCs/>
          <w:color w:val="auto"/>
          <w:sz w:val="28"/>
          <w:highlight w:val="none"/>
        </w:rPr>
      </w:pPr>
    </w:p>
    <w:p w14:paraId="312209CA">
      <w:pPr>
        <w:spacing w:line="360" w:lineRule="auto"/>
        <w:ind w:firstLine="1593" w:firstLineChars="496"/>
        <w:rPr>
          <w:rFonts w:ascii="宋体"/>
          <w:b/>
          <w:bCs/>
          <w:color w:val="auto"/>
          <w:sz w:val="32"/>
          <w:szCs w:val="32"/>
          <w:highlight w:val="none"/>
        </w:rPr>
      </w:pPr>
      <w:r>
        <w:rPr>
          <w:rFonts w:hint="eastAsia" w:ascii="宋体"/>
          <w:b/>
          <w:bCs/>
          <w:color w:val="auto"/>
          <w:sz w:val="32"/>
          <w:szCs w:val="32"/>
          <w:highlight w:val="none"/>
        </w:rPr>
        <w:t>项目名称：</w:t>
      </w:r>
      <w:r>
        <w:rPr>
          <w:rFonts w:hint="eastAsia" w:ascii="宋体"/>
          <w:b/>
          <w:bCs/>
          <w:color w:val="auto"/>
          <w:sz w:val="32"/>
          <w:szCs w:val="32"/>
          <w:highlight w:val="none"/>
          <w:lang w:eastAsia="zh-CN"/>
        </w:rPr>
        <w:t>温州市安全风险态势电子沙盘建设项目</w:t>
      </w:r>
      <w:r>
        <w:rPr>
          <w:rFonts w:hint="eastAsia" w:ascii="宋体"/>
          <w:b/>
          <w:bCs/>
          <w:color w:val="auto"/>
          <w:sz w:val="32"/>
          <w:szCs w:val="32"/>
          <w:highlight w:val="none"/>
        </w:rPr>
        <w:t xml:space="preserve"> </w:t>
      </w:r>
    </w:p>
    <w:p w14:paraId="51608D78">
      <w:pPr>
        <w:spacing w:line="360" w:lineRule="auto"/>
        <w:ind w:firstLine="1593" w:firstLineChars="496"/>
        <w:rPr>
          <w:rFonts w:hint="eastAsia" w:ascii="宋体" w:eastAsia="宋体"/>
          <w:b/>
          <w:bCs/>
          <w:color w:val="auto"/>
          <w:sz w:val="32"/>
          <w:szCs w:val="32"/>
          <w:highlight w:val="none"/>
          <w:lang w:eastAsia="zh-CN"/>
        </w:rPr>
      </w:pPr>
      <w:r>
        <w:rPr>
          <w:rFonts w:hint="eastAsia" w:ascii="宋体"/>
          <w:b/>
          <w:bCs/>
          <w:color w:val="auto"/>
          <w:sz w:val="32"/>
          <w:szCs w:val="32"/>
          <w:highlight w:val="none"/>
        </w:rPr>
        <w:t>采购编号：</w:t>
      </w:r>
      <w:r>
        <w:rPr>
          <w:rFonts w:hint="eastAsia" w:ascii="宋体"/>
          <w:b/>
          <w:bCs/>
          <w:color w:val="auto"/>
          <w:sz w:val="32"/>
          <w:szCs w:val="32"/>
          <w:highlight w:val="none"/>
          <w:lang w:eastAsia="zh-CN"/>
        </w:rPr>
        <w:t>HZHQ-WZYJ-202401</w:t>
      </w:r>
    </w:p>
    <w:p w14:paraId="37666CCA">
      <w:pPr>
        <w:spacing w:line="360" w:lineRule="auto"/>
        <w:jc w:val="center"/>
        <w:rPr>
          <w:rFonts w:ascii="宋体" w:hAnsi="宋体"/>
          <w:b/>
          <w:bCs/>
          <w:color w:val="auto"/>
          <w:sz w:val="32"/>
          <w:szCs w:val="32"/>
          <w:highlight w:val="none"/>
        </w:rPr>
      </w:pPr>
    </w:p>
    <w:p w14:paraId="7CCFEB98">
      <w:pPr>
        <w:spacing w:line="360" w:lineRule="auto"/>
        <w:jc w:val="center"/>
        <w:rPr>
          <w:rFonts w:ascii="宋体" w:hAnsi="宋体"/>
          <w:b/>
          <w:bCs/>
          <w:color w:val="auto"/>
          <w:sz w:val="32"/>
          <w:szCs w:val="32"/>
          <w:highlight w:val="none"/>
        </w:rPr>
      </w:pPr>
    </w:p>
    <w:p w14:paraId="33BBE10B">
      <w:pPr>
        <w:spacing w:line="360" w:lineRule="auto"/>
        <w:jc w:val="center"/>
        <w:rPr>
          <w:rFonts w:ascii="宋体" w:hAnsi="宋体"/>
          <w:b/>
          <w:bCs/>
          <w:color w:val="auto"/>
          <w:sz w:val="32"/>
          <w:szCs w:val="32"/>
          <w:highlight w:val="none"/>
        </w:rPr>
      </w:pPr>
    </w:p>
    <w:p w14:paraId="353DB99D">
      <w:pPr>
        <w:spacing w:line="360" w:lineRule="auto"/>
        <w:ind w:firstLine="1593" w:firstLineChars="496"/>
        <w:rPr>
          <w:rFonts w:hint="eastAsia" w:ascii="宋体" w:eastAsia="宋体"/>
          <w:b/>
          <w:bCs/>
          <w:color w:val="auto"/>
          <w:sz w:val="32"/>
          <w:szCs w:val="32"/>
          <w:highlight w:val="none"/>
          <w:lang w:eastAsia="zh-CN"/>
        </w:rPr>
      </w:pPr>
      <w:r>
        <w:rPr>
          <w:rFonts w:hint="eastAsia" w:ascii="宋体"/>
          <w:b/>
          <w:bCs/>
          <w:color w:val="auto"/>
          <w:sz w:val="32"/>
          <w:szCs w:val="32"/>
          <w:highlight w:val="none"/>
        </w:rPr>
        <w:t>采 购 人：</w:t>
      </w:r>
      <w:r>
        <w:rPr>
          <w:rFonts w:hint="eastAsia" w:ascii="宋体"/>
          <w:b/>
          <w:bCs/>
          <w:color w:val="auto"/>
          <w:sz w:val="32"/>
          <w:szCs w:val="32"/>
          <w:highlight w:val="none"/>
          <w:lang w:eastAsia="zh-CN"/>
        </w:rPr>
        <w:t>温州市应急管理局</w:t>
      </w:r>
    </w:p>
    <w:p w14:paraId="25080150">
      <w:pPr>
        <w:spacing w:line="360" w:lineRule="auto"/>
        <w:ind w:firstLine="1593" w:firstLineChars="496"/>
        <w:rPr>
          <w:rFonts w:ascii="宋体"/>
          <w:b/>
          <w:bCs/>
          <w:color w:val="auto"/>
          <w:sz w:val="32"/>
          <w:szCs w:val="32"/>
          <w:highlight w:val="none"/>
        </w:rPr>
      </w:pPr>
      <w:r>
        <w:rPr>
          <w:rFonts w:hint="eastAsia" w:ascii="宋体"/>
          <w:b/>
          <w:bCs/>
          <w:color w:val="auto"/>
          <w:sz w:val="32"/>
          <w:szCs w:val="32"/>
          <w:highlight w:val="none"/>
        </w:rPr>
        <w:t>代理机构：杭州华旗招标代理有限公司</w:t>
      </w:r>
    </w:p>
    <w:p w14:paraId="191EA395">
      <w:pPr>
        <w:spacing w:line="460" w:lineRule="atLeast"/>
        <w:jc w:val="center"/>
        <w:rPr>
          <w:rFonts w:ascii="宋体" w:hAnsi="宋体"/>
          <w:b/>
          <w:color w:val="auto"/>
          <w:sz w:val="28"/>
          <w:szCs w:val="28"/>
          <w:highlight w:val="none"/>
        </w:rPr>
      </w:pPr>
    </w:p>
    <w:p w14:paraId="74CE4A15">
      <w:pPr>
        <w:pStyle w:val="28"/>
        <w:spacing w:line="460" w:lineRule="atLeast"/>
        <w:ind w:left="0" w:leftChars="0"/>
        <w:jc w:val="center"/>
        <w:rPr>
          <w:rFonts w:ascii="宋体" w:hAnsi="宋体"/>
          <w:b/>
          <w:color w:val="auto"/>
          <w:sz w:val="28"/>
          <w:szCs w:val="28"/>
          <w:highlight w:val="none"/>
        </w:rPr>
      </w:pPr>
    </w:p>
    <w:p w14:paraId="40CD76A4">
      <w:pPr>
        <w:autoSpaceDE w:val="0"/>
        <w:autoSpaceDN w:val="0"/>
        <w:adjustRightInd w:val="0"/>
        <w:spacing w:line="440" w:lineRule="atLeast"/>
        <w:jc w:val="center"/>
        <w:rPr>
          <w:rFonts w:ascii="宋体" w:hAnsi="宋体"/>
          <w:b/>
          <w:color w:val="auto"/>
          <w:sz w:val="28"/>
          <w:szCs w:val="28"/>
          <w:highlight w:val="none"/>
        </w:rPr>
      </w:pPr>
    </w:p>
    <w:p w14:paraId="18FAA560">
      <w:pPr>
        <w:autoSpaceDE w:val="0"/>
        <w:autoSpaceDN w:val="0"/>
        <w:adjustRightInd w:val="0"/>
        <w:spacing w:line="440" w:lineRule="atLeast"/>
        <w:jc w:val="center"/>
        <w:rPr>
          <w:rFonts w:ascii="宋体" w:hAnsi="宋体"/>
          <w:b/>
          <w:color w:val="auto"/>
          <w:sz w:val="32"/>
          <w:szCs w:val="32"/>
          <w:highlight w:val="none"/>
        </w:rPr>
      </w:pPr>
    </w:p>
    <w:p w14:paraId="5A1329ED">
      <w:pPr>
        <w:autoSpaceDE w:val="0"/>
        <w:autoSpaceDN w:val="0"/>
        <w:adjustRightInd w:val="0"/>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二○二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月</w:t>
      </w:r>
    </w:p>
    <w:p w14:paraId="55E65367">
      <w:pPr>
        <w:autoSpaceDE w:val="0"/>
        <w:autoSpaceDN w:val="0"/>
        <w:adjustRightInd w:val="0"/>
        <w:spacing w:line="440" w:lineRule="atLeast"/>
        <w:jc w:val="center"/>
        <w:rPr>
          <w:rFonts w:ascii="宋体" w:hAnsi="宋体"/>
          <w:b/>
          <w:color w:val="auto"/>
          <w:sz w:val="32"/>
          <w:szCs w:val="32"/>
          <w:highlight w:val="none"/>
        </w:rPr>
      </w:pPr>
    </w:p>
    <w:p w14:paraId="2835FB18">
      <w:pPr>
        <w:autoSpaceDE w:val="0"/>
        <w:autoSpaceDN w:val="0"/>
        <w:adjustRightInd w:val="0"/>
        <w:spacing w:line="440" w:lineRule="atLeast"/>
        <w:jc w:val="center"/>
        <w:rPr>
          <w:rFonts w:ascii="宋体" w:hAnsi="宋体"/>
          <w:b/>
          <w:color w:val="auto"/>
          <w:sz w:val="32"/>
          <w:szCs w:val="32"/>
          <w:highlight w:val="none"/>
        </w:rPr>
      </w:pPr>
    </w:p>
    <w:p w14:paraId="37C3E291">
      <w:pPr>
        <w:autoSpaceDE w:val="0"/>
        <w:autoSpaceDN w:val="0"/>
        <w:adjustRightInd w:val="0"/>
        <w:spacing w:line="440" w:lineRule="atLeast"/>
        <w:jc w:val="center"/>
        <w:rPr>
          <w:rFonts w:ascii="宋体" w:hAnsi="宋体"/>
          <w:b/>
          <w:color w:val="auto"/>
          <w:sz w:val="32"/>
          <w:szCs w:val="32"/>
          <w:highlight w:val="none"/>
        </w:rPr>
      </w:pPr>
    </w:p>
    <w:p w14:paraId="6938344F">
      <w:pPr>
        <w:autoSpaceDE w:val="0"/>
        <w:autoSpaceDN w:val="0"/>
        <w:adjustRightInd w:val="0"/>
        <w:spacing w:line="360" w:lineRule="auto"/>
        <w:jc w:val="center"/>
        <w:rPr>
          <w:rFonts w:ascii="宋体" w:hAnsi="宋体" w:cs="仿宋_GB2312"/>
          <w:bCs/>
          <w:color w:val="auto"/>
          <w:highlight w:val="none"/>
          <w:lang w:val="zh-CN"/>
        </w:rPr>
      </w:pPr>
      <w:r>
        <w:rPr>
          <w:rFonts w:hint="eastAsia" w:ascii="宋体" w:hAnsi="宋体" w:cs="仿宋_GB2312"/>
          <w:bCs/>
          <w:color w:val="auto"/>
          <w:sz w:val="36"/>
          <w:szCs w:val="36"/>
          <w:highlight w:val="none"/>
          <w:lang w:val="zh-CN"/>
        </w:rPr>
        <w:t>磋商文件目录</w:t>
      </w:r>
    </w:p>
    <w:p w14:paraId="6D5ED70E">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TOC \o "1-3" \h \z \u </w:instrText>
      </w:r>
      <w:r>
        <w:rPr>
          <w:rFonts w:hint="eastAsia" w:ascii="宋体" w:hAnsi="宋体" w:eastAsia="宋体" w:cs="宋体"/>
          <w:b w:val="0"/>
          <w:color w:val="auto"/>
          <w:sz w:val="22"/>
          <w:szCs w:val="22"/>
          <w:highlight w:val="none"/>
        </w:rPr>
        <w:fldChar w:fldCharType="separate"/>
      </w: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\l _Toc23086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sz w:val="22"/>
          <w:szCs w:val="22"/>
          <w:highlight w:val="none"/>
          <w:lang w:val="zh-CN"/>
        </w:rPr>
        <w:t>第一部分    磋商邀请函（供应商须知前附表）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_Toc23086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2</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rPr>
        <w:fldChar w:fldCharType="end"/>
      </w:r>
    </w:p>
    <w:p w14:paraId="06E6FDD2">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_Toc14712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第二部分    采购内容及要求</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_Toc14712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980D9BD">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_Toc20122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一、项目背景</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_Toc20122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D7D33D9">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_Toc4194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rPr>
        <w:t xml:space="preserve">二、 </w:t>
      </w:r>
      <w:r>
        <w:rPr>
          <w:rFonts w:hint="eastAsia" w:ascii="宋体" w:hAnsi="宋体" w:eastAsia="宋体" w:cs="宋体"/>
          <w:b w:val="0"/>
          <w:bCs/>
          <w:color w:val="auto"/>
          <w:sz w:val="22"/>
          <w:szCs w:val="22"/>
          <w:highlight w:val="none"/>
        </w:rPr>
        <w:t>建设内容及要求</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_Toc4194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A19D00D">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_Toc14577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rPr>
        <w:t>三、 项目详细建设内容</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_Toc14577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A9851E6">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_Toc10559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lang w:val="en-US" w:eastAsia="zh-CN"/>
        </w:rPr>
        <w:t>四、</w:t>
      </w:r>
      <w:r>
        <w:rPr>
          <w:rFonts w:hint="eastAsia" w:ascii="宋体" w:hAnsi="宋体" w:eastAsia="宋体" w:cs="宋体"/>
          <w:b w:val="0"/>
          <w:bCs/>
          <w:color w:val="auto"/>
          <w:sz w:val="22"/>
          <w:szCs w:val="22"/>
        </w:rPr>
        <w:t>项目建设周期</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_Toc10559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AF8AFA1">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_Toc873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lang w:val="en-US" w:eastAsia="zh-CN"/>
        </w:rPr>
        <w:t>五、</w:t>
      </w:r>
      <w:r>
        <w:rPr>
          <w:rFonts w:hint="eastAsia" w:ascii="宋体" w:hAnsi="宋体" w:eastAsia="宋体" w:cs="宋体"/>
          <w:b w:val="0"/>
          <w:bCs/>
          <w:color w:val="auto"/>
          <w:sz w:val="22"/>
          <w:szCs w:val="22"/>
        </w:rPr>
        <w:t>其他建设要求</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_Toc873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56B4CF94">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_Toc32748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en-US" w:eastAsia="zh-CN"/>
        </w:rPr>
        <w:t>六、</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rPr>
        <w:t>付款方式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_Toc32748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915F084">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_Toc29006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第三部分    供应商须知</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_Toc29006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A218E44">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_Toc4243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一、说明</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_Toc4243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880328B">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_Toc8181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二、竞争性磋商文件</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_Toc8181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2130FB9">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_Toc5107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三、磋商响应文件</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_Toc5107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12</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4EED837D">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_Toc21628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四、磋商响应文件递交</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_Toc21628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FA16941">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_Toc29829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五、开标和评审</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_Toc29829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020F234A">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_Toc2543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六、授予合同</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_Toc2543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FBA2EB7">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_Toc22996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第四部分    政府采购政策功能相关说明</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_Toc22996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21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C83FC36">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_Toc10156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第五部分    合同格式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_Toc10156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25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4529FC15">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_Toc31677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第六部分    附件---磋商响应文件格式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_Toc31677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5D3BF07">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_Toc9265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一、资格文件格式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_Toc9265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3D5D1C0F">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_Toc25746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附件一</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_Toc25746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64F4F15">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_Toc16165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投标供应商参与政府采购活动投标资格声明函</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_Toc16165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05C0B211">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_Toc16758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二、报价文件格式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_Toc16758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E8F143C">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_Toc5335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w:t>
      </w:r>
      <w:r>
        <w:rPr>
          <w:rFonts w:hint="eastAsia" w:ascii="宋体" w:hAnsi="宋体" w:eastAsia="宋体" w:cs="宋体"/>
          <w:b w:val="0"/>
          <w:bCs/>
          <w:color w:val="auto"/>
          <w:sz w:val="22"/>
          <w:szCs w:val="22"/>
          <w:highlight w:val="none"/>
          <w:lang w:val="zh-CN"/>
        </w:rPr>
        <w:t>二</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_Toc5335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8EE5E21">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_Toc6759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报价一览表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_Toc6759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0149ED9D">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_Toc7819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附件三</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_Toc7819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32</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9BA2D94">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_Toc22484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投标分项报价表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_Toc22484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32</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40DDD97">
      <w:pPr>
        <w:pStyle w:val="33"/>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_Toc3655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三、商务技术文件格式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_Toc3655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E34285E">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_Toc27062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附件四</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_Toc27062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F0F40D1">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_Toc10756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投  标  函</w:t>
      </w:r>
      <w:r>
        <w:rPr>
          <w:rFonts w:hint="eastAsia" w:ascii="宋体" w:hAnsi="宋体" w:eastAsia="宋体" w:cs="宋体"/>
          <w:b w:val="0"/>
          <w:bCs/>
          <w:color w:val="auto"/>
          <w:sz w:val="22"/>
          <w:szCs w:val="22"/>
        </w:rPr>
        <w:tab/>
      </w:r>
      <w:bookmarkStart w:id="103" w:name="_GoBack"/>
      <w:bookmarkEnd w:id="103"/>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_Toc10756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5DA18E87">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_Toc17528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附件五</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_Toc17528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34</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2BC2B8E9">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_Toc10607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法定代表人授权书</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_Toc10607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34</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4E9A2A82">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_Toc19009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附件六</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_Toc19009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66D65C7F">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_Toc29338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法定代表人诚信投标承诺书</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_Toc29338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0A7011B6">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_Toc11091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附件七</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_Toc11091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01A15B37">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_Toc13646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投标供应商业绩</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_Toc13646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3B1C5972">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_Toc24220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附件八</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_Toc24220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1E8815F5">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_Toc8673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人员配置情况表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_Toc8673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708EC5F2">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_Toc7095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附件九</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_Toc7095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1DC35293">
      <w:pPr>
        <w:pStyle w:val="38"/>
        <w:tabs>
          <w:tab w:val="right" w:leader="dot" w:pos="9747"/>
        </w:tabs>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_Toc8118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lang w:val="zh-CN"/>
        </w:rPr>
        <w:t>偏离表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_Toc8118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38694E19">
      <w:pPr>
        <w:pStyle w:val="33"/>
        <w:tabs>
          <w:tab w:val="right" w:leader="dot" w:pos="9747"/>
        </w:tabs>
        <w:rPr>
          <w:color w:val="auto"/>
        </w:rPr>
      </w:pPr>
      <w:r>
        <w:rPr>
          <w:rFonts w:hint="eastAsia" w:ascii="宋体" w:hAnsi="宋体" w:eastAsia="宋体" w:cs="宋体"/>
          <w:b w:val="0"/>
          <w:bCs/>
          <w:color w:val="auto"/>
          <w:sz w:val="22"/>
          <w:szCs w:val="22"/>
          <w:highlight w:val="none"/>
          <w:lang w:val="zh-CN"/>
        </w:rPr>
        <w:fldChar w:fldCharType="begin"/>
      </w:r>
      <w:r>
        <w:rPr>
          <w:rFonts w:hint="eastAsia" w:ascii="宋体" w:hAnsi="宋体" w:eastAsia="宋体" w:cs="宋体"/>
          <w:b w:val="0"/>
          <w:bCs/>
          <w:color w:val="auto"/>
          <w:sz w:val="22"/>
          <w:szCs w:val="22"/>
          <w:highlight w:val="none"/>
          <w:lang w:val="zh-CN"/>
        </w:rPr>
        <w:instrText xml:space="preserve"> HYPERLINK \l _Toc18914 </w:instrText>
      </w:r>
      <w:r>
        <w:rPr>
          <w:rFonts w:hint="eastAsia" w:ascii="宋体" w:hAnsi="宋体" w:eastAsia="宋体" w:cs="宋体"/>
          <w:b w:val="0"/>
          <w:bCs/>
          <w:color w:val="auto"/>
          <w:sz w:val="22"/>
          <w:szCs w:val="22"/>
          <w:highlight w:val="none"/>
          <w:lang w:val="zh-CN"/>
        </w:rPr>
        <w:fldChar w:fldCharType="separate"/>
      </w:r>
      <w:r>
        <w:rPr>
          <w:rFonts w:hint="eastAsia" w:ascii="宋体" w:hAnsi="宋体" w:eastAsia="宋体" w:cs="宋体"/>
          <w:b w:val="0"/>
          <w:bCs/>
          <w:color w:val="auto"/>
          <w:sz w:val="22"/>
          <w:szCs w:val="22"/>
          <w:highlight w:val="none"/>
        </w:rPr>
        <w:t>第七部分   确定成交供应商办法</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_Toc18914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highlight w:val="none"/>
          <w:lang w:val="zh-CN"/>
        </w:rPr>
        <w:fldChar w:fldCharType="end"/>
      </w:r>
    </w:p>
    <w:p w14:paraId="1A8AF4FB">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highlight w:val="none"/>
        </w:rPr>
      </w:pPr>
      <w:r>
        <w:rPr>
          <w:rFonts w:hint="eastAsia" w:ascii="宋体" w:hAnsi="宋体" w:eastAsia="宋体" w:cs="宋体"/>
          <w:color w:val="auto"/>
          <w:szCs w:val="22"/>
          <w:highlight w:val="none"/>
          <w:lang w:val="zh-CN"/>
        </w:rPr>
        <w:fldChar w:fldCharType="end"/>
      </w:r>
    </w:p>
    <w:p w14:paraId="1344991B">
      <w:pPr>
        <w:widowControl/>
        <w:spacing w:line="360" w:lineRule="atLeast"/>
        <w:ind w:firstLine="440" w:firstLineChars="199"/>
        <w:rPr>
          <w:rFonts w:ascii="宋体" w:hAnsi="宋体"/>
          <w:b/>
          <w:color w:val="auto"/>
          <w:sz w:val="22"/>
          <w:szCs w:val="22"/>
          <w:highlight w:val="none"/>
          <w:u w:val="thick"/>
        </w:rPr>
      </w:pPr>
      <w:r>
        <w:rPr>
          <w:rFonts w:hint="eastAsia" w:ascii="宋体" w:hAnsi="宋体"/>
          <w:b/>
          <w:color w:val="auto"/>
          <w:sz w:val="22"/>
          <w:szCs w:val="22"/>
          <w:highlight w:val="none"/>
          <w:u w:val="thick"/>
        </w:rPr>
        <w:t>注：磋商文件中有的条款及要求以符号▲的形式强调，这些特别强调的条款及内容有些是实质性重要条款，供应商对重要条款的响应程度将作为评审工作的主要依据之一。</w:t>
      </w:r>
    </w:p>
    <w:p w14:paraId="18B3D3BE">
      <w:pPr>
        <w:pStyle w:val="4"/>
        <w:rPr>
          <w:rFonts w:ascii="宋体" w:hAnsi="宋体"/>
          <w:color w:val="auto"/>
          <w:sz w:val="36"/>
          <w:highlight w:val="none"/>
          <w:lang w:val="zh-CN"/>
        </w:rPr>
      </w:pPr>
      <w:r>
        <w:rPr>
          <w:rFonts w:ascii="宋体" w:hAnsi="宋体"/>
          <w:b/>
          <w:color w:val="auto"/>
          <w:sz w:val="24"/>
          <w:highlight w:val="none"/>
          <w:u w:val="thick"/>
        </w:rPr>
        <w:br w:type="page"/>
      </w:r>
      <w:bookmarkStart w:id="0" w:name="_Toc32407"/>
      <w:bookmarkStart w:id="1" w:name="_Toc23086"/>
      <w:r>
        <w:rPr>
          <w:rFonts w:hint="eastAsia" w:ascii="宋体" w:hAnsi="宋体"/>
          <w:color w:val="auto"/>
          <w:sz w:val="36"/>
          <w:highlight w:val="none"/>
          <w:lang w:val="zh-CN"/>
        </w:rPr>
        <w:t xml:space="preserve">第一部分    </w:t>
      </w:r>
      <w:bookmarkEnd w:id="0"/>
      <w:r>
        <w:rPr>
          <w:rFonts w:hint="eastAsia" w:ascii="宋体" w:hAnsi="宋体"/>
          <w:color w:val="auto"/>
          <w:sz w:val="36"/>
          <w:highlight w:val="none"/>
          <w:lang w:val="zh-CN"/>
        </w:rPr>
        <w:t>磋商邀请函（供应商须知前附表）</w:t>
      </w:r>
      <w:bookmarkEnd w:id="1"/>
    </w:p>
    <w:tbl>
      <w:tblPr>
        <w:tblStyle w:val="46"/>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1740"/>
        <w:gridCol w:w="7691"/>
      </w:tblGrid>
      <w:tr w14:paraId="7332E7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A910C74">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740" w:type="dxa"/>
            <w:vAlign w:val="center"/>
          </w:tcPr>
          <w:p w14:paraId="44323D65">
            <w:pPr>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7691" w:type="dxa"/>
            <w:vAlign w:val="center"/>
          </w:tcPr>
          <w:p w14:paraId="19FC0417">
            <w:pPr>
              <w:spacing w:line="276"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563E51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2E5E580">
            <w:pPr>
              <w:autoSpaceDE w:val="0"/>
              <w:autoSpaceDN w:val="0"/>
              <w:adjustRightInd w:val="0"/>
              <w:snapToGrid w:val="0"/>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1740" w:type="dxa"/>
            <w:vAlign w:val="center"/>
          </w:tcPr>
          <w:p w14:paraId="586447BE">
            <w:pPr>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691" w:type="dxa"/>
            <w:vAlign w:val="center"/>
          </w:tcPr>
          <w:p w14:paraId="3196D127">
            <w:pPr>
              <w:spacing w:line="276" w:lineRule="auto"/>
              <w:rPr>
                <w:rFonts w:ascii="宋体" w:hAnsi="宋体" w:cs="宋体"/>
                <w:color w:val="auto"/>
                <w:sz w:val="22"/>
                <w:szCs w:val="22"/>
                <w:highlight w:val="none"/>
              </w:rPr>
            </w:pPr>
            <w:r>
              <w:rPr>
                <w:rFonts w:hint="eastAsia" w:ascii="宋体" w:hAnsi="宋体"/>
                <w:color w:val="auto"/>
                <w:sz w:val="22"/>
                <w:szCs w:val="22"/>
                <w:highlight w:val="none"/>
                <w:lang w:eastAsia="zh-CN"/>
              </w:rPr>
              <w:t>温州市安全风险态势电子沙盘建设项目</w:t>
            </w:r>
            <w:r>
              <w:rPr>
                <w:rFonts w:hint="eastAsia" w:ascii="宋体" w:hAnsi="宋体"/>
                <w:color w:val="auto"/>
                <w:sz w:val="22"/>
                <w:szCs w:val="22"/>
                <w:highlight w:val="none"/>
              </w:rPr>
              <w:t xml:space="preserve"> </w:t>
            </w:r>
          </w:p>
        </w:tc>
      </w:tr>
      <w:tr w14:paraId="2F9CA0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727BD116">
            <w:pPr>
              <w:autoSpaceDE w:val="0"/>
              <w:autoSpaceDN w:val="0"/>
              <w:adjustRightInd w:val="0"/>
              <w:snapToGrid w:val="0"/>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1740" w:type="dxa"/>
            <w:vAlign w:val="center"/>
          </w:tcPr>
          <w:p w14:paraId="2155F40A">
            <w:pPr>
              <w:jc w:val="center"/>
              <w:rPr>
                <w:rFonts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691" w:type="dxa"/>
            <w:vAlign w:val="center"/>
          </w:tcPr>
          <w:p w14:paraId="6BD042BF">
            <w:pPr>
              <w:spacing w:line="276"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HZHQ-WZYJ-202401</w:t>
            </w:r>
          </w:p>
        </w:tc>
      </w:tr>
      <w:tr w14:paraId="5856E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696741FB">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40" w:type="dxa"/>
            <w:vAlign w:val="center"/>
          </w:tcPr>
          <w:p w14:paraId="6A706DA5">
            <w:pPr>
              <w:jc w:val="center"/>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691" w:type="dxa"/>
            <w:vAlign w:val="center"/>
          </w:tcPr>
          <w:p w14:paraId="414622D1">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财政性资金</w:t>
            </w:r>
          </w:p>
        </w:tc>
      </w:tr>
      <w:tr w14:paraId="6CFA3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4336555C">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40" w:type="dxa"/>
            <w:vAlign w:val="center"/>
          </w:tcPr>
          <w:p w14:paraId="3F597E25">
            <w:pPr>
              <w:jc w:val="center"/>
              <w:rPr>
                <w:rFonts w:ascii="宋体" w:hAnsi="宋体" w:cs="宋体"/>
                <w:color w:val="auto"/>
                <w:sz w:val="22"/>
                <w:szCs w:val="22"/>
                <w:highlight w:val="none"/>
              </w:rPr>
            </w:pPr>
            <w:r>
              <w:rPr>
                <w:rFonts w:hint="eastAsia" w:ascii="宋体" w:hAnsi="宋体" w:cs="宋体"/>
                <w:color w:val="auto"/>
                <w:sz w:val="22"/>
                <w:szCs w:val="22"/>
                <w:highlight w:val="none"/>
              </w:rPr>
              <w:t>采购预算</w:t>
            </w:r>
          </w:p>
          <w:p w14:paraId="34F8706C">
            <w:pPr>
              <w:jc w:val="center"/>
              <w:rPr>
                <w:rFonts w:ascii="宋体" w:hAnsi="宋体" w:cs="宋体"/>
                <w:color w:val="auto"/>
                <w:sz w:val="22"/>
                <w:szCs w:val="22"/>
                <w:highlight w:val="none"/>
              </w:rPr>
            </w:pPr>
            <w:r>
              <w:rPr>
                <w:rFonts w:hint="eastAsia" w:ascii="宋体" w:hAnsi="宋体" w:cs="宋体"/>
                <w:color w:val="auto"/>
                <w:sz w:val="22"/>
                <w:szCs w:val="22"/>
                <w:highlight w:val="none"/>
              </w:rPr>
              <w:t>（最高限价）</w:t>
            </w:r>
          </w:p>
        </w:tc>
        <w:tc>
          <w:tcPr>
            <w:tcW w:w="7691" w:type="dxa"/>
            <w:vAlign w:val="center"/>
          </w:tcPr>
          <w:p w14:paraId="63939058">
            <w:pPr>
              <w:adjustRightInd w:val="0"/>
              <w:spacing w:line="276" w:lineRule="auto"/>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 xml:space="preserve"> </w:t>
            </w:r>
            <w:r>
              <w:rPr>
                <w:rFonts w:hint="eastAsia" w:ascii="宋体" w:hAnsi="宋体"/>
                <w:color w:val="auto"/>
                <w:sz w:val="22"/>
                <w:szCs w:val="22"/>
                <w:highlight w:val="none"/>
              </w:rPr>
              <w:t>53.51万元</w:t>
            </w:r>
          </w:p>
        </w:tc>
      </w:tr>
      <w:tr w14:paraId="603265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BEB7CA5">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40" w:type="dxa"/>
            <w:vAlign w:val="center"/>
          </w:tcPr>
          <w:p w14:paraId="40DF7515">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691" w:type="dxa"/>
            <w:vAlign w:val="center"/>
          </w:tcPr>
          <w:p w14:paraId="06CF3A17">
            <w:pPr>
              <w:adjustRightInd w:val="0"/>
              <w:spacing w:line="276" w:lineRule="auto"/>
              <w:rPr>
                <w:rFonts w:ascii="宋体" w:hAnsi="宋体"/>
                <w:color w:val="auto"/>
                <w:sz w:val="22"/>
                <w:szCs w:val="22"/>
                <w:highlight w:val="none"/>
              </w:rPr>
            </w:pPr>
            <w:r>
              <w:rPr>
                <w:rFonts w:hint="eastAsia" w:ascii="宋体" w:hAnsi="宋体"/>
                <w:color w:val="auto"/>
                <w:sz w:val="22"/>
                <w:szCs w:val="22"/>
                <w:highlight w:val="none"/>
              </w:rPr>
              <w:t>竞争性磋商</w:t>
            </w:r>
          </w:p>
        </w:tc>
      </w:tr>
      <w:tr w14:paraId="02DE2D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AFD0478">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40" w:type="dxa"/>
            <w:vAlign w:val="center"/>
          </w:tcPr>
          <w:p w14:paraId="246C6DCD">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691" w:type="dxa"/>
            <w:vAlign w:val="center"/>
          </w:tcPr>
          <w:p w14:paraId="56C52EED">
            <w:pPr>
              <w:adjustRightInd w:val="0"/>
              <w:spacing w:line="276" w:lineRule="auto"/>
              <w:rPr>
                <w:rFonts w:hint="eastAsia" w:ascii="宋体" w:hAnsi="宋体" w:eastAsia="宋体" w:cs="Times New Roman"/>
                <w:color w:val="auto"/>
                <w:sz w:val="22"/>
                <w:szCs w:val="22"/>
                <w:highlight w:val="none"/>
                <w:lang w:val="en-US" w:eastAsia="zh-CN"/>
              </w:rPr>
            </w:pPr>
            <w:r>
              <w:rPr>
                <w:rFonts w:hint="eastAsia" w:ascii="宋体" w:hAnsi="宋体"/>
                <w:color w:val="auto"/>
                <w:sz w:val="22"/>
                <w:szCs w:val="22"/>
                <w:highlight w:val="none"/>
              </w:rPr>
              <w:t>采购人：</w:t>
            </w:r>
            <w:r>
              <w:rPr>
                <w:rFonts w:hint="eastAsia" w:ascii="宋体" w:hAnsi="宋体"/>
                <w:color w:val="auto"/>
                <w:sz w:val="22"/>
                <w:szCs w:val="22"/>
                <w:highlight w:val="none"/>
                <w:lang w:eastAsia="zh-CN"/>
              </w:rPr>
              <w:t>温</w:t>
            </w:r>
            <w:r>
              <w:rPr>
                <w:rFonts w:hint="eastAsia" w:ascii="宋体" w:hAnsi="宋体" w:eastAsia="宋体" w:cs="Times New Roman"/>
                <w:color w:val="auto"/>
                <w:sz w:val="22"/>
                <w:szCs w:val="22"/>
                <w:highlight w:val="none"/>
                <w:lang w:val="en-US" w:eastAsia="zh-CN"/>
              </w:rPr>
              <w:t>州市应急管理局</w:t>
            </w:r>
          </w:p>
          <w:p w14:paraId="72E463CD">
            <w:pPr>
              <w:adjustRightInd w:val="0"/>
              <w:spacing w:line="276" w:lineRule="auto"/>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联系人：</w:t>
            </w:r>
            <w:r>
              <w:rPr>
                <w:rFonts w:hint="eastAsia" w:ascii="宋体" w:hAnsi="宋体" w:cs="Times New Roman"/>
                <w:color w:val="auto"/>
                <w:sz w:val="22"/>
                <w:szCs w:val="22"/>
                <w:highlight w:val="none"/>
                <w:lang w:val="en-US" w:eastAsia="zh-CN"/>
              </w:rPr>
              <w:t>林</w:t>
            </w:r>
            <w:r>
              <w:rPr>
                <w:rFonts w:hint="eastAsia" w:ascii="宋体" w:hAnsi="宋体" w:eastAsia="宋体" w:cs="Times New Roman"/>
                <w:color w:val="auto"/>
                <w:sz w:val="22"/>
                <w:szCs w:val="22"/>
                <w:highlight w:val="none"/>
                <w:lang w:val="en-US" w:eastAsia="zh-CN"/>
              </w:rPr>
              <w:t>先生</w:t>
            </w:r>
          </w:p>
          <w:p w14:paraId="246E7A87">
            <w:pPr>
              <w:adjustRightInd w:val="0"/>
              <w:spacing w:line="276" w:lineRule="auto"/>
              <w:rPr>
                <w:rFonts w:ascii="宋体" w:hAnsi="宋体"/>
                <w:color w:val="auto"/>
                <w:sz w:val="22"/>
                <w:szCs w:val="22"/>
                <w:highlight w:val="none"/>
              </w:rPr>
            </w:pPr>
            <w:r>
              <w:rPr>
                <w:rFonts w:hint="eastAsia" w:ascii="宋体" w:hAnsi="宋体" w:eastAsia="宋体" w:cs="Times New Roman"/>
                <w:color w:val="auto"/>
                <w:sz w:val="22"/>
                <w:szCs w:val="22"/>
                <w:highlight w:val="none"/>
                <w:lang w:val="en-US" w:eastAsia="zh-CN"/>
              </w:rPr>
              <w:t>联系电话：0577-88960681</w:t>
            </w:r>
          </w:p>
        </w:tc>
      </w:tr>
      <w:tr w14:paraId="11226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61E659B5">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40" w:type="dxa"/>
            <w:vAlign w:val="center"/>
          </w:tcPr>
          <w:p w14:paraId="437A881A">
            <w:pPr>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691" w:type="dxa"/>
            <w:vAlign w:val="center"/>
          </w:tcPr>
          <w:p w14:paraId="64368E68">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名称：杭州华旗招标代理有限公司</w:t>
            </w:r>
          </w:p>
          <w:p w14:paraId="6C6C7BBF">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联系人：黄先生</w:t>
            </w:r>
          </w:p>
          <w:p w14:paraId="463E6762">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联系电话：1</w:t>
            </w:r>
            <w:r>
              <w:rPr>
                <w:rFonts w:ascii="宋体" w:hAnsi="宋体" w:cs="宋体"/>
                <w:color w:val="auto"/>
                <w:sz w:val="22"/>
                <w:szCs w:val="22"/>
                <w:highlight w:val="none"/>
              </w:rPr>
              <w:t>3676441826</w:t>
            </w:r>
          </w:p>
          <w:p w14:paraId="031D9BC3">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联系传真：0577-88113837</w:t>
            </w:r>
          </w:p>
        </w:tc>
      </w:tr>
      <w:tr w14:paraId="2D2BF0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7CF4625">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40" w:type="dxa"/>
            <w:vAlign w:val="center"/>
          </w:tcPr>
          <w:p w14:paraId="73BD1641">
            <w:pPr>
              <w:jc w:val="center"/>
              <w:rPr>
                <w:rFonts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691" w:type="dxa"/>
            <w:vAlign w:val="center"/>
          </w:tcPr>
          <w:p w14:paraId="004C29CC">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具体内容见竞争性磋商文件</w:t>
            </w:r>
          </w:p>
        </w:tc>
      </w:tr>
      <w:tr w14:paraId="67E215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28D161F">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40" w:type="dxa"/>
            <w:vAlign w:val="center"/>
          </w:tcPr>
          <w:p w14:paraId="41E49E63">
            <w:pPr>
              <w:jc w:val="center"/>
              <w:rPr>
                <w:rFonts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691" w:type="dxa"/>
            <w:vAlign w:val="center"/>
          </w:tcPr>
          <w:p w14:paraId="7B3376C3">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79937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13213E5D">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40" w:type="dxa"/>
            <w:vAlign w:val="center"/>
          </w:tcPr>
          <w:p w14:paraId="1AC58966">
            <w:pPr>
              <w:jc w:val="center"/>
              <w:rPr>
                <w:rFonts w:ascii="宋体" w:hAnsi="宋体" w:cs="宋体"/>
                <w:color w:val="auto"/>
                <w:sz w:val="22"/>
                <w:szCs w:val="22"/>
                <w:highlight w:val="none"/>
              </w:rPr>
            </w:pPr>
            <w:r>
              <w:rPr>
                <w:rFonts w:hint="eastAsia" w:ascii="宋体" w:hAnsi="宋体" w:cs="宋体"/>
                <w:color w:val="auto"/>
                <w:sz w:val="22"/>
                <w:szCs w:val="22"/>
                <w:highlight w:val="none"/>
              </w:rPr>
              <w:t>供应商资格要求</w:t>
            </w:r>
          </w:p>
        </w:tc>
        <w:tc>
          <w:tcPr>
            <w:tcW w:w="7691" w:type="dxa"/>
            <w:vAlign w:val="center"/>
          </w:tcPr>
          <w:p w14:paraId="2DADF989">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见采购公告</w:t>
            </w:r>
          </w:p>
        </w:tc>
      </w:tr>
      <w:tr w14:paraId="16D93F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19C8C42F">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40" w:type="dxa"/>
            <w:vAlign w:val="center"/>
          </w:tcPr>
          <w:p w14:paraId="44BA1F53">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691" w:type="dxa"/>
            <w:vAlign w:val="center"/>
          </w:tcPr>
          <w:p w14:paraId="6F08ABFD">
            <w:pPr>
              <w:adjustRightInd w:val="0"/>
              <w:spacing w:line="276"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eq \o\ac(</w:instrText>
            </w:r>
            <w:r>
              <w:rPr>
                <w:rFonts w:hint="eastAsia" w:ascii="宋体" w:hAnsi="宋体" w:cs="宋体"/>
                <w:b/>
                <w:bCs/>
                <w:color w:val="auto"/>
                <w:position w:val="-4"/>
                <w:sz w:val="22"/>
                <w:szCs w:val="22"/>
                <w:highlight w:val="none"/>
              </w:rPr>
              <w:instrText xml:space="preserve">□</w:instrText>
            </w:r>
            <w:r>
              <w:rPr>
                <w:rFonts w:hint="eastAsia" w:ascii="宋体" w:hAnsi="宋体" w:cs="宋体"/>
                <w:b/>
                <w:bCs/>
                <w:color w:val="auto"/>
                <w:sz w:val="22"/>
                <w:szCs w:val="22"/>
                <w:highlight w:val="none"/>
              </w:rPr>
              <w:instrText xml:space="preserve">,√)</w:instrTex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不接受</w:t>
            </w:r>
          </w:p>
          <w:p w14:paraId="57164F55">
            <w:pPr>
              <w:adjustRightInd w:val="0"/>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□接受</w:t>
            </w:r>
          </w:p>
          <w:p w14:paraId="7A13511D">
            <w:pPr>
              <w:adjustRightInd w:val="0"/>
              <w:spacing w:line="276"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本项目采购人谢绝联合体投标，原因如下:</w:t>
            </w:r>
          </w:p>
          <w:p w14:paraId="58EB5BC2">
            <w:pPr>
              <w:adjustRightInd w:val="0"/>
              <w:spacing w:line="276"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1.项目管理难度大:联合体投标项目需要各个成员之间密切协作，分工明确，项目管理难度大。投标人可能在组织、协调和沟通方面存在挑战，影响项目进展。</w:t>
            </w:r>
          </w:p>
          <w:p w14:paraId="729F0A67">
            <w:pPr>
              <w:adjustRightInd w:val="0"/>
              <w:spacing w:line="276"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资源整合问题:联合体投标需要各个成员整合资源以提供全面的解决方案。但是，不同成员间可能存在资源分配和协调难题，可能会因为所需资源无法得到合理配置而导致项目流程中断。软件开发作为一个整体项目，更加需要整体性。</w:t>
            </w:r>
          </w:p>
          <w:p w14:paraId="5525045D">
            <w:pPr>
              <w:adjustRightInd w:val="0"/>
              <w:spacing w:line="276"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3.风险分担不均:联合体成员在项目实施过程中需要共同承担风险。然而，由于各成员之间的合作程度异质，风险分担存在不均衡的风险，给项目的顺利推进带来不确定因素。</w:t>
            </w:r>
          </w:p>
          <w:p w14:paraId="3E2780F9">
            <w:pPr>
              <w:adjustRightInd w:val="0"/>
              <w:spacing w:line="276" w:lineRule="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4.管理决策效率低:联合体投标可能涉及各成员之间的统筹协调和决策制定。不同组织间的管理决策效率可能存在差异，导致项目决策周期拉长，影响项目进展。</w:t>
            </w:r>
          </w:p>
        </w:tc>
      </w:tr>
      <w:tr w14:paraId="07693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29ADE803">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40" w:type="dxa"/>
            <w:vAlign w:val="center"/>
          </w:tcPr>
          <w:p w14:paraId="17AD16C9">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691" w:type="dxa"/>
            <w:vAlign w:val="center"/>
          </w:tcPr>
          <w:p w14:paraId="3F2EB922">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14:paraId="5803F966">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□组织   </w:t>
            </w:r>
          </w:p>
        </w:tc>
      </w:tr>
      <w:tr w14:paraId="08F269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1EAD3310">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40" w:type="dxa"/>
            <w:vAlign w:val="center"/>
          </w:tcPr>
          <w:p w14:paraId="098FE88B">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691" w:type="dxa"/>
            <w:vAlign w:val="center"/>
          </w:tcPr>
          <w:p w14:paraId="33BF1C0B">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不允许</w:t>
            </w:r>
          </w:p>
          <w:p w14:paraId="09DA855A">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 允许</w:t>
            </w:r>
          </w:p>
        </w:tc>
      </w:tr>
      <w:tr w14:paraId="7A4E8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3210F23B">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40" w:type="dxa"/>
            <w:vAlign w:val="center"/>
          </w:tcPr>
          <w:p w14:paraId="7B81D6B3">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691" w:type="dxa"/>
            <w:vAlign w:val="center"/>
          </w:tcPr>
          <w:p w14:paraId="55F134D9">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人民币</w:t>
            </w:r>
          </w:p>
        </w:tc>
      </w:tr>
      <w:tr w14:paraId="3AA9BC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6CC1A8C9">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40" w:type="dxa"/>
            <w:vAlign w:val="center"/>
          </w:tcPr>
          <w:p w14:paraId="0D7AE3EB">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691" w:type="dxa"/>
            <w:vAlign w:val="center"/>
          </w:tcPr>
          <w:p w14:paraId="58D98E61">
            <w:pPr>
              <w:adjustRightInd w:val="0"/>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中文</w:t>
            </w:r>
          </w:p>
        </w:tc>
      </w:tr>
      <w:tr w14:paraId="3323FB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740" w:type="dxa"/>
            <w:vAlign w:val="center"/>
          </w:tcPr>
          <w:p w14:paraId="7539FD2B">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40" w:type="dxa"/>
            <w:vAlign w:val="center"/>
          </w:tcPr>
          <w:p w14:paraId="4D647E00">
            <w:pPr>
              <w:adjustRightInd w:val="0"/>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磋商响应文件的形式</w:t>
            </w:r>
          </w:p>
        </w:tc>
        <w:tc>
          <w:tcPr>
            <w:tcW w:w="7691" w:type="dxa"/>
            <w:vAlign w:val="center"/>
          </w:tcPr>
          <w:p w14:paraId="7CBB45F8">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投标供应商应准备电子磋商响应文件</w:t>
            </w:r>
          </w:p>
          <w:p w14:paraId="12231172">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电子磋商响应文件是指通过“政采云电子交易客户端”完成磋商响应文件编制后生成并加密的数据电文形式的电子加密磋商响应文件</w:t>
            </w:r>
          </w:p>
        </w:tc>
      </w:tr>
      <w:tr w14:paraId="66AF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6D9AB4E1">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40" w:type="dxa"/>
            <w:vAlign w:val="center"/>
          </w:tcPr>
          <w:p w14:paraId="2991EE4E">
            <w:pPr>
              <w:adjustRightInd w:val="0"/>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磋商响应文件的编制</w:t>
            </w:r>
          </w:p>
        </w:tc>
        <w:tc>
          <w:tcPr>
            <w:tcW w:w="7691" w:type="dxa"/>
            <w:vAlign w:val="center"/>
          </w:tcPr>
          <w:p w14:paraId="231AAEAA">
            <w:pPr>
              <w:adjustRightInd w:val="0"/>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供应商应先安装“政采云电子交易客户端”，并按照本磋商文件和“政府采购云平台”的要求，通过“政采云电子交易客户端”编制并加密磋商响应文件</w:t>
            </w:r>
          </w:p>
        </w:tc>
      </w:tr>
      <w:tr w14:paraId="30F14C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ECC1D1E">
            <w:pPr>
              <w:autoSpaceDE w:val="0"/>
              <w:autoSpaceDN w:val="0"/>
              <w:adjustRightInd w:val="0"/>
              <w:snapToGrid w:val="0"/>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18</w:t>
            </w:r>
          </w:p>
        </w:tc>
        <w:tc>
          <w:tcPr>
            <w:tcW w:w="1740" w:type="dxa"/>
            <w:vAlign w:val="center"/>
          </w:tcPr>
          <w:p w14:paraId="75B468F8">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磋商响应文件份数</w:t>
            </w:r>
          </w:p>
        </w:tc>
        <w:tc>
          <w:tcPr>
            <w:tcW w:w="7691" w:type="dxa"/>
            <w:vAlign w:val="center"/>
          </w:tcPr>
          <w:p w14:paraId="18B17FC2">
            <w:pPr>
              <w:pStyle w:val="33"/>
              <w:tabs>
                <w:tab w:val="right" w:leader="dot" w:pos="9118"/>
              </w:tabs>
              <w:spacing w:line="276" w:lineRule="auto"/>
              <w:rPr>
                <w:rFonts w:cs="Courier New"/>
                <w:color w:val="auto"/>
                <w:sz w:val="22"/>
                <w:szCs w:val="22"/>
                <w:highlight w:val="none"/>
              </w:rPr>
            </w:pPr>
            <w:r>
              <w:rPr>
                <w:rFonts w:hint="eastAsia" w:cs="Courier New"/>
                <w:color w:val="auto"/>
                <w:sz w:val="22"/>
                <w:szCs w:val="22"/>
                <w:highlight w:val="none"/>
              </w:rPr>
              <w:t>“电子加密磋商响应文件”：在线上传递交，一份</w:t>
            </w:r>
          </w:p>
        </w:tc>
      </w:tr>
      <w:tr w14:paraId="77556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C1BAE03">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40" w:type="dxa"/>
            <w:vAlign w:val="center"/>
          </w:tcPr>
          <w:p w14:paraId="1D96F515">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投标有效期</w:t>
            </w:r>
          </w:p>
        </w:tc>
        <w:tc>
          <w:tcPr>
            <w:tcW w:w="7691" w:type="dxa"/>
            <w:vAlign w:val="center"/>
          </w:tcPr>
          <w:p w14:paraId="6DCAC9D2">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提交磋商响应文件截止时间起90天内。</w:t>
            </w:r>
          </w:p>
        </w:tc>
      </w:tr>
      <w:tr w14:paraId="384AC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AD06823">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40" w:type="dxa"/>
            <w:vAlign w:val="center"/>
          </w:tcPr>
          <w:p w14:paraId="20A4B946">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磋商响应文件的签章</w:t>
            </w:r>
          </w:p>
        </w:tc>
        <w:tc>
          <w:tcPr>
            <w:tcW w:w="7691" w:type="dxa"/>
            <w:vAlign w:val="center"/>
          </w:tcPr>
          <w:p w14:paraId="0EC83EA9">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磋商响应文件中所涉及的公章均采用CA电子签章。</w:t>
            </w:r>
          </w:p>
        </w:tc>
      </w:tr>
      <w:tr w14:paraId="323D8B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E27A79B">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40" w:type="dxa"/>
            <w:vAlign w:val="center"/>
          </w:tcPr>
          <w:p w14:paraId="6C16A2DF">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投标样品</w:t>
            </w:r>
          </w:p>
        </w:tc>
        <w:tc>
          <w:tcPr>
            <w:tcW w:w="7691" w:type="dxa"/>
            <w:vAlign w:val="center"/>
          </w:tcPr>
          <w:p w14:paraId="7418591C">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54F3B523">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□需要</w:t>
            </w:r>
          </w:p>
        </w:tc>
      </w:tr>
      <w:tr w14:paraId="4C7E6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66116445">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40" w:type="dxa"/>
            <w:vAlign w:val="center"/>
          </w:tcPr>
          <w:p w14:paraId="2D145876">
            <w:pPr>
              <w:jc w:val="center"/>
              <w:rPr>
                <w:rFonts w:ascii="宋体" w:hAnsi="宋体" w:cs="宋体"/>
                <w:color w:val="auto"/>
                <w:sz w:val="22"/>
                <w:szCs w:val="22"/>
                <w:highlight w:val="none"/>
              </w:rPr>
            </w:pPr>
            <w:r>
              <w:rPr>
                <w:rFonts w:hint="eastAsia" w:ascii="宋体" w:hAnsi="宋体" w:cs="宋体"/>
                <w:color w:val="auto"/>
                <w:sz w:val="22"/>
                <w:szCs w:val="22"/>
                <w:highlight w:val="none"/>
              </w:rPr>
              <w:t>保证金</w:t>
            </w:r>
          </w:p>
        </w:tc>
        <w:tc>
          <w:tcPr>
            <w:tcW w:w="7691" w:type="dxa"/>
            <w:vAlign w:val="center"/>
          </w:tcPr>
          <w:p w14:paraId="61C02406">
            <w:pPr>
              <w:spacing w:line="276" w:lineRule="auto"/>
              <w:rPr>
                <w:rFonts w:ascii="宋体" w:hAnsi="宋体" w:cs="宋体"/>
                <w:color w:val="auto"/>
                <w:sz w:val="22"/>
                <w:szCs w:val="22"/>
                <w:highlight w:val="none"/>
              </w:rPr>
            </w:pPr>
            <w:r>
              <w:rPr>
                <w:rFonts w:hint="eastAsia" w:ascii="宋体" w:hAnsi="宋体" w:cs="宋体"/>
                <w:bCs/>
                <w:color w:val="auto"/>
                <w:sz w:val="22"/>
                <w:szCs w:val="22"/>
                <w:highlight w:val="none"/>
              </w:rPr>
              <w:t>无</w:t>
            </w:r>
          </w:p>
        </w:tc>
      </w:tr>
      <w:tr w14:paraId="6E8765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740" w:type="dxa"/>
            <w:vAlign w:val="center"/>
          </w:tcPr>
          <w:p w14:paraId="3221FEEF">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40" w:type="dxa"/>
            <w:vAlign w:val="center"/>
          </w:tcPr>
          <w:p w14:paraId="095BC2D7">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691" w:type="dxa"/>
            <w:vAlign w:val="center"/>
          </w:tcPr>
          <w:p w14:paraId="68D72DF3">
            <w:pPr>
              <w:spacing w:line="276"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eq \o\ac(</w:instrText>
            </w:r>
            <w:r>
              <w:rPr>
                <w:rFonts w:hint="eastAsia" w:ascii="宋体" w:hAnsi="宋体" w:cs="宋体"/>
                <w:b/>
                <w:bCs/>
                <w:color w:val="auto"/>
                <w:position w:val="-4"/>
                <w:sz w:val="22"/>
                <w:szCs w:val="22"/>
                <w:highlight w:val="none"/>
              </w:rPr>
              <w:instrText xml:space="preserve">□</w:instrText>
            </w:r>
            <w:r>
              <w:rPr>
                <w:rFonts w:hint="eastAsia" w:ascii="宋体" w:hAnsi="宋体" w:cs="宋体"/>
                <w:b/>
                <w:bCs/>
                <w:color w:val="auto"/>
                <w:sz w:val="22"/>
                <w:szCs w:val="22"/>
                <w:highlight w:val="none"/>
              </w:rPr>
              <w:instrText xml:space="preserve">,√)</w:instrTex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不需要</w:t>
            </w:r>
          </w:p>
          <w:p w14:paraId="25340A82">
            <w:pPr>
              <w:adjustRightInd w:val="0"/>
              <w:spacing w:line="276" w:lineRule="auto"/>
              <w:rPr>
                <w:rFonts w:ascii="宋体" w:hAnsi="宋体" w:cs="宋体"/>
                <w:b/>
                <w:bCs/>
                <w:color w:val="auto"/>
                <w:sz w:val="22"/>
                <w:szCs w:val="22"/>
                <w:highlight w:val="none"/>
              </w:rPr>
            </w:pPr>
            <w:r>
              <w:rPr>
                <w:rFonts w:hint="eastAsia" w:ascii="宋体" w:hAnsi="宋体" w:cs="宋体"/>
                <w:color w:val="auto"/>
                <w:sz w:val="22"/>
                <w:szCs w:val="22"/>
                <w:highlight w:val="none"/>
              </w:rPr>
              <w:t>□需要  合同签订后成交供应商应向采购人提供成交价</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%的履约保证金，</w:t>
            </w:r>
            <w:r>
              <w:rPr>
                <w:rFonts w:hint="eastAsia" w:ascii="宋体" w:hAnsi="宋体" w:cs="Courier New"/>
                <w:color w:val="auto"/>
                <w:sz w:val="22"/>
                <w:szCs w:val="22"/>
                <w:highlight w:val="none"/>
              </w:rPr>
              <w:t>履约保证金可以采用银行或者保险公司出具的保函等形式</w:t>
            </w:r>
            <w:r>
              <w:rPr>
                <w:rFonts w:hint="eastAsia" w:ascii="宋体" w:hAnsi="宋体" w:cs="Courier New"/>
                <w:b/>
                <w:bCs/>
                <w:color w:val="auto"/>
                <w:sz w:val="22"/>
                <w:szCs w:val="22"/>
                <w:highlight w:val="none"/>
              </w:rPr>
              <w:t>。</w:t>
            </w:r>
          </w:p>
        </w:tc>
      </w:tr>
      <w:tr w14:paraId="36561D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28" w:hRule="atLeast"/>
          <w:jc w:val="center"/>
        </w:trPr>
        <w:tc>
          <w:tcPr>
            <w:tcW w:w="740" w:type="dxa"/>
            <w:vAlign w:val="center"/>
          </w:tcPr>
          <w:p w14:paraId="64B02345">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40" w:type="dxa"/>
            <w:vAlign w:val="center"/>
          </w:tcPr>
          <w:p w14:paraId="7DDDBD09">
            <w:pPr>
              <w:jc w:val="center"/>
              <w:rPr>
                <w:rFonts w:ascii="宋体" w:hAnsi="宋体" w:cs="宋体"/>
                <w:color w:val="auto"/>
                <w:sz w:val="22"/>
                <w:szCs w:val="22"/>
                <w:highlight w:val="none"/>
              </w:rPr>
            </w:pPr>
            <w:r>
              <w:rPr>
                <w:rFonts w:hint="eastAsia" w:ascii="宋体" w:hAnsi="宋体" w:cs="宋体"/>
                <w:color w:val="auto"/>
                <w:sz w:val="22"/>
                <w:szCs w:val="22"/>
                <w:highlight w:val="none"/>
              </w:rPr>
              <w:t>竞争性磋商文件获取方式</w:t>
            </w:r>
          </w:p>
        </w:tc>
        <w:tc>
          <w:tcPr>
            <w:tcW w:w="7691" w:type="dxa"/>
            <w:vAlign w:val="center"/>
          </w:tcPr>
          <w:p w14:paraId="5FACACF2">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见公告具体说明。</w:t>
            </w:r>
          </w:p>
        </w:tc>
      </w:tr>
      <w:tr w14:paraId="48C785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459A6275">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40" w:type="dxa"/>
            <w:vAlign w:val="center"/>
          </w:tcPr>
          <w:p w14:paraId="24CD73DC">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响应文件递交截止时间</w:t>
            </w:r>
          </w:p>
          <w:p w14:paraId="2D2CC5A4">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投标地点</w:t>
            </w:r>
          </w:p>
        </w:tc>
        <w:tc>
          <w:tcPr>
            <w:tcW w:w="7691" w:type="dxa"/>
            <w:vAlign w:val="center"/>
          </w:tcPr>
          <w:p w14:paraId="272D617A">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202</w:t>
            </w:r>
            <w:r>
              <w:rPr>
                <w:rFonts w:hint="eastAsia" w:ascii="宋体" w:hAnsi="宋体" w:cs="Courier New"/>
                <w:b/>
                <w:color w:val="auto"/>
                <w:sz w:val="22"/>
                <w:szCs w:val="22"/>
                <w:highlight w:val="none"/>
                <w:lang w:val="en-US" w:eastAsia="zh-CN"/>
              </w:rPr>
              <w:t>4</w:t>
            </w:r>
            <w:r>
              <w:rPr>
                <w:rFonts w:hint="eastAsia" w:ascii="宋体" w:hAnsi="宋体" w:cs="Courier New"/>
                <w:b/>
                <w:color w:val="auto"/>
                <w:sz w:val="22"/>
                <w:szCs w:val="22"/>
                <w:highlight w:val="none"/>
              </w:rPr>
              <w:t>年</w:t>
            </w:r>
            <w:r>
              <w:rPr>
                <w:rFonts w:hint="eastAsia" w:ascii="宋体" w:hAnsi="宋体" w:cs="Courier New"/>
                <w:b/>
                <w:color w:val="auto"/>
                <w:sz w:val="22"/>
                <w:szCs w:val="22"/>
                <w:highlight w:val="none"/>
                <w:lang w:val="en-US" w:eastAsia="zh-CN"/>
              </w:rPr>
              <w:t>11</w:t>
            </w:r>
            <w:r>
              <w:rPr>
                <w:rFonts w:hint="eastAsia" w:ascii="宋体" w:hAnsi="宋体" w:cs="Courier New"/>
                <w:b/>
                <w:color w:val="auto"/>
                <w:sz w:val="22"/>
                <w:szCs w:val="22"/>
                <w:highlight w:val="none"/>
              </w:rPr>
              <w:t>月</w:t>
            </w:r>
            <w:r>
              <w:rPr>
                <w:rFonts w:hint="eastAsia" w:ascii="宋体" w:hAnsi="宋体" w:cs="Courier New"/>
                <w:b/>
                <w:color w:val="auto"/>
                <w:sz w:val="22"/>
                <w:szCs w:val="22"/>
                <w:highlight w:val="none"/>
                <w:lang w:val="en-US" w:eastAsia="zh-CN"/>
              </w:rPr>
              <w:t>29</w:t>
            </w:r>
            <w:r>
              <w:rPr>
                <w:rFonts w:hint="eastAsia" w:ascii="宋体" w:hAnsi="宋体" w:cs="Courier New"/>
                <w:b/>
                <w:color w:val="auto"/>
                <w:sz w:val="22"/>
                <w:szCs w:val="22"/>
                <w:highlight w:val="none"/>
              </w:rPr>
              <w:t xml:space="preserve">日 </w:t>
            </w:r>
            <w:r>
              <w:rPr>
                <w:rFonts w:hint="eastAsia" w:ascii="宋体" w:hAnsi="宋体" w:cs="Courier New"/>
                <w:b/>
                <w:color w:val="auto"/>
                <w:sz w:val="22"/>
                <w:szCs w:val="22"/>
                <w:highlight w:val="none"/>
                <w:lang w:val="en-US" w:eastAsia="zh-CN"/>
              </w:rPr>
              <w:t>09</w:t>
            </w:r>
            <w:r>
              <w:rPr>
                <w:rFonts w:hint="eastAsia" w:ascii="宋体" w:hAnsi="宋体" w:cs="Courier New"/>
                <w:b/>
                <w:color w:val="auto"/>
                <w:sz w:val="22"/>
                <w:szCs w:val="22"/>
                <w:highlight w:val="none"/>
              </w:rPr>
              <w:t>:30分截止(北京时间)。</w:t>
            </w:r>
          </w:p>
          <w:p w14:paraId="45DF5F17">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投标地点：</w:t>
            </w:r>
            <w:r>
              <w:rPr>
                <w:rFonts w:hint="eastAsia" w:ascii="宋体" w:hAnsi="宋体"/>
                <w:b/>
                <w:color w:val="auto"/>
                <w:sz w:val="22"/>
                <w:highlight w:val="none"/>
              </w:rPr>
              <w:t>通过政府采购云平台投标客户端在线投标</w:t>
            </w:r>
          </w:p>
        </w:tc>
      </w:tr>
      <w:tr w14:paraId="04A61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57CEBC8C">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40" w:type="dxa"/>
            <w:vAlign w:val="center"/>
          </w:tcPr>
          <w:p w14:paraId="78A89633">
            <w:pPr>
              <w:jc w:val="center"/>
              <w:rPr>
                <w:rFonts w:ascii="宋体" w:hAnsi="宋体" w:cs="Courier New"/>
                <w:b/>
                <w:color w:val="auto"/>
                <w:sz w:val="22"/>
                <w:szCs w:val="22"/>
                <w:highlight w:val="none"/>
              </w:rPr>
            </w:pPr>
            <w:r>
              <w:rPr>
                <w:rFonts w:hint="eastAsia" w:ascii="宋体" w:hAnsi="宋体"/>
                <w:b/>
                <w:color w:val="auto"/>
                <w:sz w:val="22"/>
                <w:szCs w:val="22"/>
                <w:highlight w:val="none"/>
              </w:rPr>
              <w:t>磋商开始</w:t>
            </w:r>
            <w:r>
              <w:rPr>
                <w:rFonts w:hint="eastAsia" w:ascii="宋体" w:hAnsi="宋体" w:cs="Courier New"/>
                <w:b/>
                <w:color w:val="auto"/>
                <w:sz w:val="22"/>
                <w:szCs w:val="22"/>
                <w:highlight w:val="none"/>
              </w:rPr>
              <w:t>时间</w:t>
            </w:r>
          </w:p>
          <w:p w14:paraId="3B84F88D">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磋商地点</w:t>
            </w:r>
          </w:p>
        </w:tc>
        <w:tc>
          <w:tcPr>
            <w:tcW w:w="7691" w:type="dxa"/>
            <w:vAlign w:val="center"/>
          </w:tcPr>
          <w:p w14:paraId="27B44B3B">
            <w:pPr>
              <w:spacing w:line="276" w:lineRule="auto"/>
              <w:rPr>
                <w:rFonts w:ascii="宋体" w:hAnsi="宋体" w:cs="Courier New"/>
                <w:b/>
                <w:color w:val="auto"/>
                <w:sz w:val="22"/>
                <w:szCs w:val="22"/>
                <w:highlight w:val="none"/>
              </w:rPr>
            </w:pPr>
            <w:r>
              <w:rPr>
                <w:rFonts w:hint="eastAsia" w:ascii="宋体" w:hAnsi="宋体"/>
                <w:b/>
                <w:color w:val="auto"/>
                <w:sz w:val="22"/>
                <w:szCs w:val="22"/>
                <w:highlight w:val="none"/>
              </w:rPr>
              <w:t>磋商开始</w:t>
            </w:r>
            <w:r>
              <w:rPr>
                <w:rFonts w:hint="eastAsia" w:ascii="宋体" w:hAnsi="宋体" w:cs="Courier New"/>
                <w:b/>
                <w:color w:val="auto"/>
                <w:sz w:val="22"/>
                <w:szCs w:val="22"/>
                <w:highlight w:val="none"/>
              </w:rPr>
              <w:t>时间：202</w:t>
            </w:r>
            <w:r>
              <w:rPr>
                <w:rFonts w:hint="eastAsia" w:ascii="宋体" w:hAnsi="宋体" w:cs="Courier New"/>
                <w:b/>
                <w:color w:val="auto"/>
                <w:sz w:val="22"/>
                <w:szCs w:val="22"/>
                <w:highlight w:val="none"/>
                <w:lang w:val="en-US" w:eastAsia="zh-CN"/>
              </w:rPr>
              <w:t>4</w:t>
            </w:r>
            <w:r>
              <w:rPr>
                <w:rFonts w:hint="eastAsia" w:ascii="宋体" w:hAnsi="宋体" w:cs="Courier New"/>
                <w:b/>
                <w:color w:val="auto"/>
                <w:sz w:val="22"/>
                <w:szCs w:val="22"/>
                <w:highlight w:val="none"/>
              </w:rPr>
              <w:t>年</w:t>
            </w:r>
            <w:r>
              <w:rPr>
                <w:rFonts w:hint="eastAsia" w:ascii="宋体" w:hAnsi="宋体" w:cs="Courier New"/>
                <w:b/>
                <w:color w:val="auto"/>
                <w:sz w:val="22"/>
                <w:szCs w:val="22"/>
                <w:highlight w:val="none"/>
                <w:lang w:val="en-US" w:eastAsia="zh-CN"/>
              </w:rPr>
              <w:t>11</w:t>
            </w:r>
            <w:r>
              <w:rPr>
                <w:rFonts w:hint="eastAsia" w:ascii="宋体" w:hAnsi="宋体" w:cs="Courier New"/>
                <w:b/>
                <w:color w:val="auto"/>
                <w:sz w:val="22"/>
                <w:szCs w:val="22"/>
                <w:highlight w:val="none"/>
              </w:rPr>
              <w:t>月</w:t>
            </w:r>
            <w:r>
              <w:rPr>
                <w:rFonts w:hint="eastAsia" w:ascii="宋体" w:hAnsi="宋体" w:cs="Courier New"/>
                <w:b/>
                <w:color w:val="auto"/>
                <w:sz w:val="22"/>
                <w:szCs w:val="22"/>
                <w:highlight w:val="none"/>
                <w:lang w:val="en-US" w:eastAsia="zh-CN"/>
              </w:rPr>
              <w:t>29</w:t>
            </w:r>
            <w:r>
              <w:rPr>
                <w:rFonts w:hint="eastAsia" w:ascii="宋体" w:hAnsi="宋体" w:cs="Courier New"/>
                <w:b/>
                <w:color w:val="auto"/>
                <w:sz w:val="22"/>
                <w:szCs w:val="22"/>
                <w:highlight w:val="none"/>
              </w:rPr>
              <w:t xml:space="preserve">日 </w:t>
            </w:r>
            <w:r>
              <w:rPr>
                <w:rFonts w:hint="eastAsia" w:ascii="宋体" w:hAnsi="宋体" w:cs="Courier New"/>
                <w:b/>
                <w:color w:val="auto"/>
                <w:sz w:val="22"/>
                <w:szCs w:val="22"/>
                <w:highlight w:val="none"/>
                <w:lang w:val="en-US" w:eastAsia="zh-CN"/>
              </w:rPr>
              <w:t>09</w:t>
            </w:r>
            <w:r>
              <w:rPr>
                <w:rFonts w:hint="eastAsia" w:ascii="宋体" w:hAnsi="宋体" w:cs="Courier New"/>
                <w:b/>
                <w:color w:val="auto"/>
                <w:sz w:val="22"/>
                <w:szCs w:val="22"/>
                <w:highlight w:val="none"/>
              </w:rPr>
              <w:t>:30分  (北京时间)</w:t>
            </w:r>
          </w:p>
          <w:p w14:paraId="3C8DF0E9">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磋商地点：</w:t>
            </w:r>
            <w:r>
              <w:rPr>
                <w:rFonts w:hint="eastAsia" w:ascii="宋体" w:hAnsi="宋体"/>
                <w:b/>
                <w:color w:val="auto"/>
                <w:sz w:val="22"/>
                <w:szCs w:val="22"/>
                <w:highlight w:val="none"/>
              </w:rPr>
              <w:t>温州市牛山北路1</w:t>
            </w:r>
            <w:r>
              <w:rPr>
                <w:rFonts w:ascii="宋体" w:hAnsi="宋体"/>
                <w:b/>
                <w:color w:val="auto"/>
                <w:sz w:val="22"/>
                <w:szCs w:val="22"/>
                <w:highlight w:val="none"/>
              </w:rPr>
              <w:t>3</w:t>
            </w:r>
            <w:r>
              <w:rPr>
                <w:rFonts w:hint="eastAsia" w:ascii="宋体" w:hAnsi="宋体"/>
                <w:b/>
                <w:color w:val="auto"/>
                <w:sz w:val="22"/>
                <w:szCs w:val="22"/>
                <w:highlight w:val="none"/>
              </w:rPr>
              <w:t>号牛山商务大厦</w:t>
            </w:r>
            <w:r>
              <w:rPr>
                <w:rFonts w:ascii="宋体" w:hAnsi="宋体"/>
                <w:b/>
                <w:color w:val="auto"/>
                <w:sz w:val="22"/>
                <w:szCs w:val="22"/>
                <w:highlight w:val="none"/>
              </w:rPr>
              <w:t>9</w:t>
            </w:r>
            <w:r>
              <w:rPr>
                <w:rFonts w:hint="eastAsia" w:ascii="宋体" w:hAnsi="宋体"/>
                <w:b/>
                <w:color w:val="auto"/>
                <w:sz w:val="22"/>
                <w:szCs w:val="22"/>
                <w:highlight w:val="none"/>
              </w:rPr>
              <w:t>楼9</w:t>
            </w:r>
            <w:r>
              <w:rPr>
                <w:rFonts w:ascii="宋体" w:hAnsi="宋体"/>
                <w:b/>
                <w:color w:val="auto"/>
                <w:sz w:val="22"/>
                <w:szCs w:val="22"/>
                <w:highlight w:val="none"/>
              </w:rPr>
              <w:t>07</w:t>
            </w:r>
          </w:p>
        </w:tc>
      </w:tr>
      <w:tr w14:paraId="29372D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740" w:type="dxa"/>
            <w:vAlign w:val="center"/>
          </w:tcPr>
          <w:p w14:paraId="082B19D8">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1740" w:type="dxa"/>
            <w:vAlign w:val="center"/>
          </w:tcPr>
          <w:p w14:paraId="12816977">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磋商响应文件上传和递交</w:t>
            </w:r>
          </w:p>
        </w:tc>
        <w:tc>
          <w:tcPr>
            <w:tcW w:w="7691" w:type="dxa"/>
            <w:vAlign w:val="center"/>
          </w:tcPr>
          <w:p w14:paraId="5F6F7870">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本项目通过“政府采购云平台（</w:t>
            </w:r>
            <w:r>
              <w:rPr>
                <w:rFonts w:ascii="宋体" w:hAnsi="宋体" w:cs="Courier New"/>
                <w:b/>
                <w:color w:val="auto"/>
                <w:sz w:val="22"/>
                <w:szCs w:val="22"/>
                <w:highlight w:val="none"/>
              </w:rPr>
              <w:t>www.zcygov.cn）”实行在线投标响应（电子投标），投标供应商应当在响应文件递交截止时间前，将生成的“电子加密磋商响应文件”上传递交至“政府采购云平台”。</w:t>
            </w:r>
          </w:p>
          <w:p w14:paraId="4656BC24">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“电子加密磋商响应文件”的上传、递交：</w:t>
            </w:r>
          </w:p>
          <w:p w14:paraId="29E7C95E">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a.投标供应商应在响应文件递交截止时间前将“电子加密磋商响应文件”成功上传递交至“政府采购云平台”，否则投标无效。</w:t>
            </w:r>
          </w:p>
          <w:p w14:paraId="6E258FBC">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b.“电子加密磋商响应文件”成功上传递交后，供应商可自行打印磋商响应文件接收回执。</w:t>
            </w:r>
          </w:p>
        </w:tc>
      </w:tr>
      <w:tr w14:paraId="1DF7A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4C2073CB">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1740" w:type="dxa"/>
            <w:vAlign w:val="center"/>
          </w:tcPr>
          <w:p w14:paraId="2F0E00A1">
            <w:pPr>
              <w:jc w:val="center"/>
              <w:rPr>
                <w:rFonts w:ascii="宋体" w:hAnsi="宋体" w:cs="Courier New"/>
                <w:b/>
                <w:color w:val="auto"/>
                <w:sz w:val="22"/>
                <w:szCs w:val="22"/>
                <w:highlight w:val="none"/>
              </w:rPr>
            </w:pPr>
            <w:r>
              <w:rPr>
                <w:rFonts w:hint="eastAsia" w:ascii="宋体" w:hAnsi="宋体" w:cs="Courier New"/>
                <w:b/>
                <w:bCs/>
                <w:color w:val="auto"/>
                <w:sz w:val="22"/>
                <w:szCs w:val="22"/>
                <w:highlight w:val="none"/>
              </w:rPr>
              <w:t>电子加密磋商响应文件的解密和异常情况处理</w:t>
            </w:r>
          </w:p>
        </w:tc>
        <w:tc>
          <w:tcPr>
            <w:tcW w:w="7691" w:type="dxa"/>
            <w:vAlign w:val="center"/>
          </w:tcPr>
          <w:p w14:paraId="5C5A71C3">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1、开标后，采购组织机构将向各投标供应商发出“电子加密磋商响应文件”的解密通知，各投标供应商代表应当在接到解密通知后系统规定的时间内自行完成“电子加密磋商响应文件”的在线解密。</w:t>
            </w:r>
          </w:p>
          <w:p w14:paraId="23DF9235">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2、</w:t>
            </w:r>
            <w:r>
              <w:rPr>
                <w:rFonts w:hint="eastAsia" w:ascii="宋体" w:hAnsi="宋体"/>
                <w:b/>
                <w:color w:val="auto"/>
                <w:sz w:val="22"/>
                <w:highlight w:val="none"/>
              </w:rPr>
              <w:t>通过“政府采购云平台”</w:t>
            </w:r>
            <w:r>
              <w:rPr>
                <w:rFonts w:hint="eastAsia" w:ascii="宋体" w:hAnsi="宋体"/>
                <w:color w:val="auto"/>
                <w:highlight w:val="none"/>
              </w:rPr>
              <w:t xml:space="preserve"> </w:t>
            </w:r>
            <w:r>
              <w:rPr>
                <w:rFonts w:hint="eastAsia" w:ascii="宋体" w:hAnsi="宋体"/>
                <w:b/>
                <w:color w:val="auto"/>
                <w:sz w:val="22"/>
                <w:highlight w:val="none"/>
              </w:rPr>
              <w:t>成功上传递交的“电子加密磋商响应文件”无法按时解密的，其磋商响应文件按拒收处理。</w:t>
            </w:r>
          </w:p>
        </w:tc>
      </w:tr>
      <w:tr w14:paraId="11D1C8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48B54574">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1740" w:type="dxa"/>
            <w:vAlign w:val="center"/>
          </w:tcPr>
          <w:p w14:paraId="5DA4FA3D">
            <w:pPr>
              <w:jc w:val="center"/>
              <w:rPr>
                <w:rFonts w:ascii="宋体" w:hAnsi="宋体" w:cs="宋体"/>
                <w:color w:val="auto"/>
                <w:sz w:val="22"/>
                <w:szCs w:val="22"/>
                <w:highlight w:val="none"/>
              </w:rPr>
            </w:pPr>
            <w:r>
              <w:rPr>
                <w:rFonts w:hint="eastAsia" w:ascii="宋体" w:hAnsi="宋体" w:cs="宋体"/>
                <w:color w:val="auto"/>
                <w:sz w:val="22"/>
                <w:szCs w:val="22"/>
                <w:highlight w:val="none"/>
              </w:rPr>
              <w:t>磋商小组的组建</w:t>
            </w:r>
          </w:p>
        </w:tc>
        <w:tc>
          <w:tcPr>
            <w:tcW w:w="7691" w:type="dxa"/>
            <w:vAlign w:val="center"/>
          </w:tcPr>
          <w:p w14:paraId="1E242C14">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磋商小组构成：由采购人代表以及有关技术、经济等方面的专家组成，成员为3人及以上单数，其中技术、经济类专家不得少于总人数的2/3；评标专家确定方式：按相关规定从专家库中抽取。</w:t>
            </w:r>
          </w:p>
        </w:tc>
      </w:tr>
      <w:tr w14:paraId="4C0F71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66D0495C">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30</w:t>
            </w:r>
          </w:p>
        </w:tc>
        <w:tc>
          <w:tcPr>
            <w:tcW w:w="1740" w:type="dxa"/>
            <w:vAlign w:val="center"/>
          </w:tcPr>
          <w:p w14:paraId="274C8A57">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61EED95A">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691" w:type="dxa"/>
            <w:vAlign w:val="center"/>
          </w:tcPr>
          <w:p w14:paraId="7CD5DF6F">
            <w:pPr>
              <w:spacing w:line="276" w:lineRule="auto"/>
              <w:rPr>
                <w:rFonts w:ascii="宋体" w:hAnsi="宋体" w:cs="Courier New"/>
                <w:b/>
                <w:color w:val="auto"/>
                <w:sz w:val="22"/>
                <w:szCs w:val="22"/>
                <w:highlight w:val="none"/>
              </w:rPr>
            </w:pPr>
            <w:r>
              <w:rPr>
                <w:rFonts w:hint="eastAsia" w:ascii="宋体" w:hAnsi="宋体" w:cs="Courier New"/>
                <w:b/>
                <w:color w:val="auto"/>
                <w:sz w:val="22"/>
                <w:szCs w:val="22"/>
                <w:highlight w:val="none"/>
              </w:rPr>
              <w:t>1、本项目整体（预留</w:t>
            </w:r>
            <w:r>
              <w:rPr>
                <w:rFonts w:ascii="宋体" w:hAnsi="宋体" w:cs="Courier New"/>
                <w:b/>
                <w:color w:val="auto"/>
                <w:sz w:val="22"/>
                <w:szCs w:val="22"/>
                <w:highlight w:val="none"/>
              </w:rPr>
              <w:t>100%份额）专门面向中小企业采购。监狱企业、残疾人福利性单位视同小型、微型企业。</w:t>
            </w:r>
          </w:p>
          <w:p w14:paraId="589D4725">
            <w:pPr>
              <w:spacing w:line="276" w:lineRule="auto"/>
              <w:rPr>
                <w:rFonts w:ascii="宋体" w:hAnsi="宋体" w:cs="宋体"/>
                <w:b/>
                <w:bCs/>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、本项目专门面向中小企业采购，不再执行价格评审优惠的扶持政策。</w:t>
            </w:r>
          </w:p>
        </w:tc>
      </w:tr>
      <w:tr w14:paraId="19277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7" w:hRule="atLeast"/>
          <w:jc w:val="center"/>
        </w:trPr>
        <w:tc>
          <w:tcPr>
            <w:tcW w:w="740" w:type="dxa"/>
            <w:vAlign w:val="center"/>
          </w:tcPr>
          <w:p w14:paraId="57678707">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1740" w:type="dxa"/>
            <w:vAlign w:val="center"/>
          </w:tcPr>
          <w:p w14:paraId="5D6592CB">
            <w:pPr>
              <w:jc w:val="center"/>
              <w:rPr>
                <w:rFonts w:ascii="宋体" w:hAnsi="宋体" w:cs="宋体"/>
                <w:color w:val="auto"/>
                <w:sz w:val="22"/>
                <w:szCs w:val="22"/>
                <w:highlight w:val="none"/>
              </w:rPr>
            </w:pPr>
            <w:r>
              <w:rPr>
                <w:rFonts w:hint="eastAsia" w:ascii="宋体" w:hAnsi="宋体" w:cs="宋体"/>
                <w:color w:val="auto"/>
                <w:sz w:val="22"/>
                <w:szCs w:val="22"/>
                <w:highlight w:val="none"/>
              </w:rPr>
              <w:t>供应商</w:t>
            </w:r>
          </w:p>
          <w:p w14:paraId="37203C3D">
            <w:pPr>
              <w:jc w:val="center"/>
              <w:rPr>
                <w:rFonts w:ascii="宋体" w:hAnsi="宋体" w:cs="宋体"/>
                <w:color w:val="auto"/>
                <w:sz w:val="22"/>
                <w:szCs w:val="22"/>
                <w:highlight w:val="none"/>
              </w:rPr>
            </w:pPr>
            <w:r>
              <w:rPr>
                <w:rFonts w:hint="eastAsia" w:ascii="宋体" w:hAnsi="宋体" w:cs="宋体"/>
                <w:color w:val="auto"/>
                <w:sz w:val="22"/>
                <w:szCs w:val="22"/>
                <w:highlight w:val="none"/>
              </w:rPr>
              <w:t>信用查询</w:t>
            </w:r>
          </w:p>
        </w:tc>
        <w:tc>
          <w:tcPr>
            <w:tcW w:w="7691" w:type="dxa"/>
            <w:vAlign w:val="center"/>
          </w:tcPr>
          <w:p w14:paraId="0ABAD940">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1、投标供应商信用信息查询的查询渠道：“信用中国”(www.creditchina.gov.cn)；“中国政府采购网”（www.ccgp.gov.cn）。</w:t>
            </w:r>
          </w:p>
          <w:p w14:paraId="581E0051">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2、供应商信用信息查询截止时点：公告发布之日至磋商响应文件递交截止时间前。</w:t>
            </w:r>
          </w:p>
          <w:p w14:paraId="1D61412B">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7EA365F1">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r>
              <w:rPr>
                <w:rFonts w:hint="eastAsia" w:ascii="宋体" w:hAnsi="宋体"/>
                <w:color w:val="auto"/>
                <w:sz w:val="22"/>
                <w:szCs w:val="22"/>
                <w:highlight w:val="none"/>
              </w:rPr>
              <w:t>对列入失信被执行人、重大税收违法案件当事人名单、政府采购严重违法失信行为记录名单及其他不符合《中华人民共和国政府采购法》第二十二条规定条件的供应商，其投标做无效投标处理。</w:t>
            </w:r>
          </w:p>
        </w:tc>
      </w:tr>
      <w:tr w14:paraId="6FDE2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13E612B7">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1740" w:type="dxa"/>
            <w:vAlign w:val="center"/>
          </w:tcPr>
          <w:p w14:paraId="00BA8D7B">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691" w:type="dxa"/>
            <w:vAlign w:val="center"/>
          </w:tcPr>
          <w:p w14:paraId="7744486E">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1、成交供应商须在中标通知书发出之日起30日历天内与采购人签订合同。</w:t>
            </w:r>
          </w:p>
          <w:p w14:paraId="5652228C">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2、成交供应商与采购人签订合同后，2日内将合同原件送至采购人及采购代理机构处；</w:t>
            </w:r>
          </w:p>
          <w:p w14:paraId="66A2902B">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3、本项目政府采购合同按规定在浙江政府采购网予以公告。</w:t>
            </w:r>
          </w:p>
        </w:tc>
      </w:tr>
      <w:tr w14:paraId="357F0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59A52685">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1740" w:type="dxa"/>
            <w:vAlign w:val="center"/>
          </w:tcPr>
          <w:p w14:paraId="6F5EE0B6">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691" w:type="dxa"/>
            <w:vAlign w:val="center"/>
          </w:tcPr>
          <w:p w14:paraId="28C42A33">
            <w:pPr>
              <w:spacing w:line="276" w:lineRule="auto"/>
              <w:rPr>
                <w:rFonts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合同签订后，采购人依法加强对合同履约进行管理，并在成交单位供货、项目验收等重要关节，如实填写《合同验收报告》，并及时向同级财政部门报告验收过程中遇到的问题。</w:t>
            </w:r>
          </w:p>
        </w:tc>
      </w:tr>
      <w:tr w14:paraId="0B30FF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4196A7A0">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34</w:t>
            </w:r>
          </w:p>
        </w:tc>
        <w:tc>
          <w:tcPr>
            <w:tcW w:w="1740" w:type="dxa"/>
            <w:vAlign w:val="center"/>
          </w:tcPr>
          <w:p w14:paraId="0D9BFA28">
            <w:pPr>
              <w:jc w:val="center"/>
              <w:rPr>
                <w:rFonts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691" w:type="dxa"/>
            <w:vAlign w:val="center"/>
          </w:tcPr>
          <w:p w14:paraId="1A07C1FE">
            <w:pPr>
              <w:pStyle w:val="2"/>
              <w:spacing w:line="276" w:lineRule="auto"/>
              <w:ind w:firstLine="220"/>
              <w:rPr>
                <w:rFonts w:ascii="宋体" w:hAnsi="宋体"/>
                <w:color w:val="auto"/>
                <w:sz w:val="22"/>
                <w:szCs w:val="22"/>
                <w:highlight w:val="none"/>
              </w:rPr>
            </w:pPr>
            <w:r>
              <w:rPr>
                <w:rFonts w:hint="eastAsia" w:ascii="宋体" w:hAnsi="宋体"/>
                <w:color w:val="auto"/>
                <w:sz w:val="22"/>
                <w:szCs w:val="22"/>
                <w:highlight w:val="none"/>
              </w:rPr>
              <w:t>1、供应商自行承担投标过程中产生的费用。无论何种因素导致采购项目延期开标、废标（流标）、投标供应商未中标、项目终止采购的，采购人与采购代理机构均不承担供应商投标费用。</w:t>
            </w:r>
          </w:p>
          <w:p w14:paraId="30A3E90A">
            <w:pPr>
              <w:pStyle w:val="2"/>
              <w:spacing w:line="276" w:lineRule="auto"/>
              <w:ind w:firstLine="220"/>
              <w:rPr>
                <w:rFonts w:ascii="宋体" w:hAnsi="宋体" w:cs="宋体"/>
                <w:color w:val="auto"/>
                <w:sz w:val="22"/>
                <w:szCs w:val="22"/>
                <w:highlight w:val="none"/>
              </w:rPr>
            </w:pPr>
            <w:r>
              <w:rPr>
                <w:rFonts w:hint="eastAsia" w:ascii="宋体" w:hAnsi="宋体"/>
                <w:color w:val="auto"/>
                <w:sz w:val="22"/>
                <w:szCs w:val="22"/>
                <w:highlight w:val="none"/>
              </w:rPr>
              <w:t>2、投标供应商在投标、合同履行过程中必须做好安全保障工作，不因项目实施而危及自身及第三方人员、财产安全。若发生任何安全事故，由成交供应商自行承担一切责任并赔偿损失。</w:t>
            </w:r>
          </w:p>
        </w:tc>
      </w:tr>
      <w:tr w14:paraId="2C338B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740" w:type="dxa"/>
            <w:vAlign w:val="center"/>
          </w:tcPr>
          <w:p w14:paraId="2309083A">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35</w:t>
            </w:r>
          </w:p>
        </w:tc>
        <w:tc>
          <w:tcPr>
            <w:tcW w:w="1740" w:type="dxa"/>
            <w:vAlign w:val="center"/>
          </w:tcPr>
          <w:p w14:paraId="7FE36E36">
            <w:pPr>
              <w:jc w:val="center"/>
              <w:rPr>
                <w:rFonts w:ascii="宋体" w:hAnsi="宋体" w:cs="宋体"/>
                <w:color w:val="auto"/>
                <w:sz w:val="22"/>
                <w:szCs w:val="22"/>
                <w:highlight w:val="none"/>
              </w:rPr>
            </w:pPr>
            <w:r>
              <w:rPr>
                <w:rFonts w:hint="eastAsia" w:ascii="宋体" w:hAnsi="宋体" w:cs="宋体"/>
                <w:color w:val="auto"/>
                <w:sz w:val="22"/>
                <w:szCs w:val="22"/>
                <w:highlight w:val="none"/>
              </w:rPr>
              <w:t>竞争性磋商文件质疑时间</w:t>
            </w:r>
          </w:p>
        </w:tc>
        <w:tc>
          <w:tcPr>
            <w:tcW w:w="7691" w:type="dxa"/>
            <w:vAlign w:val="center"/>
          </w:tcPr>
          <w:p w14:paraId="60B599A6">
            <w:pPr>
              <w:spacing w:line="276" w:lineRule="auto"/>
              <w:rPr>
                <w:rFonts w:ascii="宋体" w:hAnsi="宋体" w:cs="宋体"/>
                <w:color w:val="auto"/>
                <w:sz w:val="22"/>
                <w:szCs w:val="22"/>
                <w:highlight w:val="none"/>
              </w:rPr>
            </w:pPr>
            <w:r>
              <w:rPr>
                <w:rFonts w:hint="eastAsia" w:ascii="宋体" w:hAnsi="宋体"/>
                <w:color w:val="auto"/>
                <w:sz w:val="22"/>
                <w:szCs w:val="22"/>
                <w:highlight w:val="none"/>
              </w:rPr>
              <w:t>供应商如对磋商文件有异议的，应在规定时间内</w:t>
            </w:r>
            <w:r>
              <w:rPr>
                <w:rFonts w:ascii="宋体" w:hAnsi="宋体"/>
                <w:color w:val="auto"/>
                <w:sz w:val="22"/>
                <w:szCs w:val="22"/>
                <w:highlight w:val="none"/>
              </w:rPr>
              <w:t>以书面形式加盖公章</w:t>
            </w:r>
            <w:r>
              <w:rPr>
                <w:rFonts w:hint="eastAsia" w:ascii="宋体" w:hAnsi="宋体"/>
                <w:color w:val="auto"/>
                <w:sz w:val="22"/>
                <w:szCs w:val="22"/>
                <w:highlight w:val="none"/>
              </w:rPr>
              <w:t>送达</w:t>
            </w:r>
            <w:r>
              <w:rPr>
                <w:rFonts w:ascii="宋体" w:hAnsi="宋体"/>
                <w:color w:val="auto"/>
                <w:sz w:val="22"/>
                <w:szCs w:val="22"/>
                <w:highlight w:val="none"/>
              </w:rPr>
              <w:t>至采购代理机构，逾期采购代理机构可不予受理及答复。</w:t>
            </w:r>
          </w:p>
        </w:tc>
      </w:tr>
      <w:tr w14:paraId="1AFA06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740" w:type="dxa"/>
            <w:vAlign w:val="center"/>
          </w:tcPr>
          <w:p w14:paraId="0DCFF20D">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36</w:t>
            </w:r>
          </w:p>
        </w:tc>
        <w:tc>
          <w:tcPr>
            <w:tcW w:w="1740" w:type="dxa"/>
            <w:vAlign w:val="center"/>
          </w:tcPr>
          <w:p w14:paraId="08A7F549">
            <w:pPr>
              <w:jc w:val="center"/>
              <w:rPr>
                <w:rFonts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691" w:type="dxa"/>
            <w:vAlign w:val="center"/>
          </w:tcPr>
          <w:p w14:paraId="6FC5EA32">
            <w:pPr>
              <w:pStyle w:val="2"/>
              <w:spacing w:line="276" w:lineRule="auto"/>
              <w:ind w:firstLine="220"/>
              <w:rPr>
                <w:rFonts w:ascii="宋体" w:hAnsi="宋体" w:cs="宋体"/>
                <w:color w:val="auto"/>
                <w:sz w:val="22"/>
                <w:szCs w:val="22"/>
                <w:highlight w:val="none"/>
              </w:rPr>
            </w:pPr>
            <w:r>
              <w:rPr>
                <w:rFonts w:hint="eastAsia" w:ascii="宋体" w:hAnsi="宋体"/>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5B6DC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46" w:hRule="atLeast"/>
          <w:jc w:val="center"/>
        </w:trPr>
        <w:tc>
          <w:tcPr>
            <w:tcW w:w="740" w:type="dxa"/>
            <w:vAlign w:val="center"/>
          </w:tcPr>
          <w:p w14:paraId="44490E03">
            <w:pPr>
              <w:widowControl/>
              <w:tabs>
                <w:tab w:val="left" w:pos="420"/>
                <w:tab w:val="left" w:pos="1145"/>
              </w:tabs>
              <w:spacing w:line="460" w:lineRule="exact"/>
              <w:jc w:val="center"/>
              <w:rPr>
                <w:rFonts w:ascii="宋体" w:hAnsi="宋体" w:cs="Courier New"/>
                <w:color w:val="auto"/>
                <w:sz w:val="22"/>
                <w:szCs w:val="22"/>
                <w:highlight w:val="none"/>
              </w:rPr>
            </w:pPr>
            <w:r>
              <w:rPr>
                <w:rFonts w:hint="eastAsia" w:ascii="宋体" w:hAnsi="宋体" w:cs="Courier New"/>
                <w:color w:val="auto"/>
                <w:sz w:val="22"/>
                <w:szCs w:val="22"/>
                <w:highlight w:val="none"/>
              </w:rPr>
              <w:t>3</w:t>
            </w:r>
            <w:r>
              <w:rPr>
                <w:rFonts w:ascii="宋体" w:hAnsi="宋体" w:cs="Courier New"/>
                <w:color w:val="auto"/>
                <w:sz w:val="22"/>
                <w:szCs w:val="22"/>
                <w:highlight w:val="none"/>
              </w:rPr>
              <w:t>7</w:t>
            </w:r>
          </w:p>
        </w:tc>
        <w:tc>
          <w:tcPr>
            <w:tcW w:w="1740" w:type="dxa"/>
            <w:vAlign w:val="center"/>
          </w:tcPr>
          <w:p w14:paraId="7CEA85E3">
            <w:pPr>
              <w:jc w:val="center"/>
              <w:rPr>
                <w:rFonts w:ascii="宋体" w:hAnsi="宋体" w:cs="Courier New"/>
                <w:b/>
                <w:color w:val="auto"/>
                <w:sz w:val="22"/>
                <w:szCs w:val="22"/>
                <w:highlight w:val="none"/>
              </w:rPr>
            </w:pPr>
            <w:r>
              <w:rPr>
                <w:rFonts w:hint="eastAsia" w:ascii="宋体" w:hAnsi="宋体"/>
                <w:b/>
                <w:color w:val="auto"/>
                <w:sz w:val="22"/>
                <w:szCs w:val="22"/>
                <w:highlight w:val="none"/>
              </w:rPr>
              <w:t>注意事项</w:t>
            </w:r>
          </w:p>
        </w:tc>
        <w:tc>
          <w:tcPr>
            <w:tcW w:w="7691" w:type="dxa"/>
            <w:vAlign w:val="center"/>
          </w:tcPr>
          <w:p w14:paraId="43FF1C2B">
            <w:pPr>
              <w:pStyle w:val="2"/>
              <w:spacing w:line="276" w:lineRule="auto"/>
              <w:ind w:firstLine="221"/>
              <w:rPr>
                <w:rFonts w:ascii="宋体" w:hAnsi="宋体"/>
                <w:b/>
                <w:bCs/>
                <w:color w:val="auto"/>
                <w:sz w:val="22"/>
                <w:szCs w:val="22"/>
                <w:highlight w:val="none"/>
              </w:rPr>
            </w:pPr>
            <w:r>
              <w:rPr>
                <w:rFonts w:hint="eastAsia" w:ascii="宋体" w:hAnsi="宋体"/>
                <w:b/>
                <w:bCs/>
                <w:color w:val="auto"/>
                <w:sz w:val="22"/>
                <w:szCs w:val="22"/>
                <w:highlight w:val="none"/>
              </w:rPr>
              <w:t>1.请务必确保磋商响应文件制作客户端为最新版本，旧版本可能导致磋商响应文件解密失败。</w:t>
            </w:r>
          </w:p>
          <w:p w14:paraId="08A14DC9">
            <w:pPr>
              <w:pStyle w:val="2"/>
              <w:spacing w:line="276" w:lineRule="auto"/>
              <w:ind w:firstLine="221"/>
              <w:rPr>
                <w:rFonts w:ascii="宋体" w:hAnsi="宋体"/>
                <w:b/>
                <w:bCs/>
                <w:color w:val="auto"/>
                <w:sz w:val="22"/>
                <w:szCs w:val="22"/>
                <w:highlight w:val="none"/>
              </w:rPr>
            </w:pPr>
            <w:r>
              <w:rPr>
                <w:rFonts w:hint="eastAsia" w:ascii="宋体" w:hAnsi="宋体"/>
                <w:b/>
                <w:bCs/>
                <w:color w:val="auto"/>
                <w:sz w:val="22"/>
                <w:szCs w:val="22"/>
                <w:highlight w:val="none"/>
              </w:rPr>
              <w:t>2.请务必确保磋商响应文件制作时所用的 CA 锁与磋商响应文件解密时的 CA 锁为同一把，否则可能导致磋商响应文件解密失败。</w:t>
            </w:r>
          </w:p>
        </w:tc>
      </w:tr>
      <w:tr w14:paraId="772AE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46" w:hRule="atLeast"/>
          <w:jc w:val="center"/>
        </w:trPr>
        <w:tc>
          <w:tcPr>
            <w:tcW w:w="740" w:type="dxa"/>
            <w:vAlign w:val="center"/>
          </w:tcPr>
          <w:p w14:paraId="5A1C8383">
            <w:pPr>
              <w:widowControl/>
              <w:tabs>
                <w:tab w:val="left" w:pos="420"/>
                <w:tab w:val="left" w:pos="1145"/>
              </w:tabs>
              <w:spacing w:line="460" w:lineRule="exact"/>
              <w:jc w:val="center"/>
              <w:rPr>
                <w:rFonts w:ascii="宋体" w:hAnsi="宋体" w:cs="Courier New"/>
                <w:color w:val="auto"/>
                <w:sz w:val="22"/>
                <w:szCs w:val="22"/>
                <w:highlight w:val="none"/>
              </w:rPr>
            </w:pPr>
            <w:r>
              <w:rPr>
                <w:rFonts w:hint="eastAsia" w:ascii="宋体" w:hAnsi="宋体" w:cs="Courier New"/>
                <w:color w:val="auto"/>
                <w:sz w:val="22"/>
                <w:szCs w:val="22"/>
                <w:highlight w:val="none"/>
              </w:rPr>
              <w:t>3</w:t>
            </w:r>
            <w:r>
              <w:rPr>
                <w:rFonts w:ascii="宋体" w:hAnsi="宋体" w:cs="Courier New"/>
                <w:color w:val="auto"/>
                <w:sz w:val="22"/>
                <w:szCs w:val="22"/>
                <w:highlight w:val="none"/>
              </w:rPr>
              <w:t>8</w:t>
            </w:r>
          </w:p>
        </w:tc>
        <w:tc>
          <w:tcPr>
            <w:tcW w:w="1740" w:type="dxa"/>
            <w:vAlign w:val="center"/>
          </w:tcPr>
          <w:p w14:paraId="7DEC06A1">
            <w:pPr>
              <w:jc w:val="center"/>
              <w:rPr>
                <w:rFonts w:ascii="宋体" w:hAnsi="宋体"/>
                <w:b/>
                <w:color w:val="auto"/>
                <w:sz w:val="22"/>
                <w:szCs w:val="22"/>
                <w:highlight w:val="none"/>
              </w:rPr>
            </w:pPr>
            <w:r>
              <w:rPr>
                <w:rFonts w:hint="eastAsia" w:ascii="宋体" w:hAnsi="宋体"/>
                <w:color w:val="auto"/>
                <w:sz w:val="22"/>
                <w:szCs w:val="22"/>
                <w:highlight w:val="none"/>
              </w:rPr>
              <w:t>演示</w:t>
            </w:r>
            <w:r>
              <w:rPr>
                <w:rFonts w:hint="eastAsia" w:ascii="宋体" w:hAnsi="宋体"/>
                <w:color w:val="auto"/>
                <w:sz w:val="22"/>
                <w:szCs w:val="22"/>
                <w:highlight w:val="none"/>
                <w:lang w:val="en-US" w:eastAsia="zh-CN"/>
              </w:rPr>
              <w:t>文件</w:t>
            </w:r>
            <w:r>
              <w:rPr>
                <w:rFonts w:hint="eastAsia" w:ascii="宋体" w:hAnsi="宋体"/>
                <w:color w:val="auto"/>
                <w:sz w:val="22"/>
                <w:szCs w:val="22"/>
                <w:highlight w:val="none"/>
              </w:rPr>
              <w:t>要求</w:t>
            </w:r>
          </w:p>
        </w:tc>
        <w:tc>
          <w:tcPr>
            <w:tcW w:w="7691" w:type="dxa"/>
            <w:vAlign w:val="center"/>
          </w:tcPr>
          <w:p w14:paraId="157B7B3A">
            <w:pPr>
              <w:spacing w:line="276" w:lineRule="auto"/>
              <w:rPr>
                <w:rFonts w:ascii="宋体" w:hAnsi="宋体" w:cs="Courier New"/>
                <w:bCs/>
                <w:color w:val="auto"/>
                <w:sz w:val="22"/>
                <w:szCs w:val="22"/>
                <w:highlight w:val="none"/>
              </w:rPr>
            </w:pPr>
            <w:r>
              <w:rPr>
                <w:rFonts w:ascii="宋体" w:hAnsi="宋体" w:cs="Courier New"/>
                <w:bCs/>
                <w:color w:val="auto"/>
                <w:sz w:val="22"/>
                <w:szCs w:val="22"/>
                <w:highlight w:val="none"/>
              </w:rPr>
              <w:t>1</w:t>
            </w:r>
            <w:r>
              <w:rPr>
                <w:rFonts w:hint="eastAsia" w:ascii="宋体" w:hAnsi="宋体" w:cs="Courier New"/>
                <w:bCs/>
                <w:color w:val="auto"/>
                <w:sz w:val="22"/>
                <w:szCs w:val="22"/>
                <w:highlight w:val="none"/>
              </w:rPr>
              <w:t>、“项目演示文件”的密封包装、递交：</w:t>
            </w:r>
          </w:p>
          <w:p w14:paraId="199B0E21">
            <w:pPr>
              <w:spacing w:line="276" w:lineRule="auto"/>
              <w:rPr>
                <w:rFonts w:ascii="宋体" w:hAnsi="宋体" w:cs="Courier New"/>
                <w:color w:val="auto"/>
                <w:sz w:val="22"/>
                <w:szCs w:val="22"/>
                <w:highlight w:val="none"/>
              </w:rPr>
            </w:pPr>
            <w:r>
              <w:rPr>
                <w:rFonts w:ascii="宋体" w:hAnsi="宋体" w:cs="Courier New"/>
                <w:color w:val="auto"/>
                <w:sz w:val="22"/>
                <w:szCs w:val="22"/>
                <w:highlight w:val="none"/>
              </w:rPr>
              <w:t>1.1</w:t>
            </w:r>
            <w:r>
              <w:rPr>
                <w:rFonts w:hint="eastAsia" w:ascii="宋体" w:hAnsi="宋体" w:cs="Courier New"/>
                <w:color w:val="auto"/>
                <w:sz w:val="22"/>
                <w:szCs w:val="22"/>
                <w:highlight w:val="none"/>
              </w:rPr>
              <w:t>供应商制作“项目演示文件”后，将文件存储于U盘内，“演示文件”：以U盘存储，不少于一份，密封包装后在</w:t>
            </w:r>
            <w:r>
              <w:rPr>
                <w:rFonts w:hint="eastAsia" w:ascii="宋体" w:hAnsi="宋体" w:cs="Courier New"/>
                <w:b/>
                <w:bCs/>
                <w:color w:val="auto"/>
                <w:sz w:val="22"/>
                <w:szCs w:val="22"/>
                <w:highlight w:val="none"/>
                <w:u w:val="single"/>
                <w:lang w:eastAsia="zh-CN"/>
              </w:rPr>
              <w:t>2024年</w:t>
            </w:r>
            <w:r>
              <w:rPr>
                <w:rFonts w:hint="eastAsia" w:ascii="宋体" w:hAnsi="宋体" w:cs="Courier New"/>
                <w:b/>
                <w:bCs/>
                <w:color w:val="auto"/>
                <w:sz w:val="22"/>
                <w:szCs w:val="22"/>
                <w:highlight w:val="none"/>
                <w:u w:val="single"/>
                <w:lang w:val="en-US" w:eastAsia="zh-CN"/>
              </w:rPr>
              <w:t>11</w:t>
            </w:r>
            <w:r>
              <w:rPr>
                <w:rFonts w:hint="eastAsia" w:ascii="宋体" w:hAnsi="宋体" w:cs="Courier New"/>
                <w:b/>
                <w:bCs/>
                <w:color w:val="auto"/>
                <w:sz w:val="22"/>
                <w:szCs w:val="22"/>
                <w:highlight w:val="none"/>
                <w:u w:val="single"/>
              </w:rPr>
              <w:t>月</w:t>
            </w:r>
            <w:r>
              <w:rPr>
                <w:rFonts w:hint="eastAsia" w:ascii="宋体" w:hAnsi="宋体" w:cs="Courier New"/>
                <w:b/>
                <w:bCs/>
                <w:color w:val="auto"/>
                <w:sz w:val="22"/>
                <w:szCs w:val="22"/>
                <w:highlight w:val="none"/>
                <w:u w:val="single"/>
                <w:lang w:val="en-US" w:eastAsia="zh-CN"/>
              </w:rPr>
              <w:t>29</w:t>
            </w:r>
            <w:r>
              <w:rPr>
                <w:rFonts w:hint="eastAsia" w:ascii="宋体" w:hAnsi="宋体" w:cs="Courier New"/>
                <w:b/>
                <w:bCs/>
                <w:color w:val="auto"/>
                <w:sz w:val="22"/>
                <w:szCs w:val="22"/>
                <w:highlight w:val="none"/>
                <w:u w:val="single"/>
              </w:rPr>
              <w:t>日</w:t>
            </w:r>
            <w:r>
              <w:rPr>
                <w:rFonts w:ascii="宋体" w:hAnsi="宋体" w:cs="Courier New"/>
                <w:b/>
                <w:bCs/>
                <w:color w:val="auto"/>
                <w:sz w:val="22"/>
                <w:szCs w:val="22"/>
                <w:highlight w:val="none"/>
                <w:u w:val="single"/>
              </w:rPr>
              <w:t xml:space="preserve"> </w:t>
            </w:r>
            <w:r>
              <w:rPr>
                <w:rFonts w:hint="eastAsia" w:ascii="宋体" w:hAnsi="宋体" w:cs="Courier New"/>
                <w:b/>
                <w:bCs/>
                <w:color w:val="auto"/>
                <w:sz w:val="22"/>
                <w:szCs w:val="22"/>
                <w:highlight w:val="none"/>
                <w:u w:val="single"/>
                <w:lang w:val="en-US" w:eastAsia="zh-CN"/>
              </w:rPr>
              <w:t>09</w:t>
            </w:r>
            <w:r>
              <w:rPr>
                <w:rFonts w:hint="default" w:ascii="宋体" w:hAnsi="宋体" w:cs="Courier New"/>
                <w:b/>
                <w:bCs/>
                <w:color w:val="auto"/>
                <w:sz w:val="22"/>
                <w:szCs w:val="22"/>
                <w:highlight w:val="none"/>
                <w:u w:val="single"/>
              </w:rPr>
              <w:t>:</w:t>
            </w:r>
            <w:r>
              <w:rPr>
                <w:rFonts w:ascii="宋体" w:hAnsi="宋体" w:cs="Courier New"/>
                <w:b/>
                <w:bCs/>
                <w:color w:val="auto"/>
                <w:sz w:val="22"/>
                <w:szCs w:val="22"/>
                <w:highlight w:val="none"/>
                <w:u w:val="single"/>
              </w:rPr>
              <w:t>3</w:t>
            </w:r>
            <w:r>
              <w:rPr>
                <w:rFonts w:hint="eastAsia" w:ascii="宋体" w:hAnsi="宋体" w:cs="Courier New"/>
                <w:b/>
                <w:bCs/>
                <w:color w:val="auto"/>
                <w:sz w:val="22"/>
                <w:szCs w:val="22"/>
                <w:highlight w:val="none"/>
                <w:u w:val="single"/>
              </w:rPr>
              <w:t>0前现场递交至温州市鹿城区牛山北路1</w:t>
            </w:r>
            <w:r>
              <w:rPr>
                <w:rFonts w:ascii="宋体" w:hAnsi="宋体" w:cs="Courier New"/>
                <w:b/>
                <w:bCs/>
                <w:color w:val="auto"/>
                <w:sz w:val="22"/>
                <w:szCs w:val="22"/>
                <w:highlight w:val="none"/>
                <w:u w:val="single"/>
              </w:rPr>
              <w:t>3</w:t>
            </w:r>
            <w:r>
              <w:rPr>
                <w:rFonts w:hint="eastAsia" w:ascii="宋体" w:hAnsi="宋体" w:cs="Courier New"/>
                <w:b/>
                <w:bCs/>
                <w:color w:val="auto"/>
                <w:sz w:val="22"/>
                <w:szCs w:val="22"/>
                <w:highlight w:val="none"/>
                <w:u w:val="single"/>
              </w:rPr>
              <w:t>号牛山商务大厦9楼9</w:t>
            </w:r>
            <w:r>
              <w:rPr>
                <w:rFonts w:ascii="宋体" w:hAnsi="宋体" w:cs="Courier New"/>
                <w:b/>
                <w:bCs/>
                <w:color w:val="auto"/>
                <w:sz w:val="22"/>
                <w:szCs w:val="22"/>
                <w:highlight w:val="none"/>
                <w:u w:val="single"/>
              </w:rPr>
              <w:t>07</w:t>
            </w:r>
            <w:r>
              <w:rPr>
                <w:rFonts w:hint="eastAsia" w:ascii="宋体" w:hAnsi="宋体" w:cs="Courier New"/>
                <w:color w:val="auto"/>
                <w:sz w:val="22"/>
                <w:szCs w:val="22"/>
                <w:highlight w:val="none"/>
              </w:rPr>
              <w:t>，联系人：黄先生，联系电话：1</w:t>
            </w:r>
            <w:r>
              <w:rPr>
                <w:rFonts w:ascii="宋体" w:hAnsi="宋体" w:cs="Courier New"/>
                <w:color w:val="auto"/>
                <w:sz w:val="22"/>
                <w:szCs w:val="22"/>
                <w:highlight w:val="none"/>
              </w:rPr>
              <w:t>3676441826</w:t>
            </w:r>
            <w:r>
              <w:rPr>
                <w:rFonts w:hint="eastAsia" w:ascii="宋体" w:hAnsi="宋体" w:cs="Courier New"/>
                <w:color w:val="auto"/>
                <w:sz w:val="22"/>
                <w:szCs w:val="22"/>
                <w:highlight w:val="none"/>
              </w:rPr>
              <w:t>，逾期未收到视为放弃演示。</w:t>
            </w:r>
          </w:p>
          <w:p w14:paraId="1AAD245A">
            <w:pPr>
              <w:spacing w:line="276" w:lineRule="auto"/>
              <w:rPr>
                <w:rFonts w:ascii="宋体" w:hAnsi="宋体" w:cs="Courier New"/>
                <w:color w:val="auto"/>
                <w:sz w:val="22"/>
                <w:szCs w:val="22"/>
                <w:highlight w:val="none"/>
              </w:rPr>
            </w:pPr>
            <w:r>
              <w:rPr>
                <w:rFonts w:ascii="宋体" w:hAnsi="宋体" w:cs="Courier New"/>
                <w:color w:val="auto"/>
                <w:sz w:val="22"/>
                <w:szCs w:val="22"/>
                <w:highlight w:val="none"/>
              </w:rPr>
              <w:t>1.2</w:t>
            </w:r>
            <w:r>
              <w:rPr>
                <w:rFonts w:hint="eastAsia" w:ascii="宋体" w:hAnsi="宋体" w:cs="Courier New"/>
                <w:color w:val="auto"/>
                <w:sz w:val="22"/>
                <w:szCs w:val="22"/>
                <w:highlight w:val="none"/>
              </w:rPr>
              <w:t>演示文件制作要求：</w:t>
            </w:r>
          </w:p>
          <w:p w14:paraId="38A4BE5B">
            <w:pPr>
              <w:spacing w:line="276" w:lineRule="auto"/>
              <w:rPr>
                <w:rFonts w:ascii="宋体" w:hAnsi="宋体" w:cs="Courier New"/>
                <w:color w:val="auto"/>
                <w:sz w:val="22"/>
                <w:szCs w:val="22"/>
                <w:highlight w:val="none"/>
              </w:rPr>
            </w:pPr>
            <w:r>
              <w:rPr>
                <w:rFonts w:hint="eastAsia" w:ascii="宋体" w:hAnsi="宋体" w:cs="Courier New"/>
                <w:color w:val="auto"/>
                <w:sz w:val="22"/>
                <w:szCs w:val="22"/>
                <w:highlight w:val="none"/>
              </w:rPr>
              <w:t>（</w:t>
            </w:r>
            <w:r>
              <w:rPr>
                <w:rFonts w:ascii="宋体" w:hAnsi="宋体" w:cs="Courier New"/>
                <w:color w:val="auto"/>
                <w:sz w:val="22"/>
                <w:szCs w:val="22"/>
                <w:highlight w:val="none"/>
              </w:rPr>
              <w:t>1</w:t>
            </w:r>
            <w:r>
              <w:rPr>
                <w:rFonts w:hint="eastAsia" w:ascii="宋体" w:hAnsi="宋体" w:cs="Courier New"/>
                <w:color w:val="auto"/>
                <w:sz w:val="22"/>
                <w:szCs w:val="22"/>
                <w:highlight w:val="none"/>
              </w:rPr>
              <w:t>）供应商制作的项目演示内容应结合采购内容和需求以及商务技术文件中关于“演示部分”评分细则的要求。</w:t>
            </w:r>
          </w:p>
          <w:p w14:paraId="22BA6F7D">
            <w:pPr>
              <w:spacing w:line="276" w:lineRule="auto"/>
              <w:rPr>
                <w:rFonts w:ascii="宋体" w:hAnsi="宋体" w:cs="Courier New"/>
                <w:color w:val="auto"/>
                <w:sz w:val="22"/>
                <w:szCs w:val="22"/>
                <w:highlight w:val="none"/>
              </w:rPr>
            </w:pPr>
            <w:r>
              <w:rPr>
                <w:rFonts w:hint="eastAsia" w:ascii="宋体" w:hAnsi="宋体" w:cs="Courier New"/>
                <w:color w:val="auto"/>
                <w:sz w:val="22"/>
                <w:szCs w:val="22"/>
                <w:highlight w:val="none"/>
              </w:rPr>
              <w:t>（</w:t>
            </w:r>
            <w:r>
              <w:rPr>
                <w:rFonts w:ascii="宋体" w:hAnsi="宋体" w:cs="Courier New"/>
                <w:color w:val="auto"/>
                <w:sz w:val="22"/>
                <w:szCs w:val="22"/>
                <w:highlight w:val="none"/>
              </w:rPr>
              <w:t>2</w:t>
            </w:r>
            <w:r>
              <w:rPr>
                <w:rFonts w:hint="eastAsia" w:ascii="宋体" w:hAnsi="宋体" w:cs="Courier New"/>
                <w:color w:val="auto"/>
                <w:sz w:val="22"/>
                <w:szCs w:val="22"/>
                <w:highlight w:val="none"/>
              </w:rPr>
              <w:t>）项目演示文件应为常用格式的视频文件，评标现场电脑操作系统为</w:t>
            </w:r>
            <w:r>
              <w:rPr>
                <w:rFonts w:ascii="宋体" w:hAnsi="宋体" w:cs="Courier New"/>
                <w:color w:val="auto"/>
                <w:sz w:val="22"/>
                <w:szCs w:val="22"/>
                <w:highlight w:val="none"/>
              </w:rPr>
              <w:t>windows7</w:t>
            </w:r>
            <w:r>
              <w:rPr>
                <w:rFonts w:hint="eastAsia" w:ascii="宋体" w:hAnsi="宋体" w:cs="Courier New"/>
                <w:color w:val="auto"/>
                <w:sz w:val="22"/>
                <w:szCs w:val="22"/>
                <w:highlight w:val="none"/>
              </w:rPr>
              <w:t>及以上，视频文件应能由系统自带</w:t>
            </w:r>
            <w:r>
              <w:rPr>
                <w:rFonts w:ascii="宋体" w:hAnsi="宋体" w:cs="Courier New"/>
                <w:color w:val="auto"/>
                <w:sz w:val="22"/>
                <w:szCs w:val="22"/>
                <w:highlight w:val="none"/>
              </w:rPr>
              <w:t>windows media player</w:t>
            </w:r>
            <w:r>
              <w:rPr>
                <w:rFonts w:hint="eastAsia" w:ascii="宋体" w:hAnsi="宋体" w:cs="Courier New"/>
                <w:color w:val="auto"/>
                <w:sz w:val="22"/>
                <w:szCs w:val="22"/>
                <w:highlight w:val="none"/>
              </w:rPr>
              <w:t>播放器播放。</w:t>
            </w:r>
          </w:p>
          <w:p w14:paraId="2922748B">
            <w:pPr>
              <w:spacing w:line="276" w:lineRule="auto"/>
              <w:rPr>
                <w:rFonts w:ascii="宋体" w:hAnsi="宋体" w:cs="Courier New"/>
                <w:color w:val="auto"/>
                <w:sz w:val="22"/>
                <w:szCs w:val="22"/>
                <w:highlight w:val="none"/>
              </w:rPr>
            </w:pPr>
            <w:r>
              <w:rPr>
                <w:rFonts w:hint="eastAsia" w:ascii="宋体" w:hAnsi="宋体" w:cs="Courier New"/>
                <w:color w:val="auto"/>
                <w:sz w:val="22"/>
                <w:szCs w:val="22"/>
                <w:highlight w:val="none"/>
              </w:rPr>
              <w:t>（</w:t>
            </w:r>
            <w:r>
              <w:rPr>
                <w:rFonts w:ascii="宋体" w:hAnsi="宋体" w:cs="Courier New"/>
                <w:color w:val="auto"/>
                <w:sz w:val="22"/>
                <w:szCs w:val="22"/>
                <w:highlight w:val="none"/>
              </w:rPr>
              <w:t>3</w:t>
            </w:r>
            <w:r>
              <w:rPr>
                <w:rFonts w:hint="eastAsia" w:ascii="宋体" w:hAnsi="宋体" w:cs="Courier New"/>
                <w:color w:val="auto"/>
                <w:sz w:val="22"/>
                <w:szCs w:val="22"/>
                <w:highlight w:val="none"/>
              </w:rPr>
              <w:t>）供应商须在项目演示文件中明确告知评审小组成员所演示产品（产品部分功能模块）为实体软件或软件</w:t>
            </w:r>
            <w:r>
              <w:rPr>
                <w:rFonts w:ascii="宋体" w:hAnsi="宋体" w:cs="Courier New"/>
                <w:color w:val="auto"/>
                <w:sz w:val="22"/>
                <w:szCs w:val="22"/>
                <w:highlight w:val="none"/>
              </w:rPr>
              <w:t>DEMO</w:t>
            </w:r>
            <w:r>
              <w:rPr>
                <w:rFonts w:hint="eastAsia" w:ascii="宋体" w:hAnsi="宋体" w:cs="Courier New"/>
                <w:color w:val="auto"/>
                <w:sz w:val="22"/>
                <w:szCs w:val="22"/>
                <w:highlight w:val="none"/>
              </w:rPr>
              <w:t>，否则评审小组给予其商务技术文件不利评定的评定风险由供应商自行承担。</w:t>
            </w:r>
          </w:p>
          <w:p w14:paraId="56CF4369">
            <w:pPr>
              <w:spacing w:line="276" w:lineRule="auto"/>
              <w:rPr>
                <w:rFonts w:ascii="宋体" w:hAnsi="宋体" w:cs="Courier New"/>
                <w:color w:val="auto"/>
                <w:sz w:val="22"/>
                <w:szCs w:val="22"/>
                <w:highlight w:val="none"/>
              </w:rPr>
            </w:pPr>
            <w:r>
              <w:rPr>
                <w:rFonts w:hint="eastAsia" w:ascii="宋体" w:hAnsi="宋体" w:cs="Courier New"/>
                <w:color w:val="auto"/>
                <w:sz w:val="22"/>
                <w:szCs w:val="22"/>
                <w:highlight w:val="none"/>
              </w:rPr>
              <w:t>（</w:t>
            </w:r>
            <w:r>
              <w:rPr>
                <w:rFonts w:ascii="宋体" w:hAnsi="宋体" w:cs="Courier New"/>
                <w:color w:val="auto"/>
                <w:sz w:val="22"/>
                <w:szCs w:val="22"/>
                <w:highlight w:val="none"/>
              </w:rPr>
              <w:t>4</w:t>
            </w:r>
            <w:r>
              <w:rPr>
                <w:rFonts w:hint="eastAsia" w:ascii="宋体" w:hAnsi="宋体" w:cs="Courier New"/>
                <w:color w:val="auto"/>
                <w:sz w:val="22"/>
                <w:szCs w:val="22"/>
                <w:highlight w:val="none"/>
              </w:rPr>
              <w:t>）演示文件时长不要超过</w:t>
            </w:r>
            <w:r>
              <w:rPr>
                <w:rFonts w:ascii="宋体" w:hAnsi="宋体" w:cs="Courier New"/>
                <w:color w:val="auto"/>
                <w:sz w:val="22"/>
                <w:szCs w:val="22"/>
                <w:highlight w:val="none"/>
              </w:rPr>
              <w:t>15</w:t>
            </w:r>
            <w:r>
              <w:rPr>
                <w:rFonts w:hint="eastAsia" w:ascii="宋体" w:hAnsi="宋体" w:cs="Courier New"/>
                <w:color w:val="auto"/>
                <w:sz w:val="22"/>
                <w:szCs w:val="22"/>
                <w:highlight w:val="none"/>
              </w:rPr>
              <w:t>分钟。</w:t>
            </w:r>
          </w:p>
          <w:p w14:paraId="2147B290">
            <w:pPr>
              <w:spacing w:line="276" w:lineRule="auto"/>
              <w:rPr>
                <w:rFonts w:ascii="宋体" w:hAnsi="宋体" w:cs="Courier New"/>
                <w:color w:val="auto"/>
                <w:sz w:val="22"/>
                <w:szCs w:val="22"/>
                <w:highlight w:val="none"/>
              </w:rPr>
            </w:pPr>
            <w:r>
              <w:rPr>
                <w:rFonts w:ascii="宋体" w:hAnsi="宋体" w:cs="Courier New"/>
                <w:color w:val="auto"/>
                <w:sz w:val="22"/>
                <w:szCs w:val="22"/>
                <w:highlight w:val="none"/>
              </w:rPr>
              <w:t>1.3</w:t>
            </w:r>
            <w:r>
              <w:rPr>
                <w:rFonts w:hint="eastAsia" w:ascii="宋体" w:hAnsi="宋体" w:cs="Courier New"/>
                <w:color w:val="auto"/>
                <w:sz w:val="22"/>
                <w:szCs w:val="22"/>
                <w:highlight w:val="none"/>
              </w:rPr>
              <w:t>供应商应加强U盘的包装与保护，因包装不当而造成“项目演示文件” 损坏或不能在开评标现场设备上正确读取的责任由供应商自负。</w:t>
            </w:r>
          </w:p>
          <w:p w14:paraId="7644D570">
            <w:pPr>
              <w:spacing w:line="276" w:lineRule="auto"/>
              <w:rPr>
                <w:rFonts w:ascii="宋体" w:hAnsi="宋体" w:cs="Courier New"/>
                <w:color w:val="auto"/>
                <w:sz w:val="22"/>
                <w:szCs w:val="22"/>
                <w:highlight w:val="none"/>
              </w:rPr>
            </w:pPr>
            <w:r>
              <w:rPr>
                <w:rFonts w:ascii="宋体" w:hAnsi="宋体" w:cs="Courier New"/>
                <w:color w:val="auto"/>
                <w:sz w:val="22"/>
                <w:szCs w:val="22"/>
                <w:highlight w:val="none"/>
              </w:rPr>
              <w:t>1.4</w:t>
            </w:r>
            <w:r>
              <w:rPr>
                <w:rFonts w:hint="eastAsia" w:ascii="宋体" w:hAnsi="宋体" w:cs="Courier New"/>
                <w:color w:val="auto"/>
                <w:sz w:val="22"/>
                <w:szCs w:val="22"/>
                <w:highlight w:val="none"/>
              </w:rPr>
              <w:t>项目演示文件并非强制性要求，供应商不提交项目演示文件或未能按照以上要求制作项目演示文件并非被认定为无效标的条件，仅在商务技术文件评审过程中由评审小组评分量化。</w:t>
            </w:r>
          </w:p>
          <w:p w14:paraId="1142A756">
            <w:pPr>
              <w:pStyle w:val="2"/>
              <w:spacing w:line="276" w:lineRule="auto"/>
              <w:ind w:firstLine="0" w:firstLineChars="0"/>
              <w:rPr>
                <w:rFonts w:ascii="宋体" w:hAnsi="宋体"/>
                <w:b/>
                <w:bCs/>
                <w:color w:val="auto"/>
                <w:sz w:val="22"/>
                <w:szCs w:val="22"/>
                <w:highlight w:val="none"/>
              </w:rPr>
            </w:pPr>
            <w:r>
              <w:rPr>
                <w:rFonts w:ascii="宋体" w:hAnsi="宋体" w:cs="Courier New"/>
                <w:color w:val="auto"/>
                <w:sz w:val="22"/>
                <w:szCs w:val="22"/>
                <w:highlight w:val="none"/>
              </w:rPr>
              <w:t>1.5</w:t>
            </w:r>
            <w:r>
              <w:rPr>
                <w:rFonts w:hint="eastAsia" w:ascii="宋体" w:hAnsi="宋体" w:cs="Courier New"/>
                <w:color w:val="auto"/>
                <w:sz w:val="22"/>
                <w:szCs w:val="22"/>
                <w:highlight w:val="none"/>
              </w:rPr>
              <w:t>现场演示内容与投标文件内容不一致时，以投标文件内容为准。</w:t>
            </w:r>
          </w:p>
        </w:tc>
      </w:tr>
    </w:tbl>
    <w:p w14:paraId="79C147B5">
      <w:pPr>
        <w:autoSpaceDE w:val="0"/>
        <w:autoSpaceDN w:val="0"/>
        <w:adjustRightInd w:val="0"/>
        <w:snapToGrid w:val="0"/>
        <w:spacing w:line="460" w:lineRule="atLeast"/>
        <w:jc w:val="center"/>
        <w:textAlignment w:val="bottom"/>
        <w:rPr>
          <w:rFonts w:ascii="宋体" w:hAnsi="宋体"/>
          <w:color w:val="auto"/>
          <w:sz w:val="36"/>
          <w:highlight w:val="none"/>
        </w:rPr>
      </w:pPr>
    </w:p>
    <w:p w14:paraId="2D0EAFD7">
      <w:pPr>
        <w:pStyle w:val="4"/>
        <w:spacing w:after="240"/>
        <w:rPr>
          <w:rFonts w:ascii="宋体" w:hAnsi="宋体"/>
          <w:color w:val="auto"/>
          <w:sz w:val="36"/>
          <w:highlight w:val="none"/>
        </w:rPr>
      </w:pPr>
      <w:r>
        <w:rPr>
          <w:rFonts w:ascii="宋体" w:hAnsi="宋体"/>
          <w:color w:val="auto"/>
          <w:sz w:val="36"/>
          <w:highlight w:val="none"/>
        </w:rPr>
        <w:br w:type="page"/>
      </w:r>
      <w:bookmarkStart w:id="2" w:name="_Toc14712"/>
      <w:r>
        <w:rPr>
          <w:rFonts w:hint="eastAsia" w:ascii="宋体" w:hAnsi="宋体"/>
          <w:color w:val="auto"/>
          <w:sz w:val="36"/>
          <w:highlight w:val="none"/>
        </w:rPr>
        <w:t>第二部分</w:t>
      </w:r>
      <w:r>
        <w:rPr>
          <w:rFonts w:ascii="宋体" w:hAnsi="宋体"/>
          <w:color w:val="auto"/>
          <w:sz w:val="36"/>
          <w:highlight w:val="none"/>
        </w:rPr>
        <w:t xml:space="preserve">    </w:t>
      </w:r>
      <w:r>
        <w:rPr>
          <w:rFonts w:hint="eastAsia" w:ascii="宋体" w:hAnsi="宋体"/>
          <w:color w:val="auto"/>
          <w:sz w:val="36"/>
          <w:highlight w:val="none"/>
        </w:rPr>
        <w:t>采购内容及要求</w:t>
      </w:r>
      <w:bookmarkEnd w:id="2"/>
    </w:p>
    <w:p w14:paraId="084A98B2">
      <w:pPr>
        <w:keepNext/>
        <w:keepLines/>
        <w:pageBreakBefore w:val="0"/>
        <w:widowControl w:val="0"/>
        <w:numPr>
          <w:ilvl w:val="0"/>
          <w:numId w:val="0"/>
        </w:numPr>
        <w:kinsoku/>
        <w:wordWrap/>
        <w:overflowPunct/>
        <w:topLinePunct w:val="0"/>
        <w:autoSpaceDE/>
        <w:autoSpaceDN/>
        <w:bidi w:val="0"/>
        <w:adjustRightInd/>
        <w:snapToGrid/>
        <w:spacing w:after="144" w:afterLines="50" w:line="440" w:lineRule="exact"/>
        <w:textAlignment w:val="auto"/>
        <w:outlineLvl w:val="1"/>
        <w:rPr>
          <w:rFonts w:hint="eastAsia" w:ascii="宋体" w:hAnsi="宋体" w:cs="Calibri Light"/>
          <w:b/>
          <w:bCs/>
          <w:color w:val="auto"/>
          <w:sz w:val="22"/>
          <w:szCs w:val="22"/>
          <w:highlight w:val="none"/>
        </w:rPr>
      </w:pPr>
      <w:bookmarkStart w:id="3" w:name="_Toc20122"/>
      <w:bookmarkStart w:id="4" w:name="_Toc23050625"/>
      <w:bookmarkStart w:id="5" w:name="_Toc496257825"/>
      <w:bookmarkStart w:id="6" w:name="_Toc201920298"/>
      <w:bookmarkStart w:id="7" w:name="_Toc496101575"/>
      <w:bookmarkStart w:id="8" w:name="_Toc497300733"/>
      <w:bookmarkStart w:id="9" w:name="_Toc498186719"/>
      <w:bookmarkStart w:id="10" w:name="_Toc496256263"/>
      <w:bookmarkStart w:id="11" w:name="_Toc40594931"/>
      <w:bookmarkStart w:id="12" w:name="_Toc23050423"/>
      <w:bookmarkStart w:id="13" w:name="_Toc498199476"/>
      <w:bookmarkStart w:id="14" w:name="_Toc51996430"/>
      <w:bookmarkStart w:id="15" w:name="_Toc497307615"/>
      <w:bookmarkStart w:id="16" w:name="_Toc495660084"/>
      <w:bookmarkStart w:id="17" w:name="_Toc495651839"/>
      <w:bookmarkStart w:id="18" w:name="_Toc282690445"/>
      <w:bookmarkStart w:id="19" w:name="_Toc40266002"/>
      <w:bookmarkStart w:id="20" w:name="_Toc497300664"/>
      <w:bookmarkStart w:id="21" w:name="_Toc441051461"/>
      <w:bookmarkStart w:id="22" w:name="_Toc498186820"/>
      <w:bookmarkStart w:id="23" w:name="_Toc23050562"/>
      <w:bookmarkStart w:id="24" w:name="_Toc496101312"/>
      <w:bookmarkStart w:id="25" w:name="_Toc23050833"/>
      <w:r>
        <w:rPr>
          <w:rFonts w:hint="eastAsia" w:ascii="宋体" w:hAnsi="宋体" w:cs="Calibri Light"/>
          <w:b/>
          <w:bCs/>
          <w:color w:val="auto"/>
          <w:sz w:val="22"/>
          <w:szCs w:val="22"/>
          <w:highlight w:val="none"/>
        </w:rPr>
        <w:t>一、项目背景</w:t>
      </w:r>
      <w:bookmarkEnd w:id="3"/>
    </w:p>
    <w:p w14:paraId="0F743017">
      <w:pPr>
        <w:keepNext w:val="0"/>
        <w:keepLines w:val="0"/>
        <w:tabs>
          <w:tab w:val="left" w:pos="360"/>
        </w:tabs>
        <w:spacing w:line="460" w:lineRule="exact"/>
        <w:ind w:firstLine="440" w:firstLineChars="200"/>
        <w:outlineLvl w:val="9"/>
        <w:rPr>
          <w:rFonts w:hint="eastAsia" w:ascii="宋体" w:hAnsi="宋体" w:eastAsia="宋体" w:cs="宋体"/>
          <w:color w:val="auto"/>
          <w:sz w:val="22"/>
          <w:szCs w:val="22"/>
        </w:rPr>
      </w:pPr>
      <w:bookmarkStart w:id="26" w:name="_Toc28605"/>
      <w:bookmarkStart w:id="27" w:name="_Toc9305"/>
      <w:r>
        <w:rPr>
          <w:rFonts w:hint="eastAsia" w:ascii="宋体" w:hAnsi="宋体" w:eastAsia="宋体" w:cs="宋体"/>
          <w:color w:val="auto"/>
          <w:sz w:val="22"/>
          <w:szCs w:val="22"/>
        </w:rPr>
        <w:t>为深入贯彻落实党中央、国务院关于推进防灾减灾救灾体制机制改革意见，落实习近平总书记关于安全生产重要论述和易炼红书记在省委常委会议上的讲话精神，根据温州市</w:t>
      </w:r>
      <w:r>
        <w:rPr>
          <w:rFonts w:hint="eastAsia" w:ascii="宋体" w:hAnsi="宋体" w:eastAsia="宋体" w:cs="宋体"/>
          <w:color w:val="auto"/>
          <w:sz w:val="22"/>
          <w:szCs w:val="22"/>
          <w:lang w:val="en-US" w:eastAsia="zh-CN"/>
        </w:rPr>
        <w:t>市委市政府的</w:t>
      </w:r>
      <w:r>
        <w:rPr>
          <w:rFonts w:hint="eastAsia" w:ascii="宋体" w:hAnsi="宋体" w:eastAsia="宋体" w:cs="宋体"/>
          <w:color w:val="auto"/>
          <w:sz w:val="22"/>
          <w:szCs w:val="22"/>
        </w:rPr>
        <w:t>指示要求，致力通过地理信息、大数据、云计算、物联网等先进技术的融合应用</w:t>
      </w:r>
      <w:r>
        <w:rPr>
          <w:rFonts w:hint="eastAsia" w:ascii="宋体" w:hAnsi="宋体" w:eastAsia="宋体" w:cs="宋体"/>
          <w:color w:val="auto"/>
          <w:sz w:val="22"/>
          <w:szCs w:val="22"/>
          <w:lang w:val="en-US" w:eastAsia="zh-CN"/>
        </w:rPr>
        <w:t>来</w:t>
      </w:r>
      <w:r>
        <w:rPr>
          <w:rFonts w:hint="eastAsia" w:ascii="宋体" w:hAnsi="宋体" w:eastAsia="宋体" w:cs="宋体"/>
          <w:color w:val="auto"/>
          <w:sz w:val="22"/>
          <w:szCs w:val="22"/>
        </w:rPr>
        <w:t>发挥应急管理部门机制、技术和资源等优势，构建一个综合性的防灾减灾系统。</w:t>
      </w:r>
      <w:r>
        <w:rPr>
          <w:rFonts w:hint="eastAsia" w:ascii="宋体" w:hAnsi="宋体" w:eastAsia="宋体" w:cs="宋体"/>
          <w:color w:val="auto"/>
          <w:sz w:val="22"/>
          <w:szCs w:val="22"/>
          <w:lang w:val="en-US" w:eastAsia="zh-CN"/>
        </w:rPr>
        <w:t>项目建设内容主要</w:t>
      </w:r>
      <w:r>
        <w:rPr>
          <w:rFonts w:hint="eastAsia" w:ascii="宋体" w:hAnsi="宋体" w:eastAsia="宋体" w:cs="宋体"/>
          <w:color w:val="auto"/>
          <w:sz w:val="22"/>
          <w:szCs w:val="22"/>
        </w:rPr>
        <w:t>包括温州市风险态势电子沙盘和巨灾保险指数触发在线两个应用场景。通过这两个应用场景的建设和实施，</w:t>
      </w:r>
      <w:r>
        <w:rPr>
          <w:rFonts w:hint="eastAsia" w:ascii="宋体" w:hAnsi="宋体" w:eastAsia="宋体" w:cs="宋体"/>
          <w:color w:val="auto"/>
          <w:sz w:val="22"/>
          <w:szCs w:val="22"/>
          <w:lang w:val="en-US" w:eastAsia="zh-CN"/>
        </w:rPr>
        <w:t>旨在</w:t>
      </w:r>
      <w:r>
        <w:rPr>
          <w:rFonts w:hint="eastAsia" w:ascii="宋体" w:hAnsi="宋体" w:eastAsia="宋体" w:cs="宋体"/>
          <w:color w:val="auto"/>
          <w:sz w:val="22"/>
          <w:szCs w:val="22"/>
        </w:rPr>
        <w:t>提升温州市</w:t>
      </w:r>
      <w:r>
        <w:rPr>
          <w:rFonts w:hint="eastAsia" w:ascii="宋体" w:hAnsi="宋体" w:eastAsia="宋体" w:cs="宋体"/>
          <w:color w:val="auto"/>
          <w:sz w:val="22"/>
          <w:szCs w:val="22"/>
          <w:lang w:val="en-US" w:eastAsia="zh-CN"/>
        </w:rPr>
        <w:t>应急管理</w:t>
      </w:r>
      <w:r>
        <w:rPr>
          <w:rFonts w:hint="eastAsia" w:ascii="宋体" w:hAnsi="宋体" w:eastAsia="宋体" w:cs="宋体"/>
          <w:color w:val="auto"/>
          <w:sz w:val="22"/>
          <w:szCs w:val="22"/>
        </w:rPr>
        <w:t>防灾减灾能力，为保障人民的生命财产安全提供更加坚实的支撑。</w:t>
      </w:r>
      <w:bookmarkEnd w:id="26"/>
      <w:bookmarkEnd w:id="27"/>
    </w:p>
    <w:p w14:paraId="1E2B9BCB">
      <w:pPr>
        <w:keepNext/>
        <w:keepLines/>
        <w:pageBreakBefore w:val="0"/>
        <w:widowControl w:val="0"/>
        <w:numPr>
          <w:ilvl w:val="0"/>
          <w:numId w:val="1"/>
        </w:numPr>
        <w:kinsoku/>
        <w:wordWrap/>
        <w:overflowPunct/>
        <w:topLinePunct w:val="0"/>
        <w:autoSpaceDE/>
        <w:autoSpaceDN/>
        <w:bidi w:val="0"/>
        <w:adjustRightInd/>
        <w:snapToGrid/>
        <w:spacing w:after="144" w:afterLines="50" w:line="440" w:lineRule="exact"/>
        <w:textAlignment w:val="auto"/>
        <w:outlineLvl w:val="1"/>
        <w:rPr>
          <w:rFonts w:hint="eastAsia" w:ascii="宋体" w:hAnsi="宋体" w:cs="Calibri Light"/>
          <w:b/>
          <w:bCs/>
          <w:color w:val="auto"/>
          <w:sz w:val="22"/>
          <w:szCs w:val="22"/>
          <w:highlight w:val="none"/>
        </w:rPr>
      </w:pPr>
      <w:bookmarkStart w:id="28" w:name="_Toc4194"/>
      <w:r>
        <w:rPr>
          <w:rFonts w:hint="eastAsia" w:ascii="宋体" w:hAnsi="宋体" w:cs="Calibri Light"/>
          <w:b/>
          <w:bCs/>
          <w:color w:val="auto"/>
          <w:sz w:val="22"/>
          <w:szCs w:val="22"/>
          <w:highlight w:val="none"/>
        </w:rPr>
        <w:t>建设内容及要求</w:t>
      </w:r>
      <w:bookmarkEnd w:id="28"/>
    </w:p>
    <w:p w14:paraId="6B28AD8B">
      <w:pPr>
        <w:pStyle w:val="10"/>
        <w:rPr>
          <w:rFonts w:hint="eastAsia" w:ascii="新宋体" w:hAnsi="新宋体" w:eastAsia="新宋体" w:cs="新宋体"/>
          <w:color w:val="auto"/>
          <w:kern w:val="2"/>
          <w:sz w:val="22"/>
          <w:szCs w:val="22"/>
          <w:lang w:val="en-US" w:eastAsia="zh-CN" w:bidi="ar-SA"/>
        </w:rPr>
      </w:pPr>
      <w:r>
        <w:rPr>
          <w:rFonts w:hint="eastAsia" w:ascii="新宋体" w:hAnsi="新宋体" w:eastAsia="新宋体" w:cs="新宋体"/>
          <w:color w:val="auto"/>
          <w:kern w:val="2"/>
          <w:sz w:val="22"/>
          <w:szCs w:val="22"/>
          <w:lang w:val="en-US" w:eastAsia="zh-CN" w:bidi="ar-SA"/>
        </w:rPr>
        <w:t>本项目建设内容包括电子沙盘应用场景、巨灾保险指数触发在线应用场景，如下表所示：</w:t>
      </w:r>
    </w:p>
    <w:tbl>
      <w:tblPr>
        <w:tblStyle w:val="46"/>
        <w:tblW w:w="4889" w:type="pct"/>
        <w:tblInd w:w="103" w:type="dxa"/>
        <w:tblLayout w:type="autofit"/>
        <w:tblCellMar>
          <w:top w:w="0" w:type="dxa"/>
          <w:left w:w="108" w:type="dxa"/>
          <w:bottom w:w="0" w:type="dxa"/>
          <w:right w:w="108" w:type="dxa"/>
        </w:tblCellMar>
      </w:tblPr>
      <w:tblGrid>
        <w:gridCol w:w="824"/>
        <w:gridCol w:w="2537"/>
        <w:gridCol w:w="4622"/>
        <w:gridCol w:w="927"/>
        <w:gridCol w:w="832"/>
      </w:tblGrid>
      <w:tr w14:paraId="58342A16">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B06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0FD6">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建设内容</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BFE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功能描述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FA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B086">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r>
      <w:tr w14:paraId="3AFE2CAB">
        <w:tblPrEx>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B3F7">
            <w:pPr>
              <w:widowControl/>
              <w:jc w:val="left"/>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一、风险态势电子沙盘应用场景</w:t>
            </w:r>
          </w:p>
        </w:tc>
      </w:tr>
      <w:tr w14:paraId="3ADB91B4">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F86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DE6F7">
            <w:pPr>
              <w:widowControl/>
              <w:jc w:val="center"/>
              <w:textAlignment w:val="center"/>
              <w:rPr>
                <w:rFonts w:ascii="宋体" w:hAnsi="宋体" w:cs="宋体"/>
                <w:color w:val="auto"/>
                <w:sz w:val="22"/>
                <w:szCs w:val="22"/>
              </w:rPr>
            </w:pPr>
            <w:r>
              <w:rPr>
                <w:rFonts w:hint="eastAsia" w:ascii="宋体" w:hAnsi="宋体" w:cs="宋体"/>
                <w:color w:val="auto"/>
                <w:sz w:val="22"/>
                <w:szCs w:val="22"/>
              </w:rPr>
              <w:t>风险态势电子沙盘应用场景</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1A6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数据入库</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A6C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89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245DA1E8">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6C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11C80">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885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专题地图可视化融合管理</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ACC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FF1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4A1285F2">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292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D4C9">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586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风险点目录列表</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AF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EB4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065CE126">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C6E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1446">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54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风险点详情展示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D7C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8FC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4803B0FF">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1AF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68180">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14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系统管理</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749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6B4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52C48788">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A1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C76A">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863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配置管理</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225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C1B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49804006">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A97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1A66D">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7D8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数据管理</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1D2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0A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13B0DF00">
        <w:tblPrEx>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0F24">
            <w:pPr>
              <w:widowControl/>
              <w:jc w:val="left"/>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二、巨灾保险指数触发在线应用场景</w:t>
            </w:r>
          </w:p>
        </w:tc>
      </w:tr>
      <w:tr w14:paraId="1A4AFDAD">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944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84E5F">
            <w:pPr>
              <w:widowControl/>
              <w:jc w:val="center"/>
              <w:textAlignment w:val="center"/>
              <w:rPr>
                <w:rFonts w:ascii="宋体" w:hAnsi="宋体" w:cs="宋体"/>
                <w:color w:val="auto"/>
                <w:sz w:val="22"/>
                <w:szCs w:val="22"/>
              </w:rPr>
            </w:pPr>
            <w:r>
              <w:rPr>
                <w:rFonts w:hint="eastAsia" w:ascii="宋体" w:hAnsi="宋体" w:cs="宋体"/>
                <w:color w:val="auto"/>
                <w:sz w:val="22"/>
                <w:szCs w:val="22"/>
              </w:rPr>
              <w:t>巨灾保险指数触发在线应用场景</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D1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台风指数保险预警总览</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177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EAC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2F35BE76">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5EC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0088">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753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强降雨指数保险预警总览</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AE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B2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3A0A975D">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20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277C">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AE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台风指数保险信息展示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78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ADE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2A54C9EC">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BD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FE26">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942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台风路径</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A5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0E0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4404409D">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46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5B7D">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270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台风指数计算模型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67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30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6047D78D">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F70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B3D43">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4DB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台风指数保险历史事件</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BC0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2D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7E602B2D">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991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CCD4">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0F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强降雨指数保险信息展示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4CE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BF1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358F1087">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93C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0D6E">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552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强降雨指数计算模型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31C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59B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56A3474C">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5BE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4A3AD">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12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强降雨指数保险历史事件</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88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CBE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52B1442A">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98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48CE">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6AC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台风路径数据申请对接</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B3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3FA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r w14:paraId="7ED689B2">
        <w:tblPrEx>
          <w:tblCellMar>
            <w:top w:w="0" w:type="dxa"/>
            <w:left w:w="108" w:type="dxa"/>
            <w:bottom w:w="0" w:type="dxa"/>
            <w:right w:w="108" w:type="dxa"/>
          </w:tblCellMar>
        </w:tblPrEx>
        <w:trPr>
          <w:trHeight w:val="2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C8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30F73">
            <w:pPr>
              <w:jc w:val="center"/>
              <w:rPr>
                <w:rFonts w:ascii="宋体" w:hAnsi="宋体" w:cs="宋体"/>
                <w:color w:val="auto"/>
                <w:sz w:val="22"/>
                <w:szCs w:val="22"/>
              </w:rPr>
            </w:pP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201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气象监测数据申请对接</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D04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A59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w:t>
            </w:r>
          </w:p>
        </w:tc>
      </w:tr>
    </w:tbl>
    <w:p w14:paraId="76F593AE">
      <w:pPr>
        <w:keepNext/>
        <w:keepLines/>
        <w:numPr>
          <w:ilvl w:val="0"/>
          <w:numId w:val="1"/>
        </w:numPr>
        <w:spacing w:line="440" w:lineRule="exact"/>
        <w:ind w:left="0" w:leftChars="0" w:firstLine="0" w:firstLineChars="0"/>
        <w:outlineLvl w:val="1"/>
        <w:rPr>
          <w:rFonts w:hint="eastAsia" w:ascii="新宋体" w:hAnsi="新宋体" w:eastAsia="新宋体" w:cs="新宋体"/>
          <w:b/>
          <w:bCs/>
          <w:color w:val="auto"/>
          <w:sz w:val="22"/>
          <w:szCs w:val="22"/>
        </w:rPr>
      </w:pPr>
      <w:bookmarkStart w:id="29" w:name="_Toc14577"/>
      <w:bookmarkStart w:id="30" w:name="_Toc12181_WPSOffice_Level3"/>
      <w:r>
        <w:rPr>
          <w:rFonts w:hint="eastAsia" w:ascii="新宋体" w:hAnsi="新宋体" w:eastAsia="新宋体" w:cs="新宋体"/>
          <w:b/>
          <w:bCs/>
          <w:color w:val="auto"/>
          <w:sz w:val="22"/>
          <w:szCs w:val="22"/>
        </w:rPr>
        <w:t>项目详细建设内容</w:t>
      </w:r>
      <w:bookmarkEnd w:id="29"/>
    </w:p>
    <w:p w14:paraId="12335803">
      <w:pPr>
        <w:numPr>
          <w:ilvl w:val="0"/>
          <w:numId w:val="2"/>
        </w:numPr>
        <w:tabs>
          <w:tab w:val="left" w:pos="360"/>
        </w:tabs>
        <w:spacing w:line="460" w:lineRule="exact"/>
        <w:outlineLvl w:val="2"/>
        <w:rPr>
          <w:rFonts w:hint="eastAsia" w:ascii="宋体" w:hAnsi="宋体" w:eastAsia="宋体" w:cs="宋体"/>
          <w:b/>
          <w:bCs/>
          <w:color w:val="auto"/>
          <w:sz w:val="22"/>
          <w:szCs w:val="22"/>
        </w:rPr>
      </w:pPr>
      <w:bookmarkStart w:id="31" w:name="_Toc24895"/>
      <w:bookmarkStart w:id="32" w:name="_Toc20209"/>
      <w:bookmarkStart w:id="33" w:name="_Toc6954"/>
      <w:bookmarkStart w:id="34" w:name="_Toc1191421481"/>
      <w:r>
        <w:rPr>
          <w:rFonts w:hint="eastAsia" w:ascii="宋体" w:hAnsi="宋体" w:eastAsia="宋体" w:cs="宋体"/>
          <w:b/>
          <w:bCs/>
          <w:color w:val="auto"/>
          <w:sz w:val="22"/>
          <w:szCs w:val="22"/>
        </w:rPr>
        <w:t>风险态势电子沙盘应用场景</w:t>
      </w:r>
      <w:bookmarkEnd w:id="31"/>
      <w:bookmarkEnd w:id="32"/>
      <w:bookmarkEnd w:id="33"/>
    </w:p>
    <w:p w14:paraId="3CF32F34">
      <w:pPr>
        <w:pStyle w:val="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依托温州市“智慧应急一张图”已有数据基础，深入梳理全市安全生产领域风险底数，结合各条线上报静态风险点数据和相关管理系统动态数据，优化、完善、拓展相关基础数据和应用场景</w:t>
      </w:r>
      <w:r>
        <w:rPr>
          <w:rFonts w:hint="eastAsia" w:ascii="宋体" w:hAnsi="宋体" w:cs="宋体"/>
          <w:b w:val="0"/>
          <w:bCs/>
          <w:color w:val="auto"/>
          <w:sz w:val="22"/>
          <w:szCs w:val="22"/>
          <w:lang w:eastAsia="zh-CN"/>
        </w:rPr>
        <w:t>，</w:t>
      </w:r>
      <w:r>
        <w:rPr>
          <w:rFonts w:hint="eastAsia" w:ascii="宋体" w:hAnsi="宋体" w:cs="宋体"/>
          <w:b w:val="0"/>
          <w:bCs/>
          <w:color w:val="auto"/>
          <w:sz w:val="22"/>
          <w:szCs w:val="22"/>
          <w:lang w:val="en-US" w:eastAsia="zh-CN"/>
        </w:rPr>
        <w:t>建立PC端大屏及管理页面</w:t>
      </w:r>
      <w:r>
        <w:rPr>
          <w:rFonts w:hint="eastAsia" w:ascii="宋体" w:hAnsi="宋体" w:eastAsia="宋体" w:cs="宋体"/>
          <w:b w:val="0"/>
          <w:bCs/>
          <w:color w:val="auto"/>
          <w:sz w:val="22"/>
          <w:szCs w:val="22"/>
        </w:rPr>
        <w:t>。</w:t>
      </w:r>
      <w:bookmarkStart w:id="35" w:name="OLE_LINK2"/>
      <w:r>
        <w:rPr>
          <w:rFonts w:hint="eastAsia" w:ascii="宋体" w:hAnsi="宋体" w:cs="宋体"/>
          <w:b w:val="0"/>
          <w:bCs/>
          <w:color w:val="auto"/>
          <w:sz w:val="22"/>
          <w:szCs w:val="22"/>
          <w:lang w:val="en-US" w:eastAsia="zh-CN"/>
        </w:rPr>
        <w:t>功能要求</w:t>
      </w:r>
      <w:r>
        <w:rPr>
          <w:rFonts w:hint="eastAsia" w:ascii="宋体" w:hAnsi="宋体" w:eastAsia="宋体" w:cs="宋体"/>
          <w:b w:val="0"/>
          <w:bCs/>
          <w:color w:val="auto"/>
          <w:sz w:val="22"/>
          <w:szCs w:val="22"/>
        </w:rPr>
        <w:t>包括：</w:t>
      </w:r>
      <w:bookmarkEnd w:id="35"/>
    </w:p>
    <w:p w14:paraId="5689AAAE">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数据入库</w:t>
      </w:r>
    </w:p>
    <w:p w14:paraId="0907F62A">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根据静态风险点类型，针对不同领域和数据分别整理出填报模板，方便后续进行填报及系统录入。并对应急局提供的首批基础风险数据进行数据库入库处理。</w:t>
      </w:r>
    </w:p>
    <w:p w14:paraId="137F47AE">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专题图可视化融合管理</w:t>
      </w:r>
    </w:p>
    <w:p w14:paraId="2B604501">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开发地图操作及量测工具箱等，支持图层切换、行政区划缩放、地图复位、图层清空、专题图配图、专题图展示和测距</w:t>
      </w:r>
      <w:r>
        <w:rPr>
          <w:rFonts w:hint="eastAsia" w:ascii="宋体" w:hAnsi="宋体" w:cs="宋体"/>
          <w:color w:val="auto"/>
          <w:sz w:val="22"/>
          <w:szCs w:val="22"/>
          <w:lang w:eastAsia="zh-CN"/>
        </w:rPr>
        <w:t>、</w:t>
      </w:r>
      <w:r>
        <w:rPr>
          <w:rFonts w:hint="eastAsia" w:ascii="宋体" w:hAnsi="宋体" w:eastAsia="宋体" w:cs="宋体"/>
          <w:color w:val="auto"/>
          <w:sz w:val="22"/>
          <w:szCs w:val="22"/>
        </w:rPr>
        <w:t>测面等功能。</w:t>
      </w:r>
    </w:p>
    <w:p w14:paraId="589464A5">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风险点目录列表</w:t>
      </w:r>
    </w:p>
    <w:p w14:paraId="210B9803">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按照重点风险领域和每一领域对应的风险清单，在沙盘左侧以列表形式对风险清单进行展示，支持勾选不同数据项进行图层叠加显示。</w:t>
      </w:r>
    </w:p>
    <w:p w14:paraId="2B39969A">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风险点详情展示</w:t>
      </w:r>
    </w:p>
    <w:p w14:paraId="2A927D6B">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按照重点风险领域和每一领域对应的风险清单，支持搜索查询和详情查看等。</w:t>
      </w:r>
    </w:p>
    <w:p w14:paraId="2B2E9AF2">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系统用户管理</w:t>
      </w:r>
    </w:p>
    <w:p w14:paraId="7486A124">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可以新增、删除用户账号，管理和存储用户的基本信息，并提供用户信息的修改和更新功能。提供密码重置和找回功能。</w:t>
      </w:r>
    </w:p>
    <w:p w14:paraId="02E450C1">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配置管理</w:t>
      </w:r>
    </w:p>
    <w:p w14:paraId="6A4568CA">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针对电子沙盘中展示的目录树进行配置管理，展示每个风险点数据的字段，包括类别统计字段、详情列表字段、详情弹框字段等。</w:t>
      </w:r>
    </w:p>
    <w:p w14:paraId="4B409269">
      <w:pPr>
        <w:numPr>
          <w:ilvl w:val="1"/>
          <w:numId w:val="3"/>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数据管理</w:t>
      </w:r>
    </w:p>
    <w:p w14:paraId="06030FF9">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通过系统预先配置的模板，支持按照模板进行批量导出、导入，也可针对单条数据进行手动编辑。</w:t>
      </w:r>
    </w:p>
    <w:p w14:paraId="63D78CDC">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与安全生产事故隐患闭环管理等相关系统进行数据对接，在电子沙盘中进行展示。</w:t>
      </w:r>
    </w:p>
    <w:p w14:paraId="6074147E">
      <w:pPr>
        <w:numPr>
          <w:ilvl w:val="0"/>
          <w:numId w:val="2"/>
        </w:numPr>
        <w:tabs>
          <w:tab w:val="left" w:pos="360"/>
        </w:tabs>
        <w:spacing w:line="460" w:lineRule="exact"/>
        <w:outlineLvl w:val="2"/>
        <w:rPr>
          <w:rFonts w:hint="eastAsia" w:ascii="宋体" w:hAnsi="宋体" w:eastAsia="宋体" w:cs="宋体"/>
          <w:b/>
          <w:bCs/>
          <w:color w:val="auto"/>
          <w:sz w:val="22"/>
          <w:szCs w:val="22"/>
        </w:rPr>
      </w:pPr>
      <w:bookmarkStart w:id="36" w:name="_Toc21705"/>
      <w:bookmarkStart w:id="37" w:name="_Toc32598"/>
      <w:bookmarkStart w:id="38" w:name="_Toc21611"/>
      <w:r>
        <w:rPr>
          <w:rFonts w:hint="eastAsia" w:ascii="宋体" w:hAnsi="宋体" w:eastAsia="宋体" w:cs="宋体"/>
          <w:b/>
          <w:bCs/>
          <w:color w:val="auto"/>
          <w:sz w:val="22"/>
          <w:szCs w:val="22"/>
        </w:rPr>
        <w:t>巨灾保险指数触发在线应用场景</w:t>
      </w:r>
      <w:bookmarkEnd w:id="36"/>
      <w:bookmarkEnd w:id="37"/>
      <w:bookmarkEnd w:id="38"/>
    </w:p>
    <w:p w14:paraId="72264098">
      <w:pPr>
        <w:numPr>
          <w:ilvl w:val="-1"/>
          <w:numId w:val="0"/>
        </w:numPr>
        <w:tabs>
          <w:tab w:val="left" w:pos="360"/>
        </w:tabs>
        <w:spacing w:line="460" w:lineRule="exact"/>
        <w:ind w:left="0" w:firstLine="440" w:firstLineChars="200"/>
        <w:outlineLvl w:val="9"/>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通过对接气象、资规等部门台风、降雨等动态监测数据和地理空间数据，建立</w:t>
      </w:r>
      <w:r>
        <w:rPr>
          <w:rFonts w:hint="eastAsia" w:ascii="宋体" w:hAnsi="宋体" w:eastAsia="宋体" w:cs="宋体"/>
          <w:b w:val="0"/>
          <w:bCs w:val="0"/>
          <w:color w:val="auto"/>
          <w:sz w:val="22"/>
          <w:szCs w:val="22"/>
        </w:rPr>
        <w:t>台风指数</w:t>
      </w:r>
      <w:r>
        <w:rPr>
          <w:rFonts w:hint="eastAsia" w:ascii="宋体" w:hAnsi="宋体" w:cs="宋体"/>
          <w:b w:val="0"/>
          <w:bCs w:val="0"/>
          <w:color w:val="auto"/>
          <w:sz w:val="22"/>
          <w:szCs w:val="22"/>
          <w:lang w:val="en-US" w:eastAsia="zh-CN"/>
        </w:rPr>
        <w:t>保险</w:t>
      </w:r>
      <w:r>
        <w:rPr>
          <w:rFonts w:hint="eastAsia" w:ascii="宋体" w:hAnsi="宋体" w:eastAsia="宋体" w:cs="宋体"/>
          <w:b w:val="0"/>
          <w:bCs w:val="0"/>
          <w:color w:val="auto"/>
          <w:sz w:val="22"/>
          <w:szCs w:val="22"/>
        </w:rPr>
        <w:t>计算模型</w:t>
      </w:r>
      <w:r>
        <w:rPr>
          <w:rFonts w:hint="eastAsia" w:ascii="宋体" w:hAnsi="宋体" w:cs="宋体"/>
          <w:b w:val="0"/>
          <w:bCs w:val="0"/>
          <w:color w:val="auto"/>
          <w:sz w:val="22"/>
          <w:szCs w:val="22"/>
          <w:lang w:val="en-US" w:eastAsia="zh-CN"/>
        </w:rPr>
        <w:t>和</w:t>
      </w:r>
      <w:r>
        <w:rPr>
          <w:rFonts w:hint="eastAsia" w:ascii="宋体" w:hAnsi="宋体" w:eastAsia="宋体" w:cs="宋体"/>
          <w:b w:val="0"/>
          <w:bCs w:val="0"/>
          <w:color w:val="auto"/>
          <w:sz w:val="22"/>
          <w:szCs w:val="22"/>
        </w:rPr>
        <w:t>强降雨指数</w:t>
      </w:r>
      <w:r>
        <w:rPr>
          <w:rFonts w:hint="eastAsia" w:ascii="宋体" w:hAnsi="宋体" w:cs="宋体"/>
          <w:b w:val="0"/>
          <w:bCs w:val="0"/>
          <w:color w:val="auto"/>
          <w:sz w:val="22"/>
          <w:szCs w:val="22"/>
          <w:lang w:val="en-US" w:eastAsia="zh-CN"/>
        </w:rPr>
        <w:t>保险计算模型，形成指数保险触发和保险金额统计等功能，并集成到已有</w:t>
      </w:r>
      <w:r>
        <w:rPr>
          <w:rFonts w:hint="eastAsia" w:ascii="宋体" w:hAnsi="宋体" w:eastAsia="宋体" w:cs="宋体"/>
          <w:color w:val="auto"/>
          <w:sz w:val="22"/>
          <w:szCs w:val="22"/>
        </w:rPr>
        <w:t>浙政钉</w:t>
      </w:r>
      <w:r>
        <w:rPr>
          <w:rFonts w:hint="eastAsia" w:ascii="宋体" w:hAnsi="宋体" w:cs="宋体"/>
          <w:color w:val="auto"/>
          <w:sz w:val="22"/>
          <w:szCs w:val="22"/>
          <w:lang w:val="en-US" w:eastAsia="zh-CN"/>
        </w:rPr>
        <w:t>移动端</w:t>
      </w:r>
      <w:r>
        <w:rPr>
          <w:rFonts w:hint="eastAsia" w:ascii="宋体" w:hAnsi="宋体" w:eastAsia="宋体" w:cs="宋体"/>
          <w:color w:val="auto"/>
          <w:sz w:val="22"/>
          <w:szCs w:val="22"/>
        </w:rPr>
        <w:t>“应急掌上通”</w:t>
      </w:r>
      <w:r>
        <w:rPr>
          <w:rFonts w:hint="eastAsia" w:ascii="宋体" w:hAnsi="宋体" w:cs="宋体"/>
          <w:color w:val="auto"/>
          <w:sz w:val="22"/>
          <w:szCs w:val="22"/>
          <w:lang w:val="en-US" w:eastAsia="zh-CN"/>
        </w:rPr>
        <w:t>应用。</w:t>
      </w:r>
      <w:r>
        <w:rPr>
          <w:rFonts w:hint="eastAsia" w:ascii="宋体" w:hAnsi="宋体" w:cs="宋体"/>
          <w:b w:val="0"/>
          <w:bCs/>
          <w:color w:val="auto"/>
          <w:sz w:val="22"/>
          <w:szCs w:val="22"/>
          <w:lang w:val="en-US" w:eastAsia="zh-CN"/>
        </w:rPr>
        <w:t>功能要求</w:t>
      </w:r>
      <w:r>
        <w:rPr>
          <w:rFonts w:hint="eastAsia" w:ascii="宋体" w:hAnsi="宋体" w:eastAsia="宋体" w:cs="宋体"/>
          <w:b w:val="0"/>
          <w:bCs/>
          <w:color w:val="auto"/>
          <w:sz w:val="22"/>
          <w:szCs w:val="22"/>
        </w:rPr>
        <w:t>包括：</w:t>
      </w:r>
    </w:p>
    <w:p w14:paraId="6F362FD2">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强降雨指数保险预警总览</w:t>
      </w:r>
    </w:p>
    <w:p w14:paraId="2D3D1331">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模块化展示当前全市最大降雨量情况，是否触发强降雨指数保险预警，历史发生的赔付事件，赔付总金额。</w:t>
      </w:r>
    </w:p>
    <w:p w14:paraId="62B580D3">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台风指数保险预警总览</w:t>
      </w:r>
    </w:p>
    <w:p w14:paraId="45C26BEA">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模块化展示当前影响温州的台风情况，是否触发台风指数保险预警，历史发生的赔付事件，赔付总金额。</w:t>
      </w:r>
    </w:p>
    <w:p w14:paraId="7BEDD9C3">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台风指数保险信息展示</w:t>
      </w:r>
    </w:p>
    <w:p w14:paraId="106A2AF8">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显示保险保期时间范围、台风发生事件日、受灾阈值、巨灾框、台风指数报告机构、观测点、插值点、最高持续风速等关键词解释,以列表形式展示六个标项不同保险公司的赔付结构表。</w:t>
      </w:r>
    </w:p>
    <w:p w14:paraId="2731EFB8">
      <w:pPr>
        <w:numPr>
          <w:ilvl w:val="1"/>
          <w:numId w:val="4"/>
        </w:numPr>
        <w:tabs>
          <w:tab w:val="left" w:pos="360"/>
        </w:tabs>
        <w:spacing w:line="460" w:lineRule="exact"/>
        <w:outlineLvl w:val="3"/>
        <w:rPr>
          <w:rFonts w:hint="eastAsia" w:ascii="宋体" w:hAnsi="宋体" w:eastAsia="宋体" w:cs="宋体"/>
          <w:color w:val="auto"/>
          <w:sz w:val="22"/>
          <w:szCs w:val="22"/>
        </w:rPr>
      </w:pPr>
      <w:r>
        <w:rPr>
          <w:rFonts w:hint="eastAsia" w:ascii="宋体" w:hAnsi="宋体" w:eastAsia="宋体" w:cs="宋体"/>
          <w:b/>
          <w:bCs/>
          <w:color w:val="auto"/>
          <w:sz w:val="22"/>
          <w:szCs w:val="22"/>
        </w:rPr>
        <w:t>台风路径</w:t>
      </w:r>
    </w:p>
    <w:p w14:paraId="1CEA6E3B">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接入温州市矢量电子地图（CGCS2000）作为底图，支持控制地图拖动、放大或缩小等操作；叠加温州市行政区划图层和巨灾框（圈）范围图层，辅助判断台风影响情况。</w:t>
      </w:r>
    </w:p>
    <w:p w14:paraId="492E7F66">
      <w:pPr>
        <w:numPr>
          <w:ilvl w:val="1"/>
          <w:numId w:val="4"/>
        </w:numPr>
        <w:tabs>
          <w:tab w:val="left" w:pos="360"/>
        </w:tabs>
        <w:spacing w:line="460" w:lineRule="exact"/>
        <w:outlineLvl w:val="3"/>
        <w:rPr>
          <w:rFonts w:hint="eastAsia" w:ascii="宋体" w:hAnsi="宋体" w:eastAsia="宋体" w:cs="宋体"/>
          <w:color w:val="auto"/>
          <w:sz w:val="22"/>
          <w:szCs w:val="22"/>
        </w:rPr>
      </w:pPr>
      <w:r>
        <w:rPr>
          <w:rFonts w:hint="eastAsia" w:ascii="宋体" w:hAnsi="宋体" w:eastAsia="宋体" w:cs="宋体"/>
          <w:b/>
          <w:bCs/>
          <w:color w:val="auto"/>
          <w:sz w:val="22"/>
          <w:szCs w:val="22"/>
        </w:rPr>
        <w:t>台风指数计算模型</w:t>
      </w:r>
    </w:p>
    <w:p w14:paraId="1E276D58">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通过设立插值路径点的方式，计算插值点和观测点的距离，方便计算插值点风速、计算插值点和巨灾框中心点的距离，判定台风是否进入巨灾框。如果台风中心进入巨灾框，则再根据风速计算的结果判断赔付等级及金额。</w:t>
      </w:r>
    </w:p>
    <w:p w14:paraId="3B67BE35">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台风指数保险历史事件</w:t>
      </w:r>
    </w:p>
    <w:p w14:paraId="4BFAA8D1">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每触发一次台风指数理赔事件，将相关关键信息以表格形式进行归档保存，方便后续进行回溯复盘。</w:t>
      </w:r>
    </w:p>
    <w:p w14:paraId="78FC3EB1">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强降雨指数保险信息展示</w:t>
      </w:r>
    </w:p>
    <w:p w14:paraId="5831EE7D">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显示关于强降雨指数保险的相关关键词解释等；</w:t>
      </w:r>
    </w:p>
    <w:p w14:paraId="76CB0129">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根据保险合同约定的内容，列表展示不同降雨量与成灾指数的对应关系；</w:t>
      </w:r>
    </w:p>
    <w:p w14:paraId="740C5B85">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以列表形式展示六个标项不同保险公司的赔付结构表。</w:t>
      </w:r>
    </w:p>
    <w:p w14:paraId="22734B9E">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强降雨指数计算模型</w:t>
      </w:r>
    </w:p>
    <w:p w14:paraId="69DC6F05">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以折线统计图的样式展示最大降雨量变化趋势，同时展示36个测站近三天的累计降雨量，根据降雨量动态降序排列。</w:t>
      </w:r>
    </w:p>
    <w:p w14:paraId="331D9AAA">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强降雨指数保险历史事件</w:t>
      </w:r>
    </w:p>
    <w:p w14:paraId="6D7E83CA">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每触发一次理赔事件，将相关关键信息以表格形式进行归档保存，方便后续进行回溯复盘。</w:t>
      </w:r>
    </w:p>
    <w:p w14:paraId="68DA2358">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台风路径数据对接</w:t>
      </w:r>
    </w:p>
    <w:p w14:paraId="1F9FFA4C">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根据台风指数保险要求，需要从IRS申请台风路径数据。开发数据同步程序，将接口返回的数据保存到数据库用于相关指数预警功能开发。</w:t>
      </w:r>
    </w:p>
    <w:p w14:paraId="73490367">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气象监测数据对接</w:t>
      </w:r>
    </w:p>
    <w:p w14:paraId="598FCD78">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根据强降雨指数保险要求，需要从IRS申请气象观测站及监测数据。开发数据同步程序，将接口返回的数据保存到数据库用于相关指数预警功能开发。</w:t>
      </w:r>
    </w:p>
    <w:p w14:paraId="24B85F16">
      <w:pPr>
        <w:numPr>
          <w:ilvl w:val="1"/>
          <w:numId w:val="4"/>
        </w:numPr>
        <w:tabs>
          <w:tab w:val="left" w:pos="360"/>
        </w:tabs>
        <w:spacing w:line="460" w:lineRule="exact"/>
        <w:outlineLvl w:val="3"/>
        <w:rPr>
          <w:rFonts w:hint="eastAsia" w:ascii="宋体" w:hAnsi="宋体" w:eastAsia="宋体" w:cs="宋体"/>
          <w:b/>
          <w:bCs/>
          <w:color w:val="auto"/>
          <w:sz w:val="22"/>
          <w:szCs w:val="22"/>
        </w:rPr>
      </w:pPr>
      <w:r>
        <w:rPr>
          <w:rFonts w:hint="eastAsia" w:ascii="宋体" w:hAnsi="宋体" w:eastAsia="宋体" w:cs="宋体"/>
          <w:b/>
          <w:bCs/>
          <w:color w:val="auto"/>
          <w:sz w:val="22"/>
          <w:szCs w:val="22"/>
        </w:rPr>
        <w:t>系统集成</w:t>
      </w:r>
    </w:p>
    <w:p w14:paraId="1D6B29CB">
      <w:pPr>
        <w:tabs>
          <w:tab w:val="left" w:pos="360"/>
        </w:tabs>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巨灾保险指数触发在线应用场景必须无缝接入（用户无感登录、界面集成）浙政钉“应急掌上通”应用。</w:t>
      </w:r>
    </w:p>
    <w:p w14:paraId="0D073060">
      <w:pPr>
        <w:numPr>
          <w:ilvl w:val="0"/>
          <w:numId w:val="0"/>
        </w:numPr>
        <w:tabs>
          <w:tab w:val="left" w:pos="360"/>
        </w:tabs>
        <w:spacing w:line="460" w:lineRule="exact"/>
        <w:outlineLvl w:val="1"/>
        <w:rPr>
          <w:rFonts w:ascii="新宋体" w:hAnsi="新宋体" w:eastAsia="新宋体" w:cs="新宋体"/>
          <w:b/>
          <w:bCs/>
          <w:color w:val="auto"/>
          <w:sz w:val="22"/>
          <w:szCs w:val="22"/>
        </w:rPr>
      </w:pPr>
      <w:bookmarkStart w:id="39" w:name="_Toc10559"/>
      <w:r>
        <w:rPr>
          <w:rFonts w:hint="eastAsia" w:ascii="新宋体" w:hAnsi="新宋体" w:eastAsia="新宋体" w:cs="新宋体"/>
          <w:b/>
          <w:bCs/>
          <w:color w:val="auto"/>
          <w:sz w:val="22"/>
          <w:szCs w:val="22"/>
          <w:lang w:val="en-US" w:eastAsia="zh-CN"/>
        </w:rPr>
        <w:t>四、</w:t>
      </w:r>
      <w:r>
        <w:rPr>
          <w:rFonts w:hint="eastAsia" w:ascii="新宋体" w:hAnsi="新宋体" w:eastAsia="新宋体" w:cs="新宋体"/>
          <w:b/>
          <w:bCs/>
          <w:color w:val="auto"/>
          <w:sz w:val="22"/>
          <w:szCs w:val="22"/>
        </w:rPr>
        <w:t>项目建设周期</w:t>
      </w:r>
      <w:bookmarkEnd w:id="39"/>
    </w:p>
    <w:p w14:paraId="3137E21E">
      <w:pPr>
        <w:tabs>
          <w:tab w:val="left" w:pos="360"/>
        </w:tabs>
        <w:spacing w:line="460" w:lineRule="exact"/>
        <w:ind w:firstLine="552" w:firstLineChars="250"/>
        <w:rPr>
          <w:rFonts w:ascii="新宋体" w:hAnsi="新宋体" w:eastAsia="新宋体" w:cs="新宋体"/>
          <w:color w:val="auto"/>
          <w:sz w:val="22"/>
          <w:szCs w:val="22"/>
        </w:rPr>
      </w:pPr>
      <w:r>
        <w:rPr>
          <w:rFonts w:hint="eastAsia" w:cs="宋体" w:asciiTheme="majorEastAsia" w:hAnsiTheme="majorEastAsia" w:eastAsiaTheme="majorEastAsia"/>
          <w:b/>
          <w:bCs w:val="0"/>
          <w:color w:val="auto"/>
          <w:sz w:val="22"/>
          <w:szCs w:val="22"/>
          <w:highlight w:val="none"/>
          <w:u w:val="single"/>
        </w:rPr>
        <w:t>▲</w:t>
      </w:r>
      <w:r>
        <w:rPr>
          <w:rFonts w:hint="eastAsia" w:ascii="新宋体" w:hAnsi="新宋体" w:eastAsia="新宋体" w:cs="新宋体"/>
          <w:b/>
          <w:bCs w:val="0"/>
          <w:color w:val="auto"/>
          <w:sz w:val="22"/>
          <w:szCs w:val="22"/>
          <w:u w:val="single"/>
        </w:rPr>
        <w:t>合同签定后50日内，</w:t>
      </w:r>
      <w:r>
        <w:rPr>
          <w:rFonts w:hint="eastAsia" w:ascii="Times New Roman" w:hAnsi="Times New Roman" w:cs="Times New Roman"/>
          <w:b/>
          <w:bCs w:val="0"/>
          <w:snapToGrid w:val="0"/>
          <w:color w:val="auto"/>
          <w:kern w:val="0"/>
          <w:u w:val="single"/>
        </w:rPr>
        <w:t>完成风险态势电子沙盘应用场景、巨灾保险指数触发在线应用场景开发建设</w:t>
      </w:r>
      <w:r>
        <w:rPr>
          <w:rFonts w:hint="eastAsia" w:ascii="新宋体" w:hAnsi="新宋体" w:eastAsia="新宋体" w:cs="新宋体"/>
          <w:b/>
          <w:bCs w:val="0"/>
          <w:color w:val="auto"/>
          <w:sz w:val="22"/>
          <w:szCs w:val="22"/>
          <w:u w:val="single"/>
          <w:lang w:eastAsia="zh-CN"/>
        </w:rPr>
        <w:t>，</w:t>
      </w:r>
      <w:r>
        <w:rPr>
          <w:rFonts w:hint="eastAsia" w:ascii="新宋体" w:hAnsi="新宋体" w:eastAsia="新宋体" w:cs="新宋体"/>
          <w:b/>
          <w:bCs w:val="0"/>
          <w:color w:val="auto"/>
          <w:sz w:val="22"/>
          <w:szCs w:val="22"/>
          <w:u w:val="single"/>
          <w:lang w:val="en-US" w:eastAsia="zh-CN"/>
        </w:rPr>
        <w:t>通过初验后</w:t>
      </w:r>
      <w:r>
        <w:rPr>
          <w:rFonts w:hint="eastAsia" w:ascii="Times New Roman" w:hAnsi="Times New Roman" w:cs="Times New Roman"/>
          <w:b/>
          <w:bCs w:val="0"/>
          <w:snapToGrid w:val="0"/>
          <w:color w:val="auto"/>
          <w:kern w:val="0"/>
          <w:u w:val="single"/>
        </w:rPr>
        <w:t>上线试运行</w:t>
      </w:r>
      <w:r>
        <w:rPr>
          <w:rFonts w:hint="eastAsia" w:ascii="新宋体" w:hAnsi="新宋体" w:eastAsia="新宋体" w:cs="新宋体"/>
          <w:b/>
          <w:bCs w:val="0"/>
          <w:color w:val="auto"/>
          <w:sz w:val="22"/>
          <w:szCs w:val="22"/>
          <w:u w:val="single"/>
        </w:rPr>
        <w:t>；试运行3个月后，提交建设成果和相关材料，由招标方组织项目</w:t>
      </w:r>
      <w:r>
        <w:rPr>
          <w:rFonts w:hint="eastAsia" w:ascii="新宋体" w:hAnsi="新宋体" w:eastAsia="新宋体" w:cs="新宋体"/>
          <w:b/>
          <w:bCs w:val="0"/>
          <w:color w:val="auto"/>
          <w:sz w:val="22"/>
          <w:szCs w:val="22"/>
          <w:u w:val="single"/>
          <w:lang w:val="en-US" w:eastAsia="zh-CN"/>
        </w:rPr>
        <w:t>终验</w:t>
      </w:r>
      <w:r>
        <w:rPr>
          <w:rFonts w:hint="eastAsia" w:ascii="新宋体" w:hAnsi="新宋体" w:eastAsia="新宋体" w:cs="新宋体"/>
          <w:b/>
          <w:bCs w:val="0"/>
          <w:color w:val="auto"/>
          <w:sz w:val="22"/>
          <w:szCs w:val="22"/>
          <w:u w:val="single"/>
          <w:lang w:eastAsia="zh-CN"/>
        </w:rPr>
        <w:t>，</w:t>
      </w:r>
      <w:r>
        <w:rPr>
          <w:rFonts w:hint="eastAsia" w:asciiTheme="majorEastAsia" w:hAnsiTheme="majorEastAsia" w:eastAsiaTheme="majorEastAsia"/>
          <w:b/>
          <w:bCs w:val="0"/>
          <w:color w:val="auto"/>
          <w:sz w:val="22"/>
          <w:szCs w:val="22"/>
          <w:highlight w:val="none"/>
          <w:u w:val="single"/>
        </w:rPr>
        <w:t>费用</w:t>
      </w:r>
      <w:r>
        <w:rPr>
          <w:rFonts w:hint="eastAsia" w:asciiTheme="majorEastAsia" w:hAnsiTheme="majorEastAsia" w:eastAsiaTheme="majorEastAsia"/>
          <w:b/>
          <w:bCs w:val="0"/>
          <w:color w:val="auto"/>
          <w:sz w:val="22"/>
          <w:szCs w:val="22"/>
          <w:highlight w:val="none"/>
          <w:u w:val="single"/>
          <w:lang w:val="en-US" w:eastAsia="zh-CN"/>
        </w:rPr>
        <w:t>由</w:t>
      </w:r>
      <w:r>
        <w:rPr>
          <w:rFonts w:hint="eastAsia" w:asciiTheme="majorEastAsia" w:hAnsiTheme="majorEastAsia" w:eastAsiaTheme="majorEastAsia"/>
          <w:b/>
          <w:bCs w:val="0"/>
          <w:color w:val="auto"/>
          <w:sz w:val="22"/>
          <w:szCs w:val="22"/>
          <w:highlight w:val="none"/>
          <w:u w:val="single"/>
          <w:lang w:val="en-US" w:eastAsia="zh-Hans"/>
        </w:rPr>
        <w:t>成交方</w:t>
      </w:r>
      <w:r>
        <w:rPr>
          <w:rFonts w:hint="eastAsia" w:asciiTheme="majorEastAsia" w:hAnsiTheme="majorEastAsia" w:eastAsiaTheme="majorEastAsia"/>
          <w:b/>
          <w:bCs w:val="0"/>
          <w:color w:val="auto"/>
          <w:sz w:val="22"/>
          <w:szCs w:val="22"/>
          <w:highlight w:val="none"/>
          <w:u w:val="single"/>
        </w:rPr>
        <w:t>支付</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如遇不可抗力原因、政府行为或招标人自身因素可适当顺延。</w:t>
      </w:r>
    </w:p>
    <w:p w14:paraId="1B4CA80B">
      <w:pPr>
        <w:numPr>
          <w:ilvl w:val="0"/>
          <w:numId w:val="0"/>
        </w:numPr>
        <w:tabs>
          <w:tab w:val="left" w:pos="360"/>
        </w:tabs>
        <w:spacing w:line="460" w:lineRule="exact"/>
        <w:outlineLvl w:val="1"/>
        <w:rPr>
          <w:rFonts w:ascii="新宋体" w:hAnsi="新宋体" w:eastAsia="新宋体" w:cs="新宋体"/>
          <w:b/>
          <w:bCs/>
          <w:color w:val="auto"/>
          <w:sz w:val="22"/>
          <w:szCs w:val="22"/>
        </w:rPr>
      </w:pPr>
      <w:bookmarkStart w:id="40" w:name="_Toc873"/>
      <w:r>
        <w:rPr>
          <w:rFonts w:hint="eastAsia" w:ascii="新宋体" w:hAnsi="新宋体" w:eastAsia="新宋体" w:cs="新宋体"/>
          <w:b/>
          <w:bCs/>
          <w:color w:val="auto"/>
          <w:sz w:val="22"/>
          <w:szCs w:val="22"/>
          <w:lang w:val="en-US" w:eastAsia="zh-CN"/>
        </w:rPr>
        <w:t>五、</w:t>
      </w:r>
      <w:r>
        <w:rPr>
          <w:rFonts w:hint="eastAsia" w:ascii="新宋体" w:hAnsi="新宋体" w:eastAsia="新宋体" w:cs="新宋体"/>
          <w:b/>
          <w:bCs/>
          <w:color w:val="auto"/>
          <w:sz w:val="22"/>
          <w:szCs w:val="22"/>
        </w:rPr>
        <w:t>其他建设要求</w:t>
      </w:r>
      <w:bookmarkEnd w:id="40"/>
    </w:p>
    <w:p w14:paraId="6B389013">
      <w:pPr>
        <w:tabs>
          <w:tab w:val="left" w:pos="360"/>
        </w:tabs>
        <w:spacing w:line="460" w:lineRule="exact"/>
        <w:ind w:firstLine="552" w:firstLineChars="250"/>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1、▲数据收集、与其他相关系统平台对接事宜由招标人协助中标供应商解决，若因数据对接、系统对接产生费用，须由供应商自行承担。建设成果应满足温州市信创环境部署的相关要求。</w:t>
      </w:r>
    </w:p>
    <w:p w14:paraId="6BC112A4">
      <w:pPr>
        <w:tabs>
          <w:tab w:val="left" w:pos="360"/>
        </w:tabs>
        <w:spacing w:line="460" w:lineRule="exact"/>
        <w:ind w:firstLine="552" w:firstLineChars="250"/>
        <w:rPr>
          <w:color w:val="auto"/>
        </w:rPr>
      </w:pPr>
      <w:r>
        <w:rPr>
          <w:rFonts w:hint="eastAsia" w:ascii="新宋体" w:hAnsi="新宋体" w:eastAsia="新宋体" w:cs="新宋体"/>
          <w:b/>
          <w:bCs/>
          <w:color w:val="auto"/>
          <w:sz w:val="22"/>
          <w:szCs w:val="22"/>
          <w:u w:val="single"/>
        </w:rPr>
        <w:t>2、▲成果维护期：通过验收合格后，供应商须提供1年软件质量保证（提供错误修正、软件稳定性优化和修复服务）。</w:t>
      </w:r>
    </w:p>
    <w:p w14:paraId="52CEA7B0">
      <w:pPr>
        <w:tabs>
          <w:tab w:val="left" w:pos="360"/>
        </w:tabs>
        <w:spacing w:line="460" w:lineRule="exact"/>
        <w:ind w:firstLine="552" w:firstLineChars="250"/>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3、项目通过验收后，</w:t>
      </w:r>
      <w:r>
        <w:rPr>
          <w:rFonts w:hint="eastAsia" w:ascii="新宋体" w:hAnsi="新宋体" w:eastAsia="新宋体" w:cs="新宋体"/>
          <w:b/>
          <w:bCs/>
          <w:color w:val="auto"/>
          <w:sz w:val="22"/>
          <w:szCs w:val="22"/>
          <w:u w:val="single"/>
          <w:lang w:eastAsia="zh-CN"/>
        </w:rPr>
        <w:t>成交供应商</w:t>
      </w:r>
      <w:r>
        <w:rPr>
          <w:rFonts w:hint="eastAsia" w:ascii="新宋体" w:hAnsi="新宋体" w:eastAsia="新宋体" w:cs="新宋体"/>
          <w:b/>
          <w:bCs/>
          <w:color w:val="auto"/>
          <w:sz w:val="22"/>
          <w:szCs w:val="22"/>
          <w:u w:val="single"/>
        </w:rPr>
        <w:t>必须对招标方提供系统性的安装、使用、配置管理等培训，培训人数不限，以及长期技术支持服务。</w:t>
      </w:r>
    </w:p>
    <w:p w14:paraId="0F546757">
      <w:pPr>
        <w:tabs>
          <w:tab w:val="left" w:pos="360"/>
        </w:tabs>
        <w:spacing w:line="460" w:lineRule="exact"/>
        <w:ind w:firstLine="552" w:firstLineChars="250"/>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4、▲完成二级网络安全等保评测、第三方功能测试工作，产生的费用由供应商自行承担。</w:t>
      </w:r>
    </w:p>
    <w:p w14:paraId="18CD6DFA">
      <w:pPr>
        <w:tabs>
          <w:tab w:val="left" w:pos="360"/>
        </w:tabs>
        <w:spacing w:line="460" w:lineRule="exact"/>
        <w:ind w:firstLine="525" w:firstLineChars="250"/>
        <w:rPr>
          <w:rFonts w:ascii="Times New Roman" w:cs="Times New Roman"/>
          <w:color w:val="auto"/>
          <w:szCs w:val="22"/>
          <w:lang w:bidi="ar"/>
        </w:rPr>
      </w:pPr>
      <w:r>
        <w:rPr>
          <w:rFonts w:hint="eastAsia" w:ascii="Times New Roman" w:cs="Times New Roman"/>
          <w:color w:val="auto"/>
          <w:szCs w:val="22"/>
          <w:lang w:bidi="ar"/>
        </w:rPr>
        <w:t>以上系统建设要求和后续服务是最低要求，投标人可提供更优建设内容和后续服务。</w:t>
      </w:r>
    </w:p>
    <w:p w14:paraId="20C22E09">
      <w:pPr>
        <w:numPr>
          <w:ilvl w:val="0"/>
          <w:numId w:val="0"/>
        </w:numPr>
        <w:tabs>
          <w:tab w:val="left" w:pos="360"/>
        </w:tabs>
        <w:spacing w:line="460" w:lineRule="exact"/>
        <w:outlineLvl w:val="1"/>
        <w:rPr>
          <w:rFonts w:ascii="新宋体" w:hAnsi="新宋体" w:eastAsia="新宋体" w:cs="新宋体"/>
          <w:b/>
          <w:bCs/>
          <w:color w:val="auto"/>
          <w:sz w:val="22"/>
          <w:szCs w:val="22"/>
        </w:rPr>
      </w:pPr>
      <w:bookmarkStart w:id="41" w:name="_Toc32748"/>
      <w:r>
        <w:rPr>
          <w:rFonts w:hint="eastAsia" w:cs="宋体" w:asciiTheme="majorEastAsia" w:hAnsiTheme="majorEastAsia" w:eastAsiaTheme="majorEastAsia"/>
          <w:b/>
          <w:color w:val="auto"/>
          <w:sz w:val="22"/>
          <w:szCs w:val="22"/>
          <w:highlight w:val="none"/>
          <w:lang w:val="en-US" w:eastAsia="zh-CN"/>
        </w:rPr>
        <w:t>六、</w:t>
      </w:r>
      <w:r>
        <w:rPr>
          <w:rFonts w:hint="eastAsia" w:cs="宋体" w:asciiTheme="majorEastAsia" w:hAnsiTheme="majorEastAsia" w:eastAsiaTheme="majorEastAsia"/>
          <w:b/>
          <w:color w:val="auto"/>
          <w:sz w:val="22"/>
          <w:szCs w:val="22"/>
          <w:highlight w:val="none"/>
        </w:rPr>
        <w:t>▲</w:t>
      </w:r>
      <w:r>
        <w:rPr>
          <w:rFonts w:hint="eastAsia" w:ascii="新宋体" w:hAnsi="新宋体" w:eastAsia="新宋体" w:cs="新宋体"/>
          <w:b/>
          <w:bCs/>
          <w:color w:val="auto"/>
          <w:sz w:val="22"/>
          <w:szCs w:val="22"/>
        </w:rPr>
        <w:t>付款方式</w:t>
      </w:r>
      <w:bookmarkEnd w:id="41"/>
    </w:p>
    <w:p w14:paraId="4079F6F0">
      <w:pPr>
        <w:tabs>
          <w:tab w:val="left" w:pos="360"/>
        </w:tabs>
        <w:spacing w:line="460" w:lineRule="exact"/>
        <w:ind w:firstLine="552" w:firstLineChars="2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第一笔付款：</w:t>
      </w:r>
      <w:r>
        <w:rPr>
          <w:rFonts w:hint="eastAsia" w:ascii="新宋体" w:hAnsi="新宋体" w:eastAsia="新宋体" w:cs="新宋体"/>
          <w:b/>
          <w:bCs/>
          <w:color w:val="auto"/>
          <w:sz w:val="22"/>
          <w:szCs w:val="22"/>
          <w:lang w:val="en-US" w:eastAsia="zh-CN"/>
        </w:rPr>
        <w:t>本项目</w:t>
      </w:r>
      <w:r>
        <w:rPr>
          <w:rFonts w:hint="eastAsia" w:ascii="新宋体" w:hAnsi="新宋体" w:eastAsia="新宋体" w:cs="新宋体"/>
          <w:b/>
          <w:bCs/>
          <w:color w:val="auto"/>
          <w:sz w:val="22"/>
          <w:szCs w:val="22"/>
        </w:rPr>
        <w:t>实施以人工投入为主，合同签订并生效后，在具备实施条件后7个工作日内，招标人向</w:t>
      </w:r>
      <w:r>
        <w:rPr>
          <w:rFonts w:hint="eastAsia" w:ascii="新宋体" w:hAnsi="新宋体" w:eastAsia="新宋体" w:cs="新宋体"/>
          <w:b/>
          <w:bCs/>
          <w:color w:val="auto"/>
          <w:sz w:val="22"/>
          <w:szCs w:val="22"/>
          <w:lang w:eastAsia="zh-CN"/>
        </w:rPr>
        <w:t>成交供应商</w:t>
      </w:r>
      <w:r>
        <w:rPr>
          <w:rFonts w:hint="eastAsia" w:ascii="新宋体" w:hAnsi="新宋体" w:eastAsia="新宋体" w:cs="新宋体"/>
          <w:b/>
          <w:bCs/>
          <w:color w:val="auto"/>
          <w:sz w:val="22"/>
          <w:szCs w:val="22"/>
        </w:rPr>
        <w:t>支付合同总价的3</w:t>
      </w:r>
      <w:r>
        <w:rPr>
          <w:rFonts w:hint="eastAsia" w:ascii="新宋体" w:hAnsi="新宋体" w:eastAsia="新宋体" w:cs="新宋体"/>
          <w:b/>
          <w:bCs/>
          <w:color w:val="auto"/>
          <w:sz w:val="22"/>
          <w:szCs w:val="22"/>
          <w:lang w:val="en-US" w:eastAsia="zh-CN"/>
        </w:rPr>
        <w:t>5</w:t>
      </w:r>
      <w:r>
        <w:rPr>
          <w:rFonts w:hint="eastAsia" w:ascii="新宋体" w:hAnsi="新宋体" w:eastAsia="新宋体" w:cs="新宋体"/>
          <w:b/>
          <w:bCs/>
          <w:color w:val="auto"/>
          <w:sz w:val="22"/>
          <w:szCs w:val="22"/>
        </w:rPr>
        <w:t>%；</w:t>
      </w:r>
    </w:p>
    <w:p w14:paraId="45C5BB16">
      <w:pPr>
        <w:tabs>
          <w:tab w:val="left" w:pos="360"/>
        </w:tabs>
        <w:spacing w:line="460" w:lineRule="exact"/>
        <w:ind w:firstLine="552" w:firstLineChars="2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第二笔付款：</w:t>
      </w:r>
      <w:r>
        <w:rPr>
          <w:rFonts w:hint="eastAsia" w:ascii="新宋体" w:hAnsi="新宋体" w:eastAsia="新宋体" w:cs="新宋体"/>
          <w:b/>
          <w:bCs/>
          <w:color w:val="auto"/>
          <w:sz w:val="22"/>
          <w:szCs w:val="22"/>
          <w:lang w:eastAsia="zh-CN"/>
        </w:rPr>
        <w:t>成交供应商</w:t>
      </w:r>
      <w:r>
        <w:rPr>
          <w:rFonts w:hint="eastAsia" w:ascii="新宋体" w:hAnsi="新宋体" w:eastAsia="新宋体" w:cs="新宋体"/>
          <w:b/>
          <w:bCs/>
          <w:color w:val="auto"/>
          <w:sz w:val="22"/>
          <w:szCs w:val="22"/>
        </w:rPr>
        <w:t>完成</w:t>
      </w:r>
      <w:r>
        <w:rPr>
          <w:rFonts w:hint="eastAsia" w:ascii="Times New Roman" w:hAnsi="Times New Roman" w:cs="Times New Roman"/>
          <w:b/>
          <w:bCs/>
          <w:snapToGrid w:val="0"/>
          <w:color w:val="auto"/>
          <w:kern w:val="0"/>
        </w:rPr>
        <w:t>完成相关场景开发建设</w:t>
      </w:r>
      <w:r>
        <w:rPr>
          <w:rFonts w:hint="eastAsia" w:ascii="新宋体" w:hAnsi="新宋体" w:eastAsia="新宋体" w:cs="新宋体"/>
          <w:b/>
          <w:bCs/>
          <w:color w:val="auto"/>
          <w:sz w:val="22"/>
          <w:szCs w:val="22"/>
        </w:rPr>
        <w:t>并</w:t>
      </w:r>
      <w:r>
        <w:rPr>
          <w:rFonts w:hint="eastAsia" w:ascii="Times New Roman" w:hAnsi="Times New Roman" w:cs="Times New Roman"/>
          <w:b/>
          <w:bCs/>
          <w:snapToGrid w:val="0"/>
          <w:color w:val="auto"/>
          <w:kern w:val="0"/>
        </w:rPr>
        <w:t>上线试运行</w:t>
      </w:r>
      <w:r>
        <w:rPr>
          <w:rFonts w:hint="eastAsia" w:ascii="新宋体" w:hAnsi="新宋体" w:eastAsia="新宋体" w:cs="新宋体"/>
          <w:b/>
          <w:bCs/>
          <w:color w:val="auto"/>
          <w:sz w:val="22"/>
          <w:szCs w:val="22"/>
        </w:rPr>
        <w:t>，经招标人确认后</w:t>
      </w:r>
      <w:r>
        <w:rPr>
          <w:rFonts w:hint="eastAsia" w:ascii="新宋体" w:hAnsi="新宋体" w:eastAsia="新宋体" w:cs="新宋体"/>
          <w:b/>
          <w:bCs/>
          <w:color w:val="auto"/>
          <w:sz w:val="22"/>
          <w:szCs w:val="22"/>
          <w:lang w:val="en-US" w:eastAsia="zh-CN"/>
        </w:rPr>
        <w:t>7</w:t>
      </w:r>
      <w:r>
        <w:rPr>
          <w:rFonts w:hint="eastAsia" w:ascii="新宋体" w:hAnsi="新宋体" w:eastAsia="新宋体" w:cs="新宋体"/>
          <w:b/>
          <w:bCs/>
          <w:color w:val="auto"/>
          <w:sz w:val="22"/>
          <w:szCs w:val="22"/>
        </w:rPr>
        <w:t>个工作日内，向</w:t>
      </w:r>
      <w:r>
        <w:rPr>
          <w:rFonts w:hint="eastAsia" w:ascii="新宋体" w:hAnsi="新宋体" w:eastAsia="新宋体" w:cs="新宋体"/>
          <w:b/>
          <w:bCs/>
          <w:color w:val="auto"/>
          <w:sz w:val="22"/>
          <w:szCs w:val="22"/>
          <w:lang w:eastAsia="zh-CN"/>
        </w:rPr>
        <w:t>成交供应商</w:t>
      </w:r>
      <w:r>
        <w:rPr>
          <w:rFonts w:hint="eastAsia" w:ascii="新宋体" w:hAnsi="新宋体" w:eastAsia="新宋体" w:cs="新宋体"/>
          <w:b/>
          <w:bCs/>
          <w:color w:val="auto"/>
          <w:sz w:val="22"/>
          <w:szCs w:val="22"/>
        </w:rPr>
        <w:t>支付合同总价的40%；</w:t>
      </w:r>
    </w:p>
    <w:p w14:paraId="5C32E082">
      <w:pPr>
        <w:tabs>
          <w:tab w:val="left" w:pos="360"/>
        </w:tabs>
        <w:spacing w:line="460" w:lineRule="exact"/>
        <w:ind w:firstLine="552" w:firstLineChars="2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第三笔付款：整体实施完成，经招标人组织经验收合格后</w:t>
      </w:r>
      <w:r>
        <w:rPr>
          <w:rFonts w:hint="eastAsia" w:ascii="新宋体" w:hAnsi="新宋体" w:eastAsia="新宋体" w:cs="新宋体"/>
          <w:b/>
          <w:bCs/>
          <w:color w:val="auto"/>
          <w:sz w:val="22"/>
          <w:szCs w:val="22"/>
          <w:lang w:val="en-US" w:eastAsia="zh-CN"/>
        </w:rPr>
        <w:t>7</w:t>
      </w:r>
      <w:r>
        <w:rPr>
          <w:rFonts w:hint="eastAsia" w:ascii="新宋体" w:hAnsi="新宋体" w:eastAsia="新宋体" w:cs="新宋体"/>
          <w:b/>
          <w:bCs/>
          <w:color w:val="auto"/>
          <w:sz w:val="22"/>
          <w:szCs w:val="22"/>
        </w:rPr>
        <w:t>个工作日内，向</w:t>
      </w:r>
      <w:r>
        <w:rPr>
          <w:rFonts w:hint="eastAsia" w:ascii="新宋体" w:hAnsi="新宋体" w:eastAsia="新宋体" w:cs="新宋体"/>
          <w:b/>
          <w:bCs/>
          <w:color w:val="auto"/>
          <w:sz w:val="22"/>
          <w:szCs w:val="22"/>
          <w:lang w:eastAsia="zh-CN"/>
        </w:rPr>
        <w:t>成交供应商</w:t>
      </w:r>
      <w:r>
        <w:rPr>
          <w:rFonts w:hint="eastAsia" w:ascii="新宋体" w:hAnsi="新宋体" w:eastAsia="新宋体" w:cs="新宋体"/>
          <w:b/>
          <w:bCs/>
          <w:color w:val="auto"/>
          <w:sz w:val="22"/>
          <w:szCs w:val="22"/>
        </w:rPr>
        <w:t>支付合同总价的</w:t>
      </w:r>
      <w:r>
        <w:rPr>
          <w:rFonts w:hint="eastAsia" w:ascii="新宋体" w:hAnsi="新宋体" w:eastAsia="新宋体" w:cs="新宋体"/>
          <w:b/>
          <w:bCs/>
          <w:color w:val="auto"/>
          <w:sz w:val="22"/>
          <w:szCs w:val="22"/>
          <w:lang w:val="en-US" w:eastAsia="zh-CN"/>
        </w:rPr>
        <w:t>25</w:t>
      </w:r>
      <w:r>
        <w:rPr>
          <w:rFonts w:hint="eastAsia" w:ascii="新宋体" w:hAnsi="新宋体" w:eastAsia="新宋体" w:cs="新宋体"/>
          <w:b/>
          <w:bCs/>
          <w:color w:val="auto"/>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0"/>
    <w:bookmarkEnd w:id="34"/>
    <w:p w14:paraId="10FB0D34">
      <w:pPr>
        <w:tabs>
          <w:tab w:val="left" w:pos="360"/>
        </w:tabs>
        <w:spacing w:line="460" w:lineRule="exact"/>
        <w:ind w:firstLine="552" w:firstLineChars="250"/>
        <w:rPr>
          <w:rFonts w:hint="default" w:ascii="新宋体" w:hAnsi="新宋体" w:eastAsia="新宋体" w:cs="新宋体"/>
          <w:b/>
          <w:bCs/>
          <w:color w:val="auto"/>
          <w:sz w:val="22"/>
          <w:szCs w:val="22"/>
          <w:lang w:val="en-US" w:eastAsia="zh-CN"/>
        </w:rPr>
      </w:pPr>
      <w:r>
        <w:rPr>
          <w:rFonts w:hint="eastAsia" w:ascii="新宋体" w:hAnsi="新宋体" w:eastAsia="新宋体" w:cs="新宋体"/>
          <w:b/>
          <w:bCs/>
          <w:color w:val="auto"/>
          <w:sz w:val="22"/>
          <w:szCs w:val="22"/>
          <w:lang w:val="en-US" w:eastAsia="zh-CN"/>
        </w:rPr>
        <w:t>在签订合同时，中标（成交）供应商明确表示无需预付款或者主动要求降低预付款比例的，采购人可不适用前述预付款的规定。此外，前述任意一笔付款均以成交供应商提供对应金额的有效发票（增值税专用发票）为前提，否则招标人有权拒绝支付相应款项。</w:t>
      </w:r>
    </w:p>
    <w:p w14:paraId="6BEF5983">
      <w:pPr>
        <w:autoSpaceDE w:val="0"/>
        <w:autoSpaceDN w:val="0"/>
        <w:adjustRightInd w:val="0"/>
        <w:spacing w:line="400" w:lineRule="exact"/>
        <w:ind w:firstLine="442" w:firstLineChars="200"/>
        <w:jc w:val="left"/>
        <w:rPr>
          <w:rFonts w:ascii="宋体" w:hAnsi="宋体" w:cs="宋体"/>
          <w:b/>
          <w:color w:val="auto"/>
          <w:sz w:val="22"/>
          <w:szCs w:val="22"/>
          <w:highlight w:val="none"/>
        </w:rPr>
      </w:pPr>
    </w:p>
    <w:p w14:paraId="4D425451">
      <w:pPr>
        <w:autoSpaceDE w:val="0"/>
        <w:autoSpaceDN w:val="0"/>
        <w:adjustRightInd w:val="0"/>
        <w:spacing w:line="400" w:lineRule="exact"/>
        <w:ind w:firstLine="442" w:firstLineChars="200"/>
        <w:jc w:val="left"/>
        <w:rPr>
          <w:rFonts w:ascii="宋体" w:hAnsi="宋体" w:cs="宋体"/>
          <w:b/>
          <w:color w:val="auto"/>
          <w:sz w:val="22"/>
          <w:szCs w:val="22"/>
          <w:highlight w:val="none"/>
        </w:rPr>
      </w:pPr>
    </w:p>
    <w:p w14:paraId="216A67BC">
      <w:pPr>
        <w:autoSpaceDE w:val="0"/>
        <w:autoSpaceDN w:val="0"/>
        <w:adjustRightInd w:val="0"/>
        <w:spacing w:line="400" w:lineRule="exact"/>
        <w:ind w:firstLine="440" w:firstLineChars="200"/>
        <w:jc w:val="left"/>
        <w:rPr>
          <w:rFonts w:ascii="宋体" w:hAnsi="宋体"/>
          <w:color w:val="auto"/>
          <w:sz w:val="22"/>
          <w:highlight w:val="none"/>
        </w:rPr>
      </w:pPr>
      <w:r>
        <w:rPr>
          <w:rFonts w:hint="eastAsia" w:ascii="宋体" w:hAnsi="宋体"/>
          <w:color w:val="auto"/>
          <w:sz w:val="22"/>
          <w:highlight w:val="none"/>
        </w:rPr>
        <w:t>注意事项：</w:t>
      </w:r>
    </w:p>
    <w:p w14:paraId="3F2C0001">
      <w:pPr>
        <w:spacing w:line="420" w:lineRule="exact"/>
        <w:ind w:firstLine="440" w:firstLineChars="200"/>
        <w:rPr>
          <w:rFonts w:ascii="宋体" w:hAnsi="宋体"/>
          <w:color w:val="auto"/>
          <w:sz w:val="22"/>
          <w:highlight w:val="none"/>
        </w:rPr>
      </w:pPr>
      <w:r>
        <w:rPr>
          <w:rFonts w:hint="eastAsia" w:ascii="宋体" w:hAnsi="宋体"/>
          <w:color w:val="auto"/>
          <w:sz w:val="22"/>
          <w:highlight w:val="none"/>
        </w:rPr>
        <w:t>为了更好地实现采购目标，磋商小组可以修改竞争性磋商文件，对采购需求、合同草案做出实质性变动，并以书面形式通知所有参加磋商的供应商。供应商收到修改采购文件的通知后，可以决定是否继续参加磋商活动。</w:t>
      </w:r>
    </w:p>
    <w:p w14:paraId="70C6A0B4">
      <w:pPr>
        <w:pStyle w:val="4"/>
        <w:spacing w:after="240"/>
        <w:rPr>
          <w:rFonts w:ascii="宋体" w:hAnsi="宋体"/>
          <w:color w:val="auto"/>
          <w:sz w:val="36"/>
          <w:highlight w:val="none"/>
        </w:rPr>
      </w:pPr>
      <w:r>
        <w:rPr>
          <w:rFonts w:ascii="宋体" w:hAnsi="宋体"/>
          <w:color w:val="auto"/>
          <w:sz w:val="36"/>
          <w:highlight w:val="none"/>
        </w:rPr>
        <w:br w:type="page"/>
      </w:r>
      <w:bookmarkStart w:id="42" w:name="_Toc29006"/>
      <w:r>
        <w:rPr>
          <w:rFonts w:hint="eastAsia" w:ascii="宋体" w:hAnsi="宋体"/>
          <w:color w:val="auto"/>
          <w:sz w:val="36"/>
          <w:highlight w:val="none"/>
        </w:rPr>
        <w:t xml:space="preserve">第三部分   </w:t>
      </w:r>
      <w:r>
        <w:rPr>
          <w:rFonts w:ascii="宋体" w:hAnsi="宋体"/>
          <w:color w:val="auto"/>
          <w:sz w:val="36"/>
          <w:highlight w:val="none"/>
        </w:rPr>
        <w:t xml:space="preserve"> </w:t>
      </w:r>
      <w:r>
        <w:rPr>
          <w:rFonts w:hint="eastAsia" w:ascii="宋体" w:hAnsi="宋体"/>
          <w:color w:val="auto"/>
          <w:sz w:val="36"/>
          <w:highlight w:val="none"/>
        </w:rPr>
        <w:t>供应商须知</w:t>
      </w:r>
      <w:bookmarkEnd w:id="42"/>
    </w:p>
    <w:p w14:paraId="0068CD62">
      <w:pPr>
        <w:pStyle w:val="4"/>
        <w:spacing w:line="440" w:lineRule="atLeast"/>
        <w:jc w:val="left"/>
        <w:rPr>
          <w:rFonts w:ascii="宋体" w:hAnsi="宋体"/>
          <w:b/>
          <w:bCs/>
          <w:color w:val="auto"/>
          <w:sz w:val="22"/>
          <w:szCs w:val="22"/>
          <w:highlight w:val="none"/>
        </w:rPr>
      </w:pPr>
      <w:bookmarkStart w:id="43" w:name="_Toc4243"/>
      <w:r>
        <w:rPr>
          <w:rFonts w:hint="eastAsia" w:ascii="宋体" w:hAnsi="宋体"/>
          <w:b/>
          <w:bCs/>
          <w:color w:val="auto"/>
          <w:sz w:val="22"/>
          <w:szCs w:val="22"/>
          <w:highlight w:val="none"/>
        </w:rPr>
        <w:t>一、说明</w:t>
      </w:r>
      <w:bookmarkEnd w:id="43"/>
    </w:p>
    <w:p w14:paraId="3CC9C1F7">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1、本次采购工作是按照《中华人民共和国政府采购法》及相关法律规章组织和实施。</w:t>
      </w:r>
    </w:p>
    <w:p w14:paraId="57A0F919">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2、供应商必须对所有的全部内容进行报价，只对部分内容进行报价的供应商将按无效投标处理。</w:t>
      </w:r>
    </w:p>
    <w:p w14:paraId="04F00E14">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3、无论采购过程中的做法和结果如何，供应商自行承担采购活动中所发生的全部费用。</w:t>
      </w:r>
    </w:p>
    <w:p w14:paraId="4C923F77">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b/>
          <w:color w:val="auto"/>
          <w:sz w:val="22"/>
          <w:szCs w:val="22"/>
          <w:highlight w:val="none"/>
        </w:rPr>
        <w:t>本次采购预算见公告，如果某个（些）供应商最终报价超出采购预算的，则该供应商的报价按无效报价处理。</w:t>
      </w:r>
    </w:p>
    <w:p w14:paraId="48995AFD">
      <w:pPr>
        <w:autoSpaceDE w:val="0"/>
        <w:autoSpaceDN w:val="0"/>
        <w:adjustRightInd w:val="0"/>
        <w:snapToGrid w:val="0"/>
        <w:spacing w:line="460" w:lineRule="atLeast"/>
        <w:ind w:firstLine="431" w:firstLineChars="196"/>
        <w:textAlignment w:val="bottom"/>
        <w:rPr>
          <w:rFonts w:ascii="宋体" w:hAnsi="宋体"/>
          <w:b/>
          <w:color w:val="auto"/>
          <w:sz w:val="22"/>
          <w:szCs w:val="22"/>
          <w:highlight w:val="none"/>
        </w:rPr>
      </w:pPr>
      <w:r>
        <w:rPr>
          <w:rFonts w:hint="eastAsia" w:ascii="宋体" w:hAnsi="宋体"/>
          <w:color w:val="auto"/>
          <w:sz w:val="22"/>
          <w:szCs w:val="22"/>
          <w:highlight w:val="none"/>
        </w:rPr>
        <w:t>5、</w:t>
      </w:r>
      <w:r>
        <w:rPr>
          <w:rFonts w:hint="eastAsia" w:ascii="宋体" w:hAnsi="宋体"/>
          <w:b/>
          <w:color w:val="auto"/>
          <w:sz w:val="22"/>
          <w:szCs w:val="22"/>
          <w:highlight w:val="none"/>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04EF6DEE">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6、知识产权</w:t>
      </w:r>
    </w:p>
    <w:p w14:paraId="75A0961E">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6.1投标供应商应保证，采购人在中华人民共和国使用货物和服务的任何一部分时，免受第三方提出侵犯其专利权、商标权或其它知识产权的起诉。</w:t>
      </w:r>
    </w:p>
    <w:p w14:paraId="17469C39">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6.2投标供应商应对采购人在使用该产品时所涉及到的专利权负责，不损害采购人的利益。</w:t>
      </w:r>
    </w:p>
    <w:p w14:paraId="5AA79E60">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6.3报价应包括所有应支付的对专利权和版权、设计或其他知识产权而需要向其他方支付的版税。</w:t>
      </w:r>
    </w:p>
    <w:p w14:paraId="18C9FA89">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6.4投标供应商提供得货物或服务中如使用其他公司的相关专利，应在标书中出示相关授权，如未出示但使用了其他公司的专利，导致供应商中标而引起相关诉讼，由投标供应商承担。</w:t>
      </w:r>
    </w:p>
    <w:p w14:paraId="0865334A">
      <w:pPr>
        <w:adjustRightInd w:val="0"/>
        <w:spacing w:line="440" w:lineRule="atLeast"/>
        <w:ind w:firstLine="431" w:firstLineChars="196"/>
        <w:rPr>
          <w:rFonts w:ascii="宋体" w:hAnsi="宋体"/>
          <w:color w:val="auto"/>
          <w:sz w:val="22"/>
          <w:highlight w:val="none"/>
        </w:rPr>
      </w:pPr>
      <w:r>
        <w:rPr>
          <w:rFonts w:hint="eastAsia" w:ascii="宋体" w:hAnsi="宋体"/>
          <w:color w:val="auto"/>
          <w:sz w:val="22"/>
          <w:highlight w:val="none"/>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0456BA67">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除单一来源采购项目外，为采购项目提供整体设计、规范编制或者项目管理、监理、检测等服务的供应商，不得再参加该采购项目的其他采购活动。</w:t>
      </w:r>
    </w:p>
    <w:p w14:paraId="38A681B7">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8、为使供应商对本项目情况有所了解，供应商可自行到采购人实地进行现场勘察，以便获取由供应商自行负责编制磋商响应文件和签订合同所需的一切资料并充分理解了为之所承担的风险、义务和责任。</w:t>
      </w:r>
    </w:p>
    <w:p w14:paraId="0A0080A2">
      <w:pPr>
        <w:autoSpaceDE w:val="0"/>
        <w:autoSpaceDN w:val="0"/>
        <w:adjustRightInd w:val="0"/>
        <w:snapToGrid w:val="0"/>
        <w:spacing w:line="460" w:lineRule="atLeast"/>
        <w:ind w:firstLine="422" w:firstLineChars="191"/>
        <w:textAlignment w:val="bottom"/>
        <w:rPr>
          <w:rFonts w:ascii="宋体" w:hAnsi="宋体" w:cs="黑体"/>
          <w:b/>
          <w:bCs/>
          <w:color w:val="auto"/>
          <w:sz w:val="22"/>
          <w:szCs w:val="22"/>
          <w:highlight w:val="none"/>
        </w:rPr>
      </w:pPr>
      <w:r>
        <w:rPr>
          <w:rFonts w:ascii="宋体" w:hAnsi="宋体" w:cs="黑体"/>
          <w:b/>
          <w:bCs/>
          <w:color w:val="auto"/>
          <w:sz w:val="22"/>
          <w:szCs w:val="22"/>
          <w:highlight w:val="none"/>
        </w:rPr>
        <w:t>9</w:t>
      </w:r>
      <w:r>
        <w:rPr>
          <w:rFonts w:hint="eastAsia" w:ascii="宋体" w:hAnsi="宋体" w:cs="黑体"/>
          <w:b/>
          <w:bCs/>
          <w:color w:val="auto"/>
          <w:sz w:val="22"/>
          <w:szCs w:val="22"/>
          <w:highlight w:val="none"/>
        </w:rPr>
        <w:t>、根据关于印发《政府采购促进中小企业发展管理办法》的通知（财政部 工业和信息化部 财库〔2020〕46号）文件第十二条规定，</w:t>
      </w:r>
      <w:r>
        <w:rPr>
          <w:rFonts w:ascii="宋体" w:hAnsi="宋体" w:cs="黑体"/>
          <w:b/>
          <w:bCs/>
          <w:color w:val="auto"/>
          <w:sz w:val="22"/>
          <w:szCs w:val="22"/>
          <w:highlight w:val="none"/>
        </w:rPr>
        <w:t>本项目</w:t>
      </w:r>
      <w:r>
        <w:rPr>
          <w:rFonts w:hint="eastAsia" w:ascii="宋体" w:hAnsi="宋体" w:cs="黑体"/>
          <w:b/>
          <w:bCs/>
          <w:color w:val="auto"/>
          <w:sz w:val="22"/>
          <w:szCs w:val="22"/>
          <w:highlight w:val="none"/>
        </w:rPr>
        <w:t>采购标的</w:t>
      </w:r>
      <w:r>
        <w:rPr>
          <w:rFonts w:ascii="宋体" w:hAnsi="宋体" w:cs="黑体"/>
          <w:b/>
          <w:bCs/>
          <w:color w:val="auto"/>
          <w:sz w:val="22"/>
          <w:szCs w:val="22"/>
          <w:highlight w:val="none"/>
        </w:rPr>
        <w:t>所属行业为</w:t>
      </w:r>
      <w:r>
        <w:rPr>
          <w:rFonts w:hint="eastAsia" w:ascii="宋体" w:hAnsi="宋体" w:cs="黑体"/>
          <w:b/>
          <w:bCs/>
          <w:color w:val="auto"/>
          <w:sz w:val="22"/>
          <w:szCs w:val="22"/>
          <w:highlight w:val="none"/>
          <w:u w:val="single"/>
        </w:rPr>
        <w:t>软件和信息技术服务业</w:t>
      </w:r>
      <w:r>
        <w:rPr>
          <w:rFonts w:hint="eastAsia" w:ascii="宋体" w:hAnsi="宋体" w:cs="黑体"/>
          <w:b/>
          <w:bCs/>
          <w:color w:val="auto"/>
          <w:sz w:val="22"/>
          <w:szCs w:val="22"/>
          <w:highlight w:val="none"/>
        </w:rPr>
        <w:t>，▲投标供应商必须为采购文件中明确的行业所对应的中小企业/小微企业，否则按无效投标处理。</w:t>
      </w:r>
    </w:p>
    <w:p w14:paraId="004FC1F2">
      <w:pPr>
        <w:autoSpaceDE w:val="0"/>
        <w:autoSpaceDN w:val="0"/>
        <w:adjustRightInd w:val="0"/>
        <w:snapToGrid w:val="0"/>
        <w:spacing w:line="460" w:lineRule="atLeast"/>
        <w:ind w:firstLine="422" w:firstLineChars="191"/>
        <w:textAlignment w:val="bottom"/>
        <w:rPr>
          <w:rFonts w:ascii="宋体" w:hAnsi="宋体" w:cs="黑体"/>
          <w:b/>
          <w:bCs/>
          <w:color w:val="auto"/>
          <w:sz w:val="22"/>
          <w:szCs w:val="22"/>
          <w:highlight w:val="none"/>
        </w:rPr>
      </w:pPr>
      <w:r>
        <w:rPr>
          <w:rFonts w:hint="eastAsia" w:ascii="宋体" w:hAnsi="宋体" w:cs="黑体"/>
          <w:b/>
          <w:bCs/>
          <w:color w:val="auto"/>
          <w:sz w:val="22"/>
          <w:szCs w:val="22"/>
          <w:highlight w:val="none"/>
        </w:rPr>
        <w:t>供应商须对照</w:t>
      </w:r>
      <w:r>
        <w:rPr>
          <w:rFonts w:ascii="宋体" w:hAnsi="宋体" w:cs="黑体"/>
          <w:b/>
          <w:bCs/>
          <w:color w:val="auto"/>
          <w:sz w:val="22"/>
          <w:szCs w:val="22"/>
          <w:highlight w:val="none"/>
        </w:rPr>
        <w:t>《关于印发中小企业划型标准规定的通知》（工信部联企业[2011]300号）</w:t>
      </w:r>
      <w:r>
        <w:rPr>
          <w:rFonts w:hint="eastAsia" w:ascii="宋体" w:hAnsi="宋体" w:cs="黑体"/>
          <w:b/>
          <w:bCs/>
          <w:color w:val="auto"/>
          <w:sz w:val="22"/>
          <w:szCs w:val="22"/>
          <w:highlight w:val="none"/>
        </w:rPr>
        <w:t>标准根据真实情况提供《中小企业声明函》。</w:t>
      </w:r>
    </w:p>
    <w:p w14:paraId="664C1729">
      <w:pPr>
        <w:autoSpaceDE w:val="0"/>
        <w:autoSpaceDN w:val="0"/>
        <w:adjustRightInd w:val="0"/>
        <w:snapToGrid w:val="0"/>
        <w:spacing w:line="460" w:lineRule="exact"/>
        <w:ind w:firstLine="442" w:firstLineChars="200"/>
        <w:textAlignment w:val="bottom"/>
        <w:rPr>
          <w:rFonts w:ascii="宋体" w:cs="Arial"/>
          <w:b/>
          <w:bCs/>
          <w:color w:val="auto"/>
          <w:sz w:val="22"/>
          <w:szCs w:val="22"/>
          <w:highlight w:val="none"/>
        </w:rPr>
      </w:pPr>
      <w:r>
        <w:rPr>
          <w:rFonts w:hint="eastAsia" w:ascii="宋体" w:cs="Arial"/>
          <w:b/>
          <w:bCs/>
          <w:color w:val="auto"/>
          <w:sz w:val="22"/>
          <w:szCs w:val="22"/>
          <w:highlight w:val="none"/>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0501997A">
      <w:pPr>
        <w:autoSpaceDE w:val="0"/>
        <w:autoSpaceDN w:val="0"/>
        <w:adjustRightInd w:val="0"/>
        <w:snapToGrid w:val="0"/>
        <w:spacing w:line="460" w:lineRule="exact"/>
        <w:ind w:firstLine="442" w:firstLineChars="200"/>
        <w:textAlignment w:val="bottom"/>
        <w:rPr>
          <w:rFonts w:ascii="宋体" w:cs="Arial"/>
          <w:b/>
          <w:bCs/>
          <w:color w:val="auto"/>
          <w:sz w:val="22"/>
          <w:szCs w:val="22"/>
          <w:highlight w:val="none"/>
        </w:rPr>
      </w:pPr>
      <w:r>
        <w:rPr>
          <w:rFonts w:hint="eastAsia" w:ascii="宋体" w:cs="Arial"/>
          <w:b/>
          <w:bCs/>
          <w:color w:val="auto"/>
          <w:sz w:val="22"/>
          <w:szCs w:val="22"/>
          <w:highlight w:val="none"/>
        </w:rPr>
        <w:t>1</w:t>
      </w:r>
      <w:r>
        <w:rPr>
          <w:rFonts w:ascii="宋体" w:cs="Arial"/>
          <w:b/>
          <w:bCs/>
          <w:color w:val="auto"/>
          <w:sz w:val="22"/>
          <w:szCs w:val="22"/>
          <w:highlight w:val="none"/>
        </w:rPr>
        <w:t>0</w:t>
      </w:r>
      <w:r>
        <w:rPr>
          <w:rFonts w:hint="eastAsia" w:ascii="宋体" w:cs="Arial"/>
          <w:b/>
          <w:bCs/>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451C31C0">
      <w:pPr>
        <w:autoSpaceDE w:val="0"/>
        <w:autoSpaceDN w:val="0"/>
        <w:adjustRightInd w:val="0"/>
        <w:snapToGrid w:val="0"/>
        <w:spacing w:line="460" w:lineRule="exact"/>
        <w:ind w:firstLine="442" w:firstLineChars="200"/>
        <w:textAlignment w:val="bottom"/>
        <w:rPr>
          <w:rFonts w:ascii="宋体" w:cs="Arial"/>
          <w:b/>
          <w:bCs/>
          <w:color w:val="auto"/>
          <w:sz w:val="22"/>
          <w:szCs w:val="22"/>
          <w:highlight w:val="none"/>
        </w:rPr>
      </w:pPr>
      <w:r>
        <w:rPr>
          <w:rFonts w:hint="eastAsia" w:ascii="宋体" w:cs="Arial"/>
          <w:b/>
          <w:bCs/>
          <w:color w:val="auto"/>
          <w:sz w:val="22"/>
          <w:szCs w:val="22"/>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710715C">
      <w:pPr>
        <w:snapToGrid w:val="0"/>
        <w:spacing w:line="460" w:lineRule="atLeast"/>
        <w:ind w:firstLine="442" w:firstLineChars="200"/>
        <w:rPr>
          <w:rFonts w:ascii="宋体" w:hAnsi="宋体" w:cs="黑体"/>
          <w:b/>
          <w:bCs/>
          <w:color w:val="auto"/>
          <w:sz w:val="22"/>
          <w:szCs w:val="22"/>
          <w:highlight w:val="none"/>
        </w:rPr>
      </w:pPr>
      <w:r>
        <w:rPr>
          <w:rFonts w:ascii="宋体" w:hAnsi="宋体"/>
          <w:b/>
          <w:bCs/>
          <w:color w:val="auto"/>
          <w:sz w:val="22"/>
          <w:highlight w:val="none"/>
        </w:rPr>
        <w:t>11、</w:t>
      </w:r>
      <w:r>
        <w:rPr>
          <w:rFonts w:hint="eastAsia" w:ascii="宋体" w:hAnsi="宋体" w:eastAsia="宋体" w:cs="黑体"/>
          <w:b/>
          <w:bCs/>
          <w:color w:val="auto"/>
          <w:sz w:val="22"/>
          <w:szCs w:val="22"/>
          <w:highlight w:val="none"/>
          <w:lang w:val="en-US" w:eastAsia="zh-Hans"/>
        </w:rPr>
        <w:t>本项</w:t>
      </w:r>
      <w:r>
        <w:rPr>
          <w:rFonts w:hint="eastAsia" w:ascii="宋体" w:hAnsi="宋体" w:eastAsia="宋体" w:cs="黑体"/>
          <w:b/>
          <w:bCs/>
          <w:color w:val="auto"/>
          <w:sz w:val="22"/>
          <w:szCs w:val="22"/>
          <w:highlight w:val="none"/>
        </w:rPr>
        <w:t>目采用在线投标响应方式，执行《浙江省财政厅关于印发浙江省政府采购项目电子交易管理暂行办法的通知》（浙财采监〔2019</w:t>
      </w:r>
      <w:r>
        <w:rPr>
          <w:rFonts w:ascii="宋体" w:hAnsi="宋体" w:cs="黑体"/>
          <w:b/>
          <w:bCs/>
          <w:color w:val="auto"/>
          <w:sz w:val="22"/>
          <w:szCs w:val="22"/>
          <w:highlight w:val="none"/>
        </w:rPr>
        <w:t>〕10 号）等相关规定。</w:t>
      </w:r>
    </w:p>
    <w:p w14:paraId="413FB005">
      <w:pPr>
        <w:autoSpaceDE w:val="0"/>
        <w:autoSpaceDN w:val="0"/>
        <w:adjustRightInd w:val="0"/>
        <w:snapToGrid w:val="0"/>
        <w:spacing w:line="460" w:lineRule="atLeast"/>
        <w:ind w:firstLine="422" w:firstLineChars="191"/>
        <w:textAlignment w:val="bottom"/>
        <w:rPr>
          <w:rFonts w:ascii="宋体" w:hAnsi="宋体" w:cs="Arial"/>
          <w:b/>
          <w:bCs/>
          <w:color w:val="auto"/>
          <w:sz w:val="22"/>
          <w:szCs w:val="22"/>
          <w:highlight w:val="none"/>
        </w:rPr>
      </w:pPr>
      <w:r>
        <w:rPr>
          <w:rFonts w:hint="eastAsia" w:ascii="宋体" w:hAnsi="宋体" w:cs="黑体"/>
          <w:b/>
          <w:bCs/>
          <w:color w:val="auto"/>
          <w:sz w:val="22"/>
          <w:szCs w:val="22"/>
          <w:highlight w:val="none"/>
        </w:rPr>
        <w:t>1</w:t>
      </w:r>
      <w:r>
        <w:rPr>
          <w:rFonts w:ascii="宋体" w:hAnsi="宋体" w:cs="黑体"/>
          <w:b/>
          <w:bCs/>
          <w:color w:val="auto"/>
          <w:sz w:val="22"/>
          <w:szCs w:val="22"/>
          <w:highlight w:val="none"/>
        </w:rPr>
        <w:t>2、</w:t>
      </w:r>
      <w:r>
        <w:rPr>
          <w:rFonts w:hint="eastAsia" w:ascii="宋体" w:hAnsi="宋体" w:cs="Arial"/>
          <w:b/>
          <w:bCs/>
          <w:color w:val="auto"/>
          <w:sz w:val="22"/>
          <w:szCs w:val="22"/>
          <w:highlight w:val="none"/>
        </w:rPr>
        <w:t>项目在线开评标进行时，供应商授权代表需自行关注平台提示信息，期间如有发出“询标/澄清函”等相关线上函件时，因供应商自身原因逾期/错过回复时间，由此造成的后果由供应商自行承担。</w:t>
      </w:r>
    </w:p>
    <w:p w14:paraId="70FA2574">
      <w:pPr>
        <w:pStyle w:val="4"/>
        <w:spacing w:line="440" w:lineRule="atLeast"/>
        <w:jc w:val="left"/>
        <w:rPr>
          <w:rFonts w:ascii="宋体" w:hAnsi="宋体"/>
          <w:b/>
          <w:bCs/>
          <w:color w:val="auto"/>
          <w:sz w:val="22"/>
          <w:szCs w:val="22"/>
          <w:highlight w:val="none"/>
        </w:rPr>
      </w:pPr>
      <w:bookmarkStart w:id="44" w:name="_Toc8181"/>
      <w:r>
        <w:rPr>
          <w:rFonts w:hint="eastAsia" w:ascii="宋体" w:hAnsi="宋体"/>
          <w:b/>
          <w:bCs/>
          <w:color w:val="auto"/>
          <w:sz w:val="22"/>
          <w:szCs w:val="22"/>
          <w:highlight w:val="none"/>
        </w:rPr>
        <w:t>二、竞争性磋商文件</w:t>
      </w:r>
      <w:bookmarkEnd w:id="44"/>
    </w:p>
    <w:p w14:paraId="14E5EE8A">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1、竞争性磋商文件</w:t>
      </w:r>
    </w:p>
    <w:p w14:paraId="783AB987">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1.1、磋商文件发放</w:t>
      </w:r>
    </w:p>
    <w:p w14:paraId="4A62CDA3">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投标供应商网上自行下载磋商文件。</w:t>
      </w:r>
    </w:p>
    <w:p w14:paraId="7017FC6C">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1.2、竞争性磋商文件约束力</w:t>
      </w:r>
    </w:p>
    <w:p w14:paraId="52C40388">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u w:val="single"/>
        </w:rPr>
      </w:pPr>
      <w:r>
        <w:rPr>
          <w:rFonts w:hint="eastAsia" w:ascii="宋体" w:hAnsi="宋体"/>
          <w:color w:val="auto"/>
          <w:sz w:val="22"/>
          <w:szCs w:val="22"/>
          <w:highlight w:val="none"/>
        </w:rPr>
        <w:t>▲</w:t>
      </w:r>
      <w:r>
        <w:rPr>
          <w:rFonts w:hint="eastAsia" w:ascii="宋体" w:hAnsi="宋体"/>
          <w:color w:val="auto"/>
          <w:sz w:val="22"/>
          <w:szCs w:val="22"/>
          <w:highlight w:val="none"/>
          <w:u w:val="single"/>
        </w:rPr>
        <w:t>供应商一旦获取了本竞争性磋商文件并参加磋商采购，即被认为接受了本竞争性磋商文件中所有条款和规定。</w:t>
      </w:r>
    </w:p>
    <w:p w14:paraId="23FA0913">
      <w:pPr>
        <w:autoSpaceDE w:val="0"/>
        <w:autoSpaceDN w:val="0"/>
        <w:adjustRightInd w:val="0"/>
        <w:snapToGrid w:val="0"/>
        <w:spacing w:line="460" w:lineRule="atLeast"/>
        <w:textAlignment w:val="bottom"/>
        <w:rPr>
          <w:rFonts w:ascii="宋体" w:hAnsi="宋体"/>
          <w:color w:val="auto"/>
          <w:sz w:val="22"/>
          <w:szCs w:val="22"/>
          <w:highlight w:val="none"/>
        </w:rPr>
      </w:pPr>
      <w:r>
        <w:rPr>
          <w:rFonts w:hint="eastAsia" w:ascii="宋体" w:hAnsi="宋体"/>
          <w:color w:val="auto"/>
          <w:sz w:val="22"/>
          <w:szCs w:val="22"/>
          <w:highlight w:val="none"/>
        </w:rPr>
        <w:t xml:space="preserve">    1.3、竞争性磋商文件的组成</w:t>
      </w:r>
    </w:p>
    <w:p w14:paraId="7CCE98BD">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竞争性磋商文件由竞争性磋商文件总目录所列内容及补充资料等组成。</w:t>
      </w:r>
    </w:p>
    <w:p w14:paraId="54EB6A31">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2、竞争性磋商文件的澄清</w:t>
      </w:r>
    </w:p>
    <w:p w14:paraId="2F1F8551">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b/>
          <w:color w:val="auto"/>
          <w:sz w:val="22"/>
          <w:szCs w:val="22"/>
          <w:highlight w:val="none"/>
        </w:rPr>
        <w:t>任何口头答复均不作为报价依据</w:t>
      </w:r>
      <w:r>
        <w:rPr>
          <w:rFonts w:hint="eastAsia" w:ascii="宋体" w:hAnsi="宋体"/>
          <w:color w:val="auto"/>
          <w:sz w:val="22"/>
          <w:szCs w:val="22"/>
          <w:highlight w:val="none"/>
        </w:rPr>
        <w:t>。</w:t>
      </w:r>
    </w:p>
    <w:p w14:paraId="047B0DEE">
      <w:pPr>
        <w:autoSpaceDE w:val="0"/>
        <w:autoSpaceDN w:val="0"/>
        <w:adjustRightInd w:val="0"/>
        <w:snapToGrid w:val="0"/>
        <w:spacing w:line="460" w:lineRule="atLeast"/>
        <w:ind w:firstLine="541" w:firstLineChars="246"/>
        <w:textAlignment w:val="bottom"/>
        <w:rPr>
          <w:rFonts w:ascii="宋体" w:hAnsi="宋体"/>
          <w:color w:val="auto"/>
          <w:sz w:val="22"/>
          <w:szCs w:val="22"/>
          <w:highlight w:val="none"/>
        </w:rPr>
      </w:pPr>
      <w:r>
        <w:rPr>
          <w:rFonts w:hint="eastAsia" w:ascii="宋体" w:hAnsi="宋体"/>
          <w:color w:val="auto"/>
          <w:sz w:val="22"/>
          <w:szCs w:val="22"/>
          <w:highlight w:val="none"/>
        </w:rPr>
        <w:t>3、竞争性磋商文件的修改</w:t>
      </w:r>
    </w:p>
    <w:p w14:paraId="7AA7E7BD">
      <w:pPr>
        <w:autoSpaceDE w:val="0"/>
        <w:autoSpaceDN w:val="0"/>
        <w:adjustRightInd w:val="0"/>
        <w:snapToGrid w:val="0"/>
        <w:spacing w:line="460" w:lineRule="atLeast"/>
        <w:ind w:firstLine="541" w:firstLineChars="246"/>
        <w:textAlignment w:val="bottom"/>
        <w:rPr>
          <w:rFonts w:ascii="宋体" w:hAnsi="宋体"/>
          <w:color w:val="auto"/>
          <w:sz w:val="22"/>
          <w:szCs w:val="22"/>
          <w:highlight w:val="none"/>
        </w:rPr>
      </w:pPr>
      <w:r>
        <w:rPr>
          <w:rFonts w:hint="eastAsia" w:ascii="宋体" w:hAnsi="宋体"/>
          <w:color w:val="auto"/>
          <w:sz w:val="22"/>
          <w:szCs w:val="22"/>
          <w:highlight w:val="none"/>
        </w:rPr>
        <w:t>3.1、在磋商响应文件递交截止时间前，采购人有权修改竞争性磋商文件，并通知供应商。补充文件作为竞争性磋商文件的补充和组成部分，对所有供应商均有约束力。</w:t>
      </w:r>
    </w:p>
    <w:p w14:paraId="3467FC16">
      <w:pPr>
        <w:autoSpaceDE w:val="0"/>
        <w:autoSpaceDN w:val="0"/>
        <w:adjustRightInd w:val="0"/>
        <w:snapToGrid w:val="0"/>
        <w:spacing w:line="460" w:lineRule="atLeast"/>
        <w:ind w:firstLine="541" w:firstLineChars="246"/>
        <w:textAlignment w:val="bottom"/>
        <w:rPr>
          <w:rFonts w:ascii="宋体" w:hAnsi="宋体"/>
          <w:color w:val="auto"/>
          <w:sz w:val="22"/>
          <w:szCs w:val="22"/>
          <w:highlight w:val="none"/>
        </w:rPr>
      </w:pPr>
      <w:r>
        <w:rPr>
          <w:rFonts w:hint="eastAsia" w:ascii="宋体" w:hAnsi="宋体"/>
          <w:color w:val="auto"/>
          <w:sz w:val="22"/>
          <w:szCs w:val="22"/>
          <w:highlight w:val="none"/>
        </w:rPr>
        <w:t>3.2、为使供应商有足够的时间按竞争性磋商文件要求修正磋商响应文件，采购人可酌情推迟磋商响应文件递交截止时间和开始时间，并将此变更通知供应商。</w:t>
      </w:r>
    </w:p>
    <w:p w14:paraId="0E6926FA">
      <w:pPr>
        <w:autoSpaceDE w:val="0"/>
        <w:autoSpaceDN w:val="0"/>
        <w:adjustRightInd w:val="0"/>
        <w:snapToGrid w:val="0"/>
        <w:spacing w:line="460" w:lineRule="atLeast"/>
        <w:ind w:firstLine="543" w:firstLineChars="246"/>
        <w:textAlignment w:val="bottom"/>
        <w:rPr>
          <w:rFonts w:ascii="宋体" w:hAnsi="宋体"/>
          <w:b/>
          <w:color w:val="auto"/>
          <w:sz w:val="22"/>
          <w:szCs w:val="22"/>
          <w:highlight w:val="none"/>
        </w:rPr>
      </w:pPr>
      <w:r>
        <w:rPr>
          <w:rFonts w:hint="eastAsia" w:ascii="宋体" w:hAnsi="宋体"/>
          <w:b/>
          <w:color w:val="auto"/>
          <w:sz w:val="22"/>
          <w:szCs w:val="22"/>
          <w:highlight w:val="none"/>
        </w:rPr>
        <w:t>3.3、本项目磋商文件如有补充、更正、澄清均见浙江政府采购网。投标供应商须在磋商响应文件递交截止前自行查看是否有补充、更正、澄清文件，并按补充、更正、澄清文件要求投标，否则责任自负。</w:t>
      </w:r>
    </w:p>
    <w:p w14:paraId="1786CC1B">
      <w:pPr>
        <w:pStyle w:val="4"/>
        <w:spacing w:line="440" w:lineRule="atLeast"/>
        <w:jc w:val="left"/>
        <w:rPr>
          <w:rFonts w:ascii="宋体" w:hAnsi="宋体"/>
          <w:b/>
          <w:bCs/>
          <w:color w:val="auto"/>
          <w:sz w:val="22"/>
          <w:szCs w:val="22"/>
          <w:highlight w:val="none"/>
        </w:rPr>
      </w:pPr>
      <w:bookmarkStart w:id="45" w:name="_Toc5107"/>
      <w:r>
        <w:rPr>
          <w:rFonts w:hint="eastAsia" w:ascii="宋体" w:hAnsi="宋体"/>
          <w:b/>
          <w:bCs/>
          <w:color w:val="auto"/>
          <w:sz w:val="22"/>
          <w:szCs w:val="22"/>
          <w:highlight w:val="none"/>
        </w:rPr>
        <w:t>三、磋商响应文件</w:t>
      </w:r>
      <w:bookmarkEnd w:id="45"/>
    </w:p>
    <w:p w14:paraId="121FDAB3">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1、磋商响应文件</w:t>
      </w:r>
    </w:p>
    <w:p w14:paraId="4302EFFE">
      <w:pPr>
        <w:autoSpaceDE w:val="0"/>
        <w:autoSpaceDN w:val="0"/>
        <w:adjustRightInd w:val="0"/>
        <w:snapToGrid w:val="0"/>
        <w:spacing w:line="460" w:lineRule="atLeast"/>
        <w:ind w:firstLine="431" w:firstLineChars="196"/>
        <w:textAlignment w:val="bottom"/>
        <w:rPr>
          <w:rFonts w:ascii="宋体" w:hAnsi="宋体" w:cs="Arial"/>
          <w:color w:val="auto"/>
          <w:sz w:val="22"/>
          <w:szCs w:val="22"/>
          <w:highlight w:val="none"/>
        </w:rPr>
      </w:pPr>
      <w:r>
        <w:rPr>
          <w:rFonts w:hint="eastAsia" w:ascii="宋体" w:hAnsi="宋体"/>
          <w:color w:val="auto"/>
          <w:sz w:val="22"/>
          <w:szCs w:val="22"/>
          <w:highlight w:val="none"/>
        </w:rPr>
        <w:t>1.1、供应商应</w:t>
      </w:r>
      <w:r>
        <w:rPr>
          <w:rFonts w:hint="eastAsia" w:ascii="宋体" w:hAnsi="宋体" w:cs="Arial"/>
          <w:color w:val="auto"/>
          <w:sz w:val="22"/>
          <w:szCs w:val="22"/>
          <w:highlight w:val="none"/>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63D05FAF">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仿宋_GB2312"/>
          <w:color w:val="auto"/>
          <w:sz w:val="22"/>
          <w:szCs w:val="22"/>
          <w:highlight w:val="none"/>
          <w:lang w:val="zh-CN"/>
        </w:rPr>
        <w:t>1.2、</w:t>
      </w:r>
      <w:r>
        <w:rPr>
          <w:rFonts w:hint="eastAsia" w:ascii="宋体" w:hAnsi="宋体" w:cs="Arial"/>
          <w:color w:val="auto"/>
          <w:sz w:val="22"/>
          <w:szCs w:val="22"/>
          <w:highlight w:val="none"/>
        </w:rPr>
        <w:t>供应商必须按竞争性磋商文件的要求提供相关技术参数、资料，包括采用的计量单位，并保证</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的正确性和真实性。</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全部内容应保持一致，否则可能导致对其不利评定甚至被拒绝。技术和商务如有偏离均应填写偏离表。</w:t>
      </w:r>
    </w:p>
    <w:p w14:paraId="5D256ACB">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s="仿宋_GB2312"/>
          <w:color w:val="auto"/>
          <w:sz w:val="22"/>
          <w:szCs w:val="22"/>
          <w:highlight w:val="none"/>
          <w:lang w:val="zh-CN"/>
        </w:rPr>
        <w:t>1.3、供应商应仔细阅读竞争性磋商文件中的所有内容，按照竞争性磋商文件要求，详细编制</w:t>
      </w:r>
      <w:r>
        <w:rPr>
          <w:rFonts w:hint="eastAsia" w:ascii="宋体" w:hAnsi="宋体"/>
          <w:color w:val="auto"/>
          <w:sz w:val="22"/>
          <w:szCs w:val="22"/>
          <w:highlight w:val="none"/>
        </w:rPr>
        <w:t>磋商响应文件</w:t>
      </w:r>
      <w:r>
        <w:rPr>
          <w:rFonts w:hint="eastAsia" w:ascii="宋体" w:hAnsi="宋体" w:cs="仿宋_GB2312"/>
          <w:color w:val="auto"/>
          <w:sz w:val="22"/>
          <w:szCs w:val="22"/>
          <w:highlight w:val="none"/>
          <w:lang w:val="zh-CN"/>
        </w:rPr>
        <w:t>，所有文件资料必须是针对本次采购。不按竞争性磋商文件的要求提供的</w:t>
      </w:r>
      <w:r>
        <w:rPr>
          <w:rFonts w:hint="eastAsia" w:ascii="宋体" w:hAnsi="宋体"/>
          <w:color w:val="auto"/>
          <w:sz w:val="22"/>
          <w:szCs w:val="22"/>
          <w:highlight w:val="none"/>
        </w:rPr>
        <w:t>磋商响应文件</w:t>
      </w:r>
      <w:r>
        <w:rPr>
          <w:rFonts w:hint="eastAsia" w:ascii="宋体" w:hAnsi="宋体" w:cs="仿宋_GB2312"/>
          <w:color w:val="auto"/>
          <w:sz w:val="22"/>
          <w:szCs w:val="22"/>
          <w:highlight w:val="none"/>
          <w:lang w:val="zh-CN"/>
        </w:rPr>
        <w:t>可能导致被拒绝。</w:t>
      </w:r>
    </w:p>
    <w:p w14:paraId="4E93F7B0">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 xml:space="preserve">2、磋商响应文件的组成  </w:t>
      </w:r>
    </w:p>
    <w:p w14:paraId="7D291E30">
      <w:pPr>
        <w:autoSpaceDE w:val="0"/>
        <w:autoSpaceDN w:val="0"/>
        <w:adjustRightInd w:val="0"/>
        <w:snapToGrid w:val="0"/>
        <w:spacing w:line="460" w:lineRule="atLeast"/>
        <w:ind w:firstLine="440" w:firstLineChars="200"/>
        <w:rPr>
          <w:rFonts w:ascii="宋体" w:hAnsi="宋体" w:cs="Arial"/>
          <w:b/>
          <w:bCs/>
          <w:color w:val="auto"/>
          <w:sz w:val="22"/>
          <w:szCs w:val="22"/>
          <w:highlight w:val="none"/>
          <w:u w:val="single"/>
        </w:rPr>
      </w:pPr>
      <w:r>
        <w:rPr>
          <w:rFonts w:hint="eastAsia" w:ascii="宋体" w:hAnsi="宋体"/>
          <w:color w:val="auto"/>
          <w:sz w:val="22"/>
          <w:szCs w:val="22"/>
          <w:highlight w:val="none"/>
        </w:rPr>
        <w:t>▲</w:t>
      </w:r>
      <w:r>
        <w:rPr>
          <w:rFonts w:hint="eastAsia" w:ascii="宋体" w:hAnsi="宋体" w:cs="Arial"/>
          <w:b/>
          <w:bCs/>
          <w:color w:val="auto"/>
          <w:sz w:val="22"/>
          <w:szCs w:val="22"/>
          <w:highlight w:val="none"/>
          <w:u w:val="single"/>
        </w:rPr>
        <w:t>磋商响应文件由资格文件、报价文件、商务技术文件组成。</w:t>
      </w:r>
    </w:p>
    <w:p w14:paraId="215076B6">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2.1、资格文件组成</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944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2CD3E29">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747" w:type="dxa"/>
          </w:tcPr>
          <w:p w14:paraId="2DE08B59">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lang w:val="zh-CN"/>
              </w:rPr>
              <w:t>内容（</w:t>
            </w:r>
            <w:r>
              <w:rPr>
                <w:rFonts w:hint="eastAsia" w:ascii="宋体" w:hAnsi="宋体" w:cs="Courier New"/>
                <w:b/>
                <w:color w:val="auto"/>
                <w:sz w:val="22"/>
                <w:highlight w:val="none"/>
                <w:lang w:val="zh-CN"/>
              </w:rPr>
              <w:t>以下内容投标供应商必须提供，否则不能通过资格审查的，责任自负。</w:t>
            </w:r>
            <w:r>
              <w:rPr>
                <w:rFonts w:hint="eastAsia" w:ascii="宋体" w:hAnsi="宋体" w:cs="Courier New"/>
                <w:color w:val="auto"/>
                <w:sz w:val="22"/>
                <w:highlight w:val="none"/>
                <w:lang w:val="zh-CN"/>
              </w:rPr>
              <w:t>）</w:t>
            </w:r>
          </w:p>
        </w:tc>
      </w:tr>
      <w:tr w14:paraId="101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76E2094">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747" w:type="dxa"/>
          </w:tcPr>
          <w:p w14:paraId="14BEBFA8">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投标供应商的营业执照、税务登记证（如为多证合一仅需提供营业执照，扫描件加盖公章）</w:t>
            </w:r>
          </w:p>
        </w:tc>
      </w:tr>
      <w:tr w14:paraId="0B7E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421890">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747" w:type="dxa"/>
          </w:tcPr>
          <w:p w14:paraId="6FC443A8">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投标供应商参与政府采购活动投标资格声明函（附件一）</w:t>
            </w:r>
          </w:p>
        </w:tc>
      </w:tr>
      <w:tr w14:paraId="0441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0EF7D94">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8747" w:type="dxa"/>
          </w:tcPr>
          <w:p w14:paraId="1461E786">
            <w:pPr>
              <w:adjustRightInd w:val="0"/>
              <w:spacing w:line="440" w:lineRule="atLeast"/>
              <w:rPr>
                <w:rFonts w:ascii="宋体" w:hAnsi="宋体"/>
                <w:b/>
                <w:color w:val="auto"/>
                <w:sz w:val="22"/>
                <w:szCs w:val="22"/>
                <w:highlight w:val="none"/>
              </w:rPr>
            </w:pPr>
            <w:r>
              <w:rPr>
                <w:rFonts w:hint="eastAsia" w:ascii="宋体" w:hAnsi="宋体" w:cs="宋体"/>
                <w:color w:val="auto"/>
                <w:sz w:val="22"/>
                <w:highlight w:val="none"/>
              </w:rPr>
              <w:t>《中小企业声明函》（加盖供应商公章，格式见招标文件第四部分附件</w:t>
            </w:r>
            <w:r>
              <w:rPr>
                <w:rFonts w:ascii="宋体" w:hAnsi="宋体" w:cs="宋体"/>
                <w:color w:val="auto"/>
                <w:sz w:val="22"/>
                <w:highlight w:val="none"/>
              </w:rPr>
              <w:t>1）；在政府采购活动中，监狱企业、残疾人福利性单位视同小型、微型企业。</w:t>
            </w:r>
          </w:p>
        </w:tc>
      </w:tr>
    </w:tbl>
    <w:p w14:paraId="7EA42AAC">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2.2、报价文件组成</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B3C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DEBA5F6">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736" w:type="dxa"/>
          </w:tcPr>
          <w:p w14:paraId="59DAA6DE">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lang w:val="zh-CN"/>
              </w:rPr>
              <w:t>内容（▲</w:t>
            </w:r>
            <w:r>
              <w:rPr>
                <w:rFonts w:hint="eastAsia" w:ascii="宋体" w:hAnsi="宋体" w:cs="Courier New"/>
                <w:b/>
                <w:color w:val="auto"/>
                <w:sz w:val="22"/>
                <w:highlight w:val="none"/>
                <w:lang w:val="zh-CN"/>
              </w:rPr>
              <w:t>序号2-3项投标供应商必须提供，否则不能通过符合性审查的，责任自负</w:t>
            </w:r>
            <w:r>
              <w:rPr>
                <w:rFonts w:hint="eastAsia" w:ascii="宋体" w:hAnsi="宋体" w:cs="Courier New"/>
                <w:color w:val="auto"/>
                <w:sz w:val="22"/>
                <w:highlight w:val="none"/>
                <w:lang w:val="zh-CN"/>
              </w:rPr>
              <w:t>。）</w:t>
            </w:r>
          </w:p>
        </w:tc>
      </w:tr>
      <w:tr w14:paraId="52B6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4" w:type="dxa"/>
            <w:vAlign w:val="center"/>
          </w:tcPr>
          <w:p w14:paraId="7843F8B5">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736" w:type="dxa"/>
          </w:tcPr>
          <w:p w14:paraId="3B60FBBD">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olor w:val="auto"/>
                <w:sz w:val="22"/>
                <w:szCs w:val="22"/>
                <w:highlight w:val="none"/>
              </w:rPr>
              <w:t>报价文件封面（格式自拟）</w:t>
            </w:r>
          </w:p>
        </w:tc>
      </w:tr>
      <w:tr w14:paraId="79AE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1271E01">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736" w:type="dxa"/>
          </w:tcPr>
          <w:p w14:paraId="5149FD7E">
            <w:pPr>
              <w:autoSpaceDE w:val="0"/>
              <w:autoSpaceDN w:val="0"/>
              <w:adjustRightInd w:val="0"/>
              <w:spacing w:line="430" w:lineRule="atLeast"/>
              <w:textAlignment w:val="bottom"/>
              <w:rPr>
                <w:rFonts w:ascii="宋体" w:hAnsi="宋体" w:cs="Courier New"/>
                <w:color w:val="auto"/>
                <w:sz w:val="22"/>
                <w:highlight w:val="none"/>
              </w:rPr>
            </w:pPr>
            <w:r>
              <w:rPr>
                <w:rFonts w:hint="eastAsia" w:ascii="宋体" w:hAnsi="宋体" w:cs="Courier New"/>
                <w:color w:val="auto"/>
                <w:sz w:val="22"/>
                <w:highlight w:val="none"/>
                <w:lang w:eastAsia="zh-CN"/>
              </w:rPr>
              <w:t>报价一览表</w:t>
            </w:r>
            <w:r>
              <w:rPr>
                <w:rFonts w:hint="eastAsia" w:ascii="宋体" w:hAnsi="宋体" w:cs="Courier New"/>
                <w:color w:val="auto"/>
                <w:sz w:val="22"/>
                <w:highlight w:val="none"/>
              </w:rPr>
              <w:t>（附件二）</w:t>
            </w:r>
          </w:p>
        </w:tc>
      </w:tr>
      <w:tr w14:paraId="5293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2CD312B">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8736" w:type="dxa"/>
          </w:tcPr>
          <w:p w14:paraId="2CB7BFBE">
            <w:pPr>
              <w:autoSpaceDE w:val="0"/>
              <w:autoSpaceDN w:val="0"/>
              <w:adjustRightInd w:val="0"/>
              <w:spacing w:line="430" w:lineRule="atLeast"/>
              <w:textAlignment w:val="bottom"/>
              <w:rPr>
                <w:rFonts w:ascii="宋体" w:hAnsi="宋体"/>
                <w:color w:val="auto"/>
                <w:szCs w:val="21"/>
                <w:highlight w:val="none"/>
                <w:lang w:val="zh-CN"/>
              </w:rPr>
            </w:pPr>
            <w:r>
              <w:rPr>
                <w:rFonts w:hint="eastAsia" w:ascii="宋体" w:hAnsi="宋体"/>
                <w:color w:val="auto"/>
                <w:sz w:val="22"/>
                <w:highlight w:val="none"/>
              </w:rPr>
              <w:t>投标分项报价表</w:t>
            </w:r>
            <w:r>
              <w:rPr>
                <w:rFonts w:hint="eastAsia" w:ascii="宋体" w:hAnsi="宋体"/>
                <w:color w:val="auto"/>
                <w:szCs w:val="21"/>
                <w:highlight w:val="none"/>
              </w:rPr>
              <w:t>（附件三）</w:t>
            </w:r>
          </w:p>
        </w:tc>
      </w:tr>
      <w:tr w14:paraId="063B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07D1571">
            <w:pPr>
              <w:autoSpaceDE w:val="0"/>
              <w:autoSpaceDN w:val="0"/>
              <w:adjustRightInd w:val="0"/>
              <w:snapToGrid w:val="0"/>
              <w:spacing w:line="430" w:lineRule="atLeast"/>
              <w:jc w:val="center"/>
              <w:rPr>
                <w:rFonts w:ascii="宋体" w:hAnsi="宋体" w:cs="Courier New"/>
                <w:color w:val="auto"/>
                <w:sz w:val="22"/>
                <w:highlight w:val="none"/>
                <w:lang w:val="zh-CN"/>
              </w:rPr>
            </w:pPr>
            <w:r>
              <w:rPr>
                <w:rFonts w:ascii="宋体" w:hAnsi="宋体" w:cs="Courier New"/>
                <w:color w:val="auto"/>
                <w:sz w:val="22"/>
                <w:highlight w:val="none"/>
                <w:lang w:val="zh-CN"/>
              </w:rPr>
              <w:t>4</w:t>
            </w:r>
          </w:p>
        </w:tc>
        <w:tc>
          <w:tcPr>
            <w:tcW w:w="8736" w:type="dxa"/>
          </w:tcPr>
          <w:p w14:paraId="11C792B4">
            <w:pPr>
              <w:snapToGrid w:val="0"/>
              <w:spacing w:line="460" w:lineRule="atLeast"/>
              <w:rPr>
                <w:rFonts w:ascii="宋体" w:hAnsi="宋体"/>
                <w:color w:val="auto"/>
                <w:sz w:val="22"/>
                <w:highlight w:val="none"/>
              </w:rPr>
            </w:pPr>
            <w:r>
              <w:rPr>
                <w:rFonts w:hint="eastAsia" w:ascii="宋体" w:hAnsi="宋体"/>
                <w:color w:val="auto"/>
                <w:sz w:val="22"/>
                <w:highlight w:val="none"/>
              </w:rPr>
              <w:t>其他供应商须说明的资料（如有则提供）</w:t>
            </w:r>
          </w:p>
        </w:tc>
      </w:tr>
    </w:tbl>
    <w:p w14:paraId="654E75B9">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2.3、商务技术文件组成</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ECD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C914B1A">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747" w:type="dxa"/>
          </w:tcPr>
          <w:p w14:paraId="6719183E">
            <w:pPr>
              <w:autoSpaceDE w:val="0"/>
              <w:autoSpaceDN w:val="0"/>
              <w:adjustRightInd w:val="0"/>
              <w:snapToGrid w:val="0"/>
              <w:spacing w:line="430" w:lineRule="atLeast"/>
              <w:rPr>
                <w:rFonts w:ascii="宋体" w:hAnsi="宋体" w:cs="Courier New"/>
                <w:color w:val="auto"/>
                <w:sz w:val="22"/>
                <w:szCs w:val="22"/>
                <w:highlight w:val="none"/>
                <w:lang w:val="zh-CN"/>
              </w:rPr>
            </w:pPr>
            <w:r>
              <w:rPr>
                <w:rFonts w:hint="eastAsia" w:ascii="宋体" w:hAnsi="宋体" w:cs="Courier New"/>
                <w:color w:val="auto"/>
                <w:sz w:val="22"/>
                <w:highlight w:val="none"/>
                <w:lang w:val="zh-CN"/>
              </w:rPr>
              <w:t>投标供应商应提供相关内容，否则不能通过符合性审查的供应商，责任自负。</w:t>
            </w:r>
          </w:p>
        </w:tc>
      </w:tr>
      <w:tr w14:paraId="106F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A51BE27">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747" w:type="dxa"/>
          </w:tcPr>
          <w:p w14:paraId="3E18B20C">
            <w:pPr>
              <w:autoSpaceDE w:val="0"/>
              <w:autoSpaceDN w:val="0"/>
              <w:adjustRightInd w:val="0"/>
              <w:snapToGrid w:val="0"/>
              <w:spacing w:line="430" w:lineRule="atLeast"/>
              <w:rPr>
                <w:rFonts w:ascii="宋体" w:hAnsi="宋体" w:cs="Courier New"/>
                <w:color w:val="auto"/>
                <w:sz w:val="22"/>
                <w:szCs w:val="22"/>
                <w:highlight w:val="none"/>
                <w:lang w:val="zh-CN"/>
              </w:rPr>
            </w:pPr>
            <w:r>
              <w:rPr>
                <w:rFonts w:hint="eastAsia" w:ascii="宋体" w:hAnsi="宋体"/>
                <w:color w:val="auto"/>
                <w:sz w:val="22"/>
                <w:szCs w:val="22"/>
                <w:highlight w:val="none"/>
              </w:rPr>
              <w:t>商务技术文件封面（格式自拟）</w:t>
            </w:r>
          </w:p>
        </w:tc>
      </w:tr>
      <w:tr w14:paraId="5A61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8CEF4DF">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747" w:type="dxa"/>
          </w:tcPr>
          <w:p w14:paraId="292D8E7E">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rPr>
              <w:t>投标函（附件四）</w:t>
            </w:r>
          </w:p>
        </w:tc>
      </w:tr>
      <w:tr w14:paraId="594F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9769A0F">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8747" w:type="dxa"/>
          </w:tcPr>
          <w:p w14:paraId="6D6B3B87">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投标供应商法定代表人授权书（附件五）</w:t>
            </w:r>
          </w:p>
        </w:tc>
      </w:tr>
      <w:tr w14:paraId="5C8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0684796">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4</w:t>
            </w:r>
          </w:p>
        </w:tc>
        <w:tc>
          <w:tcPr>
            <w:tcW w:w="8747" w:type="dxa"/>
          </w:tcPr>
          <w:p w14:paraId="11878FF4">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法定代表人诚信投标承诺书（附件六）</w:t>
            </w:r>
          </w:p>
        </w:tc>
      </w:tr>
      <w:tr w14:paraId="2233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E08BB7B">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5</w:t>
            </w:r>
          </w:p>
        </w:tc>
        <w:tc>
          <w:tcPr>
            <w:tcW w:w="8747" w:type="dxa"/>
          </w:tcPr>
          <w:p w14:paraId="75130C4C">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投标供应商质量体系认证证书（如有则提供，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2A9D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08DFF2C">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6</w:t>
            </w:r>
          </w:p>
        </w:tc>
        <w:tc>
          <w:tcPr>
            <w:tcW w:w="8747" w:type="dxa"/>
          </w:tcPr>
          <w:p w14:paraId="00EA1A95">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投标供应商环境体系认证证书（如有则提供，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6C8D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94342E2">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7</w:t>
            </w:r>
          </w:p>
        </w:tc>
        <w:tc>
          <w:tcPr>
            <w:tcW w:w="8747" w:type="dxa"/>
          </w:tcPr>
          <w:p w14:paraId="6FA2D4E0">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投标供应商职业健康体系认证证书（如有则提供，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2645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558329A">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8</w:t>
            </w:r>
          </w:p>
        </w:tc>
        <w:tc>
          <w:tcPr>
            <w:tcW w:w="8747" w:type="dxa"/>
          </w:tcPr>
          <w:p w14:paraId="58C322C9">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投标供应商资信等级证明等（如有则提供，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588D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8B9126">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9</w:t>
            </w:r>
          </w:p>
        </w:tc>
        <w:tc>
          <w:tcPr>
            <w:tcW w:w="8747" w:type="dxa"/>
          </w:tcPr>
          <w:p w14:paraId="5E1B695A">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投标供应商曾获得的政府部门或行业协会颁发的荣誉证书（如有则提供，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7053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5B45911">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10</w:t>
            </w:r>
          </w:p>
        </w:tc>
        <w:tc>
          <w:tcPr>
            <w:tcW w:w="8747" w:type="dxa"/>
          </w:tcPr>
          <w:p w14:paraId="02D087DF">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投标供应商具有的其它相关资质证书（如有则提供，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3E7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EEC2E66">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11</w:t>
            </w:r>
          </w:p>
        </w:tc>
        <w:tc>
          <w:tcPr>
            <w:tcW w:w="8747" w:type="dxa"/>
          </w:tcPr>
          <w:p w14:paraId="4B370B76">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投标供应商业绩（附件七，如有则提供）</w:t>
            </w:r>
          </w:p>
        </w:tc>
      </w:tr>
      <w:tr w14:paraId="2B6F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C771320">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12</w:t>
            </w:r>
          </w:p>
        </w:tc>
        <w:tc>
          <w:tcPr>
            <w:tcW w:w="8747" w:type="dxa"/>
          </w:tcPr>
          <w:p w14:paraId="226AD9D6">
            <w:pPr>
              <w:autoSpaceDE w:val="0"/>
              <w:autoSpaceDN w:val="0"/>
              <w:spacing w:line="400" w:lineRule="exact"/>
              <w:jc w:val="left"/>
              <w:rPr>
                <w:rFonts w:ascii="宋体" w:hAnsi="宋体"/>
                <w:color w:val="auto"/>
                <w:sz w:val="22"/>
                <w:highlight w:val="none"/>
              </w:rPr>
            </w:pPr>
            <w:r>
              <w:rPr>
                <w:rFonts w:hint="eastAsia" w:ascii="宋体" w:hAnsi="宋体"/>
                <w:color w:val="auto"/>
                <w:sz w:val="22"/>
                <w:highlight w:val="none"/>
              </w:rPr>
              <w:t>投入人员安排（附件八）</w:t>
            </w:r>
          </w:p>
        </w:tc>
      </w:tr>
      <w:tr w14:paraId="7D0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5497282">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w:t>
            </w:r>
            <w:r>
              <w:rPr>
                <w:rFonts w:ascii="宋体" w:hAnsi="宋体" w:cs="Courier New"/>
                <w:color w:val="auto"/>
                <w:sz w:val="22"/>
                <w:highlight w:val="none"/>
              </w:rPr>
              <w:t>3</w:t>
            </w:r>
          </w:p>
        </w:tc>
        <w:tc>
          <w:tcPr>
            <w:tcW w:w="8747" w:type="dxa"/>
          </w:tcPr>
          <w:p w14:paraId="06483AA8">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偏离表（附件九）</w:t>
            </w:r>
          </w:p>
        </w:tc>
      </w:tr>
      <w:tr w14:paraId="4D8C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B79C8EC">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w:t>
            </w:r>
            <w:r>
              <w:rPr>
                <w:rFonts w:ascii="宋体" w:hAnsi="宋体" w:cs="Courier New"/>
                <w:color w:val="auto"/>
                <w:sz w:val="22"/>
                <w:highlight w:val="none"/>
              </w:rPr>
              <w:t>4</w:t>
            </w:r>
          </w:p>
        </w:tc>
        <w:tc>
          <w:tcPr>
            <w:tcW w:w="8747" w:type="dxa"/>
          </w:tcPr>
          <w:p w14:paraId="4D778B04">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项目服务、实施方案（具体内容见评标办法，自行编制格式自拟）</w:t>
            </w:r>
          </w:p>
        </w:tc>
      </w:tr>
      <w:tr w14:paraId="403D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C865844">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w:t>
            </w:r>
            <w:r>
              <w:rPr>
                <w:rFonts w:ascii="宋体" w:hAnsi="宋体" w:cs="Courier New"/>
                <w:color w:val="auto"/>
                <w:sz w:val="22"/>
                <w:highlight w:val="none"/>
              </w:rPr>
              <w:t>5</w:t>
            </w:r>
          </w:p>
        </w:tc>
        <w:tc>
          <w:tcPr>
            <w:tcW w:w="8747" w:type="dxa"/>
          </w:tcPr>
          <w:p w14:paraId="0F2E8368">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根据磋商文件中的采购内容与技术要求、评标细则，需要提供的其它文件和资料。</w:t>
            </w:r>
          </w:p>
        </w:tc>
      </w:tr>
    </w:tbl>
    <w:p w14:paraId="55593D93">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3、采购内容填写说明</w:t>
      </w:r>
    </w:p>
    <w:p w14:paraId="08B5F768">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3.1、</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格式</w:t>
      </w:r>
    </w:p>
    <w:p w14:paraId="68A21E6B">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供应商应按照本文件第三部分第三条第2款所列出的内容及格式</w:t>
      </w:r>
      <w:r>
        <w:rPr>
          <w:rFonts w:hint="eastAsia" w:ascii="宋体" w:hAnsi="宋体" w:cs="Arial"/>
          <w:bCs/>
          <w:color w:val="auto"/>
          <w:sz w:val="22"/>
          <w:szCs w:val="22"/>
          <w:highlight w:val="none"/>
          <w:u w:val="thick"/>
        </w:rPr>
        <w:t>逐一按顺序</w:t>
      </w:r>
      <w:r>
        <w:rPr>
          <w:rFonts w:hint="eastAsia" w:ascii="宋体" w:hAnsi="宋体" w:cs="Arial"/>
          <w:color w:val="auto"/>
          <w:sz w:val="22"/>
          <w:szCs w:val="22"/>
          <w:highlight w:val="none"/>
        </w:rPr>
        <w:t>组成</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w:t>
      </w:r>
    </w:p>
    <w:p w14:paraId="3F83B84D">
      <w:pPr>
        <w:autoSpaceDE w:val="0"/>
        <w:autoSpaceDN w:val="0"/>
        <w:adjustRightInd w:val="0"/>
        <w:snapToGrid w:val="0"/>
        <w:spacing w:line="460" w:lineRule="atLeast"/>
        <w:ind w:firstLine="450"/>
        <w:textAlignment w:val="bottom"/>
        <w:rPr>
          <w:rFonts w:ascii="宋体" w:hAnsi="宋体" w:cs="Arial"/>
          <w:color w:val="auto"/>
          <w:sz w:val="22"/>
          <w:szCs w:val="22"/>
          <w:highlight w:val="none"/>
        </w:rPr>
      </w:pPr>
      <w:bookmarkStart w:id="46" w:name="_Toc132122412"/>
      <w:bookmarkStart w:id="47" w:name="_Toc132122115"/>
      <w:r>
        <w:rPr>
          <w:rFonts w:hint="eastAsia" w:ascii="宋体" w:hAnsi="宋体" w:cs="Arial"/>
          <w:color w:val="auto"/>
          <w:sz w:val="22"/>
          <w:szCs w:val="22"/>
          <w:highlight w:val="none"/>
        </w:rPr>
        <w:t>4、报价</w:t>
      </w:r>
      <w:bookmarkEnd w:id="46"/>
      <w:bookmarkEnd w:id="47"/>
    </w:p>
    <w:p w14:paraId="3CE2B41B">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4.1、供应商应按磋商文件中《</w:t>
      </w:r>
      <w:r>
        <w:rPr>
          <w:rFonts w:hint="eastAsia" w:ascii="宋体" w:hAnsi="宋体" w:cs="Arial"/>
          <w:color w:val="auto"/>
          <w:sz w:val="22"/>
          <w:szCs w:val="22"/>
          <w:highlight w:val="none"/>
          <w:lang w:eastAsia="zh-CN"/>
        </w:rPr>
        <w:t>报价一览表</w:t>
      </w:r>
      <w:r>
        <w:rPr>
          <w:rFonts w:hint="eastAsia" w:ascii="宋体" w:hAnsi="宋体" w:cs="Arial"/>
          <w:color w:val="auto"/>
          <w:sz w:val="22"/>
          <w:szCs w:val="22"/>
          <w:highlight w:val="none"/>
        </w:rPr>
        <w:t>》填写投标总价。</w:t>
      </w:r>
    </w:p>
    <w:p w14:paraId="5F5090E8">
      <w:pPr>
        <w:autoSpaceDE w:val="0"/>
        <w:autoSpaceDN w:val="0"/>
        <w:adjustRightInd w:val="0"/>
        <w:snapToGrid w:val="0"/>
        <w:spacing w:line="460" w:lineRule="atLeast"/>
        <w:ind w:firstLine="440" w:firstLineChars="200"/>
        <w:textAlignment w:val="bottom"/>
        <w:rPr>
          <w:rFonts w:ascii="宋体" w:hAnsi="宋体"/>
          <w:b/>
          <w:color w:val="auto"/>
          <w:sz w:val="22"/>
          <w:szCs w:val="22"/>
          <w:highlight w:val="none"/>
        </w:rPr>
      </w:pPr>
      <w:r>
        <w:rPr>
          <w:rFonts w:hint="eastAsia" w:ascii="宋体" w:hAnsi="宋体" w:cs="Arial"/>
          <w:color w:val="auto"/>
          <w:sz w:val="22"/>
          <w:szCs w:val="22"/>
          <w:highlight w:val="none"/>
        </w:rPr>
        <w:t>4.2、</w:t>
      </w:r>
      <w:r>
        <w:rPr>
          <w:rFonts w:hint="eastAsia" w:ascii="宋体" w:hAnsi="宋体"/>
          <w:b/>
          <w:color w:val="auto"/>
          <w:sz w:val="22"/>
          <w:szCs w:val="22"/>
          <w:highlight w:val="none"/>
        </w:rPr>
        <w:t>投标报价应为完成本项目全部工作所发生的所有费用、招标代理费（磋商文件另有说明的除外）、验收费，评审费等，并承担一切风险责任。</w:t>
      </w:r>
    </w:p>
    <w:p w14:paraId="7D10D8B1">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4.3、</w:t>
      </w:r>
      <w:r>
        <w:rPr>
          <w:rFonts w:hint="eastAsia" w:ascii="宋体" w:hAnsi="宋体" w:cs="Arial"/>
          <w:b/>
          <w:color w:val="auto"/>
          <w:sz w:val="22"/>
          <w:szCs w:val="22"/>
          <w:highlight w:val="none"/>
        </w:rPr>
        <w:t>供应商投标报价中应充分考虑所有可能发生的费用，否则采购人将视其总价中已包括所有费用。</w:t>
      </w:r>
    </w:p>
    <w:p w14:paraId="6C096F96">
      <w:pPr>
        <w:autoSpaceDE w:val="0"/>
        <w:autoSpaceDN w:val="0"/>
        <w:adjustRightInd w:val="0"/>
        <w:snapToGrid w:val="0"/>
        <w:spacing w:line="460" w:lineRule="atLeast"/>
        <w:ind w:firstLine="442" w:firstLineChars="200"/>
        <w:textAlignment w:val="bottom"/>
        <w:rPr>
          <w:rFonts w:ascii="宋体" w:hAnsi="宋体" w:cs="Arial"/>
          <w:b/>
          <w:color w:val="auto"/>
          <w:sz w:val="22"/>
          <w:szCs w:val="22"/>
          <w:highlight w:val="none"/>
        </w:rPr>
      </w:pPr>
      <w:r>
        <w:rPr>
          <w:rFonts w:hint="eastAsia" w:ascii="宋体" w:hAnsi="宋体" w:cs="Arial"/>
          <w:b/>
          <w:color w:val="auto"/>
          <w:sz w:val="22"/>
          <w:szCs w:val="22"/>
          <w:highlight w:val="none"/>
        </w:rPr>
        <w:t>供应商对在合同执行中，除上述费用及磋商文件规定的由成交供应商负责的工作范围以外需要采购人协调或提供便利的工作应当在磋商响应文件中说明。</w:t>
      </w:r>
    </w:p>
    <w:p w14:paraId="15170AF9">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填写报价表格时，各项费用应如实填写。</w:t>
      </w:r>
    </w:p>
    <w:p w14:paraId="687B5DB4">
      <w:pPr>
        <w:autoSpaceDE w:val="0"/>
        <w:autoSpaceDN w:val="0"/>
        <w:adjustRightInd w:val="0"/>
        <w:snapToGrid w:val="0"/>
        <w:spacing w:line="460" w:lineRule="atLeast"/>
        <w:ind w:firstLine="440" w:firstLineChars="200"/>
        <w:rPr>
          <w:rFonts w:ascii="宋体" w:hAnsi="宋体" w:cs="仿宋_GB2312"/>
          <w:color w:val="auto"/>
          <w:sz w:val="22"/>
          <w:szCs w:val="22"/>
          <w:highlight w:val="none"/>
          <w:lang w:val="zh-CN"/>
        </w:rPr>
      </w:pPr>
      <w:r>
        <w:rPr>
          <w:rFonts w:hint="eastAsia" w:ascii="宋体" w:hAnsi="宋体" w:cs="Arial"/>
          <w:color w:val="auto"/>
          <w:sz w:val="22"/>
          <w:szCs w:val="22"/>
          <w:highlight w:val="none"/>
        </w:rPr>
        <w:t>5、采购人要求分类报价是为了方便评审，但在任何情况下不限制采购人以其认为最合适的条款签订合同的权利。</w:t>
      </w:r>
    </w:p>
    <w:p w14:paraId="694D0879">
      <w:pPr>
        <w:autoSpaceDE w:val="0"/>
        <w:autoSpaceDN w:val="0"/>
        <w:adjustRightInd w:val="0"/>
        <w:snapToGrid w:val="0"/>
        <w:spacing w:line="460" w:lineRule="atLeast"/>
        <w:ind w:firstLine="450"/>
        <w:textAlignment w:val="bottom"/>
        <w:rPr>
          <w:rFonts w:ascii="宋体" w:hAnsi="宋体" w:cs="Arial"/>
          <w:color w:val="auto"/>
          <w:sz w:val="22"/>
          <w:szCs w:val="22"/>
          <w:highlight w:val="none"/>
        </w:rPr>
      </w:pPr>
      <w:bookmarkStart w:id="48" w:name="_Toc132122116"/>
      <w:bookmarkStart w:id="49" w:name="_Toc132122413"/>
      <w:r>
        <w:rPr>
          <w:rFonts w:hint="eastAsia" w:ascii="宋体" w:hAnsi="宋体" w:cs="Arial"/>
          <w:color w:val="auto"/>
          <w:sz w:val="22"/>
          <w:szCs w:val="22"/>
          <w:highlight w:val="none"/>
        </w:rPr>
        <w:t>6、保证金</w:t>
      </w:r>
      <w:bookmarkEnd w:id="48"/>
      <w:bookmarkEnd w:id="49"/>
    </w:p>
    <w:p w14:paraId="4D20999F">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无</w:t>
      </w:r>
    </w:p>
    <w:p w14:paraId="4AB40499">
      <w:pPr>
        <w:pStyle w:val="26"/>
        <w:adjustRightInd w:val="0"/>
        <w:snapToGrid w:val="0"/>
        <w:spacing w:line="460" w:lineRule="atLeast"/>
        <w:ind w:firstLine="440" w:firstLineChars="200"/>
        <w:rPr>
          <w:rFonts w:hAnsi="宋体" w:cs="Arial"/>
          <w:color w:val="auto"/>
          <w:sz w:val="22"/>
          <w:szCs w:val="22"/>
          <w:highlight w:val="none"/>
        </w:rPr>
      </w:pPr>
      <w:bookmarkStart w:id="50" w:name="_Toc132122117"/>
      <w:bookmarkStart w:id="51" w:name="_Toc132122414"/>
      <w:r>
        <w:rPr>
          <w:rFonts w:hint="eastAsia" w:hAnsi="宋体" w:cs="Arial"/>
          <w:color w:val="auto"/>
          <w:sz w:val="22"/>
          <w:szCs w:val="22"/>
          <w:highlight w:val="none"/>
        </w:rPr>
        <w:t>7、</w:t>
      </w:r>
      <w:r>
        <w:rPr>
          <w:rFonts w:hint="eastAsia" w:hAnsi="宋体"/>
          <w:color w:val="auto"/>
          <w:sz w:val="22"/>
          <w:szCs w:val="22"/>
          <w:highlight w:val="none"/>
        </w:rPr>
        <w:t>磋商响应文件</w:t>
      </w:r>
      <w:r>
        <w:rPr>
          <w:rFonts w:hint="eastAsia" w:hAnsi="宋体" w:cs="Arial"/>
          <w:color w:val="auto"/>
          <w:sz w:val="22"/>
          <w:szCs w:val="22"/>
          <w:highlight w:val="none"/>
        </w:rPr>
        <w:t>的有效期</w:t>
      </w:r>
      <w:bookmarkEnd w:id="50"/>
      <w:bookmarkEnd w:id="51"/>
    </w:p>
    <w:p w14:paraId="3642F9A6">
      <w:pPr>
        <w:pStyle w:val="26"/>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7.1、自响应文件递交截止时间起90天内，</w:t>
      </w:r>
      <w:r>
        <w:rPr>
          <w:rFonts w:hint="eastAsia" w:hAnsi="宋体"/>
          <w:color w:val="auto"/>
          <w:sz w:val="22"/>
          <w:szCs w:val="22"/>
          <w:highlight w:val="none"/>
        </w:rPr>
        <w:t>磋商响应文件</w:t>
      </w:r>
      <w:r>
        <w:rPr>
          <w:rFonts w:hint="eastAsia" w:hAnsi="宋体" w:cs="Arial"/>
          <w:color w:val="auto"/>
          <w:sz w:val="22"/>
          <w:szCs w:val="22"/>
          <w:highlight w:val="none"/>
        </w:rPr>
        <w:t>应保持有效。有效期短于这个规定期限的</w:t>
      </w:r>
      <w:r>
        <w:rPr>
          <w:rFonts w:hint="eastAsia" w:hAnsi="宋体"/>
          <w:color w:val="auto"/>
          <w:sz w:val="22"/>
          <w:szCs w:val="22"/>
          <w:highlight w:val="none"/>
        </w:rPr>
        <w:t>磋商响应文件</w:t>
      </w:r>
      <w:r>
        <w:rPr>
          <w:rFonts w:hint="eastAsia" w:hAnsi="宋体" w:cs="Arial"/>
          <w:color w:val="auto"/>
          <w:sz w:val="22"/>
          <w:szCs w:val="22"/>
          <w:highlight w:val="none"/>
        </w:rPr>
        <w:t>将被拒绝。</w:t>
      </w:r>
    </w:p>
    <w:p w14:paraId="46566368">
      <w:pPr>
        <w:pStyle w:val="26"/>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7.2、在特殊情况下，采购人可与供应商协商延长</w:t>
      </w:r>
      <w:r>
        <w:rPr>
          <w:rFonts w:hint="eastAsia" w:hAnsi="宋体"/>
          <w:color w:val="auto"/>
          <w:sz w:val="22"/>
          <w:szCs w:val="22"/>
          <w:highlight w:val="none"/>
        </w:rPr>
        <w:t>磋商响应文件</w:t>
      </w:r>
      <w:r>
        <w:rPr>
          <w:rFonts w:hint="eastAsia" w:hAnsi="宋体" w:cs="Arial"/>
          <w:color w:val="auto"/>
          <w:sz w:val="22"/>
          <w:szCs w:val="22"/>
          <w:highlight w:val="none"/>
        </w:rPr>
        <w:t>的有效期，这种要求和答复均应以书面形式进行。</w:t>
      </w:r>
    </w:p>
    <w:p w14:paraId="3984FE33">
      <w:pPr>
        <w:pStyle w:val="26"/>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7.3、供应商可拒绝接受延期要求，同意延长有效期的供应商不能修改</w:t>
      </w:r>
      <w:r>
        <w:rPr>
          <w:rFonts w:hint="eastAsia" w:hAnsi="宋体"/>
          <w:color w:val="auto"/>
          <w:sz w:val="22"/>
          <w:szCs w:val="22"/>
          <w:highlight w:val="none"/>
        </w:rPr>
        <w:t>磋商响应文件</w:t>
      </w:r>
      <w:r>
        <w:rPr>
          <w:rFonts w:hint="eastAsia" w:hAnsi="宋体" w:cs="Arial"/>
          <w:color w:val="auto"/>
          <w:sz w:val="22"/>
          <w:szCs w:val="22"/>
          <w:highlight w:val="none"/>
        </w:rPr>
        <w:t>。</w:t>
      </w:r>
    </w:p>
    <w:p w14:paraId="3F4CAF16">
      <w:pPr>
        <w:pStyle w:val="26"/>
        <w:adjustRightInd w:val="0"/>
        <w:snapToGrid w:val="0"/>
        <w:spacing w:line="460" w:lineRule="atLeast"/>
        <w:ind w:firstLine="440" w:firstLineChars="200"/>
        <w:rPr>
          <w:rFonts w:hAnsi="宋体" w:cs="Arial"/>
          <w:color w:val="auto"/>
          <w:sz w:val="22"/>
          <w:szCs w:val="22"/>
          <w:highlight w:val="none"/>
        </w:rPr>
      </w:pPr>
      <w:bookmarkStart w:id="52" w:name="_Toc132122415"/>
      <w:bookmarkStart w:id="53" w:name="_Toc132122118"/>
      <w:r>
        <w:rPr>
          <w:rFonts w:hAnsi="宋体" w:cs="Arial"/>
          <w:color w:val="auto"/>
          <w:sz w:val="22"/>
          <w:szCs w:val="22"/>
          <w:highlight w:val="none"/>
        </w:rPr>
        <w:t>8、磋商响应文件的</w:t>
      </w:r>
      <w:bookmarkEnd w:id="52"/>
      <w:bookmarkEnd w:id="53"/>
      <w:r>
        <w:rPr>
          <w:rFonts w:hAnsi="宋体" w:cs="Arial"/>
          <w:color w:val="auto"/>
          <w:sz w:val="22"/>
          <w:szCs w:val="22"/>
          <w:highlight w:val="none"/>
        </w:rPr>
        <w:t>编制</w:t>
      </w:r>
    </w:p>
    <w:p w14:paraId="3D43ACE2">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8.1、本项目通过“政府采购云平台（www.zcygov.cn）”实行在线投标响应（电子投标）。供应商应通过“政采云电子交易客户端”，并按照本</w:t>
      </w:r>
      <w:r>
        <w:rPr>
          <w:rFonts w:hint="eastAsia" w:ascii="宋体" w:hAnsi="宋体"/>
          <w:b/>
          <w:color w:val="auto"/>
          <w:sz w:val="22"/>
          <w:szCs w:val="22"/>
          <w:highlight w:val="none"/>
        </w:rPr>
        <w:t>磋商</w:t>
      </w:r>
      <w:r>
        <w:rPr>
          <w:rFonts w:ascii="宋体" w:hAnsi="宋体"/>
          <w:b/>
          <w:color w:val="auto"/>
          <w:sz w:val="22"/>
          <w:szCs w:val="22"/>
          <w:highlight w:val="none"/>
        </w:rPr>
        <w:t>文件和“政府采购云平台”的要求编制并加密磋商响应文件。</w:t>
      </w:r>
    </w:p>
    <w:p w14:paraId="08CD4637">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8.2、投标供应商应当按照本章节“磋商响应文件组成”规定的内容及顺序在“政采云电子交易客户端”编制磋商响应文件。</w:t>
      </w:r>
    </w:p>
    <w:p w14:paraId="1A0B69D2">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8.3、本文件《第六部分 磋商响应文件格式》中有提供格式的，投标供应商参照格式进行编制（格式中要求提供相关证明材料的还需后附相关证明材料），并在指定位置根据要求进行签章，否则视为未提供；本文件《第六部分 磋商响应文件格式》未提供格式的，请各投标单位自行拟定格式。</w:t>
      </w:r>
    </w:p>
    <w:p w14:paraId="7885872F">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8.4、《磋商响应文件》内容不完整、编排混乱导致《磋商响应文件》被误读、漏读或者查找不到相关内容的，相关责任由投标供应商自负。</w:t>
      </w:r>
    </w:p>
    <w:p w14:paraId="74E7C8D7">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8.5、《磋商响应文件》因字迹潦草或表达不清所引起的后果由投标供应商负责。</w:t>
      </w:r>
    </w:p>
    <w:p w14:paraId="60963F8F">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8.6、投标供应商没有按照本章节“磋商响应文件组成”要求提供全部资料，或者没有仔细阅读磋商文件，或者没有对磋商文件在各方面的要求作出实质性响应，由此造成的一切后果由投标供应商自行承担。</w:t>
      </w:r>
    </w:p>
    <w:p w14:paraId="31052ED8">
      <w:pPr>
        <w:pStyle w:val="26"/>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9、磋商响应文件的签章</w:t>
      </w:r>
    </w:p>
    <w:p w14:paraId="50A086D9">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 xml:space="preserve">9.1、《磋商响应文件》的签章：见《第一部分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0CF27415">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9.2、《磋商响应文件》</w:t>
      </w:r>
      <w:r>
        <w:rPr>
          <w:rFonts w:hint="eastAsia" w:ascii="宋体" w:hAnsi="宋体"/>
          <w:b/>
          <w:color w:val="auto"/>
          <w:sz w:val="22"/>
          <w:szCs w:val="22"/>
          <w:highlight w:val="none"/>
        </w:rPr>
        <w:t>：</w:t>
      </w:r>
      <w:r>
        <w:rPr>
          <w:rFonts w:ascii="宋体" w:hAnsi="宋体"/>
          <w:b/>
          <w:color w:val="auto"/>
          <w:sz w:val="22"/>
          <w:szCs w:val="22"/>
          <w:highlight w:val="none"/>
        </w:rPr>
        <w:t>根据</w:t>
      </w:r>
      <w:r>
        <w:rPr>
          <w:rFonts w:hint="eastAsia" w:ascii="宋体" w:hAnsi="宋体"/>
          <w:b/>
          <w:color w:val="auto"/>
          <w:sz w:val="22"/>
          <w:szCs w:val="22"/>
          <w:highlight w:val="none"/>
        </w:rPr>
        <w:t>磋商</w:t>
      </w:r>
      <w:r>
        <w:rPr>
          <w:rFonts w:ascii="宋体" w:hAnsi="宋体"/>
          <w:b/>
          <w:color w:val="auto"/>
          <w:sz w:val="22"/>
          <w:szCs w:val="22"/>
          <w:highlight w:val="none"/>
        </w:rPr>
        <w:t>文件要求在磋商响应文件相应位置由投标供应商法定代表人或授权代表签字（或盖章）</w:t>
      </w:r>
      <w:r>
        <w:rPr>
          <w:rFonts w:hint="eastAsia" w:ascii="宋体" w:hAnsi="宋体"/>
          <w:b/>
          <w:color w:val="auto"/>
          <w:sz w:val="22"/>
          <w:szCs w:val="22"/>
          <w:highlight w:val="none"/>
        </w:rPr>
        <w:t>，</w:t>
      </w:r>
      <w:r>
        <w:rPr>
          <w:rFonts w:ascii="宋体" w:hAnsi="宋体"/>
          <w:b/>
          <w:color w:val="auto"/>
          <w:sz w:val="22"/>
          <w:szCs w:val="22"/>
          <w:highlight w:val="none"/>
        </w:rPr>
        <w:t>需要加盖投标供应商公章的</w:t>
      </w:r>
      <w:r>
        <w:rPr>
          <w:rFonts w:hint="eastAsia" w:ascii="宋体" w:hAnsi="宋体"/>
          <w:b/>
          <w:color w:val="auto"/>
          <w:sz w:val="22"/>
          <w:szCs w:val="22"/>
          <w:highlight w:val="none"/>
        </w:rPr>
        <w:t>采用CA电子签章</w:t>
      </w:r>
      <w:r>
        <w:rPr>
          <w:rFonts w:ascii="宋体" w:hAnsi="宋体"/>
          <w:b/>
          <w:color w:val="auto"/>
          <w:sz w:val="22"/>
          <w:szCs w:val="22"/>
          <w:highlight w:val="none"/>
        </w:rPr>
        <w:t>。</w:t>
      </w:r>
    </w:p>
    <w:p w14:paraId="3AF16BA9">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9.3、</w:t>
      </w:r>
      <w:r>
        <w:rPr>
          <w:rFonts w:hint="eastAsia" w:ascii="宋体" w:hAnsi="宋体"/>
          <w:b/>
          <w:color w:val="auto"/>
          <w:sz w:val="22"/>
          <w:szCs w:val="22"/>
          <w:highlight w:val="none"/>
        </w:rPr>
        <w:t>CA</w:t>
      </w:r>
      <w:r>
        <w:rPr>
          <w:rFonts w:ascii="宋体" w:hAnsi="宋体"/>
          <w:b/>
          <w:color w:val="auto"/>
          <w:sz w:val="22"/>
          <w:szCs w:val="22"/>
          <w:highlight w:val="none"/>
        </w:rPr>
        <w:t>电子签章操作指南详见</w:t>
      </w:r>
      <w:r>
        <w:rPr>
          <w:rFonts w:hint="eastAsia" w:ascii="宋体" w:hAnsi="宋体"/>
          <w:b/>
          <w:color w:val="auto"/>
          <w:sz w:val="22"/>
          <w:szCs w:val="22"/>
          <w:highlight w:val="none"/>
        </w:rPr>
        <w:t>政府采购云平台</w:t>
      </w:r>
    </w:p>
    <w:p w14:paraId="647F9ECB">
      <w:pPr>
        <w:pStyle w:val="26"/>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10、磋商响应文件的形式</w:t>
      </w:r>
    </w:p>
    <w:p w14:paraId="5379A4B1">
      <w:pPr>
        <w:pStyle w:val="26"/>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 xml:space="preserve">10.1、磋商响应文件的形式：见《第一部分    </w:t>
      </w:r>
      <w:r>
        <w:rPr>
          <w:rFonts w:hint="eastAsia" w:hAnsi="宋体"/>
          <w:b/>
          <w:color w:val="auto"/>
          <w:sz w:val="22"/>
          <w:szCs w:val="22"/>
          <w:highlight w:val="none"/>
        </w:rPr>
        <w:t>磋商邀请函（供应商须知前附表）</w:t>
      </w:r>
      <w:r>
        <w:rPr>
          <w:rFonts w:hAnsi="宋体"/>
          <w:b/>
          <w:color w:val="auto"/>
          <w:sz w:val="22"/>
          <w:szCs w:val="22"/>
          <w:highlight w:val="none"/>
        </w:rPr>
        <w:t>》；</w:t>
      </w:r>
    </w:p>
    <w:p w14:paraId="61586B73">
      <w:pPr>
        <w:pStyle w:val="26"/>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10.2、“电子加密磋商响应文件”：“电子加密磋商响应文件”是指通过“政采云电子交易客户端”完成磋商响应文件编制后生成并加密的数据电文形式的磋商响应文件。</w:t>
      </w:r>
    </w:p>
    <w:p w14:paraId="7B08E818">
      <w:pPr>
        <w:pStyle w:val="26"/>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w:t>
      </w:r>
      <w:r>
        <w:rPr>
          <w:rFonts w:hint="eastAsia" w:hAnsi="宋体"/>
          <w:b/>
          <w:color w:val="auto"/>
          <w:sz w:val="22"/>
          <w:szCs w:val="22"/>
          <w:highlight w:val="none"/>
        </w:rPr>
        <w:t>3</w:t>
      </w:r>
      <w:r>
        <w:rPr>
          <w:rFonts w:hAnsi="宋体"/>
          <w:b/>
          <w:color w:val="auto"/>
          <w:sz w:val="22"/>
          <w:szCs w:val="22"/>
          <w:highlight w:val="none"/>
        </w:rPr>
        <w:t>磋商响应文件的份数</w:t>
      </w:r>
    </w:p>
    <w:p w14:paraId="0F8CE842">
      <w:pPr>
        <w:pStyle w:val="26"/>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 xml:space="preserve">磋商响应文件的份数：见《第一部分    </w:t>
      </w:r>
      <w:r>
        <w:rPr>
          <w:rFonts w:hint="eastAsia" w:hAnsi="宋体"/>
          <w:b/>
          <w:color w:val="auto"/>
          <w:sz w:val="22"/>
          <w:szCs w:val="22"/>
          <w:highlight w:val="none"/>
        </w:rPr>
        <w:t>磋商邀请函（供应商须知前附表）</w:t>
      </w:r>
      <w:r>
        <w:rPr>
          <w:rFonts w:hAnsi="宋体"/>
          <w:b/>
          <w:color w:val="auto"/>
          <w:sz w:val="22"/>
          <w:szCs w:val="22"/>
          <w:highlight w:val="none"/>
        </w:rPr>
        <w:t>》。</w:t>
      </w:r>
    </w:p>
    <w:p w14:paraId="2CBDEDA7">
      <w:pPr>
        <w:pStyle w:val="4"/>
        <w:spacing w:line="440" w:lineRule="atLeast"/>
        <w:jc w:val="left"/>
        <w:rPr>
          <w:rFonts w:ascii="宋体" w:hAnsi="宋体"/>
          <w:color w:val="auto"/>
          <w:sz w:val="22"/>
          <w:szCs w:val="22"/>
          <w:highlight w:val="none"/>
        </w:rPr>
      </w:pPr>
      <w:bookmarkStart w:id="54" w:name="_Toc132125095"/>
      <w:bookmarkStart w:id="55" w:name="_Toc132122416"/>
      <w:bookmarkStart w:id="56" w:name="_Toc132123547"/>
      <w:bookmarkStart w:id="57" w:name="_Toc132126154"/>
      <w:bookmarkStart w:id="58" w:name="_Toc132123439"/>
      <w:bookmarkStart w:id="59" w:name="_Toc132125151"/>
      <w:bookmarkStart w:id="60" w:name="_Toc132122119"/>
      <w:bookmarkStart w:id="61" w:name="_Toc21628"/>
      <w:bookmarkStart w:id="62" w:name="_Toc132123634"/>
      <w:bookmarkStart w:id="63" w:name="_Toc132125037"/>
      <w:bookmarkStart w:id="64" w:name="_Toc132124594"/>
      <w:bookmarkStart w:id="65" w:name="_Toc132123838"/>
      <w:bookmarkStart w:id="66" w:name="_Toc132655776"/>
      <w:bookmarkStart w:id="67" w:name="_Toc132125574"/>
      <w:bookmarkStart w:id="68" w:name="_Toc132125983"/>
      <w:bookmarkStart w:id="69" w:name="_Toc132123881"/>
      <w:r>
        <w:rPr>
          <w:rFonts w:hint="eastAsia" w:ascii="宋体" w:hAnsi="宋体"/>
          <w:b/>
          <w:bCs/>
          <w:color w:val="auto"/>
          <w:sz w:val="22"/>
          <w:szCs w:val="22"/>
          <w:highlight w:val="none"/>
        </w:rPr>
        <w:t>四、磋商响应文件递交</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6D9F181">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1、磋商响应文件的上传和递交</w:t>
      </w:r>
    </w:p>
    <w:p w14:paraId="2CA9F657">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“磋商响应文件”的上传、递交：见《</w:t>
      </w:r>
      <w:r>
        <w:rPr>
          <w:rFonts w:hint="eastAsia" w:ascii="宋体" w:hAnsi="宋体"/>
          <w:b/>
          <w:color w:val="auto"/>
          <w:sz w:val="22"/>
          <w:szCs w:val="22"/>
          <w:highlight w:val="none"/>
        </w:rPr>
        <w:t>第一部分</w:t>
      </w:r>
      <w:r>
        <w:rPr>
          <w:rFonts w:ascii="宋体" w:hAnsi="宋体"/>
          <w:b/>
          <w:color w:val="auto"/>
          <w:sz w:val="22"/>
          <w:szCs w:val="22"/>
          <w:highlight w:val="none"/>
        </w:rPr>
        <w:t xml:space="preserve">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28466B9D">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2、“电子加密磋商响应文件”解密和异常情况处理</w:t>
      </w:r>
    </w:p>
    <w:p w14:paraId="37B7BCAF">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“电子加密磋商响应文件”解密：见《</w:t>
      </w:r>
      <w:r>
        <w:rPr>
          <w:rFonts w:hint="eastAsia" w:ascii="宋体" w:hAnsi="宋体"/>
          <w:b/>
          <w:color w:val="auto"/>
          <w:sz w:val="22"/>
          <w:szCs w:val="22"/>
          <w:highlight w:val="none"/>
        </w:rPr>
        <w:t>第一部分</w:t>
      </w:r>
      <w:r>
        <w:rPr>
          <w:rFonts w:ascii="宋体" w:hAnsi="宋体"/>
          <w:b/>
          <w:color w:val="auto"/>
          <w:sz w:val="22"/>
          <w:szCs w:val="22"/>
          <w:highlight w:val="none"/>
        </w:rPr>
        <w:t xml:space="preserve">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4CF835E8">
      <w:pPr>
        <w:tabs>
          <w:tab w:val="center" w:pos="4810"/>
        </w:tabs>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3、磋商响应文件的补充、修改或撤回</w:t>
      </w:r>
      <w:r>
        <w:rPr>
          <w:rFonts w:ascii="宋体" w:hAnsi="宋体"/>
          <w:b/>
          <w:color w:val="auto"/>
          <w:sz w:val="22"/>
          <w:szCs w:val="22"/>
          <w:highlight w:val="none"/>
        </w:rPr>
        <w:tab/>
      </w:r>
    </w:p>
    <w:p w14:paraId="441954F1">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3.1</w:t>
      </w:r>
      <w:r>
        <w:rPr>
          <w:rFonts w:hint="eastAsia" w:ascii="宋体" w:hAnsi="宋体"/>
          <w:b/>
          <w:color w:val="auto"/>
          <w:sz w:val="22"/>
          <w:szCs w:val="22"/>
          <w:highlight w:val="none"/>
        </w:rPr>
        <w:t>、</w:t>
      </w:r>
      <w:r>
        <w:rPr>
          <w:rFonts w:ascii="宋体" w:hAnsi="宋体"/>
          <w:b/>
          <w:color w:val="auto"/>
          <w:sz w:val="22"/>
          <w:szCs w:val="22"/>
          <w:highlight w:val="none"/>
        </w:rPr>
        <w:t>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34C92ADA">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3.2</w:t>
      </w:r>
      <w:r>
        <w:rPr>
          <w:rFonts w:hint="eastAsia" w:ascii="宋体" w:hAnsi="宋体"/>
          <w:b/>
          <w:color w:val="auto"/>
          <w:sz w:val="22"/>
          <w:szCs w:val="22"/>
          <w:highlight w:val="none"/>
        </w:rPr>
        <w:t>、</w:t>
      </w:r>
      <w:r>
        <w:rPr>
          <w:rFonts w:ascii="宋体" w:hAnsi="宋体"/>
          <w:b/>
          <w:color w:val="auto"/>
          <w:sz w:val="22"/>
          <w:szCs w:val="22"/>
          <w:highlight w:val="none"/>
        </w:rPr>
        <w:t>响应文件递交截止时间后，投标供应商不得撤回、修改《磋商响应文件》。</w:t>
      </w:r>
    </w:p>
    <w:p w14:paraId="6500C3F0">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4、磋商响应文件的备选方案</w:t>
      </w:r>
    </w:p>
    <w:p w14:paraId="09DC965E">
      <w:pPr>
        <w:pStyle w:val="3"/>
        <w:adjustRightInd w:val="0"/>
        <w:snapToGrid w:val="0"/>
        <w:spacing w:after="50"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投标供应商不得递交任何的投标备选（替代）方案，否则其磋商响应文件将作无效标处理。</w:t>
      </w:r>
    </w:p>
    <w:p w14:paraId="2FF64ECF">
      <w:pPr>
        <w:pStyle w:val="4"/>
        <w:spacing w:line="440" w:lineRule="atLeast"/>
        <w:jc w:val="left"/>
        <w:rPr>
          <w:rFonts w:ascii="宋体" w:hAnsi="宋体"/>
          <w:b/>
          <w:bCs/>
          <w:color w:val="auto"/>
          <w:sz w:val="22"/>
          <w:szCs w:val="22"/>
          <w:highlight w:val="none"/>
        </w:rPr>
      </w:pPr>
      <w:bookmarkStart w:id="70" w:name="_Toc29829"/>
      <w:r>
        <w:rPr>
          <w:rFonts w:hint="eastAsia" w:ascii="宋体" w:hAnsi="宋体"/>
          <w:b/>
          <w:bCs/>
          <w:color w:val="auto"/>
          <w:sz w:val="22"/>
          <w:szCs w:val="22"/>
          <w:highlight w:val="none"/>
        </w:rPr>
        <w:t>五、开标和评审</w:t>
      </w:r>
      <w:bookmarkEnd w:id="70"/>
    </w:p>
    <w:p w14:paraId="4CD77460">
      <w:pPr>
        <w:pStyle w:val="26"/>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1、开标</w:t>
      </w:r>
    </w:p>
    <w:p w14:paraId="6C1BCAC2">
      <w:pPr>
        <w:pStyle w:val="26"/>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1.1、</w:t>
      </w:r>
      <w:r>
        <w:rPr>
          <w:rFonts w:hAnsi="宋体"/>
          <w:b/>
          <w:color w:val="auto"/>
          <w:sz w:val="22"/>
          <w:szCs w:val="22"/>
          <w:highlight w:val="none"/>
        </w:rPr>
        <w:t>采购代理机构按</w:t>
      </w:r>
      <w:r>
        <w:rPr>
          <w:rFonts w:hint="eastAsia" w:hAnsi="宋体"/>
          <w:b/>
          <w:color w:val="auto"/>
          <w:sz w:val="22"/>
          <w:szCs w:val="22"/>
          <w:highlight w:val="none"/>
        </w:rPr>
        <w:t>磋商</w:t>
      </w:r>
      <w:r>
        <w:rPr>
          <w:rFonts w:hAnsi="宋体"/>
          <w:b/>
          <w:color w:val="auto"/>
          <w:sz w:val="22"/>
          <w:szCs w:val="22"/>
          <w:highlight w:val="none"/>
        </w:rPr>
        <w:t>文件规定的时间、地点通过“政府采购云平台”组织开标、开启磋商响应文件，所有供应商均应当准时在线参加。投标供应商因未在线参加开标而导致磋商响应文件无法按时解密等一切后果由供应商自己承担</w:t>
      </w:r>
      <w:r>
        <w:rPr>
          <w:rFonts w:hAnsi="宋体"/>
          <w:color w:val="auto"/>
          <w:sz w:val="22"/>
          <w:szCs w:val="22"/>
          <w:highlight w:val="none"/>
        </w:rPr>
        <w:t>。</w:t>
      </w:r>
    </w:p>
    <w:p w14:paraId="79EF97CC">
      <w:pPr>
        <w:pStyle w:val="26"/>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2</w:t>
      </w:r>
      <w:r>
        <w:rPr>
          <w:rFonts w:hAnsi="宋体"/>
          <w:color w:val="auto"/>
          <w:sz w:val="22"/>
          <w:szCs w:val="22"/>
          <w:highlight w:val="none"/>
        </w:rPr>
        <w:t>、开标流程</w:t>
      </w:r>
    </w:p>
    <w:p w14:paraId="6B2BDA3D">
      <w:pPr>
        <w:pStyle w:val="26"/>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（1）向各投标供应商发出电子加密磋商响应文件【开始解密】通知，由供应商按磋商文件规定的时间内自行进行磋商响应文件解密。</w:t>
      </w:r>
      <w:r>
        <w:rPr>
          <w:rFonts w:hAnsi="宋体"/>
          <w:b/>
          <w:color w:val="auto"/>
          <w:sz w:val="22"/>
          <w:szCs w:val="22"/>
          <w:highlight w:val="none"/>
        </w:rPr>
        <w:t>投标供应商在规定的时间内无法完成已递交的“电子加密磋商响应文件”解密的，</w:t>
      </w:r>
      <w:r>
        <w:rPr>
          <w:rFonts w:hint="eastAsia" w:hAnsi="宋体"/>
          <w:b/>
          <w:color w:val="auto"/>
          <w:sz w:val="22"/>
          <w:highlight w:val="none"/>
        </w:rPr>
        <w:t>其磋商响应文件按拒收处理</w:t>
      </w:r>
      <w:r>
        <w:rPr>
          <w:rFonts w:hint="eastAsia" w:hAnsi="宋体"/>
          <w:color w:val="auto"/>
          <w:sz w:val="22"/>
          <w:szCs w:val="22"/>
          <w:highlight w:val="none"/>
        </w:rPr>
        <w:t>。</w:t>
      </w:r>
    </w:p>
    <w:p w14:paraId="7DA23FB9">
      <w:pPr>
        <w:pStyle w:val="26"/>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（2）磋商响应文件解密结束，</w:t>
      </w:r>
      <w:r>
        <w:rPr>
          <w:rFonts w:hint="eastAsia" w:hAnsi="宋体"/>
          <w:color w:val="auto"/>
          <w:sz w:val="22"/>
          <w:szCs w:val="22"/>
          <w:highlight w:val="none"/>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3A79FE39">
      <w:pPr>
        <w:pStyle w:val="26"/>
        <w:adjustRightInd w:val="0"/>
        <w:snapToGrid w:val="0"/>
        <w:spacing w:line="460" w:lineRule="atLeast"/>
        <w:ind w:firstLine="440" w:firstLineChars="200"/>
        <w:rPr>
          <w:rFonts w:hAnsi="宋体"/>
          <w:b/>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3</w:t>
      </w:r>
      <w:r>
        <w:rPr>
          <w:rFonts w:hAnsi="宋体"/>
          <w:color w:val="auto"/>
          <w:sz w:val="22"/>
          <w:szCs w:val="22"/>
          <w:highlight w:val="none"/>
        </w:rPr>
        <w:t>）</w:t>
      </w:r>
      <w:r>
        <w:rPr>
          <w:rFonts w:hint="eastAsia" w:hAnsi="宋体"/>
          <w:color w:val="auto"/>
          <w:sz w:val="22"/>
          <w:szCs w:val="22"/>
          <w:highlight w:val="none"/>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b/>
          <w:color w:val="auto"/>
          <w:sz w:val="22"/>
          <w:szCs w:val="22"/>
          <w:highlight w:val="none"/>
        </w:rPr>
        <w:t>如竞争性磋商文件所列采购内容明确不需要修改的或供应商磋商响应文件清楚明确不需要澄清的，可以不进行磋商，直接要求供应商进行最终报价。</w:t>
      </w:r>
    </w:p>
    <w:p w14:paraId="78FF18BF">
      <w:pPr>
        <w:pStyle w:val="26"/>
        <w:adjustRightInd w:val="0"/>
        <w:snapToGrid w:val="0"/>
        <w:spacing w:line="460" w:lineRule="atLeast"/>
        <w:ind w:firstLine="431" w:firstLineChars="196"/>
        <w:rPr>
          <w:rFonts w:hAnsi="宋体"/>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4</w:t>
      </w:r>
      <w:r>
        <w:rPr>
          <w:rFonts w:hAnsi="宋体"/>
          <w:color w:val="auto"/>
          <w:sz w:val="22"/>
          <w:szCs w:val="22"/>
          <w:highlight w:val="none"/>
        </w:rPr>
        <w:t>）</w:t>
      </w:r>
      <w:r>
        <w:rPr>
          <w:rFonts w:hint="eastAsia" w:hAnsi="宋体"/>
          <w:color w:val="auto"/>
          <w:sz w:val="22"/>
          <w:szCs w:val="22"/>
          <w:highlight w:val="none"/>
        </w:rPr>
        <w:t>磋商结束后，磋商小组应当要求所有实质性响应的投标供应商在规定时间内提交最终报价。投标供应商未在规定时间提交最终报价的按无效投标处理。</w:t>
      </w:r>
    </w:p>
    <w:p w14:paraId="7B169BBE">
      <w:pPr>
        <w:pStyle w:val="26"/>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w:t>
      </w:r>
      <w:r>
        <w:rPr>
          <w:rFonts w:hint="eastAsia" w:hAnsi="宋体"/>
          <w:color w:val="auto"/>
          <w:sz w:val="22"/>
          <w:szCs w:val="22"/>
          <w:highlight w:val="none"/>
        </w:rPr>
        <w:t>所有实质性响应的投标供应商</w:t>
      </w:r>
      <w:r>
        <w:rPr>
          <w:rFonts w:hAnsi="宋体"/>
          <w:color w:val="auto"/>
          <w:sz w:val="22"/>
          <w:szCs w:val="22"/>
          <w:highlight w:val="none"/>
        </w:rPr>
        <w:t>的</w:t>
      </w:r>
      <w:r>
        <w:rPr>
          <w:rFonts w:hint="eastAsia" w:hAnsi="宋体"/>
          <w:color w:val="auto"/>
          <w:sz w:val="22"/>
          <w:szCs w:val="22"/>
          <w:highlight w:val="none"/>
        </w:rPr>
        <w:t>最终</w:t>
      </w:r>
      <w:r>
        <w:rPr>
          <w:rFonts w:hAnsi="宋体"/>
          <w:color w:val="auto"/>
          <w:sz w:val="22"/>
          <w:szCs w:val="22"/>
          <w:highlight w:val="none"/>
        </w:rPr>
        <w:t>报价。</w:t>
      </w:r>
    </w:p>
    <w:p w14:paraId="142124BD">
      <w:pPr>
        <w:pStyle w:val="26"/>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6</w:t>
      </w:r>
      <w:r>
        <w:rPr>
          <w:rFonts w:hAnsi="宋体"/>
          <w:color w:val="auto"/>
          <w:sz w:val="22"/>
          <w:szCs w:val="22"/>
          <w:highlight w:val="none"/>
        </w:rPr>
        <w:t>）评审结束后，公布</w:t>
      </w:r>
      <w:r>
        <w:rPr>
          <w:rFonts w:hint="eastAsia" w:hAnsi="宋体"/>
          <w:color w:val="auto"/>
          <w:sz w:val="22"/>
          <w:szCs w:val="22"/>
          <w:highlight w:val="none"/>
        </w:rPr>
        <w:t>采购</w:t>
      </w:r>
      <w:r>
        <w:rPr>
          <w:rFonts w:hAnsi="宋体"/>
          <w:color w:val="auto"/>
          <w:sz w:val="22"/>
          <w:szCs w:val="22"/>
          <w:highlight w:val="none"/>
        </w:rPr>
        <w:t>结果。</w:t>
      </w:r>
    </w:p>
    <w:p w14:paraId="4F4DB05A">
      <w:pPr>
        <w:pStyle w:val="26"/>
        <w:adjustRightInd w:val="0"/>
        <w:snapToGrid w:val="0"/>
        <w:spacing w:line="460" w:lineRule="atLeast"/>
        <w:ind w:firstLine="433" w:firstLineChars="196"/>
        <w:rPr>
          <w:rFonts w:hAnsi="宋体"/>
          <w:b/>
          <w:color w:val="auto"/>
          <w:sz w:val="22"/>
          <w:szCs w:val="22"/>
          <w:highlight w:val="none"/>
        </w:rPr>
      </w:pPr>
      <w:r>
        <w:rPr>
          <w:rFonts w:hAnsi="宋体"/>
          <w:b/>
          <w:color w:val="auto"/>
          <w:sz w:val="22"/>
          <w:szCs w:val="22"/>
          <w:highlight w:val="none"/>
        </w:rPr>
        <w:t>特别说明：如遇“政府采购云平台”电子化开标或评审程序调整的，按调整后程序执行。</w:t>
      </w:r>
    </w:p>
    <w:p w14:paraId="3C6661FF">
      <w:pPr>
        <w:pStyle w:val="26"/>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2、评审</w:t>
      </w:r>
    </w:p>
    <w:p w14:paraId="62904A1D">
      <w:pPr>
        <w:pStyle w:val="26"/>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2.1、评审由采购人依法组建的磋商小组负责</w:t>
      </w:r>
      <w:r>
        <w:rPr>
          <w:rFonts w:hint="eastAsia" w:hAnsi="宋体"/>
          <w:color w:val="auto"/>
          <w:sz w:val="22"/>
          <w:szCs w:val="22"/>
          <w:highlight w:val="none"/>
        </w:rPr>
        <w:t>，并独立履行下列职责：</w:t>
      </w:r>
    </w:p>
    <w:p w14:paraId="73D6969F">
      <w:pPr>
        <w:snapToGrid w:val="0"/>
        <w:spacing w:line="46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1）审查磋商响应文件是否符合竞争性磋商文件要求，并作出评价；</w:t>
      </w:r>
    </w:p>
    <w:p w14:paraId="15D2C23B">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2）要求供应商对磋商响应文件有关事项作出解释或者澄清；</w:t>
      </w:r>
    </w:p>
    <w:p w14:paraId="3278082F">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3）按照竞争性磋商文件确定的评审办法对供应商进行排序，推荐候选供应商，将综合得分第一的供应商向采购人推荐其为成交供应商；</w:t>
      </w:r>
    </w:p>
    <w:p w14:paraId="3C44A66F">
      <w:pPr>
        <w:pStyle w:val="26"/>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4）向采购代理机构或者有关部门报告非法干预评审工作的行为。</w:t>
      </w:r>
    </w:p>
    <w:p w14:paraId="42CC5744">
      <w:pPr>
        <w:snapToGrid w:val="0"/>
        <w:spacing w:line="46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2.2、评审应当遵循下列工作程序：</w:t>
      </w:r>
    </w:p>
    <w:p w14:paraId="09E984A0">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1）磋商响应文件初审。初审分为资格性检查和符合性检查。</w:t>
      </w:r>
    </w:p>
    <w:p w14:paraId="1A090F21">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（1</w:t>
      </w:r>
      <w:r>
        <w:rPr>
          <w:rFonts w:ascii="宋体" w:hAnsi="宋体"/>
          <w:color w:val="auto"/>
          <w:sz w:val="22"/>
          <w:szCs w:val="22"/>
          <w:highlight w:val="none"/>
        </w:rPr>
        <w:t>）</w:t>
      </w:r>
      <w:r>
        <w:rPr>
          <w:rFonts w:hint="eastAsia" w:ascii="宋体" w:hAnsi="宋体"/>
          <w:color w:val="auto"/>
          <w:sz w:val="22"/>
          <w:szCs w:val="22"/>
          <w:highlight w:val="none"/>
        </w:rPr>
        <w:t>资格性检查。依据法律法规和竞争性磋商文件的规定，对磋商响应文件中的资格证明等进行审查，以确定供应商是否具备参与磋商资格。</w:t>
      </w:r>
    </w:p>
    <w:p w14:paraId="12D101FA">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（2</w:t>
      </w:r>
      <w:r>
        <w:rPr>
          <w:rFonts w:ascii="宋体" w:hAnsi="宋体"/>
          <w:color w:val="auto"/>
          <w:sz w:val="22"/>
          <w:szCs w:val="22"/>
          <w:highlight w:val="none"/>
        </w:rPr>
        <w:t>）</w:t>
      </w:r>
      <w:r>
        <w:rPr>
          <w:rFonts w:hint="eastAsia" w:ascii="宋体" w:hAnsi="宋体"/>
          <w:color w:val="auto"/>
          <w:sz w:val="22"/>
          <w:szCs w:val="22"/>
          <w:highlight w:val="none"/>
        </w:rPr>
        <w:t>符合性检查。依据竞争性磋商文件的规定，从磋商响应文件的有效性、完整性和对竞争性磋商文件的响应程度进行审查，以确定是否对竞争性磋商文件的实质性要求作出响应。</w:t>
      </w:r>
    </w:p>
    <w:p w14:paraId="2585B2C7">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497D005C">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3）比较与评价。按竞争性磋商文件中规定的评审方法和标准，对资格性检查和符合性检查合格的磋商响应文件进行商务和技术评估，综合比较与评价。</w:t>
      </w:r>
    </w:p>
    <w:p w14:paraId="07CAD5A0">
      <w:pPr>
        <w:pStyle w:val="26"/>
        <w:adjustRightInd w:val="0"/>
        <w:snapToGrid w:val="0"/>
        <w:spacing w:line="460" w:lineRule="atLeast"/>
        <w:ind w:firstLine="431" w:firstLineChars="196"/>
        <w:rPr>
          <w:rFonts w:hAnsi="宋体" w:cs="Arial"/>
          <w:color w:val="auto"/>
          <w:sz w:val="22"/>
          <w:szCs w:val="22"/>
          <w:highlight w:val="none"/>
        </w:rPr>
      </w:pPr>
      <w:r>
        <w:rPr>
          <w:rFonts w:hint="eastAsia" w:hAnsi="宋体" w:cs="Arial"/>
          <w:color w:val="auto"/>
          <w:sz w:val="22"/>
          <w:szCs w:val="22"/>
          <w:highlight w:val="none"/>
        </w:rPr>
        <w:t>2.3、</w:t>
      </w:r>
      <w:r>
        <w:rPr>
          <w:rFonts w:hint="eastAsia" w:hAnsi="宋体" w:cs="Arial"/>
          <w:b/>
          <w:color w:val="auto"/>
          <w:sz w:val="22"/>
          <w:szCs w:val="22"/>
          <w:highlight w:val="none"/>
        </w:rPr>
        <w:t>本次采购，供应商的最终报价均超出采购预算的，本次采购做废标处理。</w:t>
      </w:r>
    </w:p>
    <w:p w14:paraId="645B7A10">
      <w:pPr>
        <w:pStyle w:val="26"/>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rPr>
        <w:t>供应商存在下列情况之一的，磋商响应文件按无效处理：</w:t>
      </w:r>
    </w:p>
    <w:p w14:paraId="5678FD04">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1）磋商响应文件未按磋商文件要求签署或CA电子签章的；</w:t>
      </w:r>
    </w:p>
    <w:p w14:paraId="3C4DF04A">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2）不具备磋商文件中规定的资格要求的；</w:t>
      </w:r>
    </w:p>
    <w:p w14:paraId="40063B61">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3）最终报价超过磋商文件中规定的预算金额或者最高限价的；</w:t>
      </w:r>
    </w:p>
    <w:p w14:paraId="6C76C652">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4）对关键条文的偏离、保留或反对，例如关于付款方式、完工期（服务期）、免费质保期、适用法律法规、标准、税费等其他内容；</w:t>
      </w:r>
    </w:p>
    <w:p w14:paraId="390FFA7B">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5）存在串标或弄虚作假情况的；</w:t>
      </w:r>
    </w:p>
    <w:p w14:paraId="7BE27DD6">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6）参与本项目的不同供应商单位负责人为同一人或者存在直接控股、管理关系的；</w:t>
      </w:r>
    </w:p>
    <w:p w14:paraId="76EF7279">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7）在竞争性磋商文件未做任何调整的情况下，参与磋商的供应商最终报价超过其磋商响应文件中报价的；</w:t>
      </w:r>
    </w:p>
    <w:p w14:paraId="461DFD62">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8）未在规定时间提交最终报价的；</w:t>
      </w:r>
    </w:p>
    <w:p w14:paraId="3AB84DA6">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9）法律、法规和磋商文件规定的其他无效情形（或出现重大偏差）。</w:t>
      </w:r>
    </w:p>
    <w:p w14:paraId="7AB4735B">
      <w:pPr>
        <w:pStyle w:val="26"/>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2.5、▲</w:t>
      </w:r>
      <w:r>
        <w:rPr>
          <w:rFonts w:hint="eastAsia" w:hAnsi="宋体"/>
          <w:b/>
          <w:color w:val="auto"/>
          <w:sz w:val="22"/>
          <w:szCs w:val="22"/>
          <w:highlight w:val="none"/>
        </w:rPr>
        <w:t>磋商小组发现磋商响应文件有下列情形之一的属于重大偏差(磋商小组按少数服从多数原则认定),按照无效投标处理</w:t>
      </w:r>
      <w:r>
        <w:rPr>
          <w:rFonts w:hint="eastAsia" w:hAnsi="宋体"/>
          <w:color w:val="auto"/>
          <w:sz w:val="22"/>
          <w:szCs w:val="22"/>
          <w:highlight w:val="none"/>
        </w:rPr>
        <w:t>：</w:t>
      </w:r>
    </w:p>
    <w:p w14:paraId="4AE9DDAF">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1）未按磋商文件要求编制或字迹模糊、辨认不清的磋商响应文件；</w:t>
      </w:r>
    </w:p>
    <w:p w14:paraId="5262FA98">
      <w:pPr>
        <w:pStyle w:val="26"/>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2）除2.4条款以外，出现其它明显不符合采购要求的磋商响应文件；</w:t>
      </w:r>
    </w:p>
    <w:p w14:paraId="7E865E72">
      <w:pPr>
        <w:pStyle w:val="26"/>
        <w:adjustRightInd w:val="0"/>
        <w:snapToGrid w:val="0"/>
        <w:spacing w:line="460" w:lineRule="atLeast"/>
        <w:ind w:firstLine="442" w:firstLineChars="200"/>
        <w:rPr>
          <w:rFonts w:hAnsi="宋体"/>
          <w:color w:val="auto"/>
          <w:sz w:val="22"/>
          <w:szCs w:val="22"/>
          <w:highlight w:val="none"/>
        </w:rPr>
      </w:pPr>
      <w:r>
        <w:rPr>
          <w:rFonts w:hint="eastAsia" w:hAnsi="宋体"/>
          <w:b/>
          <w:color w:val="auto"/>
          <w:sz w:val="22"/>
          <w:szCs w:val="22"/>
          <w:highlight w:val="none"/>
        </w:rPr>
        <w:t>3）除2.4条款以外，出现其它不符合磋商文件中规定的实质性要求的磋商响应文件，是否为偏离实质性要求由磋商小组认定。</w:t>
      </w:r>
    </w:p>
    <w:p w14:paraId="2EC55908">
      <w:pPr>
        <w:pStyle w:val="26"/>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2.6、▲</w:t>
      </w:r>
      <w:r>
        <w:rPr>
          <w:rFonts w:hint="eastAsia" w:hAnsi="宋体"/>
          <w:b/>
          <w:color w:val="auto"/>
          <w:sz w:val="22"/>
          <w:szCs w:val="22"/>
          <w:highlight w:val="none"/>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int="eastAsia" w:hAnsi="宋体"/>
          <w:color w:val="auto"/>
          <w:sz w:val="22"/>
          <w:szCs w:val="22"/>
          <w:highlight w:val="none"/>
        </w:rPr>
        <w:t>。</w:t>
      </w:r>
    </w:p>
    <w:p w14:paraId="3086F79A">
      <w:pPr>
        <w:pStyle w:val="26"/>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2.7、磋商小组在评标中，不得改变磋商文件中规定的评标标准、方法和中标条件。</w:t>
      </w:r>
    </w:p>
    <w:p w14:paraId="6E710884">
      <w:pPr>
        <w:pStyle w:val="26"/>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2.8、评标时如遇到磋商文件未规定的特殊情况，由磋商小组按少数服从多数原则集体决定处理。</w:t>
      </w:r>
    </w:p>
    <w:p w14:paraId="131AEEBB">
      <w:pPr>
        <w:pStyle w:val="26"/>
        <w:adjustRightInd w:val="0"/>
        <w:snapToGrid w:val="0"/>
        <w:spacing w:line="460" w:lineRule="atLeast"/>
        <w:ind w:firstLine="440" w:firstLineChars="200"/>
        <w:rPr>
          <w:rFonts w:hAnsi="宋体" w:cs="Arial"/>
          <w:color w:val="auto"/>
          <w:sz w:val="22"/>
          <w:szCs w:val="22"/>
          <w:highlight w:val="none"/>
        </w:rPr>
      </w:pPr>
      <w:r>
        <w:rPr>
          <w:rFonts w:hint="eastAsia" w:hAnsi="宋体"/>
          <w:color w:val="auto"/>
          <w:sz w:val="22"/>
          <w:szCs w:val="22"/>
          <w:highlight w:val="none"/>
        </w:rPr>
        <w:t>2.9、磋商小组对未中标的供应商不作解释。</w:t>
      </w:r>
    </w:p>
    <w:p w14:paraId="53DE9FF6">
      <w:pPr>
        <w:pStyle w:val="26"/>
        <w:adjustRightInd w:val="0"/>
        <w:snapToGrid w:val="0"/>
        <w:spacing w:line="460" w:lineRule="atLeast"/>
        <w:ind w:firstLine="450"/>
        <w:rPr>
          <w:rFonts w:hAnsi="宋体" w:cs="Arial"/>
          <w:color w:val="auto"/>
          <w:sz w:val="22"/>
          <w:szCs w:val="22"/>
          <w:highlight w:val="none"/>
        </w:rPr>
      </w:pPr>
      <w:r>
        <w:rPr>
          <w:rFonts w:hint="eastAsia" w:hAnsi="宋体" w:cs="Arial"/>
          <w:color w:val="auto"/>
          <w:sz w:val="22"/>
          <w:szCs w:val="22"/>
          <w:highlight w:val="none"/>
        </w:rPr>
        <w:t>3、磋商响应文件的澄清</w:t>
      </w:r>
    </w:p>
    <w:p w14:paraId="36A12DB5">
      <w:pPr>
        <w:adjustRightInd w:val="0"/>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3.1、为有利于对磋商响应文件的比较和评议，必要时磋商小组可要求投标供应商对磋商响应文件相关事宜进行澄清。磋商小组将通过“政府采购云平台”在线询标的形式要求</w:t>
      </w:r>
      <w:r>
        <w:rPr>
          <w:rFonts w:ascii="宋体" w:hAnsi="宋体"/>
          <w:color w:val="auto"/>
          <w:sz w:val="22"/>
          <w:szCs w:val="22"/>
          <w:highlight w:val="none"/>
        </w:rPr>
        <w:t>投标供应商</w:t>
      </w:r>
      <w:r>
        <w:rPr>
          <w:rFonts w:hint="eastAsia" w:ascii="宋体" w:hAnsi="宋体"/>
          <w:color w:val="auto"/>
          <w:sz w:val="22"/>
          <w:szCs w:val="22"/>
          <w:highlight w:val="none"/>
        </w:rPr>
        <w:t>在规定的时间内作出必要的澄清、说明，供投标供应商澄清、说明时间不少于30分钟。</w:t>
      </w:r>
    </w:p>
    <w:p w14:paraId="7CC8FFA7">
      <w:pPr>
        <w:adjustRightInd w:val="0"/>
        <w:snapToGrid w:val="0"/>
        <w:spacing w:line="460" w:lineRule="atLeast"/>
        <w:ind w:firstLine="440" w:firstLineChars="200"/>
        <w:rPr>
          <w:rFonts w:ascii="宋体" w:hAnsi="宋体" w:cs="Arial"/>
          <w:color w:val="auto"/>
          <w:sz w:val="22"/>
          <w:szCs w:val="22"/>
          <w:highlight w:val="none"/>
        </w:rPr>
      </w:pPr>
      <w:r>
        <w:rPr>
          <w:rFonts w:hint="eastAsia" w:ascii="宋体" w:hAnsi="宋体"/>
          <w:color w:val="auto"/>
          <w:sz w:val="22"/>
          <w:szCs w:val="22"/>
          <w:highlight w:val="none"/>
        </w:rPr>
        <w:t>3.2、</w:t>
      </w:r>
      <w:r>
        <w:rPr>
          <w:rFonts w:ascii="宋体" w:hAnsi="宋体"/>
          <w:color w:val="auto"/>
          <w:sz w:val="22"/>
          <w:szCs w:val="22"/>
          <w:highlight w:val="none"/>
        </w:rPr>
        <w:t>投标供应商</w:t>
      </w:r>
      <w:r>
        <w:rPr>
          <w:rFonts w:hint="eastAsia" w:ascii="宋体" w:hAnsi="宋体"/>
          <w:color w:val="auto"/>
          <w:sz w:val="22"/>
          <w:szCs w:val="22"/>
          <w:highlight w:val="none"/>
        </w:rPr>
        <w:t>的澄清、说明应当通过“政府采购云平台”在线答复形式提交。</w:t>
      </w:r>
      <w:r>
        <w:rPr>
          <w:rFonts w:ascii="宋体" w:hAnsi="宋体"/>
          <w:color w:val="auto"/>
          <w:sz w:val="22"/>
          <w:szCs w:val="22"/>
          <w:highlight w:val="none"/>
        </w:rPr>
        <w:t>投标供应商</w:t>
      </w:r>
      <w:r>
        <w:rPr>
          <w:rFonts w:hint="eastAsia" w:ascii="宋体" w:hAnsi="宋体"/>
          <w:color w:val="auto"/>
          <w:sz w:val="22"/>
          <w:szCs w:val="22"/>
          <w:highlight w:val="none"/>
        </w:rPr>
        <w:t>的澄清、说明不得超出磋商响应文件的范围或者改变磋商响应文件的实质性内容。</w:t>
      </w:r>
    </w:p>
    <w:p w14:paraId="0040F081">
      <w:pPr>
        <w:pStyle w:val="26"/>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4、响应</w:t>
      </w:r>
      <w:r>
        <w:rPr>
          <w:rFonts w:hAnsi="宋体"/>
          <w:color w:val="auto"/>
          <w:sz w:val="22"/>
          <w:szCs w:val="22"/>
          <w:highlight w:val="none"/>
        </w:rPr>
        <w:t>文件递交截止时或评审过程中有效投标供应商不足三家的，不予开标或评标</w:t>
      </w:r>
      <w:r>
        <w:rPr>
          <w:rFonts w:hint="eastAsia" w:hAnsi="宋体"/>
          <w:color w:val="auto"/>
          <w:sz w:val="22"/>
          <w:szCs w:val="22"/>
          <w:highlight w:val="none"/>
        </w:rPr>
        <w:t>，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86A89B8">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5、评审原则</w:t>
      </w:r>
    </w:p>
    <w:p w14:paraId="3B8697C9">
      <w:pPr>
        <w:pStyle w:val="26"/>
        <w:adjustRightInd w:val="0"/>
        <w:snapToGrid w:val="0"/>
        <w:spacing w:line="460" w:lineRule="atLeast"/>
        <w:ind w:firstLine="450"/>
        <w:rPr>
          <w:rFonts w:hAnsi="宋体" w:cs="Arial"/>
          <w:color w:val="auto"/>
          <w:sz w:val="22"/>
          <w:szCs w:val="22"/>
          <w:highlight w:val="none"/>
        </w:rPr>
      </w:pPr>
      <w:r>
        <w:rPr>
          <w:rFonts w:hint="eastAsia" w:hAnsi="宋体"/>
          <w:color w:val="auto"/>
          <w:sz w:val="22"/>
          <w:szCs w:val="22"/>
          <w:highlight w:val="none"/>
        </w:rPr>
        <w:t>磋商小组按照竞争性磋商文件的要求和条件对磋商响应文件进行评估，综合比较与评价。</w:t>
      </w:r>
    </w:p>
    <w:p w14:paraId="0444EBB3">
      <w:pPr>
        <w:pStyle w:val="26"/>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5.1、磋商小组负责审查磋商响应文件是否符合竞争性磋商文件的要求，并作出评价。磋商小组认为必要时，可向供应商进行询标澄清。</w:t>
      </w:r>
    </w:p>
    <w:p w14:paraId="604B1742">
      <w:pPr>
        <w:pStyle w:val="26"/>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 xml:space="preserve">5.2、磋商小组将综合分析合格供应商的各项指标，而不是以单项指标的优劣评选出成交的供应商。   </w:t>
      </w:r>
    </w:p>
    <w:p w14:paraId="703B1EC3">
      <w:pPr>
        <w:pStyle w:val="26"/>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13AE3D90">
      <w:pPr>
        <w:snapToGrid w:val="0"/>
        <w:spacing w:line="460" w:lineRule="atLeast"/>
        <w:ind w:firstLine="431" w:firstLineChars="196"/>
        <w:rPr>
          <w:rFonts w:ascii="宋体" w:hAnsi="宋体" w:cs="Arial"/>
          <w:color w:val="auto"/>
          <w:sz w:val="22"/>
          <w:szCs w:val="22"/>
          <w:highlight w:val="none"/>
        </w:rPr>
      </w:pPr>
      <w:r>
        <w:rPr>
          <w:rFonts w:hint="eastAsia" w:ascii="宋体" w:hAnsi="宋体"/>
          <w:color w:val="auto"/>
          <w:sz w:val="22"/>
          <w:szCs w:val="22"/>
          <w:highlight w:val="none"/>
        </w:rPr>
        <w:t>5.4、本次评审采用综合评分法，磋商小组根据竞争性磋商文件制定的评审办法对供应商进行评审排序，将综合得分第一的供应商向采购人推荐其为成交供应商。</w:t>
      </w:r>
    </w:p>
    <w:p w14:paraId="0B9FED71">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6、有下列情形之一的，视为供应商相互串通投标：</w:t>
      </w:r>
    </w:p>
    <w:p w14:paraId="33ADC012">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6.1、不同供应商的磋商响应文件由同一单位或者个人编制；</w:t>
      </w:r>
    </w:p>
    <w:p w14:paraId="2C2C38D9">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6.2、不同供应商委托同一单位或者个人办理投标事宜；</w:t>
      </w:r>
    </w:p>
    <w:p w14:paraId="45776C83">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6.3、不同供应商的磋商响应文件载明的项目管理成员为同一人；</w:t>
      </w:r>
    </w:p>
    <w:p w14:paraId="040961D2">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6.4、不同供应商的磋商响应文件异常一致或者投标报价呈规律性差异；</w:t>
      </w:r>
    </w:p>
    <w:p w14:paraId="02EC8109">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6.5、不同供应商的磋商响应文件相互混装；</w:t>
      </w:r>
    </w:p>
    <w:p w14:paraId="4480AF78">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7、经磋商小组认定供应商进行串通投标的，磋商小组可以对相关供应商做出无效投标处理，并上报政府采购管理部门进行进一步处理。</w:t>
      </w:r>
    </w:p>
    <w:p w14:paraId="0D041C7B">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8、可中止电子交易活动的情形</w:t>
      </w:r>
    </w:p>
    <w:p w14:paraId="7DF29403">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46EFCBC0">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1）电子交易平台发生故障而无法登录访问的；</w:t>
      </w:r>
    </w:p>
    <w:p w14:paraId="2AEEE02D">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2）电子交易平台应用或数据库出现错误，不能进行正常操作的；</w:t>
      </w:r>
    </w:p>
    <w:p w14:paraId="6FCEB2AD">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3）电子交易平台发现严重安全漏洞，有潜在泄密危险的；</w:t>
      </w:r>
    </w:p>
    <w:p w14:paraId="624514A2">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4）病毒发作导致不能进行正常操作的；</w:t>
      </w:r>
    </w:p>
    <w:p w14:paraId="1B265CE8">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5）其他无法保证电子交易的公平、公正和安全的情况。</w:t>
      </w:r>
    </w:p>
    <w:p w14:paraId="5FFE4FCC">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444A1FC">
      <w:pPr>
        <w:pStyle w:val="4"/>
        <w:spacing w:line="440" w:lineRule="atLeast"/>
        <w:jc w:val="left"/>
        <w:rPr>
          <w:rFonts w:ascii="宋体" w:hAnsi="宋体"/>
          <w:b/>
          <w:bCs/>
          <w:color w:val="auto"/>
          <w:sz w:val="22"/>
          <w:szCs w:val="22"/>
          <w:highlight w:val="none"/>
        </w:rPr>
      </w:pPr>
      <w:bookmarkStart w:id="71" w:name="_Toc2543"/>
      <w:r>
        <w:rPr>
          <w:rFonts w:hint="eastAsia" w:ascii="宋体" w:hAnsi="宋体"/>
          <w:b/>
          <w:bCs/>
          <w:color w:val="auto"/>
          <w:sz w:val="22"/>
          <w:szCs w:val="22"/>
          <w:highlight w:val="none"/>
        </w:rPr>
        <w:t>六、授予合同</w:t>
      </w:r>
      <w:bookmarkEnd w:id="71"/>
    </w:p>
    <w:p w14:paraId="27D11D2B">
      <w:pPr>
        <w:pStyle w:val="26"/>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1、决标</w:t>
      </w:r>
    </w:p>
    <w:p w14:paraId="66C72E49">
      <w:pPr>
        <w:pStyle w:val="26"/>
        <w:adjustRightInd w:val="0"/>
        <w:snapToGrid w:val="0"/>
        <w:spacing w:line="440" w:lineRule="atLeast"/>
        <w:rPr>
          <w:rFonts w:hAnsi="宋体"/>
          <w:b/>
          <w:color w:val="auto"/>
          <w:sz w:val="22"/>
          <w:szCs w:val="22"/>
          <w:highlight w:val="none"/>
        </w:rPr>
      </w:pPr>
      <w:r>
        <w:rPr>
          <w:rFonts w:hint="eastAsia" w:hAnsi="宋体"/>
          <w:color w:val="auto"/>
          <w:sz w:val="22"/>
          <w:szCs w:val="22"/>
          <w:highlight w:val="none"/>
        </w:rPr>
        <w:t xml:space="preserve">    磋商结束后，磋商小组按照竞争性磋商文件确定的评审办法，确定成交供应商。</w:t>
      </w:r>
    </w:p>
    <w:p w14:paraId="1472B184">
      <w:pPr>
        <w:pStyle w:val="26"/>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2、成交通知书</w:t>
      </w:r>
    </w:p>
    <w:p w14:paraId="0FB2EA93">
      <w:pPr>
        <w:pStyle w:val="3"/>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2.1、评审结束后，采购代理机构在浙江政府采购网公告采购结果，同时发出成交通知书，成交公告期限为1个工作日。</w:t>
      </w:r>
    </w:p>
    <w:p w14:paraId="7B7EAB91">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2.2、成交通知书对采购人和成交供应商具有法律约束力。成交通知书发出后，采购人改变成交结果或者成交供应商放弃成交资格的，应当承担法律责任。</w:t>
      </w:r>
    </w:p>
    <w:p w14:paraId="459FA40F">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2.3、成交无效</w:t>
      </w:r>
    </w:p>
    <w:p w14:paraId="40AA166F">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1）发现成交供应商资格无效或成交供应商放弃成交或拒绝与采购人签订合同的,按相关规定执行。</w:t>
      </w:r>
    </w:p>
    <w:p w14:paraId="77CE8D69">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2）有《中华人民共和国政府采购法实施条例》第七十一条、第七十二条、第七十三条、第七十四条规定的违法行为之一，由政府采购监管部门依法处理。</w:t>
      </w:r>
    </w:p>
    <w:p w14:paraId="1A5D5259">
      <w:pPr>
        <w:adjustRightInd w:val="0"/>
        <w:snapToGrid w:val="0"/>
        <w:spacing w:line="440" w:lineRule="atLeast"/>
        <w:rPr>
          <w:rFonts w:ascii="宋体" w:hAnsi="宋体"/>
          <w:color w:val="auto"/>
          <w:sz w:val="22"/>
          <w:szCs w:val="22"/>
          <w:highlight w:val="none"/>
        </w:rPr>
      </w:pPr>
      <w:r>
        <w:rPr>
          <w:rFonts w:hint="eastAsia" w:ascii="宋体" w:hAnsi="宋体"/>
          <w:color w:val="auto"/>
          <w:sz w:val="22"/>
          <w:szCs w:val="22"/>
          <w:highlight w:val="none"/>
        </w:rPr>
        <w:t xml:space="preserve">    3、磋商小组对未成交的供应商不作落标原因解释。</w:t>
      </w:r>
    </w:p>
    <w:p w14:paraId="6986A227">
      <w:pPr>
        <w:pStyle w:val="26"/>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4、签订合同</w:t>
      </w:r>
    </w:p>
    <w:p w14:paraId="67F1E88E">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480D367C">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4.2、磋商文件、成交供应商的磋商响应文件及投标修改文件、评标过程中有关澄清文件及经双方签字的询标纪要（承诺）和成交通知书均作为合同附件。</w:t>
      </w:r>
    </w:p>
    <w:p w14:paraId="7E099B71">
      <w:pPr>
        <w:pStyle w:val="26"/>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4.3、拒签合同的责任</w:t>
      </w:r>
    </w:p>
    <w:p w14:paraId="4236ED8E">
      <w:pPr>
        <w:pStyle w:val="26"/>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成交供应商接到成交通知书后，在规定时间内借故否认已经承诺的条件而拒签合同，以违约处理，并赔偿采购人由此造成的直接经济损失；采购人重新组织采购的，所需费用由原成交供应商承担。</w:t>
      </w:r>
    </w:p>
    <w:p w14:paraId="204C38FF">
      <w:pPr>
        <w:pStyle w:val="26"/>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5、履约保证金：本项目不作要求。</w:t>
      </w:r>
    </w:p>
    <w:p w14:paraId="5E3D6F91">
      <w:pPr>
        <w:pStyle w:val="26"/>
        <w:adjustRightInd w:val="0"/>
        <w:snapToGrid w:val="0"/>
        <w:spacing w:line="460" w:lineRule="atLeast"/>
        <w:ind w:firstLine="440" w:firstLineChars="200"/>
        <w:rPr>
          <w:rFonts w:hAnsi="宋体"/>
          <w:color w:val="auto"/>
          <w:sz w:val="22"/>
          <w:highlight w:val="none"/>
        </w:rPr>
      </w:pPr>
      <w:r>
        <w:rPr>
          <w:rFonts w:hint="eastAsia" w:hAnsi="宋体"/>
          <w:color w:val="auto"/>
          <w:sz w:val="22"/>
          <w:highlight w:val="none"/>
        </w:rPr>
        <w:t>6、招标代理费</w:t>
      </w:r>
    </w:p>
    <w:p w14:paraId="54FEE47F">
      <w:pPr>
        <w:autoSpaceDE w:val="0"/>
        <w:autoSpaceDN w:val="0"/>
        <w:adjustRightInd w:val="0"/>
        <w:snapToGrid w:val="0"/>
        <w:spacing w:line="410" w:lineRule="atLeast"/>
        <w:ind w:firstLine="433" w:firstLineChars="197"/>
        <w:textAlignment w:val="bottom"/>
        <w:rPr>
          <w:rFonts w:ascii="宋体"/>
          <w:color w:val="auto"/>
          <w:sz w:val="22"/>
          <w:szCs w:val="22"/>
          <w:highlight w:val="none"/>
        </w:rPr>
      </w:pPr>
      <w:bookmarkStart w:id="72" w:name="_Hlk42256931"/>
      <w:r>
        <w:rPr>
          <w:rFonts w:hint="eastAsia" w:ascii="宋体"/>
          <w:bCs/>
          <w:color w:val="auto"/>
          <w:sz w:val="22"/>
          <w:szCs w:val="22"/>
          <w:highlight w:val="none"/>
          <w:lang w:val="en-US" w:eastAsia="zh-CN"/>
        </w:rPr>
        <w:t>6</w:t>
      </w:r>
      <w:r>
        <w:rPr>
          <w:rFonts w:ascii="宋体"/>
          <w:bCs/>
          <w:color w:val="auto"/>
          <w:sz w:val="22"/>
          <w:szCs w:val="22"/>
          <w:highlight w:val="none"/>
        </w:rPr>
        <w:t>.1</w:t>
      </w:r>
      <w:r>
        <w:rPr>
          <w:rFonts w:hint="eastAsia" w:ascii="宋体"/>
          <w:bCs/>
          <w:color w:val="auto"/>
          <w:sz w:val="22"/>
          <w:szCs w:val="22"/>
          <w:highlight w:val="none"/>
        </w:rPr>
        <w:t>、中标供应商在领取中标通知书同时向代理机构支付</w:t>
      </w:r>
      <w:r>
        <w:rPr>
          <w:rFonts w:hint="eastAsia" w:ascii="宋体"/>
          <w:bCs/>
          <w:color w:val="auto"/>
          <w:sz w:val="22"/>
          <w:szCs w:val="22"/>
          <w:highlight w:val="none"/>
          <w:lang w:val="en-US" w:eastAsia="zh-Hans"/>
        </w:rPr>
        <w:t>捌仟元的</w:t>
      </w:r>
      <w:r>
        <w:rPr>
          <w:rFonts w:hint="eastAsia" w:ascii="宋体"/>
          <w:bCs/>
          <w:color w:val="auto"/>
          <w:sz w:val="22"/>
          <w:szCs w:val="22"/>
          <w:highlight w:val="none"/>
        </w:rPr>
        <w:t>招标代理服务费。</w:t>
      </w:r>
    </w:p>
    <w:bookmarkEnd w:id="72"/>
    <w:p w14:paraId="7AA5C86F">
      <w:pPr>
        <w:autoSpaceDE w:val="0"/>
        <w:autoSpaceDN w:val="0"/>
        <w:adjustRightInd w:val="0"/>
        <w:snapToGrid w:val="0"/>
        <w:spacing w:line="420" w:lineRule="exact"/>
        <w:ind w:firstLine="440" w:firstLineChars="200"/>
        <w:textAlignment w:val="bottom"/>
        <w:rPr>
          <w:rFonts w:ascii="宋体" w:hAnsi="宋体" w:cs="Arial"/>
          <w:bCs/>
          <w:color w:val="auto"/>
          <w:sz w:val="22"/>
          <w:highlight w:val="none"/>
        </w:rPr>
      </w:pPr>
      <w:r>
        <w:rPr>
          <w:rFonts w:hint="eastAsia" w:ascii="宋体" w:hAnsi="宋体" w:cs="Arial"/>
          <w:bCs/>
          <w:color w:val="auto"/>
          <w:sz w:val="22"/>
          <w:highlight w:val="none"/>
        </w:rPr>
        <w:t>招标代理服务费汇入以下</w:t>
      </w:r>
      <w:r>
        <w:rPr>
          <w:rFonts w:hint="eastAsia" w:ascii="宋体" w:hAnsi="宋体" w:cs="Arial"/>
          <w:bCs/>
          <w:color w:val="auto"/>
          <w:sz w:val="22"/>
          <w:highlight w:val="none"/>
          <w:lang w:val="en-US" w:eastAsia="zh-Hans"/>
        </w:rPr>
        <w:t>账</w:t>
      </w:r>
      <w:r>
        <w:rPr>
          <w:rFonts w:hint="eastAsia" w:ascii="宋体" w:hAnsi="宋体" w:cs="Arial"/>
          <w:bCs/>
          <w:color w:val="auto"/>
          <w:sz w:val="22"/>
          <w:highlight w:val="none"/>
        </w:rPr>
        <w:t>号：</w:t>
      </w:r>
    </w:p>
    <w:p w14:paraId="4AAF0C35">
      <w:pPr>
        <w:autoSpaceDE w:val="0"/>
        <w:autoSpaceDN w:val="0"/>
        <w:adjustRightInd w:val="0"/>
        <w:snapToGrid w:val="0"/>
        <w:spacing w:line="420" w:lineRule="exact"/>
        <w:ind w:firstLine="440" w:firstLineChars="200"/>
        <w:textAlignment w:val="bottom"/>
        <w:rPr>
          <w:rFonts w:hint="eastAsia" w:ascii="宋体" w:hAnsi="宋体" w:cs="Arial"/>
          <w:bCs/>
          <w:color w:val="auto"/>
          <w:sz w:val="22"/>
          <w:highlight w:val="none"/>
        </w:rPr>
      </w:pPr>
      <w:r>
        <w:rPr>
          <w:rFonts w:hint="eastAsia" w:ascii="宋体" w:hAnsi="宋体" w:cs="Arial"/>
          <w:bCs/>
          <w:color w:val="auto"/>
          <w:sz w:val="22"/>
          <w:highlight w:val="none"/>
        </w:rPr>
        <w:t>账户名称:杭州华旗招标代理有限公司温州第一分公司</w:t>
      </w:r>
    </w:p>
    <w:p w14:paraId="2E7280D7">
      <w:pPr>
        <w:autoSpaceDE w:val="0"/>
        <w:autoSpaceDN w:val="0"/>
        <w:adjustRightInd w:val="0"/>
        <w:snapToGrid w:val="0"/>
        <w:spacing w:line="420" w:lineRule="exact"/>
        <w:ind w:firstLine="440" w:firstLineChars="200"/>
        <w:textAlignment w:val="bottom"/>
        <w:rPr>
          <w:rFonts w:hint="eastAsia" w:ascii="宋体" w:hAnsi="宋体" w:cs="Arial"/>
          <w:bCs/>
          <w:color w:val="auto"/>
          <w:sz w:val="22"/>
          <w:highlight w:val="none"/>
        </w:rPr>
      </w:pPr>
      <w:r>
        <w:rPr>
          <w:rFonts w:hint="eastAsia" w:ascii="宋体" w:hAnsi="宋体" w:cs="Arial"/>
          <w:bCs/>
          <w:color w:val="auto"/>
          <w:sz w:val="22"/>
          <w:highlight w:val="none"/>
        </w:rPr>
        <w:t>账户号码:1203203009200204292</w:t>
      </w:r>
    </w:p>
    <w:p w14:paraId="00F27504">
      <w:pPr>
        <w:autoSpaceDE w:val="0"/>
        <w:autoSpaceDN w:val="0"/>
        <w:adjustRightInd w:val="0"/>
        <w:snapToGrid w:val="0"/>
        <w:spacing w:line="420" w:lineRule="exact"/>
        <w:ind w:firstLine="440" w:firstLineChars="200"/>
        <w:textAlignment w:val="bottom"/>
        <w:rPr>
          <w:rFonts w:ascii="宋体" w:hAnsi="宋体" w:cs="Arial"/>
          <w:color w:val="auto"/>
          <w:sz w:val="22"/>
          <w:highlight w:val="none"/>
        </w:rPr>
      </w:pPr>
      <w:r>
        <w:rPr>
          <w:rFonts w:hint="eastAsia" w:ascii="宋体" w:hAnsi="宋体" w:cs="Arial"/>
          <w:bCs/>
          <w:color w:val="auto"/>
          <w:sz w:val="22"/>
          <w:highlight w:val="none"/>
        </w:rPr>
        <w:t>开户银行:工商银行温州市中支行</w:t>
      </w:r>
    </w:p>
    <w:p w14:paraId="27604044">
      <w:pPr>
        <w:autoSpaceDE w:val="0"/>
        <w:autoSpaceDN w:val="0"/>
        <w:adjustRightInd w:val="0"/>
        <w:snapToGrid w:val="0"/>
        <w:spacing w:line="420" w:lineRule="exact"/>
        <w:ind w:firstLine="440" w:firstLineChars="200"/>
        <w:textAlignment w:val="bottom"/>
        <w:rPr>
          <w:rFonts w:ascii="宋体" w:hAnsi="宋体" w:cs="Arial"/>
          <w:color w:val="auto"/>
          <w:sz w:val="22"/>
          <w:highlight w:val="none"/>
        </w:rPr>
      </w:pPr>
    </w:p>
    <w:p w14:paraId="5ECF9C8D">
      <w:pPr>
        <w:pStyle w:val="36"/>
        <w:pageBreakBefore/>
        <w:adjustRightInd w:val="0"/>
        <w:snapToGrid w:val="0"/>
        <w:spacing w:line="460" w:lineRule="atLeast"/>
        <w:ind w:firstLine="853" w:firstLineChars="237"/>
        <w:jc w:val="center"/>
        <w:outlineLvl w:val="0"/>
        <w:rPr>
          <w:rFonts w:ascii="宋体" w:hAnsi="宋体" w:eastAsia="宋体"/>
          <w:color w:val="auto"/>
          <w:sz w:val="36"/>
          <w:highlight w:val="none"/>
        </w:rPr>
      </w:pPr>
      <w:bookmarkStart w:id="73" w:name="_Toc22996"/>
      <w:r>
        <w:rPr>
          <w:rFonts w:hint="eastAsia" w:ascii="宋体" w:hAnsi="宋体" w:eastAsia="宋体"/>
          <w:color w:val="auto"/>
          <w:sz w:val="36"/>
          <w:highlight w:val="none"/>
        </w:rPr>
        <w:t xml:space="preserve">第四部分   </w:t>
      </w:r>
      <w:r>
        <w:rPr>
          <w:rFonts w:ascii="宋体" w:hAnsi="宋体" w:eastAsia="宋体"/>
          <w:color w:val="auto"/>
          <w:sz w:val="36"/>
          <w:highlight w:val="none"/>
        </w:rPr>
        <w:t xml:space="preserve"> </w:t>
      </w:r>
      <w:r>
        <w:rPr>
          <w:rFonts w:hint="eastAsia" w:ascii="宋体" w:hAnsi="宋体" w:eastAsia="宋体"/>
          <w:color w:val="auto"/>
          <w:sz w:val="36"/>
          <w:highlight w:val="none"/>
        </w:rPr>
        <w:t>政府采购政策功能相关说明</w:t>
      </w:r>
      <w:bookmarkEnd w:id="73"/>
    </w:p>
    <w:p w14:paraId="0D2EE881">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一、小、微企业（含监狱企业、残疾人福利性单位）扶持政策说明</w:t>
      </w:r>
    </w:p>
    <w:p w14:paraId="23A0A511">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1、文件依据</w:t>
      </w:r>
    </w:p>
    <w:p w14:paraId="00BAC36D">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w:t>
      </w:r>
      <w:r>
        <w:rPr>
          <w:rFonts w:ascii="宋体" w:hAnsi="宋体"/>
          <w:bCs/>
          <w:color w:val="auto"/>
          <w:sz w:val="22"/>
          <w:szCs w:val="22"/>
          <w:highlight w:val="none"/>
        </w:rPr>
        <w:t>《政府采购促进中小企业发展管理办法》（财库﹝2020﹞46 号）</w:t>
      </w:r>
    </w:p>
    <w:p w14:paraId="0708C8DF">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2）浙江省省财政厅《关于开展政府采购供应商网上注册登记和诚信管理工作的通知》（浙财采监〔2010〕8号)</w:t>
      </w:r>
    </w:p>
    <w:p w14:paraId="1C8A6B80">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）《工业和信息化部、国家统计局、国家发展和改革委员会、财政部关于印发中小企业划型标准规定的通知》（工信部联企业[2011]300号）</w:t>
      </w:r>
    </w:p>
    <w:p w14:paraId="7B937DF3">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）财政部、司法部《关于政府采购支持监狱企业发展有关问题的通知》（财库〔2014〕68号）</w:t>
      </w:r>
    </w:p>
    <w:p w14:paraId="1BD3D240">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）《财政部 民政部 中国残疾人联合会关于促进残疾人就业政府采购政策的通知》（财库〔2017〕 141号）</w:t>
      </w:r>
    </w:p>
    <w:p w14:paraId="0AA345B0">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在政府采购活动中，供应商提供的货物、工程或者服务符合下列情形的，享受中小企业扶持政策：</w:t>
      </w:r>
    </w:p>
    <w:p w14:paraId="64BA9DBA">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1</w:t>
      </w:r>
      <w:r>
        <w:rPr>
          <w:rFonts w:ascii="宋体" w:hAnsi="宋体"/>
          <w:color w:val="auto"/>
          <w:sz w:val="22"/>
          <w:szCs w:val="22"/>
          <w:highlight w:val="none"/>
        </w:rPr>
        <w:t xml:space="preserve">）在货物采购项目中，货物由中小企业制造，即货物由中小企业生产且使用该中小企业商号或者注册商标； </w:t>
      </w:r>
    </w:p>
    <w:p w14:paraId="3E44CF17">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2</w:t>
      </w:r>
      <w:r>
        <w:rPr>
          <w:rFonts w:ascii="宋体" w:hAnsi="宋体"/>
          <w:color w:val="auto"/>
          <w:sz w:val="22"/>
          <w:szCs w:val="22"/>
          <w:highlight w:val="none"/>
        </w:rPr>
        <w:t xml:space="preserve">）在工程采购项目中，工程由中小企业承建，即工程施工单位为中小企业； </w:t>
      </w:r>
    </w:p>
    <w:p w14:paraId="008F3205">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3</w:t>
      </w:r>
      <w:r>
        <w:rPr>
          <w:rFonts w:ascii="宋体" w:hAnsi="宋体"/>
          <w:color w:val="auto"/>
          <w:sz w:val="22"/>
          <w:szCs w:val="22"/>
          <w:highlight w:val="none"/>
        </w:rPr>
        <w:t xml:space="preserve">）在服务采购项目中，服务由中小企业承接，即提供服务的人员为中小企业依照《中华人民共和国劳动合同法》订立劳动合同的从业人员。 </w:t>
      </w:r>
    </w:p>
    <w:p w14:paraId="35823393">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在货物采购项目中，供应商提供的货物既有中小企业制造货物，也有大型企业制造货物的，不享受规定的中小企业扶持政策。</w:t>
      </w:r>
    </w:p>
    <w:p w14:paraId="034CBDDF">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3、投标供应商享受小微企业价格折扣应提供以下证明材料（放在报价文件中）：</w:t>
      </w:r>
    </w:p>
    <w:p w14:paraId="22AFAD8B">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1）《中小企业声明函》（原件，加盖供应商公章，格式见附件1）</w:t>
      </w:r>
      <w:r>
        <w:rPr>
          <w:rFonts w:hint="eastAsia" w:ascii="宋体" w:hAnsi="宋体"/>
          <w:color w:val="auto"/>
          <w:sz w:val="22"/>
          <w:szCs w:val="22"/>
          <w:highlight w:val="none"/>
        </w:rPr>
        <w:t>；</w:t>
      </w:r>
    </w:p>
    <w:p w14:paraId="43EE63A3">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投标供应商</w:t>
      </w:r>
      <w:r>
        <w:rPr>
          <w:rFonts w:ascii="宋体" w:hAnsi="宋体"/>
          <w:color w:val="auto"/>
          <w:sz w:val="22"/>
          <w:szCs w:val="22"/>
          <w:highlight w:val="none"/>
        </w:rPr>
        <w:t>享受监狱企业价格折扣应提供以下证明材料（</w:t>
      </w:r>
      <w:r>
        <w:rPr>
          <w:rFonts w:hint="eastAsia" w:ascii="宋体" w:hAnsi="宋体"/>
          <w:color w:val="auto"/>
          <w:sz w:val="22"/>
          <w:szCs w:val="22"/>
          <w:highlight w:val="none"/>
        </w:rPr>
        <w:t>放在报价文件中，</w:t>
      </w:r>
      <w:r>
        <w:rPr>
          <w:rFonts w:ascii="宋体" w:hAnsi="宋体"/>
          <w:color w:val="auto"/>
          <w:sz w:val="22"/>
          <w:szCs w:val="22"/>
          <w:highlight w:val="none"/>
        </w:rPr>
        <w:t>不提供的不享受价格折扣）：</w:t>
      </w:r>
    </w:p>
    <w:p w14:paraId="6C0BC4FC">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1）监狱企业参加政府采购活动时，应当提供由省级及以上监狱管理局、戒毒管理局(含新疆生产建设兵团)出具的属于监狱企业的证明文件（</w:t>
      </w:r>
      <w:r>
        <w:rPr>
          <w:rFonts w:hint="eastAsia" w:ascii="宋体" w:hAnsi="宋体"/>
          <w:color w:val="auto"/>
          <w:sz w:val="22"/>
          <w:szCs w:val="22"/>
          <w:highlight w:val="none"/>
        </w:rPr>
        <w:t>扫描</w:t>
      </w:r>
      <w:r>
        <w:rPr>
          <w:rFonts w:ascii="宋体" w:hAnsi="宋体"/>
          <w:color w:val="auto"/>
          <w:sz w:val="22"/>
          <w:szCs w:val="22"/>
          <w:highlight w:val="none"/>
        </w:rPr>
        <w:t>件加盖供应商公章）。在政府采购活动中，监狱企业视同小型、微型企业，享受评审中价格扣除政策。</w:t>
      </w:r>
    </w:p>
    <w:p w14:paraId="17150F3E">
      <w:pPr>
        <w:snapToGrid w:val="0"/>
        <w:spacing w:line="460" w:lineRule="atLeas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投标供应商</w:t>
      </w:r>
      <w:r>
        <w:rPr>
          <w:rFonts w:ascii="宋体" w:hAnsi="宋体"/>
          <w:color w:val="auto"/>
          <w:sz w:val="22"/>
          <w:szCs w:val="22"/>
          <w:highlight w:val="none"/>
        </w:rPr>
        <w:t>享受残疾人福利性单位价格折扣应提供以下证明材料（</w:t>
      </w:r>
      <w:r>
        <w:rPr>
          <w:rFonts w:hint="eastAsia" w:ascii="宋体" w:hAnsi="宋体"/>
          <w:color w:val="auto"/>
          <w:sz w:val="22"/>
          <w:szCs w:val="22"/>
          <w:highlight w:val="none"/>
        </w:rPr>
        <w:t>放在报价文件中</w:t>
      </w:r>
      <w:r>
        <w:rPr>
          <w:rFonts w:ascii="宋体" w:hAnsi="宋体"/>
          <w:color w:val="auto"/>
          <w:sz w:val="22"/>
          <w:szCs w:val="22"/>
          <w:highlight w:val="none"/>
        </w:rPr>
        <w:t>，不提供的不享受价格折扣）：</w:t>
      </w:r>
    </w:p>
    <w:p w14:paraId="10385728">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1）残疾人福利性单位声明函（原件，加盖投标供应商公章，格式见附件</w:t>
      </w:r>
      <w:r>
        <w:rPr>
          <w:rFonts w:hint="eastAsia" w:ascii="宋体" w:hAnsi="宋体"/>
          <w:color w:val="auto"/>
          <w:sz w:val="22"/>
          <w:szCs w:val="22"/>
          <w:highlight w:val="none"/>
        </w:rPr>
        <w:t>2。在政府采购活动中，残疾人福利性单位视同小型、微型企业，享受评审中价格扣除政策。</w:t>
      </w:r>
    </w:p>
    <w:p w14:paraId="484CF966">
      <w:pPr>
        <w:snapToGrid w:val="0"/>
        <w:spacing w:line="460" w:lineRule="atLeast"/>
        <w:ind w:firstLine="440" w:firstLineChars="200"/>
        <w:rPr>
          <w:rFonts w:ascii="宋体" w:hAnsi="宋体"/>
          <w:bCs/>
          <w:color w:val="auto"/>
          <w:sz w:val="22"/>
          <w:szCs w:val="22"/>
          <w:highlight w:val="none"/>
        </w:rPr>
      </w:pPr>
      <w:r>
        <w:rPr>
          <w:rFonts w:ascii="宋体" w:hAnsi="宋体"/>
          <w:bCs/>
          <w:color w:val="auto"/>
          <w:sz w:val="22"/>
          <w:szCs w:val="22"/>
          <w:highlight w:val="none"/>
        </w:rPr>
        <w:t>6、</w:t>
      </w:r>
      <w:r>
        <w:rPr>
          <w:rFonts w:hint="eastAsia" w:ascii="宋体" w:hAnsi="宋体"/>
          <w:bCs/>
          <w:color w:val="auto"/>
          <w:sz w:val="22"/>
          <w:szCs w:val="22"/>
          <w:highlight w:val="none"/>
        </w:rPr>
        <w:t>其他说明</w:t>
      </w:r>
    </w:p>
    <w:p w14:paraId="44587A8A">
      <w:pPr>
        <w:snapToGrid w:val="0"/>
        <w:spacing w:line="460" w:lineRule="atLeas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w:t>
      </w:r>
      <w:r>
        <w:rPr>
          <w:rFonts w:ascii="宋体" w:hAnsi="宋体"/>
          <w:bCs/>
          <w:color w:val="auto"/>
          <w:sz w:val="22"/>
          <w:szCs w:val="22"/>
          <w:highlight w:val="none"/>
        </w:rPr>
        <w:t>1）</w:t>
      </w:r>
      <w:r>
        <w:rPr>
          <w:rFonts w:hint="eastAsia" w:ascii="宋体" w:hAnsi="宋体"/>
          <w:bCs/>
          <w:color w:val="auto"/>
          <w:sz w:val="22"/>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9DFA840">
      <w:pPr>
        <w:snapToGrid w:val="0"/>
        <w:spacing w:line="460" w:lineRule="atLeast"/>
        <w:ind w:firstLine="440" w:firstLineChars="200"/>
        <w:rPr>
          <w:rFonts w:ascii="宋体" w:hAnsi="宋体"/>
          <w:bCs/>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2</w:t>
      </w:r>
      <w:r>
        <w:rPr>
          <w:rFonts w:hint="eastAsia" w:ascii="宋体" w:hAnsi="宋体"/>
          <w:color w:val="auto"/>
          <w:sz w:val="22"/>
          <w:szCs w:val="22"/>
          <w:highlight w:val="none"/>
        </w:rPr>
        <w:t>）采购项目如为专门面向中小企业采购项目或采购包的，不再执行价格评审优惠的扶持政策。</w:t>
      </w:r>
    </w:p>
    <w:p w14:paraId="23DEE08B">
      <w:pPr>
        <w:spacing w:line="460" w:lineRule="atLeast"/>
        <w:ind w:firstLine="440" w:firstLineChars="200"/>
        <w:rPr>
          <w:rFonts w:ascii="宋体" w:hAnsi="宋体"/>
          <w:color w:val="auto"/>
          <w:sz w:val="24"/>
          <w:highlight w:val="none"/>
        </w:rPr>
      </w:pPr>
      <w:r>
        <w:rPr>
          <w:rFonts w:ascii="宋体" w:hAnsi="宋体"/>
          <w:color w:val="auto"/>
          <w:sz w:val="22"/>
          <w:szCs w:val="22"/>
          <w:highlight w:val="none"/>
        </w:rPr>
        <w:br w:type="page"/>
      </w:r>
      <w:r>
        <w:rPr>
          <w:rFonts w:hint="eastAsia" w:ascii="宋体" w:hAnsi="宋体" w:cs="宋体"/>
          <w:color w:val="auto"/>
          <w:sz w:val="22"/>
          <w:highlight w:val="none"/>
        </w:rPr>
        <w:t>附件1：</w:t>
      </w:r>
    </w:p>
    <w:p w14:paraId="203B2D69">
      <w:pPr>
        <w:spacing w:line="460" w:lineRule="atLeast"/>
        <w:jc w:val="center"/>
        <w:rPr>
          <w:rFonts w:ascii="宋体" w:hAnsi="宋体"/>
          <w:bCs/>
          <w:color w:val="auto"/>
          <w:sz w:val="32"/>
          <w:szCs w:val="32"/>
          <w:highlight w:val="none"/>
        </w:rPr>
      </w:pPr>
      <w:r>
        <w:rPr>
          <w:rFonts w:hint="eastAsia" w:ascii="宋体" w:hAnsi="宋体"/>
          <w:bCs/>
          <w:color w:val="auto"/>
          <w:sz w:val="32"/>
          <w:szCs w:val="32"/>
          <w:highlight w:val="none"/>
        </w:rPr>
        <w:t>中小企业声明函（服务）</w:t>
      </w:r>
    </w:p>
    <w:p w14:paraId="2908AA3C">
      <w:pPr>
        <w:spacing w:line="460" w:lineRule="atLeast"/>
        <w:ind w:firstLine="440" w:firstLineChars="200"/>
        <w:rPr>
          <w:rFonts w:ascii="宋体" w:hAnsi="宋体" w:cs="Courier New"/>
          <w:color w:val="auto"/>
          <w:sz w:val="22"/>
          <w:highlight w:val="none"/>
        </w:rPr>
      </w:pPr>
    </w:p>
    <w:p w14:paraId="079DD232">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本公司（联合体）郑重声明，根据《政府采购促进中小企业发展管理办法》（财库﹝2020﹞46 号）的规定</w:t>
      </w:r>
      <w:r>
        <w:rPr>
          <w:rFonts w:hint="eastAsia" w:ascii="宋体" w:hAnsi="宋体" w:cs="Courier New"/>
          <w:color w:val="auto"/>
          <w:sz w:val="22"/>
          <w:highlight w:val="none"/>
        </w:rPr>
        <w:t>，本公司</w:t>
      </w:r>
      <w:r>
        <w:rPr>
          <w:rFonts w:ascii="宋体" w:hAnsi="宋体" w:cs="Courier New"/>
          <w:color w:val="auto"/>
          <w:sz w:val="22"/>
          <w:highlight w:val="none"/>
        </w:rPr>
        <w:t>（联合体）参加（</w:t>
      </w:r>
      <w:r>
        <w:rPr>
          <w:rFonts w:hint="eastAsia" w:ascii="宋体" w:hAnsi="宋体" w:cs="Courier New"/>
          <w:color w:val="auto"/>
          <w:sz w:val="22"/>
          <w:highlight w:val="none"/>
          <w:u w:val="single"/>
          <w:lang w:eastAsia="zh-CN"/>
        </w:rPr>
        <w:t>温州市应急管理局</w:t>
      </w:r>
      <w:r>
        <w:rPr>
          <w:rFonts w:ascii="宋体" w:hAnsi="宋体" w:cs="Courier New"/>
          <w:color w:val="auto"/>
          <w:sz w:val="22"/>
          <w:highlight w:val="none"/>
        </w:rPr>
        <w:t>）的（</w:t>
      </w:r>
      <w:r>
        <w:rPr>
          <w:rFonts w:hint="eastAsia" w:ascii="宋体" w:hAnsi="宋体" w:cs="Courier New"/>
          <w:color w:val="auto"/>
          <w:sz w:val="22"/>
          <w:highlight w:val="none"/>
          <w:u w:val="single"/>
          <w:lang w:eastAsia="zh-CN"/>
        </w:rPr>
        <w:t>温州市安全风险态势电子沙盘建设项目</w:t>
      </w:r>
      <w:r>
        <w:rPr>
          <w:rFonts w:ascii="宋体" w:hAnsi="宋体" w:cs="Courier New"/>
          <w:color w:val="auto"/>
          <w:sz w:val="22"/>
          <w:highlight w:val="none"/>
        </w:rPr>
        <w:t>）采购活动，服务全部由符合政策要求的中小企业承接。相关企业（含联合体中的中小企业、签订分包意向协议的中小企业）的具体情况如下：</w:t>
      </w:r>
    </w:p>
    <w:p w14:paraId="634CA839">
      <w:pPr>
        <w:spacing w:line="460" w:lineRule="atLeast"/>
        <w:ind w:left="420" w:leftChars="200"/>
        <w:rPr>
          <w:rFonts w:ascii="宋体" w:hAnsi="宋体" w:cs="Courier New"/>
          <w:b/>
          <w:color w:val="auto"/>
          <w:sz w:val="22"/>
          <w:highlight w:val="none"/>
        </w:rPr>
      </w:pPr>
    </w:p>
    <w:p w14:paraId="4C8760FB">
      <w:pPr>
        <w:spacing w:line="460" w:lineRule="atLeast"/>
        <w:ind w:firstLine="440" w:firstLineChars="200"/>
        <w:rPr>
          <w:rFonts w:ascii="宋体" w:hAnsi="宋体" w:cs="Courier New"/>
          <w:color w:val="auto"/>
          <w:sz w:val="22"/>
          <w:highlight w:val="none"/>
          <w:u w:val="single"/>
        </w:rPr>
      </w:pPr>
      <w:r>
        <w:rPr>
          <w:rFonts w:ascii="宋体" w:hAnsi="宋体" w:cs="Courier New"/>
          <w:color w:val="auto"/>
          <w:sz w:val="22"/>
          <w:highlight w:val="none"/>
        </w:rPr>
        <w:t>1</w:t>
      </w:r>
      <w:r>
        <w:rPr>
          <w:rFonts w:hint="eastAsia" w:ascii="宋体" w:hAnsi="宋体" w:cs="Courier New"/>
          <w:color w:val="auto"/>
          <w:sz w:val="22"/>
          <w:highlight w:val="none"/>
        </w:rPr>
        <w:t xml:space="preserve">. </w:t>
      </w:r>
      <w:r>
        <w:rPr>
          <w:rFonts w:hint="eastAsia" w:ascii="宋体" w:hAnsi="宋体" w:cs="Courier New"/>
          <w:color w:val="auto"/>
          <w:sz w:val="22"/>
          <w:highlight w:val="none"/>
          <w:u w:val="single"/>
        </w:rPr>
        <w:t>（</w:t>
      </w:r>
      <w:r>
        <w:rPr>
          <w:rFonts w:hint="eastAsia" w:ascii="宋体" w:hAnsi="宋体" w:cs="Courier New"/>
          <w:color w:val="auto"/>
          <w:sz w:val="22"/>
          <w:highlight w:val="none"/>
          <w:u w:val="single"/>
          <w:lang w:eastAsia="zh-CN"/>
        </w:rPr>
        <w:t>温州市安全风险态势电子沙盘建设项目</w:t>
      </w:r>
      <w:r>
        <w:rPr>
          <w:rFonts w:hint="eastAsia" w:ascii="宋体" w:hAnsi="宋体" w:cs="Courier New"/>
          <w:color w:val="auto"/>
          <w:sz w:val="22"/>
          <w:highlight w:val="none"/>
          <w:u w:val="single"/>
        </w:rPr>
        <w:t>）</w:t>
      </w:r>
      <w:r>
        <w:rPr>
          <w:rFonts w:hint="eastAsia" w:ascii="宋体" w:hAnsi="宋体" w:cs="Courier New"/>
          <w:color w:val="auto"/>
          <w:sz w:val="22"/>
          <w:highlight w:val="none"/>
        </w:rPr>
        <w:t>，属于</w:t>
      </w:r>
      <w:r>
        <w:rPr>
          <w:rFonts w:hint="eastAsia" w:ascii="宋体" w:hAnsi="宋体" w:cs="Courier New"/>
          <w:color w:val="auto"/>
          <w:sz w:val="22"/>
          <w:highlight w:val="none"/>
          <w:u w:val="single"/>
        </w:rPr>
        <w:t>（软件和信息技术服务业）</w:t>
      </w:r>
      <w:r>
        <w:rPr>
          <w:rFonts w:hint="eastAsia" w:ascii="宋体" w:hAnsi="宋体" w:cs="Courier New"/>
          <w:color w:val="auto"/>
          <w:sz w:val="22"/>
          <w:highlight w:val="none"/>
        </w:rPr>
        <w:t>；承接企业为</w:t>
      </w:r>
      <w:r>
        <w:rPr>
          <w:rFonts w:hint="eastAsia" w:ascii="宋体" w:hAnsi="宋体" w:cs="Courier New"/>
          <w:color w:val="auto"/>
          <w:sz w:val="22"/>
          <w:highlight w:val="none"/>
          <w:u w:val="single"/>
        </w:rPr>
        <w:t>（企业名称）</w:t>
      </w:r>
      <w:r>
        <w:rPr>
          <w:rFonts w:hint="eastAsia" w:ascii="宋体" w:hAnsi="宋体" w:cs="Courier New"/>
          <w:color w:val="auto"/>
          <w:sz w:val="22"/>
          <w:highlight w:val="none"/>
        </w:rPr>
        <w:t>，从业人员</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人，营业收入为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万元，资产总额为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w:t>
      </w:r>
      <w:r>
        <w:rPr>
          <w:rFonts w:hint="eastAsia" w:ascii="宋体" w:hAnsi="宋体" w:cs="Courier New"/>
          <w:color w:val="auto"/>
          <w:sz w:val="22"/>
          <w:highlight w:val="none"/>
          <w:vertAlign w:val="superscript"/>
        </w:rPr>
        <w:t>1</w:t>
      </w:r>
      <w:r>
        <w:rPr>
          <w:rFonts w:hint="eastAsia" w:ascii="宋体" w:hAnsi="宋体" w:cs="Courier New"/>
          <w:color w:val="auto"/>
          <w:sz w:val="22"/>
          <w:highlight w:val="none"/>
        </w:rPr>
        <w:t>，属于</w:t>
      </w:r>
      <w:r>
        <w:rPr>
          <w:rFonts w:hint="eastAsia" w:ascii="宋体" w:hAnsi="宋体" w:cs="Courier New"/>
          <w:color w:val="auto"/>
          <w:sz w:val="22"/>
          <w:highlight w:val="none"/>
          <w:u w:val="single"/>
        </w:rPr>
        <w:t xml:space="preserve">     </w:t>
      </w:r>
      <w:r>
        <w:rPr>
          <w:rFonts w:hint="default" w:ascii="宋体" w:hAnsi="宋体" w:cs="Courier New"/>
          <w:color w:val="auto"/>
          <w:sz w:val="22"/>
          <w:highlight w:val="none"/>
          <w:u w:val="single"/>
        </w:rPr>
        <w:t xml:space="preserve">  </w:t>
      </w:r>
      <w:r>
        <w:rPr>
          <w:rFonts w:hint="eastAsia" w:ascii="宋体" w:hAnsi="宋体" w:cs="Courier New"/>
          <w:color w:val="auto"/>
          <w:sz w:val="22"/>
          <w:highlight w:val="none"/>
          <w:u w:val="single"/>
        </w:rPr>
        <w:t>（中型企业、小型企业、微型企业）</w:t>
      </w:r>
      <w:r>
        <w:rPr>
          <w:rFonts w:hint="eastAsia" w:ascii="宋体" w:hAnsi="宋体" w:cs="Courier New"/>
          <w:color w:val="auto"/>
          <w:sz w:val="22"/>
          <w:highlight w:val="none"/>
        </w:rPr>
        <w:t>；</w:t>
      </w:r>
    </w:p>
    <w:p w14:paraId="5D439791">
      <w:pPr>
        <w:spacing w:line="460" w:lineRule="atLeast"/>
        <w:ind w:firstLine="440" w:firstLineChars="200"/>
        <w:rPr>
          <w:rFonts w:ascii="宋体" w:hAnsi="宋体" w:cs="Courier New"/>
          <w:color w:val="auto"/>
          <w:sz w:val="22"/>
          <w:highlight w:val="none"/>
        </w:rPr>
      </w:pPr>
      <w:r>
        <w:rPr>
          <w:rFonts w:hint="eastAsia" w:ascii="宋体" w:hAnsi="宋体" w:cs="Courier New"/>
          <w:color w:val="auto"/>
          <w:sz w:val="22"/>
          <w:highlight w:val="none"/>
        </w:rPr>
        <w:t xml:space="preserve">2. </w:t>
      </w:r>
      <w:r>
        <w:rPr>
          <w:rFonts w:hint="eastAsia" w:ascii="宋体" w:hAnsi="宋体" w:cs="Courier New"/>
          <w:color w:val="auto"/>
          <w:sz w:val="22"/>
          <w:highlight w:val="none"/>
          <w:u w:val="single"/>
        </w:rPr>
        <w:t xml:space="preserve">（标的名称） </w:t>
      </w:r>
      <w:r>
        <w:rPr>
          <w:rFonts w:hint="eastAsia" w:ascii="宋体" w:hAnsi="宋体" w:cs="Courier New"/>
          <w:color w:val="auto"/>
          <w:sz w:val="22"/>
          <w:highlight w:val="none"/>
        </w:rPr>
        <w:t>，属于</w:t>
      </w:r>
      <w:r>
        <w:rPr>
          <w:rFonts w:hint="eastAsia" w:ascii="宋体" w:hAnsi="宋体" w:cs="Courier New"/>
          <w:color w:val="auto"/>
          <w:sz w:val="22"/>
          <w:highlight w:val="none"/>
          <w:u w:val="single"/>
        </w:rPr>
        <w:t>（采购文件中明确的所属行业）</w:t>
      </w:r>
      <w:r>
        <w:rPr>
          <w:rFonts w:hint="eastAsia" w:ascii="宋体" w:hAnsi="宋体" w:cs="Courier New"/>
          <w:color w:val="auto"/>
          <w:sz w:val="22"/>
          <w:highlight w:val="none"/>
        </w:rPr>
        <w:t>；承接企业为</w:t>
      </w:r>
      <w:r>
        <w:rPr>
          <w:rFonts w:hint="eastAsia" w:ascii="宋体" w:hAnsi="宋体" w:cs="Courier New"/>
          <w:color w:val="auto"/>
          <w:sz w:val="22"/>
          <w:highlight w:val="none"/>
          <w:u w:val="single"/>
        </w:rPr>
        <w:t>（企业名称）</w:t>
      </w:r>
      <w:r>
        <w:rPr>
          <w:rFonts w:hint="eastAsia" w:ascii="宋体" w:hAnsi="宋体" w:cs="Courier New"/>
          <w:color w:val="auto"/>
          <w:sz w:val="22"/>
          <w:highlight w:val="none"/>
        </w:rPr>
        <w:t>，从业人员</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人，营业收入为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万元，资产总额为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万元，属于</w:t>
      </w:r>
      <w:r>
        <w:rPr>
          <w:rFonts w:hint="eastAsia" w:ascii="宋体" w:hAnsi="宋体" w:cs="Courier New"/>
          <w:color w:val="auto"/>
          <w:sz w:val="22"/>
          <w:highlight w:val="none"/>
          <w:u w:val="single"/>
        </w:rPr>
        <w:t xml:space="preserve">     （中型企业、小型企业、微型企业）</w:t>
      </w:r>
      <w:r>
        <w:rPr>
          <w:rFonts w:hint="eastAsia" w:ascii="宋体" w:hAnsi="宋体" w:cs="Courier New"/>
          <w:color w:val="auto"/>
          <w:sz w:val="22"/>
          <w:highlight w:val="none"/>
        </w:rPr>
        <w:t>；</w:t>
      </w:r>
    </w:p>
    <w:p w14:paraId="21FD1DE5">
      <w:pPr>
        <w:spacing w:line="460" w:lineRule="atLeast"/>
        <w:ind w:firstLine="440" w:firstLineChars="200"/>
        <w:rPr>
          <w:rFonts w:ascii="宋体" w:hAnsi="宋体" w:cs="Courier New"/>
          <w:b/>
          <w:color w:val="auto"/>
          <w:sz w:val="22"/>
          <w:highlight w:val="none"/>
        </w:rPr>
      </w:pPr>
      <w:r>
        <w:rPr>
          <w:rFonts w:hint="eastAsia" w:ascii="宋体" w:hAnsi="宋体" w:cs="Courier New"/>
          <w:color w:val="auto"/>
          <w:sz w:val="22"/>
          <w:highlight w:val="none"/>
        </w:rPr>
        <w:t>  </w:t>
      </w:r>
      <w:r>
        <w:rPr>
          <w:rFonts w:ascii="宋体" w:hAnsi="宋体" w:cs="Courier New"/>
          <w:color w:val="auto"/>
          <w:sz w:val="22"/>
          <w:highlight w:val="none"/>
        </w:rPr>
        <w:t>……</w:t>
      </w:r>
    </w:p>
    <w:p w14:paraId="32A1B4D7">
      <w:pPr>
        <w:spacing w:line="460" w:lineRule="atLeast"/>
        <w:rPr>
          <w:rFonts w:ascii="宋体" w:hAnsi="宋体" w:cs="Courier New"/>
          <w:b/>
          <w:color w:val="auto"/>
          <w:sz w:val="22"/>
          <w:highlight w:val="none"/>
        </w:rPr>
      </w:pPr>
    </w:p>
    <w:p w14:paraId="6EAD8466">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 xml:space="preserve">以上企业，不属于大企业的分支机构，不存在控股股东为大企业的情形，也不存在与大企业的负责人为同一人的情形。 </w:t>
      </w:r>
    </w:p>
    <w:p w14:paraId="2C231585">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 xml:space="preserve">本企业对上述声明内容的真实性负责。如有虚假，将依法承担相应责任。 </w:t>
      </w:r>
    </w:p>
    <w:p w14:paraId="4F12859F">
      <w:pPr>
        <w:spacing w:line="460" w:lineRule="atLeast"/>
        <w:rPr>
          <w:rFonts w:ascii="宋体" w:hAnsi="宋体" w:cs="Courier New"/>
          <w:b/>
          <w:color w:val="auto"/>
          <w:sz w:val="22"/>
          <w:highlight w:val="none"/>
        </w:rPr>
      </w:pPr>
    </w:p>
    <w:p w14:paraId="02201EA6">
      <w:pPr>
        <w:spacing w:line="460" w:lineRule="atLeast"/>
        <w:jc w:val="center"/>
        <w:rPr>
          <w:rFonts w:ascii="宋体" w:hAnsi="宋体" w:cs="Courier New"/>
          <w:color w:val="auto"/>
          <w:sz w:val="22"/>
          <w:highlight w:val="none"/>
        </w:rPr>
      </w:pPr>
      <w:r>
        <w:rPr>
          <w:rFonts w:hint="eastAsia" w:ascii="宋体" w:hAnsi="宋体" w:cs="Courier New"/>
          <w:color w:val="auto"/>
          <w:sz w:val="22"/>
          <w:highlight w:val="none"/>
        </w:rPr>
        <w:t xml:space="preserve"> </w:t>
      </w:r>
      <w:r>
        <w:rPr>
          <w:rFonts w:ascii="宋体" w:hAnsi="宋体" w:cs="Courier New"/>
          <w:color w:val="auto"/>
          <w:sz w:val="22"/>
          <w:highlight w:val="none"/>
        </w:rPr>
        <w:t xml:space="preserve">                         </w:t>
      </w:r>
      <w:r>
        <w:rPr>
          <w:rFonts w:hint="eastAsia" w:ascii="宋体" w:hAnsi="宋体" w:cs="Courier New"/>
          <w:color w:val="auto"/>
          <w:sz w:val="22"/>
          <w:highlight w:val="none"/>
        </w:rPr>
        <w:t>投标供应商名称（盖章）：    </w:t>
      </w:r>
    </w:p>
    <w:p w14:paraId="3861C5B1">
      <w:pPr>
        <w:spacing w:line="460" w:lineRule="atLeast"/>
        <w:jc w:val="center"/>
        <w:rPr>
          <w:rFonts w:ascii="宋体" w:hAnsi="宋体" w:cs="Courier New"/>
          <w:color w:val="auto"/>
          <w:sz w:val="22"/>
          <w:highlight w:val="none"/>
        </w:rPr>
      </w:pPr>
      <w:r>
        <w:rPr>
          <w:rFonts w:hint="eastAsia" w:ascii="宋体" w:hAnsi="宋体" w:cs="Courier New"/>
          <w:color w:val="auto"/>
          <w:sz w:val="22"/>
          <w:highlight w:val="none"/>
        </w:rPr>
        <w:t>日期：</w:t>
      </w:r>
    </w:p>
    <w:p w14:paraId="47656DB8">
      <w:pPr>
        <w:spacing w:line="440" w:lineRule="atLeast"/>
        <w:rPr>
          <w:rFonts w:ascii="宋体" w:hAnsi="宋体" w:cs="Courier New"/>
          <w:color w:val="auto"/>
          <w:sz w:val="22"/>
          <w:highlight w:val="none"/>
        </w:rPr>
      </w:pPr>
    </w:p>
    <w:p w14:paraId="33574E57">
      <w:pPr>
        <w:spacing w:line="440" w:lineRule="atLeast"/>
        <w:rPr>
          <w:rFonts w:ascii="宋体" w:hAnsi="宋体" w:cs="Courier New"/>
          <w:color w:val="auto"/>
          <w:sz w:val="22"/>
          <w:highlight w:val="none"/>
        </w:rPr>
      </w:pPr>
    </w:p>
    <w:p w14:paraId="69C2104B">
      <w:pPr>
        <w:spacing w:line="440" w:lineRule="atLeast"/>
        <w:rPr>
          <w:rFonts w:ascii="宋体" w:hAnsi="宋体" w:cs="Courier New"/>
          <w:b/>
          <w:bCs/>
          <w:color w:val="auto"/>
          <w:sz w:val="22"/>
          <w:highlight w:val="none"/>
        </w:rPr>
      </w:pPr>
      <w:r>
        <w:rPr>
          <w:rFonts w:ascii="宋体" w:hAnsi="宋体" w:cs="Courier New"/>
          <w:color w:val="auto"/>
          <w:sz w:val="22"/>
          <w:highlight w:val="none"/>
        </w:rPr>
        <w:t xml:space="preserve">   </w:t>
      </w:r>
      <w:r>
        <w:rPr>
          <w:rFonts w:ascii="宋体" w:hAnsi="宋体" w:cs="Courier New"/>
          <w:bCs/>
          <w:color w:val="auto"/>
          <w:sz w:val="22"/>
          <w:highlight w:val="none"/>
        </w:rPr>
        <w:t xml:space="preserve"> </w:t>
      </w:r>
      <w:r>
        <w:rPr>
          <w:rFonts w:hint="eastAsia" w:ascii="宋体" w:hAnsi="宋体" w:cs="Courier New"/>
          <w:bCs/>
          <w:color w:val="auto"/>
          <w:sz w:val="22"/>
          <w:highlight w:val="none"/>
        </w:rPr>
        <w:t>说明：</w:t>
      </w:r>
    </w:p>
    <w:p w14:paraId="123EF8B6">
      <w:pPr>
        <w:spacing w:line="440" w:lineRule="atLeast"/>
        <w:rPr>
          <w:rFonts w:ascii="宋体" w:hAnsi="宋体" w:cs="Courier New"/>
          <w:b/>
          <w:bCs/>
          <w:color w:val="auto"/>
          <w:sz w:val="22"/>
          <w:highlight w:val="none"/>
        </w:rPr>
      </w:pPr>
      <w:r>
        <w:rPr>
          <w:rFonts w:ascii="宋体" w:hAnsi="宋体" w:cs="Courier New"/>
          <w:bCs/>
          <w:color w:val="auto"/>
          <w:sz w:val="22"/>
          <w:highlight w:val="none"/>
        </w:rPr>
        <w:t xml:space="preserve">    1</w:t>
      </w:r>
      <w:r>
        <w:rPr>
          <w:rFonts w:hint="eastAsia" w:ascii="宋体" w:hAnsi="宋体" w:cs="Courier New"/>
          <w:bCs/>
          <w:color w:val="auto"/>
          <w:sz w:val="22"/>
          <w:highlight w:val="none"/>
        </w:rPr>
        <w:t>、从业人员、营业收入、资产总额填报上一年度数据，无上一年度数据的新成立企业可不填报。</w:t>
      </w:r>
    </w:p>
    <w:p w14:paraId="568580D7">
      <w:pPr>
        <w:spacing w:line="440" w:lineRule="atLeast"/>
        <w:rPr>
          <w:rFonts w:ascii="宋体" w:hAnsi="宋体" w:cs="Courier New"/>
          <w:b/>
          <w:bCs/>
          <w:color w:val="auto"/>
          <w:sz w:val="22"/>
          <w:highlight w:val="none"/>
        </w:rPr>
      </w:pPr>
      <w:r>
        <w:rPr>
          <w:rFonts w:ascii="宋体" w:hAnsi="宋体" w:cs="Courier New"/>
          <w:bCs/>
          <w:color w:val="auto"/>
          <w:sz w:val="22"/>
          <w:highlight w:val="none"/>
        </w:rPr>
        <w:t xml:space="preserve">    2</w:t>
      </w:r>
      <w:r>
        <w:rPr>
          <w:rFonts w:hint="eastAsia" w:ascii="宋体" w:hAnsi="宋体" w:cs="Courier New"/>
          <w:bCs/>
          <w:color w:val="auto"/>
          <w:sz w:val="22"/>
          <w:highlight w:val="none"/>
        </w:rPr>
        <w:t>、如中标，将在采购结果公告中将此中小企业声明函予以公示，接受社会监督。</w:t>
      </w:r>
    </w:p>
    <w:p w14:paraId="2FB859EA">
      <w:pPr>
        <w:spacing w:line="440" w:lineRule="atLeast"/>
        <w:rPr>
          <w:rFonts w:ascii="宋体" w:hAnsi="宋体" w:cs="Courier New"/>
          <w:color w:val="auto"/>
          <w:sz w:val="22"/>
          <w:highlight w:val="none"/>
        </w:rPr>
      </w:pPr>
    </w:p>
    <w:p w14:paraId="24B8E7D5">
      <w:pPr>
        <w:spacing w:line="440" w:lineRule="atLeast"/>
        <w:rPr>
          <w:rFonts w:ascii="宋体" w:hAnsi="宋体" w:cs="宋体"/>
          <w:color w:val="auto"/>
          <w:sz w:val="22"/>
          <w:highlight w:val="none"/>
        </w:rPr>
      </w:pPr>
    </w:p>
    <w:p w14:paraId="3C1044D4">
      <w:pPr>
        <w:spacing w:line="440" w:lineRule="atLeast"/>
        <w:rPr>
          <w:rFonts w:ascii="宋体" w:hAnsi="宋体" w:cs="宋体"/>
          <w:color w:val="auto"/>
          <w:sz w:val="22"/>
          <w:highlight w:val="none"/>
        </w:rPr>
      </w:pPr>
    </w:p>
    <w:p w14:paraId="0407118E">
      <w:pPr>
        <w:spacing w:line="460" w:lineRule="exact"/>
        <w:rPr>
          <w:rFonts w:ascii="宋体" w:hAnsi="宋体" w:cs="宋体"/>
          <w:color w:val="auto"/>
          <w:sz w:val="22"/>
          <w:highlight w:val="none"/>
        </w:rPr>
      </w:pPr>
      <w:r>
        <w:rPr>
          <w:rFonts w:ascii="宋体" w:hAnsi="宋体" w:cs="宋体"/>
          <w:color w:val="auto"/>
          <w:sz w:val="22"/>
          <w:highlight w:val="none"/>
        </w:rPr>
        <w:br w:type="page"/>
      </w:r>
      <w:r>
        <w:rPr>
          <w:rFonts w:hint="eastAsia" w:ascii="宋体" w:hAnsi="宋体" w:cs="宋体"/>
          <w:color w:val="auto"/>
          <w:sz w:val="22"/>
          <w:highlight w:val="none"/>
        </w:rPr>
        <w:t>附件2</w:t>
      </w:r>
    </w:p>
    <w:p w14:paraId="08C7396C">
      <w:pPr>
        <w:spacing w:line="460" w:lineRule="exact"/>
        <w:jc w:val="center"/>
        <w:rPr>
          <w:rFonts w:ascii="宋体" w:hAnsi="宋体" w:cs="宋体"/>
          <w:color w:val="auto"/>
          <w:sz w:val="32"/>
          <w:szCs w:val="36"/>
          <w:highlight w:val="none"/>
        </w:rPr>
      </w:pPr>
      <w:bookmarkStart w:id="74" w:name="OLE_LINK13"/>
      <w:bookmarkStart w:id="75" w:name="OLE_LINK14"/>
      <w:r>
        <w:rPr>
          <w:rFonts w:hint="eastAsia" w:ascii="宋体" w:hAnsi="宋体" w:cs="宋体"/>
          <w:color w:val="auto"/>
          <w:sz w:val="32"/>
          <w:szCs w:val="36"/>
          <w:highlight w:val="none"/>
        </w:rPr>
        <w:t>残疾人福利性单位声明函</w:t>
      </w:r>
    </w:p>
    <w:bookmarkEnd w:id="74"/>
    <w:bookmarkEnd w:id="75"/>
    <w:p w14:paraId="1162EC68">
      <w:pPr>
        <w:spacing w:line="588" w:lineRule="exact"/>
        <w:rPr>
          <w:rFonts w:ascii="宋体" w:hAnsi="宋体"/>
          <w:color w:val="auto"/>
          <w:spacing w:val="6"/>
          <w:sz w:val="30"/>
          <w:szCs w:val="30"/>
          <w:highlight w:val="none"/>
        </w:rPr>
      </w:pPr>
    </w:p>
    <w:p w14:paraId="2629C0CB">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auto"/>
          <w:sz w:val="22"/>
          <w:highlight w:val="none"/>
        </w:rPr>
        <w:t>______单位的______项目采购活动提供本单位制造的货物（由本单位承担工程/提供服务），或者提供其他残疾人福利性单位制造的货物（不包括使用非残疾人福利性单位注册商标的货物）。</w:t>
      </w:r>
    </w:p>
    <w:p w14:paraId="6150DE83">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本单位对上述声明的真实性负责。如有虚假，将依法承担相应责任。</w:t>
      </w:r>
    </w:p>
    <w:p w14:paraId="09E34386">
      <w:pPr>
        <w:spacing w:line="588" w:lineRule="exact"/>
        <w:ind w:firstLine="624" w:firstLineChars="200"/>
        <w:rPr>
          <w:rFonts w:ascii="宋体" w:hAnsi="宋体"/>
          <w:color w:val="auto"/>
          <w:spacing w:val="6"/>
          <w:sz w:val="30"/>
          <w:szCs w:val="30"/>
          <w:highlight w:val="none"/>
        </w:rPr>
      </w:pPr>
    </w:p>
    <w:p w14:paraId="1A90022A">
      <w:pPr>
        <w:spacing w:line="588" w:lineRule="exact"/>
        <w:ind w:firstLine="624" w:firstLineChars="200"/>
        <w:rPr>
          <w:rFonts w:ascii="宋体" w:hAnsi="宋体"/>
          <w:color w:val="auto"/>
          <w:spacing w:val="6"/>
          <w:sz w:val="30"/>
          <w:szCs w:val="30"/>
          <w:highlight w:val="none"/>
        </w:rPr>
      </w:pPr>
    </w:p>
    <w:p w14:paraId="3B350A52">
      <w:pPr>
        <w:spacing w:line="460" w:lineRule="atLeast"/>
        <w:rPr>
          <w:rFonts w:ascii="宋体" w:hAnsi="宋体" w:cs="宋体"/>
          <w:color w:val="auto"/>
          <w:sz w:val="22"/>
          <w:highlight w:val="none"/>
        </w:rPr>
      </w:pPr>
      <w:r>
        <w:rPr>
          <w:rFonts w:hint="eastAsia" w:ascii="宋体" w:hAnsi="宋体" w:cs="宋体"/>
          <w:color w:val="auto"/>
          <w:sz w:val="22"/>
          <w:highlight w:val="none"/>
        </w:rPr>
        <w:t>供应商名称（盖章）：                </w:t>
      </w:r>
    </w:p>
    <w:p w14:paraId="62DA9E6C">
      <w:pPr>
        <w:spacing w:line="460" w:lineRule="atLeast"/>
        <w:rPr>
          <w:rFonts w:ascii="宋体" w:hAnsi="宋体" w:cs="宋体"/>
          <w:color w:val="auto"/>
          <w:sz w:val="22"/>
          <w:highlight w:val="none"/>
        </w:rPr>
      </w:pPr>
      <w:r>
        <w:rPr>
          <w:rFonts w:hint="eastAsia" w:ascii="宋体" w:hAnsi="宋体" w:cs="宋体"/>
          <w:color w:val="auto"/>
          <w:sz w:val="22"/>
          <w:highlight w:val="none"/>
        </w:rPr>
        <w:t>日期：</w:t>
      </w:r>
    </w:p>
    <w:p w14:paraId="691FAA26">
      <w:pPr>
        <w:tabs>
          <w:tab w:val="left" w:pos="4860"/>
        </w:tabs>
        <w:spacing w:line="588" w:lineRule="exact"/>
        <w:ind w:right="1560" w:firstLine="624" w:firstLineChars="200"/>
        <w:jc w:val="center"/>
        <w:rPr>
          <w:rFonts w:ascii="宋体" w:hAnsi="宋体"/>
          <w:color w:val="auto"/>
          <w:spacing w:val="6"/>
          <w:sz w:val="30"/>
          <w:szCs w:val="30"/>
          <w:highlight w:val="none"/>
        </w:rPr>
      </w:pPr>
    </w:p>
    <w:p w14:paraId="058A54F6">
      <w:pPr>
        <w:tabs>
          <w:tab w:val="left" w:pos="4860"/>
        </w:tabs>
        <w:spacing w:line="588" w:lineRule="exact"/>
        <w:ind w:right="1560" w:firstLine="624" w:firstLineChars="200"/>
        <w:jc w:val="center"/>
        <w:rPr>
          <w:rFonts w:ascii="宋体" w:hAnsi="宋体"/>
          <w:color w:val="auto"/>
          <w:spacing w:val="6"/>
          <w:sz w:val="30"/>
          <w:szCs w:val="30"/>
          <w:highlight w:val="none"/>
        </w:rPr>
      </w:pPr>
    </w:p>
    <w:p w14:paraId="2D3E1EA7">
      <w:pPr>
        <w:tabs>
          <w:tab w:val="left" w:pos="4860"/>
        </w:tabs>
        <w:spacing w:line="588" w:lineRule="exact"/>
        <w:ind w:right="1560"/>
        <w:jc w:val="left"/>
        <w:rPr>
          <w:rFonts w:ascii="宋体" w:hAnsi="宋体"/>
          <w:color w:val="auto"/>
          <w:sz w:val="22"/>
          <w:szCs w:val="22"/>
          <w:highlight w:val="none"/>
        </w:rPr>
      </w:pPr>
      <w:r>
        <w:rPr>
          <w:rFonts w:hint="eastAsia" w:ascii="宋体" w:hAnsi="宋体"/>
          <w:color w:val="auto"/>
          <w:sz w:val="22"/>
          <w:szCs w:val="22"/>
          <w:highlight w:val="none"/>
        </w:rPr>
        <w:t>备注说明：</w:t>
      </w:r>
    </w:p>
    <w:p w14:paraId="75801A4E">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1、如中标，将在成交公告中将此残疾人福利性单位声明函予以公示，接受社会监督；</w:t>
      </w:r>
    </w:p>
    <w:p w14:paraId="33936DC9">
      <w:pPr>
        <w:snapToGrid w:val="0"/>
        <w:spacing w:line="460" w:lineRule="atLeast"/>
        <w:ind w:firstLine="440" w:firstLineChars="200"/>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、供应商提供的《残疾人福利性单位声明函》与事实不符的，依照《政府采购法》第七十七条第一款的规定追究法律责任。</w:t>
      </w:r>
    </w:p>
    <w:p w14:paraId="22FBBDD8">
      <w:pPr>
        <w:snapToGrid w:val="0"/>
        <w:spacing w:line="460" w:lineRule="atLeast"/>
        <w:ind w:firstLine="440" w:firstLineChars="200"/>
        <w:rPr>
          <w:rFonts w:ascii="宋体" w:hAnsi="宋体" w:cs="宋体"/>
          <w:color w:val="auto"/>
          <w:sz w:val="22"/>
          <w:highlight w:val="none"/>
        </w:rPr>
      </w:pPr>
    </w:p>
    <w:p w14:paraId="2368F7CE">
      <w:pPr>
        <w:spacing w:line="588"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二、</w:t>
      </w:r>
      <w:r>
        <w:rPr>
          <w:rFonts w:ascii="宋体" w:hAnsi="宋体" w:cs="宋体"/>
          <w:b/>
          <w:bCs/>
          <w:color w:val="auto"/>
          <w:sz w:val="22"/>
          <w:highlight w:val="none"/>
        </w:rPr>
        <w:t>信贷政策</w:t>
      </w:r>
    </w:p>
    <w:p w14:paraId="40029691">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为支持和促进中小企业发展，进一步发挥政府采购政策功能，温州市财政局已出台《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6EA94A0">
      <w:pPr>
        <w:pStyle w:val="36"/>
        <w:pageBreakBefore/>
        <w:adjustRightInd w:val="0"/>
        <w:snapToGrid w:val="0"/>
        <w:spacing w:line="460" w:lineRule="atLeast"/>
        <w:ind w:firstLine="0" w:firstLineChars="0"/>
        <w:jc w:val="center"/>
        <w:outlineLvl w:val="0"/>
        <w:rPr>
          <w:rFonts w:ascii="宋体" w:hAnsi="宋体"/>
          <w:color w:val="auto"/>
          <w:sz w:val="36"/>
          <w:highlight w:val="none"/>
        </w:rPr>
      </w:pPr>
      <w:bookmarkStart w:id="76" w:name="_Toc10156"/>
      <w:r>
        <w:rPr>
          <w:rFonts w:hint="eastAsia" w:ascii="宋体" w:hAnsi="宋体" w:eastAsia="宋体"/>
          <w:color w:val="auto"/>
          <w:sz w:val="36"/>
          <w:highlight w:val="none"/>
        </w:rPr>
        <w:t>第五部分</w:t>
      </w:r>
      <w:r>
        <w:rPr>
          <w:rFonts w:ascii="宋体" w:hAnsi="宋体" w:eastAsia="宋体"/>
          <w:color w:val="auto"/>
          <w:sz w:val="36"/>
          <w:highlight w:val="none"/>
        </w:rPr>
        <w:t xml:space="preserve">    </w:t>
      </w:r>
      <w:r>
        <w:rPr>
          <w:rFonts w:hint="eastAsia" w:ascii="宋体" w:hAnsi="宋体" w:eastAsia="宋体"/>
          <w:color w:val="auto"/>
          <w:sz w:val="36"/>
          <w:highlight w:val="none"/>
        </w:rPr>
        <w:t>合同格式</w:t>
      </w:r>
      <w:bookmarkEnd w:id="76"/>
    </w:p>
    <w:p w14:paraId="419B8C0D">
      <w:pPr>
        <w:tabs>
          <w:tab w:val="left" w:pos="0"/>
        </w:tabs>
        <w:spacing w:line="360" w:lineRule="auto"/>
        <w:rPr>
          <w:rFonts w:ascii="宋体" w:hAnsi="宋体"/>
          <w:bCs/>
          <w:color w:val="auto"/>
          <w:sz w:val="22"/>
          <w:szCs w:val="22"/>
          <w:highlight w:val="none"/>
        </w:rPr>
      </w:pPr>
    </w:p>
    <w:p w14:paraId="6E41A8A8">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本合同甲乙双方根据</w:t>
      </w:r>
      <w:r>
        <w:rPr>
          <w:rFonts w:hint="eastAsia" w:ascii="新宋体" w:hAnsi="新宋体" w:eastAsia="新宋体"/>
          <w:color w:val="auto"/>
          <w:sz w:val="22"/>
          <w:szCs w:val="22"/>
          <w:highlight w:val="none"/>
          <w:u w:val="single"/>
          <w:lang w:eastAsia="zh-CN"/>
        </w:rPr>
        <w:t>温州市安全风险态势电子沙盘建设项目</w:t>
      </w:r>
      <w:r>
        <w:rPr>
          <w:rFonts w:hint="eastAsia" w:ascii="新宋体" w:hAnsi="新宋体" w:eastAsia="新宋体"/>
          <w:color w:val="auto"/>
          <w:sz w:val="22"/>
          <w:szCs w:val="22"/>
          <w:highlight w:val="none"/>
          <w:u w:val="single"/>
        </w:rPr>
        <w:t xml:space="preserve"> （项目编号）</w:t>
      </w:r>
      <w:r>
        <w:rPr>
          <w:rFonts w:hint="eastAsia" w:ascii="新宋体" w:hAnsi="新宋体" w:eastAsia="新宋体"/>
          <w:color w:val="auto"/>
          <w:sz w:val="22"/>
          <w:szCs w:val="22"/>
          <w:highlight w:val="none"/>
        </w:rPr>
        <w:t>的招标结果，并根据《中华人民共和国民法典》的相关规定，达成如下合同，并由双方共同恪守。</w:t>
      </w:r>
    </w:p>
    <w:p w14:paraId="0C48FBDF">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第一条 技术服务内容</w:t>
      </w:r>
    </w:p>
    <w:p w14:paraId="2E616B0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 技术服务目标：</w:t>
      </w:r>
      <w:r>
        <w:rPr>
          <w:rFonts w:hint="eastAsia" w:ascii="新宋体" w:hAnsi="新宋体" w:eastAsia="新宋体"/>
          <w:color w:val="auto"/>
          <w:sz w:val="22"/>
          <w:szCs w:val="22"/>
          <w:highlight w:val="none"/>
          <w:lang w:eastAsia="zh-CN"/>
        </w:rPr>
        <w:t>温州市安全风险态势电子沙盘建设项目</w:t>
      </w:r>
      <w:r>
        <w:rPr>
          <w:rFonts w:hint="eastAsia" w:ascii="新宋体" w:hAnsi="新宋体" w:eastAsia="新宋体"/>
          <w:color w:val="auto"/>
          <w:sz w:val="22"/>
          <w:szCs w:val="22"/>
          <w:highlight w:val="none"/>
        </w:rPr>
        <w:t xml:space="preserve"> 。</w:t>
      </w:r>
    </w:p>
    <w:p w14:paraId="24FB2F8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 技术服务内容：</w:t>
      </w:r>
    </w:p>
    <w:p w14:paraId="08631167">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具体见招标文件第二部分</w:t>
      </w:r>
    </w:p>
    <w:p w14:paraId="5B1D3989">
      <w:pPr>
        <w:pStyle w:val="2"/>
        <w:spacing w:line="276" w:lineRule="auto"/>
        <w:ind w:firstLine="22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第二条 技术服务时间和地点</w:t>
      </w:r>
    </w:p>
    <w:p w14:paraId="00B6F6A2">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2.1技术服务地点：浙江温州</w:t>
      </w:r>
    </w:p>
    <w:p w14:paraId="199E707D">
      <w:pPr>
        <w:pStyle w:val="2"/>
        <w:spacing w:line="276" w:lineRule="auto"/>
        <w:ind w:firstLine="220"/>
        <w:rPr>
          <w:rFonts w:ascii="新宋体" w:hAnsi="新宋体" w:eastAsia="新宋体"/>
          <w:bCs/>
          <w:color w:val="auto"/>
          <w:sz w:val="22"/>
          <w:szCs w:val="22"/>
          <w:highlight w:val="none"/>
          <w:u w:val="single"/>
        </w:rPr>
      </w:pPr>
      <w:r>
        <w:rPr>
          <w:rFonts w:hint="eastAsia" w:ascii="新宋体" w:hAnsi="新宋体" w:eastAsia="新宋体"/>
          <w:color w:val="auto"/>
          <w:sz w:val="22"/>
          <w:szCs w:val="22"/>
          <w:highlight w:val="none"/>
        </w:rPr>
        <w:t>2.2技术服务期限：</w:t>
      </w:r>
      <w:r>
        <w:rPr>
          <w:rFonts w:ascii="新宋体" w:hAnsi="新宋体" w:eastAsia="新宋体"/>
          <w:color w:val="auto"/>
          <w:sz w:val="22"/>
          <w:szCs w:val="22"/>
          <w:highlight w:val="none"/>
        </w:rPr>
        <w:t>见招标要求</w:t>
      </w:r>
    </w:p>
    <w:p w14:paraId="2B38D80B">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第三条 甲方提供的工作条件和协作事项</w:t>
      </w:r>
    </w:p>
    <w:p w14:paraId="1359BFB5">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3.1 提供技术资料：[无]。</w:t>
      </w:r>
    </w:p>
    <w:p w14:paraId="73F2DADE">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3.2 提供工作条件：[无]。</w:t>
      </w:r>
    </w:p>
    <w:p w14:paraId="38494579">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3.3 其他配合协作事项：[无]。</w:t>
      </w:r>
    </w:p>
    <w:p w14:paraId="2054982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3.4 甲方提供上述技术资料、工作条件和配合协作事项的时间及方式：[无]。</w:t>
      </w:r>
    </w:p>
    <w:p w14:paraId="578CD819">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第四条 合同费用</w:t>
      </w:r>
    </w:p>
    <w:p w14:paraId="3A6CA1E2">
      <w:pPr>
        <w:pStyle w:val="2"/>
        <w:spacing w:line="276" w:lineRule="auto"/>
        <w:ind w:firstLine="220"/>
        <w:rPr>
          <w:rFonts w:ascii="新宋体" w:hAnsi="新宋体" w:eastAsia="新宋体"/>
          <w:bCs/>
          <w:color w:val="auto"/>
          <w:sz w:val="22"/>
          <w:szCs w:val="22"/>
          <w:highlight w:val="none"/>
        </w:rPr>
      </w:pPr>
      <w:r>
        <w:rPr>
          <w:rFonts w:hint="eastAsia" w:ascii="新宋体" w:hAnsi="新宋体" w:eastAsia="新宋体"/>
          <w:color w:val="auto"/>
          <w:sz w:val="22"/>
          <w:szCs w:val="22"/>
          <w:highlight w:val="none"/>
        </w:rPr>
        <w:t xml:space="preserve">4.1 本合同费用总额（含税价）：人民币大写[  </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元整]，小写[￥</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w:t>
      </w:r>
    </w:p>
    <w:p w14:paraId="42F2712A">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4.2</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具体见招标文件第二部分</w:t>
      </w:r>
    </w:p>
    <w:p w14:paraId="021036C8">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4.3 甲乙双方银行账户信息和纳税人信息</w:t>
      </w:r>
    </w:p>
    <w:p w14:paraId="4E16FDD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甲方信息如下：</w:t>
      </w:r>
    </w:p>
    <w:p w14:paraId="4110F23E">
      <w:pPr>
        <w:pStyle w:val="2"/>
        <w:spacing w:line="276" w:lineRule="auto"/>
        <w:ind w:firstLine="22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rPr>
        <w:t>户名：</w:t>
      </w:r>
      <w:r>
        <w:rPr>
          <w:rFonts w:hint="eastAsia" w:ascii="新宋体" w:hAnsi="新宋体" w:eastAsia="新宋体"/>
          <w:color w:val="auto"/>
          <w:sz w:val="22"/>
          <w:szCs w:val="22"/>
          <w:highlight w:val="none"/>
          <w:lang w:eastAsia="zh-CN"/>
        </w:rPr>
        <w:t>温州市应急管理局</w:t>
      </w:r>
    </w:p>
    <w:p w14:paraId="50DA359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统一社会信用代码：</w:t>
      </w:r>
      <w:r>
        <w:rPr>
          <w:rFonts w:ascii="新宋体" w:hAnsi="新宋体" w:eastAsia="新宋体"/>
          <w:color w:val="auto"/>
          <w:sz w:val="22"/>
          <w:szCs w:val="22"/>
          <w:highlight w:val="none"/>
        </w:rPr>
        <w:t xml:space="preserve"> </w:t>
      </w:r>
    </w:p>
    <w:p w14:paraId="56117E0F">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r>
        <w:rPr>
          <w:rFonts w:ascii="新宋体" w:hAnsi="新宋体" w:eastAsia="新宋体"/>
          <w:color w:val="auto"/>
          <w:sz w:val="22"/>
          <w:szCs w:val="22"/>
          <w:highlight w:val="none"/>
        </w:rPr>
        <w:t xml:space="preserve"> </w:t>
      </w:r>
    </w:p>
    <w:p w14:paraId="4932A55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电话：0577-</w:t>
      </w:r>
      <w:r>
        <w:rPr>
          <w:rFonts w:ascii="新宋体" w:hAnsi="新宋体" w:eastAsia="新宋体"/>
          <w:color w:val="auto"/>
          <w:sz w:val="22"/>
          <w:szCs w:val="22"/>
          <w:highlight w:val="none"/>
        </w:rPr>
        <w:t xml:space="preserve"> </w:t>
      </w:r>
    </w:p>
    <w:p w14:paraId="64AE6D8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乙方信息如下：</w:t>
      </w:r>
    </w:p>
    <w:p w14:paraId="62911EC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开户行： </w:t>
      </w:r>
    </w:p>
    <w:p w14:paraId="25D1D265">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户名：</w:t>
      </w:r>
    </w:p>
    <w:p w14:paraId="7122211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账号：</w:t>
      </w:r>
    </w:p>
    <w:p w14:paraId="12CF5DCB">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统一社会信用代码：</w:t>
      </w:r>
    </w:p>
    <w:p w14:paraId="1FB7A34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p>
    <w:p w14:paraId="020CA4E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14:paraId="748534F2">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 xml:space="preserve">第五条 </w:t>
      </w:r>
      <w:r>
        <w:rPr>
          <w:rFonts w:hint="eastAsia" w:ascii="新宋体" w:hAnsi="新宋体" w:eastAsia="新宋体"/>
          <w:color w:val="auto"/>
          <w:sz w:val="22"/>
          <w:szCs w:val="22"/>
          <w:highlight w:val="none"/>
        </w:rPr>
        <w:t>保密</w:t>
      </w:r>
    </w:p>
    <w:p w14:paraId="51630417">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5.1本合同一方(“披露方”)对其向本合同另一方(“接受方”)按照本合同(或就本合同)提供/披露的各类技术和商业资料、规格说明、图纸、文件及专有技术(统称“保密资料”)享有合法所有权及/或其他权利。</w:t>
      </w:r>
    </w:p>
    <w:p w14:paraId="4AE29652">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5.2 接受方应将保密资料作为商业秘密予以保护。除本合同授权实施的行为外，接受方不得将保密资料部分地或全部地对外披露。接受方仅可为达本合同目标向其确有知悉必要的雇员披露对方提供的保密资料，但同时须指示其雇员遵守本条规定的保密及不披露义务。</w:t>
      </w:r>
    </w:p>
    <w:p w14:paraId="30DB6CD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5.3 接受方仅可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14:paraId="72F27BD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5.4 当出现下述情况时，本条对保密资料的限制不适用。当保密资料：</w:t>
      </w:r>
    </w:p>
    <w:p w14:paraId="64F59774">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（1）并非接受方的过错而已经进入公有领域的。</w:t>
      </w:r>
    </w:p>
    <w:p w14:paraId="5CF0ED4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（2）已通过该方的有关记录证明是由接受方独立开发的。</w:t>
      </w:r>
    </w:p>
    <w:p w14:paraId="01A291FF">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（3）由接受方从没有违反对披露方有保密义务的人合法取得的。</w:t>
      </w:r>
    </w:p>
    <w:p w14:paraId="2F539AE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（4）法律要求接受方披露的，但接受方应在合理的时间提前书面通知披露方，使其得以采取其认为必要的保护措施。</w:t>
      </w:r>
    </w:p>
    <w:p w14:paraId="4304B992">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5.5 本保密条款有效期由双方协商，共同确定。</w:t>
      </w:r>
    </w:p>
    <w:p w14:paraId="53BE1917">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5.6 本条约定不适用于各方向其关联公司提供或披露保密资料的情形。</w:t>
      </w:r>
    </w:p>
    <w:p w14:paraId="3C3CD1AC">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第六条</w:t>
      </w:r>
      <w:r>
        <w:rPr>
          <w:rFonts w:hint="eastAsia" w:ascii="新宋体" w:hAnsi="新宋体" w:eastAsia="新宋体"/>
          <w:color w:val="auto"/>
          <w:sz w:val="22"/>
          <w:szCs w:val="22"/>
          <w:highlight w:val="none"/>
        </w:rPr>
        <w:t xml:space="preserve"> 本合同的变更必须由双方协商一致，并以书面形式确定。一方可以向另一方提出变更合同权利与义务的书面请求，另一方应当在收到书面请求后[</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]个工作日内予以答复；逾期未予答复的，视为同意：</w:t>
      </w:r>
    </w:p>
    <w:p w14:paraId="11A4B56C">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第七条</w:t>
      </w:r>
      <w:r>
        <w:rPr>
          <w:rFonts w:hint="eastAsia" w:ascii="新宋体" w:hAnsi="新宋体" w:eastAsia="新宋体"/>
          <w:color w:val="auto"/>
          <w:sz w:val="22"/>
          <w:szCs w:val="22"/>
          <w:highlight w:val="none"/>
        </w:rPr>
        <w:t xml:space="preserve"> 未经甲方书面同意，乙方不得将本合同项目部分或全部服务工作转由第三人承担。</w:t>
      </w:r>
    </w:p>
    <w:p w14:paraId="0E16F33E">
      <w:pPr>
        <w:pStyle w:val="2"/>
        <w:spacing w:line="276" w:lineRule="auto"/>
        <w:ind w:firstLine="22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第八条 验收</w:t>
      </w:r>
    </w:p>
    <w:p w14:paraId="12AD98E4">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8.1乙方完成技术服务工作的形式：现场。</w:t>
      </w:r>
    </w:p>
    <w:p w14:paraId="78097054">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8.2技术服务工作成果的验收标准：根据招标内容，综合评估服务内容的完成情况。甲方就验收标准拥有最终决定权。</w:t>
      </w:r>
    </w:p>
    <w:p w14:paraId="49CC1A56">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8.3技术服务工作成果的验收方法：由甲方组织技术专家举行现场验收会议，由乙方提交验收材料，介绍项目相关情况，并进行系统演示。审核验收后，由专家给出评价。</w:t>
      </w:r>
    </w:p>
    <w:p w14:paraId="1AAD64CF">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8.4验收的时间和地点：双方协商。</w:t>
      </w:r>
    </w:p>
    <w:p w14:paraId="344743E7">
      <w:pPr>
        <w:pStyle w:val="2"/>
        <w:spacing w:line="276" w:lineRule="auto"/>
        <w:ind w:firstLine="22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第九条 侵权处理</w:t>
      </w:r>
    </w:p>
    <w:p w14:paraId="6E1C1CE3">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9.1 如本合同以外的第三人指控乙方为甲方提供服务的过程中和/或其为甲方提供的服务成果侵犯该方的专利或著作权, 乙方将自费就上述指控自行和/或与甲方共同辩护，并支付法院和行政执法机关最终裁定的或经乙方同意的和解中包括的一切费用、损害赔偿金和律师费</w:t>
      </w:r>
      <w:r>
        <w:rPr>
          <w:rFonts w:hint="eastAsia" w:ascii="新宋体" w:hAnsi="新宋体" w:eastAsia="新宋体"/>
          <w:color w:val="auto"/>
          <w:sz w:val="22"/>
          <w:szCs w:val="22"/>
          <w:highlight w:val="none"/>
          <w:lang w:val="en-US" w:eastAsia="zh-CN"/>
        </w:rPr>
        <w:t>等费</w:t>
      </w:r>
      <w:r>
        <w:rPr>
          <w:rFonts w:hint="eastAsia" w:ascii="新宋体" w:hAnsi="新宋体" w:eastAsia="新宋体"/>
          <w:color w:val="auto"/>
          <w:sz w:val="22"/>
          <w:szCs w:val="22"/>
          <w:highlight w:val="none"/>
        </w:rPr>
        <w:t>用，前提条件是甲方:</w:t>
      </w:r>
    </w:p>
    <w:p w14:paraId="661EE70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（1）就指控</w:t>
      </w:r>
      <w:r>
        <w:rPr>
          <w:rFonts w:hint="eastAsia" w:ascii="新宋体" w:hAnsi="新宋体" w:eastAsia="新宋体"/>
          <w:color w:val="auto"/>
          <w:sz w:val="22"/>
          <w:szCs w:val="22"/>
          <w:highlight w:val="none"/>
          <w:lang w:val="en-US" w:eastAsia="zh-CN"/>
        </w:rPr>
        <w:t>及时</w:t>
      </w:r>
      <w:r>
        <w:rPr>
          <w:rFonts w:hint="eastAsia" w:ascii="新宋体" w:hAnsi="新宋体" w:eastAsia="新宋体"/>
          <w:color w:val="auto"/>
          <w:sz w:val="22"/>
          <w:szCs w:val="22"/>
          <w:highlight w:val="none"/>
        </w:rPr>
        <w:t>书面通知乙方。</w:t>
      </w:r>
    </w:p>
    <w:p w14:paraId="32E3801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（2）容许乙方在辩护及任何有关的和解谈判中具有控制权，并配合乙方工作。</w:t>
      </w:r>
    </w:p>
    <w:p w14:paraId="34DCB9E4">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在甲方满足上述条件的前提下，乙方就侵权指控将对甲方承担本条约定的上述义务。</w:t>
      </w:r>
    </w:p>
    <w:p w14:paraId="6A9BD839">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第十条 违约责任</w:t>
      </w:r>
    </w:p>
    <w:p w14:paraId="4D69151F">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10.1 若乙方建设相关应用未能达到约定的建设目标，甲方有权要求乙方限期整改，如逾期未整改或整改不符合采购文件和本合同约定的，造成甲方损失的或不良影响的，甲方有权终止合同。</w:t>
      </w:r>
    </w:p>
    <w:p w14:paraId="4647E876">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 xml:space="preserve"> 若乙方在合同期内未能履行本合同相关的义务，且经甲方书面警告、敦促仍未切实履行的，甲方有权终止合同。</w:t>
      </w:r>
    </w:p>
    <w:p w14:paraId="6928F222">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 xml:space="preserve"> 任何一方的违约行为造成本合同的终止，守约方有权要求违约方赔偿其因此造成的经济损失，违约责任不因本合同的终止而解除。</w:t>
      </w:r>
    </w:p>
    <w:p w14:paraId="06C8E402">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rPr>
        <w:t xml:space="preserve"> 任何一方对另一方违约行为的宽限，均不应视为放弃对违约方的追究和索赔的权利，也不应视为对该等违约行为的认可。</w:t>
      </w:r>
    </w:p>
    <w:p w14:paraId="7E2E70BE">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 xml:space="preserve"> 因乙方原因发生重大质量事故，除依约承担赔偿责任外，还将按有关质量管理办法规定执行。若发生死亡安全事故，除按国家有关安全管理规定及甲方有关安全管理办法执行外，甲方有权保留解除合同的权利，并报相关行政主管部门处罚；发生重大安全事故或特大安全事故，除按国家有关安全管理规定及采购人有关安全管理办法执行外，甲方有权终止合同，给甲方造成的损失，还应承担赔偿责任。</w:t>
      </w:r>
    </w:p>
    <w:p w14:paraId="4B8E779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 xml:space="preserve"> 甲方承诺遵守国家相关法律法规，不进行危害网络安全的活动，若乙方发现甲方有危害网络安全的事项等活动，乙方有权停止技术支持，并解除本合同不负违约责任，本合同项下所有款项不予退还。</w:t>
      </w:r>
    </w:p>
    <w:p w14:paraId="0A85FE8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r>
        <w:rPr>
          <w:rFonts w:hint="eastAsia" w:ascii="新宋体" w:hAnsi="新宋体" w:eastAsia="新宋体"/>
          <w:color w:val="auto"/>
          <w:sz w:val="22"/>
          <w:szCs w:val="22"/>
          <w:highlight w:val="none"/>
          <w:lang w:val="en-US" w:eastAsia="zh-CN"/>
        </w:rPr>
        <w:t>7</w:t>
      </w:r>
      <w:r>
        <w:rPr>
          <w:rFonts w:hint="eastAsia" w:ascii="新宋体" w:hAnsi="新宋体" w:eastAsia="新宋体"/>
          <w:color w:val="auto"/>
          <w:sz w:val="22"/>
          <w:szCs w:val="22"/>
          <w:highlight w:val="none"/>
        </w:rPr>
        <w:t xml:space="preserve"> 乙方承诺遵守国家相关法律法规，不进行危害网络安全的活动，若甲方发现乙方有危害网络安全的事项等活动，甲方有权解除本合同不负违约责任，乙方需退还本合同项下所有已收到款项。</w:t>
      </w:r>
    </w:p>
    <w:p w14:paraId="300C5F13">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第十一条</w:t>
      </w:r>
      <w:r>
        <w:rPr>
          <w:rFonts w:hint="eastAsia" w:ascii="新宋体" w:hAnsi="新宋体" w:eastAsia="新宋体"/>
          <w:color w:val="auto"/>
          <w:sz w:val="22"/>
          <w:szCs w:val="22"/>
          <w:highlight w:val="none"/>
        </w:rPr>
        <w:t xml:space="preserve"> 双方确定，在本合同有效期内，甲方指定[ </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 xml:space="preserve">]为甲方项目联系人，乙方指定[ </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]为乙方项目联系人。</w:t>
      </w:r>
    </w:p>
    <w:p w14:paraId="16B29FE4">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一方变更项目联系人的，应当及时以书面形式通知另一方。未及时通知并影响本合同履行或造成损失的，应承担相应的责任。</w:t>
      </w:r>
    </w:p>
    <w:p w14:paraId="079DB0C7">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第十二条</w:t>
      </w:r>
      <w:r>
        <w:rPr>
          <w:rFonts w:hint="eastAsia" w:ascii="新宋体" w:hAnsi="新宋体" w:eastAsia="新宋体"/>
          <w:color w:val="auto"/>
          <w:sz w:val="22"/>
          <w:szCs w:val="22"/>
          <w:highlight w:val="none"/>
        </w:rPr>
        <w:t xml:space="preserve"> 双方确定，出现下列情形之一，致使本合同的履行成为不必要或不可能的，可以解除本合同：</w:t>
      </w:r>
    </w:p>
    <w:p w14:paraId="4530472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12.1发生不可抗力。</w:t>
      </w:r>
    </w:p>
    <w:p w14:paraId="29D235AC">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第十三条</w:t>
      </w:r>
      <w:r>
        <w:rPr>
          <w:rFonts w:hint="eastAsia" w:ascii="新宋体" w:hAnsi="新宋体" w:eastAsia="新宋体"/>
          <w:color w:val="auto"/>
          <w:sz w:val="22"/>
          <w:szCs w:val="22"/>
          <w:highlight w:val="none"/>
        </w:rPr>
        <w:t xml:space="preserve"> </w:t>
      </w:r>
      <w:r>
        <w:rPr>
          <w:rFonts w:hint="eastAsia" w:ascii="新宋体" w:hAnsi="新宋体" w:eastAsia="新宋体"/>
          <w:b/>
          <w:color w:val="auto"/>
          <w:sz w:val="22"/>
          <w:szCs w:val="22"/>
          <w:highlight w:val="none"/>
        </w:rPr>
        <w:t>法律适用和争议解决</w:t>
      </w:r>
    </w:p>
    <w:p w14:paraId="4115B4A8">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13.1本合同适用中华人民共和国法律。</w:t>
      </w:r>
    </w:p>
    <w:p w14:paraId="3798A99E">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13.2 所有因本合同引起的或与本合同有关的任何争议将通过双方友好协商解决。如果双方不能通过友好协商解决争议，则任何一方均可采取下述第[</w:t>
      </w: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]种争议解决方式：</w:t>
      </w:r>
    </w:p>
    <w:p w14:paraId="552F53F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（1）将该争议提交[温州]仲裁委员会，按照申请仲裁时该会的仲裁规则进行仲裁。仲裁在[浙江温州]进行。仲裁语言为中文。仲裁裁决是终局的，对双方均有约束力。仲裁费用由败诉方承担。</w:t>
      </w:r>
    </w:p>
    <w:p w14:paraId="53D7BAD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（2）向[甲方]所在地的人民法院起诉。</w:t>
      </w:r>
    </w:p>
    <w:p w14:paraId="21552BF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13.3 仲裁或诉讼进行过程中，双方将继续履行本合同未涉仲裁或诉讼的其它部分。</w:t>
      </w:r>
    </w:p>
    <w:p w14:paraId="1D989150">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 xml:space="preserve">第十四条 </w:t>
      </w:r>
      <w:r>
        <w:rPr>
          <w:rFonts w:hint="eastAsia" w:ascii="新宋体" w:hAnsi="新宋体" w:eastAsia="新宋体"/>
          <w:color w:val="auto"/>
          <w:sz w:val="22"/>
          <w:szCs w:val="22"/>
          <w:highlight w:val="none"/>
        </w:rPr>
        <w:t>双方确定，本合同及相关附件中所涉及的有关名词和技术术语，其定义和解释如下：</w:t>
      </w:r>
    </w:p>
    <w:p w14:paraId="674D1FC8">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“不可抗力”：地震、台风、水灾、火灾、战争以及其它本合同各方不能预见，并且对其发生和后果不能防止或不能避免且不可克服的客观情况。 </w:t>
      </w:r>
    </w:p>
    <w:p w14:paraId="4425DD3F">
      <w:pPr>
        <w:pStyle w:val="2"/>
        <w:spacing w:line="276" w:lineRule="auto"/>
        <w:ind w:firstLine="221"/>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第十五条 合同生效和其他</w:t>
      </w:r>
    </w:p>
    <w:p w14:paraId="4F739C8B">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15.1本合同自双方签字盖章之日起生效。</w:t>
      </w:r>
    </w:p>
    <w:p w14:paraId="7B4E88C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15.2本合同一式[肆]份，甲乙双方各执[贰]份，具有同等法律效力。</w:t>
      </w:r>
    </w:p>
    <w:p w14:paraId="1791B763">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15.3如果本合同的任何条款在任何时候变成不合法、无效或不可强制执行而不从根本上影响本合同的效力时，本合同的其他条款不受影响。</w:t>
      </w:r>
    </w:p>
    <w:p w14:paraId="114EF204">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15.4本合同各条标题仅为提示之用，应以条文内容确定各方的权利义务。</w:t>
      </w:r>
    </w:p>
    <w:p w14:paraId="0FF3FC8A">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6A53932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15.6本合同的任何内容不应被视为或解释为双方之间具有合资、合伙关系。</w:t>
      </w:r>
    </w:p>
    <w:p w14:paraId="274E525F">
      <w:pPr>
        <w:pStyle w:val="2"/>
        <w:spacing w:line="276" w:lineRule="auto"/>
        <w:ind w:firstLine="220"/>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15.7本合同替代此前双方所有关于本合同事项的口头或书面的纪要、备忘录、合同和协议。</w:t>
      </w:r>
    </w:p>
    <w:p w14:paraId="1E3E48A7">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15.8甲乙双方因履行本合同或与本合同有关的一切通知都必须按照本合同中的地址，以书面信函或者传真或者电子邮件方式进行。其中：</w:t>
      </w:r>
    </w:p>
    <w:p w14:paraId="04DF44F2">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15.8.1除本合同另有约定外，有关下述任一事项的通知，均应当采用书面信函形式作出，否则，该通知无效，不产生本合同项下的任何通知效力：</w:t>
      </w:r>
    </w:p>
    <w:p w14:paraId="403EE7C6">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（1）与本合同费用及支付事宜有关的通知；</w:t>
      </w:r>
    </w:p>
    <w:p w14:paraId="539DBC95">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（2）与本合同违约事宜有关的通知；</w:t>
      </w:r>
    </w:p>
    <w:p w14:paraId="4F38FFD3">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（3）与本合同终止、解除或变更事宜有关的通知；</w:t>
      </w:r>
    </w:p>
    <w:p w14:paraId="1A4B54D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（4）与本合同延续/续展有关的通知；</w:t>
      </w:r>
    </w:p>
    <w:p w14:paraId="2207CFD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15.8.2本合同约定的各种通知方式的送达标准如下：</w:t>
      </w:r>
    </w:p>
    <w:p w14:paraId="33E1C416">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（1）如采用书面信函形式，应当使用挂号信或者具有良好信誉的特快专递送达，接受方签收挂号信或特快专递的时间（以邮局或快递公司系统记录为准）为通知送达时间；</w:t>
      </w:r>
    </w:p>
    <w:p w14:paraId="5DD01677">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（2）如采用传真方式，传真到达接受方指定传真系统的时间为通知送达时间；</w:t>
      </w:r>
    </w:p>
    <w:p w14:paraId="39DD7A83">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（3）如采用电子邮件方式，电子邮件到达接受方指定电子邮箱的时间为通知送达时间。</w:t>
      </w:r>
    </w:p>
    <w:p w14:paraId="16A186C9">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04752E5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15.8.3本合同双方通知地址及方式如下：</w:t>
      </w:r>
    </w:p>
    <w:p w14:paraId="4419B61C">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w:t>
      </w:r>
      <w:r>
        <w:rPr>
          <w:rFonts w:hint="eastAsia" w:ascii="新宋体" w:hAnsi="新宋体" w:eastAsia="新宋体"/>
          <w:color w:val="auto"/>
          <w:sz w:val="22"/>
          <w:szCs w:val="22"/>
          <w:highlight w:val="none"/>
          <w:lang w:eastAsia="zh-CN"/>
        </w:rPr>
        <w:t>温州市应急管理局</w:t>
      </w:r>
      <w:r>
        <w:rPr>
          <w:rFonts w:hint="eastAsia" w:ascii="新宋体" w:hAnsi="新宋体" w:eastAsia="新宋体"/>
          <w:color w:val="auto"/>
          <w:sz w:val="22"/>
          <w:szCs w:val="22"/>
          <w:highlight w:val="none"/>
        </w:rPr>
        <w:t xml:space="preserve"> </w:t>
      </w:r>
    </w:p>
    <w:p w14:paraId="7EB66AA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地址：     </w:t>
      </w:r>
    </w:p>
    <w:p w14:paraId="4B77EEBD">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联系人：    </w:t>
      </w:r>
    </w:p>
    <w:p w14:paraId="4011CAFB">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14:paraId="7792C120">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邮编：325000     </w:t>
      </w:r>
    </w:p>
    <w:p w14:paraId="7ECC71B5">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w:t>
      </w:r>
    </w:p>
    <w:p w14:paraId="2C81C916">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地址：    </w:t>
      </w:r>
    </w:p>
    <w:p w14:paraId="6038F8F9">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联系人： </w:t>
      </w:r>
    </w:p>
    <w:p w14:paraId="3BA99B18">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电话： </w:t>
      </w:r>
    </w:p>
    <w:p w14:paraId="48B4714B">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邮编： </w:t>
      </w:r>
    </w:p>
    <w:p w14:paraId="4980A43F">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上述任何信息发生变更的，变更方应及时以书面形式通知另一方，未及时通知并影响本合同履行或造成损失的，应承担相应的责任。</w:t>
      </w:r>
    </w:p>
    <w:p w14:paraId="5E847E58">
      <w:pPr>
        <w:pStyle w:val="2"/>
        <w:spacing w:line="276" w:lineRule="auto"/>
        <w:ind w:firstLine="220"/>
        <w:rPr>
          <w:rFonts w:ascii="新宋体" w:hAnsi="新宋体" w:eastAsia="新宋体"/>
          <w:color w:val="auto"/>
          <w:sz w:val="22"/>
          <w:szCs w:val="22"/>
          <w:highlight w:val="none"/>
        </w:rPr>
      </w:pPr>
    </w:p>
    <w:p w14:paraId="31EB14B0">
      <w:pPr>
        <w:pStyle w:val="2"/>
        <w:spacing w:line="276" w:lineRule="auto"/>
        <w:ind w:firstLine="220"/>
        <w:rPr>
          <w:rFonts w:ascii="新宋体" w:hAnsi="新宋体" w:eastAsia="新宋体"/>
          <w:color w:val="auto"/>
          <w:sz w:val="22"/>
          <w:szCs w:val="22"/>
          <w:highlight w:val="none"/>
        </w:rPr>
      </w:pPr>
    </w:p>
    <w:p w14:paraId="7BBCD286">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w:t>
      </w:r>
      <w:r>
        <w:rPr>
          <w:rFonts w:hint="eastAsia" w:ascii="新宋体" w:hAnsi="新宋体" w:eastAsia="新宋体"/>
          <w:color w:val="auto"/>
          <w:sz w:val="22"/>
          <w:szCs w:val="22"/>
          <w:highlight w:val="none"/>
          <w:lang w:eastAsia="zh-CN"/>
        </w:rPr>
        <w:t>温州市应急管理局</w:t>
      </w:r>
      <w:r>
        <w:rPr>
          <w:rFonts w:hint="eastAsia" w:ascii="新宋体" w:hAnsi="新宋体" w:eastAsia="新宋体"/>
          <w:color w:val="auto"/>
          <w:sz w:val="22"/>
          <w:szCs w:val="22"/>
          <w:highlight w:val="none"/>
        </w:rPr>
        <w:t xml:space="preserve">      </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乙方：</w:t>
      </w:r>
    </w:p>
    <w:p w14:paraId="5A7ECD81">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56C90E46">
      <w:pPr>
        <w:pStyle w:val="2"/>
        <w:spacing w:line="276" w:lineRule="auto"/>
        <w:ind w:firstLine="220"/>
        <w:rPr>
          <w:rFonts w:ascii="新宋体" w:hAnsi="新宋体" w:eastAsia="新宋体"/>
          <w:color w:val="auto"/>
          <w:sz w:val="22"/>
          <w:szCs w:val="22"/>
          <w:highlight w:val="none"/>
        </w:rPr>
      </w:pPr>
    </w:p>
    <w:p w14:paraId="3BCFF26B">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法定代表人/负责人                    法定代表人/负责人</w:t>
      </w:r>
    </w:p>
    <w:p w14:paraId="29EE938A">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或授权代表：                         或授权代表：</w:t>
      </w:r>
    </w:p>
    <w:p w14:paraId="576AFEC5">
      <w:pPr>
        <w:pStyle w:val="2"/>
        <w:spacing w:line="276" w:lineRule="auto"/>
        <w:ind w:firstLine="2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年  月  日                         年   月   日</w:t>
      </w:r>
    </w:p>
    <w:p w14:paraId="02C78A64">
      <w:pPr>
        <w:pStyle w:val="2"/>
        <w:ind w:firstLine="210"/>
        <w:rPr>
          <w:rFonts w:eastAsia="等线"/>
          <w:color w:val="auto"/>
          <w:highlight w:val="none"/>
        </w:rPr>
      </w:pPr>
    </w:p>
    <w:p w14:paraId="4162ACE5">
      <w:pPr>
        <w:spacing w:line="360" w:lineRule="auto"/>
        <w:ind w:firstLine="440" w:firstLineChars="200"/>
        <w:rPr>
          <w:rFonts w:ascii="宋体" w:hAnsi="宋体"/>
          <w:b/>
          <w:color w:val="auto"/>
          <w:sz w:val="22"/>
          <w:szCs w:val="22"/>
          <w:highlight w:val="none"/>
        </w:rPr>
      </w:pPr>
      <w:r>
        <w:rPr>
          <w:rFonts w:ascii="宋体" w:hAnsi="宋体"/>
          <w:color w:val="auto"/>
          <w:sz w:val="22"/>
          <w:szCs w:val="22"/>
          <w:highlight w:val="none"/>
        </w:rPr>
        <w:t>特别提示：</w:t>
      </w:r>
      <w:r>
        <w:rPr>
          <w:rFonts w:hint="eastAsia" w:ascii="宋体" w:hAnsi="宋体"/>
          <w:color w:val="auto"/>
          <w:sz w:val="22"/>
          <w:szCs w:val="22"/>
          <w:highlight w:val="none"/>
          <w:u w:val="single"/>
        </w:rPr>
        <w:t>本合同作为示范文本，具体以</w:t>
      </w:r>
      <w:r>
        <w:rPr>
          <w:rFonts w:ascii="宋体" w:hAnsi="宋体"/>
          <w:color w:val="auto"/>
          <w:sz w:val="22"/>
          <w:szCs w:val="22"/>
          <w:highlight w:val="none"/>
          <w:u w:val="single"/>
        </w:rPr>
        <w:t>正式签订合同为准，合同条款的具体内容应严格按照招标文件、投标文件、采购结果及成交供应商的承诺来拟订。</w:t>
      </w:r>
    </w:p>
    <w:p w14:paraId="1CB4797F">
      <w:pPr>
        <w:pStyle w:val="4"/>
        <w:rPr>
          <w:rFonts w:hAnsi="宋体"/>
          <w:color w:val="auto"/>
          <w:sz w:val="36"/>
          <w:szCs w:val="36"/>
          <w:highlight w:val="none"/>
        </w:rPr>
      </w:pPr>
      <w:r>
        <w:rPr>
          <w:rFonts w:hAnsi="宋体"/>
          <w:color w:val="auto"/>
          <w:sz w:val="36"/>
          <w:szCs w:val="36"/>
          <w:highlight w:val="none"/>
        </w:rPr>
        <w:br w:type="page"/>
      </w:r>
      <w:bookmarkStart w:id="77" w:name="_Toc31677"/>
      <w:r>
        <w:rPr>
          <w:rFonts w:hint="eastAsia" w:ascii="宋体" w:hAnsi="宋体"/>
          <w:color w:val="auto"/>
          <w:sz w:val="36"/>
          <w:szCs w:val="36"/>
          <w:highlight w:val="none"/>
        </w:rPr>
        <w:t>第六部分    附件---磋商响应文件格式</w:t>
      </w:r>
      <w:bookmarkEnd w:id="77"/>
    </w:p>
    <w:p w14:paraId="5BF04991">
      <w:pPr>
        <w:pStyle w:val="4"/>
        <w:spacing w:line="276" w:lineRule="auto"/>
        <w:rPr>
          <w:rFonts w:ascii="宋体" w:hAnsi="宋体"/>
          <w:color w:val="auto"/>
          <w:sz w:val="36"/>
          <w:highlight w:val="none"/>
        </w:rPr>
      </w:pPr>
      <w:bookmarkStart w:id="78" w:name="_Toc9265"/>
      <w:r>
        <w:rPr>
          <w:rFonts w:hint="eastAsia" w:ascii="宋体" w:hAnsi="宋体"/>
          <w:color w:val="auto"/>
          <w:sz w:val="36"/>
          <w:highlight w:val="none"/>
        </w:rPr>
        <w:t>一、资格文件格式</w:t>
      </w:r>
      <w:bookmarkEnd w:id="78"/>
    </w:p>
    <w:p w14:paraId="6D53D97B">
      <w:pPr>
        <w:pStyle w:val="26"/>
        <w:adjustRightInd w:val="0"/>
        <w:snapToGrid w:val="0"/>
        <w:spacing w:line="440" w:lineRule="atLeast"/>
        <w:jc w:val="left"/>
        <w:outlineLvl w:val="1"/>
        <w:rPr>
          <w:rFonts w:hAnsi="宋体"/>
          <w:color w:val="auto"/>
          <w:sz w:val="30"/>
          <w:highlight w:val="none"/>
        </w:rPr>
      </w:pPr>
      <w:bookmarkStart w:id="79" w:name="_Toc25746"/>
      <w:r>
        <w:rPr>
          <w:rFonts w:hint="eastAsia" w:hAnsi="宋体"/>
          <w:color w:val="auto"/>
          <w:sz w:val="30"/>
          <w:highlight w:val="none"/>
        </w:rPr>
        <w:t>附件一</w:t>
      </w:r>
      <w:bookmarkEnd w:id="79"/>
    </w:p>
    <w:p w14:paraId="63D702D0">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80" w:name="_Toc16165"/>
      <w:r>
        <w:rPr>
          <w:rFonts w:hint="eastAsia" w:hAnsi="宋体" w:cs="Arial"/>
          <w:bCs/>
          <w:color w:val="auto"/>
          <w:sz w:val="36"/>
          <w:szCs w:val="36"/>
          <w:highlight w:val="none"/>
          <w:lang w:val="zh-CN"/>
        </w:rPr>
        <w:t>投标供应商参与政府采购活动投标资格声明函</w:t>
      </w:r>
      <w:bookmarkEnd w:id="80"/>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1D49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526A4153">
            <w:pPr>
              <w:pStyle w:val="26"/>
              <w:adjustRightInd w:val="0"/>
              <w:snapToGrid w:val="0"/>
              <w:spacing w:line="440" w:lineRule="exact"/>
              <w:rPr>
                <w:rFonts w:hAnsi="宋体"/>
                <w:color w:val="auto"/>
                <w:sz w:val="22"/>
                <w:szCs w:val="22"/>
                <w:highlight w:val="none"/>
              </w:rPr>
            </w:pPr>
            <w:r>
              <w:rPr>
                <w:rFonts w:hAnsi="宋体"/>
                <w:color w:val="auto"/>
                <w:sz w:val="22"/>
                <w:szCs w:val="22"/>
                <w:highlight w:val="none"/>
              </w:rPr>
              <w:t>项目名称</w:t>
            </w:r>
          </w:p>
        </w:tc>
        <w:tc>
          <w:tcPr>
            <w:tcW w:w="7992" w:type="dxa"/>
          </w:tcPr>
          <w:p w14:paraId="69150C03">
            <w:pPr>
              <w:pStyle w:val="26"/>
              <w:adjustRightInd w:val="0"/>
              <w:snapToGrid w:val="0"/>
              <w:spacing w:line="440" w:lineRule="exact"/>
              <w:rPr>
                <w:rFonts w:hAnsi="宋体"/>
                <w:color w:val="auto"/>
                <w:sz w:val="22"/>
                <w:szCs w:val="22"/>
                <w:highlight w:val="none"/>
              </w:rPr>
            </w:pPr>
          </w:p>
        </w:tc>
      </w:tr>
      <w:tr w14:paraId="5955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27028007">
            <w:pPr>
              <w:pStyle w:val="26"/>
              <w:adjustRightInd w:val="0"/>
              <w:snapToGrid w:val="0"/>
              <w:spacing w:line="440" w:lineRule="exact"/>
              <w:rPr>
                <w:rFonts w:hAnsi="宋体"/>
                <w:color w:val="auto"/>
                <w:sz w:val="22"/>
                <w:szCs w:val="22"/>
                <w:highlight w:val="none"/>
              </w:rPr>
            </w:pPr>
            <w:r>
              <w:rPr>
                <w:rFonts w:hAnsi="宋体"/>
                <w:color w:val="auto"/>
                <w:sz w:val="22"/>
                <w:szCs w:val="22"/>
                <w:highlight w:val="none"/>
              </w:rPr>
              <w:t>招标编号</w:t>
            </w:r>
          </w:p>
        </w:tc>
        <w:tc>
          <w:tcPr>
            <w:tcW w:w="7992" w:type="dxa"/>
          </w:tcPr>
          <w:p w14:paraId="3280D303">
            <w:pPr>
              <w:pStyle w:val="26"/>
              <w:adjustRightInd w:val="0"/>
              <w:snapToGrid w:val="0"/>
              <w:spacing w:line="440" w:lineRule="exact"/>
              <w:rPr>
                <w:rFonts w:hAnsi="宋体"/>
                <w:color w:val="auto"/>
                <w:sz w:val="22"/>
                <w:szCs w:val="22"/>
                <w:highlight w:val="none"/>
              </w:rPr>
            </w:pPr>
          </w:p>
        </w:tc>
      </w:tr>
      <w:tr w14:paraId="0543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6DA866E">
            <w:pPr>
              <w:pStyle w:val="26"/>
              <w:adjustRightInd w:val="0"/>
              <w:snapToGrid w:val="0"/>
              <w:spacing w:line="440" w:lineRule="exact"/>
              <w:rPr>
                <w:rFonts w:hAnsi="宋体"/>
                <w:color w:val="auto"/>
                <w:sz w:val="22"/>
                <w:szCs w:val="22"/>
                <w:highlight w:val="none"/>
              </w:rPr>
            </w:pPr>
            <w:r>
              <w:rPr>
                <w:rFonts w:hAnsi="宋体"/>
                <w:color w:val="auto"/>
                <w:sz w:val="22"/>
                <w:szCs w:val="22"/>
                <w:highlight w:val="none"/>
              </w:rPr>
              <w:t>时    间</w:t>
            </w:r>
          </w:p>
        </w:tc>
        <w:tc>
          <w:tcPr>
            <w:tcW w:w="7992" w:type="dxa"/>
          </w:tcPr>
          <w:p w14:paraId="298BAF6E">
            <w:pPr>
              <w:pStyle w:val="26"/>
              <w:adjustRightInd w:val="0"/>
              <w:snapToGrid w:val="0"/>
              <w:spacing w:line="440" w:lineRule="exact"/>
              <w:rPr>
                <w:rFonts w:hAnsi="宋体"/>
                <w:color w:val="auto"/>
                <w:sz w:val="22"/>
                <w:szCs w:val="22"/>
                <w:highlight w:val="none"/>
              </w:rPr>
            </w:pPr>
            <w:r>
              <w:rPr>
                <w:rFonts w:hAnsi="宋体" w:cs="宋体"/>
                <w:color w:val="auto"/>
                <w:sz w:val="22"/>
                <w:szCs w:val="22"/>
                <w:highlight w:val="none"/>
              </w:rPr>
              <w:t>响应文件递交截止时间前</w:t>
            </w:r>
          </w:p>
        </w:tc>
      </w:tr>
      <w:tr w14:paraId="536B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59EC74A4">
            <w:pPr>
              <w:pStyle w:val="26"/>
              <w:adjustRightInd w:val="0"/>
              <w:snapToGrid w:val="0"/>
              <w:spacing w:line="400" w:lineRule="exact"/>
              <w:ind w:firstLine="450"/>
              <w:rPr>
                <w:rFonts w:hAnsi="宋体"/>
                <w:color w:val="auto"/>
                <w:szCs w:val="22"/>
                <w:highlight w:val="none"/>
              </w:rPr>
            </w:pPr>
            <w:r>
              <w:rPr>
                <w:rFonts w:hAnsi="宋体"/>
                <w:color w:val="auto"/>
                <w:szCs w:val="22"/>
                <w:highlight w:val="none"/>
              </w:rPr>
              <w:t>我单位参与</w:t>
            </w:r>
            <w:r>
              <w:rPr>
                <w:rFonts w:hint="eastAsia" w:hAnsi="宋体"/>
                <w:color w:val="auto"/>
                <w:szCs w:val="22"/>
                <w:highlight w:val="none"/>
                <w:u w:val="single"/>
                <w:lang w:eastAsia="zh-CN"/>
              </w:rPr>
              <w:t>温州市安全风险态势电子沙盘建设项目</w:t>
            </w:r>
            <w:r>
              <w:rPr>
                <w:rFonts w:hAnsi="宋体"/>
                <w:color w:val="auto"/>
                <w:szCs w:val="22"/>
                <w:highlight w:val="none"/>
              </w:rPr>
              <w:t>投标，现声明如下：</w:t>
            </w:r>
          </w:p>
          <w:p w14:paraId="3AD9AA17">
            <w:pPr>
              <w:pStyle w:val="26"/>
              <w:adjustRightInd w:val="0"/>
              <w:snapToGrid w:val="0"/>
              <w:spacing w:line="400" w:lineRule="exact"/>
              <w:ind w:firstLine="450"/>
              <w:rPr>
                <w:rFonts w:hAnsi="宋体"/>
                <w:color w:val="auto"/>
                <w:szCs w:val="22"/>
                <w:highlight w:val="none"/>
              </w:rPr>
            </w:pPr>
            <w:r>
              <w:rPr>
                <w:rFonts w:hAnsi="宋体"/>
                <w:color w:val="auto"/>
                <w:szCs w:val="22"/>
                <w:highlight w:val="none"/>
              </w:rPr>
              <w:t>1、我单位符合政府采购法第二十二条规定。</w:t>
            </w:r>
          </w:p>
          <w:p w14:paraId="4743046A">
            <w:pPr>
              <w:pStyle w:val="26"/>
              <w:adjustRightInd w:val="0"/>
              <w:snapToGrid w:val="0"/>
              <w:spacing w:line="400" w:lineRule="exact"/>
              <w:ind w:firstLine="450"/>
              <w:rPr>
                <w:rFonts w:hAnsi="宋体"/>
                <w:color w:val="auto"/>
                <w:szCs w:val="22"/>
                <w:highlight w:val="none"/>
              </w:rPr>
            </w:pPr>
            <w:r>
              <w:rPr>
                <w:rFonts w:hAnsi="宋体"/>
                <w:color w:val="auto"/>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color w:val="auto"/>
                <w:highlight w:val="none"/>
                <w:u w:val="single"/>
              </w:rPr>
              <w:t>□</w:t>
            </w:r>
            <w:r>
              <w:rPr>
                <w:rFonts w:hAnsi="宋体"/>
                <w:color w:val="auto"/>
                <w:szCs w:val="22"/>
                <w:highlight w:val="none"/>
                <w:u w:val="single"/>
              </w:rPr>
              <w:t>存在</w:t>
            </w:r>
            <w:r>
              <w:rPr>
                <w:rFonts w:hint="eastAsia" w:hAnsi="宋体"/>
                <w:color w:val="auto"/>
                <w:szCs w:val="22"/>
                <w:highlight w:val="none"/>
                <w:u w:val="single"/>
                <w:lang w:val="en-US" w:eastAsia="zh-CN"/>
              </w:rPr>
              <w:t xml:space="preserve">  </w:t>
            </w:r>
            <w:r>
              <w:rPr>
                <w:rFonts w:hAnsi="宋体"/>
                <w:color w:val="auto"/>
                <w:szCs w:val="22"/>
                <w:highlight w:val="none"/>
                <w:u w:val="single"/>
              </w:rPr>
              <w:t>/</w:t>
            </w:r>
            <w:r>
              <w:rPr>
                <w:rFonts w:hint="eastAsia" w:hAnsi="宋体"/>
                <w:color w:val="auto"/>
                <w:szCs w:val="22"/>
                <w:highlight w:val="none"/>
                <w:u w:val="single"/>
                <w:lang w:val="en-US" w:eastAsia="zh-CN"/>
              </w:rPr>
              <w:t xml:space="preserve">  </w:t>
            </w:r>
            <w:r>
              <w:rPr>
                <w:rFonts w:hint="eastAsia" w:hAnsi="宋体"/>
                <w:color w:val="auto"/>
                <w:highlight w:val="none"/>
                <w:u w:val="single"/>
                <w:lang w:eastAsia="zh-CN"/>
              </w:rPr>
              <w:t>□</w:t>
            </w:r>
            <w:r>
              <w:rPr>
                <w:rFonts w:hAnsi="宋体"/>
                <w:color w:val="auto"/>
                <w:szCs w:val="22"/>
                <w:highlight w:val="none"/>
                <w:u w:val="single"/>
              </w:rPr>
              <w:t>不存在</w:t>
            </w:r>
            <w:r>
              <w:rPr>
                <w:rFonts w:hAnsi="宋体"/>
                <w:color w:val="auto"/>
                <w:szCs w:val="22"/>
                <w:highlight w:val="none"/>
              </w:rPr>
              <w:t>上述文件规定依法限制参与政府采购的情况。（说明：在</w:t>
            </w:r>
            <w:r>
              <w:rPr>
                <w:rFonts w:hAnsi="宋体"/>
                <w:color w:val="auto"/>
                <w:highlight w:val="none"/>
              </w:rPr>
              <w:t>□</w:t>
            </w:r>
            <w:r>
              <w:rPr>
                <w:rFonts w:hAnsi="宋体"/>
                <w:color w:val="auto"/>
                <w:szCs w:val="22"/>
                <w:highlight w:val="none"/>
              </w:rPr>
              <w:t>上打</w:t>
            </w:r>
            <w:r>
              <w:rPr>
                <w:rFonts w:hAnsi="宋体"/>
                <w:color w:val="auto"/>
                <w:highlight w:val="none"/>
              </w:rPr>
              <w:t>√</w:t>
            </w:r>
            <w:r>
              <w:rPr>
                <w:rFonts w:hAnsi="宋体" w:cs="MS Mincho"/>
                <w:color w:val="auto"/>
                <w:szCs w:val="22"/>
                <w:highlight w:val="none"/>
              </w:rPr>
              <w:t>。</w:t>
            </w:r>
            <w:r>
              <w:rPr>
                <w:rFonts w:hAnsi="宋体"/>
                <w:color w:val="auto"/>
                <w:szCs w:val="22"/>
                <w:highlight w:val="none"/>
              </w:rPr>
              <w:t>）</w:t>
            </w:r>
          </w:p>
          <w:p w14:paraId="2F442773">
            <w:pPr>
              <w:tabs>
                <w:tab w:val="center" w:pos="4483"/>
              </w:tabs>
              <w:adjustRightInd w:val="0"/>
              <w:spacing w:line="400" w:lineRule="exact"/>
              <w:ind w:firstLine="400"/>
              <w:rPr>
                <w:rFonts w:ascii="宋体" w:hAnsi="宋体"/>
                <w:color w:val="auto"/>
                <w:highlight w:val="none"/>
              </w:rPr>
            </w:pPr>
            <w:r>
              <w:rPr>
                <w:rFonts w:ascii="宋体" w:hAnsi="宋体"/>
                <w:color w:val="auto"/>
                <w:highlight w:val="none"/>
              </w:rPr>
              <w:t>3、我单位</w:t>
            </w:r>
            <w:r>
              <w:rPr>
                <w:rFonts w:hint="eastAsia" w:ascii="宋体" w:hAnsi="宋体"/>
                <w:color w:val="auto"/>
                <w:highlight w:val="none"/>
                <w:lang w:eastAsia="zh-CN"/>
              </w:rPr>
              <w:t>□</w:t>
            </w:r>
            <w:r>
              <w:rPr>
                <w:rFonts w:ascii="宋体" w:hAnsi="宋体"/>
                <w:color w:val="auto"/>
                <w:highlight w:val="none"/>
              </w:rPr>
              <w:t>没有被限制参加政府采购活动/□在参加政府采购活动前3年内因违法经营被禁止在一定期限内参加政府采购活动，但期限届满，已可以参加政府采购活动。（说明：在□上打√</w:t>
            </w:r>
            <w:r>
              <w:rPr>
                <w:rFonts w:ascii="宋体" w:hAnsi="宋体" w:cs="MS Mincho"/>
                <w:color w:val="auto"/>
                <w:highlight w:val="none"/>
              </w:rPr>
              <w:t>。</w:t>
            </w:r>
            <w:r>
              <w:rPr>
                <w:rFonts w:ascii="宋体" w:hAnsi="宋体"/>
                <w:color w:val="auto"/>
                <w:highlight w:val="none"/>
              </w:rPr>
              <w:t>）</w:t>
            </w:r>
          </w:p>
          <w:p w14:paraId="78A9791B">
            <w:pPr>
              <w:tabs>
                <w:tab w:val="center" w:pos="4483"/>
              </w:tabs>
              <w:adjustRightInd w:val="0"/>
              <w:spacing w:line="400" w:lineRule="exact"/>
              <w:ind w:firstLine="400"/>
              <w:rPr>
                <w:rFonts w:ascii="宋体" w:hAnsi="宋体" w:cs="宋体"/>
                <w:color w:val="auto"/>
                <w:sz w:val="20"/>
                <w:highlight w:val="none"/>
                <w:u w:val="single"/>
              </w:rPr>
            </w:pPr>
            <w:r>
              <w:rPr>
                <w:rFonts w:hint="eastAsia" w:ascii="宋体" w:hAnsi="宋体" w:cs="宋体"/>
                <w:color w:val="auto"/>
                <w:sz w:val="20"/>
                <w:highlight w:val="none"/>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auto"/>
                <w:sz w:val="20"/>
                <w:highlight w:val="none"/>
                <w:u w:val="single"/>
              </w:rPr>
              <w:t xml:space="preserve">                    </w:t>
            </w:r>
          </w:p>
          <w:p w14:paraId="49DCD232">
            <w:pPr>
              <w:tabs>
                <w:tab w:val="center" w:pos="4483"/>
              </w:tabs>
              <w:adjustRightInd w:val="0"/>
              <w:spacing w:line="400" w:lineRule="exact"/>
              <w:ind w:firstLine="400"/>
              <w:rPr>
                <w:rFonts w:ascii="宋体" w:hAnsi="宋体" w:cs="宋体"/>
                <w:color w:val="auto"/>
                <w:sz w:val="20"/>
                <w:highlight w:val="none"/>
              </w:rPr>
            </w:pPr>
            <w:r>
              <w:rPr>
                <w:rFonts w:hint="eastAsia" w:ascii="宋体" w:hAnsi="宋体" w:cs="宋体"/>
                <w:color w:val="auto"/>
                <w:sz w:val="20"/>
                <w:highlight w:val="none"/>
              </w:rPr>
              <w:t>5、我单位符合本项目特定资格条件：</w:t>
            </w:r>
            <w:r>
              <w:rPr>
                <w:rFonts w:hint="eastAsia" w:ascii="宋体" w:hAnsi="宋体" w:cs="宋体"/>
                <w:color w:val="auto"/>
                <w:sz w:val="20"/>
                <w:highlight w:val="none"/>
                <w:u w:val="single"/>
              </w:rPr>
              <w:t xml:space="preserve">               </w:t>
            </w:r>
            <w:r>
              <w:rPr>
                <w:rFonts w:hint="eastAsia" w:ascii="宋体" w:hAnsi="宋体" w:cs="宋体"/>
                <w:color w:val="auto"/>
                <w:sz w:val="20"/>
                <w:highlight w:val="none"/>
              </w:rPr>
              <w:t>的要求，并在磋商响应文件中提供了相应的证明材料（磋商文件没有要求特定资格条件的，本条款空格处可以空白）</w:t>
            </w:r>
          </w:p>
          <w:p w14:paraId="66745449">
            <w:pPr>
              <w:tabs>
                <w:tab w:val="center" w:pos="4483"/>
              </w:tabs>
              <w:adjustRightInd w:val="0"/>
              <w:spacing w:line="400" w:lineRule="exact"/>
              <w:ind w:firstLine="400" w:firstLineChars="200"/>
              <w:rPr>
                <w:rFonts w:ascii="宋体" w:hAnsi="宋体" w:cs="宋体"/>
                <w:color w:val="auto"/>
                <w:sz w:val="20"/>
                <w:highlight w:val="none"/>
              </w:rPr>
            </w:pPr>
            <w:r>
              <w:rPr>
                <w:rFonts w:hint="eastAsia" w:ascii="宋体" w:hAnsi="宋体" w:cs="宋体"/>
                <w:color w:val="auto"/>
                <w:sz w:val="20"/>
                <w:highlight w:val="none"/>
              </w:rPr>
              <w:t>6、我单位与参加本次项目同一合同项下政府采购活动的其他供应商不存在单位负责人为同一人或者直接控股、管理关系。</w:t>
            </w:r>
          </w:p>
          <w:p w14:paraId="1A766BD8">
            <w:pPr>
              <w:tabs>
                <w:tab w:val="center" w:pos="4483"/>
              </w:tabs>
              <w:adjustRightInd w:val="0"/>
              <w:spacing w:line="400" w:lineRule="exact"/>
              <w:ind w:firstLine="400" w:firstLineChars="200"/>
              <w:rPr>
                <w:rFonts w:ascii="宋体" w:hAnsi="宋体"/>
                <w:bCs/>
                <w:color w:val="auto"/>
                <w:sz w:val="20"/>
                <w:highlight w:val="none"/>
              </w:rPr>
            </w:pPr>
            <w:r>
              <w:rPr>
                <w:rFonts w:hint="eastAsia" w:ascii="宋体" w:hAnsi="宋体" w:cs="宋体"/>
                <w:color w:val="auto"/>
                <w:sz w:val="20"/>
                <w:highlight w:val="none"/>
              </w:rPr>
              <w:t>7、本公司所提交的声明和陈述均是真实的、准确的。若与真实情况不符，本公司愿意承担由此而产生的一切后果。</w:t>
            </w:r>
          </w:p>
        </w:tc>
      </w:tr>
      <w:tr w14:paraId="20F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42FBA06F">
            <w:pPr>
              <w:pStyle w:val="26"/>
              <w:adjustRightInd w:val="0"/>
              <w:snapToGrid w:val="0"/>
              <w:spacing w:line="440" w:lineRule="exact"/>
              <w:rPr>
                <w:rFonts w:hAnsi="宋体"/>
                <w:color w:val="auto"/>
                <w:sz w:val="22"/>
                <w:szCs w:val="22"/>
                <w:highlight w:val="none"/>
              </w:rPr>
            </w:pPr>
            <w:r>
              <w:rPr>
                <w:rFonts w:hint="eastAsia" w:hAnsi="宋体"/>
                <w:color w:val="auto"/>
                <w:sz w:val="22"/>
                <w:szCs w:val="22"/>
                <w:highlight w:val="none"/>
                <w:lang w:val="zh-CN"/>
              </w:rPr>
              <w:t>投标供应商（盖章）：</w:t>
            </w:r>
          </w:p>
        </w:tc>
      </w:tr>
      <w:tr w14:paraId="6E54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41A77901">
            <w:pPr>
              <w:pStyle w:val="26"/>
              <w:adjustRightInd w:val="0"/>
              <w:snapToGrid w:val="0"/>
              <w:spacing w:line="440" w:lineRule="exact"/>
              <w:rPr>
                <w:rFonts w:hAnsi="宋体"/>
                <w:color w:val="auto"/>
                <w:sz w:val="22"/>
                <w:szCs w:val="22"/>
                <w:highlight w:val="none"/>
              </w:rPr>
            </w:pPr>
            <w:r>
              <w:rPr>
                <w:rFonts w:hAnsi="宋体"/>
                <w:color w:val="auto"/>
                <w:highlight w:val="none"/>
              </w:rPr>
              <w:t>法定代表人或授权代表（签字或盖章）</w:t>
            </w:r>
            <w:r>
              <w:rPr>
                <w:rFonts w:hAnsi="宋体"/>
                <w:color w:val="auto"/>
                <w:sz w:val="22"/>
                <w:szCs w:val="22"/>
                <w:highlight w:val="none"/>
              </w:rPr>
              <w:t>：</w:t>
            </w:r>
          </w:p>
        </w:tc>
      </w:tr>
      <w:tr w14:paraId="6307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vAlign w:val="center"/>
          </w:tcPr>
          <w:p w14:paraId="05172C60">
            <w:pPr>
              <w:pStyle w:val="26"/>
              <w:adjustRightInd w:val="0"/>
              <w:snapToGrid w:val="0"/>
              <w:spacing w:line="440" w:lineRule="exact"/>
              <w:rPr>
                <w:rFonts w:hAnsi="宋体"/>
                <w:color w:val="auto"/>
                <w:sz w:val="22"/>
                <w:szCs w:val="22"/>
                <w:highlight w:val="none"/>
              </w:rPr>
            </w:pPr>
            <w:r>
              <w:rPr>
                <w:rFonts w:hAnsi="宋体"/>
                <w:color w:val="auto"/>
                <w:sz w:val="22"/>
                <w:szCs w:val="22"/>
                <w:highlight w:val="none"/>
              </w:rPr>
              <w:t>签署日期：</w:t>
            </w:r>
          </w:p>
        </w:tc>
      </w:tr>
    </w:tbl>
    <w:p w14:paraId="7217D907">
      <w:pPr>
        <w:pStyle w:val="26"/>
        <w:adjustRightInd w:val="0"/>
        <w:snapToGrid w:val="0"/>
        <w:spacing w:line="460" w:lineRule="atLeast"/>
        <w:jc w:val="center"/>
        <w:rPr>
          <w:rFonts w:hAnsi="宋体"/>
          <w:color w:val="auto"/>
          <w:sz w:val="36"/>
          <w:szCs w:val="36"/>
          <w:highlight w:val="none"/>
        </w:rPr>
      </w:pPr>
    </w:p>
    <w:p w14:paraId="2C81FF9F">
      <w:pPr>
        <w:pStyle w:val="4"/>
        <w:spacing w:line="276" w:lineRule="auto"/>
        <w:rPr>
          <w:rFonts w:hAnsi="宋体"/>
          <w:color w:val="auto"/>
          <w:sz w:val="36"/>
          <w:highlight w:val="none"/>
        </w:rPr>
      </w:pPr>
      <w:r>
        <w:rPr>
          <w:rFonts w:hAnsi="宋体"/>
          <w:color w:val="auto"/>
          <w:sz w:val="36"/>
          <w:highlight w:val="none"/>
        </w:rPr>
        <w:br w:type="page"/>
      </w:r>
      <w:bookmarkStart w:id="81" w:name="_Toc16758"/>
      <w:bookmarkStart w:id="82" w:name="_Toc493530212"/>
      <w:r>
        <w:rPr>
          <w:rFonts w:hint="eastAsia" w:ascii="宋体" w:hAnsi="宋体"/>
          <w:color w:val="auto"/>
          <w:sz w:val="36"/>
          <w:highlight w:val="none"/>
        </w:rPr>
        <w:t>二、报价文件格式</w:t>
      </w:r>
      <w:bookmarkEnd w:id="81"/>
    </w:p>
    <w:p w14:paraId="25C71480">
      <w:pPr>
        <w:pStyle w:val="26"/>
        <w:adjustRightInd w:val="0"/>
        <w:snapToGrid w:val="0"/>
        <w:spacing w:line="440" w:lineRule="atLeast"/>
        <w:jc w:val="left"/>
        <w:outlineLvl w:val="1"/>
        <w:rPr>
          <w:rFonts w:hAnsi="宋体"/>
          <w:color w:val="auto"/>
          <w:sz w:val="30"/>
          <w:highlight w:val="none"/>
          <w:lang w:val="zh-CN"/>
        </w:rPr>
      </w:pPr>
      <w:bookmarkStart w:id="83" w:name="_Toc5335"/>
      <w:r>
        <w:rPr>
          <w:rFonts w:hint="eastAsia" w:hAnsi="宋体"/>
          <w:color w:val="auto"/>
          <w:sz w:val="30"/>
          <w:highlight w:val="none"/>
        </w:rPr>
        <w:t>附件</w:t>
      </w:r>
      <w:r>
        <w:rPr>
          <w:rFonts w:hint="eastAsia" w:hAnsi="宋体"/>
          <w:color w:val="auto"/>
          <w:sz w:val="30"/>
          <w:highlight w:val="none"/>
          <w:lang w:val="zh-CN"/>
        </w:rPr>
        <w:t>二</w:t>
      </w:r>
      <w:bookmarkEnd w:id="83"/>
    </w:p>
    <w:bookmarkEnd w:id="82"/>
    <w:p w14:paraId="462733AA">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84" w:name="_Toc6759"/>
      <w:r>
        <w:rPr>
          <w:rFonts w:hint="eastAsia" w:hAnsi="宋体" w:cs="Arial"/>
          <w:bCs/>
          <w:color w:val="auto"/>
          <w:sz w:val="36"/>
          <w:szCs w:val="36"/>
          <w:highlight w:val="none"/>
          <w:lang w:val="zh-CN"/>
        </w:rPr>
        <w:t>报价一览表</w:t>
      </w:r>
      <w:bookmarkEnd w:id="84"/>
    </w:p>
    <w:p w14:paraId="57397BBE">
      <w:pPr>
        <w:pStyle w:val="26"/>
        <w:spacing w:line="460" w:lineRule="exact"/>
        <w:rPr>
          <w:rFonts w:hAnsi="宋体"/>
          <w:color w:val="auto"/>
          <w:highlight w:val="none"/>
        </w:rPr>
      </w:pPr>
      <w:r>
        <w:rPr>
          <w:rFonts w:hint="eastAsia" w:hAnsi="宋体"/>
          <w:color w:val="auto"/>
          <w:highlight w:val="none"/>
        </w:rPr>
        <w:t>项目名称：                                 采购编号：                        单位：元</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6054"/>
      </w:tblGrid>
      <w:tr w14:paraId="3EBD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86" w:type="dxa"/>
            <w:vAlign w:val="center"/>
          </w:tcPr>
          <w:p w14:paraId="22888BD7">
            <w:pPr>
              <w:pStyle w:val="26"/>
              <w:ind w:firstLine="442"/>
              <w:jc w:val="center"/>
              <w:rPr>
                <w:rFonts w:hAnsi="宋体" w:cs="宋体"/>
                <w:color w:val="auto"/>
                <w:sz w:val="22"/>
                <w:highlight w:val="none"/>
              </w:rPr>
            </w:pPr>
            <w:r>
              <w:rPr>
                <w:rFonts w:hint="eastAsia" w:hAnsi="宋体" w:cs="宋体"/>
                <w:color w:val="auto"/>
                <w:sz w:val="22"/>
                <w:highlight w:val="none"/>
              </w:rPr>
              <w:t>项目名称</w:t>
            </w:r>
          </w:p>
        </w:tc>
        <w:tc>
          <w:tcPr>
            <w:tcW w:w="6054" w:type="dxa"/>
            <w:vAlign w:val="center"/>
          </w:tcPr>
          <w:p w14:paraId="75B7CA4E">
            <w:pPr>
              <w:pStyle w:val="26"/>
              <w:ind w:firstLine="442"/>
              <w:jc w:val="center"/>
              <w:rPr>
                <w:rFonts w:hAnsi="宋体" w:cs="宋体"/>
                <w:color w:val="auto"/>
                <w:sz w:val="22"/>
                <w:highlight w:val="none"/>
              </w:rPr>
            </w:pPr>
            <w:r>
              <w:rPr>
                <w:rFonts w:hint="eastAsia" w:hAnsi="宋体" w:cs="宋体"/>
                <w:color w:val="auto"/>
                <w:sz w:val="22"/>
                <w:highlight w:val="none"/>
              </w:rPr>
              <w:t>投标价（元人民币）</w:t>
            </w:r>
          </w:p>
        </w:tc>
      </w:tr>
      <w:tr w14:paraId="4617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3686" w:type="dxa"/>
            <w:vAlign w:val="center"/>
          </w:tcPr>
          <w:p w14:paraId="652F9B4C">
            <w:pPr>
              <w:pStyle w:val="26"/>
              <w:jc w:val="center"/>
              <w:rPr>
                <w:rFonts w:hAnsi="宋体" w:cs="宋体"/>
                <w:color w:val="auto"/>
                <w:sz w:val="22"/>
                <w:highlight w:val="none"/>
              </w:rPr>
            </w:pPr>
            <w:r>
              <w:rPr>
                <w:rFonts w:hint="eastAsia" w:hAnsi="宋体" w:cs="宋体"/>
                <w:color w:val="auto"/>
                <w:sz w:val="22"/>
                <w:highlight w:val="none"/>
                <w:lang w:eastAsia="zh-CN"/>
              </w:rPr>
              <w:t>温州市安全风险态势电子沙盘建设项目</w:t>
            </w:r>
            <w:r>
              <w:rPr>
                <w:rFonts w:hint="eastAsia" w:hAnsi="宋体" w:cs="宋体"/>
                <w:color w:val="auto"/>
                <w:sz w:val="22"/>
                <w:highlight w:val="none"/>
              </w:rPr>
              <w:t xml:space="preserve"> </w:t>
            </w:r>
          </w:p>
        </w:tc>
        <w:tc>
          <w:tcPr>
            <w:tcW w:w="6054" w:type="dxa"/>
            <w:vAlign w:val="center"/>
          </w:tcPr>
          <w:p w14:paraId="1B09AA00">
            <w:pPr>
              <w:pStyle w:val="26"/>
              <w:jc w:val="left"/>
              <w:rPr>
                <w:rFonts w:hAnsi="宋体" w:cs="宋体"/>
                <w:color w:val="auto"/>
                <w:sz w:val="22"/>
                <w:highlight w:val="none"/>
              </w:rPr>
            </w:pPr>
            <w:r>
              <w:rPr>
                <w:rFonts w:hint="eastAsia" w:hAnsi="宋体" w:cs="宋体"/>
                <w:color w:val="auto"/>
                <w:sz w:val="22"/>
                <w:highlight w:val="none"/>
              </w:rPr>
              <w:t>大写：</w:t>
            </w:r>
          </w:p>
          <w:p w14:paraId="287D1F8B">
            <w:pPr>
              <w:pStyle w:val="26"/>
              <w:jc w:val="left"/>
              <w:rPr>
                <w:rFonts w:hAnsi="宋体" w:cs="宋体"/>
                <w:color w:val="auto"/>
                <w:sz w:val="22"/>
                <w:highlight w:val="none"/>
              </w:rPr>
            </w:pPr>
          </w:p>
          <w:p w14:paraId="65AC0CE8">
            <w:pPr>
              <w:pStyle w:val="26"/>
              <w:jc w:val="left"/>
              <w:rPr>
                <w:rFonts w:hAnsi="宋体" w:cs="宋体"/>
                <w:color w:val="auto"/>
                <w:sz w:val="22"/>
                <w:highlight w:val="none"/>
              </w:rPr>
            </w:pPr>
          </w:p>
          <w:p w14:paraId="74471953">
            <w:pPr>
              <w:pStyle w:val="26"/>
              <w:jc w:val="left"/>
              <w:rPr>
                <w:rFonts w:hAnsi="宋体" w:cs="宋体"/>
                <w:color w:val="auto"/>
                <w:sz w:val="22"/>
                <w:highlight w:val="none"/>
              </w:rPr>
            </w:pPr>
            <w:r>
              <w:rPr>
                <w:rFonts w:hint="eastAsia" w:hAnsi="宋体" w:cs="宋体"/>
                <w:color w:val="auto"/>
                <w:sz w:val="22"/>
                <w:highlight w:val="none"/>
              </w:rPr>
              <w:t>小写：</w:t>
            </w:r>
          </w:p>
        </w:tc>
      </w:tr>
    </w:tbl>
    <w:p w14:paraId="036088D4">
      <w:pPr>
        <w:spacing w:line="460" w:lineRule="exact"/>
        <w:rPr>
          <w:rFonts w:ascii="宋体" w:hAnsi="宋体" w:cs="仿宋_GB2312"/>
          <w:b/>
          <w:bCs/>
          <w:color w:val="auto"/>
          <w:sz w:val="22"/>
          <w:highlight w:val="none"/>
        </w:rPr>
      </w:pPr>
      <w:r>
        <w:rPr>
          <w:rFonts w:hint="eastAsia" w:ascii="宋体" w:hAnsi="宋体" w:cs="仿宋_GB2312"/>
          <w:b/>
          <w:bCs/>
          <w:color w:val="auto"/>
          <w:sz w:val="22"/>
          <w:highlight w:val="none"/>
        </w:rPr>
        <w:t>说明：</w:t>
      </w:r>
    </w:p>
    <w:p w14:paraId="3F13806D">
      <w:pPr>
        <w:spacing w:line="460" w:lineRule="atLeast"/>
        <w:rPr>
          <w:rFonts w:ascii="宋体" w:hAnsi="宋体"/>
          <w:color w:val="auto"/>
          <w:kern w:val="0"/>
          <w:sz w:val="22"/>
          <w:highlight w:val="none"/>
        </w:rPr>
      </w:pPr>
      <w:r>
        <w:rPr>
          <w:rFonts w:hint="eastAsia" w:ascii="宋体" w:hAnsi="宋体"/>
          <w:color w:val="auto"/>
          <w:kern w:val="0"/>
          <w:sz w:val="22"/>
          <w:highlight w:val="none"/>
        </w:rPr>
        <w:t>▲报价一览表中投标价为符合磋商文件要求的全部费用。</w:t>
      </w:r>
    </w:p>
    <w:p w14:paraId="4FADACDA">
      <w:pPr>
        <w:spacing w:line="460" w:lineRule="atLeast"/>
        <w:rPr>
          <w:rFonts w:ascii="宋体" w:hAnsi="宋体"/>
          <w:color w:val="auto"/>
          <w:kern w:val="0"/>
          <w:sz w:val="22"/>
          <w:highlight w:val="none"/>
        </w:rPr>
      </w:pPr>
      <w:r>
        <w:rPr>
          <w:rFonts w:hint="eastAsia" w:ascii="宋体" w:hAnsi="宋体"/>
          <w:color w:val="auto"/>
          <w:kern w:val="0"/>
          <w:sz w:val="22"/>
          <w:highlight w:val="none"/>
        </w:rPr>
        <w:t xml:space="preserve">▲此报价一览表中投标价应与“投标分项报价表”中“合计报价”相一致。 </w:t>
      </w:r>
    </w:p>
    <w:p w14:paraId="096B725E">
      <w:pPr>
        <w:spacing w:line="440" w:lineRule="atLeast"/>
        <w:rPr>
          <w:rFonts w:ascii="宋体" w:hAnsi="宋体"/>
          <w:b/>
          <w:color w:val="auto"/>
          <w:kern w:val="0"/>
          <w:sz w:val="22"/>
          <w:highlight w:val="none"/>
        </w:rPr>
      </w:pPr>
      <w:r>
        <w:rPr>
          <w:rFonts w:hint="eastAsia" w:ascii="宋体" w:hAnsi="宋体"/>
          <w:color w:val="auto"/>
          <w:kern w:val="0"/>
          <w:sz w:val="22"/>
          <w:highlight w:val="none"/>
        </w:rPr>
        <w:t>▲不提供此表格的将视为没有实质性响应磋商文件。</w:t>
      </w:r>
    </w:p>
    <w:p w14:paraId="344460CD">
      <w:pPr>
        <w:spacing w:line="460" w:lineRule="exact"/>
        <w:rPr>
          <w:rFonts w:ascii="宋体" w:hAnsi="宋体" w:cs="仿宋_GB2312"/>
          <w:b/>
          <w:bCs/>
          <w:color w:val="auto"/>
          <w:sz w:val="22"/>
          <w:highlight w:val="none"/>
        </w:rPr>
      </w:pPr>
    </w:p>
    <w:p w14:paraId="1D2CC6BE">
      <w:pPr>
        <w:spacing w:line="460" w:lineRule="exact"/>
        <w:rPr>
          <w:rFonts w:ascii="宋体" w:hAnsi="宋体" w:cs="仿宋_GB2312"/>
          <w:b/>
          <w:bCs/>
          <w:color w:val="auto"/>
          <w:sz w:val="22"/>
          <w:highlight w:val="none"/>
        </w:rPr>
      </w:pPr>
    </w:p>
    <w:p w14:paraId="732F2A19">
      <w:pPr>
        <w:spacing w:line="460" w:lineRule="exact"/>
        <w:rPr>
          <w:rFonts w:ascii="宋体" w:hAnsi="宋体" w:cs="仿宋_GB2312"/>
          <w:bCs/>
          <w:color w:val="auto"/>
          <w:sz w:val="22"/>
          <w:highlight w:val="none"/>
        </w:rPr>
      </w:pPr>
      <w:r>
        <w:rPr>
          <w:rFonts w:hint="eastAsia" w:ascii="宋体" w:hAnsi="宋体"/>
          <w:color w:val="auto"/>
          <w:sz w:val="22"/>
          <w:szCs w:val="22"/>
          <w:highlight w:val="none"/>
          <w:lang w:val="zh-CN"/>
        </w:rPr>
        <w:t>投标供应商（盖章）：</w:t>
      </w:r>
    </w:p>
    <w:p w14:paraId="5CD423B4">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法定代表人或授权代表（签字或盖章）：</w:t>
      </w:r>
    </w:p>
    <w:p w14:paraId="2670ABDD">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日期：</w:t>
      </w:r>
      <w:r>
        <w:rPr>
          <w:rFonts w:ascii="宋体" w:hAnsi="宋体" w:cs="仿宋_GB2312"/>
          <w:bCs/>
          <w:color w:val="auto"/>
          <w:sz w:val="22"/>
          <w:highlight w:val="none"/>
        </w:rPr>
        <w:t xml:space="preserve"> </w:t>
      </w:r>
    </w:p>
    <w:p w14:paraId="33233EC2">
      <w:pPr>
        <w:pStyle w:val="26"/>
        <w:spacing w:line="460" w:lineRule="atLeast"/>
        <w:ind w:firstLine="550" w:firstLineChars="250"/>
        <w:rPr>
          <w:rFonts w:hAnsi="宋体"/>
          <w:color w:val="auto"/>
          <w:sz w:val="22"/>
          <w:szCs w:val="22"/>
          <w:highlight w:val="none"/>
        </w:rPr>
        <w:sectPr>
          <w:footerReference r:id="rId6" w:type="first"/>
          <w:headerReference r:id="rId3" w:type="default"/>
          <w:footerReference r:id="rId4" w:type="default"/>
          <w:footerReference r:id="rId5" w:type="even"/>
          <w:pgSz w:w="11907" w:h="16840"/>
          <w:pgMar w:top="1440" w:right="1080" w:bottom="1440" w:left="1080" w:header="720" w:footer="720" w:gutter="0"/>
          <w:pgNumType w:start="0"/>
          <w:cols w:space="720" w:num="1"/>
          <w:titlePg/>
          <w:docGrid w:linePitch="286" w:charSpace="-3831"/>
        </w:sectPr>
      </w:pPr>
    </w:p>
    <w:p w14:paraId="5A31F2B6">
      <w:pPr>
        <w:pStyle w:val="26"/>
        <w:adjustRightInd w:val="0"/>
        <w:snapToGrid w:val="0"/>
        <w:spacing w:line="440" w:lineRule="atLeast"/>
        <w:jc w:val="left"/>
        <w:outlineLvl w:val="1"/>
        <w:rPr>
          <w:rFonts w:hAnsi="宋体"/>
          <w:color w:val="auto"/>
          <w:sz w:val="30"/>
          <w:highlight w:val="none"/>
        </w:rPr>
      </w:pPr>
      <w:bookmarkStart w:id="85" w:name="_Toc7819"/>
      <w:r>
        <w:rPr>
          <w:rFonts w:hint="eastAsia" w:hAnsi="宋体"/>
          <w:color w:val="auto"/>
          <w:sz w:val="30"/>
          <w:highlight w:val="none"/>
        </w:rPr>
        <w:t>附件三</w:t>
      </w:r>
      <w:bookmarkEnd w:id="85"/>
    </w:p>
    <w:p w14:paraId="31FF6E48">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86" w:name="_Toc22484"/>
      <w:r>
        <w:rPr>
          <w:rFonts w:hint="eastAsia" w:hAnsi="宋体" w:cs="Arial"/>
          <w:bCs/>
          <w:color w:val="auto"/>
          <w:sz w:val="36"/>
          <w:szCs w:val="36"/>
          <w:highlight w:val="none"/>
          <w:lang w:val="zh-CN"/>
        </w:rPr>
        <w:t>投标分项报价表</w:t>
      </w:r>
      <w:bookmarkEnd w:id="86"/>
    </w:p>
    <w:p w14:paraId="6F3C8683">
      <w:pPr>
        <w:pStyle w:val="26"/>
        <w:adjustRightInd w:val="0"/>
        <w:snapToGrid w:val="0"/>
        <w:spacing w:line="440" w:lineRule="atLeast"/>
        <w:jc w:val="right"/>
        <w:rPr>
          <w:rFonts w:hAnsi="宋体"/>
          <w:color w:val="auto"/>
          <w:sz w:val="22"/>
          <w:szCs w:val="22"/>
          <w:highlight w:val="none"/>
        </w:rPr>
      </w:pPr>
      <w:r>
        <w:rPr>
          <w:rFonts w:hint="eastAsia" w:hAnsi="宋体"/>
          <w:color w:val="auto"/>
          <w:sz w:val="22"/>
          <w:szCs w:val="22"/>
          <w:highlight w:val="none"/>
        </w:rPr>
        <w:t>（价格单位：元）</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1286"/>
        <w:gridCol w:w="1861"/>
        <w:gridCol w:w="3376"/>
      </w:tblGrid>
      <w:tr w14:paraId="0368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291" w:type="dxa"/>
            <w:vAlign w:val="center"/>
          </w:tcPr>
          <w:p w14:paraId="5DB239D7">
            <w:pPr>
              <w:spacing w:line="360" w:lineRule="exact"/>
              <w:jc w:val="center"/>
              <w:rPr>
                <w:rFonts w:ascii="宋体"/>
                <w:color w:val="auto"/>
                <w:sz w:val="22"/>
                <w:highlight w:val="none"/>
              </w:rPr>
            </w:pPr>
            <w:r>
              <w:rPr>
                <w:rFonts w:hint="eastAsia" w:ascii="宋体"/>
                <w:color w:val="auto"/>
                <w:sz w:val="22"/>
                <w:highlight w:val="none"/>
              </w:rPr>
              <w:t>工作内容</w:t>
            </w:r>
          </w:p>
        </w:tc>
        <w:tc>
          <w:tcPr>
            <w:tcW w:w="1286" w:type="dxa"/>
            <w:vAlign w:val="center"/>
          </w:tcPr>
          <w:p w14:paraId="4F9C3734">
            <w:pPr>
              <w:spacing w:line="360" w:lineRule="exact"/>
              <w:jc w:val="center"/>
              <w:rPr>
                <w:rFonts w:ascii="宋体"/>
                <w:color w:val="auto"/>
                <w:sz w:val="22"/>
                <w:highlight w:val="none"/>
              </w:rPr>
            </w:pPr>
            <w:r>
              <w:rPr>
                <w:rFonts w:hint="eastAsia" w:ascii="宋体"/>
                <w:color w:val="auto"/>
                <w:sz w:val="22"/>
                <w:highlight w:val="none"/>
              </w:rPr>
              <w:t>数量</w:t>
            </w:r>
          </w:p>
        </w:tc>
        <w:tc>
          <w:tcPr>
            <w:tcW w:w="1861" w:type="dxa"/>
            <w:vAlign w:val="center"/>
          </w:tcPr>
          <w:p w14:paraId="42140987">
            <w:pPr>
              <w:spacing w:line="360" w:lineRule="exact"/>
              <w:jc w:val="center"/>
              <w:rPr>
                <w:rFonts w:ascii="宋体"/>
                <w:color w:val="auto"/>
                <w:sz w:val="22"/>
                <w:highlight w:val="none"/>
              </w:rPr>
            </w:pPr>
            <w:r>
              <w:rPr>
                <w:rFonts w:hint="eastAsia" w:ascii="宋体"/>
                <w:color w:val="auto"/>
                <w:sz w:val="22"/>
                <w:highlight w:val="none"/>
              </w:rPr>
              <w:t>单价</w:t>
            </w:r>
          </w:p>
        </w:tc>
        <w:tc>
          <w:tcPr>
            <w:tcW w:w="3376" w:type="dxa"/>
            <w:vAlign w:val="center"/>
          </w:tcPr>
          <w:p w14:paraId="081B3381">
            <w:pPr>
              <w:spacing w:line="360" w:lineRule="exact"/>
              <w:jc w:val="center"/>
              <w:rPr>
                <w:rFonts w:ascii="宋体"/>
                <w:color w:val="auto"/>
                <w:sz w:val="22"/>
                <w:highlight w:val="none"/>
              </w:rPr>
            </w:pPr>
            <w:r>
              <w:rPr>
                <w:rFonts w:hint="eastAsia" w:ascii="宋体"/>
                <w:color w:val="auto"/>
                <w:sz w:val="22"/>
                <w:highlight w:val="none"/>
              </w:rPr>
              <w:t>总价</w:t>
            </w:r>
          </w:p>
        </w:tc>
      </w:tr>
      <w:tr w14:paraId="2359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16EEFABE">
            <w:pPr>
              <w:spacing w:line="360" w:lineRule="exact"/>
              <w:jc w:val="center"/>
              <w:rPr>
                <w:rFonts w:ascii="宋体"/>
                <w:color w:val="auto"/>
                <w:sz w:val="22"/>
                <w:highlight w:val="none"/>
              </w:rPr>
            </w:pPr>
          </w:p>
        </w:tc>
        <w:tc>
          <w:tcPr>
            <w:tcW w:w="1286" w:type="dxa"/>
            <w:vAlign w:val="center"/>
          </w:tcPr>
          <w:p w14:paraId="03340EAB">
            <w:pPr>
              <w:spacing w:line="360" w:lineRule="exact"/>
              <w:jc w:val="center"/>
              <w:rPr>
                <w:rFonts w:ascii="宋体"/>
                <w:color w:val="auto"/>
                <w:sz w:val="22"/>
                <w:highlight w:val="none"/>
              </w:rPr>
            </w:pPr>
          </w:p>
        </w:tc>
        <w:tc>
          <w:tcPr>
            <w:tcW w:w="1861" w:type="dxa"/>
            <w:vAlign w:val="center"/>
          </w:tcPr>
          <w:p w14:paraId="474A709E">
            <w:pPr>
              <w:spacing w:line="360" w:lineRule="exact"/>
              <w:jc w:val="center"/>
              <w:rPr>
                <w:rFonts w:ascii="宋体"/>
                <w:color w:val="auto"/>
                <w:sz w:val="22"/>
                <w:highlight w:val="none"/>
              </w:rPr>
            </w:pPr>
          </w:p>
        </w:tc>
        <w:tc>
          <w:tcPr>
            <w:tcW w:w="3376" w:type="dxa"/>
            <w:vAlign w:val="center"/>
          </w:tcPr>
          <w:p w14:paraId="2CABBD5F">
            <w:pPr>
              <w:spacing w:line="360" w:lineRule="exact"/>
              <w:jc w:val="center"/>
              <w:rPr>
                <w:rFonts w:ascii="宋体"/>
                <w:color w:val="auto"/>
                <w:sz w:val="22"/>
                <w:highlight w:val="none"/>
              </w:rPr>
            </w:pPr>
          </w:p>
        </w:tc>
      </w:tr>
      <w:tr w14:paraId="7D90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12124D2F">
            <w:pPr>
              <w:spacing w:line="360" w:lineRule="exact"/>
              <w:jc w:val="center"/>
              <w:rPr>
                <w:rFonts w:ascii="宋体"/>
                <w:color w:val="auto"/>
                <w:sz w:val="22"/>
                <w:highlight w:val="none"/>
              </w:rPr>
            </w:pPr>
          </w:p>
        </w:tc>
        <w:tc>
          <w:tcPr>
            <w:tcW w:w="1286" w:type="dxa"/>
            <w:vAlign w:val="center"/>
          </w:tcPr>
          <w:p w14:paraId="58278C51">
            <w:pPr>
              <w:spacing w:line="360" w:lineRule="exact"/>
              <w:jc w:val="center"/>
              <w:rPr>
                <w:rFonts w:ascii="宋体"/>
                <w:color w:val="auto"/>
                <w:sz w:val="22"/>
                <w:highlight w:val="none"/>
              </w:rPr>
            </w:pPr>
          </w:p>
        </w:tc>
        <w:tc>
          <w:tcPr>
            <w:tcW w:w="1861" w:type="dxa"/>
            <w:vAlign w:val="center"/>
          </w:tcPr>
          <w:p w14:paraId="653D34C4">
            <w:pPr>
              <w:spacing w:line="360" w:lineRule="exact"/>
              <w:jc w:val="center"/>
              <w:rPr>
                <w:rFonts w:ascii="宋体"/>
                <w:color w:val="auto"/>
                <w:sz w:val="22"/>
                <w:highlight w:val="none"/>
              </w:rPr>
            </w:pPr>
          </w:p>
        </w:tc>
        <w:tc>
          <w:tcPr>
            <w:tcW w:w="3376" w:type="dxa"/>
            <w:vAlign w:val="center"/>
          </w:tcPr>
          <w:p w14:paraId="05D263F1">
            <w:pPr>
              <w:spacing w:line="360" w:lineRule="exact"/>
              <w:jc w:val="center"/>
              <w:rPr>
                <w:rFonts w:ascii="宋体"/>
                <w:color w:val="auto"/>
                <w:sz w:val="22"/>
                <w:highlight w:val="none"/>
              </w:rPr>
            </w:pPr>
          </w:p>
        </w:tc>
      </w:tr>
      <w:tr w14:paraId="51E3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41A4DE9B">
            <w:pPr>
              <w:spacing w:line="360" w:lineRule="exact"/>
              <w:jc w:val="center"/>
              <w:rPr>
                <w:rFonts w:ascii="宋体"/>
                <w:b/>
                <w:bCs/>
                <w:color w:val="auto"/>
                <w:sz w:val="22"/>
                <w:highlight w:val="none"/>
              </w:rPr>
            </w:pPr>
          </w:p>
        </w:tc>
        <w:tc>
          <w:tcPr>
            <w:tcW w:w="1286" w:type="dxa"/>
            <w:vAlign w:val="center"/>
          </w:tcPr>
          <w:p w14:paraId="200D1E5D">
            <w:pPr>
              <w:spacing w:line="360" w:lineRule="exact"/>
              <w:jc w:val="center"/>
              <w:rPr>
                <w:rFonts w:ascii="宋体"/>
                <w:color w:val="auto"/>
                <w:sz w:val="22"/>
                <w:highlight w:val="none"/>
              </w:rPr>
            </w:pPr>
          </w:p>
        </w:tc>
        <w:tc>
          <w:tcPr>
            <w:tcW w:w="1861" w:type="dxa"/>
            <w:vAlign w:val="center"/>
          </w:tcPr>
          <w:p w14:paraId="1F370724">
            <w:pPr>
              <w:spacing w:line="360" w:lineRule="exact"/>
              <w:jc w:val="center"/>
              <w:rPr>
                <w:rFonts w:ascii="宋体"/>
                <w:color w:val="auto"/>
                <w:sz w:val="22"/>
                <w:highlight w:val="none"/>
              </w:rPr>
            </w:pPr>
          </w:p>
        </w:tc>
        <w:tc>
          <w:tcPr>
            <w:tcW w:w="3376" w:type="dxa"/>
            <w:vAlign w:val="center"/>
          </w:tcPr>
          <w:p w14:paraId="09882DC0">
            <w:pPr>
              <w:spacing w:line="360" w:lineRule="exact"/>
              <w:jc w:val="center"/>
              <w:rPr>
                <w:rFonts w:ascii="宋体"/>
                <w:color w:val="auto"/>
                <w:sz w:val="22"/>
                <w:highlight w:val="none"/>
              </w:rPr>
            </w:pPr>
          </w:p>
        </w:tc>
      </w:tr>
      <w:tr w14:paraId="4760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7B6B1852">
            <w:pPr>
              <w:spacing w:line="360" w:lineRule="exact"/>
              <w:jc w:val="center"/>
              <w:rPr>
                <w:rFonts w:ascii="宋体"/>
                <w:b/>
                <w:bCs/>
                <w:color w:val="auto"/>
                <w:sz w:val="22"/>
                <w:highlight w:val="none"/>
              </w:rPr>
            </w:pPr>
          </w:p>
        </w:tc>
        <w:tc>
          <w:tcPr>
            <w:tcW w:w="1286" w:type="dxa"/>
            <w:vAlign w:val="center"/>
          </w:tcPr>
          <w:p w14:paraId="145906C9">
            <w:pPr>
              <w:spacing w:line="360" w:lineRule="exact"/>
              <w:jc w:val="center"/>
              <w:rPr>
                <w:rFonts w:ascii="宋体"/>
                <w:color w:val="auto"/>
                <w:sz w:val="22"/>
                <w:highlight w:val="none"/>
              </w:rPr>
            </w:pPr>
          </w:p>
        </w:tc>
        <w:tc>
          <w:tcPr>
            <w:tcW w:w="1861" w:type="dxa"/>
            <w:vAlign w:val="center"/>
          </w:tcPr>
          <w:p w14:paraId="62FB3DA6">
            <w:pPr>
              <w:spacing w:line="360" w:lineRule="exact"/>
              <w:jc w:val="center"/>
              <w:rPr>
                <w:rFonts w:ascii="宋体"/>
                <w:color w:val="auto"/>
                <w:sz w:val="22"/>
                <w:highlight w:val="none"/>
              </w:rPr>
            </w:pPr>
          </w:p>
        </w:tc>
        <w:tc>
          <w:tcPr>
            <w:tcW w:w="3376" w:type="dxa"/>
            <w:vAlign w:val="center"/>
          </w:tcPr>
          <w:p w14:paraId="4364612B">
            <w:pPr>
              <w:spacing w:line="360" w:lineRule="exact"/>
              <w:jc w:val="center"/>
              <w:rPr>
                <w:rFonts w:ascii="宋体"/>
                <w:color w:val="auto"/>
                <w:sz w:val="22"/>
                <w:highlight w:val="none"/>
              </w:rPr>
            </w:pPr>
          </w:p>
        </w:tc>
      </w:tr>
      <w:tr w14:paraId="7978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1B4B4927">
            <w:pPr>
              <w:spacing w:line="360" w:lineRule="exact"/>
              <w:jc w:val="center"/>
              <w:rPr>
                <w:rFonts w:ascii="宋体"/>
                <w:color w:val="auto"/>
                <w:sz w:val="22"/>
                <w:highlight w:val="none"/>
              </w:rPr>
            </w:pPr>
          </w:p>
        </w:tc>
        <w:tc>
          <w:tcPr>
            <w:tcW w:w="1286" w:type="dxa"/>
            <w:vAlign w:val="center"/>
          </w:tcPr>
          <w:p w14:paraId="421B10D6">
            <w:pPr>
              <w:spacing w:line="360" w:lineRule="exact"/>
              <w:jc w:val="center"/>
              <w:rPr>
                <w:rFonts w:ascii="宋体"/>
                <w:color w:val="auto"/>
                <w:sz w:val="22"/>
                <w:highlight w:val="none"/>
              </w:rPr>
            </w:pPr>
          </w:p>
        </w:tc>
        <w:tc>
          <w:tcPr>
            <w:tcW w:w="1861" w:type="dxa"/>
            <w:vAlign w:val="center"/>
          </w:tcPr>
          <w:p w14:paraId="4F7D6ACF">
            <w:pPr>
              <w:spacing w:line="360" w:lineRule="exact"/>
              <w:jc w:val="center"/>
              <w:rPr>
                <w:rFonts w:ascii="宋体"/>
                <w:color w:val="auto"/>
                <w:sz w:val="22"/>
                <w:highlight w:val="none"/>
              </w:rPr>
            </w:pPr>
          </w:p>
        </w:tc>
        <w:tc>
          <w:tcPr>
            <w:tcW w:w="3376" w:type="dxa"/>
            <w:vAlign w:val="center"/>
          </w:tcPr>
          <w:p w14:paraId="0B8F9E7C">
            <w:pPr>
              <w:spacing w:line="360" w:lineRule="exact"/>
              <w:jc w:val="center"/>
              <w:rPr>
                <w:rFonts w:ascii="宋体"/>
                <w:color w:val="auto"/>
                <w:sz w:val="22"/>
                <w:highlight w:val="none"/>
              </w:rPr>
            </w:pPr>
          </w:p>
        </w:tc>
      </w:tr>
      <w:tr w14:paraId="76BE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766824DC">
            <w:pPr>
              <w:spacing w:line="360" w:lineRule="exact"/>
              <w:jc w:val="center"/>
              <w:rPr>
                <w:rFonts w:ascii="宋体"/>
                <w:color w:val="auto"/>
                <w:sz w:val="22"/>
                <w:highlight w:val="none"/>
              </w:rPr>
            </w:pPr>
          </w:p>
        </w:tc>
        <w:tc>
          <w:tcPr>
            <w:tcW w:w="1286" w:type="dxa"/>
            <w:vAlign w:val="center"/>
          </w:tcPr>
          <w:p w14:paraId="5A94A4C7">
            <w:pPr>
              <w:spacing w:line="360" w:lineRule="exact"/>
              <w:jc w:val="center"/>
              <w:rPr>
                <w:rFonts w:ascii="宋体"/>
                <w:color w:val="auto"/>
                <w:sz w:val="22"/>
                <w:highlight w:val="none"/>
              </w:rPr>
            </w:pPr>
          </w:p>
        </w:tc>
        <w:tc>
          <w:tcPr>
            <w:tcW w:w="1861" w:type="dxa"/>
            <w:vAlign w:val="center"/>
          </w:tcPr>
          <w:p w14:paraId="224D7F50">
            <w:pPr>
              <w:spacing w:line="360" w:lineRule="exact"/>
              <w:jc w:val="center"/>
              <w:rPr>
                <w:rFonts w:ascii="宋体"/>
                <w:color w:val="auto"/>
                <w:sz w:val="22"/>
                <w:highlight w:val="none"/>
              </w:rPr>
            </w:pPr>
          </w:p>
        </w:tc>
        <w:tc>
          <w:tcPr>
            <w:tcW w:w="3376" w:type="dxa"/>
            <w:vAlign w:val="center"/>
          </w:tcPr>
          <w:p w14:paraId="67E4F041">
            <w:pPr>
              <w:spacing w:line="360" w:lineRule="exact"/>
              <w:jc w:val="center"/>
              <w:rPr>
                <w:rFonts w:ascii="宋体"/>
                <w:color w:val="auto"/>
                <w:sz w:val="22"/>
                <w:highlight w:val="none"/>
              </w:rPr>
            </w:pPr>
          </w:p>
        </w:tc>
      </w:tr>
      <w:tr w14:paraId="77D3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3FEB353A">
            <w:pPr>
              <w:spacing w:line="360" w:lineRule="exact"/>
              <w:jc w:val="center"/>
              <w:rPr>
                <w:rFonts w:ascii="宋体"/>
                <w:color w:val="auto"/>
                <w:sz w:val="22"/>
                <w:highlight w:val="none"/>
              </w:rPr>
            </w:pPr>
          </w:p>
        </w:tc>
        <w:tc>
          <w:tcPr>
            <w:tcW w:w="1286" w:type="dxa"/>
            <w:vAlign w:val="center"/>
          </w:tcPr>
          <w:p w14:paraId="0BBF9D9B">
            <w:pPr>
              <w:spacing w:line="360" w:lineRule="exact"/>
              <w:jc w:val="center"/>
              <w:rPr>
                <w:rFonts w:ascii="宋体"/>
                <w:color w:val="auto"/>
                <w:sz w:val="22"/>
                <w:highlight w:val="none"/>
              </w:rPr>
            </w:pPr>
          </w:p>
        </w:tc>
        <w:tc>
          <w:tcPr>
            <w:tcW w:w="1861" w:type="dxa"/>
            <w:vAlign w:val="center"/>
          </w:tcPr>
          <w:p w14:paraId="38F4299E">
            <w:pPr>
              <w:spacing w:line="360" w:lineRule="exact"/>
              <w:jc w:val="center"/>
              <w:rPr>
                <w:rFonts w:ascii="宋体"/>
                <w:color w:val="auto"/>
                <w:sz w:val="22"/>
                <w:highlight w:val="none"/>
              </w:rPr>
            </w:pPr>
          </w:p>
        </w:tc>
        <w:tc>
          <w:tcPr>
            <w:tcW w:w="3376" w:type="dxa"/>
            <w:vAlign w:val="center"/>
          </w:tcPr>
          <w:p w14:paraId="01A33153">
            <w:pPr>
              <w:spacing w:line="360" w:lineRule="exact"/>
              <w:jc w:val="center"/>
              <w:rPr>
                <w:rFonts w:ascii="宋体"/>
                <w:color w:val="auto"/>
                <w:sz w:val="22"/>
                <w:highlight w:val="none"/>
              </w:rPr>
            </w:pPr>
          </w:p>
        </w:tc>
      </w:tr>
      <w:tr w14:paraId="6089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01118373">
            <w:pPr>
              <w:spacing w:line="360" w:lineRule="exact"/>
              <w:jc w:val="center"/>
              <w:rPr>
                <w:rFonts w:ascii="宋体"/>
                <w:color w:val="auto"/>
                <w:sz w:val="22"/>
                <w:highlight w:val="none"/>
              </w:rPr>
            </w:pPr>
          </w:p>
        </w:tc>
        <w:tc>
          <w:tcPr>
            <w:tcW w:w="1286" w:type="dxa"/>
            <w:vAlign w:val="center"/>
          </w:tcPr>
          <w:p w14:paraId="2B0EC5E2">
            <w:pPr>
              <w:spacing w:line="360" w:lineRule="exact"/>
              <w:jc w:val="center"/>
              <w:rPr>
                <w:rFonts w:ascii="宋体"/>
                <w:color w:val="auto"/>
                <w:sz w:val="22"/>
                <w:highlight w:val="none"/>
              </w:rPr>
            </w:pPr>
          </w:p>
        </w:tc>
        <w:tc>
          <w:tcPr>
            <w:tcW w:w="1861" w:type="dxa"/>
            <w:vAlign w:val="center"/>
          </w:tcPr>
          <w:p w14:paraId="5B72C815">
            <w:pPr>
              <w:spacing w:line="360" w:lineRule="exact"/>
              <w:jc w:val="center"/>
              <w:rPr>
                <w:rFonts w:ascii="宋体"/>
                <w:color w:val="auto"/>
                <w:sz w:val="22"/>
                <w:highlight w:val="none"/>
              </w:rPr>
            </w:pPr>
          </w:p>
        </w:tc>
        <w:tc>
          <w:tcPr>
            <w:tcW w:w="3376" w:type="dxa"/>
            <w:vAlign w:val="center"/>
          </w:tcPr>
          <w:p w14:paraId="353D50C6">
            <w:pPr>
              <w:spacing w:line="360" w:lineRule="exact"/>
              <w:jc w:val="center"/>
              <w:rPr>
                <w:rFonts w:ascii="宋体"/>
                <w:color w:val="auto"/>
                <w:sz w:val="22"/>
                <w:highlight w:val="none"/>
              </w:rPr>
            </w:pPr>
          </w:p>
        </w:tc>
      </w:tr>
      <w:tr w14:paraId="136E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1" w:type="dxa"/>
            <w:vAlign w:val="center"/>
          </w:tcPr>
          <w:p w14:paraId="516127DF">
            <w:pPr>
              <w:spacing w:line="360" w:lineRule="exact"/>
              <w:jc w:val="center"/>
              <w:rPr>
                <w:rFonts w:ascii="宋体"/>
                <w:color w:val="auto"/>
                <w:sz w:val="22"/>
                <w:highlight w:val="none"/>
              </w:rPr>
            </w:pPr>
          </w:p>
        </w:tc>
        <w:tc>
          <w:tcPr>
            <w:tcW w:w="1286" w:type="dxa"/>
            <w:vAlign w:val="center"/>
          </w:tcPr>
          <w:p w14:paraId="614CA042">
            <w:pPr>
              <w:spacing w:line="360" w:lineRule="exact"/>
              <w:jc w:val="center"/>
              <w:rPr>
                <w:rFonts w:ascii="宋体"/>
                <w:color w:val="auto"/>
                <w:sz w:val="22"/>
                <w:highlight w:val="none"/>
              </w:rPr>
            </w:pPr>
          </w:p>
        </w:tc>
        <w:tc>
          <w:tcPr>
            <w:tcW w:w="1861" w:type="dxa"/>
            <w:vAlign w:val="center"/>
          </w:tcPr>
          <w:p w14:paraId="39447658">
            <w:pPr>
              <w:spacing w:line="360" w:lineRule="exact"/>
              <w:jc w:val="center"/>
              <w:rPr>
                <w:rFonts w:ascii="宋体"/>
                <w:color w:val="auto"/>
                <w:sz w:val="22"/>
                <w:highlight w:val="none"/>
              </w:rPr>
            </w:pPr>
          </w:p>
        </w:tc>
        <w:tc>
          <w:tcPr>
            <w:tcW w:w="3376" w:type="dxa"/>
            <w:vAlign w:val="center"/>
          </w:tcPr>
          <w:p w14:paraId="52570CB1">
            <w:pPr>
              <w:spacing w:line="360" w:lineRule="exact"/>
              <w:jc w:val="center"/>
              <w:rPr>
                <w:rFonts w:ascii="宋体"/>
                <w:color w:val="auto"/>
                <w:sz w:val="22"/>
                <w:highlight w:val="none"/>
              </w:rPr>
            </w:pPr>
          </w:p>
        </w:tc>
      </w:tr>
      <w:tr w14:paraId="07E0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438" w:type="dxa"/>
            <w:gridSpan w:val="3"/>
            <w:vAlign w:val="center"/>
          </w:tcPr>
          <w:p w14:paraId="7EF916BA">
            <w:pPr>
              <w:spacing w:line="360" w:lineRule="exact"/>
              <w:jc w:val="center"/>
              <w:rPr>
                <w:rFonts w:ascii="宋体"/>
                <w:color w:val="auto"/>
                <w:sz w:val="22"/>
                <w:highlight w:val="none"/>
              </w:rPr>
            </w:pPr>
            <w:r>
              <w:rPr>
                <w:rFonts w:hint="eastAsia" w:ascii="宋体"/>
                <w:color w:val="auto"/>
                <w:sz w:val="22"/>
                <w:highlight w:val="none"/>
              </w:rPr>
              <w:t>合计报价</w:t>
            </w:r>
          </w:p>
        </w:tc>
        <w:tc>
          <w:tcPr>
            <w:tcW w:w="3376" w:type="dxa"/>
            <w:vAlign w:val="center"/>
          </w:tcPr>
          <w:p w14:paraId="01165FEF">
            <w:pPr>
              <w:spacing w:line="360" w:lineRule="exact"/>
              <w:jc w:val="center"/>
              <w:rPr>
                <w:rFonts w:ascii="宋体"/>
                <w:color w:val="auto"/>
                <w:sz w:val="22"/>
                <w:highlight w:val="none"/>
              </w:rPr>
            </w:pPr>
          </w:p>
        </w:tc>
      </w:tr>
    </w:tbl>
    <w:p w14:paraId="77A5A8A0">
      <w:pPr>
        <w:spacing w:line="460" w:lineRule="exact"/>
        <w:rPr>
          <w:rFonts w:ascii="宋体" w:hAnsi="宋体" w:cs="仿宋_GB2312"/>
          <w:bCs/>
          <w:color w:val="auto"/>
          <w:sz w:val="22"/>
          <w:highlight w:val="none"/>
        </w:rPr>
      </w:pPr>
    </w:p>
    <w:p w14:paraId="29BB3BA9">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说明：</w:t>
      </w:r>
    </w:p>
    <w:p w14:paraId="70154FFA">
      <w:pPr>
        <w:numPr>
          <w:ilvl w:val="0"/>
          <w:numId w:val="5"/>
        </w:num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合计</w:t>
      </w:r>
      <w:r>
        <w:rPr>
          <w:rFonts w:ascii="宋体" w:hAnsi="宋体" w:cs="仿宋_GB2312"/>
          <w:bCs/>
          <w:color w:val="auto"/>
          <w:sz w:val="22"/>
          <w:highlight w:val="none"/>
        </w:rPr>
        <w:t>报价应与</w:t>
      </w:r>
      <w:r>
        <w:rPr>
          <w:rFonts w:hint="eastAsia" w:ascii="宋体" w:hAnsi="宋体" w:cs="仿宋_GB2312"/>
          <w:bCs/>
          <w:color w:val="auto"/>
          <w:sz w:val="22"/>
          <w:highlight w:val="none"/>
        </w:rPr>
        <w:t>《报价</w:t>
      </w:r>
      <w:r>
        <w:rPr>
          <w:rFonts w:ascii="宋体" w:hAnsi="宋体" w:cs="仿宋_GB2312"/>
          <w:bCs/>
          <w:color w:val="auto"/>
          <w:sz w:val="22"/>
          <w:highlight w:val="none"/>
        </w:rPr>
        <w:t>一览表</w:t>
      </w:r>
      <w:r>
        <w:rPr>
          <w:rFonts w:hint="eastAsia" w:ascii="宋体" w:hAnsi="宋体" w:cs="仿宋_GB2312"/>
          <w:bCs/>
          <w:color w:val="auto"/>
          <w:sz w:val="22"/>
          <w:highlight w:val="none"/>
        </w:rPr>
        <w:t>》</w:t>
      </w:r>
      <w:r>
        <w:rPr>
          <w:rFonts w:ascii="宋体" w:hAnsi="宋体" w:cs="仿宋_GB2312"/>
          <w:bCs/>
          <w:color w:val="auto"/>
          <w:sz w:val="22"/>
          <w:highlight w:val="none"/>
        </w:rPr>
        <w:t>中投标价相一致。</w:t>
      </w:r>
    </w:p>
    <w:p w14:paraId="1376AD20">
      <w:pPr>
        <w:numPr>
          <w:ilvl w:val="0"/>
          <w:numId w:val="5"/>
        </w:numPr>
        <w:spacing w:line="460" w:lineRule="exact"/>
        <w:rPr>
          <w:rFonts w:ascii="宋体" w:hAnsi="宋体"/>
          <w:b/>
          <w:color w:val="auto"/>
          <w:sz w:val="22"/>
          <w:szCs w:val="22"/>
          <w:highlight w:val="none"/>
        </w:rPr>
      </w:pPr>
      <w:r>
        <w:rPr>
          <w:rFonts w:hint="eastAsia" w:ascii="宋体" w:hAnsi="宋体"/>
          <w:b/>
          <w:color w:val="auto"/>
          <w:sz w:val="22"/>
          <w:szCs w:val="22"/>
          <w:highlight w:val="none"/>
        </w:rPr>
        <w:t>▲超过预算则按无效报价处理。</w:t>
      </w:r>
    </w:p>
    <w:p w14:paraId="031444E0">
      <w:pPr>
        <w:spacing w:line="460" w:lineRule="exact"/>
        <w:ind w:firstLine="646" w:firstLineChars="294"/>
        <w:rPr>
          <w:rFonts w:ascii="宋体" w:hAnsi="宋体" w:cs="仿宋_GB2312"/>
          <w:bCs/>
          <w:color w:val="auto"/>
          <w:sz w:val="22"/>
          <w:highlight w:val="none"/>
        </w:rPr>
      </w:pPr>
      <w:r>
        <w:rPr>
          <w:rFonts w:ascii="宋体" w:hAnsi="宋体" w:cs="仿宋_GB2312"/>
          <w:bCs/>
          <w:color w:val="auto"/>
          <w:sz w:val="22"/>
          <w:highlight w:val="none"/>
        </w:rPr>
        <w:t>3、本表所列费用为本项目的全部费用，未列费用均视为综合考虑包含在投标报价内。</w:t>
      </w:r>
    </w:p>
    <w:p w14:paraId="2AB7AEBA">
      <w:pPr>
        <w:spacing w:line="460" w:lineRule="exact"/>
        <w:ind w:firstLine="646" w:firstLineChars="294"/>
        <w:rPr>
          <w:rFonts w:ascii="宋体" w:hAnsi="宋体" w:cs="仿宋_GB2312"/>
          <w:bCs/>
          <w:color w:val="auto"/>
          <w:sz w:val="22"/>
          <w:highlight w:val="none"/>
        </w:rPr>
      </w:pPr>
      <w:r>
        <w:rPr>
          <w:rFonts w:ascii="宋体" w:hAnsi="宋体" w:cs="仿宋_GB2312"/>
          <w:bCs/>
          <w:color w:val="auto"/>
          <w:sz w:val="22"/>
          <w:highlight w:val="none"/>
        </w:rPr>
        <w:t>4</w:t>
      </w:r>
      <w:r>
        <w:rPr>
          <w:rFonts w:hint="eastAsia" w:ascii="宋体" w:hAnsi="宋体" w:cs="仿宋_GB2312"/>
          <w:bCs/>
          <w:color w:val="auto"/>
          <w:sz w:val="22"/>
          <w:highlight w:val="none"/>
        </w:rPr>
        <w:t>、投标供应商可根据本表结合实际自行扩充。</w:t>
      </w:r>
    </w:p>
    <w:p w14:paraId="3D2A4F3C">
      <w:pPr>
        <w:spacing w:line="460" w:lineRule="exact"/>
        <w:ind w:firstLine="646" w:firstLineChars="294"/>
        <w:rPr>
          <w:rFonts w:ascii="宋体" w:hAnsi="宋体" w:cs="仿宋_GB2312"/>
          <w:bCs/>
          <w:color w:val="auto"/>
          <w:sz w:val="22"/>
          <w:highlight w:val="none"/>
        </w:rPr>
      </w:pPr>
    </w:p>
    <w:p w14:paraId="41774447">
      <w:pPr>
        <w:spacing w:line="460" w:lineRule="exact"/>
        <w:ind w:firstLine="646" w:firstLineChars="294"/>
        <w:rPr>
          <w:rFonts w:ascii="宋体" w:hAnsi="宋体" w:cs="仿宋_GB2312"/>
          <w:bCs/>
          <w:color w:val="auto"/>
          <w:sz w:val="22"/>
          <w:highlight w:val="none"/>
        </w:rPr>
      </w:pPr>
    </w:p>
    <w:p w14:paraId="4EFF714F">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投标供应商（盖章）：</w:t>
      </w:r>
    </w:p>
    <w:p w14:paraId="1D6DA57E">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法定代表人或授权代表（签字或盖章）：</w:t>
      </w:r>
    </w:p>
    <w:p w14:paraId="0A57D3DF">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日期：</w:t>
      </w:r>
    </w:p>
    <w:p w14:paraId="5D3A9C32">
      <w:pPr>
        <w:rPr>
          <w:rFonts w:hAnsi="宋体" w:cs="仿宋_GB2312"/>
          <w:bCs/>
          <w:color w:val="auto"/>
          <w:sz w:val="22"/>
          <w:highlight w:val="none"/>
        </w:rPr>
      </w:pPr>
      <w:r>
        <w:rPr>
          <w:rFonts w:hint="eastAsia" w:hAnsi="宋体" w:cs="仿宋_GB2312"/>
          <w:bCs/>
          <w:color w:val="auto"/>
          <w:sz w:val="22"/>
          <w:highlight w:val="none"/>
        </w:rPr>
        <w:br w:type="page"/>
      </w:r>
    </w:p>
    <w:p w14:paraId="762E6CBC">
      <w:pPr>
        <w:pStyle w:val="4"/>
        <w:spacing w:line="276" w:lineRule="auto"/>
        <w:rPr>
          <w:rFonts w:ascii="宋体" w:hAnsi="宋体"/>
          <w:color w:val="auto"/>
          <w:sz w:val="36"/>
          <w:highlight w:val="none"/>
        </w:rPr>
      </w:pPr>
      <w:bookmarkStart w:id="87" w:name="_Toc3655"/>
      <w:r>
        <w:rPr>
          <w:rFonts w:hint="eastAsia" w:ascii="宋体" w:hAnsi="宋体"/>
          <w:color w:val="auto"/>
          <w:sz w:val="36"/>
          <w:highlight w:val="none"/>
        </w:rPr>
        <w:t>三、商务技术文件格式</w:t>
      </w:r>
      <w:bookmarkEnd w:id="87"/>
    </w:p>
    <w:p w14:paraId="5B6FEE71">
      <w:pPr>
        <w:pStyle w:val="26"/>
        <w:adjustRightInd w:val="0"/>
        <w:snapToGrid w:val="0"/>
        <w:spacing w:line="440" w:lineRule="atLeast"/>
        <w:jc w:val="left"/>
        <w:outlineLvl w:val="1"/>
        <w:rPr>
          <w:rFonts w:hAnsi="宋体"/>
          <w:color w:val="auto"/>
          <w:sz w:val="30"/>
          <w:highlight w:val="none"/>
        </w:rPr>
      </w:pPr>
      <w:bookmarkStart w:id="88" w:name="_Toc27062"/>
      <w:r>
        <w:rPr>
          <w:rFonts w:hint="eastAsia" w:hAnsi="宋体"/>
          <w:color w:val="auto"/>
          <w:sz w:val="30"/>
          <w:highlight w:val="none"/>
        </w:rPr>
        <w:t>附件四</w:t>
      </w:r>
      <w:bookmarkEnd w:id="88"/>
    </w:p>
    <w:p w14:paraId="26780AF6">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89" w:name="_Toc10756"/>
      <w:r>
        <w:rPr>
          <w:rFonts w:hint="eastAsia" w:hAnsi="宋体" w:cs="Arial"/>
          <w:bCs/>
          <w:color w:val="auto"/>
          <w:sz w:val="36"/>
          <w:szCs w:val="36"/>
          <w:highlight w:val="none"/>
          <w:lang w:val="zh-CN"/>
        </w:rPr>
        <w:t>投</w:t>
      </w:r>
      <w:r>
        <w:rPr>
          <w:rFonts w:hAnsi="宋体" w:cs="Arial"/>
          <w:bCs/>
          <w:color w:val="auto"/>
          <w:sz w:val="36"/>
          <w:szCs w:val="36"/>
          <w:highlight w:val="none"/>
          <w:lang w:val="zh-CN"/>
        </w:rPr>
        <w:t xml:space="preserve">  </w:t>
      </w:r>
      <w:r>
        <w:rPr>
          <w:rFonts w:hint="eastAsia" w:hAnsi="宋体" w:cs="Arial"/>
          <w:bCs/>
          <w:color w:val="auto"/>
          <w:sz w:val="36"/>
          <w:szCs w:val="36"/>
          <w:highlight w:val="none"/>
          <w:lang w:val="zh-CN"/>
        </w:rPr>
        <w:t>标</w:t>
      </w:r>
      <w:r>
        <w:rPr>
          <w:rFonts w:hAnsi="宋体" w:cs="Arial"/>
          <w:bCs/>
          <w:color w:val="auto"/>
          <w:sz w:val="36"/>
          <w:szCs w:val="36"/>
          <w:highlight w:val="none"/>
          <w:lang w:val="zh-CN"/>
        </w:rPr>
        <w:t xml:space="preserve">  </w:t>
      </w:r>
      <w:r>
        <w:rPr>
          <w:rFonts w:hint="eastAsia" w:hAnsi="宋体" w:cs="Arial"/>
          <w:bCs/>
          <w:color w:val="auto"/>
          <w:sz w:val="36"/>
          <w:szCs w:val="36"/>
          <w:highlight w:val="none"/>
          <w:lang w:val="zh-CN"/>
        </w:rPr>
        <w:t>函</w:t>
      </w:r>
      <w:bookmarkEnd w:id="89"/>
    </w:p>
    <w:p w14:paraId="2B0520C2">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温州市应急管理局</w:t>
      </w:r>
    </w:p>
    <w:p w14:paraId="540C4656">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杭州华旗招标代理有限公司：</w:t>
      </w:r>
    </w:p>
    <w:p w14:paraId="0525C421">
      <w:pPr>
        <w:autoSpaceDE w:val="0"/>
        <w:autoSpaceDN w:val="0"/>
        <w:adjustRightInd w:val="0"/>
        <w:spacing w:line="460" w:lineRule="atLeast"/>
        <w:rPr>
          <w:rFonts w:ascii="宋体" w:hAnsi="宋体"/>
          <w:color w:val="auto"/>
          <w:sz w:val="22"/>
          <w:szCs w:val="22"/>
          <w:highlight w:val="none"/>
          <w:lang w:val="zh-CN"/>
        </w:rPr>
      </w:pPr>
      <w:r>
        <w:rPr>
          <w:rFonts w:ascii="宋体" w:hAnsi="宋体"/>
          <w:color w:val="auto"/>
          <w:sz w:val="22"/>
          <w:szCs w:val="22"/>
          <w:highlight w:val="none"/>
          <w:lang w:val="zh-CN"/>
        </w:rPr>
        <w:t xml:space="preserve">    </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（投标供应商全称）授权</w:t>
      </w:r>
      <w:r>
        <w:rPr>
          <w:rFonts w:ascii="宋体" w:hAnsi="宋体"/>
          <w:color w:val="auto"/>
          <w:sz w:val="22"/>
          <w:szCs w:val="22"/>
          <w:highlight w:val="none"/>
          <w:u w:val="single"/>
          <w:lang w:val="zh-CN"/>
        </w:rPr>
        <w:t xml:space="preserve">         </w:t>
      </w:r>
      <w:r>
        <w:rPr>
          <w:rFonts w:ascii="宋体" w:hAnsi="宋体"/>
          <w:color w:val="auto"/>
          <w:sz w:val="22"/>
          <w:szCs w:val="22"/>
          <w:highlight w:val="none"/>
          <w:lang w:val="zh-CN"/>
        </w:rPr>
        <w:t xml:space="preserve"> </w:t>
      </w:r>
      <w:r>
        <w:rPr>
          <w:rFonts w:hint="eastAsia" w:ascii="宋体" w:hAnsi="宋体"/>
          <w:color w:val="auto"/>
          <w:sz w:val="22"/>
          <w:szCs w:val="22"/>
          <w:highlight w:val="none"/>
          <w:lang w:val="zh-CN"/>
        </w:rPr>
        <w:t>（授权代表名称）</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（职务、职称）为授权代表，参加贵方组织的</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u w:val="single"/>
          <w:lang w:val="zh-CN"/>
        </w:rPr>
        <w:t>（招标项目名称）（括号内填招标编号）</w:t>
      </w:r>
      <w:r>
        <w:rPr>
          <w:rFonts w:hint="eastAsia" w:ascii="宋体" w:hAnsi="宋体"/>
          <w:color w:val="auto"/>
          <w:sz w:val="22"/>
          <w:szCs w:val="22"/>
          <w:highlight w:val="none"/>
          <w:lang w:val="zh-CN"/>
        </w:rPr>
        <w:t>招标的有关活动，并对此进行投标。为此：</w:t>
      </w:r>
      <w:r>
        <w:rPr>
          <w:rFonts w:ascii="宋体" w:hAnsi="宋体"/>
          <w:color w:val="auto"/>
          <w:sz w:val="22"/>
          <w:szCs w:val="22"/>
          <w:highlight w:val="none"/>
          <w:lang w:val="zh-CN"/>
        </w:rPr>
        <w:t xml:space="preserve">    </w:t>
      </w:r>
    </w:p>
    <w:p w14:paraId="6B27A900">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1、提供磋商文件要求的全部磋商响应文件。</w:t>
      </w:r>
    </w:p>
    <w:p w14:paraId="088FC024">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2、保证遵守磋商文件中的有关规定和约定。</w:t>
      </w:r>
    </w:p>
    <w:p w14:paraId="6B67E24D">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3、保证忠实地执行双方所签的合同，并承担合同规定的责任义务。</w:t>
      </w:r>
    </w:p>
    <w:p w14:paraId="3406E660">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4、如我单位中标，我方承诺按磋商文件要求提供各项服务</w:t>
      </w:r>
      <w:r>
        <w:rPr>
          <w:rFonts w:ascii="宋体" w:hAnsi="宋体"/>
          <w:color w:val="auto"/>
          <w:sz w:val="22"/>
          <w:szCs w:val="22"/>
          <w:highlight w:val="none"/>
          <w:lang w:val="zh-CN"/>
        </w:rPr>
        <w:t>。</w:t>
      </w:r>
    </w:p>
    <w:p w14:paraId="481B8DB5">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5、我方已详细审查全部磋商文件，包括磋商文件补充文件（如果有的话）。我方完全理解并同意放弃对这方面有不明及误解的权力。如果磋商文件有相互矛盾之处，我方同意按采购人的理解处理。</w:t>
      </w:r>
    </w:p>
    <w:p w14:paraId="14F9CAA2">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6、愿意向贵方提供任何与该项投标有关的数据、情况和技术资料，完全理解贵方不一定接受最低价的投标或收到的任何投标。</w:t>
      </w:r>
    </w:p>
    <w:p w14:paraId="44D100F8">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7、利益冲突：近三年内直至目前，我公司与本项目的采购人、采购代理机构没有任何的隶属关系。</w:t>
      </w:r>
    </w:p>
    <w:p w14:paraId="4C33A7B0">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8、我公司没有被财政部门限制参加政府采购活动或曾被财政部门限制参加政府采购活动但已不在限制期内。</w:t>
      </w:r>
    </w:p>
    <w:p w14:paraId="2352EBF9">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9、磋商响应文件自提交响应文件递交截止时间起90天内有效。</w:t>
      </w:r>
    </w:p>
    <w:p w14:paraId="678FBC4E">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10、与本采购有关的一切往来通讯请寄：</w:t>
      </w:r>
    </w:p>
    <w:p w14:paraId="34C9A0EA">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地址：</w:t>
      </w:r>
      <w:r>
        <w:rPr>
          <w:rFonts w:ascii="宋体" w:hAnsi="宋体"/>
          <w:color w:val="auto"/>
          <w:sz w:val="22"/>
          <w:szCs w:val="22"/>
          <w:highlight w:val="none"/>
          <w:u w:val="single"/>
          <w:lang w:val="zh-CN"/>
        </w:rPr>
        <w:t xml:space="preserve">                                 </w:t>
      </w:r>
    </w:p>
    <w:p w14:paraId="2640DAF6">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邮编：</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电话：</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传真：</w:t>
      </w:r>
      <w:r>
        <w:rPr>
          <w:rFonts w:ascii="宋体" w:hAnsi="宋体"/>
          <w:color w:val="auto"/>
          <w:sz w:val="22"/>
          <w:szCs w:val="22"/>
          <w:highlight w:val="none"/>
          <w:u w:val="single"/>
          <w:lang w:val="zh-CN"/>
        </w:rPr>
        <w:t xml:space="preserve">                 </w:t>
      </w:r>
    </w:p>
    <w:p w14:paraId="66405EF4">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投标供应商（盖章）：</w:t>
      </w:r>
    </w:p>
    <w:p w14:paraId="74148E27">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法定代表人或授权代表（签字或盖章）：</w:t>
      </w:r>
    </w:p>
    <w:p w14:paraId="3CACE2F8">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日期：</w:t>
      </w:r>
    </w:p>
    <w:p w14:paraId="44842E0D">
      <w:pPr>
        <w:snapToGrid w:val="0"/>
        <w:spacing w:line="500" w:lineRule="atLeast"/>
        <w:rPr>
          <w:rFonts w:ascii="宋体" w:hAnsi="宋体"/>
          <w:color w:val="auto"/>
          <w:sz w:val="30"/>
          <w:szCs w:val="30"/>
          <w:highlight w:val="none"/>
        </w:rPr>
      </w:pPr>
    </w:p>
    <w:p w14:paraId="24A324CB">
      <w:pPr>
        <w:pStyle w:val="2"/>
        <w:ind w:firstLine="210"/>
        <w:rPr>
          <w:rFonts w:ascii="宋体" w:hAnsi="宋体"/>
          <w:color w:val="auto"/>
          <w:highlight w:val="none"/>
        </w:rPr>
      </w:pPr>
    </w:p>
    <w:p w14:paraId="6361EAA5">
      <w:pPr>
        <w:pStyle w:val="2"/>
        <w:ind w:firstLine="210"/>
        <w:rPr>
          <w:rFonts w:ascii="宋体" w:hAnsi="宋体"/>
          <w:color w:val="auto"/>
          <w:highlight w:val="none"/>
        </w:rPr>
      </w:pPr>
    </w:p>
    <w:p w14:paraId="3AC2AB41">
      <w:pPr>
        <w:pStyle w:val="26"/>
        <w:adjustRightInd w:val="0"/>
        <w:snapToGrid w:val="0"/>
        <w:spacing w:line="440" w:lineRule="atLeast"/>
        <w:jc w:val="left"/>
        <w:outlineLvl w:val="1"/>
        <w:rPr>
          <w:rFonts w:hAnsi="宋体"/>
          <w:color w:val="auto"/>
          <w:sz w:val="30"/>
          <w:highlight w:val="none"/>
        </w:rPr>
      </w:pPr>
      <w:bookmarkStart w:id="90" w:name="_Toc17528"/>
      <w:r>
        <w:rPr>
          <w:rFonts w:hint="eastAsia" w:hAnsi="宋体"/>
          <w:color w:val="auto"/>
          <w:sz w:val="30"/>
          <w:highlight w:val="none"/>
        </w:rPr>
        <w:t>附件五</w:t>
      </w:r>
      <w:bookmarkEnd w:id="90"/>
    </w:p>
    <w:p w14:paraId="2A1429FA">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91" w:name="_Toc10607"/>
      <w:r>
        <w:rPr>
          <w:rFonts w:hint="eastAsia" w:hAnsi="宋体" w:cs="Arial"/>
          <w:bCs/>
          <w:color w:val="auto"/>
          <w:sz w:val="36"/>
          <w:szCs w:val="36"/>
          <w:highlight w:val="none"/>
          <w:lang w:val="zh-CN"/>
        </w:rPr>
        <w:t>法定代表人授权书</w:t>
      </w:r>
      <w:bookmarkEnd w:id="91"/>
    </w:p>
    <w:p w14:paraId="6BA993F6">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温州市应急管理局</w:t>
      </w:r>
    </w:p>
    <w:p w14:paraId="50A1D597">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杭州华旗招标代理有限公司：</w:t>
      </w:r>
    </w:p>
    <w:p w14:paraId="302FB58F">
      <w:pPr>
        <w:snapToGrid w:val="0"/>
        <w:spacing w:line="5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本授权委托书声明：我</w:t>
      </w:r>
      <w:r>
        <w:rPr>
          <w:rFonts w:hint="eastAsia" w:ascii="宋体" w:hAnsi="宋体"/>
          <w:color w:val="auto"/>
          <w:sz w:val="22"/>
          <w:szCs w:val="22"/>
          <w:highlight w:val="none"/>
          <w:u w:val="single"/>
        </w:rPr>
        <w:t xml:space="preserve">   （法定代表人姓名）   </w:t>
      </w:r>
      <w:r>
        <w:rPr>
          <w:rFonts w:hint="eastAsia" w:ascii="宋体" w:hAnsi="宋体"/>
          <w:color w:val="auto"/>
          <w:sz w:val="22"/>
          <w:szCs w:val="22"/>
          <w:highlight w:val="none"/>
        </w:rPr>
        <w:t>系</w:t>
      </w:r>
      <w:r>
        <w:rPr>
          <w:rFonts w:hint="eastAsia" w:ascii="宋体" w:hAnsi="宋体"/>
          <w:color w:val="auto"/>
          <w:sz w:val="22"/>
          <w:szCs w:val="22"/>
          <w:highlight w:val="none"/>
          <w:u w:val="single"/>
        </w:rPr>
        <w:t xml:space="preserve">   （供 应 商 名 称）  </w:t>
      </w:r>
      <w:r>
        <w:rPr>
          <w:rFonts w:hint="eastAsia" w:ascii="宋体" w:hAnsi="宋体"/>
          <w:color w:val="auto"/>
          <w:sz w:val="22"/>
          <w:szCs w:val="22"/>
          <w:highlight w:val="none"/>
        </w:rPr>
        <w:t>的法定代表人，现授权委托</w:t>
      </w:r>
      <w:r>
        <w:rPr>
          <w:rFonts w:hint="eastAsia" w:ascii="宋体" w:hAnsi="宋体"/>
          <w:color w:val="auto"/>
          <w:sz w:val="22"/>
          <w:szCs w:val="22"/>
          <w:highlight w:val="none"/>
          <w:u w:val="single"/>
        </w:rPr>
        <w:t xml:space="preserve">  （单 位 名 称）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  （授权代表姓名）  </w:t>
      </w:r>
      <w:r>
        <w:rPr>
          <w:rFonts w:hint="eastAsia" w:ascii="宋体" w:hAnsi="宋体"/>
          <w:color w:val="auto"/>
          <w:sz w:val="22"/>
          <w:szCs w:val="22"/>
          <w:highlight w:val="none"/>
        </w:rPr>
        <w:t>为我公司法定代表人授权代表，参加贵处组织的</w:t>
      </w:r>
      <w:r>
        <w:rPr>
          <w:rFonts w:hint="eastAsia" w:ascii="宋体" w:hAnsi="宋体"/>
          <w:color w:val="auto"/>
          <w:sz w:val="22"/>
          <w:szCs w:val="22"/>
          <w:highlight w:val="none"/>
          <w:u w:val="single"/>
        </w:rPr>
        <w:t xml:space="preserve">  （招标项目名称，括号中填写项目编号）  </w:t>
      </w:r>
      <w:r>
        <w:rPr>
          <w:rFonts w:hint="eastAsia" w:ascii="宋体" w:hAnsi="宋体"/>
          <w:color w:val="auto"/>
          <w:sz w:val="22"/>
          <w:szCs w:val="22"/>
          <w:highlight w:val="none"/>
        </w:rPr>
        <w:t>项目投标，全权处理本次招投标活动中的一切事宜，我承认授权代表全权代表我所签署的本项目的磋商响应文件的内容。</w:t>
      </w:r>
    </w:p>
    <w:p w14:paraId="74A6F599">
      <w:pPr>
        <w:snapToGrid w:val="0"/>
        <w:spacing w:line="5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授权代表无转授权，特此授权。</w:t>
      </w:r>
    </w:p>
    <w:p w14:paraId="7B077D32">
      <w:pPr>
        <w:snapToGrid w:val="0"/>
        <w:spacing w:line="580" w:lineRule="atLeast"/>
        <w:ind w:left="1260"/>
        <w:rPr>
          <w:rFonts w:ascii="宋体" w:hAnsi="宋体"/>
          <w:color w:val="auto"/>
          <w:sz w:val="22"/>
          <w:szCs w:val="22"/>
          <w:highlight w:val="none"/>
        </w:rPr>
      </w:pPr>
    </w:p>
    <w:p w14:paraId="63D7645B">
      <w:pPr>
        <w:snapToGrid w:val="0"/>
        <w:spacing w:line="580" w:lineRule="atLeast"/>
        <w:ind w:left="2092" w:leftChars="996" w:firstLine="330" w:firstLineChars="150"/>
        <w:rPr>
          <w:rFonts w:ascii="宋体" w:hAnsi="宋体"/>
          <w:color w:val="auto"/>
          <w:sz w:val="22"/>
          <w:szCs w:val="22"/>
          <w:highlight w:val="none"/>
          <w:u w:val="single"/>
        </w:rPr>
      </w:pPr>
      <w:r>
        <w:rPr>
          <w:rFonts w:hint="eastAsia" w:ascii="宋体" w:hAnsi="宋体"/>
          <w:color w:val="auto"/>
          <w:sz w:val="22"/>
          <w:szCs w:val="22"/>
          <w:highlight w:val="none"/>
        </w:rPr>
        <w:t xml:space="preserve"> 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性别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年龄：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p>
    <w:p w14:paraId="35CB44F0">
      <w:pPr>
        <w:snapToGrid w:val="0"/>
        <w:spacing w:line="580" w:lineRule="atLeast"/>
        <w:ind w:left="2100" w:leftChars="1000"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详细通讯地址：</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邮政编码：</w:t>
      </w:r>
      <w:r>
        <w:rPr>
          <w:rFonts w:hint="eastAsia" w:ascii="宋体" w:hAnsi="宋体"/>
          <w:color w:val="auto"/>
          <w:sz w:val="22"/>
          <w:szCs w:val="22"/>
          <w:highlight w:val="none"/>
          <w:u w:val="single"/>
        </w:rPr>
        <w:t xml:space="preserve">           </w:t>
      </w:r>
    </w:p>
    <w:p w14:paraId="19F7CC8B">
      <w:pPr>
        <w:snapToGrid w:val="0"/>
        <w:spacing w:line="580" w:lineRule="atLeast"/>
        <w:ind w:left="1" w:firstLine="2510" w:firstLineChars="1141"/>
        <w:rPr>
          <w:rFonts w:ascii="宋体" w:hAnsi="宋体"/>
          <w:color w:val="auto"/>
          <w:sz w:val="22"/>
          <w:szCs w:val="22"/>
          <w:highlight w:val="none"/>
          <w:u w:val="single"/>
        </w:rPr>
      </w:pPr>
      <w:r>
        <w:rPr>
          <w:rFonts w:hint="eastAsia" w:ascii="宋体" w:hAnsi="宋体"/>
          <w:color w:val="auto"/>
          <w:sz w:val="22"/>
          <w:szCs w:val="22"/>
          <w:highlight w:val="none"/>
        </w:rPr>
        <w:t>电话：</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传真：</w:t>
      </w:r>
      <w:r>
        <w:rPr>
          <w:rFonts w:hint="eastAsia" w:ascii="宋体" w:hAnsi="宋体"/>
          <w:color w:val="auto"/>
          <w:sz w:val="22"/>
          <w:szCs w:val="22"/>
          <w:highlight w:val="none"/>
          <w:u w:val="single"/>
        </w:rPr>
        <w:t xml:space="preserve">                      </w:t>
      </w:r>
    </w:p>
    <w:p w14:paraId="11722AA8">
      <w:pPr>
        <w:snapToGrid w:val="0"/>
        <w:spacing w:line="580" w:lineRule="atLeast"/>
        <w:ind w:left="1" w:firstLine="422" w:firstLineChars="192"/>
        <w:rPr>
          <w:rFonts w:ascii="宋体" w:hAnsi="宋体"/>
          <w:color w:val="auto"/>
          <w:sz w:val="22"/>
          <w:szCs w:val="22"/>
          <w:highlight w:val="none"/>
        </w:rPr>
      </w:pPr>
      <w:r>
        <w:rPr>
          <w:rFonts w:hint="eastAsia" w:ascii="宋体" w:hAnsi="宋体"/>
          <w:color w:val="auto"/>
          <w:sz w:val="22"/>
          <w:szCs w:val="22"/>
          <w:highlight w:val="none"/>
        </w:rPr>
        <w:t xml:space="preserve">                   投标供应商：</w:t>
      </w:r>
      <w:r>
        <w:rPr>
          <w:rFonts w:hint="eastAsia" w:ascii="宋体" w:hAnsi="宋体"/>
          <w:color w:val="auto"/>
          <w:sz w:val="22"/>
          <w:szCs w:val="22"/>
          <w:highlight w:val="none"/>
          <w:u w:val="single"/>
        </w:rPr>
        <w:t xml:space="preserve">                                      （盖章）</w:t>
      </w:r>
    </w:p>
    <w:p w14:paraId="66A986EC">
      <w:pPr>
        <w:snapToGrid w:val="0"/>
        <w:spacing w:line="580" w:lineRule="atLeast"/>
        <w:ind w:left="2100" w:right="440"/>
        <w:jc w:val="center"/>
        <w:rPr>
          <w:rFonts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（签字或盖章）</w:t>
      </w:r>
    </w:p>
    <w:p w14:paraId="2AAED3EF">
      <w:pPr>
        <w:pStyle w:val="26"/>
        <w:adjustRightInd w:val="0"/>
        <w:snapToGrid w:val="0"/>
        <w:spacing w:line="580" w:lineRule="atLeast"/>
        <w:ind w:firstLine="2530" w:firstLineChars="1150"/>
        <w:rPr>
          <w:rFonts w:hAnsi="宋体"/>
          <w:color w:val="auto"/>
          <w:sz w:val="22"/>
          <w:szCs w:val="22"/>
          <w:highlight w:val="none"/>
        </w:rPr>
      </w:pPr>
      <w:r>
        <w:rPr>
          <w:rFonts w:hAnsi="宋体"/>
          <w:color w:val="auto"/>
          <w:sz w:val="22"/>
          <w:szCs w:val="22"/>
          <w:highlight w:val="none"/>
        </w:rPr>
        <w:t>授权委托日期：</w:t>
      </w:r>
      <w:r>
        <w:rPr>
          <w:rFonts w:hAnsi="宋体"/>
          <w:color w:val="auto"/>
          <w:sz w:val="22"/>
          <w:szCs w:val="22"/>
          <w:highlight w:val="none"/>
          <w:u w:val="single"/>
        </w:rPr>
        <w:t xml:space="preserve">     </w:t>
      </w:r>
      <w:r>
        <w:rPr>
          <w:rFonts w:hAnsi="宋体"/>
          <w:color w:val="auto"/>
          <w:sz w:val="22"/>
          <w:szCs w:val="22"/>
          <w:highlight w:val="none"/>
        </w:rPr>
        <w:t xml:space="preserve">年 </w:t>
      </w:r>
      <w:r>
        <w:rPr>
          <w:rFonts w:hAnsi="宋体"/>
          <w:color w:val="auto"/>
          <w:sz w:val="22"/>
          <w:szCs w:val="22"/>
          <w:highlight w:val="none"/>
          <w:u w:val="single"/>
        </w:rPr>
        <w:t xml:space="preserve">    </w:t>
      </w:r>
      <w:r>
        <w:rPr>
          <w:rFonts w:hAnsi="宋体"/>
          <w:color w:val="auto"/>
          <w:sz w:val="22"/>
          <w:szCs w:val="22"/>
          <w:highlight w:val="none"/>
        </w:rPr>
        <w:t>月</w:t>
      </w:r>
      <w:r>
        <w:rPr>
          <w:rFonts w:hAnsi="宋体"/>
          <w:color w:val="auto"/>
          <w:sz w:val="22"/>
          <w:szCs w:val="22"/>
          <w:highlight w:val="none"/>
          <w:u w:val="single"/>
        </w:rPr>
        <w:t xml:space="preserve">     </w:t>
      </w:r>
      <w:r>
        <w:rPr>
          <w:rFonts w:hAnsi="宋体"/>
          <w:color w:val="auto"/>
          <w:sz w:val="22"/>
          <w:szCs w:val="22"/>
          <w:highlight w:val="none"/>
        </w:rPr>
        <w:t>日</w:t>
      </w:r>
    </w:p>
    <w:tbl>
      <w:tblPr>
        <w:tblStyle w:val="4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A6E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7A5A9655">
            <w:pPr>
              <w:pStyle w:val="26"/>
              <w:spacing w:line="440" w:lineRule="atLeast"/>
              <w:jc w:val="center"/>
              <w:rPr>
                <w:rFonts w:hAnsi="宋体"/>
                <w:color w:val="auto"/>
                <w:sz w:val="36"/>
                <w:szCs w:val="22"/>
                <w:highlight w:val="none"/>
              </w:rPr>
            </w:pPr>
            <w:r>
              <w:rPr>
                <w:rFonts w:hAnsi="宋体"/>
                <w:color w:val="auto"/>
                <w:sz w:val="36"/>
                <w:szCs w:val="22"/>
                <w:highlight w:val="none"/>
              </w:rPr>
              <w:t>粘贴授权代表身份证复印件或影印件</w:t>
            </w:r>
          </w:p>
        </w:tc>
      </w:tr>
    </w:tbl>
    <w:p w14:paraId="6A249B2E">
      <w:pPr>
        <w:pStyle w:val="26"/>
        <w:adjustRightInd w:val="0"/>
        <w:snapToGrid w:val="0"/>
        <w:spacing w:line="580" w:lineRule="atLeast"/>
        <w:jc w:val="center"/>
        <w:rPr>
          <w:rFonts w:hAnsi="宋体"/>
          <w:color w:val="auto"/>
          <w:sz w:val="22"/>
          <w:szCs w:val="22"/>
          <w:highlight w:val="none"/>
        </w:rPr>
      </w:pPr>
    </w:p>
    <w:p w14:paraId="7DBF6248">
      <w:pPr>
        <w:pStyle w:val="26"/>
        <w:snapToGrid w:val="0"/>
        <w:spacing w:line="580" w:lineRule="atLeast"/>
        <w:rPr>
          <w:rFonts w:hAnsi="宋体" w:cs="黑体"/>
          <w:color w:val="auto"/>
          <w:sz w:val="22"/>
          <w:szCs w:val="22"/>
          <w:highlight w:val="none"/>
          <w:u w:val="thick"/>
        </w:rPr>
      </w:pPr>
    </w:p>
    <w:p w14:paraId="52A81A20">
      <w:pPr>
        <w:pStyle w:val="26"/>
        <w:snapToGrid w:val="0"/>
        <w:spacing w:line="580" w:lineRule="atLeast"/>
        <w:rPr>
          <w:rFonts w:hAnsi="宋体" w:cs="黑体"/>
          <w:color w:val="auto"/>
          <w:sz w:val="22"/>
          <w:szCs w:val="22"/>
          <w:highlight w:val="none"/>
          <w:u w:val="thick"/>
        </w:rPr>
      </w:pPr>
    </w:p>
    <w:p w14:paraId="6360910C">
      <w:pPr>
        <w:pStyle w:val="26"/>
        <w:snapToGrid w:val="0"/>
        <w:spacing w:line="580" w:lineRule="atLeast"/>
        <w:rPr>
          <w:rFonts w:hAnsi="宋体" w:cs="黑体"/>
          <w:color w:val="auto"/>
          <w:sz w:val="22"/>
          <w:szCs w:val="22"/>
          <w:highlight w:val="none"/>
          <w:u w:val="thick"/>
        </w:rPr>
      </w:pPr>
    </w:p>
    <w:p w14:paraId="13FC53BA">
      <w:pPr>
        <w:pStyle w:val="26"/>
        <w:adjustRightInd w:val="0"/>
        <w:snapToGrid w:val="0"/>
        <w:spacing w:line="360" w:lineRule="exact"/>
        <w:rPr>
          <w:rFonts w:hAnsi="宋体"/>
          <w:color w:val="auto"/>
          <w:sz w:val="22"/>
          <w:highlight w:val="none"/>
        </w:rPr>
      </w:pPr>
    </w:p>
    <w:tbl>
      <w:tblPr>
        <w:tblStyle w:val="4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834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22FF3040">
            <w:pPr>
              <w:pStyle w:val="26"/>
              <w:spacing w:line="440" w:lineRule="atLeast"/>
              <w:jc w:val="center"/>
              <w:rPr>
                <w:rFonts w:hAnsi="宋体"/>
                <w:color w:val="auto"/>
                <w:sz w:val="36"/>
                <w:szCs w:val="22"/>
                <w:highlight w:val="none"/>
              </w:rPr>
            </w:pPr>
            <w:r>
              <w:rPr>
                <w:rFonts w:hAnsi="宋体"/>
                <w:color w:val="auto"/>
                <w:sz w:val="36"/>
                <w:szCs w:val="22"/>
                <w:highlight w:val="none"/>
              </w:rPr>
              <w:t>粘贴法定代表人身份证复印件或影印件</w:t>
            </w:r>
          </w:p>
        </w:tc>
      </w:tr>
    </w:tbl>
    <w:p w14:paraId="554E73E6">
      <w:pPr>
        <w:pStyle w:val="26"/>
        <w:snapToGrid w:val="0"/>
        <w:spacing w:line="580" w:lineRule="atLeast"/>
        <w:rPr>
          <w:rFonts w:hAnsi="宋体" w:cs="黑体"/>
          <w:color w:val="auto"/>
          <w:sz w:val="22"/>
          <w:szCs w:val="22"/>
          <w:highlight w:val="none"/>
          <w:u w:val="thick"/>
        </w:rPr>
      </w:pPr>
    </w:p>
    <w:p w14:paraId="6FA724B5">
      <w:pPr>
        <w:pStyle w:val="26"/>
        <w:snapToGrid w:val="0"/>
        <w:spacing w:line="580" w:lineRule="atLeast"/>
        <w:rPr>
          <w:rFonts w:hAnsi="宋体" w:cs="黑体"/>
          <w:color w:val="auto"/>
          <w:sz w:val="22"/>
          <w:szCs w:val="22"/>
          <w:highlight w:val="none"/>
          <w:u w:val="thick"/>
        </w:rPr>
      </w:pPr>
    </w:p>
    <w:p w14:paraId="0BEFDF19">
      <w:pPr>
        <w:snapToGrid w:val="0"/>
        <w:spacing w:line="500" w:lineRule="atLeast"/>
        <w:rPr>
          <w:rFonts w:ascii="宋体" w:hAnsi="宋体"/>
          <w:color w:val="auto"/>
          <w:sz w:val="30"/>
          <w:szCs w:val="30"/>
          <w:highlight w:val="none"/>
        </w:rPr>
      </w:pPr>
    </w:p>
    <w:p w14:paraId="6847B0FF">
      <w:pPr>
        <w:snapToGrid w:val="0"/>
        <w:spacing w:line="500" w:lineRule="atLeast"/>
        <w:rPr>
          <w:rFonts w:ascii="宋体" w:hAnsi="宋体"/>
          <w:color w:val="auto"/>
          <w:sz w:val="30"/>
          <w:szCs w:val="30"/>
          <w:highlight w:val="none"/>
        </w:rPr>
      </w:pPr>
    </w:p>
    <w:p w14:paraId="2BCC20B8">
      <w:pPr>
        <w:pStyle w:val="26"/>
        <w:adjustRightInd w:val="0"/>
        <w:snapToGrid w:val="0"/>
        <w:spacing w:line="440" w:lineRule="atLeast"/>
        <w:jc w:val="left"/>
        <w:outlineLvl w:val="1"/>
        <w:rPr>
          <w:rFonts w:hAnsi="宋体"/>
          <w:color w:val="auto"/>
          <w:sz w:val="30"/>
          <w:highlight w:val="none"/>
        </w:rPr>
      </w:pPr>
      <w:bookmarkStart w:id="92" w:name="_Toc19009"/>
      <w:r>
        <w:rPr>
          <w:rFonts w:hint="eastAsia" w:hAnsi="宋体"/>
          <w:color w:val="auto"/>
          <w:sz w:val="30"/>
          <w:highlight w:val="none"/>
        </w:rPr>
        <w:t>附件六</w:t>
      </w:r>
      <w:bookmarkEnd w:id="92"/>
    </w:p>
    <w:p w14:paraId="202F4971">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93" w:name="_Toc29338"/>
      <w:r>
        <w:rPr>
          <w:rFonts w:hint="eastAsia" w:hAnsi="宋体" w:cs="Arial"/>
          <w:bCs/>
          <w:color w:val="auto"/>
          <w:sz w:val="36"/>
          <w:szCs w:val="36"/>
          <w:highlight w:val="none"/>
          <w:lang w:val="zh-CN"/>
        </w:rPr>
        <w:t>法定代表人诚信投标承诺书</w:t>
      </w:r>
      <w:bookmarkEnd w:id="93"/>
    </w:p>
    <w:p w14:paraId="2B44A507">
      <w:pPr>
        <w:spacing w:line="460" w:lineRule="atLeast"/>
        <w:jc w:val="left"/>
        <w:rPr>
          <w:rFonts w:ascii="宋体" w:hAnsi="宋体"/>
          <w:color w:val="auto"/>
          <w:sz w:val="22"/>
          <w:highlight w:val="none"/>
        </w:rPr>
      </w:pPr>
      <w:r>
        <w:rPr>
          <w:rFonts w:hint="eastAsia" w:ascii="宋体" w:hAnsi="宋体"/>
          <w:color w:val="auto"/>
          <w:sz w:val="22"/>
          <w:highlight w:val="none"/>
        </w:rPr>
        <w:t>本人以企业法定代表人的身份郑重承诺：</w:t>
      </w:r>
    </w:p>
    <w:p w14:paraId="4462C72D">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s="Calibri"/>
          <w:color w:val="auto"/>
          <w:sz w:val="22"/>
          <w:highlight w:val="none"/>
          <w:u w:val="single"/>
        </w:rPr>
        <w:t xml:space="preserve">              项目（招标编号： </w:t>
      </w:r>
      <w:r>
        <w:rPr>
          <w:rFonts w:ascii="宋体" w:hAnsi="宋体" w:cs="Calibri"/>
          <w:color w:val="auto"/>
          <w:sz w:val="22"/>
          <w:highlight w:val="none"/>
          <w:u w:val="single"/>
        </w:rPr>
        <w:t xml:space="preserve"> </w:t>
      </w:r>
      <w:r>
        <w:rPr>
          <w:rFonts w:hint="eastAsia" w:ascii="宋体" w:hAnsi="宋体" w:cs="Calibri"/>
          <w:color w:val="auto"/>
          <w:sz w:val="22"/>
          <w:highlight w:val="none"/>
          <w:u w:val="single"/>
        </w:rPr>
        <w:t xml:space="preserve">  ）</w:t>
      </w:r>
      <w:r>
        <w:rPr>
          <w:rFonts w:hint="eastAsia" w:ascii="宋体" w:hAnsi="宋体"/>
          <w:color w:val="auto"/>
          <w:sz w:val="22"/>
          <w:highlight w:val="none"/>
        </w:rPr>
        <w:t>的投标：</w:t>
      </w:r>
    </w:p>
    <w:p w14:paraId="021601D6">
      <w:pPr>
        <w:spacing w:line="460" w:lineRule="atLeast"/>
        <w:ind w:firstLine="440" w:firstLineChars="200"/>
        <w:jc w:val="left"/>
        <w:rPr>
          <w:rFonts w:ascii="宋体" w:hAnsi="宋体"/>
          <w:color w:val="auto"/>
          <w:sz w:val="22"/>
          <w:highlight w:val="none"/>
          <w:u w:val="single"/>
        </w:rPr>
      </w:pPr>
      <w:r>
        <w:rPr>
          <w:rFonts w:hint="eastAsia" w:ascii="宋体" w:hAnsi="宋体"/>
          <w:color w:val="auto"/>
          <w:sz w:val="22"/>
          <w:highlight w:val="none"/>
        </w:rPr>
        <w:t>一、杜绝以收取管理费等形式的一切挂靠、违法转包、分包行为。</w:t>
      </w:r>
    </w:p>
    <w:p w14:paraId="38D92424">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二、磋商响应文件所提供的一切材料都是真实、有效、合法的。</w:t>
      </w:r>
    </w:p>
    <w:p w14:paraId="0B251B74">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三、不与其他投标供应商相互串通投标报价，不排挤其他投标供应商的公平竞争，不损害招标人或其他投标供应商的合法权益。</w:t>
      </w:r>
    </w:p>
    <w:p w14:paraId="6E46DAD9">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四、不与采购人或采购代理机构串通投标，不损害国家利益，社会公共利益或其他人的合法权益。</w:t>
      </w:r>
    </w:p>
    <w:p w14:paraId="18B1065E">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五、不向采购人或者评标委员会成员行贿以牟取中标。</w:t>
      </w:r>
    </w:p>
    <w:p w14:paraId="129AD75F">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14:paraId="3BEE1CF8">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七、不在开标后进行虚假恶意投诉。</w:t>
      </w:r>
    </w:p>
    <w:p w14:paraId="48F02BB8">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八、我单位没有被政府机关</w:t>
      </w:r>
      <w:r>
        <w:rPr>
          <w:rFonts w:ascii="宋体" w:hAnsi="宋体"/>
          <w:color w:val="auto"/>
          <w:sz w:val="22"/>
          <w:highlight w:val="none"/>
        </w:rPr>
        <w:t>列入失信被执行人</w:t>
      </w:r>
      <w:r>
        <w:rPr>
          <w:rFonts w:hint="eastAsia" w:ascii="宋体" w:hAnsi="宋体"/>
          <w:color w:val="auto"/>
          <w:sz w:val="22"/>
          <w:highlight w:val="none"/>
        </w:rPr>
        <w:t>名单</w:t>
      </w:r>
      <w:r>
        <w:rPr>
          <w:rFonts w:ascii="宋体" w:hAnsi="宋体"/>
          <w:color w:val="auto"/>
          <w:sz w:val="22"/>
          <w:highlight w:val="none"/>
        </w:rPr>
        <w:t>、重大税收违法案件当事人名单、政府采购严重违法失信行为记录名单及其他不符合《中华人民共和国政府采购法》第二十二条规定条件</w:t>
      </w:r>
      <w:r>
        <w:rPr>
          <w:rFonts w:hint="eastAsia" w:ascii="宋体" w:hAnsi="宋体"/>
          <w:color w:val="auto"/>
          <w:sz w:val="22"/>
          <w:highlight w:val="none"/>
        </w:rPr>
        <w:t>的情形（《中华人民共和国政府采购法实施条例》第十九条规定的情形除外）。</w:t>
      </w:r>
    </w:p>
    <w:p w14:paraId="28A1BE59">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本公司若有违反本承诺内容的行为，愿意承担法律责任，包括不限于：愿意接受相关行政主管部门作出的处罚；给采购人造成损失的，依法承担相应的赔偿责任。</w:t>
      </w:r>
    </w:p>
    <w:p w14:paraId="4AC089A7">
      <w:pPr>
        <w:spacing w:line="460" w:lineRule="atLeast"/>
        <w:ind w:right="1120"/>
        <w:rPr>
          <w:rFonts w:ascii="宋体" w:hAnsi="宋体"/>
          <w:color w:val="auto"/>
          <w:sz w:val="22"/>
          <w:highlight w:val="none"/>
        </w:rPr>
      </w:pPr>
    </w:p>
    <w:p w14:paraId="6E8EFBA4">
      <w:pPr>
        <w:spacing w:line="460" w:lineRule="atLeast"/>
        <w:ind w:right="1120"/>
        <w:rPr>
          <w:rFonts w:ascii="宋体" w:hAnsi="宋体"/>
          <w:color w:val="auto"/>
          <w:sz w:val="22"/>
          <w:highlight w:val="none"/>
        </w:rPr>
      </w:pPr>
      <w:r>
        <w:rPr>
          <w:rFonts w:hint="eastAsia" w:ascii="宋体" w:hAnsi="宋体"/>
          <w:color w:val="auto"/>
          <w:sz w:val="22"/>
          <w:highlight w:val="none"/>
        </w:rPr>
        <w:t>投标供应商（盖章）</w:t>
      </w:r>
    </w:p>
    <w:p w14:paraId="1C0A0986">
      <w:pPr>
        <w:spacing w:line="460" w:lineRule="atLeast"/>
        <w:ind w:right="1120"/>
        <w:rPr>
          <w:rFonts w:ascii="宋体" w:hAnsi="宋体"/>
          <w:color w:val="auto"/>
          <w:sz w:val="22"/>
          <w:highlight w:val="none"/>
        </w:rPr>
      </w:pPr>
      <w:r>
        <w:rPr>
          <w:rFonts w:hint="eastAsia" w:ascii="宋体" w:hAnsi="宋体"/>
          <w:color w:val="auto"/>
          <w:sz w:val="22"/>
          <w:highlight w:val="none"/>
        </w:rPr>
        <w:t>法定代表人（签字或盖章）：</w:t>
      </w:r>
    </w:p>
    <w:p w14:paraId="47C12BD9">
      <w:pPr>
        <w:snapToGrid w:val="0"/>
        <w:spacing w:line="500" w:lineRule="atLeast"/>
        <w:rPr>
          <w:rFonts w:ascii="宋体" w:hAnsi="宋体"/>
          <w:color w:val="auto"/>
          <w:sz w:val="30"/>
          <w:szCs w:val="30"/>
          <w:highlight w:val="none"/>
        </w:rPr>
      </w:pPr>
      <w:r>
        <w:rPr>
          <w:rFonts w:hint="eastAsia" w:ascii="宋体" w:hAnsi="宋体"/>
          <w:color w:val="auto"/>
          <w:sz w:val="22"/>
          <w:highlight w:val="none"/>
        </w:rPr>
        <w:t xml:space="preserve">承诺书签署日期：  </w:t>
      </w:r>
    </w:p>
    <w:p w14:paraId="1BD7679B">
      <w:pPr>
        <w:autoSpaceDE w:val="0"/>
        <w:autoSpaceDN w:val="0"/>
        <w:adjustRightInd w:val="0"/>
        <w:spacing w:line="460" w:lineRule="atLeast"/>
        <w:jc w:val="left"/>
        <w:rPr>
          <w:rFonts w:ascii="宋体" w:hAnsi="宋体"/>
          <w:color w:val="auto"/>
          <w:sz w:val="32"/>
          <w:highlight w:val="none"/>
        </w:rPr>
      </w:pPr>
    </w:p>
    <w:p w14:paraId="2B881CA6">
      <w:pPr>
        <w:autoSpaceDE w:val="0"/>
        <w:autoSpaceDN w:val="0"/>
        <w:adjustRightInd w:val="0"/>
        <w:spacing w:line="460" w:lineRule="atLeast"/>
        <w:rPr>
          <w:rFonts w:ascii="宋体" w:hAnsi="宋体"/>
          <w:color w:val="auto"/>
          <w:sz w:val="30"/>
          <w:highlight w:val="none"/>
          <w:lang w:val="zh-CN"/>
        </w:rPr>
      </w:pPr>
    </w:p>
    <w:p w14:paraId="72C708EB">
      <w:pPr>
        <w:autoSpaceDE w:val="0"/>
        <w:autoSpaceDN w:val="0"/>
        <w:adjustRightInd w:val="0"/>
        <w:spacing w:line="460" w:lineRule="atLeast"/>
        <w:rPr>
          <w:rFonts w:ascii="宋体" w:hAnsi="宋体"/>
          <w:color w:val="auto"/>
          <w:sz w:val="30"/>
          <w:highlight w:val="none"/>
          <w:lang w:val="zh-CN"/>
        </w:rPr>
      </w:pPr>
    </w:p>
    <w:p w14:paraId="4CC56100">
      <w:pPr>
        <w:autoSpaceDE w:val="0"/>
        <w:autoSpaceDN w:val="0"/>
        <w:adjustRightInd w:val="0"/>
        <w:spacing w:line="460" w:lineRule="atLeast"/>
        <w:rPr>
          <w:rFonts w:ascii="宋体" w:hAnsi="宋体"/>
          <w:color w:val="auto"/>
          <w:sz w:val="30"/>
          <w:highlight w:val="none"/>
          <w:lang w:val="zh-CN"/>
        </w:rPr>
      </w:pPr>
    </w:p>
    <w:p w14:paraId="439C6D35">
      <w:pPr>
        <w:autoSpaceDE w:val="0"/>
        <w:autoSpaceDN w:val="0"/>
        <w:adjustRightInd w:val="0"/>
        <w:spacing w:line="460" w:lineRule="atLeast"/>
        <w:rPr>
          <w:rFonts w:ascii="宋体" w:hAnsi="宋体"/>
          <w:color w:val="auto"/>
          <w:sz w:val="30"/>
          <w:highlight w:val="none"/>
          <w:lang w:val="zh-CN"/>
        </w:rPr>
      </w:pPr>
    </w:p>
    <w:p w14:paraId="55251E74">
      <w:pPr>
        <w:autoSpaceDE w:val="0"/>
        <w:autoSpaceDN w:val="0"/>
        <w:adjustRightInd w:val="0"/>
        <w:spacing w:line="460" w:lineRule="atLeast"/>
        <w:rPr>
          <w:rFonts w:ascii="宋体" w:hAnsi="宋体"/>
          <w:color w:val="auto"/>
          <w:sz w:val="30"/>
          <w:highlight w:val="none"/>
          <w:lang w:val="zh-CN"/>
        </w:rPr>
      </w:pPr>
    </w:p>
    <w:p w14:paraId="68FCA703">
      <w:pPr>
        <w:autoSpaceDE w:val="0"/>
        <w:autoSpaceDN w:val="0"/>
        <w:adjustRightInd w:val="0"/>
        <w:spacing w:line="460" w:lineRule="atLeast"/>
        <w:jc w:val="left"/>
        <w:rPr>
          <w:rFonts w:ascii="宋体" w:hAnsi="宋体"/>
          <w:color w:val="auto"/>
          <w:sz w:val="32"/>
          <w:highlight w:val="none"/>
        </w:rPr>
      </w:pPr>
    </w:p>
    <w:p w14:paraId="4A227C4D">
      <w:pPr>
        <w:pStyle w:val="2"/>
        <w:rPr>
          <w:rFonts w:ascii="宋体" w:hAnsi="宋体"/>
          <w:color w:val="auto"/>
          <w:sz w:val="32"/>
          <w:highlight w:val="none"/>
        </w:rPr>
      </w:pPr>
    </w:p>
    <w:p w14:paraId="15B43142">
      <w:pPr>
        <w:pStyle w:val="2"/>
        <w:rPr>
          <w:rFonts w:ascii="宋体" w:hAnsi="宋体"/>
          <w:color w:val="auto"/>
          <w:sz w:val="32"/>
          <w:highlight w:val="none"/>
        </w:rPr>
      </w:pPr>
    </w:p>
    <w:p w14:paraId="6BBF2E5E">
      <w:pPr>
        <w:pStyle w:val="26"/>
        <w:adjustRightInd w:val="0"/>
        <w:snapToGrid w:val="0"/>
        <w:spacing w:line="440" w:lineRule="atLeast"/>
        <w:jc w:val="left"/>
        <w:outlineLvl w:val="1"/>
        <w:rPr>
          <w:rFonts w:hAnsi="宋体"/>
          <w:color w:val="auto"/>
          <w:sz w:val="30"/>
          <w:highlight w:val="none"/>
        </w:rPr>
      </w:pPr>
      <w:bookmarkStart w:id="94" w:name="_Toc11091"/>
      <w:r>
        <w:rPr>
          <w:rFonts w:hAnsi="宋体"/>
          <w:color w:val="auto"/>
          <w:sz w:val="30"/>
          <w:highlight w:val="none"/>
        </w:rPr>
        <w:t>附件</w:t>
      </w:r>
      <w:r>
        <w:rPr>
          <w:rFonts w:hint="eastAsia" w:hAnsi="宋体"/>
          <w:color w:val="auto"/>
          <w:sz w:val="30"/>
          <w:highlight w:val="none"/>
        </w:rPr>
        <w:t>七</w:t>
      </w:r>
      <w:bookmarkEnd w:id="94"/>
    </w:p>
    <w:p w14:paraId="792ED277">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95" w:name="_Toc13646"/>
      <w:r>
        <w:rPr>
          <w:rFonts w:hint="eastAsia" w:hAnsi="宋体" w:cs="Arial"/>
          <w:bCs/>
          <w:color w:val="auto"/>
          <w:sz w:val="36"/>
          <w:szCs w:val="36"/>
          <w:highlight w:val="none"/>
          <w:lang w:val="zh-CN"/>
        </w:rPr>
        <w:t>投标供应商业绩</w:t>
      </w:r>
      <w:bookmarkEnd w:id="95"/>
    </w:p>
    <w:tbl>
      <w:tblPr>
        <w:tblStyle w:val="46"/>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6"/>
        <w:gridCol w:w="1236"/>
        <w:gridCol w:w="1317"/>
        <w:gridCol w:w="1519"/>
        <w:gridCol w:w="1583"/>
        <w:gridCol w:w="1584"/>
        <w:gridCol w:w="1584"/>
      </w:tblGrid>
      <w:tr w14:paraId="0DC4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0A6E2AC5">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序号</w:t>
            </w:r>
          </w:p>
        </w:tc>
        <w:tc>
          <w:tcPr>
            <w:tcW w:w="1236" w:type="dxa"/>
            <w:tcBorders>
              <w:right w:val="single" w:color="000000" w:sz="4" w:space="0"/>
            </w:tcBorders>
          </w:tcPr>
          <w:p w14:paraId="5D1FA5FA">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签订时间</w:t>
            </w:r>
          </w:p>
        </w:tc>
        <w:tc>
          <w:tcPr>
            <w:tcW w:w="1317" w:type="dxa"/>
            <w:tcBorders>
              <w:left w:val="single" w:color="000000" w:sz="4" w:space="0"/>
            </w:tcBorders>
          </w:tcPr>
          <w:p w14:paraId="7D09ACAA">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用户名称</w:t>
            </w:r>
          </w:p>
        </w:tc>
        <w:tc>
          <w:tcPr>
            <w:tcW w:w="1519" w:type="dxa"/>
          </w:tcPr>
          <w:p w14:paraId="76A13908">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合同金额</w:t>
            </w:r>
          </w:p>
        </w:tc>
        <w:tc>
          <w:tcPr>
            <w:tcW w:w="1583" w:type="dxa"/>
          </w:tcPr>
          <w:p w14:paraId="1F9EAEA5">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联系人</w:t>
            </w:r>
          </w:p>
        </w:tc>
        <w:tc>
          <w:tcPr>
            <w:tcW w:w="1584" w:type="dxa"/>
          </w:tcPr>
          <w:p w14:paraId="0C427518">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联系电话</w:t>
            </w:r>
          </w:p>
        </w:tc>
        <w:tc>
          <w:tcPr>
            <w:tcW w:w="1584" w:type="dxa"/>
          </w:tcPr>
          <w:p w14:paraId="4E6FFD13">
            <w:pPr>
              <w:pStyle w:val="26"/>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备注</w:t>
            </w:r>
          </w:p>
        </w:tc>
      </w:tr>
      <w:tr w14:paraId="2E82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21B175C0">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4B8DA902">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0A6722D3">
            <w:pPr>
              <w:pStyle w:val="26"/>
              <w:adjustRightInd w:val="0"/>
              <w:snapToGrid w:val="0"/>
              <w:spacing w:line="440" w:lineRule="atLeast"/>
              <w:rPr>
                <w:rFonts w:hAnsi="宋体"/>
                <w:color w:val="auto"/>
                <w:sz w:val="22"/>
                <w:szCs w:val="22"/>
                <w:highlight w:val="none"/>
              </w:rPr>
            </w:pPr>
          </w:p>
        </w:tc>
        <w:tc>
          <w:tcPr>
            <w:tcW w:w="1519" w:type="dxa"/>
          </w:tcPr>
          <w:p w14:paraId="1DE6EDF5">
            <w:pPr>
              <w:pStyle w:val="26"/>
              <w:adjustRightInd w:val="0"/>
              <w:snapToGrid w:val="0"/>
              <w:spacing w:line="440" w:lineRule="atLeast"/>
              <w:rPr>
                <w:rFonts w:hAnsi="宋体"/>
                <w:color w:val="auto"/>
                <w:sz w:val="22"/>
                <w:szCs w:val="22"/>
                <w:highlight w:val="none"/>
              </w:rPr>
            </w:pPr>
          </w:p>
        </w:tc>
        <w:tc>
          <w:tcPr>
            <w:tcW w:w="1583" w:type="dxa"/>
          </w:tcPr>
          <w:p w14:paraId="6C974D54">
            <w:pPr>
              <w:pStyle w:val="26"/>
              <w:adjustRightInd w:val="0"/>
              <w:snapToGrid w:val="0"/>
              <w:spacing w:line="440" w:lineRule="atLeast"/>
              <w:rPr>
                <w:rFonts w:hAnsi="宋体"/>
                <w:color w:val="auto"/>
                <w:sz w:val="22"/>
                <w:szCs w:val="22"/>
                <w:highlight w:val="none"/>
              </w:rPr>
            </w:pPr>
          </w:p>
        </w:tc>
        <w:tc>
          <w:tcPr>
            <w:tcW w:w="1584" w:type="dxa"/>
          </w:tcPr>
          <w:p w14:paraId="01227A5E">
            <w:pPr>
              <w:pStyle w:val="26"/>
              <w:adjustRightInd w:val="0"/>
              <w:snapToGrid w:val="0"/>
              <w:spacing w:line="440" w:lineRule="atLeast"/>
              <w:rPr>
                <w:rFonts w:hAnsi="宋体"/>
                <w:color w:val="auto"/>
                <w:sz w:val="22"/>
                <w:szCs w:val="22"/>
                <w:highlight w:val="none"/>
              </w:rPr>
            </w:pPr>
          </w:p>
        </w:tc>
        <w:tc>
          <w:tcPr>
            <w:tcW w:w="1584" w:type="dxa"/>
          </w:tcPr>
          <w:p w14:paraId="53B4572D">
            <w:pPr>
              <w:pStyle w:val="26"/>
              <w:adjustRightInd w:val="0"/>
              <w:snapToGrid w:val="0"/>
              <w:spacing w:line="440" w:lineRule="atLeast"/>
              <w:rPr>
                <w:rFonts w:hAnsi="宋体"/>
                <w:color w:val="auto"/>
                <w:sz w:val="22"/>
                <w:szCs w:val="22"/>
                <w:highlight w:val="none"/>
              </w:rPr>
            </w:pPr>
          </w:p>
        </w:tc>
      </w:tr>
      <w:tr w14:paraId="2FF4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6" w:type="dxa"/>
          </w:tcPr>
          <w:p w14:paraId="66FD2222">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2A0C8B9B">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2D09AE6F">
            <w:pPr>
              <w:pStyle w:val="26"/>
              <w:adjustRightInd w:val="0"/>
              <w:snapToGrid w:val="0"/>
              <w:spacing w:line="440" w:lineRule="atLeast"/>
              <w:rPr>
                <w:rFonts w:hAnsi="宋体"/>
                <w:color w:val="auto"/>
                <w:sz w:val="22"/>
                <w:szCs w:val="22"/>
                <w:highlight w:val="none"/>
              </w:rPr>
            </w:pPr>
          </w:p>
        </w:tc>
        <w:tc>
          <w:tcPr>
            <w:tcW w:w="1519" w:type="dxa"/>
          </w:tcPr>
          <w:p w14:paraId="4B45AFFA">
            <w:pPr>
              <w:pStyle w:val="26"/>
              <w:adjustRightInd w:val="0"/>
              <w:snapToGrid w:val="0"/>
              <w:spacing w:line="440" w:lineRule="atLeast"/>
              <w:rPr>
                <w:rFonts w:hAnsi="宋体"/>
                <w:color w:val="auto"/>
                <w:sz w:val="22"/>
                <w:szCs w:val="22"/>
                <w:highlight w:val="none"/>
              </w:rPr>
            </w:pPr>
          </w:p>
        </w:tc>
        <w:tc>
          <w:tcPr>
            <w:tcW w:w="1583" w:type="dxa"/>
          </w:tcPr>
          <w:p w14:paraId="78B7479A">
            <w:pPr>
              <w:pStyle w:val="26"/>
              <w:adjustRightInd w:val="0"/>
              <w:snapToGrid w:val="0"/>
              <w:spacing w:line="440" w:lineRule="atLeast"/>
              <w:rPr>
                <w:rFonts w:hAnsi="宋体"/>
                <w:color w:val="auto"/>
                <w:sz w:val="22"/>
                <w:szCs w:val="22"/>
                <w:highlight w:val="none"/>
              </w:rPr>
            </w:pPr>
          </w:p>
        </w:tc>
        <w:tc>
          <w:tcPr>
            <w:tcW w:w="1584" w:type="dxa"/>
          </w:tcPr>
          <w:p w14:paraId="0411E562">
            <w:pPr>
              <w:pStyle w:val="26"/>
              <w:adjustRightInd w:val="0"/>
              <w:snapToGrid w:val="0"/>
              <w:spacing w:line="440" w:lineRule="atLeast"/>
              <w:rPr>
                <w:rFonts w:hAnsi="宋体"/>
                <w:color w:val="auto"/>
                <w:sz w:val="22"/>
                <w:szCs w:val="22"/>
                <w:highlight w:val="none"/>
              </w:rPr>
            </w:pPr>
          </w:p>
        </w:tc>
        <w:tc>
          <w:tcPr>
            <w:tcW w:w="1584" w:type="dxa"/>
          </w:tcPr>
          <w:p w14:paraId="6D5FED35">
            <w:pPr>
              <w:pStyle w:val="26"/>
              <w:adjustRightInd w:val="0"/>
              <w:snapToGrid w:val="0"/>
              <w:spacing w:line="440" w:lineRule="atLeast"/>
              <w:rPr>
                <w:rFonts w:hAnsi="宋体"/>
                <w:color w:val="auto"/>
                <w:sz w:val="22"/>
                <w:szCs w:val="22"/>
                <w:highlight w:val="none"/>
              </w:rPr>
            </w:pPr>
          </w:p>
        </w:tc>
      </w:tr>
      <w:tr w14:paraId="1F5B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3070F01B">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5B0F76C7">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68FD6EFA">
            <w:pPr>
              <w:pStyle w:val="26"/>
              <w:adjustRightInd w:val="0"/>
              <w:snapToGrid w:val="0"/>
              <w:spacing w:line="440" w:lineRule="atLeast"/>
              <w:rPr>
                <w:rFonts w:hAnsi="宋体"/>
                <w:color w:val="auto"/>
                <w:sz w:val="22"/>
                <w:szCs w:val="22"/>
                <w:highlight w:val="none"/>
              </w:rPr>
            </w:pPr>
          </w:p>
        </w:tc>
        <w:tc>
          <w:tcPr>
            <w:tcW w:w="1519" w:type="dxa"/>
          </w:tcPr>
          <w:p w14:paraId="4BA85A5D">
            <w:pPr>
              <w:pStyle w:val="26"/>
              <w:adjustRightInd w:val="0"/>
              <w:snapToGrid w:val="0"/>
              <w:spacing w:line="440" w:lineRule="atLeast"/>
              <w:rPr>
                <w:rFonts w:hAnsi="宋体"/>
                <w:color w:val="auto"/>
                <w:sz w:val="22"/>
                <w:szCs w:val="22"/>
                <w:highlight w:val="none"/>
              </w:rPr>
            </w:pPr>
          </w:p>
        </w:tc>
        <w:tc>
          <w:tcPr>
            <w:tcW w:w="1583" w:type="dxa"/>
          </w:tcPr>
          <w:p w14:paraId="6080E240">
            <w:pPr>
              <w:pStyle w:val="26"/>
              <w:adjustRightInd w:val="0"/>
              <w:snapToGrid w:val="0"/>
              <w:spacing w:line="440" w:lineRule="atLeast"/>
              <w:rPr>
                <w:rFonts w:hAnsi="宋体"/>
                <w:color w:val="auto"/>
                <w:sz w:val="22"/>
                <w:szCs w:val="22"/>
                <w:highlight w:val="none"/>
              </w:rPr>
            </w:pPr>
          </w:p>
        </w:tc>
        <w:tc>
          <w:tcPr>
            <w:tcW w:w="1584" w:type="dxa"/>
          </w:tcPr>
          <w:p w14:paraId="37393D76">
            <w:pPr>
              <w:pStyle w:val="26"/>
              <w:adjustRightInd w:val="0"/>
              <w:snapToGrid w:val="0"/>
              <w:spacing w:line="440" w:lineRule="atLeast"/>
              <w:rPr>
                <w:rFonts w:hAnsi="宋体"/>
                <w:color w:val="auto"/>
                <w:sz w:val="22"/>
                <w:szCs w:val="22"/>
                <w:highlight w:val="none"/>
              </w:rPr>
            </w:pPr>
          </w:p>
        </w:tc>
        <w:tc>
          <w:tcPr>
            <w:tcW w:w="1584" w:type="dxa"/>
          </w:tcPr>
          <w:p w14:paraId="0E25CA41">
            <w:pPr>
              <w:pStyle w:val="26"/>
              <w:adjustRightInd w:val="0"/>
              <w:snapToGrid w:val="0"/>
              <w:spacing w:line="440" w:lineRule="atLeast"/>
              <w:rPr>
                <w:rFonts w:hAnsi="宋体"/>
                <w:color w:val="auto"/>
                <w:sz w:val="22"/>
                <w:szCs w:val="22"/>
                <w:highlight w:val="none"/>
              </w:rPr>
            </w:pPr>
          </w:p>
        </w:tc>
      </w:tr>
      <w:tr w14:paraId="3CFA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1E40EB0A">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214E0CF6">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65991EEE">
            <w:pPr>
              <w:pStyle w:val="26"/>
              <w:adjustRightInd w:val="0"/>
              <w:snapToGrid w:val="0"/>
              <w:spacing w:line="440" w:lineRule="atLeast"/>
              <w:rPr>
                <w:rFonts w:hAnsi="宋体"/>
                <w:color w:val="auto"/>
                <w:sz w:val="22"/>
                <w:szCs w:val="22"/>
                <w:highlight w:val="none"/>
              </w:rPr>
            </w:pPr>
          </w:p>
        </w:tc>
        <w:tc>
          <w:tcPr>
            <w:tcW w:w="1519" w:type="dxa"/>
          </w:tcPr>
          <w:p w14:paraId="314EB904">
            <w:pPr>
              <w:pStyle w:val="26"/>
              <w:adjustRightInd w:val="0"/>
              <w:snapToGrid w:val="0"/>
              <w:spacing w:line="440" w:lineRule="atLeast"/>
              <w:rPr>
                <w:rFonts w:hAnsi="宋体"/>
                <w:color w:val="auto"/>
                <w:sz w:val="22"/>
                <w:szCs w:val="22"/>
                <w:highlight w:val="none"/>
              </w:rPr>
            </w:pPr>
          </w:p>
        </w:tc>
        <w:tc>
          <w:tcPr>
            <w:tcW w:w="1583" w:type="dxa"/>
          </w:tcPr>
          <w:p w14:paraId="56376ED9">
            <w:pPr>
              <w:pStyle w:val="26"/>
              <w:adjustRightInd w:val="0"/>
              <w:snapToGrid w:val="0"/>
              <w:spacing w:line="440" w:lineRule="atLeast"/>
              <w:rPr>
                <w:rFonts w:hAnsi="宋体"/>
                <w:color w:val="auto"/>
                <w:sz w:val="22"/>
                <w:szCs w:val="22"/>
                <w:highlight w:val="none"/>
              </w:rPr>
            </w:pPr>
          </w:p>
        </w:tc>
        <w:tc>
          <w:tcPr>
            <w:tcW w:w="1584" w:type="dxa"/>
          </w:tcPr>
          <w:p w14:paraId="083B5A2A">
            <w:pPr>
              <w:pStyle w:val="26"/>
              <w:adjustRightInd w:val="0"/>
              <w:snapToGrid w:val="0"/>
              <w:spacing w:line="440" w:lineRule="atLeast"/>
              <w:rPr>
                <w:rFonts w:hAnsi="宋体"/>
                <w:color w:val="auto"/>
                <w:sz w:val="22"/>
                <w:szCs w:val="22"/>
                <w:highlight w:val="none"/>
              </w:rPr>
            </w:pPr>
          </w:p>
        </w:tc>
        <w:tc>
          <w:tcPr>
            <w:tcW w:w="1584" w:type="dxa"/>
          </w:tcPr>
          <w:p w14:paraId="7A04FADA">
            <w:pPr>
              <w:pStyle w:val="26"/>
              <w:adjustRightInd w:val="0"/>
              <w:snapToGrid w:val="0"/>
              <w:spacing w:line="440" w:lineRule="atLeast"/>
              <w:rPr>
                <w:rFonts w:hAnsi="宋体"/>
                <w:color w:val="auto"/>
                <w:sz w:val="22"/>
                <w:szCs w:val="22"/>
                <w:highlight w:val="none"/>
              </w:rPr>
            </w:pPr>
          </w:p>
        </w:tc>
      </w:tr>
      <w:tr w14:paraId="3AF3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6" w:type="dxa"/>
          </w:tcPr>
          <w:p w14:paraId="72A4682D">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39EC036A">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72F56FBA">
            <w:pPr>
              <w:pStyle w:val="26"/>
              <w:adjustRightInd w:val="0"/>
              <w:snapToGrid w:val="0"/>
              <w:spacing w:line="440" w:lineRule="atLeast"/>
              <w:rPr>
                <w:rFonts w:hAnsi="宋体"/>
                <w:color w:val="auto"/>
                <w:sz w:val="22"/>
                <w:szCs w:val="22"/>
                <w:highlight w:val="none"/>
              </w:rPr>
            </w:pPr>
          </w:p>
        </w:tc>
        <w:tc>
          <w:tcPr>
            <w:tcW w:w="1519" w:type="dxa"/>
          </w:tcPr>
          <w:p w14:paraId="3DFFC5AC">
            <w:pPr>
              <w:pStyle w:val="26"/>
              <w:adjustRightInd w:val="0"/>
              <w:snapToGrid w:val="0"/>
              <w:spacing w:line="440" w:lineRule="atLeast"/>
              <w:rPr>
                <w:rFonts w:hAnsi="宋体"/>
                <w:color w:val="auto"/>
                <w:sz w:val="22"/>
                <w:szCs w:val="22"/>
                <w:highlight w:val="none"/>
              </w:rPr>
            </w:pPr>
          </w:p>
        </w:tc>
        <w:tc>
          <w:tcPr>
            <w:tcW w:w="1583" w:type="dxa"/>
          </w:tcPr>
          <w:p w14:paraId="60D00E41">
            <w:pPr>
              <w:pStyle w:val="26"/>
              <w:adjustRightInd w:val="0"/>
              <w:snapToGrid w:val="0"/>
              <w:spacing w:line="440" w:lineRule="atLeast"/>
              <w:rPr>
                <w:rFonts w:hAnsi="宋体"/>
                <w:color w:val="auto"/>
                <w:sz w:val="22"/>
                <w:szCs w:val="22"/>
                <w:highlight w:val="none"/>
              </w:rPr>
            </w:pPr>
          </w:p>
        </w:tc>
        <w:tc>
          <w:tcPr>
            <w:tcW w:w="1584" w:type="dxa"/>
          </w:tcPr>
          <w:p w14:paraId="657F8FEB">
            <w:pPr>
              <w:pStyle w:val="26"/>
              <w:adjustRightInd w:val="0"/>
              <w:snapToGrid w:val="0"/>
              <w:spacing w:line="440" w:lineRule="atLeast"/>
              <w:rPr>
                <w:rFonts w:hAnsi="宋体"/>
                <w:color w:val="auto"/>
                <w:sz w:val="22"/>
                <w:szCs w:val="22"/>
                <w:highlight w:val="none"/>
              </w:rPr>
            </w:pPr>
          </w:p>
        </w:tc>
        <w:tc>
          <w:tcPr>
            <w:tcW w:w="1584" w:type="dxa"/>
          </w:tcPr>
          <w:p w14:paraId="2B0517AC">
            <w:pPr>
              <w:pStyle w:val="26"/>
              <w:adjustRightInd w:val="0"/>
              <w:snapToGrid w:val="0"/>
              <w:spacing w:line="440" w:lineRule="atLeast"/>
              <w:rPr>
                <w:rFonts w:hAnsi="宋体"/>
                <w:color w:val="auto"/>
                <w:sz w:val="22"/>
                <w:szCs w:val="22"/>
                <w:highlight w:val="none"/>
              </w:rPr>
            </w:pPr>
          </w:p>
        </w:tc>
      </w:tr>
      <w:tr w14:paraId="343E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40A47102">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573DB9CC">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71EDEBAC">
            <w:pPr>
              <w:pStyle w:val="26"/>
              <w:adjustRightInd w:val="0"/>
              <w:snapToGrid w:val="0"/>
              <w:spacing w:line="440" w:lineRule="atLeast"/>
              <w:rPr>
                <w:rFonts w:hAnsi="宋体"/>
                <w:color w:val="auto"/>
                <w:sz w:val="22"/>
                <w:szCs w:val="22"/>
                <w:highlight w:val="none"/>
              </w:rPr>
            </w:pPr>
          </w:p>
        </w:tc>
        <w:tc>
          <w:tcPr>
            <w:tcW w:w="1519" w:type="dxa"/>
          </w:tcPr>
          <w:p w14:paraId="78607E03">
            <w:pPr>
              <w:pStyle w:val="26"/>
              <w:adjustRightInd w:val="0"/>
              <w:snapToGrid w:val="0"/>
              <w:spacing w:line="440" w:lineRule="atLeast"/>
              <w:rPr>
                <w:rFonts w:hAnsi="宋体"/>
                <w:color w:val="auto"/>
                <w:sz w:val="22"/>
                <w:szCs w:val="22"/>
                <w:highlight w:val="none"/>
              </w:rPr>
            </w:pPr>
          </w:p>
        </w:tc>
        <w:tc>
          <w:tcPr>
            <w:tcW w:w="1583" w:type="dxa"/>
          </w:tcPr>
          <w:p w14:paraId="0B77186F">
            <w:pPr>
              <w:pStyle w:val="26"/>
              <w:adjustRightInd w:val="0"/>
              <w:snapToGrid w:val="0"/>
              <w:spacing w:line="440" w:lineRule="atLeast"/>
              <w:rPr>
                <w:rFonts w:hAnsi="宋体"/>
                <w:color w:val="auto"/>
                <w:sz w:val="22"/>
                <w:szCs w:val="22"/>
                <w:highlight w:val="none"/>
              </w:rPr>
            </w:pPr>
          </w:p>
        </w:tc>
        <w:tc>
          <w:tcPr>
            <w:tcW w:w="1584" w:type="dxa"/>
          </w:tcPr>
          <w:p w14:paraId="22E27DF7">
            <w:pPr>
              <w:pStyle w:val="26"/>
              <w:adjustRightInd w:val="0"/>
              <w:snapToGrid w:val="0"/>
              <w:spacing w:line="440" w:lineRule="atLeast"/>
              <w:rPr>
                <w:rFonts w:hAnsi="宋体"/>
                <w:color w:val="auto"/>
                <w:sz w:val="22"/>
                <w:szCs w:val="22"/>
                <w:highlight w:val="none"/>
              </w:rPr>
            </w:pPr>
          </w:p>
        </w:tc>
        <w:tc>
          <w:tcPr>
            <w:tcW w:w="1584" w:type="dxa"/>
          </w:tcPr>
          <w:p w14:paraId="4BC5B485">
            <w:pPr>
              <w:pStyle w:val="26"/>
              <w:adjustRightInd w:val="0"/>
              <w:snapToGrid w:val="0"/>
              <w:spacing w:line="440" w:lineRule="atLeast"/>
              <w:rPr>
                <w:rFonts w:hAnsi="宋体"/>
                <w:color w:val="auto"/>
                <w:sz w:val="22"/>
                <w:szCs w:val="22"/>
                <w:highlight w:val="none"/>
              </w:rPr>
            </w:pPr>
          </w:p>
        </w:tc>
      </w:tr>
      <w:tr w14:paraId="0967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482C4027">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662496A1">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08E86F87">
            <w:pPr>
              <w:pStyle w:val="26"/>
              <w:adjustRightInd w:val="0"/>
              <w:snapToGrid w:val="0"/>
              <w:spacing w:line="440" w:lineRule="atLeast"/>
              <w:rPr>
                <w:rFonts w:hAnsi="宋体"/>
                <w:color w:val="auto"/>
                <w:sz w:val="22"/>
                <w:szCs w:val="22"/>
                <w:highlight w:val="none"/>
              </w:rPr>
            </w:pPr>
          </w:p>
        </w:tc>
        <w:tc>
          <w:tcPr>
            <w:tcW w:w="1519" w:type="dxa"/>
          </w:tcPr>
          <w:p w14:paraId="3C58297B">
            <w:pPr>
              <w:pStyle w:val="26"/>
              <w:adjustRightInd w:val="0"/>
              <w:snapToGrid w:val="0"/>
              <w:spacing w:line="440" w:lineRule="atLeast"/>
              <w:rPr>
                <w:rFonts w:hAnsi="宋体"/>
                <w:color w:val="auto"/>
                <w:sz w:val="22"/>
                <w:szCs w:val="22"/>
                <w:highlight w:val="none"/>
              </w:rPr>
            </w:pPr>
          </w:p>
        </w:tc>
        <w:tc>
          <w:tcPr>
            <w:tcW w:w="1583" w:type="dxa"/>
          </w:tcPr>
          <w:p w14:paraId="659E57BE">
            <w:pPr>
              <w:pStyle w:val="26"/>
              <w:adjustRightInd w:val="0"/>
              <w:snapToGrid w:val="0"/>
              <w:spacing w:line="440" w:lineRule="atLeast"/>
              <w:rPr>
                <w:rFonts w:hAnsi="宋体"/>
                <w:color w:val="auto"/>
                <w:sz w:val="22"/>
                <w:szCs w:val="22"/>
                <w:highlight w:val="none"/>
              </w:rPr>
            </w:pPr>
          </w:p>
        </w:tc>
        <w:tc>
          <w:tcPr>
            <w:tcW w:w="1584" w:type="dxa"/>
          </w:tcPr>
          <w:p w14:paraId="1438E61B">
            <w:pPr>
              <w:pStyle w:val="26"/>
              <w:adjustRightInd w:val="0"/>
              <w:snapToGrid w:val="0"/>
              <w:spacing w:line="440" w:lineRule="atLeast"/>
              <w:rPr>
                <w:rFonts w:hAnsi="宋体"/>
                <w:color w:val="auto"/>
                <w:sz w:val="22"/>
                <w:szCs w:val="22"/>
                <w:highlight w:val="none"/>
              </w:rPr>
            </w:pPr>
          </w:p>
        </w:tc>
        <w:tc>
          <w:tcPr>
            <w:tcW w:w="1584" w:type="dxa"/>
          </w:tcPr>
          <w:p w14:paraId="0694D1E9">
            <w:pPr>
              <w:pStyle w:val="26"/>
              <w:adjustRightInd w:val="0"/>
              <w:snapToGrid w:val="0"/>
              <w:spacing w:line="440" w:lineRule="atLeast"/>
              <w:rPr>
                <w:rFonts w:hAnsi="宋体"/>
                <w:color w:val="auto"/>
                <w:sz w:val="22"/>
                <w:szCs w:val="22"/>
                <w:highlight w:val="none"/>
              </w:rPr>
            </w:pPr>
          </w:p>
        </w:tc>
      </w:tr>
      <w:tr w14:paraId="2A97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6" w:type="dxa"/>
          </w:tcPr>
          <w:p w14:paraId="31FF30B7">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76309B25">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1F35FE00">
            <w:pPr>
              <w:pStyle w:val="26"/>
              <w:adjustRightInd w:val="0"/>
              <w:snapToGrid w:val="0"/>
              <w:spacing w:line="440" w:lineRule="atLeast"/>
              <w:rPr>
                <w:rFonts w:hAnsi="宋体"/>
                <w:color w:val="auto"/>
                <w:sz w:val="22"/>
                <w:szCs w:val="22"/>
                <w:highlight w:val="none"/>
              </w:rPr>
            </w:pPr>
          </w:p>
        </w:tc>
        <w:tc>
          <w:tcPr>
            <w:tcW w:w="1519" w:type="dxa"/>
          </w:tcPr>
          <w:p w14:paraId="48341A6F">
            <w:pPr>
              <w:pStyle w:val="26"/>
              <w:adjustRightInd w:val="0"/>
              <w:snapToGrid w:val="0"/>
              <w:spacing w:line="440" w:lineRule="atLeast"/>
              <w:rPr>
                <w:rFonts w:hAnsi="宋体"/>
                <w:color w:val="auto"/>
                <w:sz w:val="22"/>
                <w:szCs w:val="22"/>
                <w:highlight w:val="none"/>
              </w:rPr>
            </w:pPr>
          </w:p>
        </w:tc>
        <w:tc>
          <w:tcPr>
            <w:tcW w:w="1583" w:type="dxa"/>
          </w:tcPr>
          <w:p w14:paraId="4E75C96B">
            <w:pPr>
              <w:pStyle w:val="26"/>
              <w:adjustRightInd w:val="0"/>
              <w:snapToGrid w:val="0"/>
              <w:spacing w:line="440" w:lineRule="atLeast"/>
              <w:rPr>
                <w:rFonts w:hAnsi="宋体"/>
                <w:color w:val="auto"/>
                <w:sz w:val="22"/>
                <w:szCs w:val="22"/>
                <w:highlight w:val="none"/>
              </w:rPr>
            </w:pPr>
          </w:p>
        </w:tc>
        <w:tc>
          <w:tcPr>
            <w:tcW w:w="1584" w:type="dxa"/>
          </w:tcPr>
          <w:p w14:paraId="6C709D7C">
            <w:pPr>
              <w:pStyle w:val="26"/>
              <w:adjustRightInd w:val="0"/>
              <w:snapToGrid w:val="0"/>
              <w:spacing w:line="440" w:lineRule="atLeast"/>
              <w:rPr>
                <w:rFonts w:hAnsi="宋体"/>
                <w:color w:val="auto"/>
                <w:sz w:val="22"/>
                <w:szCs w:val="22"/>
                <w:highlight w:val="none"/>
              </w:rPr>
            </w:pPr>
          </w:p>
        </w:tc>
        <w:tc>
          <w:tcPr>
            <w:tcW w:w="1584" w:type="dxa"/>
          </w:tcPr>
          <w:p w14:paraId="37AA49DE">
            <w:pPr>
              <w:pStyle w:val="26"/>
              <w:adjustRightInd w:val="0"/>
              <w:snapToGrid w:val="0"/>
              <w:spacing w:line="440" w:lineRule="atLeast"/>
              <w:rPr>
                <w:rFonts w:hAnsi="宋体"/>
                <w:color w:val="auto"/>
                <w:sz w:val="22"/>
                <w:szCs w:val="22"/>
                <w:highlight w:val="none"/>
              </w:rPr>
            </w:pPr>
          </w:p>
        </w:tc>
      </w:tr>
      <w:tr w14:paraId="3170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5A03165A">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0CF60104">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404EB8EB">
            <w:pPr>
              <w:pStyle w:val="26"/>
              <w:adjustRightInd w:val="0"/>
              <w:snapToGrid w:val="0"/>
              <w:spacing w:line="440" w:lineRule="atLeast"/>
              <w:rPr>
                <w:rFonts w:hAnsi="宋体"/>
                <w:color w:val="auto"/>
                <w:sz w:val="22"/>
                <w:szCs w:val="22"/>
                <w:highlight w:val="none"/>
              </w:rPr>
            </w:pPr>
          </w:p>
        </w:tc>
        <w:tc>
          <w:tcPr>
            <w:tcW w:w="1519" w:type="dxa"/>
          </w:tcPr>
          <w:p w14:paraId="255B9C91">
            <w:pPr>
              <w:pStyle w:val="26"/>
              <w:adjustRightInd w:val="0"/>
              <w:snapToGrid w:val="0"/>
              <w:spacing w:line="440" w:lineRule="atLeast"/>
              <w:rPr>
                <w:rFonts w:hAnsi="宋体"/>
                <w:color w:val="auto"/>
                <w:sz w:val="22"/>
                <w:szCs w:val="22"/>
                <w:highlight w:val="none"/>
              </w:rPr>
            </w:pPr>
          </w:p>
        </w:tc>
        <w:tc>
          <w:tcPr>
            <w:tcW w:w="1583" w:type="dxa"/>
          </w:tcPr>
          <w:p w14:paraId="37DCD75E">
            <w:pPr>
              <w:pStyle w:val="26"/>
              <w:adjustRightInd w:val="0"/>
              <w:snapToGrid w:val="0"/>
              <w:spacing w:line="440" w:lineRule="atLeast"/>
              <w:rPr>
                <w:rFonts w:hAnsi="宋体"/>
                <w:color w:val="auto"/>
                <w:sz w:val="22"/>
                <w:szCs w:val="22"/>
                <w:highlight w:val="none"/>
              </w:rPr>
            </w:pPr>
          </w:p>
        </w:tc>
        <w:tc>
          <w:tcPr>
            <w:tcW w:w="1584" w:type="dxa"/>
          </w:tcPr>
          <w:p w14:paraId="52CC6B3F">
            <w:pPr>
              <w:pStyle w:val="26"/>
              <w:adjustRightInd w:val="0"/>
              <w:snapToGrid w:val="0"/>
              <w:spacing w:line="440" w:lineRule="atLeast"/>
              <w:rPr>
                <w:rFonts w:hAnsi="宋体"/>
                <w:color w:val="auto"/>
                <w:sz w:val="22"/>
                <w:szCs w:val="22"/>
                <w:highlight w:val="none"/>
              </w:rPr>
            </w:pPr>
          </w:p>
        </w:tc>
        <w:tc>
          <w:tcPr>
            <w:tcW w:w="1584" w:type="dxa"/>
          </w:tcPr>
          <w:p w14:paraId="08DDFC76">
            <w:pPr>
              <w:pStyle w:val="26"/>
              <w:adjustRightInd w:val="0"/>
              <w:snapToGrid w:val="0"/>
              <w:spacing w:line="440" w:lineRule="atLeast"/>
              <w:rPr>
                <w:rFonts w:hAnsi="宋体"/>
                <w:color w:val="auto"/>
                <w:sz w:val="22"/>
                <w:szCs w:val="22"/>
                <w:highlight w:val="none"/>
              </w:rPr>
            </w:pPr>
          </w:p>
        </w:tc>
      </w:tr>
      <w:tr w14:paraId="657C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686" w:type="dxa"/>
          </w:tcPr>
          <w:p w14:paraId="41D8FD4B">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477F23C3">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563B1852">
            <w:pPr>
              <w:pStyle w:val="26"/>
              <w:adjustRightInd w:val="0"/>
              <w:snapToGrid w:val="0"/>
              <w:spacing w:line="440" w:lineRule="atLeast"/>
              <w:rPr>
                <w:rFonts w:hAnsi="宋体"/>
                <w:color w:val="auto"/>
                <w:sz w:val="22"/>
                <w:szCs w:val="22"/>
                <w:highlight w:val="none"/>
              </w:rPr>
            </w:pPr>
          </w:p>
        </w:tc>
        <w:tc>
          <w:tcPr>
            <w:tcW w:w="1519" w:type="dxa"/>
          </w:tcPr>
          <w:p w14:paraId="53636F05">
            <w:pPr>
              <w:pStyle w:val="26"/>
              <w:adjustRightInd w:val="0"/>
              <w:snapToGrid w:val="0"/>
              <w:spacing w:line="440" w:lineRule="atLeast"/>
              <w:rPr>
                <w:rFonts w:hAnsi="宋体"/>
                <w:color w:val="auto"/>
                <w:sz w:val="22"/>
                <w:szCs w:val="22"/>
                <w:highlight w:val="none"/>
              </w:rPr>
            </w:pPr>
          </w:p>
        </w:tc>
        <w:tc>
          <w:tcPr>
            <w:tcW w:w="1583" w:type="dxa"/>
          </w:tcPr>
          <w:p w14:paraId="3C5034BF">
            <w:pPr>
              <w:pStyle w:val="26"/>
              <w:adjustRightInd w:val="0"/>
              <w:snapToGrid w:val="0"/>
              <w:spacing w:line="440" w:lineRule="atLeast"/>
              <w:rPr>
                <w:rFonts w:hAnsi="宋体"/>
                <w:color w:val="auto"/>
                <w:sz w:val="22"/>
                <w:szCs w:val="22"/>
                <w:highlight w:val="none"/>
              </w:rPr>
            </w:pPr>
          </w:p>
        </w:tc>
        <w:tc>
          <w:tcPr>
            <w:tcW w:w="1584" w:type="dxa"/>
          </w:tcPr>
          <w:p w14:paraId="7D608833">
            <w:pPr>
              <w:pStyle w:val="26"/>
              <w:adjustRightInd w:val="0"/>
              <w:snapToGrid w:val="0"/>
              <w:spacing w:line="440" w:lineRule="atLeast"/>
              <w:rPr>
                <w:rFonts w:hAnsi="宋体"/>
                <w:color w:val="auto"/>
                <w:sz w:val="22"/>
                <w:szCs w:val="22"/>
                <w:highlight w:val="none"/>
              </w:rPr>
            </w:pPr>
          </w:p>
        </w:tc>
        <w:tc>
          <w:tcPr>
            <w:tcW w:w="1584" w:type="dxa"/>
          </w:tcPr>
          <w:p w14:paraId="6C62D288">
            <w:pPr>
              <w:pStyle w:val="26"/>
              <w:adjustRightInd w:val="0"/>
              <w:snapToGrid w:val="0"/>
              <w:spacing w:line="440" w:lineRule="atLeast"/>
              <w:rPr>
                <w:rFonts w:hAnsi="宋体"/>
                <w:color w:val="auto"/>
                <w:sz w:val="22"/>
                <w:szCs w:val="22"/>
                <w:highlight w:val="none"/>
              </w:rPr>
            </w:pPr>
          </w:p>
        </w:tc>
      </w:tr>
      <w:tr w14:paraId="4039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6" w:type="dxa"/>
          </w:tcPr>
          <w:p w14:paraId="539B8B49">
            <w:pPr>
              <w:pStyle w:val="26"/>
              <w:adjustRightInd w:val="0"/>
              <w:snapToGrid w:val="0"/>
              <w:spacing w:line="440" w:lineRule="atLeast"/>
              <w:rPr>
                <w:rFonts w:hAnsi="宋体"/>
                <w:color w:val="auto"/>
                <w:sz w:val="22"/>
                <w:szCs w:val="22"/>
                <w:highlight w:val="none"/>
              </w:rPr>
            </w:pPr>
          </w:p>
        </w:tc>
        <w:tc>
          <w:tcPr>
            <w:tcW w:w="1236" w:type="dxa"/>
            <w:tcBorders>
              <w:right w:val="single" w:color="000000" w:sz="4" w:space="0"/>
            </w:tcBorders>
          </w:tcPr>
          <w:p w14:paraId="2532EBE5">
            <w:pPr>
              <w:pStyle w:val="26"/>
              <w:adjustRightInd w:val="0"/>
              <w:snapToGrid w:val="0"/>
              <w:spacing w:line="440" w:lineRule="atLeast"/>
              <w:rPr>
                <w:rFonts w:hAnsi="宋体"/>
                <w:color w:val="auto"/>
                <w:sz w:val="22"/>
                <w:szCs w:val="22"/>
                <w:highlight w:val="none"/>
              </w:rPr>
            </w:pPr>
          </w:p>
        </w:tc>
        <w:tc>
          <w:tcPr>
            <w:tcW w:w="1317" w:type="dxa"/>
            <w:tcBorders>
              <w:left w:val="single" w:color="000000" w:sz="4" w:space="0"/>
            </w:tcBorders>
          </w:tcPr>
          <w:p w14:paraId="655ABD52">
            <w:pPr>
              <w:pStyle w:val="26"/>
              <w:adjustRightInd w:val="0"/>
              <w:snapToGrid w:val="0"/>
              <w:spacing w:line="440" w:lineRule="atLeast"/>
              <w:rPr>
                <w:rFonts w:hAnsi="宋体"/>
                <w:color w:val="auto"/>
                <w:sz w:val="22"/>
                <w:szCs w:val="22"/>
                <w:highlight w:val="none"/>
              </w:rPr>
            </w:pPr>
          </w:p>
        </w:tc>
        <w:tc>
          <w:tcPr>
            <w:tcW w:w="1519" w:type="dxa"/>
          </w:tcPr>
          <w:p w14:paraId="6826CE1A">
            <w:pPr>
              <w:pStyle w:val="26"/>
              <w:adjustRightInd w:val="0"/>
              <w:snapToGrid w:val="0"/>
              <w:spacing w:line="440" w:lineRule="atLeast"/>
              <w:rPr>
                <w:rFonts w:hAnsi="宋体"/>
                <w:color w:val="auto"/>
                <w:sz w:val="22"/>
                <w:szCs w:val="22"/>
                <w:highlight w:val="none"/>
              </w:rPr>
            </w:pPr>
          </w:p>
        </w:tc>
        <w:tc>
          <w:tcPr>
            <w:tcW w:w="1583" w:type="dxa"/>
          </w:tcPr>
          <w:p w14:paraId="681A0185">
            <w:pPr>
              <w:pStyle w:val="26"/>
              <w:adjustRightInd w:val="0"/>
              <w:snapToGrid w:val="0"/>
              <w:spacing w:line="440" w:lineRule="atLeast"/>
              <w:rPr>
                <w:rFonts w:hAnsi="宋体"/>
                <w:color w:val="auto"/>
                <w:sz w:val="22"/>
                <w:szCs w:val="22"/>
                <w:highlight w:val="none"/>
              </w:rPr>
            </w:pPr>
          </w:p>
        </w:tc>
        <w:tc>
          <w:tcPr>
            <w:tcW w:w="1584" w:type="dxa"/>
          </w:tcPr>
          <w:p w14:paraId="2751C697">
            <w:pPr>
              <w:pStyle w:val="26"/>
              <w:adjustRightInd w:val="0"/>
              <w:snapToGrid w:val="0"/>
              <w:spacing w:line="440" w:lineRule="atLeast"/>
              <w:rPr>
                <w:rFonts w:hAnsi="宋体"/>
                <w:color w:val="auto"/>
                <w:sz w:val="22"/>
                <w:szCs w:val="22"/>
                <w:highlight w:val="none"/>
              </w:rPr>
            </w:pPr>
          </w:p>
        </w:tc>
        <w:tc>
          <w:tcPr>
            <w:tcW w:w="1584" w:type="dxa"/>
          </w:tcPr>
          <w:p w14:paraId="71F49C6F">
            <w:pPr>
              <w:pStyle w:val="26"/>
              <w:adjustRightInd w:val="0"/>
              <w:snapToGrid w:val="0"/>
              <w:spacing w:line="440" w:lineRule="atLeast"/>
              <w:rPr>
                <w:rFonts w:hAnsi="宋体"/>
                <w:color w:val="auto"/>
                <w:sz w:val="22"/>
                <w:szCs w:val="22"/>
                <w:highlight w:val="none"/>
              </w:rPr>
            </w:pPr>
          </w:p>
        </w:tc>
      </w:tr>
    </w:tbl>
    <w:p w14:paraId="56D2F6BF">
      <w:pPr>
        <w:pStyle w:val="26"/>
        <w:spacing w:line="440" w:lineRule="atLeast"/>
        <w:rPr>
          <w:rFonts w:hAnsi="宋体" w:cs="Arial"/>
          <w:bCs/>
          <w:color w:val="auto"/>
          <w:sz w:val="22"/>
          <w:szCs w:val="22"/>
          <w:highlight w:val="none"/>
        </w:rPr>
      </w:pPr>
      <w:r>
        <w:rPr>
          <w:rFonts w:hint="eastAsia" w:hAnsi="宋体" w:cs="Arial"/>
          <w:bCs/>
          <w:color w:val="auto"/>
          <w:sz w:val="22"/>
          <w:szCs w:val="22"/>
          <w:highlight w:val="none"/>
        </w:rPr>
        <w:t>说明：1、表后提供相关证明材料，不允许只提供此表。</w:t>
      </w:r>
    </w:p>
    <w:p w14:paraId="062B14D7">
      <w:pPr>
        <w:pStyle w:val="26"/>
        <w:spacing w:line="440" w:lineRule="atLeast"/>
        <w:ind w:firstLine="660" w:firstLineChars="300"/>
        <w:rPr>
          <w:rFonts w:hAnsi="宋体" w:cs="Arial"/>
          <w:bCs/>
          <w:color w:val="auto"/>
          <w:sz w:val="36"/>
          <w:szCs w:val="36"/>
          <w:highlight w:val="none"/>
        </w:rPr>
      </w:pPr>
      <w:r>
        <w:rPr>
          <w:rFonts w:hint="eastAsia" w:hAnsi="宋体" w:cs="Arial"/>
          <w:bCs/>
          <w:color w:val="auto"/>
          <w:sz w:val="22"/>
          <w:szCs w:val="22"/>
          <w:highlight w:val="none"/>
        </w:rPr>
        <w:t>2、表格可以延续。</w:t>
      </w:r>
    </w:p>
    <w:p w14:paraId="0624688F">
      <w:pPr>
        <w:pStyle w:val="26"/>
        <w:spacing w:line="440" w:lineRule="atLeast"/>
        <w:jc w:val="center"/>
        <w:rPr>
          <w:rFonts w:hAnsi="宋体" w:cs="Arial"/>
          <w:bCs/>
          <w:color w:val="auto"/>
          <w:sz w:val="36"/>
          <w:szCs w:val="36"/>
          <w:highlight w:val="none"/>
        </w:rPr>
      </w:pPr>
    </w:p>
    <w:p w14:paraId="08720187">
      <w:pPr>
        <w:autoSpaceDE w:val="0"/>
        <w:autoSpaceDN w:val="0"/>
        <w:adjustRightInd w:val="0"/>
        <w:spacing w:line="440" w:lineRule="atLeast"/>
        <w:ind w:firstLine="442" w:firstLineChars="201"/>
        <w:rPr>
          <w:rFonts w:ascii="宋体" w:hAnsi="宋体"/>
          <w:color w:val="auto"/>
          <w:kern w:val="0"/>
          <w:sz w:val="22"/>
          <w:szCs w:val="20"/>
          <w:highlight w:val="none"/>
          <w:lang w:val="zh-CN"/>
        </w:rPr>
      </w:pPr>
      <w:r>
        <w:rPr>
          <w:rFonts w:hint="eastAsia" w:ascii="宋体" w:hAnsi="宋体"/>
          <w:color w:val="auto"/>
          <w:sz w:val="22"/>
          <w:szCs w:val="22"/>
          <w:highlight w:val="none"/>
          <w:lang w:val="zh-CN"/>
        </w:rPr>
        <w:t>投标供应商（盖章）</w:t>
      </w:r>
      <w:r>
        <w:rPr>
          <w:rFonts w:hint="eastAsia" w:ascii="宋体" w:hAnsi="宋体"/>
          <w:color w:val="auto"/>
          <w:kern w:val="0"/>
          <w:sz w:val="22"/>
          <w:szCs w:val="20"/>
          <w:highlight w:val="none"/>
          <w:lang w:val="zh-CN"/>
        </w:rPr>
        <w:t>：</w:t>
      </w:r>
    </w:p>
    <w:p w14:paraId="455500AC">
      <w:pPr>
        <w:autoSpaceDE w:val="0"/>
        <w:autoSpaceDN w:val="0"/>
        <w:adjustRightInd w:val="0"/>
        <w:spacing w:line="440" w:lineRule="atLeast"/>
        <w:ind w:firstLine="442" w:firstLineChars="201"/>
        <w:rPr>
          <w:rFonts w:ascii="宋体" w:hAnsi="宋体"/>
          <w:color w:val="auto"/>
          <w:kern w:val="0"/>
          <w:sz w:val="22"/>
          <w:szCs w:val="20"/>
          <w:highlight w:val="none"/>
          <w:lang w:val="zh-CN"/>
        </w:rPr>
      </w:pPr>
      <w:r>
        <w:rPr>
          <w:rFonts w:hint="eastAsia" w:ascii="宋体" w:hAnsi="宋体"/>
          <w:color w:val="auto"/>
          <w:kern w:val="0"/>
          <w:sz w:val="22"/>
          <w:szCs w:val="20"/>
          <w:highlight w:val="none"/>
          <w:lang w:val="zh-CN"/>
        </w:rPr>
        <w:t>法定代表人或授权代表（签字或盖章）：</w:t>
      </w:r>
    </w:p>
    <w:p w14:paraId="7E591FEB">
      <w:pPr>
        <w:autoSpaceDE w:val="0"/>
        <w:autoSpaceDN w:val="0"/>
        <w:adjustRightInd w:val="0"/>
        <w:snapToGrid w:val="0"/>
        <w:spacing w:line="480" w:lineRule="atLeast"/>
        <w:ind w:firstLine="440" w:firstLineChars="200"/>
        <w:jc w:val="left"/>
        <w:rPr>
          <w:rFonts w:ascii="宋体" w:hAnsi="宋体" w:cs="仿宋_GB2312"/>
          <w:color w:val="auto"/>
          <w:sz w:val="22"/>
          <w:highlight w:val="none"/>
          <w:lang w:val="zh-CN"/>
        </w:rPr>
      </w:pPr>
      <w:r>
        <w:rPr>
          <w:rFonts w:hint="eastAsia" w:ascii="宋体" w:hAnsi="宋体"/>
          <w:color w:val="auto"/>
          <w:kern w:val="0"/>
          <w:sz w:val="22"/>
          <w:szCs w:val="20"/>
          <w:highlight w:val="none"/>
          <w:lang w:val="zh-CN"/>
        </w:rPr>
        <w:t>日期：</w:t>
      </w:r>
    </w:p>
    <w:p w14:paraId="55426F17">
      <w:pPr>
        <w:pStyle w:val="26"/>
        <w:spacing w:line="440" w:lineRule="atLeast"/>
        <w:jc w:val="center"/>
        <w:rPr>
          <w:rFonts w:hAnsi="宋体" w:cs="Arial"/>
          <w:bCs/>
          <w:color w:val="auto"/>
          <w:sz w:val="36"/>
          <w:szCs w:val="36"/>
          <w:highlight w:val="none"/>
        </w:rPr>
      </w:pPr>
    </w:p>
    <w:p w14:paraId="5469610C">
      <w:pPr>
        <w:pStyle w:val="26"/>
        <w:spacing w:line="440" w:lineRule="atLeast"/>
        <w:jc w:val="center"/>
        <w:rPr>
          <w:rFonts w:hAnsi="宋体" w:cs="Arial"/>
          <w:bCs/>
          <w:color w:val="auto"/>
          <w:sz w:val="36"/>
          <w:szCs w:val="36"/>
          <w:highlight w:val="none"/>
        </w:rPr>
      </w:pPr>
    </w:p>
    <w:p w14:paraId="737BD4DD">
      <w:pPr>
        <w:pStyle w:val="26"/>
        <w:spacing w:line="440" w:lineRule="atLeast"/>
        <w:jc w:val="center"/>
        <w:rPr>
          <w:rFonts w:hAnsi="宋体" w:cs="Arial"/>
          <w:bCs/>
          <w:color w:val="auto"/>
          <w:sz w:val="36"/>
          <w:szCs w:val="36"/>
          <w:highlight w:val="none"/>
        </w:rPr>
      </w:pPr>
    </w:p>
    <w:p w14:paraId="784FFA45">
      <w:pPr>
        <w:pStyle w:val="26"/>
        <w:spacing w:line="440" w:lineRule="atLeast"/>
        <w:jc w:val="center"/>
        <w:rPr>
          <w:rFonts w:hAnsi="宋体" w:cs="Arial"/>
          <w:bCs/>
          <w:color w:val="auto"/>
          <w:sz w:val="36"/>
          <w:szCs w:val="36"/>
          <w:highlight w:val="none"/>
        </w:rPr>
      </w:pPr>
    </w:p>
    <w:p w14:paraId="42127B6F">
      <w:pPr>
        <w:pStyle w:val="26"/>
        <w:spacing w:line="440" w:lineRule="atLeast"/>
        <w:jc w:val="center"/>
        <w:rPr>
          <w:rFonts w:hAnsi="宋体" w:cs="Arial"/>
          <w:bCs/>
          <w:color w:val="auto"/>
          <w:sz w:val="36"/>
          <w:szCs w:val="36"/>
          <w:highlight w:val="none"/>
        </w:rPr>
      </w:pPr>
    </w:p>
    <w:p w14:paraId="590EE39C">
      <w:pPr>
        <w:pStyle w:val="26"/>
        <w:adjustRightInd w:val="0"/>
        <w:snapToGrid w:val="0"/>
        <w:spacing w:line="440" w:lineRule="atLeast"/>
        <w:jc w:val="left"/>
        <w:outlineLvl w:val="1"/>
        <w:rPr>
          <w:rFonts w:hAnsi="宋体"/>
          <w:color w:val="auto"/>
          <w:sz w:val="30"/>
          <w:szCs w:val="30"/>
          <w:highlight w:val="none"/>
        </w:rPr>
      </w:pPr>
      <w:r>
        <w:rPr>
          <w:rFonts w:hAnsi="宋体" w:cs="Arial"/>
          <w:bCs/>
          <w:color w:val="auto"/>
          <w:sz w:val="22"/>
          <w:szCs w:val="22"/>
          <w:highlight w:val="none"/>
        </w:rPr>
        <w:br w:type="page"/>
      </w:r>
      <w:bookmarkStart w:id="96" w:name="_Toc24220"/>
      <w:r>
        <w:rPr>
          <w:rFonts w:hAnsi="宋体"/>
          <w:color w:val="auto"/>
          <w:sz w:val="30"/>
          <w:highlight w:val="none"/>
        </w:rPr>
        <w:t>附件</w:t>
      </w:r>
      <w:r>
        <w:rPr>
          <w:rFonts w:hint="eastAsia" w:hAnsi="宋体"/>
          <w:color w:val="auto"/>
          <w:sz w:val="30"/>
          <w:highlight w:val="none"/>
        </w:rPr>
        <w:t>八</w:t>
      </w:r>
      <w:bookmarkEnd w:id="96"/>
    </w:p>
    <w:p w14:paraId="6E6AC101">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97" w:name="_Toc8673"/>
      <w:r>
        <w:rPr>
          <w:rFonts w:hAnsi="宋体" w:cs="Arial"/>
          <w:bCs/>
          <w:color w:val="auto"/>
          <w:sz w:val="36"/>
          <w:szCs w:val="36"/>
          <w:highlight w:val="none"/>
          <w:lang w:val="zh-CN"/>
        </w:rPr>
        <w:t>人员配置情况表</w:t>
      </w:r>
      <w:bookmarkEnd w:id="97"/>
    </w:p>
    <w:tbl>
      <w:tblPr>
        <w:tblStyle w:val="46"/>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45"/>
        <w:gridCol w:w="755"/>
        <w:gridCol w:w="755"/>
        <w:gridCol w:w="755"/>
        <w:gridCol w:w="1133"/>
        <w:gridCol w:w="1530"/>
        <w:gridCol w:w="1637"/>
      </w:tblGrid>
      <w:tr w14:paraId="2023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8" w:type="dxa"/>
            <w:tcBorders>
              <w:top w:val="single" w:color="auto" w:sz="4" w:space="0"/>
              <w:left w:val="single" w:color="auto" w:sz="4" w:space="0"/>
              <w:bottom w:val="single" w:color="auto" w:sz="4" w:space="0"/>
              <w:right w:val="single" w:color="auto" w:sz="4" w:space="0"/>
            </w:tcBorders>
            <w:vAlign w:val="center"/>
          </w:tcPr>
          <w:p w14:paraId="2E7878E5">
            <w:pPr>
              <w:jc w:val="center"/>
              <w:rPr>
                <w:rFonts w:ascii="宋体"/>
                <w:bCs/>
                <w:color w:val="auto"/>
                <w:sz w:val="22"/>
                <w:highlight w:val="none"/>
              </w:rPr>
            </w:pPr>
            <w:r>
              <w:rPr>
                <w:rFonts w:hint="eastAsia" w:ascii="宋体"/>
                <w:bCs/>
                <w:color w:val="auto"/>
                <w:sz w:val="22"/>
                <w:highlight w:val="none"/>
              </w:rPr>
              <w:t>姓名</w:t>
            </w:r>
          </w:p>
        </w:tc>
        <w:tc>
          <w:tcPr>
            <w:tcW w:w="2645" w:type="dxa"/>
            <w:tcBorders>
              <w:top w:val="single" w:color="auto" w:sz="4" w:space="0"/>
              <w:left w:val="single" w:color="auto" w:sz="4" w:space="0"/>
              <w:bottom w:val="single" w:color="auto" w:sz="4" w:space="0"/>
              <w:right w:val="single" w:color="auto" w:sz="4" w:space="0"/>
            </w:tcBorders>
            <w:vAlign w:val="center"/>
          </w:tcPr>
          <w:p w14:paraId="354C9CED">
            <w:pPr>
              <w:jc w:val="center"/>
              <w:rPr>
                <w:rFonts w:ascii="宋体"/>
                <w:bCs/>
                <w:color w:val="auto"/>
                <w:sz w:val="22"/>
                <w:highlight w:val="none"/>
              </w:rPr>
            </w:pPr>
            <w:r>
              <w:rPr>
                <w:rFonts w:hint="eastAsia" w:ascii="宋体"/>
                <w:bCs/>
                <w:color w:val="auto"/>
                <w:sz w:val="22"/>
                <w:highlight w:val="none"/>
              </w:rPr>
              <w:t>本项目主要工作</w:t>
            </w:r>
          </w:p>
        </w:tc>
        <w:tc>
          <w:tcPr>
            <w:tcW w:w="755" w:type="dxa"/>
            <w:tcBorders>
              <w:top w:val="single" w:color="auto" w:sz="4" w:space="0"/>
              <w:left w:val="single" w:color="auto" w:sz="4" w:space="0"/>
              <w:bottom w:val="single" w:color="auto" w:sz="4" w:space="0"/>
              <w:right w:val="single" w:color="auto" w:sz="4" w:space="0"/>
            </w:tcBorders>
            <w:vAlign w:val="center"/>
          </w:tcPr>
          <w:p w14:paraId="7B579E9C">
            <w:pPr>
              <w:jc w:val="center"/>
              <w:rPr>
                <w:rFonts w:ascii="宋体"/>
                <w:bCs/>
                <w:color w:val="auto"/>
                <w:sz w:val="22"/>
                <w:highlight w:val="none"/>
              </w:rPr>
            </w:pPr>
            <w:r>
              <w:rPr>
                <w:rFonts w:hint="eastAsia" w:ascii="宋体"/>
                <w:bCs/>
                <w:color w:val="auto"/>
                <w:sz w:val="22"/>
                <w:highlight w:val="none"/>
              </w:rPr>
              <w:t>年龄</w:t>
            </w:r>
          </w:p>
        </w:tc>
        <w:tc>
          <w:tcPr>
            <w:tcW w:w="755" w:type="dxa"/>
            <w:tcBorders>
              <w:top w:val="single" w:color="auto" w:sz="4" w:space="0"/>
              <w:left w:val="single" w:color="auto" w:sz="4" w:space="0"/>
              <w:bottom w:val="single" w:color="auto" w:sz="4" w:space="0"/>
              <w:right w:val="single" w:color="auto" w:sz="4" w:space="0"/>
            </w:tcBorders>
            <w:vAlign w:val="center"/>
          </w:tcPr>
          <w:p w14:paraId="2CAD1DE0">
            <w:pPr>
              <w:jc w:val="center"/>
              <w:rPr>
                <w:rFonts w:ascii="宋体"/>
                <w:bCs/>
                <w:color w:val="auto"/>
                <w:sz w:val="22"/>
                <w:highlight w:val="none"/>
              </w:rPr>
            </w:pPr>
            <w:r>
              <w:rPr>
                <w:rFonts w:hint="eastAsia" w:ascii="宋体"/>
                <w:bCs/>
                <w:color w:val="auto"/>
                <w:sz w:val="22"/>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14:paraId="75EFA514">
            <w:pPr>
              <w:jc w:val="center"/>
              <w:rPr>
                <w:rFonts w:ascii="宋体"/>
                <w:bCs/>
                <w:color w:val="auto"/>
                <w:sz w:val="22"/>
                <w:highlight w:val="none"/>
              </w:rPr>
            </w:pPr>
            <w:r>
              <w:rPr>
                <w:rFonts w:hint="eastAsia" w:ascii="宋体"/>
                <w:bCs/>
                <w:color w:val="auto"/>
                <w:sz w:val="22"/>
                <w:highlight w:val="none"/>
              </w:rPr>
              <w:t>专业</w:t>
            </w:r>
          </w:p>
        </w:tc>
        <w:tc>
          <w:tcPr>
            <w:tcW w:w="1133" w:type="dxa"/>
            <w:tcBorders>
              <w:top w:val="single" w:color="auto" w:sz="4" w:space="0"/>
              <w:left w:val="single" w:color="auto" w:sz="4" w:space="0"/>
              <w:bottom w:val="single" w:color="auto" w:sz="4" w:space="0"/>
              <w:right w:val="single" w:color="auto" w:sz="4" w:space="0"/>
            </w:tcBorders>
            <w:vAlign w:val="center"/>
          </w:tcPr>
          <w:p w14:paraId="297C7CE5">
            <w:pPr>
              <w:jc w:val="center"/>
              <w:rPr>
                <w:rFonts w:ascii="宋体"/>
                <w:bCs/>
                <w:color w:val="auto"/>
                <w:sz w:val="22"/>
                <w:highlight w:val="none"/>
              </w:rPr>
            </w:pPr>
            <w:r>
              <w:rPr>
                <w:rFonts w:hint="eastAsia" w:ascii="宋体"/>
                <w:bCs/>
                <w:color w:val="auto"/>
                <w:sz w:val="22"/>
                <w:highlight w:val="none"/>
              </w:rPr>
              <w:t>专业</w:t>
            </w:r>
          </w:p>
          <w:p w14:paraId="134A9C0E">
            <w:pPr>
              <w:jc w:val="center"/>
              <w:rPr>
                <w:rFonts w:ascii="宋体"/>
                <w:bCs/>
                <w:color w:val="auto"/>
                <w:sz w:val="22"/>
                <w:highlight w:val="none"/>
              </w:rPr>
            </w:pPr>
            <w:r>
              <w:rPr>
                <w:rFonts w:hint="eastAsia" w:ascii="宋体"/>
                <w:bCs/>
                <w:color w:val="auto"/>
                <w:sz w:val="22"/>
                <w:highlight w:val="none"/>
              </w:rPr>
              <w:t>年限</w:t>
            </w:r>
          </w:p>
        </w:tc>
        <w:tc>
          <w:tcPr>
            <w:tcW w:w="1530" w:type="dxa"/>
            <w:tcBorders>
              <w:top w:val="single" w:color="auto" w:sz="4" w:space="0"/>
              <w:left w:val="single" w:color="auto" w:sz="4" w:space="0"/>
              <w:bottom w:val="single" w:color="auto" w:sz="4" w:space="0"/>
              <w:right w:val="single" w:color="auto" w:sz="4" w:space="0"/>
            </w:tcBorders>
            <w:vAlign w:val="center"/>
          </w:tcPr>
          <w:p w14:paraId="1E51C9BC">
            <w:pPr>
              <w:rPr>
                <w:rFonts w:ascii="宋体"/>
                <w:bCs/>
                <w:color w:val="auto"/>
                <w:sz w:val="22"/>
                <w:highlight w:val="none"/>
              </w:rPr>
            </w:pPr>
            <w:r>
              <w:rPr>
                <w:rFonts w:hint="eastAsia" w:ascii="宋体"/>
                <w:bCs/>
                <w:color w:val="auto"/>
                <w:sz w:val="22"/>
                <w:highlight w:val="none"/>
              </w:rPr>
              <w:t>学历</w:t>
            </w:r>
          </w:p>
        </w:tc>
        <w:tc>
          <w:tcPr>
            <w:tcW w:w="1637" w:type="dxa"/>
            <w:tcBorders>
              <w:top w:val="single" w:color="auto" w:sz="4" w:space="0"/>
              <w:left w:val="single" w:color="auto" w:sz="4" w:space="0"/>
              <w:bottom w:val="single" w:color="auto" w:sz="4" w:space="0"/>
              <w:right w:val="single" w:color="auto" w:sz="4" w:space="0"/>
            </w:tcBorders>
            <w:vAlign w:val="center"/>
          </w:tcPr>
          <w:p w14:paraId="1CE511CF">
            <w:pPr>
              <w:jc w:val="center"/>
              <w:rPr>
                <w:rFonts w:ascii="宋体"/>
                <w:bCs/>
                <w:color w:val="auto"/>
                <w:sz w:val="22"/>
                <w:highlight w:val="none"/>
              </w:rPr>
            </w:pPr>
            <w:r>
              <w:rPr>
                <w:rFonts w:hint="eastAsia" w:ascii="宋体"/>
                <w:bCs/>
                <w:color w:val="auto"/>
                <w:sz w:val="22"/>
                <w:highlight w:val="none"/>
              </w:rPr>
              <w:t>类似业绩</w:t>
            </w:r>
          </w:p>
        </w:tc>
      </w:tr>
      <w:tr w14:paraId="7FAF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1F6B309A">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674196C8">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1D247E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D386238">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C32A3EA">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BC4A530">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82E95C7">
            <w:pPr>
              <w:spacing w:line="360" w:lineRule="auto"/>
              <w:ind w:left="5250"/>
              <w:rPr>
                <w:rFonts w:ascii="宋体"/>
                <w:color w:val="auto"/>
                <w:spacing w:val="12"/>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ED202A0">
            <w:pPr>
              <w:spacing w:line="360" w:lineRule="auto"/>
              <w:rPr>
                <w:rFonts w:ascii="宋体"/>
                <w:color w:val="auto"/>
                <w:sz w:val="22"/>
                <w:highlight w:val="none"/>
              </w:rPr>
            </w:pPr>
          </w:p>
        </w:tc>
      </w:tr>
      <w:tr w14:paraId="5B3F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59594AC9">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52FD0A36">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40F2AB2D">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CFEDE34">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1A357D7">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D1C4BEB">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5298EA4E">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2B5EF7A">
            <w:pPr>
              <w:spacing w:line="360" w:lineRule="auto"/>
              <w:ind w:left="5250"/>
              <w:rPr>
                <w:rFonts w:ascii="宋体"/>
                <w:color w:val="auto"/>
                <w:spacing w:val="12"/>
                <w:sz w:val="22"/>
                <w:highlight w:val="none"/>
              </w:rPr>
            </w:pPr>
          </w:p>
        </w:tc>
      </w:tr>
      <w:tr w14:paraId="4655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74EAD4E2">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2EE31F9F">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951D8D3">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00C3265">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D6697F5">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BEE84F0">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07B17E31">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68B8ACF5">
            <w:pPr>
              <w:spacing w:line="360" w:lineRule="auto"/>
              <w:rPr>
                <w:rFonts w:ascii="宋体"/>
                <w:color w:val="auto"/>
                <w:sz w:val="22"/>
                <w:highlight w:val="none"/>
              </w:rPr>
            </w:pPr>
          </w:p>
        </w:tc>
      </w:tr>
      <w:tr w14:paraId="548F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00D9FD86">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7DFB47EB">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67BC379">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82CF1A9">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357DB8A">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02F9DD1">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17475C02">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680BD5C">
            <w:pPr>
              <w:spacing w:line="360" w:lineRule="auto"/>
              <w:rPr>
                <w:rFonts w:ascii="宋体"/>
                <w:color w:val="auto"/>
                <w:sz w:val="22"/>
                <w:highlight w:val="none"/>
              </w:rPr>
            </w:pPr>
          </w:p>
        </w:tc>
      </w:tr>
      <w:tr w14:paraId="1583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77D5BD9E">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25E50A02">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CC888F7">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C1AEAFE">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67B2B0A">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32FF33">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E0DB628">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592FB9F6">
            <w:pPr>
              <w:spacing w:line="360" w:lineRule="auto"/>
              <w:rPr>
                <w:rFonts w:ascii="宋体"/>
                <w:color w:val="auto"/>
                <w:sz w:val="22"/>
                <w:highlight w:val="none"/>
              </w:rPr>
            </w:pPr>
          </w:p>
        </w:tc>
      </w:tr>
      <w:tr w14:paraId="6BAB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181ACBCA">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57AC97D1">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9258176">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559E345">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EF4207E">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0B08F71">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7D4A5DA2">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5503C70">
            <w:pPr>
              <w:spacing w:line="360" w:lineRule="auto"/>
              <w:rPr>
                <w:rFonts w:ascii="宋体"/>
                <w:color w:val="auto"/>
                <w:sz w:val="22"/>
                <w:highlight w:val="none"/>
              </w:rPr>
            </w:pPr>
          </w:p>
        </w:tc>
      </w:tr>
      <w:tr w14:paraId="698D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1D422912">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1D50C19E">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324D914">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C9A4E7A">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8820EF6">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AFAE241">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17D65A18">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493C797">
            <w:pPr>
              <w:spacing w:line="360" w:lineRule="auto"/>
              <w:rPr>
                <w:rFonts w:ascii="宋体"/>
                <w:color w:val="auto"/>
                <w:sz w:val="22"/>
                <w:highlight w:val="none"/>
              </w:rPr>
            </w:pPr>
          </w:p>
        </w:tc>
      </w:tr>
      <w:tr w14:paraId="71E8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218D2F35">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1CF4B109">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14F7550">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77F9C06">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228FC2C">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BC1DF57">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E8CF62F">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FFA0E97">
            <w:pPr>
              <w:spacing w:line="360" w:lineRule="auto"/>
              <w:rPr>
                <w:rFonts w:ascii="宋体"/>
                <w:color w:val="auto"/>
                <w:sz w:val="22"/>
                <w:highlight w:val="none"/>
              </w:rPr>
            </w:pPr>
          </w:p>
        </w:tc>
      </w:tr>
      <w:tr w14:paraId="74D3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586A2D44">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184F071D">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463307A6">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CCE16D5">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477249AF">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7937570">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122274C">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1C3B6F8">
            <w:pPr>
              <w:spacing w:line="360" w:lineRule="auto"/>
              <w:rPr>
                <w:rFonts w:ascii="宋体"/>
                <w:color w:val="auto"/>
                <w:sz w:val="22"/>
                <w:highlight w:val="none"/>
              </w:rPr>
            </w:pPr>
          </w:p>
        </w:tc>
      </w:tr>
      <w:tr w14:paraId="1966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2C00A85A">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54E96450">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C9FBB5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05927C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2EF7890">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C6F7DF6">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C098EDB">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C22159F">
            <w:pPr>
              <w:spacing w:line="360" w:lineRule="auto"/>
              <w:rPr>
                <w:rFonts w:ascii="宋体"/>
                <w:color w:val="auto"/>
                <w:sz w:val="22"/>
                <w:highlight w:val="none"/>
              </w:rPr>
            </w:pPr>
          </w:p>
        </w:tc>
      </w:tr>
      <w:tr w14:paraId="6D4D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537C39B3">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26E12066">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09AA5A0">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A11A29E">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5E69FBA">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A33F8F7">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14CC3039">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406827A">
            <w:pPr>
              <w:spacing w:line="360" w:lineRule="auto"/>
              <w:rPr>
                <w:rFonts w:ascii="宋体"/>
                <w:color w:val="auto"/>
                <w:sz w:val="22"/>
                <w:highlight w:val="none"/>
              </w:rPr>
            </w:pPr>
          </w:p>
        </w:tc>
      </w:tr>
      <w:tr w14:paraId="35E9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11AABCDC">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6A6EB35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D49EC9E">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293FEA0">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D6F22D8">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2AD8114">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4EF988E5">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7B6F065">
            <w:pPr>
              <w:spacing w:line="360" w:lineRule="auto"/>
              <w:rPr>
                <w:rFonts w:ascii="宋体"/>
                <w:color w:val="auto"/>
                <w:sz w:val="22"/>
                <w:highlight w:val="none"/>
              </w:rPr>
            </w:pPr>
          </w:p>
        </w:tc>
      </w:tr>
      <w:tr w14:paraId="1D33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79F5EA94">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46CEEAEF">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A22641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6B01442">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85131EF">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C6837D6">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60C3E91E">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7EAAC87">
            <w:pPr>
              <w:spacing w:line="360" w:lineRule="auto"/>
              <w:rPr>
                <w:rFonts w:ascii="宋体"/>
                <w:color w:val="auto"/>
                <w:sz w:val="22"/>
                <w:highlight w:val="none"/>
              </w:rPr>
            </w:pPr>
          </w:p>
        </w:tc>
      </w:tr>
      <w:tr w14:paraId="7D6A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653D2BCD">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1A4DE25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CCEA7EA">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6ACDE4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5AD88EF">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F735821">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6F731019">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A353124">
            <w:pPr>
              <w:spacing w:line="360" w:lineRule="auto"/>
              <w:rPr>
                <w:rFonts w:ascii="宋体"/>
                <w:color w:val="auto"/>
                <w:sz w:val="22"/>
                <w:highlight w:val="none"/>
              </w:rPr>
            </w:pPr>
          </w:p>
        </w:tc>
      </w:tr>
      <w:tr w14:paraId="3D48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14:paraId="4EE094F3">
            <w:pPr>
              <w:spacing w:line="360" w:lineRule="auto"/>
              <w:rPr>
                <w:rFonts w:ascii="宋体"/>
                <w:color w:val="auto"/>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5BF73CEC">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59C944D">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6D001A9">
            <w:pPr>
              <w:spacing w:line="360" w:lineRule="auto"/>
              <w:rPr>
                <w:rFonts w:ascii="宋体"/>
                <w:color w:val="auto"/>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7F55D80">
            <w:pPr>
              <w:spacing w:line="360" w:lineRule="auto"/>
              <w:rPr>
                <w:rFonts w:ascii="宋体"/>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ABE980A">
            <w:pPr>
              <w:spacing w:line="360" w:lineRule="auto"/>
              <w:rPr>
                <w:rFonts w:ascii="宋体"/>
                <w:color w:val="auto"/>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3E6AD95">
            <w:pPr>
              <w:spacing w:line="360" w:lineRule="auto"/>
              <w:rPr>
                <w:rFonts w:ascii="宋体"/>
                <w:color w:val="auto"/>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31389B1">
            <w:pPr>
              <w:spacing w:line="360" w:lineRule="auto"/>
              <w:rPr>
                <w:rFonts w:ascii="宋体"/>
                <w:color w:val="auto"/>
                <w:sz w:val="22"/>
                <w:highlight w:val="none"/>
              </w:rPr>
            </w:pPr>
          </w:p>
        </w:tc>
      </w:tr>
    </w:tbl>
    <w:p w14:paraId="3D2E16CA">
      <w:pPr>
        <w:spacing w:line="360" w:lineRule="exact"/>
        <w:ind w:left="968" w:hanging="968" w:hangingChars="440"/>
        <w:rPr>
          <w:rFonts w:ascii="宋体" w:cs="Arial"/>
          <w:color w:val="auto"/>
          <w:sz w:val="22"/>
          <w:highlight w:val="none"/>
        </w:rPr>
      </w:pPr>
      <w:r>
        <w:rPr>
          <w:rFonts w:hint="eastAsia" w:ascii="宋体" w:cs="Arial"/>
          <w:color w:val="auto"/>
          <w:sz w:val="22"/>
          <w:highlight w:val="none"/>
        </w:rPr>
        <w:t>附注：1. 项目负责人、以及各主要专业工种负责人均应列入；</w:t>
      </w:r>
    </w:p>
    <w:p w14:paraId="1E2D2C01">
      <w:pPr>
        <w:spacing w:line="360" w:lineRule="exact"/>
        <w:ind w:left="718" w:leftChars="321" w:hanging="44" w:hangingChars="20"/>
        <w:rPr>
          <w:rFonts w:ascii="宋体" w:cs="Arial"/>
          <w:color w:val="auto"/>
          <w:sz w:val="22"/>
          <w:highlight w:val="none"/>
        </w:rPr>
      </w:pPr>
      <w:r>
        <w:rPr>
          <w:rFonts w:hint="eastAsia" w:ascii="宋体" w:cs="Arial"/>
          <w:color w:val="auto"/>
          <w:sz w:val="22"/>
          <w:highlight w:val="none"/>
        </w:rPr>
        <w:t>2. 相关证书等人员证件复印件附后。</w:t>
      </w:r>
    </w:p>
    <w:p w14:paraId="005A27FB">
      <w:pPr>
        <w:spacing w:line="360" w:lineRule="exact"/>
        <w:ind w:left="718" w:leftChars="321" w:hanging="44" w:hangingChars="20"/>
        <w:rPr>
          <w:rFonts w:ascii="宋体" w:cs="Arial"/>
          <w:color w:val="auto"/>
          <w:sz w:val="22"/>
          <w:highlight w:val="none"/>
        </w:rPr>
      </w:pPr>
      <w:r>
        <w:rPr>
          <w:rFonts w:hint="eastAsia" w:ascii="宋体" w:cs="Arial"/>
          <w:color w:val="auto"/>
          <w:sz w:val="22"/>
          <w:highlight w:val="none"/>
        </w:rPr>
        <w:t>3</w:t>
      </w:r>
      <w:r>
        <w:rPr>
          <w:rFonts w:ascii="宋体" w:cs="Arial"/>
          <w:color w:val="auto"/>
          <w:sz w:val="22"/>
          <w:highlight w:val="none"/>
        </w:rPr>
        <w:t xml:space="preserve">. </w:t>
      </w:r>
      <w:r>
        <w:rPr>
          <w:rFonts w:hint="eastAsia" w:ascii="宋体" w:cs="Arial"/>
          <w:color w:val="auto"/>
          <w:sz w:val="22"/>
          <w:highlight w:val="none"/>
        </w:rPr>
        <w:t>以上人员社保缴纳证明在技术资信标中提供。</w:t>
      </w:r>
    </w:p>
    <w:p w14:paraId="4C9316C0">
      <w:pPr>
        <w:spacing w:line="360" w:lineRule="exact"/>
        <w:ind w:left="718" w:leftChars="321" w:hanging="44" w:hangingChars="20"/>
        <w:rPr>
          <w:rFonts w:ascii="宋体" w:cs="Arial"/>
          <w:color w:val="auto"/>
          <w:sz w:val="22"/>
          <w:highlight w:val="none"/>
        </w:rPr>
      </w:pPr>
      <w:r>
        <w:rPr>
          <w:rFonts w:hint="eastAsia" w:ascii="宋体" w:cs="Arial"/>
          <w:color w:val="auto"/>
          <w:sz w:val="22"/>
          <w:highlight w:val="none"/>
        </w:rPr>
        <w:t>4、表格可以延续。</w:t>
      </w:r>
    </w:p>
    <w:p w14:paraId="5F1AB74D">
      <w:pPr>
        <w:autoSpaceDE w:val="0"/>
        <w:autoSpaceDN w:val="0"/>
        <w:adjustRightInd w:val="0"/>
        <w:spacing w:line="460" w:lineRule="atLeast"/>
        <w:ind w:firstLine="440" w:firstLineChars="200"/>
        <w:rPr>
          <w:rFonts w:ascii="宋体" w:hAnsi="宋体"/>
          <w:color w:val="auto"/>
          <w:sz w:val="22"/>
          <w:szCs w:val="22"/>
          <w:highlight w:val="none"/>
        </w:rPr>
      </w:pPr>
    </w:p>
    <w:p w14:paraId="56EBF15B">
      <w:pPr>
        <w:autoSpaceDE w:val="0"/>
        <w:autoSpaceDN w:val="0"/>
        <w:adjustRightInd w:val="0"/>
        <w:spacing w:line="460" w:lineRule="atLeast"/>
        <w:ind w:firstLine="440" w:firstLineChars="200"/>
        <w:rPr>
          <w:rFonts w:ascii="宋体" w:hAnsi="宋体"/>
          <w:color w:val="auto"/>
          <w:sz w:val="36"/>
          <w:highlight w:val="none"/>
        </w:rPr>
      </w:pPr>
      <w:r>
        <w:rPr>
          <w:rFonts w:hint="eastAsia" w:ascii="宋体" w:hAnsi="宋体"/>
          <w:color w:val="auto"/>
          <w:sz w:val="22"/>
          <w:szCs w:val="22"/>
          <w:highlight w:val="none"/>
          <w:lang w:val="zh-CN"/>
        </w:rPr>
        <w:t>投标供应商（盖章）：</w:t>
      </w:r>
    </w:p>
    <w:p w14:paraId="1E6290F8">
      <w:pPr>
        <w:autoSpaceDE w:val="0"/>
        <w:autoSpaceDN w:val="0"/>
        <w:adjustRightInd w:val="0"/>
        <w:spacing w:line="460" w:lineRule="atLeast"/>
        <w:ind w:firstLine="3592" w:firstLineChars="998"/>
        <w:rPr>
          <w:rFonts w:ascii="宋体" w:hAnsi="宋体"/>
          <w:color w:val="auto"/>
          <w:sz w:val="36"/>
          <w:highlight w:val="none"/>
        </w:rPr>
      </w:pPr>
    </w:p>
    <w:p w14:paraId="37D3BF33">
      <w:pPr>
        <w:autoSpaceDE w:val="0"/>
        <w:autoSpaceDN w:val="0"/>
        <w:adjustRightInd w:val="0"/>
        <w:spacing w:line="460" w:lineRule="atLeast"/>
        <w:ind w:firstLine="3592" w:firstLineChars="998"/>
        <w:rPr>
          <w:rFonts w:ascii="宋体" w:hAnsi="宋体"/>
          <w:color w:val="auto"/>
          <w:sz w:val="36"/>
          <w:highlight w:val="none"/>
        </w:rPr>
      </w:pPr>
    </w:p>
    <w:p w14:paraId="068CD560">
      <w:pPr>
        <w:autoSpaceDE w:val="0"/>
        <w:autoSpaceDN w:val="0"/>
        <w:adjustRightInd w:val="0"/>
        <w:spacing w:line="460" w:lineRule="atLeast"/>
        <w:ind w:firstLine="3592" w:firstLineChars="998"/>
        <w:rPr>
          <w:rFonts w:ascii="宋体" w:hAnsi="宋体"/>
          <w:color w:val="auto"/>
          <w:sz w:val="36"/>
          <w:highlight w:val="none"/>
        </w:rPr>
      </w:pPr>
    </w:p>
    <w:p w14:paraId="0C3659C0">
      <w:pPr>
        <w:pStyle w:val="26"/>
        <w:adjustRightInd w:val="0"/>
        <w:snapToGrid w:val="0"/>
        <w:spacing w:line="440" w:lineRule="atLeast"/>
        <w:jc w:val="left"/>
        <w:outlineLvl w:val="1"/>
        <w:rPr>
          <w:rFonts w:hAnsi="宋体"/>
          <w:color w:val="auto"/>
          <w:sz w:val="30"/>
          <w:highlight w:val="none"/>
        </w:rPr>
      </w:pPr>
      <w:bookmarkStart w:id="98" w:name="_Toc7095"/>
      <w:r>
        <w:rPr>
          <w:rFonts w:hAnsi="宋体"/>
          <w:color w:val="auto"/>
          <w:sz w:val="30"/>
          <w:highlight w:val="none"/>
        </w:rPr>
        <w:t>附件九</w:t>
      </w:r>
      <w:bookmarkEnd w:id="98"/>
    </w:p>
    <w:p w14:paraId="0BA90EA8">
      <w:pPr>
        <w:pStyle w:val="26"/>
        <w:adjustRightInd w:val="0"/>
        <w:snapToGrid w:val="0"/>
        <w:spacing w:line="440" w:lineRule="atLeast"/>
        <w:ind w:firstLine="440"/>
        <w:jc w:val="center"/>
        <w:outlineLvl w:val="1"/>
        <w:rPr>
          <w:rFonts w:hAnsi="宋体" w:cs="Arial"/>
          <w:bCs/>
          <w:color w:val="auto"/>
          <w:sz w:val="36"/>
          <w:szCs w:val="36"/>
          <w:highlight w:val="none"/>
          <w:lang w:val="zh-CN"/>
        </w:rPr>
      </w:pPr>
      <w:bookmarkStart w:id="99" w:name="_Toc8118"/>
      <w:r>
        <w:rPr>
          <w:rFonts w:hint="eastAsia" w:hAnsi="宋体" w:cs="Arial"/>
          <w:bCs/>
          <w:color w:val="auto"/>
          <w:sz w:val="36"/>
          <w:szCs w:val="36"/>
          <w:highlight w:val="none"/>
          <w:lang w:val="zh-CN"/>
        </w:rPr>
        <w:t>偏离表</w:t>
      </w:r>
      <w:bookmarkEnd w:id="99"/>
    </w:p>
    <w:tbl>
      <w:tblPr>
        <w:tblStyle w:val="46"/>
        <w:tblW w:w="951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2167"/>
        <w:gridCol w:w="2167"/>
        <w:gridCol w:w="2167"/>
        <w:gridCol w:w="2171"/>
      </w:tblGrid>
      <w:tr w14:paraId="4C78B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9518" w:type="dxa"/>
            <w:gridSpan w:val="5"/>
            <w:vAlign w:val="center"/>
          </w:tcPr>
          <w:p w14:paraId="2404FA6D">
            <w:pPr>
              <w:autoSpaceDE w:val="0"/>
              <w:autoSpaceDN w:val="0"/>
              <w:adjustRightInd w:val="0"/>
              <w:spacing w:line="460" w:lineRule="atLeast"/>
              <w:jc w:val="center"/>
              <w:rPr>
                <w:rFonts w:ascii="宋体" w:hAnsi="宋体"/>
                <w:color w:val="auto"/>
                <w:sz w:val="22"/>
                <w:highlight w:val="none"/>
                <w:lang w:val="zh-CN"/>
              </w:rPr>
            </w:pPr>
            <w:r>
              <w:rPr>
                <w:rFonts w:ascii="宋体" w:hAnsi="宋体"/>
                <w:color w:val="auto"/>
                <w:sz w:val="22"/>
                <w:highlight w:val="none"/>
                <w:lang w:val="zh-CN"/>
              </w:rPr>
              <w:t>商务</w:t>
            </w:r>
            <w:r>
              <w:rPr>
                <w:rFonts w:hint="eastAsia" w:ascii="宋体" w:hAnsi="宋体"/>
                <w:color w:val="auto"/>
                <w:sz w:val="22"/>
                <w:highlight w:val="none"/>
                <w:lang w:val="zh-CN"/>
              </w:rPr>
              <w:t>偏离</w:t>
            </w:r>
          </w:p>
        </w:tc>
      </w:tr>
      <w:tr w14:paraId="7E06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vAlign w:val="center"/>
          </w:tcPr>
          <w:p w14:paraId="5BEF4985">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序</w:t>
            </w:r>
            <w:r>
              <w:rPr>
                <w:rFonts w:ascii="宋体" w:hAnsi="宋体"/>
                <w:color w:val="auto"/>
                <w:sz w:val="22"/>
                <w:highlight w:val="none"/>
                <w:lang w:val="zh-CN"/>
              </w:rPr>
              <w:t xml:space="preserve"> </w:t>
            </w:r>
            <w:r>
              <w:rPr>
                <w:rFonts w:hint="eastAsia" w:ascii="宋体" w:hAnsi="宋体"/>
                <w:color w:val="auto"/>
                <w:sz w:val="22"/>
                <w:highlight w:val="none"/>
                <w:lang w:val="zh-CN"/>
              </w:rPr>
              <w:t>号</w:t>
            </w:r>
          </w:p>
        </w:tc>
        <w:tc>
          <w:tcPr>
            <w:tcW w:w="2167" w:type="dxa"/>
            <w:vAlign w:val="center"/>
          </w:tcPr>
          <w:p w14:paraId="3915A286">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内容</w:t>
            </w:r>
          </w:p>
        </w:tc>
        <w:tc>
          <w:tcPr>
            <w:tcW w:w="2167" w:type="dxa"/>
            <w:vAlign w:val="center"/>
          </w:tcPr>
          <w:p w14:paraId="61C36F8D">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磋商文件要求</w:t>
            </w:r>
          </w:p>
        </w:tc>
        <w:tc>
          <w:tcPr>
            <w:tcW w:w="2167" w:type="dxa"/>
            <w:vAlign w:val="center"/>
          </w:tcPr>
          <w:p w14:paraId="0327E6B1">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磋商响应文件对应</w:t>
            </w:r>
          </w:p>
        </w:tc>
        <w:tc>
          <w:tcPr>
            <w:tcW w:w="2168" w:type="dxa"/>
            <w:vAlign w:val="center"/>
          </w:tcPr>
          <w:p w14:paraId="0E15C05B">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备</w:t>
            </w:r>
            <w:r>
              <w:rPr>
                <w:rFonts w:ascii="宋体" w:hAnsi="宋体"/>
                <w:color w:val="auto"/>
                <w:sz w:val="22"/>
                <w:highlight w:val="none"/>
                <w:lang w:val="zh-CN"/>
              </w:rPr>
              <w:t xml:space="preserve"> </w:t>
            </w:r>
            <w:r>
              <w:rPr>
                <w:rFonts w:hint="eastAsia" w:ascii="宋体" w:hAnsi="宋体"/>
                <w:color w:val="auto"/>
                <w:sz w:val="22"/>
                <w:highlight w:val="none"/>
                <w:lang w:val="zh-CN"/>
              </w:rPr>
              <w:t>注</w:t>
            </w:r>
          </w:p>
        </w:tc>
      </w:tr>
      <w:tr w14:paraId="785F4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7A273EEE">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28BD9E59">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600EB97A">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456E54CD">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69E6E053">
            <w:pPr>
              <w:autoSpaceDE w:val="0"/>
              <w:autoSpaceDN w:val="0"/>
              <w:adjustRightInd w:val="0"/>
              <w:spacing w:line="460" w:lineRule="atLeast"/>
              <w:jc w:val="center"/>
              <w:rPr>
                <w:rFonts w:ascii="宋体" w:hAnsi="宋体"/>
                <w:color w:val="auto"/>
                <w:sz w:val="22"/>
                <w:highlight w:val="none"/>
                <w:lang w:val="zh-CN"/>
              </w:rPr>
            </w:pPr>
          </w:p>
        </w:tc>
      </w:tr>
      <w:tr w14:paraId="7001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64B25848">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0972321C">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18FE5222">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62DC8ED4">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7D626938">
            <w:pPr>
              <w:autoSpaceDE w:val="0"/>
              <w:autoSpaceDN w:val="0"/>
              <w:adjustRightInd w:val="0"/>
              <w:spacing w:line="460" w:lineRule="atLeast"/>
              <w:jc w:val="center"/>
              <w:rPr>
                <w:rFonts w:ascii="宋体" w:hAnsi="宋体"/>
                <w:color w:val="auto"/>
                <w:sz w:val="22"/>
                <w:highlight w:val="none"/>
                <w:lang w:val="zh-CN"/>
              </w:rPr>
            </w:pPr>
          </w:p>
        </w:tc>
      </w:tr>
      <w:tr w14:paraId="6C0E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22AFC7D6">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4917DB89">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F2EFCE1">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5FD21FA8">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38F17755">
            <w:pPr>
              <w:autoSpaceDE w:val="0"/>
              <w:autoSpaceDN w:val="0"/>
              <w:adjustRightInd w:val="0"/>
              <w:spacing w:line="460" w:lineRule="atLeast"/>
              <w:jc w:val="center"/>
              <w:rPr>
                <w:rFonts w:ascii="宋体" w:hAnsi="宋体"/>
                <w:color w:val="auto"/>
                <w:sz w:val="22"/>
                <w:highlight w:val="none"/>
                <w:lang w:val="zh-CN"/>
              </w:rPr>
            </w:pPr>
          </w:p>
        </w:tc>
      </w:tr>
      <w:tr w14:paraId="642FA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572F42CB">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7EC57F52">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2E464405">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7B0DB1F0">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15384C55">
            <w:pPr>
              <w:autoSpaceDE w:val="0"/>
              <w:autoSpaceDN w:val="0"/>
              <w:adjustRightInd w:val="0"/>
              <w:spacing w:line="460" w:lineRule="atLeast"/>
              <w:jc w:val="center"/>
              <w:rPr>
                <w:rFonts w:ascii="宋体" w:hAnsi="宋体"/>
                <w:color w:val="auto"/>
                <w:sz w:val="22"/>
                <w:highlight w:val="none"/>
                <w:lang w:val="zh-CN"/>
              </w:rPr>
            </w:pPr>
          </w:p>
        </w:tc>
      </w:tr>
      <w:tr w14:paraId="2793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68C15C06">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55567825">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2613A051">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9C53BB9">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6D9A356E">
            <w:pPr>
              <w:autoSpaceDE w:val="0"/>
              <w:autoSpaceDN w:val="0"/>
              <w:adjustRightInd w:val="0"/>
              <w:spacing w:line="460" w:lineRule="atLeast"/>
              <w:jc w:val="center"/>
              <w:rPr>
                <w:rFonts w:ascii="宋体" w:hAnsi="宋体"/>
                <w:color w:val="auto"/>
                <w:sz w:val="22"/>
                <w:highlight w:val="none"/>
                <w:lang w:val="zh-CN"/>
              </w:rPr>
            </w:pPr>
          </w:p>
        </w:tc>
      </w:tr>
      <w:tr w14:paraId="71AB0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46" w:type="dxa"/>
          </w:tcPr>
          <w:p w14:paraId="3A8CB2B7">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64309869">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2140A45C">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C217882">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1BE377AB">
            <w:pPr>
              <w:autoSpaceDE w:val="0"/>
              <w:autoSpaceDN w:val="0"/>
              <w:adjustRightInd w:val="0"/>
              <w:spacing w:line="460" w:lineRule="atLeast"/>
              <w:jc w:val="center"/>
              <w:rPr>
                <w:rFonts w:ascii="宋体" w:hAnsi="宋体"/>
                <w:color w:val="auto"/>
                <w:sz w:val="22"/>
                <w:highlight w:val="none"/>
                <w:lang w:val="zh-CN"/>
              </w:rPr>
            </w:pPr>
          </w:p>
        </w:tc>
      </w:tr>
      <w:tr w14:paraId="2C4C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9518" w:type="dxa"/>
            <w:gridSpan w:val="5"/>
          </w:tcPr>
          <w:p w14:paraId="5EE4A75C">
            <w:pPr>
              <w:autoSpaceDE w:val="0"/>
              <w:autoSpaceDN w:val="0"/>
              <w:adjustRightInd w:val="0"/>
              <w:spacing w:line="460" w:lineRule="atLeast"/>
              <w:jc w:val="center"/>
              <w:rPr>
                <w:rFonts w:ascii="宋体" w:hAnsi="宋体"/>
                <w:color w:val="auto"/>
                <w:sz w:val="22"/>
                <w:highlight w:val="none"/>
                <w:lang w:val="zh-CN"/>
              </w:rPr>
            </w:pPr>
            <w:r>
              <w:rPr>
                <w:rFonts w:ascii="宋体" w:hAnsi="宋体"/>
                <w:color w:val="auto"/>
                <w:sz w:val="22"/>
                <w:highlight w:val="none"/>
                <w:lang w:val="zh-CN"/>
              </w:rPr>
              <w:t>技术</w:t>
            </w:r>
            <w:r>
              <w:rPr>
                <w:rFonts w:hint="eastAsia" w:ascii="宋体" w:hAnsi="宋体"/>
                <w:color w:val="auto"/>
                <w:sz w:val="22"/>
                <w:highlight w:val="none"/>
                <w:lang w:val="zh-CN"/>
              </w:rPr>
              <w:t>偏离</w:t>
            </w:r>
          </w:p>
        </w:tc>
      </w:tr>
      <w:tr w14:paraId="29139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46" w:type="dxa"/>
            <w:vAlign w:val="center"/>
          </w:tcPr>
          <w:p w14:paraId="7A8E71A2">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序</w:t>
            </w:r>
            <w:r>
              <w:rPr>
                <w:rFonts w:ascii="宋体" w:hAnsi="宋体"/>
                <w:color w:val="auto"/>
                <w:sz w:val="22"/>
                <w:highlight w:val="none"/>
                <w:lang w:val="zh-CN"/>
              </w:rPr>
              <w:t xml:space="preserve"> </w:t>
            </w:r>
            <w:r>
              <w:rPr>
                <w:rFonts w:hint="eastAsia" w:ascii="宋体" w:hAnsi="宋体"/>
                <w:color w:val="auto"/>
                <w:sz w:val="22"/>
                <w:highlight w:val="none"/>
                <w:lang w:val="zh-CN"/>
              </w:rPr>
              <w:t>号</w:t>
            </w:r>
          </w:p>
        </w:tc>
        <w:tc>
          <w:tcPr>
            <w:tcW w:w="2167" w:type="dxa"/>
            <w:vAlign w:val="center"/>
          </w:tcPr>
          <w:p w14:paraId="63DD5F9A">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内容</w:t>
            </w:r>
          </w:p>
        </w:tc>
        <w:tc>
          <w:tcPr>
            <w:tcW w:w="2167" w:type="dxa"/>
            <w:vAlign w:val="center"/>
          </w:tcPr>
          <w:p w14:paraId="23D6E008">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磋商文件要求</w:t>
            </w:r>
          </w:p>
        </w:tc>
        <w:tc>
          <w:tcPr>
            <w:tcW w:w="2167" w:type="dxa"/>
            <w:vAlign w:val="center"/>
          </w:tcPr>
          <w:p w14:paraId="499987D7">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磋商响应文件对应</w:t>
            </w:r>
          </w:p>
        </w:tc>
        <w:tc>
          <w:tcPr>
            <w:tcW w:w="2168" w:type="dxa"/>
            <w:vAlign w:val="center"/>
          </w:tcPr>
          <w:p w14:paraId="5AD30856">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备</w:t>
            </w:r>
            <w:r>
              <w:rPr>
                <w:rFonts w:ascii="宋体" w:hAnsi="宋体"/>
                <w:color w:val="auto"/>
                <w:sz w:val="22"/>
                <w:highlight w:val="none"/>
                <w:lang w:val="zh-CN"/>
              </w:rPr>
              <w:t xml:space="preserve"> </w:t>
            </w:r>
            <w:r>
              <w:rPr>
                <w:rFonts w:hint="eastAsia" w:ascii="宋体" w:hAnsi="宋体"/>
                <w:color w:val="auto"/>
                <w:sz w:val="22"/>
                <w:highlight w:val="none"/>
                <w:lang w:val="zh-CN"/>
              </w:rPr>
              <w:t>注</w:t>
            </w:r>
          </w:p>
        </w:tc>
      </w:tr>
      <w:tr w14:paraId="62FC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2126668F">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121A316">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04DA53F1">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17DB6E13">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1EDC2DDC">
            <w:pPr>
              <w:autoSpaceDE w:val="0"/>
              <w:autoSpaceDN w:val="0"/>
              <w:adjustRightInd w:val="0"/>
              <w:spacing w:line="460" w:lineRule="atLeast"/>
              <w:jc w:val="center"/>
              <w:rPr>
                <w:rFonts w:ascii="宋体" w:hAnsi="宋体"/>
                <w:color w:val="auto"/>
                <w:sz w:val="22"/>
                <w:highlight w:val="none"/>
                <w:lang w:val="zh-CN"/>
              </w:rPr>
            </w:pPr>
          </w:p>
        </w:tc>
      </w:tr>
      <w:tr w14:paraId="70C9C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1499D951">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4C38843A">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0F13852D">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70D0194">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6F7517CF">
            <w:pPr>
              <w:autoSpaceDE w:val="0"/>
              <w:autoSpaceDN w:val="0"/>
              <w:adjustRightInd w:val="0"/>
              <w:spacing w:line="460" w:lineRule="atLeast"/>
              <w:jc w:val="center"/>
              <w:rPr>
                <w:rFonts w:ascii="宋体" w:hAnsi="宋体"/>
                <w:color w:val="auto"/>
                <w:sz w:val="22"/>
                <w:highlight w:val="none"/>
                <w:lang w:val="zh-CN"/>
              </w:rPr>
            </w:pPr>
          </w:p>
        </w:tc>
      </w:tr>
      <w:tr w14:paraId="352AE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7F3C785B">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713CD8F7">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BAED3A5">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5443D022">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1A3127EC">
            <w:pPr>
              <w:autoSpaceDE w:val="0"/>
              <w:autoSpaceDN w:val="0"/>
              <w:adjustRightInd w:val="0"/>
              <w:spacing w:line="460" w:lineRule="atLeast"/>
              <w:jc w:val="center"/>
              <w:rPr>
                <w:rFonts w:ascii="宋体" w:hAnsi="宋体"/>
                <w:color w:val="auto"/>
                <w:sz w:val="22"/>
                <w:highlight w:val="none"/>
                <w:lang w:val="zh-CN"/>
              </w:rPr>
            </w:pPr>
          </w:p>
        </w:tc>
      </w:tr>
      <w:tr w14:paraId="4215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405ED88C">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64D763C7">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2995DB4">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5ECFEF9A">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4D3EA30C">
            <w:pPr>
              <w:autoSpaceDE w:val="0"/>
              <w:autoSpaceDN w:val="0"/>
              <w:adjustRightInd w:val="0"/>
              <w:spacing w:line="460" w:lineRule="atLeast"/>
              <w:jc w:val="center"/>
              <w:rPr>
                <w:rFonts w:ascii="宋体" w:hAnsi="宋体"/>
                <w:color w:val="auto"/>
                <w:sz w:val="22"/>
                <w:highlight w:val="none"/>
                <w:lang w:val="zh-CN"/>
              </w:rPr>
            </w:pPr>
          </w:p>
        </w:tc>
      </w:tr>
      <w:tr w14:paraId="2D1F6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846" w:type="dxa"/>
          </w:tcPr>
          <w:p w14:paraId="57E08396">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35284702">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6C159968">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4B886358">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7622F6B6">
            <w:pPr>
              <w:autoSpaceDE w:val="0"/>
              <w:autoSpaceDN w:val="0"/>
              <w:adjustRightInd w:val="0"/>
              <w:spacing w:line="460" w:lineRule="atLeast"/>
              <w:jc w:val="center"/>
              <w:rPr>
                <w:rFonts w:ascii="宋体" w:hAnsi="宋体"/>
                <w:color w:val="auto"/>
                <w:sz w:val="22"/>
                <w:highlight w:val="none"/>
                <w:lang w:val="zh-CN"/>
              </w:rPr>
            </w:pPr>
          </w:p>
        </w:tc>
      </w:tr>
      <w:tr w14:paraId="4A63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46" w:type="dxa"/>
          </w:tcPr>
          <w:p w14:paraId="34FFBA64">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26458871">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4C603B38">
            <w:pPr>
              <w:autoSpaceDE w:val="0"/>
              <w:autoSpaceDN w:val="0"/>
              <w:adjustRightInd w:val="0"/>
              <w:spacing w:line="460" w:lineRule="atLeast"/>
              <w:jc w:val="center"/>
              <w:rPr>
                <w:rFonts w:ascii="宋体" w:hAnsi="宋体"/>
                <w:color w:val="auto"/>
                <w:sz w:val="22"/>
                <w:highlight w:val="none"/>
                <w:lang w:val="zh-CN"/>
              </w:rPr>
            </w:pPr>
          </w:p>
        </w:tc>
        <w:tc>
          <w:tcPr>
            <w:tcW w:w="2167" w:type="dxa"/>
          </w:tcPr>
          <w:p w14:paraId="22E1E577">
            <w:pPr>
              <w:autoSpaceDE w:val="0"/>
              <w:autoSpaceDN w:val="0"/>
              <w:adjustRightInd w:val="0"/>
              <w:spacing w:line="460" w:lineRule="atLeast"/>
              <w:jc w:val="center"/>
              <w:rPr>
                <w:rFonts w:ascii="宋体" w:hAnsi="宋体"/>
                <w:color w:val="auto"/>
                <w:sz w:val="22"/>
                <w:highlight w:val="none"/>
                <w:lang w:val="zh-CN"/>
              </w:rPr>
            </w:pPr>
          </w:p>
        </w:tc>
        <w:tc>
          <w:tcPr>
            <w:tcW w:w="2168" w:type="dxa"/>
          </w:tcPr>
          <w:p w14:paraId="25009941">
            <w:pPr>
              <w:autoSpaceDE w:val="0"/>
              <w:autoSpaceDN w:val="0"/>
              <w:adjustRightInd w:val="0"/>
              <w:spacing w:line="460" w:lineRule="atLeast"/>
              <w:jc w:val="center"/>
              <w:rPr>
                <w:rFonts w:ascii="宋体" w:hAnsi="宋体"/>
                <w:color w:val="auto"/>
                <w:sz w:val="22"/>
                <w:highlight w:val="none"/>
                <w:lang w:val="zh-CN"/>
              </w:rPr>
            </w:pPr>
          </w:p>
        </w:tc>
      </w:tr>
    </w:tbl>
    <w:p w14:paraId="3B988C0F">
      <w:pPr>
        <w:spacing w:before="120" w:beforeLines="50" w:after="120" w:afterLines="50" w:line="460" w:lineRule="atLeast"/>
        <w:ind w:right="-10"/>
        <w:rPr>
          <w:rFonts w:ascii="宋体" w:hAnsi="宋体"/>
          <w:color w:val="auto"/>
          <w:sz w:val="36"/>
          <w:highlight w:val="none"/>
        </w:rPr>
      </w:pPr>
      <w:r>
        <w:rPr>
          <w:rFonts w:hint="eastAsia" w:ascii="宋体" w:hAnsi="宋体"/>
          <w:color w:val="auto"/>
          <w:sz w:val="22"/>
          <w:szCs w:val="22"/>
          <w:highlight w:val="none"/>
          <w:lang w:val="zh-CN"/>
        </w:rPr>
        <w:t>投标供应商（盖章）：</w:t>
      </w:r>
    </w:p>
    <w:p w14:paraId="646DF77F">
      <w:pPr>
        <w:spacing w:before="120" w:beforeLines="50" w:after="120" w:afterLines="50" w:line="460" w:lineRule="atLeast"/>
        <w:ind w:right="-10"/>
        <w:jc w:val="center"/>
        <w:rPr>
          <w:rFonts w:ascii="宋体" w:hAnsi="宋体"/>
          <w:color w:val="auto"/>
          <w:sz w:val="36"/>
          <w:highlight w:val="none"/>
        </w:rPr>
      </w:pPr>
    </w:p>
    <w:p w14:paraId="4A47EC73">
      <w:pPr>
        <w:spacing w:before="120" w:beforeLines="50" w:after="120" w:afterLines="50" w:line="460" w:lineRule="atLeast"/>
        <w:ind w:right="-10"/>
        <w:jc w:val="center"/>
        <w:rPr>
          <w:rFonts w:ascii="宋体" w:hAnsi="宋体"/>
          <w:color w:val="auto"/>
          <w:sz w:val="36"/>
          <w:highlight w:val="none"/>
        </w:rPr>
      </w:pPr>
    </w:p>
    <w:p w14:paraId="6CB19D33">
      <w:pPr>
        <w:spacing w:before="120" w:beforeLines="50" w:after="120" w:afterLines="50" w:line="460" w:lineRule="atLeast"/>
        <w:ind w:right="-10"/>
        <w:jc w:val="center"/>
        <w:rPr>
          <w:rFonts w:ascii="宋体" w:hAnsi="宋体"/>
          <w:b/>
          <w:color w:val="auto"/>
          <w:sz w:val="36"/>
          <w:highlight w:val="none"/>
        </w:rPr>
      </w:pPr>
    </w:p>
    <w:p w14:paraId="0F9307FE">
      <w:pPr>
        <w:spacing w:before="120" w:beforeLines="50" w:after="120" w:afterLines="50" w:line="460" w:lineRule="atLeast"/>
        <w:ind w:right="-10"/>
        <w:jc w:val="center"/>
        <w:rPr>
          <w:rFonts w:ascii="宋体" w:hAnsi="宋体"/>
          <w:b/>
          <w:color w:val="auto"/>
          <w:sz w:val="36"/>
          <w:highlight w:val="none"/>
        </w:rPr>
      </w:pPr>
    </w:p>
    <w:p w14:paraId="55854CE4">
      <w:pPr>
        <w:spacing w:before="120" w:beforeLines="50" w:after="120" w:afterLines="50" w:line="460" w:lineRule="atLeast"/>
        <w:ind w:right="-10"/>
        <w:jc w:val="center"/>
        <w:rPr>
          <w:rFonts w:ascii="宋体" w:hAnsi="宋体"/>
          <w:b/>
          <w:color w:val="auto"/>
          <w:sz w:val="36"/>
          <w:highlight w:val="none"/>
        </w:rPr>
      </w:pPr>
    </w:p>
    <w:p w14:paraId="73B04A57">
      <w:pPr>
        <w:spacing w:before="120" w:beforeLines="50" w:after="120" w:afterLines="50" w:line="460" w:lineRule="atLeast"/>
        <w:ind w:right="-10"/>
        <w:jc w:val="center"/>
        <w:rPr>
          <w:rFonts w:ascii="宋体" w:hAnsi="宋体"/>
          <w:b/>
          <w:color w:val="auto"/>
          <w:sz w:val="36"/>
          <w:highlight w:val="none"/>
        </w:rPr>
      </w:pPr>
    </w:p>
    <w:p w14:paraId="15EF0ACD">
      <w:pPr>
        <w:spacing w:line="460" w:lineRule="exact"/>
        <w:rPr>
          <w:rFonts w:ascii="宋体" w:hAnsi="宋体"/>
          <w:b/>
          <w:color w:val="auto"/>
          <w:sz w:val="22"/>
          <w:szCs w:val="22"/>
          <w:highlight w:val="none"/>
        </w:rPr>
      </w:pPr>
    </w:p>
    <w:p w14:paraId="28EA5412">
      <w:pPr>
        <w:spacing w:line="460" w:lineRule="exact"/>
        <w:rPr>
          <w:rFonts w:ascii="宋体" w:hAnsi="宋体"/>
          <w:b/>
          <w:color w:val="auto"/>
          <w:sz w:val="22"/>
          <w:szCs w:val="22"/>
          <w:highlight w:val="none"/>
        </w:rPr>
      </w:pPr>
    </w:p>
    <w:p w14:paraId="11D28F3A">
      <w:pPr>
        <w:pStyle w:val="4"/>
        <w:rPr>
          <w:rFonts w:ascii="宋体" w:hAnsi="宋体"/>
          <w:color w:val="auto"/>
          <w:sz w:val="36"/>
          <w:szCs w:val="36"/>
          <w:highlight w:val="none"/>
        </w:rPr>
      </w:pPr>
      <w:r>
        <w:rPr>
          <w:rFonts w:ascii="宋体" w:hAnsi="宋体"/>
          <w:color w:val="auto"/>
          <w:spacing w:val="20"/>
          <w:sz w:val="22"/>
          <w:szCs w:val="22"/>
          <w:highlight w:val="none"/>
        </w:rPr>
        <w:br w:type="page"/>
      </w:r>
      <w:bookmarkStart w:id="100" w:name="_Toc18914"/>
      <w:r>
        <w:rPr>
          <w:rFonts w:hint="eastAsia" w:ascii="宋体" w:hAnsi="宋体"/>
          <w:color w:val="auto"/>
          <w:sz w:val="36"/>
          <w:szCs w:val="36"/>
          <w:highlight w:val="none"/>
        </w:rPr>
        <w:t>第七部分   确定成交供应商办法</w:t>
      </w:r>
      <w:bookmarkEnd w:id="100"/>
    </w:p>
    <w:p w14:paraId="68C163A3">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根据《中华人民共和国政府采购法》等有关政府采购法规，结合本次所要采购服务的实际，按照公平、公正、科学、择优的原则选择成交单位，特制定本评审办法。</w:t>
      </w:r>
    </w:p>
    <w:p w14:paraId="6F30EFB1">
      <w:pPr>
        <w:snapToGrid w:val="0"/>
        <w:spacing w:line="46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一、总则</w:t>
      </w:r>
    </w:p>
    <w:p w14:paraId="7D09068C">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4E271EF1">
      <w:pPr>
        <w:snapToGrid w:val="0"/>
        <w:spacing w:line="46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二、评审组织</w:t>
      </w:r>
    </w:p>
    <w:p w14:paraId="7F159E20">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4FE06638">
      <w:pPr>
        <w:snapToGrid w:val="0"/>
        <w:spacing w:line="460" w:lineRule="atLeast"/>
        <w:jc w:val="center"/>
        <w:rPr>
          <w:rFonts w:ascii="宋体" w:hAnsi="宋体"/>
          <w:color w:val="auto"/>
          <w:sz w:val="22"/>
          <w:szCs w:val="22"/>
          <w:highlight w:val="none"/>
        </w:rPr>
      </w:pPr>
      <w:r>
        <w:rPr>
          <w:rFonts w:hint="eastAsia" w:ascii="宋体" w:hAnsi="宋体"/>
          <w:color w:val="auto"/>
          <w:sz w:val="22"/>
          <w:szCs w:val="22"/>
          <w:highlight w:val="none"/>
        </w:rPr>
        <w:t>三、响应文件递交截止、磋商程序、磋商原则和方式</w:t>
      </w:r>
    </w:p>
    <w:p w14:paraId="06117E97">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具体见本磋商文件第三部分相关内容描述。</w:t>
      </w:r>
    </w:p>
    <w:p w14:paraId="71A8C6E0">
      <w:pPr>
        <w:snapToGrid w:val="0"/>
        <w:spacing w:line="46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四、评分细则</w:t>
      </w:r>
    </w:p>
    <w:p w14:paraId="798D8C76">
      <w:pPr>
        <w:pStyle w:val="26"/>
        <w:adjustRightInd w:val="0"/>
        <w:snapToGrid w:val="0"/>
        <w:spacing w:line="460" w:lineRule="atLeast"/>
        <w:ind w:firstLine="442" w:firstLineChars="200"/>
        <w:rPr>
          <w:rFonts w:hAnsi="宋体"/>
          <w:b/>
          <w:bCs/>
          <w:color w:val="auto"/>
          <w:sz w:val="22"/>
          <w:szCs w:val="22"/>
          <w:highlight w:val="none"/>
        </w:rPr>
      </w:pPr>
      <w:r>
        <w:rPr>
          <w:rFonts w:hint="eastAsia" w:hAnsi="宋体"/>
          <w:b/>
          <w:bCs/>
          <w:color w:val="auto"/>
          <w:sz w:val="22"/>
          <w:szCs w:val="22"/>
          <w:highlight w:val="none"/>
        </w:rPr>
        <w:t xml:space="preserve">一）、报价评分  </w:t>
      </w:r>
      <w:r>
        <w:rPr>
          <w:rFonts w:hAnsi="宋体"/>
          <w:b/>
          <w:bCs/>
          <w:color w:val="auto"/>
          <w:sz w:val="22"/>
          <w:szCs w:val="22"/>
          <w:highlight w:val="none"/>
        </w:rPr>
        <w:t>10</w:t>
      </w:r>
      <w:r>
        <w:rPr>
          <w:rFonts w:hint="eastAsia" w:hAnsi="宋体"/>
          <w:b/>
          <w:bCs/>
          <w:color w:val="auto"/>
          <w:sz w:val="22"/>
          <w:szCs w:val="22"/>
          <w:highlight w:val="none"/>
        </w:rPr>
        <w:t xml:space="preserve">分  </w:t>
      </w:r>
      <w:r>
        <w:rPr>
          <w:rFonts w:hAnsi="宋体"/>
          <w:b/>
          <w:bCs/>
          <w:color w:val="auto"/>
          <w:sz w:val="22"/>
          <w:szCs w:val="22"/>
          <w:highlight w:val="none"/>
        </w:rPr>
        <w:tab/>
      </w:r>
    </w:p>
    <w:p w14:paraId="319F84BE">
      <w:pPr>
        <w:pStyle w:val="26"/>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以满足磋商文件要求且最后报价最低的供应商的价格为磋商基准价，其价格分为满分。其他供应商的价格分统一按照下列公式计算：</w:t>
      </w:r>
    </w:p>
    <w:p w14:paraId="75FE1E3A">
      <w:pPr>
        <w:pStyle w:val="26"/>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磋商报价得分</w:t>
      </w:r>
      <w:r>
        <w:rPr>
          <w:rFonts w:hAnsi="宋体"/>
          <w:color w:val="auto"/>
          <w:sz w:val="22"/>
          <w:szCs w:val="22"/>
          <w:highlight w:val="none"/>
        </w:rPr>
        <w:t>=</w:t>
      </w:r>
      <w:r>
        <w:rPr>
          <w:rFonts w:hint="eastAsia" w:hAnsi="宋体"/>
          <w:color w:val="auto"/>
          <w:sz w:val="22"/>
          <w:szCs w:val="22"/>
          <w:highlight w:val="none"/>
        </w:rPr>
        <w:t>（磋商基准价</w:t>
      </w:r>
      <w:r>
        <w:rPr>
          <w:rFonts w:hAnsi="宋体"/>
          <w:color w:val="auto"/>
          <w:sz w:val="22"/>
          <w:szCs w:val="22"/>
          <w:highlight w:val="none"/>
        </w:rPr>
        <w:t>/</w:t>
      </w:r>
      <w:r>
        <w:rPr>
          <w:rFonts w:hint="eastAsia" w:hAnsi="宋体"/>
          <w:color w:val="auto"/>
          <w:sz w:val="22"/>
          <w:szCs w:val="22"/>
          <w:highlight w:val="none"/>
        </w:rPr>
        <w:t>最后磋商报价）×</w:t>
      </w:r>
      <w:r>
        <w:rPr>
          <w:rFonts w:hAnsi="宋体"/>
          <w:color w:val="auto"/>
          <w:sz w:val="22"/>
          <w:szCs w:val="22"/>
          <w:highlight w:val="none"/>
        </w:rPr>
        <w:t>1</w:t>
      </w:r>
      <w:r>
        <w:rPr>
          <w:rFonts w:hint="eastAsia" w:hAnsi="宋体"/>
          <w:color w:val="auto"/>
          <w:sz w:val="22"/>
          <w:szCs w:val="22"/>
          <w:highlight w:val="none"/>
        </w:rPr>
        <w:t>0%×</w:t>
      </w:r>
      <w:r>
        <w:rPr>
          <w:rFonts w:hAnsi="宋体"/>
          <w:color w:val="auto"/>
          <w:sz w:val="22"/>
          <w:szCs w:val="22"/>
          <w:highlight w:val="none"/>
        </w:rPr>
        <w:t>100</w:t>
      </w:r>
    </w:p>
    <w:p w14:paraId="6CD44376">
      <w:pPr>
        <w:pStyle w:val="26"/>
        <w:numPr>
          <w:ilvl w:val="0"/>
          <w:numId w:val="6"/>
        </w:numPr>
        <w:adjustRightInd w:val="0"/>
        <w:snapToGrid w:val="0"/>
        <w:spacing w:line="460" w:lineRule="atLeast"/>
        <w:ind w:firstLine="450"/>
        <w:rPr>
          <w:rFonts w:hint="eastAsia" w:cs="Arial Unicode MS"/>
          <w:b/>
          <w:bCs/>
          <w:color w:val="auto"/>
          <w:sz w:val="22"/>
          <w:szCs w:val="22"/>
          <w:highlight w:val="none"/>
        </w:rPr>
      </w:pPr>
      <w:r>
        <w:rPr>
          <w:rFonts w:hint="eastAsia" w:cs="Arial Unicode MS"/>
          <w:b/>
          <w:bCs/>
          <w:color w:val="auto"/>
          <w:sz w:val="22"/>
          <w:szCs w:val="22"/>
          <w:highlight w:val="none"/>
        </w:rPr>
        <w:t xml:space="preserve">、商务、技术综合评分 </w:t>
      </w:r>
      <w:r>
        <w:rPr>
          <w:rFonts w:cs="Arial Unicode MS"/>
          <w:b/>
          <w:bCs/>
          <w:color w:val="auto"/>
          <w:sz w:val="22"/>
          <w:szCs w:val="22"/>
          <w:highlight w:val="none"/>
        </w:rPr>
        <w:t>9</w:t>
      </w:r>
      <w:r>
        <w:rPr>
          <w:rFonts w:hint="eastAsia" w:cs="Arial Unicode MS"/>
          <w:b/>
          <w:bCs/>
          <w:color w:val="auto"/>
          <w:sz w:val="22"/>
          <w:szCs w:val="22"/>
          <w:highlight w:val="none"/>
        </w:rPr>
        <w:t>0分</w:t>
      </w:r>
    </w:p>
    <w:tbl>
      <w:tblPr>
        <w:tblStyle w:val="46"/>
        <w:tblW w:w="4989" w:type="pct"/>
        <w:tblInd w:w="0" w:type="dxa"/>
        <w:tblLayout w:type="autofit"/>
        <w:tblCellMar>
          <w:top w:w="0" w:type="dxa"/>
          <w:left w:w="108" w:type="dxa"/>
          <w:bottom w:w="0" w:type="dxa"/>
          <w:right w:w="108" w:type="dxa"/>
        </w:tblCellMar>
      </w:tblPr>
      <w:tblGrid>
        <w:gridCol w:w="667"/>
        <w:gridCol w:w="1633"/>
        <w:gridCol w:w="6591"/>
        <w:gridCol w:w="942"/>
      </w:tblGrid>
      <w:tr w14:paraId="738BDE9B">
        <w:tblPrEx>
          <w:tblCellMar>
            <w:top w:w="0" w:type="dxa"/>
            <w:left w:w="108" w:type="dxa"/>
            <w:bottom w:w="0" w:type="dxa"/>
            <w:right w:w="108" w:type="dxa"/>
          </w:tblCellMar>
        </w:tblPrEx>
        <w:trPr>
          <w:trHeight w:val="485"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13E4">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E21A">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评分项目</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F49D">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评分标准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72B9">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分值</w:t>
            </w:r>
          </w:p>
        </w:tc>
      </w:tr>
      <w:tr w14:paraId="6947A8AC">
        <w:tblPrEx>
          <w:tblCellMar>
            <w:top w:w="0" w:type="dxa"/>
            <w:left w:w="108" w:type="dxa"/>
            <w:bottom w:w="0" w:type="dxa"/>
            <w:right w:w="108" w:type="dxa"/>
          </w:tblCellMar>
        </w:tblPrEx>
        <w:trPr>
          <w:trHeight w:val="11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E7FC">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DE65">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对项目的理解与需求分析</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E2B4">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对本项目的建设目标、业务协同、数据共享、系统性能和网络安全等方面的需求分析和项目建设的重要性等方面的理解是否准确、到位等情况进行</w:t>
            </w:r>
            <w:r>
              <w:rPr>
                <w:rFonts w:hint="eastAsia" w:ascii="新宋体" w:hAnsi="新宋体" w:eastAsia="新宋体" w:cs="新宋体"/>
                <w:color w:val="auto"/>
                <w:kern w:val="0"/>
                <w:sz w:val="22"/>
                <w:szCs w:val="22"/>
                <w:lang w:val="en-US" w:eastAsia="zh-CN" w:bidi="ar"/>
              </w:rPr>
              <w:t>量化打分（评分范围：5,3,1,0）</w:t>
            </w:r>
            <w:r>
              <w:rPr>
                <w:rFonts w:hint="eastAsia" w:ascii="新宋体" w:hAnsi="新宋体" w:eastAsia="新宋体" w:cs="新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CBA5">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0-</w:t>
            </w:r>
            <w:r>
              <w:rPr>
                <w:rFonts w:hint="eastAsia" w:ascii="新宋体" w:hAnsi="新宋体" w:eastAsia="新宋体" w:cs="新宋体"/>
                <w:color w:val="auto"/>
                <w:kern w:val="0"/>
                <w:sz w:val="22"/>
                <w:szCs w:val="22"/>
                <w:lang w:val="en-US" w:eastAsia="zh-CN" w:bidi="ar"/>
              </w:rPr>
              <w:t>5</w:t>
            </w:r>
          </w:p>
        </w:tc>
      </w:tr>
      <w:tr w14:paraId="21A3848B">
        <w:tblPrEx>
          <w:tblCellMar>
            <w:top w:w="0" w:type="dxa"/>
            <w:left w:w="108" w:type="dxa"/>
            <w:bottom w:w="0" w:type="dxa"/>
            <w:right w:w="108" w:type="dxa"/>
          </w:tblCellMar>
        </w:tblPrEx>
        <w:trPr>
          <w:trHeight w:val="995"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AA6F">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2934">
            <w:pPr>
              <w:widowControl/>
              <w:jc w:val="center"/>
              <w:textAlignment w:val="center"/>
              <w:rPr>
                <w:rFonts w:hint="eastAsia" w:ascii="新宋体" w:hAnsi="新宋体" w:eastAsia="宋体" w:cs="新宋体"/>
                <w:color w:val="auto"/>
                <w:kern w:val="0"/>
                <w:sz w:val="22"/>
                <w:szCs w:val="22"/>
                <w:lang w:val="en-US" w:eastAsia="zh-CN" w:bidi="ar"/>
              </w:rPr>
            </w:pPr>
            <w:r>
              <w:rPr>
                <w:rFonts w:hint="eastAsia" w:ascii="宋体" w:hAnsi="宋体" w:eastAsia="宋体" w:cs="宋体"/>
                <w:b w:val="0"/>
                <w:bCs/>
                <w:color w:val="auto"/>
                <w:sz w:val="22"/>
                <w:szCs w:val="22"/>
              </w:rPr>
              <w:t>项目的重难点</w:t>
            </w:r>
            <w:r>
              <w:rPr>
                <w:rFonts w:hint="eastAsia" w:ascii="宋体" w:hAnsi="宋体" w:eastAsia="宋体" w:cs="宋体"/>
                <w:b w:val="0"/>
                <w:bCs/>
                <w:color w:val="auto"/>
                <w:sz w:val="22"/>
                <w:szCs w:val="22"/>
                <w:lang w:val="en-US" w:eastAsia="zh-CN"/>
              </w:rPr>
              <w:t>分析</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CCDE">
            <w:pPr>
              <w:widowControl/>
              <w:jc w:val="left"/>
              <w:textAlignment w:val="center"/>
              <w:rPr>
                <w:rFonts w:hint="default" w:ascii="新宋体" w:hAnsi="新宋体" w:eastAsia="宋体" w:cs="新宋体"/>
                <w:color w:val="auto"/>
                <w:kern w:val="0"/>
                <w:sz w:val="22"/>
                <w:szCs w:val="22"/>
                <w:lang w:val="en-US" w:eastAsia="zh-CN" w:bidi="ar"/>
              </w:rPr>
            </w:pPr>
            <w:r>
              <w:rPr>
                <w:rFonts w:hint="eastAsia" w:ascii="新宋体" w:hAnsi="新宋体" w:eastAsia="新宋体" w:cs="新宋体"/>
                <w:color w:val="auto"/>
                <w:kern w:val="0"/>
                <w:sz w:val="22"/>
                <w:szCs w:val="22"/>
                <w:lang w:val="en-US" w:eastAsia="zh-CN" w:bidi="ar"/>
              </w:rPr>
              <w:t>根据供应商</w:t>
            </w:r>
            <w:r>
              <w:rPr>
                <w:rFonts w:hint="eastAsia" w:ascii="新宋体" w:hAnsi="新宋体" w:eastAsia="新宋体" w:cs="新宋体"/>
                <w:color w:val="auto"/>
                <w:kern w:val="0"/>
                <w:sz w:val="22"/>
                <w:szCs w:val="22"/>
                <w:lang w:bidi="ar"/>
              </w:rPr>
              <w:t>对本项目</w:t>
            </w:r>
            <w:r>
              <w:rPr>
                <w:rFonts w:hint="eastAsia" w:ascii="宋体" w:hAnsi="宋体" w:eastAsia="宋体" w:cs="宋体"/>
                <w:b w:val="0"/>
                <w:bCs/>
                <w:color w:val="auto"/>
                <w:sz w:val="22"/>
                <w:szCs w:val="22"/>
              </w:rPr>
              <w:t>重难点</w:t>
            </w:r>
            <w:r>
              <w:rPr>
                <w:rFonts w:hint="eastAsia" w:ascii="宋体" w:hAnsi="宋体" w:eastAsia="宋体" w:cs="宋体"/>
                <w:b w:val="0"/>
                <w:bCs/>
                <w:color w:val="auto"/>
                <w:sz w:val="22"/>
                <w:szCs w:val="22"/>
                <w:lang w:val="en-US" w:eastAsia="zh-CN"/>
              </w:rPr>
              <w:t>分析情况，并提出解决方案情况，合理性、适应性和可操作性进行</w:t>
            </w:r>
            <w:r>
              <w:rPr>
                <w:rFonts w:hint="eastAsia" w:ascii="新宋体" w:hAnsi="新宋体" w:eastAsia="新宋体" w:cs="新宋体"/>
                <w:color w:val="auto"/>
                <w:kern w:val="0"/>
                <w:sz w:val="22"/>
                <w:szCs w:val="22"/>
                <w:lang w:val="en-US" w:eastAsia="zh-CN" w:bidi="ar"/>
              </w:rPr>
              <w:t>量化打分（评分范围：5,3,1,0）。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9FE9">
            <w:pPr>
              <w:widowControl/>
              <w:jc w:val="center"/>
              <w:textAlignment w:val="center"/>
              <w:rPr>
                <w:rFonts w:hint="eastAsia" w:ascii="新宋体" w:hAnsi="新宋体" w:eastAsia="新宋体" w:cs="新宋体"/>
                <w:color w:val="auto"/>
                <w:kern w:val="0"/>
                <w:sz w:val="22"/>
                <w:szCs w:val="22"/>
                <w:lang w:val="en-US" w:eastAsia="zh-CN" w:bidi="ar"/>
              </w:rPr>
            </w:pPr>
            <w:r>
              <w:rPr>
                <w:rFonts w:hint="eastAsia" w:ascii="新宋体" w:hAnsi="新宋体" w:eastAsia="新宋体" w:cs="新宋体"/>
                <w:color w:val="auto"/>
                <w:kern w:val="0"/>
                <w:sz w:val="22"/>
                <w:szCs w:val="22"/>
                <w:lang w:bidi="ar"/>
              </w:rPr>
              <w:t>0-</w:t>
            </w:r>
            <w:r>
              <w:rPr>
                <w:rFonts w:hint="eastAsia" w:ascii="新宋体" w:hAnsi="新宋体" w:eastAsia="新宋体" w:cs="新宋体"/>
                <w:color w:val="auto"/>
                <w:kern w:val="0"/>
                <w:sz w:val="22"/>
                <w:szCs w:val="22"/>
                <w:lang w:val="en-US" w:eastAsia="zh-CN" w:bidi="ar"/>
              </w:rPr>
              <w:t>5</w:t>
            </w:r>
          </w:p>
        </w:tc>
      </w:tr>
      <w:tr w14:paraId="6F977C92">
        <w:tblPrEx>
          <w:tblCellMar>
            <w:top w:w="0" w:type="dxa"/>
            <w:left w:w="108" w:type="dxa"/>
            <w:bottom w:w="0" w:type="dxa"/>
            <w:right w:w="108" w:type="dxa"/>
          </w:tblCellMar>
        </w:tblPrEx>
        <w:trPr>
          <w:trHeight w:val="995"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6E51">
            <w:pPr>
              <w:widowControl/>
              <w:jc w:val="center"/>
              <w:textAlignment w:val="center"/>
              <w:rPr>
                <w:rFonts w:hint="eastAsia" w:ascii="新宋体" w:hAnsi="新宋体" w:eastAsia="新宋体" w:cs="新宋体"/>
                <w:color w:val="auto"/>
                <w:kern w:val="0"/>
                <w:sz w:val="22"/>
                <w:szCs w:val="22"/>
                <w:lang w:val="en-US" w:eastAsia="zh-CN" w:bidi="ar"/>
              </w:rPr>
            </w:pPr>
            <w:r>
              <w:rPr>
                <w:rFonts w:hint="eastAsia" w:ascii="新宋体" w:hAnsi="新宋体" w:eastAsia="新宋体" w:cs="新宋体"/>
                <w:color w:val="auto"/>
                <w:kern w:val="0"/>
                <w:sz w:val="22"/>
                <w:szCs w:val="22"/>
                <w:lang w:val="en-US" w:eastAsia="zh-CN"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DDAA">
            <w:pPr>
              <w:widowControl/>
              <w:jc w:val="center"/>
              <w:textAlignment w:val="center"/>
              <w:rPr>
                <w:rFonts w:hint="eastAsia" w:ascii="新宋体" w:hAnsi="新宋体" w:eastAsia="新宋体" w:cs="新宋体"/>
                <w:color w:val="auto"/>
                <w:kern w:val="2"/>
                <w:sz w:val="22"/>
                <w:szCs w:val="22"/>
                <w:lang w:val="en-US" w:eastAsia="zh-CN" w:bidi="ar-SA"/>
              </w:rPr>
            </w:pPr>
            <w:r>
              <w:rPr>
                <w:rFonts w:hint="eastAsia" w:ascii="新宋体" w:hAnsi="新宋体" w:eastAsia="新宋体" w:cs="新宋体"/>
                <w:color w:val="auto"/>
                <w:kern w:val="0"/>
                <w:sz w:val="22"/>
                <w:szCs w:val="22"/>
                <w:lang w:bidi="ar"/>
              </w:rPr>
              <w:t>总体设计方案</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6CA1">
            <w:pPr>
              <w:widowControl/>
              <w:jc w:val="left"/>
              <w:textAlignment w:val="center"/>
              <w:rPr>
                <w:rFonts w:hint="default" w:ascii="新宋体" w:hAnsi="新宋体" w:eastAsia="新宋体" w:cs="新宋体"/>
                <w:color w:val="auto"/>
                <w:kern w:val="2"/>
                <w:sz w:val="22"/>
                <w:szCs w:val="22"/>
                <w:lang w:val="en-US" w:eastAsia="zh-CN" w:bidi="ar-SA"/>
              </w:rPr>
            </w:pPr>
            <w:r>
              <w:rPr>
                <w:rFonts w:hint="eastAsia" w:ascii="新宋体" w:hAnsi="新宋体" w:eastAsia="新宋体" w:cs="新宋体"/>
                <w:color w:val="auto"/>
                <w:kern w:val="0"/>
                <w:sz w:val="22"/>
                <w:szCs w:val="22"/>
                <w:lang w:bidi="ar"/>
              </w:rPr>
              <w:t>对项目建设原则、总体架构设计、网络架构设计的科学性、先进性、合理性进行</w:t>
            </w:r>
            <w:r>
              <w:rPr>
                <w:rFonts w:hint="eastAsia" w:ascii="新宋体" w:hAnsi="新宋体" w:eastAsia="新宋体" w:cs="新宋体"/>
                <w:color w:val="auto"/>
                <w:kern w:val="0"/>
                <w:sz w:val="22"/>
                <w:szCs w:val="22"/>
                <w:lang w:val="en-US" w:eastAsia="zh-CN" w:bidi="ar"/>
              </w:rPr>
              <w:t>量化打分（评分范围：6,4,2,0）</w:t>
            </w:r>
            <w:r>
              <w:rPr>
                <w:rFonts w:hint="eastAsia" w:ascii="新宋体" w:hAnsi="新宋体" w:eastAsia="新宋体" w:cs="新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4137">
            <w:pPr>
              <w:widowControl/>
              <w:jc w:val="center"/>
              <w:textAlignment w:val="center"/>
              <w:rPr>
                <w:rFonts w:hint="eastAsia" w:ascii="新宋体" w:hAnsi="新宋体" w:eastAsia="新宋体" w:cs="新宋体"/>
                <w:color w:val="auto"/>
                <w:kern w:val="2"/>
                <w:sz w:val="22"/>
                <w:szCs w:val="22"/>
                <w:lang w:val="en-US" w:eastAsia="zh-CN" w:bidi="ar-SA"/>
              </w:rPr>
            </w:pPr>
            <w:r>
              <w:rPr>
                <w:rFonts w:hint="eastAsia" w:ascii="新宋体" w:hAnsi="新宋体" w:eastAsia="新宋体" w:cs="新宋体"/>
                <w:color w:val="auto"/>
                <w:kern w:val="0"/>
                <w:sz w:val="22"/>
                <w:szCs w:val="22"/>
                <w:lang w:bidi="ar"/>
              </w:rPr>
              <w:t>0-</w:t>
            </w:r>
            <w:r>
              <w:rPr>
                <w:rFonts w:hint="eastAsia" w:ascii="新宋体" w:hAnsi="新宋体" w:eastAsia="新宋体" w:cs="新宋体"/>
                <w:color w:val="auto"/>
                <w:kern w:val="0"/>
                <w:sz w:val="22"/>
                <w:szCs w:val="22"/>
                <w:lang w:val="en-US" w:eastAsia="zh-CN" w:bidi="ar"/>
              </w:rPr>
              <w:t>6</w:t>
            </w:r>
          </w:p>
        </w:tc>
      </w:tr>
      <w:tr w14:paraId="496A3961">
        <w:tblPrEx>
          <w:tblCellMar>
            <w:top w:w="0" w:type="dxa"/>
            <w:left w:w="108" w:type="dxa"/>
            <w:bottom w:w="0" w:type="dxa"/>
            <w:right w:w="108" w:type="dxa"/>
          </w:tblCellMar>
        </w:tblPrEx>
        <w:trPr>
          <w:trHeight w:val="8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6792">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val="en-US" w:eastAsia="zh-CN" w:bidi="ar"/>
              </w:rPr>
              <w:t>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BC2E">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对风险态势电子沙盘应用场景的理解与需求分析</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2FAE">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w:t>
            </w:r>
            <w:r>
              <w:rPr>
                <w:rFonts w:hint="eastAsia" w:ascii="宋体" w:hAnsi="宋体" w:cs="宋体"/>
                <w:color w:val="auto"/>
                <w:kern w:val="0"/>
                <w:szCs w:val="21"/>
                <w:lang w:bidi="ar"/>
              </w:rPr>
              <w:t>风险态势电子沙盘应用场景</w:t>
            </w:r>
            <w:r>
              <w:rPr>
                <w:rFonts w:hint="eastAsia" w:ascii="新宋体" w:hAnsi="新宋体" w:eastAsia="新宋体" w:cs="新宋体"/>
                <w:color w:val="auto"/>
                <w:kern w:val="0"/>
                <w:sz w:val="22"/>
                <w:szCs w:val="22"/>
                <w:lang w:bidi="ar"/>
              </w:rPr>
              <w:t>业务逻辑、功能理解、原型设计的合理性、完整性、可实现性进行</w:t>
            </w:r>
            <w:r>
              <w:rPr>
                <w:rFonts w:hint="eastAsia" w:ascii="新宋体" w:hAnsi="新宋体" w:eastAsia="新宋体" w:cs="新宋体"/>
                <w:color w:val="auto"/>
                <w:kern w:val="0"/>
                <w:sz w:val="22"/>
                <w:szCs w:val="22"/>
                <w:lang w:val="en-US" w:eastAsia="zh-CN" w:bidi="ar"/>
              </w:rPr>
              <w:t>（评分范围：6,4,2,0）</w:t>
            </w:r>
            <w:r>
              <w:rPr>
                <w:rFonts w:hint="eastAsia" w:ascii="新宋体" w:hAnsi="新宋体" w:eastAsia="新宋体" w:cs="新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F749">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0-</w:t>
            </w:r>
            <w:r>
              <w:rPr>
                <w:rFonts w:hint="eastAsia" w:ascii="新宋体" w:hAnsi="新宋体" w:eastAsia="新宋体" w:cs="新宋体"/>
                <w:color w:val="auto"/>
                <w:kern w:val="0"/>
                <w:sz w:val="22"/>
                <w:szCs w:val="22"/>
                <w:lang w:val="en-US" w:eastAsia="zh-CN" w:bidi="ar"/>
              </w:rPr>
              <w:t>6</w:t>
            </w:r>
          </w:p>
        </w:tc>
      </w:tr>
      <w:tr w14:paraId="08E9AF5A">
        <w:tblPrEx>
          <w:tblCellMar>
            <w:top w:w="0" w:type="dxa"/>
            <w:left w:w="108" w:type="dxa"/>
            <w:bottom w:w="0" w:type="dxa"/>
            <w:right w:w="108" w:type="dxa"/>
          </w:tblCellMar>
        </w:tblPrEx>
        <w:trPr>
          <w:trHeight w:val="8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468F">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val="en-US" w:eastAsia="zh-CN" w:bidi="ar"/>
              </w:rPr>
              <w:t>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61AF">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对巨灾保险指数触发在线应用场景的理解与需求分析</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408E">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w:t>
            </w:r>
            <w:r>
              <w:rPr>
                <w:rFonts w:hint="eastAsia" w:ascii="宋体" w:hAnsi="宋体" w:cs="宋体"/>
                <w:color w:val="auto"/>
                <w:kern w:val="0"/>
                <w:szCs w:val="21"/>
                <w:lang w:bidi="ar"/>
              </w:rPr>
              <w:t>巨灾保险指数触发在线应用场景</w:t>
            </w:r>
            <w:r>
              <w:rPr>
                <w:rFonts w:hint="eastAsia" w:ascii="新宋体" w:hAnsi="新宋体" w:eastAsia="新宋体" w:cs="新宋体"/>
                <w:color w:val="auto"/>
                <w:kern w:val="0"/>
                <w:sz w:val="22"/>
                <w:szCs w:val="22"/>
                <w:lang w:bidi="ar"/>
              </w:rPr>
              <w:t>业务逻辑、功能理解、原型设计的合理性、完整性、可实现性进行</w:t>
            </w:r>
            <w:r>
              <w:rPr>
                <w:rFonts w:hint="eastAsia" w:ascii="新宋体" w:hAnsi="新宋体" w:eastAsia="新宋体" w:cs="新宋体"/>
                <w:color w:val="auto"/>
                <w:kern w:val="0"/>
                <w:sz w:val="22"/>
                <w:szCs w:val="22"/>
                <w:lang w:val="en-US" w:eastAsia="zh-CN" w:bidi="ar"/>
              </w:rPr>
              <w:t>（评分范围：6,4,2,0）</w:t>
            </w:r>
            <w:r>
              <w:rPr>
                <w:rFonts w:hint="eastAsia" w:ascii="新宋体" w:hAnsi="新宋体" w:eastAsia="新宋体" w:cs="新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6740">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0-</w:t>
            </w:r>
            <w:r>
              <w:rPr>
                <w:rFonts w:hint="eastAsia" w:ascii="新宋体" w:hAnsi="新宋体" w:eastAsia="新宋体" w:cs="新宋体"/>
                <w:color w:val="auto"/>
                <w:kern w:val="0"/>
                <w:sz w:val="22"/>
                <w:szCs w:val="22"/>
                <w:lang w:val="en-US" w:eastAsia="zh-CN" w:bidi="ar"/>
              </w:rPr>
              <w:t>6</w:t>
            </w:r>
          </w:p>
        </w:tc>
      </w:tr>
      <w:tr w14:paraId="5A32D845">
        <w:tblPrEx>
          <w:tblCellMar>
            <w:top w:w="0" w:type="dxa"/>
            <w:left w:w="108" w:type="dxa"/>
            <w:bottom w:w="0" w:type="dxa"/>
            <w:right w:w="108" w:type="dxa"/>
          </w:tblCellMar>
        </w:tblPrEx>
        <w:trPr>
          <w:trHeight w:val="7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B7B6">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0525">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信息安全建设方案</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63C2">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对系统应用安全、网络环境保密措施、数据安全、等保测试方面进行</w:t>
            </w:r>
            <w:r>
              <w:rPr>
                <w:rFonts w:hint="eastAsia" w:ascii="新宋体" w:hAnsi="新宋体" w:eastAsia="新宋体" w:cs="新宋体"/>
                <w:color w:val="auto"/>
                <w:kern w:val="0"/>
                <w:sz w:val="22"/>
                <w:szCs w:val="22"/>
                <w:lang w:val="en-US" w:eastAsia="zh-CN" w:bidi="ar"/>
              </w:rPr>
              <w:t>量化打分（评分范围：5,3,1,0）</w:t>
            </w:r>
            <w:r>
              <w:rPr>
                <w:rFonts w:hint="eastAsia" w:ascii="新宋体" w:hAnsi="新宋体" w:eastAsia="新宋体" w:cs="新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038E">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0-</w:t>
            </w:r>
            <w:r>
              <w:rPr>
                <w:rFonts w:hint="eastAsia" w:ascii="新宋体" w:hAnsi="新宋体" w:eastAsia="新宋体" w:cs="新宋体"/>
                <w:color w:val="auto"/>
                <w:kern w:val="0"/>
                <w:sz w:val="22"/>
                <w:szCs w:val="22"/>
                <w:lang w:val="en-US" w:eastAsia="zh-CN" w:bidi="ar"/>
              </w:rPr>
              <w:t>5</w:t>
            </w:r>
          </w:p>
        </w:tc>
      </w:tr>
      <w:tr w14:paraId="1A84E04C">
        <w:tblPrEx>
          <w:tblCellMar>
            <w:top w:w="0" w:type="dxa"/>
            <w:left w:w="108" w:type="dxa"/>
            <w:bottom w:w="0" w:type="dxa"/>
            <w:right w:w="108" w:type="dxa"/>
          </w:tblCellMar>
        </w:tblPrEx>
        <w:trPr>
          <w:trHeight w:val="335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5EB2">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3FAD">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项目实施方案</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479E">
            <w:pPr>
              <w:widowControl/>
              <w:numPr>
                <w:ilvl w:val="0"/>
                <w:numId w:val="7"/>
              </w:numPr>
              <w:textAlignment w:val="center"/>
              <w:rPr>
                <w:rFonts w:hint="eastAsia" w:ascii="新宋体" w:hAnsi="新宋体" w:eastAsia="新宋体" w:cs="新宋体"/>
                <w:color w:val="auto"/>
                <w:kern w:val="0"/>
                <w:sz w:val="22"/>
                <w:szCs w:val="22"/>
                <w:lang w:bidi="ar"/>
              </w:rPr>
            </w:pPr>
            <w:r>
              <w:rPr>
                <w:rFonts w:hint="eastAsia" w:ascii="新宋体" w:hAnsi="新宋体" w:eastAsia="新宋体" w:cs="新宋体"/>
                <w:color w:val="auto"/>
                <w:kern w:val="0"/>
                <w:sz w:val="22"/>
                <w:szCs w:val="22"/>
                <w:lang w:bidi="ar"/>
              </w:rPr>
              <w:t>项目实施进度计划及相应的进度保障措施是否科学合理，能否满足项目建设需求，综合评价</w:t>
            </w:r>
            <w:r>
              <w:rPr>
                <w:rFonts w:hint="eastAsia" w:ascii="新宋体" w:hAnsi="新宋体" w:eastAsia="新宋体" w:cs="新宋体"/>
                <w:color w:val="auto"/>
                <w:kern w:val="0"/>
                <w:sz w:val="22"/>
                <w:szCs w:val="22"/>
                <w:lang w:val="en-US" w:eastAsia="zh-CN" w:bidi="ar"/>
              </w:rPr>
              <w:t>量化打分（评分范围：3,2,1,0）</w:t>
            </w:r>
            <w:r>
              <w:rPr>
                <w:rFonts w:hint="eastAsia" w:ascii="新宋体" w:hAnsi="新宋体" w:eastAsia="新宋体" w:cs="新宋体"/>
                <w:color w:val="auto"/>
                <w:kern w:val="0"/>
                <w:sz w:val="22"/>
                <w:szCs w:val="22"/>
                <w:lang w:bidi="ar"/>
              </w:rPr>
              <w:t>。</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2、项目质量保障措施是否科学合理，能否满足项目建设需求，综合评价</w:t>
            </w:r>
            <w:r>
              <w:rPr>
                <w:rFonts w:hint="eastAsia" w:ascii="新宋体" w:hAnsi="新宋体" w:eastAsia="新宋体" w:cs="新宋体"/>
                <w:color w:val="auto"/>
                <w:kern w:val="0"/>
                <w:sz w:val="22"/>
                <w:szCs w:val="22"/>
                <w:lang w:val="en-US" w:eastAsia="zh-CN" w:bidi="ar"/>
              </w:rPr>
              <w:t>量化打分（评分范围：3,2,1,0）</w:t>
            </w:r>
            <w:r>
              <w:rPr>
                <w:rFonts w:hint="eastAsia" w:ascii="新宋体" w:hAnsi="新宋体" w:eastAsia="新宋体" w:cs="新宋体"/>
                <w:color w:val="auto"/>
                <w:kern w:val="0"/>
                <w:sz w:val="22"/>
                <w:szCs w:val="22"/>
                <w:lang w:bidi="ar"/>
              </w:rPr>
              <w:t>。</w:t>
            </w:r>
          </w:p>
          <w:p w14:paraId="673BDD19">
            <w:pPr>
              <w:widowControl/>
              <w:numPr>
                <w:ilvl w:val="-1"/>
                <w:numId w:val="0"/>
              </w:numP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val="en-US" w:eastAsia="zh-CN" w:bidi="ar"/>
              </w:rPr>
              <w:t>3、</w:t>
            </w:r>
            <w:r>
              <w:rPr>
                <w:rFonts w:hint="eastAsia" w:ascii="新宋体" w:hAnsi="新宋体" w:eastAsia="新宋体" w:cs="新宋体"/>
                <w:color w:val="auto"/>
                <w:kern w:val="0"/>
                <w:sz w:val="22"/>
                <w:szCs w:val="22"/>
                <w:lang w:bidi="ar"/>
              </w:rPr>
              <w:t>针对本项目的</w:t>
            </w:r>
            <w:r>
              <w:rPr>
                <w:rFonts w:hint="eastAsia" w:ascii="新宋体" w:hAnsi="新宋体" w:eastAsia="新宋体" w:cs="新宋体"/>
                <w:color w:val="auto"/>
                <w:kern w:val="0"/>
                <w:sz w:val="22"/>
                <w:szCs w:val="22"/>
                <w:lang w:val="en-US" w:eastAsia="zh-CN" w:bidi="ar"/>
              </w:rPr>
              <w:t>培训方案（包括培训需求、培训目标和具体方案等）</w:t>
            </w:r>
            <w:r>
              <w:rPr>
                <w:rFonts w:hint="eastAsia" w:ascii="宋体" w:hAnsi="宋体" w:cs="宋体"/>
                <w:color w:val="auto"/>
                <w:sz w:val="22"/>
                <w:szCs w:val="22"/>
                <w:highlight w:val="none"/>
              </w:rPr>
              <w:t>合理性综合</w:t>
            </w:r>
            <w:r>
              <w:rPr>
                <w:rFonts w:hint="eastAsia" w:ascii="新宋体" w:hAnsi="新宋体" w:eastAsia="新宋体" w:cs="新宋体"/>
                <w:color w:val="auto"/>
                <w:kern w:val="0"/>
                <w:sz w:val="22"/>
                <w:szCs w:val="22"/>
                <w:lang w:val="en-US" w:eastAsia="zh-CN" w:bidi="ar"/>
              </w:rPr>
              <w:t>量化打分（评分范围：3,2,1,0）。</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4、针对本项目的售后服务方案（包括售后服务承诺、响应时间及响应程度、技术支持和售后服务计划、服务网点分布等）合理性、完整性、服务能力等情况，综合评价</w:t>
            </w:r>
            <w:r>
              <w:rPr>
                <w:rFonts w:hint="eastAsia" w:ascii="新宋体" w:hAnsi="新宋体" w:eastAsia="新宋体" w:cs="新宋体"/>
                <w:color w:val="auto"/>
                <w:kern w:val="0"/>
                <w:sz w:val="22"/>
                <w:szCs w:val="22"/>
                <w:lang w:val="en-US" w:eastAsia="zh-CN" w:bidi="ar"/>
              </w:rPr>
              <w:t>量化打分（评分范围：4,3,2,1,0）</w:t>
            </w:r>
            <w:r>
              <w:rPr>
                <w:rFonts w:hint="eastAsia" w:ascii="新宋体" w:hAnsi="新宋体" w:eastAsia="新宋体" w:cs="新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8A25">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0-1</w:t>
            </w:r>
            <w:r>
              <w:rPr>
                <w:rFonts w:hint="eastAsia" w:ascii="新宋体" w:hAnsi="新宋体" w:eastAsia="新宋体" w:cs="新宋体"/>
                <w:color w:val="auto"/>
                <w:kern w:val="0"/>
                <w:sz w:val="22"/>
                <w:szCs w:val="22"/>
                <w:lang w:val="en-US" w:eastAsia="zh-CN" w:bidi="ar"/>
              </w:rPr>
              <w:t>3</w:t>
            </w:r>
          </w:p>
        </w:tc>
      </w:tr>
      <w:tr w14:paraId="31C6AC70">
        <w:tblPrEx>
          <w:tblCellMar>
            <w:top w:w="0" w:type="dxa"/>
            <w:left w:w="108" w:type="dxa"/>
            <w:bottom w:w="0" w:type="dxa"/>
            <w:right w:w="108" w:type="dxa"/>
          </w:tblCellMar>
        </w:tblPrEx>
        <w:trPr>
          <w:trHeight w:val="635"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2CA6A">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val="en-US" w:eastAsia="zh-CN" w:bidi="ar"/>
              </w:rPr>
              <w:t>8</w:t>
            </w: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49E41">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技术力量保障</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6C36">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1</w:t>
            </w:r>
            <w:r>
              <w:rPr>
                <w:rFonts w:hint="eastAsia" w:ascii="新宋体" w:hAnsi="新宋体" w:eastAsia="新宋体" w:cs="新宋体"/>
                <w:color w:val="auto"/>
                <w:kern w:val="0"/>
                <w:sz w:val="22"/>
                <w:szCs w:val="22"/>
                <w:lang w:eastAsia="zh-CN" w:bidi="ar"/>
              </w:rPr>
              <w:t>）</w:t>
            </w:r>
            <w:r>
              <w:rPr>
                <w:rFonts w:hint="eastAsia" w:ascii="新宋体" w:hAnsi="新宋体" w:eastAsia="新宋体" w:cs="新宋体"/>
                <w:color w:val="auto"/>
                <w:kern w:val="0"/>
                <w:sz w:val="22"/>
                <w:szCs w:val="22"/>
                <w:lang w:bidi="ar"/>
              </w:rPr>
              <w:t>、项目负责人：</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①具有计算机</w:t>
            </w:r>
            <w:r>
              <w:rPr>
                <w:rFonts w:hint="eastAsia" w:ascii="新宋体" w:hAnsi="新宋体" w:eastAsia="新宋体" w:cs="新宋体"/>
                <w:color w:val="auto"/>
                <w:kern w:val="0"/>
                <w:sz w:val="22"/>
                <w:szCs w:val="22"/>
                <w:lang w:val="en-US" w:eastAsia="zh-CN" w:bidi="ar"/>
              </w:rPr>
              <w:t>或</w:t>
            </w:r>
            <w:r>
              <w:rPr>
                <w:rFonts w:hint="eastAsia" w:ascii="新宋体" w:hAnsi="新宋体" w:eastAsia="新宋体" w:cs="新宋体"/>
                <w:color w:val="auto"/>
                <w:kern w:val="0"/>
                <w:sz w:val="22"/>
                <w:szCs w:val="22"/>
                <w:lang w:bidi="ar"/>
              </w:rPr>
              <w:t>应急安全或测绘地理信息类正高级职称的得3分，相关专业副高级职称得1分，相关专业中级职称得0.5分，其他不得分；</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②</w:t>
            </w:r>
            <w:bookmarkStart w:id="101" w:name="OLE_LINK3"/>
            <w:r>
              <w:rPr>
                <w:rFonts w:hint="eastAsia" w:ascii="新宋体" w:hAnsi="新宋体" w:eastAsia="新宋体" w:cs="新宋体"/>
                <w:color w:val="auto"/>
                <w:kern w:val="0"/>
                <w:sz w:val="22"/>
                <w:szCs w:val="22"/>
                <w:lang w:bidi="ar"/>
              </w:rPr>
              <w:t>曾担任</w:t>
            </w:r>
            <w:bookmarkEnd w:id="101"/>
            <w:r>
              <w:rPr>
                <w:rFonts w:hint="eastAsia" w:ascii="新宋体" w:hAnsi="新宋体" w:eastAsia="新宋体" w:cs="新宋体"/>
                <w:color w:val="auto"/>
                <w:kern w:val="0"/>
                <w:sz w:val="22"/>
                <w:szCs w:val="22"/>
                <w:lang w:bidi="ar"/>
              </w:rPr>
              <w:t>省级及以上应急管理部门相关专家得3分，地市级应急管理部门相关专家得1分，县级应急管理部门相关专家得0.5分，其他不得分（附证书或相关公示证明）；</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2</w:t>
            </w:r>
            <w:r>
              <w:rPr>
                <w:rFonts w:hint="eastAsia" w:ascii="新宋体" w:hAnsi="新宋体" w:eastAsia="新宋体" w:cs="新宋体"/>
                <w:color w:val="auto"/>
                <w:kern w:val="0"/>
                <w:sz w:val="22"/>
                <w:szCs w:val="22"/>
                <w:lang w:eastAsia="zh-CN" w:bidi="ar"/>
              </w:rPr>
              <w:t>）</w:t>
            </w:r>
            <w:r>
              <w:rPr>
                <w:rFonts w:hint="eastAsia" w:ascii="新宋体" w:hAnsi="新宋体" w:eastAsia="新宋体" w:cs="新宋体"/>
                <w:color w:val="auto"/>
                <w:kern w:val="0"/>
                <w:sz w:val="22"/>
                <w:szCs w:val="22"/>
                <w:lang w:bidi="ar"/>
              </w:rPr>
              <w:t>、技术负责人：</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具有计算机</w:t>
            </w:r>
            <w:r>
              <w:rPr>
                <w:rFonts w:hint="eastAsia" w:ascii="新宋体" w:hAnsi="新宋体" w:eastAsia="新宋体" w:cs="新宋体"/>
                <w:color w:val="auto"/>
                <w:kern w:val="0"/>
                <w:sz w:val="22"/>
                <w:szCs w:val="22"/>
                <w:lang w:val="en-US" w:eastAsia="zh-CN" w:bidi="ar"/>
              </w:rPr>
              <w:t>或</w:t>
            </w:r>
            <w:r>
              <w:rPr>
                <w:rFonts w:hint="eastAsia" w:ascii="新宋体" w:hAnsi="新宋体" w:eastAsia="新宋体" w:cs="新宋体"/>
                <w:color w:val="auto"/>
                <w:kern w:val="0"/>
                <w:sz w:val="22"/>
                <w:szCs w:val="22"/>
                <w:lang w:bidi="ar"/>
              </w:rPr>
              <w:t>应急安全或</w:t>
            </w:r>
            <w:r>
              <w:rPr>
                <w:rFonts w:hint="eastAsia" w:ascii="新宋体" w:hAnsi="新宋体" w:eastAsia="新宋体" w:cs="新宋体"/>
                <w:color w:val="auto"/>
                <w:kern w:val="0"/>
                <w:sz w:val="22"/>
                <w:szCs w:val="22"/>
                <w:lang w:val="en-US" w:eastAsia="zh-CN" w:bidi="ar"/>
              </w:rPr>
              <w:t>测绘</w:t>
            </w:r>
            <w:r>
              <w:rPr>
                <w:rFonts w:hint="eastAsia" w:ascii="新宋体" w:hAnsi="新宋体" w:eastAsia="新宋体" w:cs="新宋体"/>
                <w:color w:val="auto"/>
                <w:kern w:val="0"/>
                <w:sz w:val="22"/>
                <w:szCs w:val="22"/>
                <w:lang w:bidi="ar"/>
              </w:rPr>
              <w:t>地理信息类正高级职称得的3分，相关专业副高级职称的得1分，相关专业中级职称得0.5分，其他不得分。</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3</w:t>
            </w:r>
            <w:r>
              <w:rPr>
                <w:rFonts w:hint="eastAsia" w:ascii="新宋体" w:hAnsi="新宋体" w:eastAsia="新宋体" w:cs="新宋体"/>
                <w:color w:val="auto"/>
                <w:kern w:val="0"/>
                <w:sz w:val="22"/>
                <w:szCs w:val="22"/>
                <w:lang w:eastAsia="zh-CN" w:bidi="ar"/>
              </w:rPr>
              <w:t>）</w:t>
            </w:r>
            <w:r>
              <w:rPr>
                <w:rFonts w:hint="eastAsia" w:ascii="新宋体" w:hAnsi="新宋体" w:eastAsia="新宋体" w:cs="新宋体"/>
                <w:color w:val="auto"/>
                <w:kern w:val="0"/>
                <w:sz w:val="22"/>
                <w:szCs w:val="22"/>
                <w:lang w:bidi="ar"/>
              </w:rPr>
              <w:t>、数据处理建库负责人：</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具有计算机或测绘地理信息类高级及以上职称、互联网地图安全审校人员、曾担任县级及以上应急管理部门相关专家，具备以上3项证书或相关公示证明得3分，具备其中2项得1分，其他不得分。</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4</w:t>
            </w:r>
            <w:r>
              <w:rPr>
                <w:rFonts w:hint="eastAsia" w:ascii="新宋体" w:hAnsi="新宋体" w:eastAsia="新宋体" w:cs="新宋体"/>
                <w:color w:val="auto"/>
                <w:kern w:val="0"/>
                <w:sz w:val="22"/>
                <w:szCs w:val="22"/>
                <w:lang w:eastAsia="zh-CN" w:bidi="ar"/>
              </w:rPr>
              <w:t>）</w:t>
            </w:r>
            <w:r>
              <w:rPr>
                <w:rFonts w:hint="eastAsia" w:ascii="新宋体" w:hAnsi="新宋体" w:eastAsia="新宋体" w:cs="新宋体"/>
                <w:color w:val="auto"/>
                <w:kern w:val="0"/>
                <w:sz w:val="22"/>
                <w:szCs w:val="22"/>
                <w:lang w:bidi="ar"/>
              </w:rPr>
              <w:t>、系统研发负责人：</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具有信息系统项目管理师（高级）国家软考资格、涉密人员保密培训证书、曾担任县级及以上</w:t>
            </w:r>
            <w:bookmarkStart w:id="102" w:name="OLE_LINK1"/>
            <w:r>
              <w:rPr>
                <w:rFonts w:hint="eastAsia" w:ascii="新宋体" w:hAnsi="新宋体" w:eastAsia="新宋体" w:cs="新宋体"/>
                <w:color w:val="auto"/>
                <w:kern w:val="0"/>
                <w:sz w:val="22"/>
                <w:szCs w:val="22"/>
                <w:lang w:bidi="ar"/>
              </w:rPr>
              <w:t>应急管理部门</w:t>
            </w:r>
            <w:bookmarkEnd w:id="102"/>
            <w:r>
              <w:rPr>
                <w:rFonts w:hint="eastAsia" w:ascii="新宋体" w:hAnsi="新宋体" w:eastAsia="新宋体" w:cs="新宋体"/>
                <w:color w:val="auto"/>
                <w:kern w:val="0"/>
                <w:sz w:val="22"/>
                <w:szCs w:val="22"/>
                <w:lang w:bidi="ar"/>
              </w:rPr>
              <w:t>相关专家，具备以上3项证书或相关公示证明的得3分，具备其中2项得1分，其他不得分。</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 注：上述人员需</w:t>
            </w:r>
            <w:r>
              <w:rPr>
                <w:rFonts w:hint="eastAsia" w:ascii="新宋体" w:hAnsi="新宋体" w:eastAsia="新宋体" w:cs="新宋体"/>
                <w:color w:val="auto"/>
                <w:kern w:val="0"/>
                <w:sz w:val="22"/>
                <w:szCs w:val="22"/>
                <w:lang w:val="en-US" w:eastAsia="zh-CN" w:bidi="ar"/>
              </w:rPr>
              <w:t>明确岗位、</w:t>
            </w:r>
            <w:r>
              <w:rPr>
                <w:rFonts w:hint="eastAsia" w:ascii="新宋体" w:hAnsi="新宋体" w:eastAsia="新宋体" w:cs="新宋体"/>
                <w:color w:val="auto"/>
                <w:kern w:val="0"/>
                <w:sz w:val="22"/>
                <w:szCs w:val="22"/>
                <w:lang w:bidi="ar"/>
              </w:rPr>
              <w:t>提供相应证明文件扫描件、人社部门近2个月内出具（打印/下载）的在投标单位的社保证明或事业单位出具的任职证明、证书需在有效注册期内，复印件加盖公章，否则不得分。）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F76E">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0-15</w:t>
            </w:r>
          </w:p>
        </w:tc>
      </w:tr>
      <w:tr w14:paraId="425245BC">
        <w:tblPrEx>
          <w:tblCellMar>
            <w:top w:w="0" w:type="dxa"/>
            <w:left w:w="108" w:type="dxa"/>
            <w:bottom w:w="0" w:type="dxa"/>
            <w:right w:w="108" w:type="dxa"/>
          </w:tblCellMar>
        </w:tblPrEx>
        <w:trPr>
          <w:trHeight w:val="196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41B4">
            <w:pPr>
              <w:jc w:val="center"/>
              <w:rPr>
                <w:rFonts w:ascii="新宋体" w:hAnsi="新宋体" w:eastAsia="新宋体" w:cs="新宋体"/>
                <w:color w:val="auto"/>
                <w:sz w:val="22"/>
                <w:szCs w:val="22"/>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9B26">
            <w:pPr>
              <w:jc w:val="center"/>
              <w:rPr>
                <w:rFonts w:ascii="新宋体" w:hAnsi="新宋体" w:eastAsia="新宋体" w:cs="新宋体"/>
                <w:color w:val="auto"/>
                <w:sz w:val="22"/>
                <w:szCs w:val="22"/>
              </w:rPr>
            </w:pP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D80F">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服务团队其他成员（除以上4位负责人外）情况：</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项目组中具有</w:t>
            </w:r>
            <w:r>
              <w:rPr>
                <w:rFonts w:hint="eastAsia" w:ascii="宋体" w:hAnsi="宋体" w:cs="宋体"/>
                <w:color w:val="auto"/>
                <w:sz w:val="22"/>
                <w:szCs w:val="22"/>
              </w:rPr>
              <w:t>信息系统项目管理师（高级）软考证书、</w:t>
            </w:r>
            <w:r>
              <w:rPr>
                <w:rFonts w:hint="eastAsia" w:ascii="新宋体" w:hAnsi="新宋体" w:eastAsia="新宋体" w:cs="新宋体"/>
                <w:color w:val="auto"/>
                <w:kern w:val="0"/>
                <w:sz w:val="22"/>
                <w:szCs w:val="22"/>
                <w:lang w:bidi="ar"/>
              </w:rPr>
              <w:t>项目管理师（PMP）证书、测绘地理信息相关专业高级及以上职称证书、互联网地图安全审校人员证书、安全工程管理师证书的，每具有其中1类证书得1分，最高得5分。</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 注：上述人员不得重复得分，需提供相应证明文件扫描件、人社部门近2个月内出具（打印/下载）的在投标单位的社保证明或事业单位出具的任职证明、证书需在有效注册期内，复印件加盖公章，否则不得分。）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33B4">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0-5</w:t>
            </w:r>
          </w:p>
        </w:tc>
      </w:tr>
      <w:tr w14:paraId="08EBE241">
        <w:tblPrEx>
          <w:tblCellMar>
            <w:top w:w="0" w:type="dxa"/>
            <w:left w:w="108" w:type="dxa"/>
            <w:bottom w:w="0" w:type="dxa"/>
            <w:right w:w="108" w:type="dxa"/>
          </w:tblCellMar>
        </w:tblPrEx>
        <w:trPr>
          <w:trHeight w:val="25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00B4">
            <w:pPr>
              <w:widowControl/>
              <w:jc w:val="center"/>
              <w:textAlignment w:val="center"/>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kern w:val="0"/>
                <w:sz w:val="22"/>
                <w:szCs w:val="22"/>
                <w:lang w:val="en-US" w:eastAsia="zh-CN" w:bidi="ar"/>
              </w:rPr>
              <w:t>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6537">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履约能力评价</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02A3">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1、投标人具有信息安全管理体系认证、信息技术服务管理体系认证、</w:t>
            </w:r>
            <w:r>
              <w:rPr>
                <w:rFonts w:hint="eastAsia"/>
                <w:color w:val="auto"/>
                <w:highlight w:val="none"/>
              </w:rPr>
              <w:t>信息系统建设和服务能力等级证书</w:t>
            </w:r>
            <w:r>
              <w:rPr>
                <w:rFonts w:hint="eastAsia" w:ascii="新宋体" w:hAnsi="新宋体" w:eastAsia="新宋体" w:cs="新宋体"/>
                <w:strike w:val="0"/>
                <w:color w:val="auto"/>
                <w:kern w:val="0"/>
                <w:sz w:val="22"/>
                <w:szCs w:val="22"/>
                <w:highlight w:val="none"/>
                <w:lang w:bidi="ar"/>
              </w:rPr>
              <w:t>（</w:t>
            </w:r>
            <w:r>
              <w:rPr>
                <w:rFonts w:hint="eastAsia" w:ascii="新宋体" w:hAnsi="新宋体" w:eastAsia="新宋体" w:cs="新宋体"/>
                <w:strike w:val="0"/>
                <w:color w:val="auto"/>
                <w:kern w:val="0"/>
                <w:sz w:val="22"/>
                <w:szCs w:val="22"/>
                <w:highlight w:val="none"/>
                <w:lang w:val="en-US" w:eastAsia="zh-CN" w:bidi="ar"/>
              </w:rPr>
              <w:t>良好</w:t>
            </w:r>
            <w:r>
              <w:rPr>
                <w:rFonts w:hint="eastAsia" w:ascii="新宋体" w:hAnsi="新宋体" w:eastAsia="新宋体" w:cs="新宋体"/>
                <w:strike w:val="0"/>
                <w:color w:val="auto"/>
                <w:kern w:val="0"/>
                <w:sz w:val="22"/>
                <w:szCs w:val="22"/>
                <w:highlight w:val="none"/>
                <w:lang w:bidi="ar"/>
              </w:rPr>
              <w:t>级及以上）</w:t>
            </w:r>
            <w:r>
              <w:rPr>
                <w:rFonts w:hint="eastAsia" w:ascii="新宋体" w:hAnsi="新宋体" w:eastAsia="新宋体" w:cs="新宋体"/>
                <w:strike w:val="0"/>
                <w:color w:val="auto"/>
                <w:kern w:val="0"/>
                <w:sz w:val="22"/>
                <w:szCs w:val="22"/>
                <w:highlight w:val="none"/>
                <w:lang w:val="en-US" w:eastAsia="zh-CN" w:bidi="ar"/>
              </w:rPr>
              <w:t>一个证书得1分，没有</w:t>
            </w:r>
            <w:r>
              <w:rPr>
                <w:rFonts w:hint="eastAsia" w:ascii="新宋体" w:hAnsi="新宋体" w:eastAsia="新宋体" w:cs="新宋体"/>
                <w:color w:val="auto"/>
                <w:kern w:val="0"/>
                <w:sz w:val="22"/>
                <w:szCs w:val="22"/>
                <w:highlight w:val="none"/>
                <w:lang w:bidi="ar"/>
              </w:rPr>
              <w:t>不得分，最高得</w:t>
            </w:r>
            <w:r>
              <w:rPr>
                <w:rFonts w:hint="eastAsia" w:ascii="新宋体" w:hAnsi="新宋体" w:eastAsia="新宋体" w:cs="新宋体"/>
                <w:color w:val="auto"/>
                <w:kern w:val="0"/>
                <w:sz w:val="22"/>
                <w:szCs w:val="22"/>
                <w:highlight w:val="none"/>
                <w:lang w:val="en-US" w:eastAsia="zh-CN" w:bidi="ar"/>
              </w:rPr>
              <w:t>3</w:t>
            </w:r>
            <w:r>
              <w:rPr>
                <w:rFonts w:hint="eastAsia" w:ascii="新宋体" w:hAnsi="新宋体" w:eastAsia="新宋体" w:cs="新宋体"/>
                <w:color w:val="auto"/>
                <w:kern w:val="0"/>
                <w:sz w:val="22"/>
                <w:szCs w:val="22"/>
                <w:highlight w:val="none"/>
                <w:lang w:bidi="ar"/>
              </w:rPr>
              <w:t>分；</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2、投标人具有商品售后服务认证证书的得1分；</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3、投标人具备综合风险普查成果应用、地质灾害风险防控、气象监测预警、安全生产风险管控、防汛防台监测预警、森林火灾风险防控、数据融合、电子地图服务等相关系统平台的国家软件著作权证书，每具有1个得0.5分，最高得4分。</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（以上需提供行政主管部门或</w:t>
            </w:r>
            <w:r>
              <w:rPr>
                <w:rFonts w:hint="eastAsia" w:ascii="新宋体" w:hAnsi="新宋体" w:eastAsia="新宋体" w:cs="新宋体"/>
                <w:color w:val="auto"/>
                <w:kern w:val="0"/>
                <w:sz w:val="22"/>
                <w:szCs w:val="22"/>
                <w:lang w:bidi="ar"/>
              </w:rPr>
              <w:t>权威机构的证书（有效期内）复印件并加盖公章）</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4CE8">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0-8</w:t>
            </w:r>
          </w:p>
        </w:tc>
      </w:tr>
      <w:tr w14:paraId="49DC4CD1">
        <w:tblPrEx>
          <w:tblCellMar>
            <w:top w:w="0" w:type="dxa"/>
            <w:left w:w="108" w:type="dxa"/>
            <w:bottom w:w="0" w:type="dxa"/>
            <w:right w:w="108" w:type="dxa"/>
          </w:tblCellMar>
        </w:tblPrEx>
        <w:trPr>
          <w:trHeight w:val="8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F5AD">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1</w:t>
            </w:r>
            <w:r>
              <w:rPr>
                <w:rFonts w:hint="eastAsia" w:ascii="新宋体" w:hAnsi="新宋体" w:eastAsia="新宋体" w:cs="新宋体"/>
                <w:color w:val="auto"/>
                <w:kern w:val="0"/>
                <w:sz w:val="22"/>
                <w:szCs w:val="22"/>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6022">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同类业绩评价</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FFA9">
            <w:pPr>
              <w:widowControl/>
              <w:jc w:val="left"/>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1、投标人202</w:t>
            </w:r>
            <w:r>
              <w:rPr>
                <w:rFonts w:hint="eastAsia" w:ascii="新宋体" w:hAnsi="新宋体" w:eastAsia="新宋体" w:cs="新宋体"/>
                <w:color w:val="auto"/>
                <w:kern w:val="0"/>
                <w:sz w:val="22"/>
                <w:szCs w:val="22"/>
                <w:lang w:val="en-US" w:eastAsia="zh-CN" w:bidi="ar"/>
              </w:rPr>
              <w:t>1</w:t>
            </w:r>
            <w:r>
              <w:rPr>
                <w:rFonts w:hint="eastAsia" w:ascii="新宋体" w:hAnsi="新宋体" w:eastAsia="新宋体" w:cs="新宋体"/>
                <w:color w:val="auto"/>
                <w:kern w:val="0"/>
                <w:sz w:val="22"/>
                <w:szCs w:val="22"/>
                <w:lang w:bidi="ar"/>
              </w:rPr>
              <w:t>年1月1日</w:t>
            </w:r>
            <w:r>
              <w:rPr>
                <w:rFonts w:hint="eastAsia" w:ascii="新宋体" w:hAnsi="新宋体" w:eastAsia="新宋体" w:cs="新宋体"/>
                <w:color w:val="auto"/>
                <w:kern w:val="0"/>
                <w:sz w:val="22"/>
                <w:szCs w:val="22"/>
                <w:lang w:eastAsia="zh-CN" w:bidi="ar"/>
              </w:rPr>
              <w:t>（</w:t>
            </w:r>
            <w:r>
              <w:rPr>
                <w:rFonts w:hint="eastAsia" w:ascii="新宋体" w:hAnsi="新宋体" w:eastAsia="新宋体" w:cs="新宋体"/>
                <w:color w:val="auto"/>
                <w:kern w:val="0"/>
                <w:sz w:val="22"/>
                <w:szCs w:val="22"/>
                <w:lang w:val="en-US" w:eastAsia="zh-CN" w:bidi="ar"/>
              </w:rPr>
              <w:t>以合同签订时间为准</w:t>
            </w:r>
            <w:r>
              <w:rPr>
                <w:rFonts w:hint="eastAsia" w:ascii="新宋体" w:hAnsi="新宋体" w:eastAsia="新宋体" w:cs="新宋体"/>
                <w:color w:val="auto"/>
                <w:kern w:val="0"/>
                <w:sz w:val="22"/>
                <w:szCs w:val="22"/>
                <w:lang w:eastAsia="zh-CN" w:bidi="ar"/>
              </w:rPr>
              <w:t>）</w:t>
            </w:r>
            <w:r>
              <w:rPr>
                <w:rFonts w:hint="eastAsia" w:ascii="新宋体" w:hAnsi="新宋体" w:eastAsia="新宋体" w:cs="新宋体"/>
                <w:color w:val="auto"/>
                <w:kern w:val="0"/>
                <w:sz w:val="22"/>
                <w:szCs w:val="22"/>
                <w:lang w:bidi="ar"/>
              </w:rPr>
              <w:t>以来承担过风险防范</w:t>
            </w:r>
            <w:r>
              <w:rPr>
                <w:rFonts w:hint="eastAsia" w:ascii="新宋体" w:hAnsi="新宋体" w:eastAsia="新宋体" w:cs="新宋体"/>
                <w:color w:val="auto"/>
                <w:kern w:val="0"/>
                <w:sz w:val="22"/>
                <w:szCs w:val="22"/>
                <w:lang w:val="en-US" w:eastAsia="zh-CN" w:bidi="ar"/>
              </w:rPr>
              <w:t>或</w:t>
            </w:r>
            <w:r>
              <w:rPr>
                <w:rFonts w:hint="eastAsia" w:ascii="新宋体" w:hAnsi="新宋体" w:eastAsia="新宋体" w:cs="新宋体"/>
                <w:color w:val="auto"/>
                <w:kern w:val="0"/>
                <w:sz w:val="22"/>
                <w:szCs w:val="22"/>
                <w:lang w:bidi="ar"/>
              </w:rPr>
              <w:t>防汛防台</w:t>
            </w:r>
            <w:r>
              <w:rPr>
                <w:rFonts w:hint="eastAsia" w:ascii="新宋体" w:hAnsi="新宋体" w:eastAsia="新宋体" w:cs="新宋体"/>
                <w:color w:val="auto"/>
                <w:kern w:val="0"/>
                <w:sz w:val="22"/>
                <w:szCs w:val="22"/>
                <w:lang w:val="en-US" w:eastAsia="zh-CN" w:bidi="ar"/>
              </w:rPr>
              <w:t>或</w:t>
            </w:r>
            <w:r>
              <w:rPr>
                <w:rFonts w:hint="eastAsia" w:ascii="新宋体" w:hAnsi="新宋体" w:eastAsia="新宋体" w:cs="新宋体"/>
                <w:color w:val="auto"/>
                <w:kern w:val="0"/>
                <w:sz w:val="22"/>
                <w:szCs w:val="22"/>
                <w:lang w:bidi="ar"/>
              </w:rPr>
              <w:t>智慧应急数字化项目每个业绩得0.5分，最多得1分。</w:t>
            </w:r>
            <w:r>
              <w:rPr>
                <w:rFonts w:hint="eastAsia" w:ascii="新宋体" w:hAnsi="新宋体" w:eastAsia="新宋体" w:cs="新宋体"/>
                <w:color w:val="auto"/>
                <w:kern w:val="0"/>
                <w:sz w:val="22"/>
                <w:szCs w:val="22"/>
                <w:lang w:bidi="ar"/>
              </w:rPr>
              <w:br w:type="textWrapping"/>
            </w:r>
            <w:r>
              <w:rPr>
                <w:rFonts w:hint="eastAsia" w:ascii="新宋体" w:hAnsi="新宋体" w:eastAsia="新宋体" w:cs="新宋体"/>
                <w:color w:val="auto"/>
                <w:kern w:val="0"/>
                <w:sz w:val="22"/>
                <w:szCs w:val="22"/>
                <w:lang w:bidi="ar"/>
              </w:rPr>
              <w:t>（同一项目不重复得分，提供合同复印件加盖公章）。</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5790">
            <w:pPr>
              <w:widowControl/>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bidi="ar"/>
              </w:rPr>
              <w:t>0</w:t>
            </w:r>
            <w:r>
              <w:rPr>
                <w:rStyle w:val="233"/>
                <w:rFonts w:hint="default"/>
                <w:color w:val="auto"/>
                <w:lang w:bidi="ar"/>
              </w:rPr>
              <w:t>-1</w:t>
            </w:r>
          </w:p>
        </w:tc>
      </w:tr>
      <w:tr w14:paraId="47ED4131">
        <w:tblPrEx>
          <w:tblCellMar>
            <w:top w:w="0" w:type="dxa"/>
            <w:left w:w="108" w:type="dxa"/>
            <w:bottom w:w="0" w:type="dxa"/>
            <w:right w:w="108" w:type="dxa"/>
          </w:tblCellMar>
        </w:tblPrEx>
        <w:trPr>
          <w:trHeight w:val="29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55F7">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1</w:t>
            </w:r>
            <w:r>
              <w:rPr>
                <w:rFonts w:hint="eastAsia" w:ascii="新宋体" w:hAnsi="新宋体" w:eastAsia="新宋体" w:cs="新宋体"/>
                <w:color w:val="auto"/>
                <w:kern w:val="0"/>
                <w:sz w:val="22"/>
                <w:szCs w:val="22"/>
                <w:lang w:val="en-US" w:eastAsia="zh-CN" w:bidi="ar"/>
              </w:rPr>
              <w:t>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DA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相关演示</w:t>
            </w:r>
          </w:p>
        </w:tc>
        <w:tc>
          <w:tcPr>
            <w:tcW w:w="3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8048">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根据投标人提供的演示情况进行打分，无演示不得分：</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（要求演示</w:t>
            </w:r>
            <w:r>
              <w:rPr>
                <w:rFonts w:hint="eastAsia" w:ascii="宋体" w:hAnsi="宋体" w:cs="宋体"/>
                <w:color w:val="auto"/>
                <w:kern w:val="0"/>
                <w:sz w:val="22"/>
                <w:szCs w:val="22"/>
                <w:lang w:val="en-US" w:eastAsia="zh-CN" w:bidi="ar"/>
              </w:rPr>
              <w:t>文件视频</w:t>
            </w:r>
            <w:r>
              <w:rPr>
                <w:rFonts w:hint="eastAsia" w:ascii="宋体" w:hAnsi="宋体" w:cs="宋体"/>
                <w:color w:val="auto"/>
                <w:kern w:val="0"/>
                <w:sz w:val="22"/>
                <w:szCs w:val="22"/>
                <w:lang w:bidi="ar"/>
              </w:rPr>
              <w:t>时间控制在1</w:t>
            </w:r>
            <w:r>
              <w:rPr>
                <w:rFonts w:hint="eastAsia" w:ascii="宋体" w:hAnsi="宋体" w:cs="宋体"/>
                <w:color w:val="auto"/>
                <w:kern w:val="0"/>
                <w:sz w:val="22"/>
                <w:szCs w:val="22"/>
                <w:lang w:val="en-US" w:eastAsia="zh-CN" w:bidi="ar"/>
              </w:rPr>
              <w:t>5</w:t>
            </w:r>
            <w:r>
              <w:rPr>
                <w:rFonts w:hint="eastAsia" w:ascii="宋体" w:hAnsi="宋体" w:cs="宋体"/>
                <w:color w:val="auto"/>
                <w:kern w:val="0"/>
                <w:sz w:val="22"/>
                <w:szCs w:val="22"/>
                <w:lang w:bidi="ar"/>
              </w:rPr>
              <w:t>分钟内）</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1、根据是否实现各类安全风险的地图可视化操作、目录展示、行政区域统计、风险点搜索、风险点详情展示功能，</w:t>
            </w:r>
            <w:r>
              <w:rPr>
                <w:rFonts w:hint="eastAsia" w:ascii="宋体" w:hAnsi="宋体" w:cs="宋体"/>
                <w:color w:val="auto"/>
                <w:kern w:val="0"/>
                <w:sz w:val="22"/>
                <w:szCs w:val="22"/>
                <w:lang w:val="en-US" w:eastAsia="zh-CN" w:bidi="ar"/>
              </w:rPr>
              <w:t>演示一个功能点1.5分，本小项7.5分</w:t>
            </w:r>
            <w:r>
              <w:rPr>
                <w:rFonts w:hint="eastAsia" w:ascii="宋体" w:hAnsi="宋体" w:cs="宋体"/>
                <w:color w:val="auto"/>
                <w:kern w:val="0"/>
                <w:sz w:val="22"/>
                <w:szCs w:val="22"/>
                <w:lang w:bidi="ar"/>
              </w:rPr>
              <w:t>；</w:t>
            </w:r>
          </w:p>
          <w:p w14:paraId="19DA47B4">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2、根据是否实现安全风险数据动态录入、模板化导入、风险点字段配置功能，</w:t>
            </w:r>
            <w:r>
              <w:rPr>
                <w:rFonts w:hint="eastAsia" w:ascii="宋体" w:hAnsi="宋体" w:cs="宋体"/>
                <w:color w:val="auto"/>
                <w:kern w:val="0"/>
                <w:sz w:val="22"/>
                <w:szCs w:val="22"/>
                <w:lang w:val="en-US" w:eastAsia="zh-CN" w:bidi="ar"/>
              </w:rPr>
              <w:t>演示一个功能点1.5分，本小项4.5分</w:t>
            </w:r>
            <w:r>
              <w:rPr>
                <w:rFonts w:hint="eastAsia" w:ascii="宋体" w:hAnsi="宋体" w:cs="宋体"/>
                <w:color w:val="auto"/>
                <w:kern w:val="0"/>
                <w:sz w:val="22"/>
                <w:szCs w:val="22"/>
                <w:lang w:bidi="ar"/>
              </w:rPr>
              <w:t>；</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3、根据是否实现台风路径和监测站降雨的实时监测，包括台风路径回溯、监测站降雨情况回溯功能，</w:t>
            </w:r>
            <w:r>
              <w:rPr>
                <w:rFonts w:hint="eastAsia" w:ascii="宋体" w:hAnsi="宋体" w:cs="宋体"/>
                <w:color w:val="auto"/>
                <w:kern w:val="0"/>
                <w:sz w:val="22"/>
                <w:szCs w:val="22"/>
                <w:lang w:val="en-US" w:eastAsia="zh-CN" w:bidi="ar"/>
              </w:rPr>
              <w:t>演示一个功能点1.5分，本小项3分</w:t>
            </w:r>
            <w:r>
              <w:rPr>
                <w:rFonts w:hint="eastAsia" w:ascii="宋体" w:hAnsi="宋体" w:cs="宋体"/>
                <w:color w:val="auto"/>
                <w:kern w:val="0"/>
                <w:sz w:val="22"/>
                <w:szCs w:val="22"/>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B90B">
            <w:pPr>
              <w:widowControl/>
              <w:jc w:val="center"/>
              <w:textAlignment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kern w:val="0"/>
                <w:sz w:val="22"/>
                <w:szCs w:val="22"/>
                <w:lang w:bidi="ar"/>
              </w:rPr>
              <w:t>0-1</w:t>
            </w:r>
            <w:r>
              <w:rPr>
                <w:rFonts w:hint="eastAsia" w:ascii="新宋体" w:hAnsi="新宋体" w:eastAsia="新宋体" w:cs="新宋体"/>
                <w:color w:val="auto"/>
                <w:kern w:val="0"/>
                <w:sz w:val="22"/>
                <w:szCs w:val="22"/>
                <w:lang w:val="en-US" w:eastAsia="zh-CN" w:bidi="ar"/>
              </w:rPr>
              <w:t>5</w:t>
            </w:r>
          </w:p>
        </w:tc>
      </w:tr>
    </w:tbl>
    <w:p w14:paraId="351D18B5">
      <w:pPr>
        <w:adjustRightInd w:val="0"/>
        <w:snapToGrid w:val="0"/>
        <w:spacing w:before="100" w:after="50" w:line="460" w:lineRule="atLeast"/>
        <w:ind w:left="420"/>
        <w:rPr>
          <w:rFonts w:ascii="宋体" w:hAnsi="宋体"/>
          <w:color w:val="auto"/>
          <w:sz w:val="22"/>
          <w:szCs w:val="22"/>
          <w:highlight w:val="none"/>
        </w:rPr>
      </w:pPr>
      <w:r>
        <w:rPr>
          <w:rFonts w:hint="eastAsia" w:ascii="宋体" w:hAnsi="宋体"/>
          <w:color w:val="auto"/>
          <w:sz w:val="22"/>
          <w:szCs w:val="22"/>
          <w:highlight w:val="none"/>
        </w:rPr>
        <w:t>三）、说明</w:t>
      </w:r>
    </w:p>
    <w:p w14:paraId="0EE110A9">
      <w:pPr>
        <w:adjustRightInd w:val="0"/>
        <w:snapToGrid w:val="0"/>
        <w:spacing w:before="100" w:after="50" w:line="44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1、每个供应商的综合得分=商务技术得分（所有磋商小组成员打分的算术平均值）＋报价得分。</w:t>
      </w:r>
    </w:p>
    <w:p w14:paraId="30063A86">
      <w:pPr>
        <w:adjustRightInd w:val="0"/>
        <w:snapToGrid w:val="0"/>
        <w:spacing w:before="100" w:after="50" w:line="44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2、磋商小组推荐综合得分最高的供应商为成交供应商（如果得分相同则按最终磋商报价从低到高顺序依次推荐为</w:t>
      </w:r>
      <w:r>
        <w:rPr>
          <w:rFonts w:hint="eastAsia" w:ascii="宋体" w:hAnsi="宋体" w:cs="Arial"/>
          <w:color w:val="auto"/>
          <w:sz w:val="22"/>
          <w:szCs w:val="22"/>
          <w:highlight w:val="none"/>
          <w:lang w:val="en-US" w:eastAsia="zh-CN"/>
        </w:rPr>
        <w:t>成交</w:t>
      </w:r>
      <w:r>
        <w:rPr>
          <w:rFonts w:hint="eastAsia" w:ascii="宋体" w:hAnsi="宋体" w:cs="Arial"/>
          <w:color w:val="auto"/>
          <w:sz w:val="22"/>
          <w:szCs w:val="22"/>
          <w:highlight w:val="none"/>
        </w:rPr>
        <w:t>候选供应商；如果综合得分相同最终磋商报价也相同，则抽签决定），并编写评审报告。</w:t>
      </w:r>
    </w:p>
    <w:p w14:paraId="2D593D01">
      <w:pPr>
        <w:adjustRightInd w:val="0"/>
        <w:snapToGrid w:val="0"/>
        <w:spacing w:before="100" w:after="50" w:line="440" w:lineRule="atLeast"/>
        <w:ind w:firstLine="420"/>
        <w:rPr>
          <w:rFonts w:ascii="宋体" w:hAnsi="宋体" w:cs="Arial"/>
          <w:color w:val="auto"/>
          <w:sz w:val="22"/>
          <w:szCs w:val="22"/>
          <w:highlight w:val="none"/>
        </w:rPr>
      </w:pPr>
      <w:r>
        <w:rPr>
          <w:rFonts w:hint="eastAsia" w:ascii="宋体" w:hAnsi="宋体" w:cs="Arial"/>
          <w:color w:val="auto"/>
          <w:sz w:val="22"/>
          <w:szCs w:val="22"/>
          <w:highlight w:val="none"/>
        </w:rPr>
        <w:t>3、所有分值计算保留小数点后二位，小数点后第三位起四舍五入。</w:t>
      </w:r>
    </w:p>
    <w:p w14:paraId="48E8C720">
      <w:pPr>
        <w:adjustRightInd w:val="0"/>
        <w:snapToGrid w:val="0"/>
        <w:spacing w:before="100" w:after="50" w:line="44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 xml:space="preserve">其它参见本磋商文件第三部分：“供应商须知” 中的相关内容，未尽事宜按有关法律规定处理。 </w:t>
      </w:r>
    </w:p>
    <w:sectPr>
      <w:headerReference r:id="rId7" w:type="default"/>
      <w:footerReference r:id="rId8" w:type="default"/>
      <w:footerReference r:id="rId9" w:type="even"/>
      <w:pgSz w:w="11907" w:h="16840"/>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E2D9">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18</w:t>
    </w:r>
    <w:r>
      <w:fldChar w:fldCharType="end"/>
    </w:r>
  </w:p>
  <w:p w14:paraId="03E63371">
    <w:pPr>
      <w:pStyle w:val="31"/>
      <w:jc w:val="both"/>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4097"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P9lL2PvAQAA5gMAAA4AAAAAAAAAAQAgAAAAJAEAAGRycy9lMm9Eb2MueG1sUEsFBgAAAAAG&#10;AAYAWQEAAIUFAAAAAA==&#10;">
              <v:fill on="f" focussize="0,0"/>
              <v:stroke color="#000000" joinstyle="round"/>
              <v:imagedata o:title=""/>
              <o:lock v:ext="edit" aspectratio="f"/>
            </v:lin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E106">
    <w:pPr>
      <w:pStyle w:val="31"/>
      <w:framePr w:wrap="around" w:vAnchor="text" w:hAnchor="margin" w:xAlign="center" w:y="1"/>
      <w:rPr>
        <w:rStyle w:val="51"/>
      </w:rPr>
    </w:pPr>
    <w:r>
      <w:fldChar w:fldCharType="begin"/>
    </w:r>
    <w:r>
      <w:rPr>
        <w:rStyle w:val="51"/>
      </w:rPr>
      <w:instrText xml:space="preserve">PAGE  </w:instrText>
    </w:r>
    <w:r>
      <w:fldChar w:fldCharType="end"/>
    </w:r>
  </w:p>
  <w:p w14:paraId="444405F9">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C8F1">
    <w:pPr>
      <w:pStyle w:val="31"/>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8C5D">
    <w:pPr>
      <w:pStyle w:val="31"/>
      <w:framePr w:wrap="around" w:vAnchor="text" w:hAnchor="margin" w:xAlign="center" w:y="1"/>
      <w:rPr>
        <w:rStyle w:val="51"/>
        <w:rFonts w:ascii="宋体" w:hAnsi="宋体"/>
      </w:rPr>
    </w:pPr>
    <w:r>
      <w:rPr>
        <w:rFonts w:ascii="宋体" w:hAnsi="宋体"/>
      </w:rPr>
      <w:fldChar w:fldCharType="begin"/>
    </w:r>
    <w:r>
      <w:rPr>
        <w:rStyle w:val="51"/>
        <w:rFonts w:ascii="宋体" w:hAnsi="宋体"/>
      </w:rPr>
      <w:instrText xml:space="preserve">PAGE  </w:instrText>
    </w:r>
    <w:r>
      <w:rPr>
        <w:rFonts w:ascii="宋体" w:hAnsi="宋体"/>
      </w:rPr>
      <w:fldChar w:fldCharType="separate"/>
    </w:r>
    <w:r>
      <w:rPr>
        <w:rStyle w:val="51"/>
        <w:rFonts w:ascii="宋体" w:hAnsi="宋体"/>
      </w:rPr>
      <w:t>28</w:t>
    </w:r>
    <w:r>
      <w:rPr>
        <w:rFonts w:ascii="宋体" w:hAnsi="宋体"/>
      </w:rPr>
      <w:fldChar w:fldCharType="end"/>
    </w:r>
  </w:p>
  <w:p w14:paraId="5AACCD4F">
    <w:pPr>
      <w:pStyle w:val="31"/>
      <w:ind w:firstLine="7200" w:firstLineChars="4000"/>
      <w:jc w:val="both"/>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-3175</wp:posOffset>
              </wp:positionV>
              <wp:extent cx="5934075" cy="0"/>
              <wp:effectExtent l="9525" t="6350" r="9525" b="12700"/>
              <wp:wrapNone/>
              <wp:docPr id="4098" name="直线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flip:x;margin-left:0pt;margin-top:-0.25pt;height:0pt;width:467.25pt;z-index:251660288;mso-width-relative:page;mso-height-relative:page;" filled="f" stroked="t" coordsize="21600,21600" o:gfxdata="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9&#10;GWXTAAAABAEAAA8AAAAAAAAAAQAgAAAAIgAAAGRycy9kb3ducmV2LnhtbFBLAQIUABQAAAAIAIdO&#10;4kCHzSR77wEAAOYDAAAOAAAAAAAAAAEAIAAAACIBAABkcnMvZTJvRG9jLnhtbFBLBQYAAAAABgAG&#10;AFkBAACDBQ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5C1B">
    <w:pPr>
      <w:pStyle w:val="31"/>
      <w:framePr w:wrap="around" w:vAnchor="text" w:hAnchor="margin" w:xAlign="center" w:y="1"/>
      <w:rPr>
        <w:rStyle w:val="51"/>
      </w:rPr>
    </w:pPr>
    <w:r>
      <w:fldChar w:fldCharType="begin"/>
    </w:r>
    <w:r>
      <w:rPr>
        <w:rStyle w:val="51"/>
      </w:rPr>
      <w:instrText xml:space="preserve">PAGE  </w:instrText>
    </w:r>
    <w:r>
      <w:fldChar w:fldCharType="end"/>
    </w:r>
  </w:p>
  <w:p w14:paraId="54F6922F">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53F7">
    <w:pPr>
      <w:pStyle w:val="32"/>
      <w:jc w:val="both"/>
      <w:rPr>
        <w:b/>
      </w:rPr>
    </w:pPr>
    <w:r>
      <w:rPr>
        <w:rFonts w:hint="eastAsia"/>
        <w:b/>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6FEEA">
    <w:pPr>
      <w:pStyle w:val="32"/>
      <w:jc w:val="both"/>
      <w:rPr>
        <w:b/>
      </w:rPr>
    </w:pPr>
    <w:r>
      <w:rPr>
        <w:rFonts w:hint="eastAsia"/>
        <w:b/>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4EEC8"/>
    <w:multiLevelType w:val="multilevel"/>
    <w:tmpl w:val="BD34EEC8"/>
    <w:lvl w:ilvl="0" w:tentative="0">
      <w:start w:val="2"/>
      <w:numFmt w:val="decimal"/>
      <w:lvlText w:val="%1"/>
      <w:lvlJc w:val="left"/>
      <w:pPr>
        <w:ind w:left="425" w:hanging="425"/>
      </w:pPr>
      <w:rPr>
        <w:rFonts w:hint="default"/>
      </w:rPr>
    </w:lvl>
    <w:lvl w:ilvl="1" w:tentative="0">
      <w:start w:val="1"/>
      <w:numFmt w:val="decimal"/>
      <w:lvlText w:val="%1.%2"/>
      <w:lvlJc w:val="left"/>
      <w:pPr>
        <w:ind w:left="1134" w:hanging="567"/>
      </w:pPr>
      <w:rPr>
        <w:rFonts w:hint="default"/>
        <w:b/>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E9269135"/>
    <w:multiLevelType w:val="singleLevel"/>
    <w:tmpl w:val="E9269135"/>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ind w:left="1007" w:hanging="360"/>
      </w:pPr>
      <w:rPr>
        <w:rFonts w:hint="default"/>
      </w:rPr>
    </w:lvl>
    <w:lvl w:ilvl="1" w:tentative="0">
      <w:start w:val="1"/>
      <w:numFmt w:val="lowerLetter"/>
      <w:lvlText w:val="%2)"/>
      <w:lvlJc w:val="left"/>
      <w:pPr>
        <w:ind w:left="1487" w:hanging="420"/>
      </w:pPr>
    </w:lvl>
    <w:lvl w:ilvl="2" w:tentative="0">
      <w:start w:val="1"/>
      <w:numFmt w:val="lowerRoman"/>
      <w:lvlText w:val="%3."/>
      <w:lvlJc w:val="right"/>
      <w:pPr>
        <w:ind w:left="1907" w:hanging="420"/>
      </w:pPr>
    </w:lvl>
    <w:lvl w:ilvl="3" w:tentative="0">
      <w:start w:val="1"/>
      <w:numFmt w:val="decimal"/>
      <w:lvlText w:val="%4."/>
      <w:lvlJc w:val="left"/>
      <w:pPr>
        <w:ind w:left="2327" w:hanging="420"/>
      </w:pPr>
    </w:lvl>
    <w:lvl w:ilvl="4" w:tentative="0">
      <w:start w:val="1"/>
      <w:numFmt w:val="lowerLetter"/>
      <w:lvlText w:val="%5)"/>
      <w:lvlJc w:val="left"/>
      <w:pPr>
        <w:ind w:left="2747" w:hanging="420"/>
      </w:pPr>
    </w:lvl>
    <w:lvl w:ilvl="5" w:tentative="0">
      <w:start w:val="1"/>
      <w:numFmt w:val="lowerRoman"/>
      <w:lvlText w:val="%6."/>
      <w:lvlJc w:val="right"/>
      <w:pPr>
        <w:ind w:left="3167" w:hanging="420"/>
      </w:pPr>
    </w:lvl>
    <w:lvl w:ilvl="6" w:tentative="0">
      <w:start w:val="1"/>
      <w:numFmt w:val="decimal"/>
      <w:lvlText w:val="%7."/>
      <w:lvlJc w:val="left"/>
      <w:pPr>
        <w:ind w:left="3587" w:hanging="420"/>
      </w:pPr>
    </w:lvl>
    <w:lvl w:ilvl="7" w:tentative="0">
      <w:start w:val="1"/>
      <w:numFmt w:val="lowerLetter"/>
      <w:lvlText w:val="%8)"/>
      <w:lvlJc w:val="left"/>
      <w:pPr>
        <w:ind w:left="4007" w:hanging="420"/>
      </w:pPr>
    </w:lvl>
    <w:lvl w:ilvl="8" w:tentative="0">
      <w:start w:val="1"/>
      <w:numFmt w:val="lowerRoman"/>
      <w:lvlText w:val="%9."/>
      <w:lvlJc w:val="right"/>
      <w:pPr>
        <w:ind w:left="4427" w:hanging="420"/>
      </w:pPr>
    </w:lvl>
  </w:abstractNum>
  <w:abstractNum w:abstractNumId="3">
    <w:nsid w:val="0D05566E"/>
    <w:multiLevelType w:val="singleLevel"/>
    <w:tmpl w:val="0D05566E"/>
    <w:lvl w:ilvl="0" w:tentative="0">
      <w:start w:val="1"/>
      <w:numFmt w:val="decimal"/>
      <w:suff w:val="nothing"/>
      <w:lvlText w:val="%1、"/>
      <w:lvlJc w:val="left"/>
    </w:lvl>
  </w:abstractNum>
  <w:abstractNum w:abstractNumId="4">
    <w:nsid w:val="0DBDB7F3"/>
    <w:multiLevelType w:val="singleLevel"/>
    <w:tmpl w:val="0DBDB7F3"/>
    <w:lvl w:ilvl="0" w:tentative="0">
      <w:start w:val="2"/>
      <w:numFmt w:val="chineseCounting"/>
      <w:suff w:val="nothing"/>
      <w:lvlText w:val="%1）"/>
      <w:lvlJc w:val="left"/>
      <w:rPr>
        <w:rFonts w:hint="eastAsia"/>
      </w:rPr>
    </w:lvl>
  </w:abstractNum>
  <w:abstractNum w:abstractNumId="5">
    <w:nsid w:val="181F20F8"/>
    <w:multiLevelType w:val="multilevel"/>
    <w:tmpl w:val="181F20F8"/>
    <w:lvl w:ilvl="0" w:tentative="0">
      <w:start w:val="1"/>
      <w:numFmt w:val="decimal"/>
      <w:lvlText w:val="%1"/>
      <w:lvlJc w:val="left"/>
      <w:pPr>
        <w:ind w:left="425" w:hanging="425"/>
      </w:pPr>
    </w:lvl>
    <w:lvl w:ilvl="1" w:tentative="0">
      <w:start w:val="1"/>
      <w:numFmt w:val="decimal"/>
      <w:lvlText w:val="%1.%2"/>
      <w:lvlJc w:val="left"/>
      <w:pPr>
        <w:ind w:left="1134"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72F7DDA5"/>
    <w:multiLevelType w:val="multilevel"/>
    <w:tmpl w:val="72F7DDA5"/>
    <w:lvl w:ilvl="0" w:tentative="0">
      <w:start w:val="1"/>
      <w:numFmt w:val="decimal"/>
      <w:lvlText w:val="%1"/>
      <w:lvlJc w:val="left"/>
      <w:pPr>
        <w:ind w:left="425" w:hanging="425"/>
      </w:pPr>
      <w:rPr>
        <w:rFonts w:hint="default"/>
      </w:rPr>
    </w:lvl>
    <w:lvl w:ilvl="1" w:tentative="0">
      <w:start w:val="1"/>
      <w:numFmt w:val="decimal"/>
      <w:lvlText w:val="%1.%2"/>
      <w:lvlJc w:val="left"/>
      <w:pPr>
        <w:ind w:left="1134" w:hanging="567"/>
      </w:pPr>
      <w:rPr>
        <w:rFonts w:hint="default"/>
        <w:b/>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OGE0ZjJhOWY2NTM5MzlmMTJmNWI1NmIzYjA2MmQifQ=="/>
  </w:docVars>
  <w:rsids>
    <w:rsidRoot w:val="003D0AFF"/>
    <w:rsid w:val="000E4C68"/>
    <w:rsid w:val="000F7B1D"/>
    <w:rsid w:val="001141B7"/>
    <w:rsid w:val="00147391"/>
    <w:rsid w:val="00153D63"/>
    <w:rsid w:val="00181BE2"/>
    <w:rsid w:val="00193220"/>
    <w:rsid w:val="001A341F"/>
    <w:rsid w:val="001B16A8"/>
    <w:rsid w:val="001C5C68"/>
    <w:rsid w:val="00217C45"/>
    <w:rsid w:val="00231C77"/>
    <w:rsid w:val="00283E30"/>
    <w:rsid w:val="002A7EA2"/>
    <w:rsid w:val="002B00CA"/>
    <w:rsid w:val="002B28F0"/>
    <w:rsid w:val="002B570E"/>
    <w:rsid w:val="002E6304"/>
    <w:rsid w:val="00300640"/>
    <w:rsid w:val="0033264F"/>
    <w:rsid w:val="00332DEC"/>
    <w:rsid w:val="003526E4"/>
    <w:rsid w:val="00365687"/>
    <w:rsid w:val="00372B84"/>
    <w:rsid w:val="00373F31"/>
    <w:rsid w:val="003778CF"/>
    <w:rsid w:val="0039373E"/>
    <w:rsid w:val="003A37BA"/>
    <w:rsid w:val="003D0AFF"/>
    <w:rsid w:val="00480A31"/>
    <w:rsid w:val="0049152C"/>
    <w:rsid w:val="00496051"/>
    <w:rsid w:val="00496EDE"/>
    <w:rsid w:val="00554862"/>
    <w:rsid w:val="0056196A"/>
    <w:rsid w:val="00563440"/>
    <w:rsid w:val="0058073E"/>
    <w:rsid w:val="005820F0"/>
    <w:rsid w:val="005B6E55"/>
    <w:rsid w:val="005C526D"/>
    <w:rsid w:val="005C7CD1"/>
    <w:rsid w:val="00615383"/>
    <w:rsid w:val="00682451"/>
    <w:rsid w:val="006A1C5A"/>
    <w:rsid w:val="006D1DB1"/>
    <w:rsid w:val="006E6939"/>
    <w:rsid w:val="006F7386"/>
    <w:rsid w:val="00700AB5"/>
    <w:rsid w:val="00705D0E"/>
    <w:rsid w:val="00713D52"/>
    <w:rsid w:val="0071770B"/>
    <w:rsid w:val="00736B29"/>
    <w:rsid w:val="007410B9"/>
    <w:rsid w:val="007A7A21"/>
    <w:rsid w:val="007B28E0"/>
    <w:rsid w:val="007C583F"/>
    <w:rsid w:val="007E4B60"/>
    <w:rsid w:val="00825B44"/>
    <w:rsid w:val="008516BC"/>
    <w:rsid w:val="0085277E"/>
    <w:rsid w:val="00867E5F"/>
    <w:rsid w:val="00877DB8"/>
    <w:rsid w:val="008E56F0"/>
    <w:rsid w:val="008F752D"/>
    <w:rsid w:val="009006F6"/>
    <w:rsid w:val="009052FC"/>
    <w:rsid w:val="00923E8B"/>
    <w:rsid w:val="00962756"/>
    <w:rsid w:val="00983EF6"/>
    <w:rsid w:val="009B3BD7"/>
    <w:rsid w:val="009C7F23"/>
    <w:rsid w:val="009D3071"/>
    <w:rsid w:val="009E397F"/>
    <w:rsid w:val="009E3B1D"/>
    <w:rsid w:val="00A1762E"/>
    <w:rsid w:val="00A21234"/>
    <w:rsid w:val="00A23403"/>
    <w:rsid w:val="00A34A87"/>
    <w:rsid w:val="00A43782"/>
    <w:rsid w:val="00A61D04"/>
    <w:rsid w:val="00A81E25"/>
    <w:rsid w:val="00A968F8"/>
    <w:rsid w:val="00AC716E"/>
    <w:rsid w:val="00B26F23"/>
    <w:rsid w:val="00B66459"/>
    <w:rsid w:val="00B72B09"/>
    <w:rsid w:val="00B86634"/>
    <w:rsid w:val="00B91DFB"/>
    <w:rsid w:val="00BA5D1F"/>
    <w:rsid w:val="00BC06EC"/>
    <w:rsid w:val="00BD65E2"/>
    <w:rsid w:val="00BE05BA"/>
    <w:rsid w:val="00CB235F"/>
    <w:rsid w:val="00CD0FCE"/>
    <w:rsid w:val="00CF4809"/>
    <w:rsid w:val="00D0706B"/>
    <w:rsid w:val="00D20D0B"/>
    <w:rsid w:val="00D432E1"/>
    <w:rsid w:val="00D43F5D"/>
    <w:rsid w:val="00D7497C"/>
    <w:rsid w:val="00DA4DA1"/>
    <w:rsid w:val="00DC452A"/>
    <w:rsid w:val="00DC527C"/>
    <w:rsid w:val="00DF6EFE"/>
    <w:rsid w:val="00E979D2"/>
    <w:rsid w:val="00EA3362"/>
    <w:rsid w:val="00EB0C2D"/>
    <w:rsid w:val="00EB683B"/>
    <w:rsid w:val="00ED4AF4"/>
    <w:rsid w:val="00EE296B"/>
    <w:rsid w:val="00EE5730"/>
    <w:rsid w:val="00EE6D95"/>
    <w:rsid w:val="00EF5113"/>
    <w:rsid w:val="00F1422F"/>
    <w:rsid w:val="00F16DDB"/>
    <w:rsid w:val="00F60590"/>
    <w:rsid w:val="00FB2AC7"/>
    <w:rsid w:val="00FF7D25"/>
    <w:rsid w:val="010F3B4F"/>
    <w:rsid w:val="031351F3"/>
    <w:rsid w:val="04785EAF"/>
    <w:rsid w:val="0A801619"/>
    <w:rsid w:val="0E8545B0"/>
    <w:rsid w:val="107439CE"/>
    <w:rsid w:val="10975F76"/>
    <w:rsid w:val="16526560"/>
    <w:rsid w:val="18E053A7"/>
    <w:rsid w:val="18FB1B43"/>
    <w:rsid w:val="19202945"/>
    <w:rsid w:val="19DE635C"/>
    <w:rsid w:val="1A7726CD"/>
    <w:rsid w:val="1D3F5B64"/>
    <w:rsid w:val="1DF75F39"/>
    <w:rsid w:val="1DFE304D"/>
    <w:rsid w:val="1F642E60"/>
    <w:rsid w:val="202A40A9"/>
    <w:rsid w:val="25B74631"/>
    <w:rsid w:val="2B940F71"/>
    <w:rsid w:val="2DB41456"/>
    <w:rsid w:val="2FD8767E"/>
    <w:rsid w:val="303074BA"/>
    <w:rsid w:val="303C5322"/>
    <w:rsid w:val="315947EF"/>
    <w:rsid w:val="378E3EC9"/>
    <w:rsid w:val="386341A5"/>
    <w:rsid w:val="3E5A77B3"/>
    <w:rsid w:val="3E7F63F3"/>
    <w:rsid w:val="3E8804C1"/>
    <w:rsid w:val="3F6E4331"/>
    <w:rsid w:val="3FD5E1B4"/>
    <w:rsid w:val="3FF07225"/>
    <w:rsid w:val="40F97454"/>
    <w:rsid w:val="45D42546"/>
    <w:rsid w:val="491110C7"/>
    <w:rsid w:val="4A0969E8"/>
    <w:rsid w:val="4A2C6C37"/>
    <w:rsid w:val="4A4A0D21"/>
    <w:rsid w:val="4A5509DB"/>
    <w:rsid w:val="4B580FE5"/>
    <w:rsid w:val="4D6D36A4"/>
    <w:rsid w:val="4E706CCF"/>
    <w:rsid w:val="52D91433"/>
    <w:rsid w:val="53642E53"/>
    <w:rsid w:val="53EF7CA9"/>
    <w:rsid w:val="54120B01"/>
    <w:rsid w:val="54297BF9"/>
    <w:rsid w:val="547E6196"/>
    <w:rsid w:val="562F08A5"/>
    <w:rsid w:val="57FB7AFE"/>
    <w:rsid w:val="59FF3C65"/>
    <w:rsid w:val="5D7F14F1"/>
    <w:rsid w:val="5F572A2F"/>
    <w:rsid w:val="60DB671F"/>
    <w:rsid w:val="62DD1684"/>
    <w:rsid w:val="650A75D2"/>
    <w:rsid w:val="661C580F"/>
    <w:rsid w:val="66911D59"/>
    <w:rsid w:val="69FF3F6A"/>
    <w:rsid w:val="6B99345E"/>
    <w:rsid w:val="6C1B20C5"/>
    <w:rsid w:val="6C427652"/>
    <w:rsid w:val="6D8C327A"/>
    <w:rsid w:val="6EEF1D44"/>
    <w:rsid w:val="6F5F3A49"/>
    <w:rsid w:val="71D15700"/>
    <w:rsid w:val="734F8302"/>
    <w:rsid w:val="738844E4"/>
    <w:rsid w:val="756A0881"/>
    <w:rsid w:val="7586734B"/>
    <w:rsid w:val="776D5ECB"/>
    <w:rsid w:val="77EF68E0"/>
    <w:rsid w:val="782AB82B"/>
    <w:rsid w:val="79090717"/>
    <w:rsid w:val="796C21B2"/>
    <w:rsid w:val="79BF2939"/>
    <w:rsid w:val="7D323F7B"/>
    <w:rsid w:val="7DCB1FAE"/>
    <w:rsid w:val="7EE3CCEF"/>
    <w:rsid w:val="7F9F73EB"/>
    <w:rsid w:val="7FF01447"/>
    <w:rsid w:val="7FFF50CF"/>
    <w:rsid w:val="7FFF6C94"/>
    <w:rsid w:val="A2F791AB"/>
    <w:rsid w:val="BFFFACB8"/>
    <w:rsid w:val="DDDF428B"/>
    <w:rsid w:val="DFF5CE40"/>
    <w:rsid w:val="EDFE848E"/>
    <w:rsid w:val="F3FD1ACE"/>
    <w:rsid w:val="FEE610D0"/>
    <w:rsid w:val="FF6F43D7"/>
    <w:rsid w:val="FFD53A54"/>
    <w:rsid w:val="FFD789E0"/>
    <w:rsid w:val="FFE2137D"/>
    <w:rsid w:val="FFEFA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9"/>
    <w:pPr>
      <w:keepNext/>
      <w:jc w:val="center"/>
      <w:outlineLvl w:val="0"/>
    </w:pPr>
    <w:rPr>
      <w:sz w:val="28"/>
    </w:rPr>
  </w:style>
  <w:style w:type="paragraph" w:styleId="5">
    <w:name w:val="heading 2"/>
    <w:basedOn w:val="1"/>
    <w:next w:val="1"/>
    <w:link w:val="57"/>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8"/>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9"/>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0"/>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0"/>
    <w:link w:val="61"/>
    <w:autoRedefine/>
    <w:semiHidden/>
    <w:unhideWhenUsed/>
    <w:qFormat/>
    <w:uiPriority w:val="9"/>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11">
    <w:name w:val="heading 7"/>
    <w:basedOn w:val="1"/>
    <w:next w:val="10"/>
    <w:link w:val="63"/>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2">
    <w:name w:val="heading 8"/>
    <w:basedOn w:val="1"/>
    <w:next w:val="10"/>
    <w:link w:val="64"/>
    <w:autoRedefine/>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3">
    <w:name w:val="heading 9"/>
    <w:basedOn w:val="1"/>
    <w:next w:val="10"/>
    <w:link w:val="65"/>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49">
    <w:name w:val="Default Paragraph Font"/>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81"/>
    <w:qFormat/>
    <w:uiPriority w:val="0"/>
    <w:pPr>
      <w:spacing w:after="120"/>
      <w:ind w:firstLine="420" w:firstLineChars="100"/>
    </w:pPr>
    <w:rPr>
      <w:rFonts w:ascii="Times New Roman" w:hAnsi="Times New Roman"/>
      <w:bCs w:val="0"/>
      <w:sz w:val="21"/>
    </w:rPr>
  </w:style>
  <w:style w:type="paragraph" w:styleId="3">
    <w:name w:val="Body Text"/>
    <w:basedOn w:val="1"/>
    <w:next w:val="1"/>
    <w:link w:val="69"/>
    <w:qFormat/>
    <w:uiPriority w:val="99"/>
    <w:rPr>
      <w:rFonts w:ascii="Arial" w:hAnsi="Arial"/>
      <w:bCs/>
      <w:sz w:val="24"/>
    </w:rPr>
  </w:style>
  <w:style w:type="paragraph" w:styleId="10">
    <w:name w:val="Normal Indent"/>
    <w:basedOn w:val="1"/>
    <w:next w:val="1"/>
    <w:link w:val="62"/>
    <w:qFormat/>
    <w:uiPriority w:val="0"/>
    <w:pPr>
      <w:spacing w:after="50"/>
      <w:ind w:firstLine="200" w:firstLineChars="200"/>
    </w:pPr>
    <w:rPr>
      <w:sz w:val="24"/>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1260"/>
      <w:jc w:val="left"/>
    </w:pPr>
    <w:rPr>
      <w:sz w:val="18"/>
      <w:szCs w:val="18"/>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6"/>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67"/>
    <w:qFormat/>
    <w:uiPriority w:val="99"/>
    <w:pPr>
      <w:jc w:val="left"/>
    </w:pPr>
  </w:style>
  <w:style w:type="paragraph" w:styleId="20">
    <w:name w:val="Body Text 3"/>
    <w:basedOn w:val="1"/>
    <w:link w:val="68"/>
    <w:qFormat/>
    <w:uiPriority w:val="0"/>
    <w:pPr>
      <w:spacing w:before="312" w:beforeLines="100" w:after="312" w:afterLines="100" w:line="400" w:lineRule="exact"/>
    </w:pPr>
    <w:rPr>
      <w:rFonts w:ascii="宋体" w:hAnsi="宋体"/>
      <w:sz w:val="24"/>
    </w:rPr>
  </w:style>
  <w:style w:type="paragraph" w:styleId="21">
    <w:name w:val="Body Text Indent"/>
    <w:basedOn w:val="1"/>
    <w:link w:val="70"/>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2">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3">
    <w:name w:val="List 2"/>
    <w:basedOn w:val="1"/>
    <w:qFormat/>
    <w:uiPriority w:val="0"/>
    <w:pPr>
      <w:ind w:left="100" w:leftChars="200" w:hanging="200" w:hangingChars="200"/>
    </w:pPr>
    <w:rPr>
      <w:rFonts w:ascii="Calibri" w:hAnsi="Calibri"/>
      <w:szCs w:val="22"/>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71"/>
    <w:autoRedefine/>
    <w:qFormat/>
    <w:uiPriority w:val="0"/>
    <w:rPr>
      <w:rFonts w:ascii="宋体" w:hAnsi="Courier New"/>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72"/>
    <w:qFormat/>
    <w:uiPriority w:val="0"/>
    <w:pPr>
      <w:ind w:left="100" w:leftChars="2500"/>
    </w:pPr>
    <w:rPr>
      <w:color w:val="000000"/>
      <w:sz w:val="24"/>
    </w:rPr>
  </w:style>
  <w:style w:type="paragraph" w:styleId="29">
    <w:name w:val="Body Text Indent 2"/>
    <w:basedOn w:val="1"/>
    <w:link w:val="73"/>
    <w:autoRedefine/>
    <w:qFormat/>
    <w:uiPriority w:val="0"/>
    <w:pPr>
      <w:widowControl/>
      <w:spacing w:line="480" w:lineRule="atLeast"/>
      <w:ind w:firstLine="480"/>
    </w:pPr>
    <w:rPr>
      <w:rFonts w:ascii="宋体"/>
      <w:kern w:val="0"/>
      <w:sz w:val="24"/>
      <w:szCs w:val="20"/>
    </w:rPr>
  </w:style>
  <w:style w:type="paragraph" w:styleId="30">
    <w:name w:val="Balloon Text"/>
    <w:basedOn w:val="1"/>
    <w:link w:val="74"/>
    <w:qFormat/>
    <w:uiPriority w:val="0"/>
    <w:rPr>
      <w:sz w:val="18"/>
      <w:szCs w:val="18"/>
    </w:rPr>
  </w:style>
  <w:style w:type="paragraph" w:styleId="31">
    <w:name w:val="footer"/>
    <w:basedOn w:val="1"/>
    <w:link w:val="75"/>
    <w:qFormat/>
    <w:uiPriority w:val="99"/>
    <w:pPr>
      <w:tabs>
        <w:tab w:val="center" w:pos="4153"/>
        <w:tab w:val="right" w:pos="8306"/>
      </w:tabs>
      <w:snapToGrid w:val="0"/>
      <w:jc w:val="left"/>
    </w:pPr>
    <w:rPr>
      <w:sz w:val="18"/>
      <w:szCs w:val="18"/>
    </w:rPr>
  </w:style>
  <w:style w:type="paragraph" w:styleId="32">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rPr>
      <w:rFonts w:ascii="宋体" w:hAnsi="宋体"/>
      <w:b/>
      <w:sz w:val="24"/>
    </w:rPr>
  </w:style>
  <w:style w:type="paragraph" w:styleId="34">
    <w:name w:val="toc 4"/>
    <w:basedOn w:val="1"/>
    <w:next w:val="1"/>
    <w:qFormat/>
    <w:uiPriority w:val="0"/>
    <w:pPr>
      <w:ind w:left="63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77"/>
    <w:qFormat/>
    <w:uiPriority w:val="0"/>
    <w:pPr>
      <w:autoSpaceDE w:val="0"/>
      <w:autoSpaceDN w:val="0"/>
      <w:spacing w:line="400" w:lineRule="atLeast"/>
      <w:ind w:firstLine="443" w:firstLineChars="200"/>
      <w:textAlignment w:val="bottom"/>
    </w:pPr>
    <w:rPr>
      <w:rFonts w:eastAsia="黑体"/>
      <w:color w:val="000000"/>
      <w:sz w:val="24"/>
    </w:rPr>
  </w:style>
  <w:style w:type="paragraph" w:styleId="37">
    <w:name w:val="table of figures"/>
    <w:basedOn w:val="1"/>
    <w:next w:val="1"/>
    <w:qFormat/>
    <w:uiPriority w:val="0"/>
    <w:pPr>
      <w:widowControl/>
      <w:ind w:left="840" w:leftChars="200" w:hanging="420" w:hangingChars="200"/>
      <w:jc w:val="left"/>
    </w:pPr>
    <w:rPr>
      <w:kern w:val="0"/>
      <w:szCs w:val="20"/>
    </w:rPr>
  </w:style>
  <w:style w:type="paragraph" w:styleId="38">
    <w:name w:val="toc 2"/>
    <w:basedOn w:val="1"/>
    <w:next w:val="1"/>
    <w:qFormat/>
    <w:uiPriority w:val="39"/>
    <w:pPr>
      <w:ind w:left="420" w:leftChars="200"/>
    </w:pPr>
  </w:style>
  <w:style w:type="paragraph" w:styleId="39">
    <w:name w:val="toc 9"/>
    <w:basedOn w:val="1"/>
    <w:next w:val="1"/>
    <w:autoRedefine/>
    <w:qFormat/>
    <w:uiPriority w:val="0"/>
    <w:pPr>
      <w:ind w:left="1680"/>
      <w:jc w:val="left"/>
    </w:pPr>
    <w:rPr>
      <w:sz w:val="18"/>
      <w:szCs w:val="18"/>
    </w:rPr>
  </w:style>
  <w:style w:type="paragraph" w:styleId="40">
    <w:name w:val="Body Text 2"/>
    <w:basedOn w:val="1"/>
    <w:link w:val="78"/>
    <w:qFormat/>
    <w:uiPriority w:val="0"/>
    <w:pPr>
      <w:spacing w:after="120" w:line="480" w:lineRule="auto"/>
    </w:pPr>
  </w:style>
  <w:style w:type="paragraph" w:styleId="4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Title"/>
    <w:basedOn w:val="1"/>
    <w:link w:val="79"/>
    <w:autoRedefine/>
    <w:qFormat/>
    <w:uiPriority w:val="10"/>
    <w:pPr>
      <w:spacing w:before="240" w:after="60"/>
      <w:jc w:val="center"/>
      <w:outlineLvl w:val="0"/>
    </w:pPr>
    <w:rPr>
      <w:rFonts w:ascii="Arial" w:hAnsi="Arial"/>
      <w:b/>
      <w:bCs/>
      <w:sz w:val="32"/>
      <w:szCs w:val="32"/>
    </w:rPr>
  </w:style>
  <w:style w:type="paragraph" w:styleId="44">
    <w:name w:val="annotation subject"/>
    <w:basedOn w:val="19"/>
    <w:next w:val="19"/>
    <w:link w:val="80"/>
    <w:qFormat/>
    <w:uiPriority w:val="0"/>
    <w:rPr>
      <w:b/>
      <w:bCs/>
    </w:rPr>
  </w:style>
  <w:style w:type="paragraph" w:styleId="45">
    <w:name w:val="Body Text First Indent 2"/>
    <w:basedOn w:val="21"/>
    <w:link w:val="82"/>
    <w:qFormat/>
    <w:uiPriority w:val="0"/>
    <w:pPr>
      <w:autoSpaceDE/>
      <w:autoSpaceDN/>
      <w:adjustRightInd/>
      <w:snapToGrid/>
      <w:spacing w:after="120" w:line="240" w:lineRule="auto"/>
      <w:ind w:left="420" w:leftChars="200" w:firstLine="420" w:firstLineChars="200"/>
      <w:textAlignment w:val="auto"/>
    </w:pPr>
    <w:rPr>
      <w:b w:val="0"/>
      <w:bCs w:val="0"/>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Theme"/>
    <w:basedOn w:val="46"/>
    <w:qFormat/>
    <w:uiPriority w:val="99"/>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autoRedefine/>
    <w:qFormat/>
    <w:uiPriority w:val="0"/>
  </w:style>
  <w:style w:type="character" w:styleId="52">
    <w:name w:val="FollowedHyperlink"/>
    <w:autoRedefine/>
    <w:qFormat/>
    <w:uiPriority w:val="0"/>
    <w:rPr>
      <w:rFonts w:eastAsia="宋体"/>
      <w:color w:val="800080"/>
      <w:kern w:val="2"/>
      <w:sz w:val="24"/>
      <w:szCs w:val="24"/>
      <w:u w:val="single"/>
      <w:lang w:val="en-US" w:eastAsia="zh-CN" w:bidi="ar-SA"/>
    </w:rPr>
  </w:style>
  <w:style w:type="character" w:styleId="53">
    <w:name w:val="Emphasis"/>
    <w:autoRedefine/>
    <w:qFormat/>
    <w:uiPriority w:val="20"/>
    <w:rPr>
      <w:rFonts w:eastAsia="宋体"/>
      <w:color w:val="CC0033"/>
      <w:kern w:val="2"/>
      <w:sz w:val="24"/>
      <w:szCs w:val="24"/>
      <w:lang w:val="en-US" w:eastAsia="zh-CN" w:bidi="ar-SA"/>
    </w:rPr>
  </w:style>
  <w:style w:type="character" w:styleId="54">
    <w:name w:val="Hyperlink"/>
    <w:qFormat/>
    <w:uiPriority w:val="99"/>
    <w:rPr>
      <w:color w:val="0000FF"/>
      <w:u w:val="single"/>
    </w:rPr>
  </w:style>
  <w:style w:type="character" w:styleId="55">
    <w:name w:val="annotation reference"/>
    <w:qFormat/>
    <w:uiPriority w:val="0"/>
    <w:rPr>
      <w:rFonts w:eastAsia="宋体"/>
      <w:kern w:val="2"/>
      <w:sz w:val="21"/>
      <w:szCs w:val="21"/>
      <w:lang w:val="en-US" w:eastAsia="zh-CN" w:bidi="ar-SA"/>
    </w:rPr>
  </w:style>
  <w:style w:type="character" w:customStyle="1" w:styleId="56">
    <w:name w:val="标题 1 字符"/>
    <w:link w:val="4"/>
    <w:autoRedefine/>
    <w:qFormat/>
    <w:uiPriority w:val="0"/>
    <w:rPr>
      <w:rFonts w:eastAsia="宋体"/>
      <w:kern w:val="2"/>
      <w:sz w:val="28"/>
      <w:szCs w:val="24"/>
      <w:lang w:val="en-US" w:eastAsia="zh-CN" w:bidi="ar-SA"/>
    </w:rPr>
  </w:style>
  <w:style w:type="character" w:customStyle="1" w:styleId="57">
    <w:name w:val="标题 2 字符"/>
    <w:link w:val="5"/>
    <w:qFormat/>
    <w:uiPriority w:val="9"/>
    <w:rPr>
      <w:rFonts w:ascii="Arial" w:hAnsi="Arial" w:eastAsia="黑体"/>
      <w:b/>
      <w:bCs/>
      <w:kern w:val="2"/>
      <w:sz w:val="32"/>
      <w:szCs w:val="32"/>
      <w:lang w:val="en-US" w:eastAsia="zh-CN" w:bidi="ar-SA"/>
    </w:rPr>
  </w:style>
  <w:style w:type="character" w:customStyle="1" w:styleId="58">
    <w:name w:val="标题 3 字符"/>
    <w:link w:val="6"/>
    <w:autoRedefine/>
    <w:qFormat/>
    <w:uiPriority w:val="0"/>
    <w:rPr>
      <w:b/>
      <w:bCs/>
      <w:kern w:val="2"/>
      <w:sz w:val="32"/>
      <w:szCs w:val="32"/>
    </w:rPr>
  </w:style>
  <w:style w:type="character" w:customStyle="1" w:styleId="59">
    <w:name w:val="标题 4 字符"/>
    <w:link w:val="7"/>
    <w:qFormat/>
    <w:uiPriority w:val="0"/>
    <w:rPr>
      <w:rFonts w:ascii="Arial" w:hAnsi="Arial" w:eastAsia="黑体"/>
      <w:b/>
      <w:bCs/>
      <w:kern w:val="2"/>
      <w:sz w:val="28"/>
      <w:szCs w:val="28"/>
    </w:rPr>
  </w:style>
  <w:style w:type="character" w:customStyle="1" w:styleId="60">
    <w:name w:val="标题 5 字符"/>
    <w:link w:val="8"/>
    <w:qFormat/>
    <w:uiPriority w:val="0"/>
    <w:rPr>
      <w:b/>
      <w:bCs/>
      <w:kern w:val="2"/>
      <w:sz w:val="28"/>
      <w:szCs w:val="28"/>
    </w:rPr>
  </w:style>
  <w:style w:type="character" w:customStyle="1" w:styleId="61">
    <w:name w:val="标题 6 字符"/>
    <w:link w:val="9"/>
    <w:qFormat/>
    <w:uiPriority w:val="0"/>
    <w:rPr>
      <w:rFonts w:ascii="Arial" w:hAnsi="Arial" w:eastAsia="黑体"/>
      <w:b/>
      <w:bCs/>
      <w:spacing w:val="6"/>
      <w:kern w:val="2"/>
      <w:sz w:val="24"/>
      <w:szCs w:val="24"/>
    </w:rPr>
  </w:style>
  <w:style w:type="character" w:customStyle="1" w:styleId="62">
    <w:name w:val="正文缩进 字符"/>
    <w:link w:val="10"/>
    <w:autoRedefine/>
    <w:qFormat/>
    <w:uiPriority w:val="0"/>
    <w:rPr>
      <w:rFonts w:eastAsia="宋体"/>
      <w:kern w:val="2"/>
      <w:sz w:val="24"/>
      <w:lang w:val="en-US" w:eastAsia="zh-CN" w:bidi="ar-SA"/>
    </w:rPr>
  </w:style>
  <w:style w:type="character" w:customStyle="1" w:styleId="63">
    <w:name w:val="标题 7 字符"/>
    <w:link w:val="11"/>
    <w:autoRedefine/>
    <w:qFormat/>
    <w:uiPriority w:val="0"/>
    <w:rPr>
      <w:b/>
      <w:bCs/>
      <w:spacing w:val="6"/>
      <w:kern w:val="2"/>
      <w:sz w:val="24"/>
      <w:szCs w:val="24"/>
    </w:rPr>
  </w:style>
  <w:style w:type="character" w:customStyle="1" w:styleId="64">
    <w:name w:val="标题 8 字符"/>
    <w:link w:val="12"/>
    <w:qFormat/>
    <w:uiPriority w:val="0"/>
    <w:rPr>
      <w:rFonts w:ascii="Arial" w:hAnsi="Arial" w:eastAsia="黑体"/>
      <w:spacing w:val="6"/>
      <w:kern w:val="2"/>
      <w:sz w:val="24"/>
      <w:szCs w:val="24"/>
    </w:rPr>
  </w:style>
  <w:style w:type="character" w:customStyle="1" w:styleId="65">
    <w:name w:val="标题 9 字符"/>
    <w:link w:val="13"/>
    <w:autoRedefine/>
    <w:qFormat/>
    <w:uiPriority w:val="0"/>
    <w:rPr>
      <w:rFonts w:ascii="Arial" w:hAnsi="Arial" w:eastAsia="黑体"/>
      <w:spacing w:val="6"/>
      <w:kern w:val="2"/>
      <w:sz w:val="24"/>
      <w:szCs w:val="24"/>
    </w:rPr>
  </w:style>
  <w:style w:type="character" w:customStyle="1" w:styleId="66">
    <w:name w:val="文档结构图 字符"/>
    <w:link w:val="17"/>
    <w:autoRedefine/>
    <w:qFormat/>
    <w:uiPriority w:val="0"/>
    <w:rPr>
      <w:kern w:val="2"/>
      <w:sz w:val="21"/>
      <w:szCs w:val="24"/>
      <w:shd w:val="clear" w:color="auto" w:fill="000080"/>
    </w:rPr>
  </w:style>
  <w:style w:type="character" w:customStyle="1" w:styleId="67">
    <w:name w:val="批注文字 字符"/>
    <w:link w:val="19"/>
    <w:qFormat/>
    <w:uiPriority w:val="99"/>
    <w:rPr>
      <w:kern w:val="2"/>
      <w:sz w:val="21"/>
      <w:szCs w:val="24"/>
    </w:rPr>
  </w:style>
  <w:style w:type="character" w:customStyle="1" w:styleId="68">
    <w:name w:val="正文文本 3 字符"/>
    <w:link w:val="20"/>
    <w:autoRedefine/>
    <w:qFormat/>
    <w:uiPriority w:val="0"/>
    <w:rPr>
      <w:rFonts w:ascii="宋体" w:hAnsi="宋体"/>
      <w:kern w:val="2"/>
      <w:sz w:val="24"/>
      <w:szCs w:val="24"/>
    </w:rPr>
  </w:style>
  <w:style w:type="character" w:customStyle="1" w:styleId="69">
    <w:name w:val="正文文本 字符"/>
    <w:link w:val="3"/>
    <w:qFormat/>
    <w:uiPriority w:val="99"/>
    <w:rPr>
      <w:rFonts w:ascii="Arial" w:hAnsi="Arial"/>
      <w:bCs/>
      <w:kern w:val="2"/>
      <w:sz w:val="24"/>
      <w:szCs w:val="24"/>
    </w:rPr>
  </w:style>
  <w:style w:type="character" w:customStyle="1" w:styleId="70">
    <w:name w:val="正文文本缩进 字符"/>
    <w:link w:val="21"/>
    <w:qFormat/>
    <w:uiPriority w:val="0"/>
    <w:rPr>
      <w:rFonts w:ascii="仿宋_GB2312" w:eastAsia="仿宋_GB2312"/>
      <w:b/>
      <w:bCs/>
      <w:color w:val="000000"/>
      <w:kern w:val="2"/>
      <w:sz w:val="24"/>
      <w:szCs w:val="24"/>
    </w:rPr>
  </w:style>
  <w:style w:type="character" w:customStyle="1" w:styleId="71">
    <w:name w:val="纯文本 字符2"/>
    <w:link w:val="26"/>
    <w:qFormat/>
    <w:uiPriority w:val="0"/>
    <w:rPr>
      <w:rFonts w:ascii="宋体" w:hAnsi="Courier New" w:eastAsia="宋体"/>
      <w:kern w:val="2"/>
      <w:sz w:val="21"/>
      <w:lang w:val="en-US" w:eastAsia="zh-CN" w:bidi="ar-SA"/>
    </w:rPr>
  </w:style>
  <w:style w:type="character" w:customStyle="1" w:styleId="72">
    <w:name w:val="日期 字符"/>
    <w:link w:val="28"/>
    <w:qFormat/>
    <w:uiPriority w:val="0"/>
    <w:rPr>
      <w:rFonts w:eastAsia="宋体"/>
      <w:color w:val="000000"/>
      <w:kern w:val="2"/>
      <w:sz w:val="24"/>
      <w:szCs w:val="24"/>
      <w:lang w:val="en-US" w:eastAsia="zh-CN" w:bidi="ar-SA"/>
    </w:rPr>
  </w:style>
  <w:style w:type="character" w:customStyle="1" w:styleId="73">
    <w:name w:val="正文文本缩进 2 字符"/>
    <w:link w:val="29"/>
    <w:qFormat/>
    <w:uiPriority w:val="0"/>
    <w:rPr>
      <w:rFonts w:ascii="宋体"/>
      <w:sz w:val="24"/>
    </w:rPr>
  </w:style>
  <w:style w:type="character" w:customStyle="1" w:styleId="74">
    <w:name w:val="批注框文本 字符"/>
    <w:link w:val="30"/>
    <w:qFormat/>
    <w:uiPriority w:val="0"/>
    <w:rPr>
      <w:kern w:val="2"/>
      <w:sz w:val="18"/>
      <w:szCs w:val="18"/>
    </w:rPr>
  </w:style>
  <w:style w:type="character" w:customStyle="1" w:styleId="75">
    <w:name w:val="页脚 字符"/>
    <w:link w:val="31"/>
    <w:qFormat/>
    <w:uiPriority w:val="99"/>
    <w:rPr>
      <w:kern w:val="2"/>
      <w:sz w:val="18"/>
      <w:szCs w:val="18"/>
    </w:rPr>
  </w:style>
  <w:style w:type="character" w:customStyle="1" w:styleId="76">
    <w:name w:val="页眉 字符"/>
    <w:link w:val="32"/>
    <w:qFormat/>
    <w:uiPriority w:val="99"/>
    <w:rPr>
      <w:rFonts w:eastAsia="宋体"/>
      <w:kern w:val="2"/>
      <w:sz w:val="18"/>
      <w:szCs w:val="18"/>
      <w:lang w:val="en-US" w:eastAsia="zh-CN" w:bidi="ar-SA"/>
    </w:rPr>
  </w:style>
  <w:style w:type="character" w:customStyle="1" w:styleId="77">
    <w:name w:val="正文文本缩进 3 字符"/>
    <w:link w:val="36"/>
    <w:qFormat/>
    <w:uiPriority w:val="0"/>
    <w:rPr>
      <w:rFonts w:eastAsia="黑体"/>
      <w:color w:val="000000"/>
      <w:kern w:val="2"/>
      <w:sz w:val="24"/>
      <w:szCs w:val="24"/>
    </w:rPr>
  </w:style>
  <w:style w:type="character" w:customStyle="1" w:styleId="78">
    <w:name w:val="正文文本 2 字符"/>
    <w:link w:val="40"/>
    <w:qFormat/>
    <w:uiPriority w:val="0"/>
    <w:rPr>
      <w:kern w:val="2"/>
      <w:sz w:val="21"/>
      <w:szCs w:val="24"/>
    </w:rPr>
  </w:style>
  <w:style w:type="character" w:customStyle="1" w:styleId="79">
    <w:name w:val="标题 字符"/>
    <w:link w:val="43"/>
    <w:qFormat/>
    <w:uiPriority w:val="0"/>
    <w:rPr>
      <w:rFonts w:ascii="Arial" w:hAnsi="Arial" w:cs="Arial"/>
      <w:b/>
      <w:bCs/>
      <w:kern w:val="2"/>
      <w:sz w:val="32"/>
      <w:szCs w:val="32"/>
    </w:rPr>
  </w:style>
  <w:style w:type="character" w:customStyle="1" w:styleId="80">
    <w:name w:val="批注主题 字符"/>
    <w:link w:val="44"/>
    <w:qFormat/>
    <w:uiPriority w:val="0"/>
    <w:rPr>
      <w:b/>
      <w:bCs/>
      <w:kern w:val="2"/>
      <w:sz w:val="21"/>
      <w:szCs w:val="24"/>
    </w:rPr>
  </w:style>
  <w:style w:type="character" w:customStyle="1" w:styleId="81">
    <w:name w:val="正文文本首行缩进 字符"/>
    <w:link w:val="2"/>
    <w:qFormat/>
    <w:uiPriority w:val="0"/>
    <w:rPr>
      <w:kern w:val="2"/>
      <w:sz w:val="21"/>
      <w:szCs w:val="24"/>
    </w:rPr>
  </w:style>
  <w:style w:type="character" w:customStyle="1" w:styleId="82">
    <w:name w:val="正文文本首行缩进 2 字符"/>
    <w:link w:val="45"/>
    <w:qFormat/>
    <w:uiPriority w:val="0"/>
    <w:rPr>
      <w:rFonts w:ascii="仿宋_GB2312" w:eastAsia="仿宋_GB2312"/>
      <w:color w:val="000000"/>
      <w:kern w:val="2"/>
      <w:sz w:val="21"/>
      <w:szCs w:val="24"/>
    </w:rPr>
  </w:style>
  <w:style w:type="character" w:customStyle="1" w:styleId="83">
    <w:name w:val="纯文本 Char"/>
    <w:qFormat/>
    <w:uiPriority w:val="0"/>
    <w:rPr>
      <w:rFonts w:ascii="宋体" w:hAnsi="Courier New" w:eastAsia="宋体"/>
      <w:kern w:val="2"/>
      <w:sz w:val="21"/>
      <w:lang w:val="en-US" w:eastAsia="zh-CN" w:bidi="ar-SA"/>
    </w:rPr>
  </w:style>
  <w:style w:type="character" w:customStyle="1" w:styleId="84">
    <w:name w:val="纯文本 Char2"/>
    <w:qFormat/>
    <w:uiPriority w:val="0"/>
    <w:rPr>
      <w:rFonts w:hint="eastAsia" w:ascii="宋体" w:hAnsi="Courier New" w:eastAsia="仿宋_GB2312" w:cs="宋体"/>
      <w:b/>
      <w:color w:val="000000"/>
      <w:kern w:val="0"/>
      <w:szCs w:val="21"/>
    </w:rPr>
  </w:style>
  <w:style w:type="character" w:customStyle="1" w:styleId="85">
    <w:name w:val="正文文本缩进 3 Char"/>
    <w:qFormat/>
    <w:uiPriority w:val="0"/>
    <w:rPr>
      <w:rFonts w:eastAsia="黑体"/>
      <w:color w:val="000000"/>
      <w:kern w:val="2"/>
      <w:sz w:val="24"/>
      <w:szCs w:val="24"/>
    </w:rPr>
  </w:style>
  <w:style w:type="character" w:customStyle="1" w:styleId="86">
    <w:name w:val="Footer-Even Char Char"/>
    <w:qFormat/>
    <w:uiPriority w:val="0"/>
    <w:rPr>
      <w:rFonts w:ascii="Times New Roman" w:hAnsi="Times New Roman" w:eastAsia="宋体" w:cs="Times New Roman"/>
      <w:kern w:val="0"/>
      <w:sz w:val="18"/>
      <w:szCs w:val="20"/>
    </w:rPr>
  </w:style>
  <w:style w:type="character" w:customStyle="1" w:styleId="87">
    <w:name w:val="z-窗体顶端 Char1"/>
    <w:qFormat/>
    <w:uiPriority w:val="0"/>
    <w:rPr>
      <w:rFonts w:ascii="Arial" w:hAnsi="Arial" w:cs="Arial"/>
      <w:vanish/>
      <w:kern w:val="2"/>
      <w:sz w:val="16"/>
      <w:szCs w:val="16"/>
    </w:rPr>
  </w:style>
  <w:style w:type="character" w:customStyle="1" w:styleId="88">
    <w:name w:val="纯文本 字符"/>
    <w:qFormat/>
    <w:uiPriority w:val="0"/>
    <w:rPr>
      <w:rFonts w:ascii="宋体" w:hAnsi="Courier New" w:eastAsia="仿宋_GB2312" w:cs="宋体"/>
      <w:b/>
      <w:bCs/>
      <w:color w:val="000000"/>
      <w:kern w:val="2"/>
      <w:sz w:val="21"/>
      <w:szCs w:val="22"/>
    </w:rPr>
  </w:style>
  <w:style w:type="character" w:customStyle="1" w:styleId="89">
    <w:name w:val="Char Char17"/>
    <w:qFormat/>
    <w:uiPriority w:val="0"/>
    <w:rPr>
      <w:rFonts w:ascii="宋体" w:eastAsia="宋体"/>
      <w:b/>
      <w:kern w:val="44"/>
      <w:sz w:val="24"/>
      <w:lang w:val="en-US" w:eastAsia="zh-CN" w:bidi="ar-SA"/>
    </w:rPr>
  </w:style>
  <w:style w:type="character" w:customStyle="1" w:styleId="90">
    <w:name w:val="页眉 Char1"/>
    <w:qFormat/>
    <w:uiPriority w:val="0"/>
    <w:rPr>
      <w:sz w:val="18"/>
    </w:rPr>
  </w:style>
  <w:style w:type="character" w:customStyle="1" w:styleId="91">
    <w:name w:val="Char Char6"/>
    <w:qFormat/>
    <w:uiPriority w:val="0"/>
    <w:rPr>
      <w:rFonts w:ascii="宋体" w:eastAsia="宋体"/>
      <w:b/>
      <w:kern w:val="44"/>
      <w:sz w:val="24"/>
      <w:lang w:val="en-US" w:eastAsia="zh-CN" w:bidi="ar-SA"/>
    </w:rPr>
  </w:style>
  <w:style w:type="character" w:customStyle="1" w:styleId="92">
    <w:name w:val="自定义正文 Char Char"/>
    <w:link w:val="93"/>
    <w:qFormat/>
    <w:uiPriority w:val="0"/>
    <w:rPr>
      <w:kern w:val="2"/>
      <w:sz w:val="24"/>
    </w:rPr>
  </w:style>
  <w:style w:type="paragraph" w:customStyle="1" w:styleId="93">
    <w:name w:val="自定义正文"/>
    <w:basedOn w:val="1"/>
    <w:link w:val="92"/>
    <w:qFormat/>
    <w:uiPriority w:val="0"/>
    <w:pPr>
      <w:spacing w:after="156" w:afterLines="50" w:line="360" w:lineRule="auto"/>
      <w:ind w:firstLine="200" w:firstLineChars="200"/>
      <w:jc w:val="left"/>
    </w:pPr>
    <w:rPr>
      <w:sz w:val="24"/>
      <w:szCs w:val="20"/>
    </w:rPr>
  </w:style>
  <w:style w:type="character" w:customStyle="1" w:styleId="94">
    <w:name w:val="op-map-singlepoint-info-right1"/>
    <w:qFormat/>
    <w:uiPriority w:val="0"/>
  </w:style>
  <w:style w:type="character" w:customStyle="1" w:styleId="95">
    <w:name w:val="Char Char8"/>
    <w:qFormat/>
    <w:uiPriority w:val="0"/>
    <w:rPr>
      <w:rFonts w:ascii="Cambria" w:hAnsi="Cambria" w:eastAsia="宋体" w:cs="Times New Roman"/>
      <w:b/>
      <w:bCs/>
      <w:sz w:val="32"/>
      <w:szCs w:val="32"/>
    </w:rPr>
  </w:style>
  <w:style w:type="character" w:customStyle="1" w:styleId="96">
    <w:name w:val="v151"/>
    <w:qFormat/>
    <w:uiPriority w:val="0"/>
    <w:rPr>
      <w:rFonts w:eastAsia="宋体"/>
      <w:kern w:val="2"/>
      <w:sz w:val="18"/>
      <w:szCs w:val="18"/>
      <w:lang w:val="en-US" w:eastAsia="zh-CN" w:bidi="ar-SA"/>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font61"/>
    <w:autoRedefine/>
    <w:qFormat/>
    <w:uiPriority w:val="0"/>
    <w:rPr>
      <w:rFonts w:hint="eastAsia" w:ascii="宋体" w:hAnsi="宋体" w:eastAsia="宋体" w:cs="宋体"/>
      <w:color w:val="000000"/>
      <w:sz w:val="24"/>
      <w:szCs w:val="24"/>
      <w:u w:val="none"/>
    </w:rPr>
  </w:style>
  <w:style w:type="character" w:customStyle="1" w:styleId="99">
    <w:name w:val="Default 1"/>
    <w:qFormat/>
    <w:uiPriority w:val="0"/>
    <w:rPr>
      <w:rFonts w:cs="Verdana"/>
      <w:sz w:val="16"/>
      <w:szCs w:val="16"/>
    </w:rPr>
  </w:style>
  <w:style w:type="character" w:customStyle="1" w:styleId="100">
    <w:name w:val="正文文字首行缩进 Char"/>
    <w:autoRedefine/>
    <w:qFormat/>
    <w:uiPriority w:val="0"/>
    <w:rPr>
      <w:rFonts w:ascii="Times New Roman" w:hAnsi="Times New Roman"/>
      <w:sz w:val="21"/>
    </w:rPr>
  </w:style>
  <w:style w:type="character" w:customStyle="1" w:styleId="101">
    <w:name w:val="font11"/>
    <w:qFormat/>
    <w:uiPriority w:val="0"/>
    <w:rPr>
      <w:rFonts w:hint="eastAsia" w:ascii="宋体" w:hAnsi="宋体" w:eastAsia="宋体" w:cs="宋体"/>
      <w:b/>
      <w:color w:val="000000"/>
      <w:sz w:val="24"/>
      <w:szCs w:val="24"/>
      <w:u w:val="none"/>
    </w:rPr>
  </w:style>
  <w:style w:type="character" w:customStyle="1" w:styleId="102">
    <w:name w:val="Char Char2"/>
    <w:qFormat/>
    <w:uiPriority w:val="0"/>
    <w:rPr>
      <w:rFonts w:eastAsia="宋体"/>
      <w:kern w:val="2"/>
      <w:sz w:val="18"/>
      <w:szCs w:val="18"/>
      <w:lang w:val="en-US" w:eastAsia="zh-CN" w:bidi="ar-SA"/>
    </w:rPr>
  </w:style>
  <w:style w:type="character" w:customStyle="1" w:styleId="103">
    <w:name w:val="para"/>
    <w:qFormat/>
    <w:uiPriority w:val="0"/>
    <w:rPr>
      <w:rFonts w:eastAsia="宋体"/>
      <w:kern w:val="2"/>
      <w:sz w:val="24"/>
      <w:szCs w:val="24"/>
      <w:lang w:val="en-US" w:eastAsia="zh-CN" w:bidi="ar-SA"/>
    </w:rPr>
  </w:style>
  <w:style w:type="character" w:customStyle="1" w:styleId="104">
    <w:name w:val="12blk1"/>
    <w:qFormat/>
    <w:uiPriority w:val="0"/>
    <w:rPr>
      <w:rFonts w:hint="default"/>
      <w:color w:val="000000"/>
      <w:sz w:val="24"/>
      <w:szCs w:val="24"/>
      <w:u w:val="none"/>
    </w:rPr>
  </w:style>
  <w:style w:type="character" w:customStyle="1" w:styleId="105">
    <w:name w:val="contentheaderrev1"/>
    <w:qFormat/>
    <w:uiPriority w:val="0"/>
    <w:rPr>
      <w:rFonts w:hint="default" w:ascii="Arial" w:hAnsi="Arial" w:cs="Arial"/>
      <w:b/>
      <w:bCs/>
      <w:color w:val="FFFFFF"/>
      <w:sz w:val="24"/>
      <w:szCs w:val="24"/>
      <w:u w:val="none"/>
    </w:rPr>
  </w:style>
  <w:style w:type="character" w:customStyle="1" w:styleId="106">
    <w:name w:val="纯文本字符"/>
    <w:qFormat/>
    <w:uiPriority w:val="0"/>
    <w:rPr>
      <w:rFonts w:ascii="宋体" w:hAnsi="Courier New"/>
      <w:kern w:val="2"/>
      <w:sz w:val="24"/>
      <w:szCs w:val="24"/>
      <w:lang w:bidi="ar-SA"/>
    </w:rPr>
  </w:style>
  <w:style w:type="character" w:customStyle="1" w:styleId="107">
    <w:name w:val="z-窗体底端 Char1"/>
    <w:qFormat/>
    <w:uiPriority w:val="0"/>
    <w:rPr>
      <w:rFonts w:ascii="Arial" w:hAnsi="Arial" w:cs="Arial"/>
      <w:vanish/>
      <w:kern w:val="2"/>
      <w:sz w:val="16"/>
      <w:szCs w:val="16"/>
    </w:rPr>
  </w:style>
  <w:style w:type="character" w:customStyle="1" w:styleId="108">
    <w:name w:val="Char Char12"/>
    <w:qFormat/>
    <w:uiPriority w:val="0"/>
    <w:rPr>
      <w:rFonts w:eastAsia="宋体"/>
      <w:kern w:val="2"/>
      <w:sz w:val="18"/>
      <w:szCs w:val="18"/>
      <w:lang w:val="en-US" w:eastAsia="zh-CN" w:bidi="ar-SA"/>
    </w:rPr>
  </w:style>
  <w:style w:type="character" w:customStyle="1" w:styleId="109">
    <w:name w:val="标题 1 Char Char"/>
    <w:qFormat/>
    <w:uiPriority w:val="0"/>
    <w:rPr>
      <w:rFonts w:eastAsia="宋体"/>
      <w:b/>
      <w:spacing w:val="-2"/>
      <w:sz w:val="24"/>
      <w:lang w:val="en-US" w:eastAsia="zh-CN" w:bidi="ar-SA"/>
    </w:rPr>
  </w:style>
  <w:style w:type="character" w:customStyle="1" w:styleId="110">
    <w:name w:val="普通文字 Char Char Char Char1"/>
    <w:qFormat/>
    <w:uiPriority w:val="0"/>
    <w:rPr>
      <w:rFonts w:ascii="宋体" w:hAnsi="Courier New" w:eastAsia="仿宋_GB2312"/>
      <w:b/>
      <w:color w:val="000000"/>
      <w:sz w:val="21"/>
    </w:rPr>
  </w:style>
  <w:style w:type="character" w:customStyle="1" w:styleId="111">
    <w:name w:val="列表段落 字符"/>
    <w:link w:val="112"/>
    <w:qFormat/>
    <w:uiPriority w:val="34"/>
    <w:rPr>
      <w:rFonts w:ascii="Calibri" w:hAnsi="Calibri"/>
      <w:kern w:val="2"/>
      <w:sz w:val="21"/>
      <w:szCs w:val="22"/>
    </w:rPr>
  </w:style>
  <w:style w:type="paragraph" w:styleId="112">
    <w:name w:val="List Paragraph"/>
    <w:basedOn w:val="1"/>
    <w:link w:val="111"/>
    <w:qFormat/>
    <w:uiPriority w:val="99"/>
    <w:pPr>
      <w:ind w:firstLine="420" w:firstLineChars="200"/>
    </w:pPr>
    <w:rPr>
      <w:rFonts w:ascii="Calibri" w:hAnsi="Calibri"/>
      <w:szCs w:val="22"/>
    </w:rPr>
  </w:style>
  <w:style w:type="character" w:customStyle="1" w:styleId="113">
    <w:name w:val="Char Char7"/>
    <w:qFormat/>
    <w:uiPriority w:val="0"/>
    <w:rPr>
      <w:rFonts w:ascii="Cambria" w:hAnsi="Cambria" w:eastAsia="宋体"/>
      <w:b/>
      <w:bCs/>
      <w:sz w:val="32"/>
      <w:szCs w:val="32"/>
      <w:lang w:val="en-US" w:eastAsia="zh-CN" w:bidi="ar-SA"/>
    </w:rPr>
  </w:style>
  <w:style w:type="character" w:customStyle="1" w:styleId="114">
    <w:name w:val="日期 Char"/>
    <w:qFormat/>
    <w:uiPriority w:val="0"/>
    <w:rPr>
      <w:rFonts w:eastAsia="宋体"/>
      <w:color w:val="000000"/>
      <w:kern w:val="2"/>
      <w:sz w:val="24"/>
      <w:szCs w:val="24"/>
      <w:lang w:val="en-US" w:eastAsia="zh-CN" w:bidi="ar-SA"/>
    </w:rPr>
  </w:style>
  <w:style w:type="character" w:customStyle="1" w:styleId="115">
    <w:name w:val="unnamed51"/>
    <w:autoRedefine/>
    <w:qFormat/>
    <w:uiPriority w:val="0"/>
    <w:rPr>
      <w:sz w:val="22"/>
      <w:szCs w:val="22"/>
    </w:rPr>
  </w:style>
  <w:style w:type="character" w:customStyle="1" w:styleId="116">
    <w:name w:val="纯文本 Char Char Char"/>
    <w:qFormat/>
    <w:uiPriority w:val="0"/>
    <w:rPr>
      <w:rFonts w:ascii="宋体" w:hAnsi="Courier New" w:eastAsia="宋体"/>
      <w:kern w:val="2"/>
      <w:sz w:val="21"/>
      <w:lang w:val="en-US" w:eastAsia="zh-CN" w:bidi="ar-SA"/>
    </w:rPr>
  </w:style>
  <w:style w:type="character" w:customStyle="1" w:styleId="117">
    <w:name w:val="列出段落 Char"/>
    <w:autoRedefine/>
    <w:qFormat/>
    <w:uiPriority w:val="34"/>
    <w:rPr>
      <w:kern w:val="2"/>
      <w:sz w:val="21"/>
    </w:rPr>
  </w:style>
  <w:style w:type="character" w:customStyle="1" w:styleId="118">
    <w:name w:val="纯文本 字符1"/>
    <w:autoRedefine/>
    <w:qFormat/>
    <w:uiPriority w:val="0"/>
    <w:rPr>
      <w:rFonts w:hint="eastAsia" w:ascii="宋体" w:hAnsi="Courier New" w:eastAsia="仿宋_GB2312" w:cs="宋体"/>
      <w:b/>
      <w:color w:val="000000"/>
      <w:kern w:val="0"/>
      <w:szCs w:val="21"/>
    </w:rPr>
  </w:style>
  <w:style w:type="character" w:customStyle="1" w:styleId="119">
    <w:name w:val="wj1"/>
    <w:qFormat/>
    <w:uiPriority w:val="0"/>
    <w:rPr>
      <w:color w:val="000000"/>
      <w:sz w:val="18"/>
      <w:szCs w:val="18"/>
      <w:u w:val="none"/>
    </w:rPr>
  </w:style>
  <w:style w:type="character" w:customStyle="1" w:styleId="120">
    <w:name w:val="themebody1"/>
    <w:qFormat/>
    <w:uiPriority w:val="0"/>
    <w:rPr>
      <w:rFonts w:eastAsia="宋体"/>
      <w:color w:val="FFFFFF"/>
      <w:kern w:val="2"/>
      <w:sz w:val="24"/>
      <w:szCs w:val="24"/>
      <w:lang w:val="en-US" w:eastAsia="zh-CN" w:bidi="ar-SA"/>
    </w:rPr>
  </w:style>
  <w:style w:type="character" w:customStyle="1" w:styleId="121">
    <w:name w:val="small"/>
    <w:qFormat/>
    <w:uiPriority w:val="0"/>
    <w:rPr>
      <w:rFonts w:eastAsia="宋体"/>
      <w:kern w:val="2"/>
      <w:sz w:val="24"/>
      <w:szCs w:val="24"/>
      <w:lang w:val="en-US" w:eastAsia="zh-CN" w:bidi="ar-SA"/>
    </w:rPr>
  </w:style>
  <w:style w:type="character" w:customStyle="1" w:styleId="122">
    <w:name w:val="标题2 Char1"/>
    <w:qFormat/>
    <w:uiPriority w:val="0"/>
    <w:rPr>
      <w:rFonts w:ascii="Cambria" w:hAnsi="Cambria" w:eastAsia="宋体" w:cs="Times New Roman"/>
      <w:b/>
      <w:bCs/>
      <w:sz w:val="32"/>
      <w:szCs w:val="32"/>
    </w:rPr>
  </w:style>
  <w:style w:type="character" w:customStyle="1" w:styleId="123">
    <w:name w:val="z-窗体顶端 字符"/>
    <w:link w:val="124"/>
    <w:qFormat/>
    <w:uiPriority w:val="0"/>
    <w:rPr>
      <w:rFonts w:ascii="Arial" w:hAnsi="Arial" w:cs="Arial"/>
      <w:vanish/>
      <w:sz w:val="16"/>
      <w:szCs w:val="16"/>
    </w:rPr>
  </w:style>
  <w:style w:type="paragraph" w:customStyle="1" w:styleId="124">
    <w:name w:val="z-窗体顶端1"/>
    <w:basedOn w:val="1"/>
    <w:next w:val="1"/>
    <w:link w:val="123"/>
    <w:qFormat/>
    <w:uiPriority w:val="0"/>
    <w:pPr>
      <w:widowControl/>
      <w:pBdr>
        <w:bottom w:val="single" w:color="auto" w:sz="6" w:space="1"/>
      </w:pBdr>
      <w:jc w:val="center"/>
    </w:pPr>
    <w:rPr>
      <w:rFonts w:ascii="Arial" w:hAnsi="Arial"/>
      <w:vanish/>
      <w:kern w:val="0"/>
      <w:sz w:val="16"/>
      <w:szCs w:val="16"/>
    </w:rPr>
  </w:style>
  <w:style w:type="character" w:customStyle="1" w:styleId="125">
    <w:name w:val="ft"/>
    <w:qFormat/>
    <w:uiPriority w:val="0"/>
  </w:style>
  <w:style w:type="character" w:customStyle="1" w:styleId="126">
    <w:name w:val="批注主题 Char"/>
    <w:qFormat/>
    <w:uiPriority w:val="0"/>
    <w:rPr>
      <w:b/>
      <w:bCs/>
      <w:kern w:val="2"/>
      <w:sz w:val="21"/>
      <w:szCs w:val="24"/>
    </w:rPr>
  </w:style>
  <w:style w:type="character" w:customStyle="1" w:styleId="127">
    <w:name w:val="grame"/>
    <w:qFormat/>
    <w:uiPriority w:val="0"/>
  </w:style>
  <w:style w:type="character" w:customStyle="1" w:styleId="128">
    <w:name w:val="biaoti-red"/>
    <w:qFormat/>
    <w:uiPriority w:val="0"/>
  </w:style>
  <w:style w:type="character" w:customStyle="1" w:styleId="129">
    <w:name w:val="text1"/>
    <w:qFormat/>
    <w:uiPriority w:val="0"/>
    <w:rPr>
      <w:rFonts w:hint="default"/>
      <w:color w:val="666666"/>
      <w:sz w:val="18"/>
      <w:szCs w:val="18"/>
      <w:u w:val="none"/>
    </w:rPr>
  </w:style>
  <w:style w:type="character" w:customStyle="1" w:styleId="130">
    <w:name w:val="z-窗体底端 字符"/>
    <w:link w:val="131"/>
    <w:qFormat/>
    <w:uiPriority w:val="0"/>
    <w:rPr>
      <w:rFonts w:ascii="Arial" w:hAnsi="Arial" w:cs="Arial"/>
      <w:vanish/>
      <w:sz w:val="16"/>
      <w:szCs w:val="16"/>
    </w:rPr>
  </w:style>
  <w:style w:type="paragraph" w:customStyle="1" w:styleId="131">
    <w:name w:val="z-窗体底端1"/>
    <w:basedOn w:val="1"/>
    <w:next w:val="1"/>
    <w:link w:val="130"/>
    <w:qFormat/>
    <w:uiPriority w:val="0"/>
    <w:pPr>
      <w:widowControl/>
      <w:pBdr>
        <w:top w:val="single" w:color="auto" w:sz="6" w:space="1"/>
      </w:pBdr>
      <w:jc w:val="center"/>
    </w:pPr>
    <w:rPr>
      <w:rFonts w:ascii="Arial" w:hAnsi="Arial"/>
      <w:vanish/>
      <w:kern w:val="0"/>
      <w:sz w:val="16"/>
      <w:szCs w:val="16"/>
    </w:rPr>
  </w:style>
  <w:style w:type="character" w:customStyle="1" w:styleId="132">
    <w:name w:val="标题 2 Char1"/>
    <w:qFormat/>
    <w:uiPriority w:val="9"/>
    <w:rPr>
      <w:rFonts w:ascii="Cambria" w:hAnsi="Cambria"/>
      <w:b/>
      <w:bCs/>
      <w:sz w:val="32"/>
      <w:szCs w:val="32"/>
    </w:rPr>
  </w:style>
  <w:style w:type="character" w:customStyle="1" w:styleId="133">
    <w:name w:val="段 Char"/>
    <w:link w:val="134"/>
    <w:qFormat/>
    <w:uiPriority w:val="0"/>
    <w:rPr>
      <w:rFonts w:ascii="宋体"/>
      <w:lang w:val="en-US" w:eastAsia="zh-CN" w:bidi="ar-SA"/>
    </w:rPr>
  </w:style>
  <w:style w:type="paragraph" w:customStyle="1" w:styleId="134">
    <w:name w:val="段"/>
    <w:link w:val="1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35">
    <w:name w:val="标题1"/>
    <w:basedOn w:val="1"/>
    <w:autoRedefine/>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3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37">
    <w:name w:val="Char Char Char Char1 Char Char Char Char"/>
    <w:basedOn w:val="17"/>
    <w:autoRedefine/>
    <w:qFormat/>
    <w:uiPriority w:val="0"/>
    <w:rPr>
      <w:szCs w:val="20"/>
    </w:rPr>
  </w:style>
  <w:style w:type="paragraph" w:customStyle="1" w:styleId="138">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39">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140">
    <w:name w:val="zoey楷体正文"/>
    <w:basedOn w:val="4"/>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41">
    <w:name w:val="Char Char Char Char Char Char Char"/>
    <w:basedOn w:val="1"/>
    <w:qFormat/>
    <w:uiPriority w:val="0"/>
    <w:rPr>
      <w:rFonts w:ascii="仿宋_GB2312" w:eastAsia="仿宋_GB2312"/>
      <w:b/>
      <w:sz w:val="32"/>
      <w:szCs w:val="32"/>
    </w:rPr>
  </w:style>
  <w:style w:type="paragraph" w:customStyle="1" w:styleId="14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 Char Char Char1"/>
    <w:basedOn w:val="17"/>
    <w:qFormat/>
    <w:uiPriority w:val="0"/>
    <w:rPr>
      <w:szCs w:val="20"/>
    </w:rPr>
  </w:style>
  <w:style w:type="paragraph" w:customStyle="1" w:styleId="144">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45">
    <w:name w:val="样式1"/>
    <w:basedOn w:val="7"/>
    <w:qFormat/>
    <w:uiPriority w:val="0"/>
    <w:pPr>
      <w:spacing w:line="374" w:lineRule="auto"/>
    </w:pPr>
  </w:style>
  <w:style w:type="paragraph" w:customStyle="1" w:styleId="146">
    <w:name w:val="Figure Desription Char"/>
    <w:basedOn w:val="1"/>
    <w:qFormat/>
    <w:uiPriority w:val="0"/>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49">
    <w:name w:val="样式2"/>
    <w:basedOn w:val="7"/>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50">
    <w:name w:val="标题 1 + 仿宋_GB2312"/>
    <w:basedOn w:val="4"/>
    <w:qFormat/>
    <w:uiPriority w:val="0"/>
    <w:pPr>
      <w:keepLines/>
      <w:spacing w:before="340" w:after="330" w:line="578" w:lineRule="auto"/>
      <w:jc w:val="both"/>
    </w:pPr>
    <w:rPr>
      <w:rFonts w:ascii="仿宋_GB2312" w:eastAsia="仿宋_GB2312"/>
      <w:b/>
      <w:bCs/>
      <w:kern w:val="44"/>
      <w:sz w:val="32"/>
      <w:szCs w:val="32"/>
    </w:rPr>
  </w:style>
  <w:style w:type="paragraph" w:customStyle="1" w:styleId="151">
    <w:name w:val="Char Char1"/>
    <w:basedOn w:val="1"/>
    <w:qFormat/>
    <w:uiPriority w:val="0"/>
    <w:rPr>
      <w:rFonts w:ascii="Tahoma" w:hAnsi="Tahoma"/>
      <w:sz w:val="24"/>
      <w:szCs w:val="20"/>
    </w:rPr>
  </w:style>
  <w:style w:type="paragraph" w:customStyle="1" w:styleId="152">
    <w:name w:val="Char Char4"/>
    <w:basedOn w:val="1"/>
    <w:qFormat/>
    <w:uiPriority w:val="0"/>
    <w:rPr>
      <w:rFonts w:ascii="Tahoma" w:hAnsi="Tahoma"/>
      <w:sz w:val="24"/>
      <w:szCs w:val="20"/>
    </w:rPr>
  </w:style>
  <w:style w:type="paragraph" w:customStyle="1" w:styleId="153">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54">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55">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56">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15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58">
    <w:name w:val="默认段落字体 Para Char Char Char Char"/>
    <w:basedOn w:val="1"/>
    <w:qFormat/>
    <w:uiPriority w:val="0"/>
    <w:rPr>
      <w:szCs w:val="20"/>
    </w:rPr>
  </w:style>
  <w:style w:type="paragraph" w:customStyle="1" w:styleId="159">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0">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161">
    <w:name w:val="p0"/>
    <w:basedOn w:val="1"/>
    <w:qFormat/>
    <w:uiPriority w:val="0"/>
    <w:pPr>
      <w:widowControl/>
    </w:pPr>
    <w:rPr>
      <w:rFonts w:ascii="Calibri" w:hAnsi="Calibri" w:cs="宋体"/>
      <w:kern w:val="0"/>
      <w:szCs w:val="21"/>
    </w:rPr>
  </w:style>
  <w:style w:type="paragraph" w:customStyle="1" w:styleId="162">
    <w:name w:val="_Style 50"/>
    <w:next w:val="1"/>
    <w:qFormat/>
    <w:uiPriority w:val="0"/>
    <w:rPr>
      <w:rFonts w:ascii="Times New Roman" w:hAnsi="Times New Roman" w:eastAsia="宋体" w:cs="Times New Roman"/>
      <w:sz w:val="21"/>
      <w:lang w:val="en-US" w:eastAsia="zh-CN" w:bidi="ar-SA"/>
    </w:rPr>
  </w:style>
  <w:style w:type="paragraph" w:customStyle="1" w:styleId="163">
    <w:name w:val="font2"/>
    <w:basedOn w:val="1"/>
    <w:autoRedefine/>
    <w:qFormat/>
    <w:uiPriority w:val="0"/>
    <w:pPr>
      <w:widowControl/>
      <w:spacing w:before="100" w:beforeAutospacing="1" w:after="100" w:afterAutospacing="1"/>
      <w:jc w:val="left"/>
    </w:pPr>
    <w:rPr>
      <w:rFonts w:ascii="宋体" w:hAnsi="宋体"/>
      <w:color w:val="FF0000"/>
      <w:kern w:val="0"/>
      <w:sz w:val="24"/>
    </w:rPr>
  </w:style>
  <w:style w:type="paragraph" w:customStyle="1" w:styleId="164">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5">
    <w:name w:val="Char2"/>
    <w:basedOn w:val="1"/>
    <w:qFormat/>
    <w:uiPriority w:val="0"/>
    <w:rPr>
      <w:rFonts w:ascii="仿宋_GB2312" w:eastAsia="仿宋_GB2312"/>
      <w:b/>
      <w:sz w:val="32"/>
      <w:szCs w:val="32"/>
    </w:rPr>
  </w:style>
  <w:style w:type="paragraph" w:customStyle="1" w:styleId="166">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167">
    <w:name w:val="Char"/>
    <w:basedOn w:val="1"/>
    <w:qFormat/>
    <w:uiPriority w:val="0"/>
    <w:rPr>
      <w:rFonts w:ascii="仿宋_GB2312" w:eastAsia="仿宋_GB2312"/>
      <w:b/>
      <w:sz w:val="32"/>
      <w:szCs w:val="32"/>
    </w:rPr>
  </w:style>
  <w:style w:type="paragraph" w:customStyle="1" w:styleId="168">
    <w:name w:val="表格文字"/>
    <w:basedOn w:val="1"/>
    <w:next w:val="3"/>
    <w:autoRedefine/>
    <w:qFormat/>
    <w:uiPriority w:val="0"/>
    <w:pPr>
      <w:widowControl/>
      <w:adjustRightInd w:val="0"/>
      <w:spacing w:line="420" w:lineRule="atLeast"/>
      <w:jc w:val="left"/>
      <w:textAlignment w:val="baseline"/>
    </w:pPr>
    <w:rPr>
      <w:kern w:val="0"/>
    </w:rPr>
  </w:style>
  <w:style w:type="paragraph" w:customStyle="1" w:styleId="169">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170">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71">
    <w:name w:val="Char Char Char Char Char Char Char Char Char Char"/>
    <w:basedOn w:val="17"/>
    <w:qFormat/>
    <w:uiPriority w:val="0"/>
  </w:style>
  <w:style w:type="paragraph" w:customStyle="1" w:styleId="172">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173">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174">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75">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76">
    <w:name w:val="Char3"/>
    <w:basedOn w:val="1"/>
    <w:qFormat/>
    <w:uiPriority w:val="0"/>
    <w:rPr>
      <w:rFonts w:ascii="仿宋_GB2312" w:eastAsia="仿宋_GB2312"/>
      <w:b/>
      <w:sz w:val="32"/>
      <w:szCs w:val="32"/>
    </w:rPr>
  </w:style>
  <w:style w:type="paragraph" w:customStyle="1" w:styleId="177">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17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79">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80">
    <w:name w:val="Fließtext"/>
    <w:basedOn w:val="1"/>
    <w:autoRedefine/>
    <w:qFormat/>
    <w:uiPriority w:val="0"/>
    <w:pPr>
      <w:widowControl/>
      <w:overflowPunct w:val="0"/>
      <w:autoSpaceDE w:val="0"/>
      <w:autoSpaceDN w:val="0"/>
      <w:adjustRightInd w:val="0"/>
      <w:jc w:val="left"/>
      <w:textAlignment w:val="baseline"/>
    </w:pPr>
    <w:rPr>
      <w:kern w:val="28"/>
      <w:szCs w:val="20"/>
    </w:rPr>
  </w:style>
  <w:style w:type="paragraph" w:customStyle="1" w:styleId="181">
    <w:name w:val="纯文本1"/>
    <w:basedOn w:val="1"/>
    <w:qFormat/>
    <w:uiPriority w:val="0"/>
    <w:pPr>
      <w:widowControl/>
      <w:spacing w:before="100" w:beforeAutospacing="1" w:after="100" w:afterAutospacing="1"/>
      <w:jc w:val="left"/>
    </w:pPr>
    <w:rPr>
      <w:rFonts w:ascii="宋体" w:hAnsi="宋体"/>
      <w:sz w:val="24"/>
    </w:rPr>
  </w:style>
  <w:style w:type="paragraph" w:customStyle="1" w:styleId="182">
    <w:name w:val="标题 61"/>
    <w:basedOn w:val="1"/>
    <w:qFormat/>
    <w:uiPriority w:val="0"/>
    <w:pPr>
      <w:widowControl/>
      <w:jc w:val="left"/>
      <w:outlineLvl w:val="6"/>
    </w:pPr>
    <w:rPr>
      <w:rFonts w:ascii="宋体" w:hAnsi="宋体" w:cs="宋体"/>
      <w:color w:val="00569B"/>
      <w:kern w:val="0"/>
      <w:sz w:val="17"/>
      <w:szCs w:val="17"/>
    </w:rPr>
  </w:style>
  <w:style w:type="paragraph" w:customStyle="1" w:styleId="183">
    <w:name w:val="列出段落1"/>
    <w:basedOn w:val="1"/>
    <w:qFormat/>
    <w:uiPriority w:val="0"/>
    <w:pPr>
      <w:ind w:firstLine="420" w:firstLineChars="200"/>
    </w:pPr>
    <w:rPr>
      <w:szCs w:val="20"/>
    </w:rPr>
  </w:style>
  <w:style w:type="paragraph" w:customStyle="1" w:styleId="184">
    <w:name w:val="文档正文"/>
    <w:basedOn w:val="1"/>
    <w:qFormat/>
    <w:uiPriority w:val="0"/>
    <w:pPr>
      <w:adjustRightInd w:val="0"/>
      <w:spacing w:line="480" w:lineRule="atLeast"/>
      <w:ind w:firstLine="567"/>
      <w:textAlignment w:val="baseline"/>
    </w:pPr>
    <w:rPr>
      <w:kern w:val="0"/>
      <w:sz w:val="24"/>
      <w:szCs w:val="20"/>
    </w:rPr>
  </w:style>
  <w:style w:type="paragraph" w:customStyle="1" w:styleId="185">
    <w:name w:val="TOC 标题1"/>
    <w:basedOn w:val="4"/>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86">
    <w:name w:val="模板正文缩进"/>
    <w:basedOn w:val="1"/>
    <w:autoRedefine/>
    <w:qFormat/>
    <w:uiPriority w:val="0"/>
    <w:pPr>
      <w:spacing w:before="156" w:beforeLines="50" w:after="156" w:afterLines="50" w:line="520" w:lineRule="exact"/>
      <w:ind w:left="1049" w:hanging="420"/>
    </w:pPr>
    <w:rPr>
      <w:rFonts w:ascii="宋体" w:hAnsi="宋体"/>
      <w:kern w:val="0"/>
      <w:sz w:val="24"/>
    </w:rPr>
  </w:style>
  <w:style w:type="paragraph" w:customStyle="1" w:styleId="187">
    <w:name w:val="附件"/>
    <w:basedOn w:val="4"/>
    <w:qFormat/>
    <w:uiPriority w:val="0"/>
    <w:pPr>
      <w:keepNext w:val="0"/>
      <w:pageBreakBefore/>
      <w:tabs>
        <w:tab w:val="left" w:pos="840"/>
      </w:tabs>
      <w:adjustRightInd w:val="0"/>
      <w:snapToGrid w:val="0"/>
      <w:spacing w:before="312" w:beforeLines="100" w:after="312" w:afterLines="100"/>
    </w:pPr>
    <w:rPr>
      <w:rFonts w:ascii="宋体" w:hAnsi="宋体"/>
      <w:b/>
      <w:kern w:val="44"/>
      <w:szCs w:val="36"/>
    </w:rPr>
  </w:style>
  <w:style w:type="paragraph" w:customStyle="1" w:styleId="188">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89">
    <w:name w:val="正文段"/>
    <w:basedOn w:val="1"/>
    <w:autoRedefine/>
    <w:qFormat/>
    <w:uiPriority w:val="0"/>
    <w:pPr>
      <w:widowControl/>
      <w:snapToGrid w:val="0"/>
      <w:spacing w:after="50"/>
      <w:ind w:firstLine="200" w:firstLineChars="200"/>
    </w:pPr>
    <w:rPr>
      <w:kern w:val="0"/>
      <w:sz w:val="24"/>
      <w:szCs w:val="20"/>
    </w:rPr>
  </w:style>
  <w:style w:type="paragraph" w:customStyle="1" w:styleId="190">
    <w:name w:val="b5-1"/>
    <w:basedOn w:val="1"/>
    <w:autoRedefine/>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1">
    <w:name w:val="中等深浅网格 1 - 强调文字颜色 21"/>
    <w:basedOn w:val="1"/>
    <w:autoRedefine/>
    <w:qFormat/>
    <w:uiPriority w:val="34"/>
    <w:pPr>
      <w:widowControl/>
      <w:ind w:firstLine="420" w:firstLineChars="200"/>
      <w:jc w:val="left"/>
    </w:pPr>
    <w:rPr>
      <w:kern w:val="0"/>
      <w:szCs w:val="20"/>
    </w:rPr>
  </w:style>
  <w:style w:type="paragraph" w:customStyle="1" w:styleId="192">
    <w:name w:val="_Style 32"/>
    <w:basedOn w:val="1"/>
    <w:autoRedefine/>
    <w:qFormat/>
    <w:uiPriority w:val="0"/>
    <w:rPr>
      <w:rFonts w:ascii="仿宋_GB2312" w:hAnsi="仿宋_GB2312" w:cs="宋体"/>
      <w:b/>
      <w:bCs/>
      <w:color w:val="000000"/>
      <w:kern w:val="0"/>
      <w:sz w:val="22"/>
      <w:szCs w:val="21"/>
    </w:rPr>
  </w:style>
  <w:style w:type="paragraph" w:customStyle="1" w:styleId="193">
    <w:name w:val="Char Char"/>
    <w:basedOn w:val="1"/>
    <w:qFormat/>
    <w:uiPriority w:val="0"/>
    <w:rPr>
      <w:rFonts w:ascii="Tahoma" w:hAnsi="Tahoma"/>
      <w:sz w:val="24"/>
      <w:szCs w:val="20"/>
    </w:rPr>
  </w:style>
  <w:style w:type="paragraph" w:customStyle="1" w:styleId="194">
    <w:name w:val="Char1 Char Char Char1"/>
    <w:basedOn w:val="1"/>
    <w:qFormat/>
    <w:uiPriority w:val="0"/>
    <w:rPr>
      <w:rFonts w:ascii="Tahoma" w:hAnsi="Tahoma"/>
      <w:sz w:val="24"/>
      <w:szCs w:val="20"/>
    </w:rPr>
  </w:style>
  <w:style w:type="paragraph" w:customStyle="1" w:styleId="19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96">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97">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98">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99">
    <w:name w:val="Char1"/>
    <w:basedOn w:val="1"/>
    <w:qFormat/>
    <w:uiPriority w:val="0"/>
    <w:rPr>
      <w:rFonts w:ascii="仿宋_GB2312" w:eastAsia="仿宋_GB2312"/>
      <w:b/>
      <w:sz w:val="32"/>
      <w:szCs w:val="32"/>
    </w:rPr>
  </w:style>
  <w:style w:type="paragraph" w:customStyle="1" w:styleId="200">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201">
    <w:name w:val="列表段落1"/>
    <w:basedOn w:val="1"/>
    <w:qFormat/>
    <w:uiPriority w:val="99"/>
    <w:pPr>
      <w:widowControl/>
      <w:ind w:firstLine="420" w:firstLineChars="200"/>
      <w:jc w:val="left"/>
    </w:pPr>
    <w:rPr>
      <w:kern w:val="0"/>
      <w:sz w:val="24"/>
      <w:szCs w:val="20"/>
    </w:rPr>
  </w:style>
  <w:style w:type="paragraph" w:customStyle="1" w:styleId="202">
    <w:name w:val="表内文字"/>
    <w:basedOn w:val="1"/>
    <w:qFormat/>
    <w:uiPriority w:val="0"/>
    <w:pPr>
      <w:jc w:val="center"/>
    </w:pPr>
    <w:rPr>
      <w:rFonts w:ascii="仿宋_GB2312" w:eastAsia="仿宋_GB2312"/>
      <w:sz w:val="24"/>
    </w:rPr>
  </w:style>
  <w:style w:type="paragraph" w:customStyle="1" w:styleId="203">
    <w:name w:val="正文文字表格居中"/>
    <w:basedOn w:val="1"/>
    <w:next w:val="40"/>
    <w:qFormat/>
    <w:uiPriority w:val="0"/>
    <w:pPr>
      <w:spacing w:line="400" w:lineRule="exact"/>
      <w:jc w:val="center"/>
    </w:pPr>
    <w:rPr>
      <w:b/>
      <w:bCs/>
      <w:sz w:val="24"/>
    </w:rPr>
  </w:style>
  <w:style w:type="paragraph" w:customStyle="1" w:styleId="204">
    <w:name w:val="Char Char Char Char11"/>
    <w:basedOn w:val="1"/>
    <w:qFormat/>
    <w:uiPriority w:val="0"/>
    <w:rPr>
      <w:rFonts w:ascii="Tahoma" w:hAnsi="Tahoma"/>
      <w:sz w:val="24"/>
      <w:szCs w:val="20"/>
    </w:rPr>
  </w:style>
  <w:style w:type="paragraph" w:customStyle="1" w:styleId="205">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6">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7">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
    <w:name w:val="Char Char1 Char Char"/>
    <w:basedOn w:val="1"/>
    <w:qFormat/>
    <w:uiPriority w:val="0"/>
    <w:pPr>
      <w:ind w:left="100" w:leftChars="100" w:right="100" w:rightChars="100"/>
      <w:jc w:val="left"/>
    </w:pPr>
    <w:rPr>
      <w:rFonts w:ascii="Tahoma" w:hAnsi="Tahoma"/>
      <w:sz w:val="24"/>
      <w:szCs w:val="20"/>
    </w:rPr>
  </w:style>
  <w:style w:type="paragraph" w:customStyle="1" w:styleId="209">
    <w:name w:val="Char Char3"/>
    <w:basedOn w:val="1"/>
    <w:qFormat/>
    <w:uiPriority w:val="0"/>
    <w:rPr>
      <w:rFonts w:ascii="仿宋_GB2312" w:eastAsia="仿宋_GB2312"/>
      <w:b/>
      <w:sz w:val="32"/>
      <w:szCs w:val="32"/>
    </w:rPr>
  </w:style>
  <w:style w:type="paragraph" w:customStyle="1" w:styleId="210">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11">
    <w:name w:val="Char Char Char Char"/>
    <w:basedOn w:val="17"/>
    <w:qFormat/>
    <w:uiPriority w:val="0"/>
    <w:rPr>
      <w:rFonts w:ascii="Tahoma" w:hAnsi="Tahoma"/>
      <w:sz w:val="24"/>
    </w:rPr>
  </w:style>
  <w:style w:type="paragraph" w:customStyle="1" w:styleId="212">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13">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214">
    <w:name w:val="小点说明"/>
    <w:basedOn w:val="1"/>
    <w:qFormat/>
    <w:uiPriority w:val="0"/>
    <w:pPr>
      <w:adjustRightInd w:val="0"/>
      <w:snapToGrid w:val="0"/>
    </w:pPr>
    <w:rPr>
      <w:rFonts w:ascii="仿宋_GB2312" w:eastAsia="仿宋_GB2312"/>
      <w:color w:val="000000"/>
      <w:szCs w:val="18"/>
    </w:rPr>
  </w:style>
  <w:style w:type="paragraph" w:customStyle="1" w:styleId="215">
    <w:name w:val="Char Char Char"/>
    <w:basedOn w:val="1"/>
    <w:qFormat/>
    <w:uiPriority w:val="0"/>
    <w:rPr>
      <w:rFonts w:ascii="Tahoma" w:hAnsi="Tahoma"/>
      <w:sz w:val="24"/>
      <w:szCs w:val="20"/>
    </w:rPr>
  </w:style>
  <w:style w:type="paragraph" w:customStyle="1" w:styleId="216">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7">
    <w:name w:val="_Style 70"/>
    <w:basedOn w:val="1"/>
    <w:qFormat/>
    <w:uiPriority w:val="0"/>
    <w:rPr>
      <w:szCs w:val="20"/>
    </w:rPr>
  </w:style>
  <w:style w:type="paragraph" w:customStyle="1" w:styleId="218">
    <w:name w:val="正文2"/>
    <w:basedOn w:val="1"/>
    <w:qFormat/>
    <w:uiPriority w:val="0"/>
    <w:pPr>
      <w:spacing w:before="156" w:line="360" w:lineRule="auto"/>
      <w:ind w:firstLine="510" w:firstLineChars="200"/>
    </w:pPr>
    <w:rPr>
      <w:sz w:val="24"/>
      <w:szCs w:val="20"/>
    </w:rPr>
  </w:style>
  <w:style w:type="paragraph" w:customStyle="1" w:styleId="219">
    <w:name w:val="彩色底纹 - 强调文字颜色 11"/>
    <w:qFormat/>
    <w:uiPriority w:val="71"/>
    <w:rPr>
      <w:rFonts w:ascii="Times New Roman" w:hAnsi="Times New Roman" w:eastAsia="宋体" w:cs="Times New Roman"/>
      <w:sz w:val="21"/>
      <w:lang w:val="en-US" w:eastAsia="zh-CN" w:bidi="ar-SA"/>
    </w:rPr>
  </w:style>
  <w:style w:type="paragraph" w:customStyle="1" w:styleId="2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1">
    <w:name w:val="Char11"/>
    <w:basedOn w:val="1"/>
    <w:qFormat/>
    <w:uiPriority w:val="0"/>
    <w:rPr>
      <w:rFonts w:ascii="Tahoma" w:hAnsi="Tahoma"/>
      <w:sz w:val="24"/>
      <w:szCs w:val="20"/>
    </w:rPr>
  </w:style>
  <w:style w:type="paragraph" w:customStyle="1" w:styleId="222">
    <w:name w:val="正文格式"/>
    <w:basedOn w:val="1"/>
    <w:qFormat/>
    <w:uiPriority w:val="0"/>
    <w:pPr>
      <w:spacing w:before="120" w:after="120" w:line="360" w:lineRule="auto"/>
      <w:ind w:firstLine="482"/>
      <w:jc w:val="left"/>
    </w:pPr>
    <w:rPr>
      <w:sz w:val="24"/>
      <w:szCs w:val="20"/>
    </w:rPr>
  </w:style>
  <w:style w:type="paragraph" w:customStyle="1" w:styleId="223">
    <w:name w:val="Char Char9"/>
    <w:basedOn w:val="1"/>
    <w:qFormat/>
    <w:uiPriority w:val="0"/>
    <w:rPr>
      <w:rFonts w:ascii="宋体" w:hAnsi="宋体" w:cs="宋体"/>
      <w:b/>
      <w:bCs/>
      <w:color w:val="000000"/>
      <w:sz w:val="22"/>
      <w:szCs w:val="22"/>
    </w:rPr>
  </w:style>
  <w:style w:type="paragraph" w:customStyle="1" w:styleId="224">
    <w:name w:val="1.1.1B"/>
    <w:basedOn w:val="6"/>
    <w:qFormat/>
    <w:uiPriority w:val="0"/>
    <w:pPr>
      <w:tabs>
        <w:tab w:val="left" w:pos="567"/>
      </w:tabs>
      <w:spacing w:before="240" w:after="240" w:line="240" w:lineRule="auto"/>
      <w:ind w:left="567" w:hanging="567"/>
    </w:pPr>
    <w:rPr>
      <w:sz w:val="24"/>
    </w:rPr>
  </w:style>
  <w:style w:type="paragraph" w:customStyle="1" w:styleId="22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6">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227">
    <w:name w:val="正文－恩普"/>
    <w:basedOn w:val="10"/>
    <w:qFormat/>
    <w:uiPriority w:val="0"/>
    <w:pPr>
      <w:framePr w:wrap="around" w:vAnchor="text" w:hAnchor="text" w:y="1"/>
      <w:spacing w:after="0" w:line="360" w:lineRule="auto"/>
    </w:pPr>
    <w:rPr>
      <w:szCs w:val="24"/>
    </w:rPr>
  </w:style>
  <w:style w:type="paragraph" w:customStyle="1" w:styleId="228">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229">
    <w:name w:val="默认段落字体 Para Char Char Char Char Char Char Char"/>
    <w:basedOn w:val="1"/>
    <w:qFormat/>
    <w:uiPriority w:val="0"/>
    <w:rPr>
      <w:rFonts w:ascii="Tahoma" w:hAnsi="Tahoma"/>
      <w:sz w:val="24"/>
      <w:szCs w:val="20"/>
    </w:rPr>
  </w:style>
  <w:style w:type="paragraph" w:customStyle="1" w:styleId="230">
    <w:name w:val="修订1"/>
    <w:qFormat/>
    <w:uiPriority w:val="99"/>
    <w:rPr>
      <w:rFonts w:ascii="Times New Roman" w:hAnsi="Times New Roman" w:eastAsia="宋体" w:cs="Times New Roman"/>
      <w:kern w:val="2"/>
      <w:sz w:val="21"/>
      <w:szCs w:val="24"/>
      <w:lang w:val="en-US" w:eastAsia="zh-CN" w:bidi="ar-SA"/>
    </w:rPr>
  </w:style>
  <w:style w:type="paragraph" w:customStyle="1" w:styleId="2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2">
    <w:name w:val="*正文"/>
    <w:basedOn w:val="1"/>
    <w:qFormat/>
    <w:uiPriority w:val="1"/>
    <w:pPr>
      <w:adjustRightInd w:val="0"/>
      <w:spacing w:line="360" w:lineRule="auto"/>
      <w:ind w:firstLine="200" w:firstLineChars="200"/>
    </w:pPr>
    <w:rPr>
      <w:rFonts w:ascii="仿宋" w:hAnsi="仿宋" w:eastAsia="仿宋" w:cs="等线"/>
      <w:sz w:val="28"/>
      <w:szCs w:val="28"/>
      <w:lang w:val="zh-CN"/>
    </w:rPr>
  </w:style>
  <w:style w:type="character" w:customStyle="1" w:styleId="233">
    <w:name w:val="font41"/>
    <w:basedOn w:val="49"/>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HZHQ</Company>
  <Pages>42</Pages>
  <Words>26669</Words>
  <Characters>27544</Characters>
  <Lines>303</Lines>
  <Paragraphs>85</Paragraphs>
  <TotalTime>39</TotalTime>
  <ScaleCrop>false</ScaleCrop>
  <LinksUpToDate>false</LinksUpToDate>
  <CharactersWithSpaces>28577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2023-07-23T16:49:00Z</dcterms:created>
  <dc:creator>William</dc:creator>
  <cp:lastModifiedBy>Hpwilliam</cp:lastModifiedBy>
  <cp:lastPrinted>2022-05-13T00:30:00Z</cp:lastPrinted>
  <dcterms:modified xsi:type="dcterms:W3CDTF">2024-11-18T08:18:38Z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397B765F5571B5F384761B676149BB4B_43</vt:lpwstr>
  </property>
</Properties>
</file>